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9EB6C" w14:textId="77777777" w:rsidR="00486F2C" w:rsidRDefault="00486F2C" w:rsidP="00964548">
      <w:pPr>
        <w:pStyle w:val="Header"/>
        <w:jc w:val="center"/>
        <w:rPr>
          <w:rFonts w:cstheme="minorHAnsi"/>
          <w:b/>
          <w:sz w:val="28"/>
          <w:szCs w:val="28"/>
          <w:u w:val="single"/>
        </w:rPr>
      </w:pPr>
      <w:bookmarkStart w:id="0" w:name="_GoBack"/>
      <w:bookmarkEnd w:id="0"/>
    </w:p>
    <w:p w14:paraId="552C9828" w14:textId="02C801D4" w:rsidR="00486F2C" w:rsidRPr="00C02346" w:rsidRDefault="00486F2C" w:rsidP="00486F2C">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r>
        <w:rPr>
          <w:rFonts w:ascii="Calibri" w:hAnsi="Calibri" w:cs="Calibri"/>
          <w:color w:val="000000"/>
          <w:sz w:val="24"/>
          <w:lang w:eastAsia="en-AU"/>
        </w:rPr>
        <w:t xml:space="preserve">Mid-Term </w:t>
      </w:r>
      <w:r w:rsidRPr="00C02346">
        <w:rPr>
          <w:rFonts w:ascii="Calibri" w:hAnsi="Calibri" w:cs="Calibri"/>
          <w:color w:val="000000"/>
          <w:sz w:val="24"/>
          <w:lang w:eastAsia="en-AU"/>
        </w:rPr>
        <w:t xml:space="preserve">Evaluation: Tropical Cyclone </w:t>
      </w:r>
      <w:r>
        <w:rPr>
          <w:rFonts w:ascii="Calibri" w:hAnsi="Calibri" w:cs="Calibri"/>
          <w:color w:val="000000"/>
          <w:sz w:val="24"/>
          <w:lang w:eastAsia="en-AU"/>
        </w:rPr>
        <w:t xml:space="preserve">Gita Response and </w:t>
      </w:r>
      <w:r w:rsidRPr="00C02346">
        <w:rPr>
          <w:rFonts w:ascii="Calibri" w:hAnsi="Calibri" w:cs="Calibri"/>
          <w:color w:val="000000"/>
          <w:sz w:val="24"/>
          <w:lang w:eastAsia="en-AU"/>
        </w:rPr>
        <w:t>Recovery Program</w:t>
      </w:r>
    </w:p>
    <w:p w14:paraId="2AD61A56" w14:textId="77777777" w:rsidR="00486F2C" w:rsidRPr="00C02346" w:rsidRDefault="00486F2C" w:rsidP="00486F2C">
      <w:pPr>
        <w:pStyle w:val="DocName"/>
        <w:pBdr>
          <w:top w:val="single" w:sz="4" w:space="12" w:color="FF9900"/>
          <w:bottom w:val="single" w:sz="4" w:space="5" w:color="FF9900"/>
        </w:pBdr>
        <w:shd w:val="clear" w:color="auto" w:fill="FFFFCC"/>
        <w:contextualSpacing/>
        <w:rPr>
          <w:rFonts w:ascii="Calibri" w:hAnsi="Calibri" w:cs="Calibri"/>
          <w:color w:val="000000"/>
          <w:sz w:val="24"/>
          <w:lang w:eastAsia="en-AU"/>
        </w:rPr>
      </w:pPr>
      <w:r w:rsidRPr="00C02346">
        <w:rPr>
          <w:rFonts w:ascii="Calibri" w:hAnsi="Calibri" w:cs="Calibri"/>
          <w:color w:val="000000"/>
          <w:sz w:val="24"/>
          <w:lang w:eastAsia="en-AU"/>
        </w:rPr>
        <w:t>MANAGEMENT RESPONSE</w:t>
      </w:r>
    </w:p>
    <w:p w14:paraId="72BD2CFB" w14:textId="77777777" w:rsidR="00486F2C" w:rsidRPr="00C02346" w:rsidRDefault="00486F2C" w:rsidP="00486F2C">
      <w:pPr>
        <w:pStyle w:val="Heading2"/>
        <w:spacing w:before="120" w:after="120"/>
        <w:contextualSpacing/>
        <w:rPr>
          <w:rFonts w:ascii="Calibri" w:hAnsi="Calibri" w:cs="Calibri"/>
          <w:szCs w:val="24"/>
        </w:rPr>
      </w:pPr>
      <w:r w:rsidRPr="00C02346">
        <w:rPr>
          <w:rFonts w:ascii="Calibri" w:hAnsi="Calibri" w:cs="Calibri"/>
          <w:szCs w:val="24"/>
        </w:rPr>
        <w:t>Investment Summary</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97"/>
        <w:gridCol w:w="7201"/>
      </w:tblGrid>
      <w:tr w:rsidR="00486F2C" w:rsidRPr="00C02346" w14:paraId="72CE774A" w14:textId="77777777" w:rsidTr="00A26E94">
        <w:trPr>
          <w:cantSplit/>
          <w:trHeight w:val="449"/>
          <w:tblHeader/>
        </w:trPr>
        <w:tc>
          <w:tcPr>
            <w:tcW w:w="2297" w:type="dxa"/>
            <w:shd w:val="clear" w:color="auto" w:fill="E0E0E0"/>
          </w:tcPr>
          <w:p w14:paraId="5E738DEC" w14:textId="26507334" w:rsidR="00486F2C" w:rsidRPr="00C02346" w:rsidRDefault="003E09A8" w:rsidP="00A26E94">
            <w:pPr>
              <w:pStyle w:val="Table-normal-text"/>
              <w:spacing w:after="60"/>
              <w:contextualSpacing/>
              <w:rPr>
                <w:rFonts w:ascii="Calibri" w:hAnsi="Calibri" w:cs="Calibri"/>
                <w:b/>
                <w:sz w:val="22"/>
              </w:rPr>
            </w:pPr>
            <w:r>
              <w:rPr>
                <w:rFonts w:ascii="Calibri" w:hAnsi="Calibri" w:cs="Calibri"/>
                <w:b/>
                <w:sz w:val="22"/>
              </w:rPr>
              <w:t>Program</w:t>
            </w:r>
            <w:r w:rsidRPr="00C02346">
              <w:rPr>
                <w:rFonts w:ascii="Calibri" w:hAnsi="Calibri" w:cs="Calibri"/>
                <w:b/>
                <w:sz w:val="22"/>
              </w:rPr>
              <w:t xml:space="preserve"> </w:t>
            </w:r>
            <w:r w:rsidR="00486F2C" w:rsidRPr="00C02346">
              <w:rPr>
                <w:rFonts w:ascii="Calibri" w:hAnsi="Calibri" w:cs="Calibri"/>
                <w:b/>
                <w:sz w:val="22"/>
              </w:rPr>
              <w:t>Name</w:t>
            </w:r>
          </w:p>
        </w:tc>
        <w:tc>
          <w:tcPr>
            <w:tcW w:w="7201" w:type="dxa"/>
            <w:shd w:val="clear" w:color="auto" w:fill="E0E0E0"/>
          </w:tcPr>
          <w:p w14:paraId="12187094" w14:textId="35601424"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 xml:space="preserve">Tropical Cyclone </w:t>
            </w:r>
            <w:r>
              <w:rPr>
                <w:rFonts w:ascii="Calibri" w:hAnsi="Calibri" w:cs="Calibri"/>
                <w:sz w:val="22"/>
              </w:rPr>
              <w:t xml:space="preserve">Gita Response and </w:t>
            </w:r>
            <w:r w:rsidRPr="00C02346">
              <w:rPr>
                <w:rFonts w:ascii="Calibri" w:hAnsi="Calibri" w:cs="Calibri"/>
                <w:sz w:val="22"/>
              </w:rPr>
              <w:t xml:space="preserve">Recovery Program </w:t>
            </w:r>
          </w:p>
          <w:p w14:paraId="685ADF24" w14:textId="77777777" w:rsidR="003E09A8" w:rsidRDefault="003E09A8" w:rsidP="00A26E94">
            <w:pPr>
              <w:pStyle w:val="Table-normal-text"/>
              <w:spacing w:after="60"/>
              <w:contextualSpacing/>
              <w:rPr>
                <w:rFonts w:ascii="Calibri" w:hAnsi="Calibri" w:cs="Calibri"/>
                <w:sz w:val="18"/>
                <w:szCs w:val="18"/>
              </w:rPr>
            </w:pPr>
          </w:p>
          <w:p w14:paraId="4EA38913" w14:textId="6368CF98" w:rsidR="00486F2C" w:rsidRPr="00BA33CB" w:rsidRDefault="003E09A8">
            <w:pPr>
              <w:pStyle w:val="Table-normal-text"/>
              <w:spacing w:after="60"/>
              <w:contextualSpacing/>
              <w:rPr>
                <w:rFonts w:ascii="Calibri" w:hAnsi="Calibri" w:cs="Calibri"/>
                <w:sz w:val="18"/>
                <w:szCs w:val="18"/>
              </w:rPr>
            </w:pPr>
            <w:proofErr w:type="spellStart"/>
            <w:r w:rsidRPr="00BA33CB">
              <w:rPr>
                <w:rFonts w:ascii="Calibri" w:hAnsi="Calibri" w:cs="Calibri"/>
                <w:sz w:val="18"/>
                <w:szCs w:val="18"/>
              </w:rPr>
              <w:t>Aidworks</w:t>
            </w:r>
            <w:proofErr w:type="spellEnd"/>
            <w:r w:rsidRPr="00BA33CB">
              <w:rPr>
                <w:rFonts w:ascii="Calibri" w:hAnsi="Calibri" w:cs="Calibri"/>
                <w:sz w:val="18"/>
                <w:szCs w:val="18"/>
              </w:rPr>
              <w:t xml:space="preserve"> Investments</w:t>
            </w:r>
            <w:r>
              <w:rPr>
                <w:rFonts w:ascii="Calibri" w:hAnsi="Calibri" w:cs="Calibri"/>
                <w:sz w:val="18"/>
                <w:szCs w:val="18"/>
              </w:rPr>
              <w:t>:</w:t>
            </w:r>
            <w:r w:rsidRPr="00BA33CB">
              <w:rPr>
                <w:rFonts w:ascii="Calibri" w:hAnsi="Calibri" w:cs="Calibri"/>
                <w:sz w:val="18"/>
                <w:szCs w:val="18"/>
              </w:rPr>
              <w:t xml:space="preserve"> INM492 Tropical Cy</w:t>
            </w:r>
            <w:r>
              <w:rPr>
                <w:rFonts w:ascii="Calibri" w:hAnsi="Calibri" w:cs="Calibri"/>
                <w:sz w:val="18"/>
                <w:szCs w:val="18"/>
              </w:rPr>
              <w:t>clone Gita response and recovery;</w:t>
            </w:r>
            <w:r w:rsidRPr="00BA33CB">
              <w:rPr>
                <w:rFonts w:ascii="Calibri" w:hAnsi="Calibri" w:cs="Calibri"/>
                <w:sz w:val="18"/>
                <w:szCs w:val="18"/>
              </w:rPr>
              <w:t xml:space="preserve"> INL881 Tonga Economic and Public Sector Reform Program</w:t>
            </w:r>
            <w:r>
              <w:rPr>
                <w:rFonts w:ascii="Calibri" w:hAnsi="Calibri" w:cs="Calibri"/>
                <w:sz w:val="18"/>
                <w:szCs w:val="18"/>
              </w:rPr>
              <w:t>;</w:t>
            </w:r>
            <w:r w:rsidRPr="00BA33CB">
              <w:rPr>
                <w:rFonts w:ascii="Calibri" w:hAnsi="Calibri" w:cs="Calibri"/>
                <w:sz w:val="18"/>
                <w:szCs w:val="18"/>
              </w:rPr>
              <w:t xml:space="preserve"> INK206 Nuku’alofa U</w:t>
            </w:r>
            <w:r>
              <w:rPr>
                <w:rFonts w:ascii="Calibri" w:hAnsi="Calibri" w:cs="Calibri"/>
                <w:sz w:val="18"/>
                <w:szCs w:val="18"/>
              </w:rPr>
              <w:t>rban Development Sector Project.</w:t>
            </w:r>
          </w:p>
        </w:tc>
      </w:tr>
      <w:tr w:rsidR="00486F2C" w:rsidRPr="00C02346" w14:paraId="61CCE926" w14:textId="77777777" w:rsidTr="00A26E94">
        <w:trPr>
          <w:cantSplit/>
          <w:trHeight w:val="266"/>
        </w:trPr>
        <w:tc>
          <w:tcPr>
            <w:tcW w:w="2297" w:type="dxa"/>
            <w:shd w:val="clear" w:color="auto" w:fill="auto"/>
          </w:tcPr>
          <w:p w14:paraId="6C0F5678" w14:textId="44492DB3" w:rsidR="00486F2C" w:rsidRPr="00C02346" w:rsidRDefault="00A81025" w:rsidP="00A81025">
            <w:pPr>
              <w:pStyle w:val="Table-normal-text"/>
              <w:spacing w:after="60"/>
              <w:contextualSpacing/>
              <w:rPr>
                <w:rFonts w:ascii="Calibri" w:hAnsi="Calibri" w:cs="Calibri"/>
                <w:sz w:val="22"/>
              </w:rPr>
            </w:pPr>
            <w:r>
              <w:rPr>
                <w:rFonts w:ascii="Calibri" w:hAnsi="Calibri" w:cs="Calibri"/>
                <w:sz w:val="22"/>
              </w:rPr>
              <w:t>Timeframe</w:t>
            </w:r>
            <w:r w:rsidR="00486F2C" w:rsidRPr="00C02346">
              <w:rPr>
                <w:rFonts w:ascii="Calibri" w:hAnsi="Calibri" w:cs="Calibri"/>
                <w:sz w:val="22"/>
              </w:rPr>
              <w:t>:</w:t>
            </w:r>
          </w:p>
        </w:tc>
        <w:tc>
          <w:tcPr>
            <w:tcW w:w="7201" w:type="dxa"/>
            <w:shd w:val="clear" w:color="auto" w:fill="auto"/>
          </w:tcPr>
          <w:p w14:paraId="2375305B" w14:textId="6299ECF2" w:rsidR="00486F2C" w:rsidRPr="00C02346" w:rsidRDefault="00497999" w:rsidP="00A26E94">
            <w:pPr>
              <w:pStyle w:val="Table-normal-text"/>
              <w:spacing w:after="60"/>
              <w:contextualSpacing/>
              <w:rPr>
                <w:rFonts w:ascii="Calibri" w:hAnsi="Calibri" w:cs="Calibri"/>
                <w:sz w:val="22"/>
              </w:rPr>
            </w:pPr>
            <w:r>
              <w:rPr>
                <w:rFonts w:ascii="Calibri" w:hAnsi="Calibri" w:cs="Calibri"/>
                <w:color w:val="333333"/>
                <w:sz w:val="22"/>
                <w:szCs w:val="22"/>
              </w:rPr>
              <w:t>21 Feb 2018 to 30 Jun 2021</w:t>
            </w:r>
          </w:p>
        </w:tc>
      </w:tr>
      <w:tr w:rsidR="00486F2C" w:rsidRPr="00C02346" w14:paraId="3CCAD01E" w14:textId="77777777" w:rsidTr="00A26E94">
        <w:trPr>
          <w:cantSplit/>
          <w:trHeight w:val="295"/>
        </w:trPr>
        <w:tc>
          <w:tcPr>
            <w:tcW w:w="2297" w:type="dxa"/>
            <w:shd w:val="clear" w:color="auto" w:fill="auto"/>
          </w:tcPr>
          <w:p w14:paraId="40483006" w14:textId="466AFC47" w:rsidR="00486F2C" w:rsidRPr="00C02346" w:rsidRDefault="00A81025" w:rsidP="00A26E94">
            <w:pPr>
              <w:pStyle w:val="Table-normal-text"/>
              <w:spacing w:after="60"/>
              <w:contextualSpacing/>
              <w:rPr>
                <w:rFonts w:ascii="Calibri" w:hAnsi="Calibri" w:cs="Calibri"/>
                <w:sz w:val="22"/>
              </w:rPr>
            </w:pPr>
            <w:r>
              <w:rPr>
                <w:rFonts w:ascii="Calibri" w:hAnsi="Calibri" w:cs="Calibri"/>
                <w:sz w:val="22"/>
              </w:rPr>
              <w:t>V</w:t>
            </w:r>
            <w:r w:rsidR="00486F2C" w:rsidRPr="00C02346">
              <w:rPr>
                <w:rFonts w:ascii="Calibri" w:hAnsi="Calibri" w:cs="Calibri"/>
                <w:sz w:val="22"/>
              </w:rPr>
              <w:t>alue:</w:t>
            </w:r>
          </w:p>
        </w:tc>
        <w:tc>
          <w:tcPr>
            <w:tcW w:w="7201" w:type="dxa"/>
            <w:shd w:val="clear" w:color="auto" w:fill="auto"/>
          </w:tcPr>
          <w:p w14:paraId="0AC182FD" w14:textId="369E1C2D" w:rsidR="00486F2C" w:rsidRPr="00C02346" w:rsidRDefault="00486F2C" w:rsidP="0018753A">
            <w:pPr>
              <w:pStyle w:val="Table-normal-text"/>
              <w:spacing w:after="60"/>
              <w:contextualSpacing/>
              <w:rPr>
                <w:rFonts w:ascii="Calibri" w:hAnsi="Calibri" w:cs="Calibri"/>
                <w:sz w:val="22"/>
              </w:rPr>
            </w:pPr>
            <w:r w:rsidRPr="00C02346">
              <w:rPr>
                <w:rFonts w:ascii="Calibri" w:hAnsi="Calibri" w:cs="Calibri"/>
                <w:sz w:val="22"/>
              </w:rPr>
              <w:t>Total value: A$</w:t>
            </w:r>
            <w:r w:rsidR="00497999">
              <w:rPr>
                <w:rFonts w:ascii="Calibri" w:hAnsi="Calibri" w:cs="Calibri"/>
                <w:sz w:val="22"/>
              </w:rPr>
              <w:t>12,202,828</w:t>
            </w:r>
          </w:p>
        </w:tc>
      </w:tr>
      <w:tr w:rsidR="00486F2C" w:rsidRPr="00C02346" w14:paraId="691764DD" w14:textId="77777777" w:rsidTr="00A26E94">
        <w:trPr>
          <w:cantSplit/>
          <w:trHeight w:val="339"/>
        </w:trPr>
        <w:tc>
          <w:tcPr>
            <w:tcW w:w="2297" w:type="dxa"/>
            <w:shd w:val="clear" w:color="auto" w:fill="auto"/>
          </w:tcPr>
          <w:p w14:paraId="4B9EEF2E" w14:textId="77777777"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Implementing partner:</w:t>
            </w:r>
          </w:p>
        </w:tc>
        <w:tc>
          <w:tcPr>
            <w:tcW w:w="7201" w:type="dxa"/>
            <w:shd w:val="clear" w:color="auto" w:fill="auto"/>
          </w:tcPr>
          <w:p w14:paraId="2B4AA136" w14:textId="4E81F781" w:rsidR="00486F2C" w:rsidRPr="00C02346" w:rsidRDefault="00F37500" w:rsidP="00486F2C">
            <w:pPr>
              <w:pStyle w:val="Table-normal-text"/>
              <w:spacing w:after="60"/>
              <w:contextualSpacing/>
              <w:rPr>
                <w:rFonts w:ascii="Calibri" w:hAnsi="Calibri" w:cs="Calibri"/>
                <w:sz w:val="22"/>
              </w:rPr>
            </w:pPr>
            <w:r>
              <w:rPr>
                <w:rFonts w:ascii="Calibri" w:hAnsi="Calibri" w:cs="Calibri"/>
                <w:sz w:val="22"/>
              </w:rPr>
              <w:t>Various- including multilateral development banks, commercial contractors, international and national NGOs, Australian Government entities.</w:t>
            </w:r>
          </w:p>
        </w:tc>
      </w:tr>
      <w:tr w:rsidR="00486F2C" w:rsidRPr="00C02346" w14:paraId="1234B1EF" w14:textId="77777777" w:rsidTr="00A26E94">
        <w:trPr>
          <w:cantSplit/>
          <w:trHeight w:val="295"/>
        </w:trPr>
        <w:tc>
          <w:tcPr>
            <w:tcW w:w="2297" w:type="dxa"/>
            <w:shd w:val="clear" w:color="auto" w:fill="auto"/>
          </w:tcPr>
          <w:p w14:paraId="418560BB" w14:textId="77777777"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Country/Region:</w:t>
            </w:r>
          </w:p>
        </w:tc>
        <w:tc>
          <w:tcPr>
            <w:tcW w:w="7201" w:type="dxa"/>
            <w:shd w:val="clear" w:color="auto" w:fill="auto"/>
          </w:tcPr>
          <w:p w14:paraId="34DCB5BC" w14:textId="6B00E727" w:rsidR="00486F2C" w:rsidRPr="00C02346" w:rsidRDefault="00486F2C" w:rsidP="00A26E94">
            <w:pPr>
              <w:pStyle w:val="Table-normal-text"/>
              <w:spacing w:after="60"/>
              <w:contextualSpacing/>
              <w:rPr>
                <w:rFonts w:ascii="Calibri" w:hAnsi="Calibri" w:cs="Calibri"/>
                <w:sz w:val="22"/>
              </w:rPr>
            </w:pPr>
            <w:r>
              <w:rPr>
                <w:rFonts w:ascii="Calibri" w:hAnsi="Calibri" w:cs="Calibri"/>
                <w:sz w:val="22"/>
              </w:rPr>
              <w:t>Tonga</w:t>
            </w:r>
          </w:p>
        </w:tc>
      </w:tr>
      <w:tr w:rsidR="00486F2C" w:rsidRPr="00C02346" w14:paraId="0D44CDE7" w14:textId="77777777" w:rsidTr="00A26E94">
        <w:trPr>
          <w:cantSplit/>
          <w:trHeight w:val="295"/>
        </w:trPr>
        <w:tc>
          <w:tcPr>
            <w:tcW w:w="2297" w:type="dxa"/>
            <w:shd w:val="clear" w:color="auto" w:fill="auto"/>
          </w:tcPr>
          <w:p w14:paraId="0A9ADFFD" w14:textId="77777777"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Primary sector:</w:t>
            </w:r>
          </w:p>
        </w:tc>
        <w:tc>
          <w:tcPr>
            <w:tcW w:w="7201" w:type="dxa"/>
            <w:shd w:val="clear" w:color="auto" w:fill="auto"/>
          </w:tcPr>
          <w:p w14:paraId="728FAF4B" w14:textId="03FCE345"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Re</w:t>
            </w:r>
            <w:r>
              <w:rPr>
                <w:rFonts w:ascii="Calibri" w:hAnsi="Calibri" w:cs="Calibri"/>
                <w:sz w:val="22"/>
              </w:rPr>
              <w:t>sponse and Re</w:t>
            </w:r>
            <w:r w:rsidRPr="00C02346">
              <w:rPr>
                <w:rFonts w:ascii="Calibri" w:hAnsi="Calibri" w:cs="Calibri"/>
                <w:sz w:val="22"/>
              </w:rPr>
              <w:t>covery</w:t>
            </w:r>
          </w:p>
        </w:tc>
      </w:tr>
      <w:tr w:rsidR="00486F2C" w:rsidRPr="00C02346" w14:paraId="404C9122" w14:textId="77777777" w:rsidTr="00BA33CB">
        <w:trPr>
          <w:cantSplit/>
          <w:trHeight w:val="4607"/>
        </w:trPr>
        <w:tc>
          <w:tcPr>
            <w:tcW w:w="2297" w:type="dxa"/>
            <w:shd w:val="clear" w:color="auto" w:fill="auto"/>
          </w:tcPr>
          <w:p w14:paraId="239BE1EC" w14:textId="77777777" w:rsidR="00486F2C" w:rsidRPr="00C02346" w:rsidRDefault="00486F2C" w:rsidP="00A26E94">
            <w:pPr>
              <w:pStyle w:val="Table-normal-text"/>
              <w:spacing w:after="60"/>
              <w:contextualSpacing/>
              <w:rPr>
                <w:rFonts w:ascii="Calibri" w:hAnsi="Calibri" w:cs="Calibri"/>
                <w:sz w:val="22"/>
              </w:rPr>
            </w:pPr>
            <w:r w:rsidRPr="00C02346">
              <w:rPr>
                <w:rFonts w:ascii="Calibri" w:hAnsi="Calibri" w:cs="Calibri"/>
                <w:sz w:val="22"/>
              </w:rPr>
              <w:t>Initiative end of program outcomes:</w:t>
            </w:r>
          </w:p>
        </w:tc>
        <w:tc>
          <w:tcPr>
            <w:tcW w:w="7201" w:type="dxa"/>
            <w:shd w:val="clear" w:color="auto" w:fill="auto"/>
          </w:tcPr>
          <w:p w14:paraId="74EC1533" w14:textId="1998F1C3" w:rsidR="0018753A" w:rsidRDefault="0018753A" w:rsidP="00BA33CB">
            <w:pPr>
              <w:spacing w:before="60" w:after="60" w:line="276" w:lineRule="auto"/>
            </w:pPr>
            <w:r>
              <w:t>As a close friend and partner of Tonga we will:</w:t>
            </w:r>
          </w:p>
          <w:p w14:paraId="0A8A3271" w14:textId="1D378D6A" w:rsidR="0018753A" w:rsidRDefault="0018753A" w:rsidP="00BA33CB">
            <w:pPr>
              <w:pStyle w:val="ListParagraph"/>
              <w:numPr>
                <w:ilvl w:val="0"/>
                <w:numId w:val="18"/>
              </w:numPr>
              <w:spacing w:before="60" w:after="60" w:line="276" w:lineRule="auto"/>
            </w:pPr>
            <w:r>
              <w:t>Deliver assistance that meets the humanitarian needs of affected people in a timely and accountable manner that supports human dignity;</w:t>
            </w:r>
          </w:p>
          <w:p w14:paraId="35340FC2" w14:textId="77777777" w:rsidR="004348EA" w:rsidRDefault="0018753A" w:rsidP="00BA33CB">
            <w:pPr>
              <w:pStyle w:val="ListParagraph"/>
              <w:numPr>
                <w:ilvl w:val="0"/>
                <w:numId w:val="18"/>
              </w:numPr>
              <w:spacing w:before="60" w:after="60" w:line="276" w:lineRule="auto"/>
            </w:pPr>
            <w:r>
              <w:t>Respect and reinforce through our actions that the Government of Tonga will lead the response and recovery effort</w:t>
            </w:r>
            <w:r w:rsidR="004348EA">
              <w:t>;</w:t>
            </w:r>
            <w:r>
              <w:t xml:space="preserve"> </w:t>
            </w:r>
          </w:p>
          <w:p w14:paraId="285DAED0" w14:textId="01019815" w:rsidR="0018753A" w:rsidRDefault="0018753A" w:rsidP="00BA33CB">
            <w:pPr>
              <w:pStyle w:val="ListParagraph"/>
              <w:numPr>
                <w:ilvl w:val="0"/>
                <w:numId w:val="18"/>
              </w:numPr>
              <w:spacing w:before="60" w:after="60" w:line="276" w:lineRule="auto"/>
            </w:pPr>
            <w:r>
              <w:t>We will support its efforts and deliver our assistance in a coordinated manner and in conjunction with other partners;</w:t>
            </w:r>
          </w:p>
          <w:p w14:paraId="3BB4BD53" w14:textId="7BC91F1B" w:rsidR="0018753A" w:rsidRDefault="0018753A" w:rsidP="00BA33CB">
            <w:pPr>
              <w:pStyle w:val="ListParagraph"/>
              <w:numPr>
                <w:ilvl w:val="0"/>
                <w:numId w:val="18"/>
              </w:numPr>
            </w:pPr>
            <w:r>
              <w:t>Support the Government to identify and plan its response and recovery through close policy dialogue, ongoing participation in coordination meetings (including selected cluster meetings) and other appropriate mechanisms; and</w:t>
            </w:r>
          </w:p>
          <w:p w14:paraId="2764F0B6" w14:textId="77777777" w:rsidR="0018753A" w:rsidRDefault="0018753A" w:rsidP="00BA33CB">
            <w:pPr>
              <w:pStyle w:val="ListParagraph"/>
              <w:numPr>
                <w:ilvl w:val="0"/>
                <w:numId w:val="18"/>
              </w:numPr>
            </w:pPr>
            <w:r>
              <w:t>Deliver our assistance through efficient and effective mechanisms that are appropriate to Tonga’s context.</w:t>
            </w:r>
          </w:p>
          <w:p w14:paraId="795B5804" w14:textId="4E0B1980" w:rsidR="00486F2C" w:rsidRPr="00C02346" w:rsidRDefault="00486F2C" w:rsidP="00BA33CB"/>
        </w:tc>
      </w:tr>
    </w:tbl>
    <w:p w14:paraId="54688C9C" w14:textId="77777777" w:rsidR="00486F2C" w:rsidRPr="00C02346" w:rsidRDefault="00486F2C" w:rsidP="00486F2C">
      <w:pPr>
        <w:pStyle w:val="Heading2"/>
        <w:spacing w:before="120" w:after="120"/>
        <w:contextualSpacing/>
        <w:rPr>
          <w:rFonts w:ascii="Calibri" w:hAnsi="Calibri" w:cs="Calibri"/>
          <w:szCs w:val="24"/>
        </w:rPr>
      </w:pPr>
      <w:r w:rsidRPr="00C02346">
        <w:rPr>
          <w:rFonts w:ascii="Calibri" w:hAnsi="Calibri" w:cs="Calibri"/>
          <w:szCs w:val="24"/>
        </w:rPr>
        <w:t>Review Summary</w:t>
      </w:r>
    </w:p>
    <w:p w14:paraId="6123DBD3" w14:textId="13B1A51B" w:rsidR="002E48C2" w:rsidRDefault="002E48C2" w:rsidP="002E48C2">
      <w:pPr>
        <w:jc w:val="both"/>
      </w:pPr>
      <w:r>
        <w:t>The purpose of the Mid-term Evaluation will be to assess the quality and impact of Australia’s Tropical Cyclone Gita response and recovery package to date. Findings from the Mid-term Evaluation will be used to:</w:t>
      </w:r>
    </w:p>
    <w:p w14:paraId="37B510DC" w14:textId="77777777" w:rsidR="002E48C2" w:rsidRPr="0099762B" w:rsidRDefault="002E48C2" w:rsidP="002E48C2">
      <w:pPr>
        <w:pStyle w:val="ListParagraph"/>
        <w:numPr>
          <w:ilvl w:val="0"/>
          <w:numId w:val="8"/>
        </w:numPr>
        <w:spacing w:before="100" w:after="120" w:line="240" w:lineRule="auto"/>
        <w:ind w:left="714" w:hanging="357"/>
        <w:contextualSpacing w:val="0"/>
        <w:jc w:val="both"/>
        <w:rPr>
          <w:rFonts w:eastAsia="Times New Roman" w:cstheme="minorHAnsi"/>
          <w:lang w:bidi="en-US"/>
        </w:rPr>
      </w:pPr>
      <w:r w:rsidRPr="0099762B">
        <w:rPr>
          <w:rFonts w:eastAsia="Times New Roman" w:cstheme="minorHAnsi"/>
          <w:lang w:bidi="en-US"/>
        </w:rPr>
        <w:t xml:space="preserve">Steer the </w:t>
      </w:r>
      <w:r>
        <w:rPr>
          <w:rFonts w:eastAsia="Times New Roman" w:cstheme="minorHAnsi"/>
          <w:lang w:bidi="en-US"/>
        </w:rPr>
        <w:t>ongoing, DFAT</w:t>
      </w:r>
      <w:r w:rsidRPr="0099762B">
        <w:rPr>
          <w:rFonts w:eastAsia="Times New Roman" w:cstheme="minorHAnsi"/>
          <w:lang w:bidi="en-US"/>
        </w:rPr>
        <w:t>-funded recovery package;</w:t>
      </w:r>
    </w:p>
    <w:p w14:paraId="38548E48" w14:textId="0CAB69B8" w:rsidR="002E48C2" w:rsidRPr="0099762B" w:rsidRDefault="002E48C2" w:rsidP="002E48C2">
      <w:pPr>
        <w:pStyle w:val="ListParagraph"/>
        <w:numPr>
          <w:ilvl w:val="0"/>
          <w:numId w:val="8"/>
        </w:numPr>
        <w:spacing w:before="100" w:after="120" w:line="240" w:lineRule="auto"/>
        <w:ind w:left="714" w:hanging="357"/>
        <w:contextualSpacing w:val="0"/>
        <w:jc w:val="both"/>
        <w:rPr>
          <w:rFonts w:eastAsia="Times New Roman" w:cstheme="minorHAnsi"/>
          <w:lang w:bidi="en-US"/>
        </w:rPr>
      </w:pPr>
      <w:r w:rsidRPr="0099762B">
        <w:rPr>
          <w:rFonts w:eastAsia="Times New Roman" w:cstheme="minorHAnsi"/>
          <w:lang w:bidi="en-US"/>
        </w:rPr>
        <w:t xml:space="preserve">Shape advocacy on </w:t>
      </w:r>
      <w:r>
        <w:rPr>
          <w:rFonts w:eastAsia="Times New Roman" w:cstheme="minorHAnsi"/>
          <w:lang w:bidi="en-US"/>
        </w:rPr>
        <w:t xml:space="preserve">both </w:t>
      </w:r>
      <w:r w:rsidRPr="0099762B">
        <w:rPr>
          <w:rFonts w:eastAsia="Times New Roman" w:cstheme="minorHAnsi"/>
          <w:lang w:bidi="en-US"/>
        </w:rPr>
        <w:t xml:space="preserve">the broader recovery efforts continuing in-country, as well as </w:t>
      </w:r>
      <w:r>
        <w:rPr>
          <w:rFonts w:eastAsia="Times New Roman" w:cstheme="minorHAnsi"/>
          <w:lang w:bidi="en-US"/>
        </w:rPr>
        <w:t>disaster risk management and preparedness to mitigate the impacts of natural hazards</w:t>
      </w:r>
      <w:r w:rsidRPr="0099762B">
        <w:rPr>
          <w:rFonts w:eastAsia="Times New Roman" w:cstheme="minorHAnsi"/>
          <w:lang w:bidi="en-US"/>
        </w:rPr>
        <w:t xml:space="preserve"> in Tonga; and</w:t>
      </w:r>
    </w:p>
    <w:p w14:paraId="1EE32924" w14:textId="0984BA03" w:rsidR="002E48C2" w:rsidRDefault="002E48C2" w:rsidP="002E48C2">
      <w:pPr>
        <w:pStyle w:val="ListParagraph"/>
        <w:numPr>
          <w:ilvl w:val="0"/>
          <w:numId w:val="8"/>
        </w:numPr>
        <w:spacing w:before="100" w:after="120" w:line="240" w:lineRule="auto"/>
        <w:ind w:left="714" w:hanging="357"/>
        <w:contextualSpacing w:val="0"/>
        <w:jc w:val="both"/>
        <w:rPr>
          <w:rFonts w:eastAsia="Times New Roman" w:cstheme="minorHAnsi"/>
          <w:lang w:bidi="en-US"/>
        </w:rPr>
      </w:pPr>
      <w:r>
        <w:rPr>
          <w:rFonts w:eastAsia="Times New Roman" w:cstheme="minorHAnsi"/>
          <w:lang w:bidi="en-US"/>
        </w:rPr>
        <w:t>Provide lessons learned for</w:t>
      </w:r>
      <w:r w:rsidRPr="0099762B">
        <w:rPr>
          <w:rFonts w:eastAsia="Times New Roman" w:cstheme="minorHAnsi"/>
          <w:lang w:bidi="en-US"/>
        </w:rPr>
        <w:t xml:space="preserve"> future Australian humanitarian responses in both Tonga and the broader Pacific region, noting the region’s high vulnerability to natural disasters and Australia’s strong commitment to humanitarian preparedness, response and recovery.</w:t>
      </w:r>
    </w:p>
    <w:p w14:paraId="43E0C395" w14:textId="596793BA" w:rsidR="00921F16" w:rsidRPr="00702B95" w:rsidRDefault="00921F16" w:rsidP="00702B95">
      <w:pPr>
        <w:spacing w:before="100" w:after="120" w:line="240" w:lineRule="auto"/>
        <w:jc w:val="both"/>
        <w:rPr>
          <w:rFonts w:eastAsia="Times New Roman" w:cstheme="minorHAnsi"/>
          <w:lang w:bidi="en-US"/>
        </w:rPr>
      </w:pPr>
      <w:r>
        <w:rPr>
          <w:rFonts w:eastAsia="Times New Roman" w:cstheme="minorHAnsi"/>
          <w:lang w:bidi="en-US"/>
        </w:rPr>
        <w:t xml:space="preserve">The review examined Australia’s humanitarian response and </w:t>
      </w:r>
      <w:r w:rsidR="00105F12">
        <w:rPr>
          <w:rFonts w:eastAsia="Times New Roman" w:cstheme="minorHAnsi"/>
          <w:lang w:bidi="en-US"/>
        </w:rPr>
        <w:t xml:space="preserve">the </w:t>
      </w:r>
      <w:r>
        <w:rPr>
          <w:rFonts w:eastAsia="Times New Roman" w:cstheme="minorHAnsi"/>
          <w:lang w:bidi="en-US"/>
        </w:rPr>
        <w:t>transition into recovery. It did not include the actions of the Australian Defence Force or the Australian Federal Police.</w:t>
      </w:r>
    </w:p>
    <w:p w14:paraId="4C581682" w14:textId="77777777" w:rsidR="004348EA" w:rsidRDefault="004348EA" w:rsidP="00486F2C">
      <w:pPr>
        <w:contextualSpacing/>
        <w:rPr>
          <w:rFonts w:ascii="Calibri" w:hAnsi="Calibri" w:cs="Calibri"/>
          <w:b/>
        </w:rPr>
      </w:pPr>
    </w:p>
    <w:p w14:paraId="080BED46" w14:textId="27038027" w:rsidR="00486F2C" w:rsidRPr="00C02346" w:rsidRDefault="00486F2C" w:rsidP="00486F2C">
      <w:pPr>
        <w:contextualSpacing/>
        <w:rPr>
          <w:rFonts w:ascii="Calibri" w:hAnsi="Calibri" w:cs="Calibri"/>
          <w:b/>
        </w:rPr>
      </w:pPr>
      <w:r w:rsidRPr="00C02346">
        <w:rPr>
          <w:rFonts w:ascii="Calibri" w:hAnsi="Calibri" w:cs="Calibri"/>
          <w:b/>
        </w:rPr>
        <w:t xml:space="preserve">Review Team: </w:t>
      </w:r>
    </w:p>
    <w:p w14:paraId="322F224B" w14:textId="0D5687BA" w:rsidR="00F37500" w:rsidRDefault="00F37500" w:rsidP="00F37500">
      <w:pPr>
        <w:pStyle w:val="Table-normal-text"/>
        <w:numPr>
          <w:ilvl w:val="0"/>
          <w:numId w:val="5"/>
        </w:numPr>
        <w:spacing w:before="0"/>
        <w:contextualSpacing/>
        <w:rPr>
          <w:rFonts w:ascii="Calibri" w:hAnsi="Calibri" w:cs="Calibri"/>
          <w:sz w:val="22"/>
          <w:szCs w:val="22"/>
        </w:rPr>
      </w:pPr>
      <w:r>
        <w:rPr>
          <w:rFonts w:ascii="Calibri" w:hAnsi="Calibri" w:cs="Calibri"/>
          <w:sz w:val="22"/>
          <w:szCs w:val="22"/>
        </w:rPr>
        <w:t>Beth Eggleston, Humanitarian Advisory Group (Team leader)</w:t>
      </w:r>
    </w:p>
    <w:p w14:paraId="55436745" w14:textId="5AB39D28" w:rsidR="00F37500" w:rsidRDefault="00F37500" w:rsidP="00F37500">
      <w:pPr>
        <w:pStyle w:val="Table-normal-text"/>
        <w:numPr>
          <w:ilvl w:val="0"/>
          <w:numId w:val="5"/>
        </w:numPr>
        <w:spacing w:before="0"/>
        <w:contextualSpacing/>
        <w:rPr>
          <w:rFonts w:ascii="Calibri" w:hAnsi="Calibri" w:cs="Calibri"/>
          <w:sz w:val="22"/>
          <w:szCs w:val="22"/>
        </w:rPr>
      </w:pPr>
      <w:r>
        <w:rPr>
          <w:rFonts w:ascii="Calibri" w:hAnsi="Calibri" w:cs="Calibri"/>
          <w:sz w:val="22"/>
          <w:szCs w:val="22"/>
        </w:rPr>
        <w:t>Josie Flint, Humanitarian Advisory Group (Humanitarian and development expert)</w:t>
      </w:r>
    </w:p>
    <w:p w14:paraId="15DDA71C" w14:textId="77777777" w:rsidR="00F37500" w:rsidRPr="00C02346" w:rsidRDefault="00F37500" w:rsidP="00F37500">
      <w:pPr>
        <w:pStyle w:val="Table-normal-text"/>
        <w:numPr>
          <w:ilvl w:val="0"/>
          <w:numId w:val="5"/>
        </w:numPr>
        <w:spacing w:before="0"/>
        <w:contextualSpacing/>
        <w:rPr>
          <w:rFonts w:ascii="Calibri" w:hAnsi="Calibri" w:cs="Calibri"/>
          <w:sz w:val="22"/>
          <w:szCs w:val="22"/>
        </w:rPr>
      </w:pPr>
      <w:proofErr w:type="spellStart"/>
      <w:r>
        <w:rPr>
          <w:rFonts w:ascii="Calibri" w:hAnsi="Calibri" w:cs="Calibri"/>
          <w:sz w:val="22"/>
          <w:szCs w:val="22"/>
        </w:rPr>
        <w:t>Emele</w:t>
      </w:r>
      <w:proofErr w:type="spellEnd"/>
      <w:r>
        <w:rPr>
          <w:rFonts w:ascii="Calibri" w:hAnsi="Calibri" w:cs="Calibri"/>
          <w:sz w:val="22"/>
          <w:szCs w:val="22"/>
        </w:rPr>
        <w:t xml:space="preserve"> </w:t>
      </w:r>
      <w:proofErr w:type="spellStart"/>
      <w:r>
        <w:rPr>
          <w:rFonts w:ascii="Calibri" w:hAnsi="Calibri" w:cs="Calibri"/>
          <w:sz w:val="22"/>
          <w:szCs w:val="22"/>
        </w:rPr>
        <w:t>Latu</w:t>
      </w:r>
      <w:proofErr w:type="spellEnd"/>
      <w:r>
        <w:rPr>
          <w:rFonts w:ascii="Calibri" w:hAnsi="Calibri" w:cs="Calibri"/>
          <w:sz w:val="22"/>
          <w:szCs w:val="22"/>
        </w:rPr>
        <w:t xml:space="preserve"> (Civil Society Forum of Tonga, National consultant)</w:t>
      </w:r>
    </w:p>
    <w:p w14:paraId="49F5D67F" w14:textId="77777777" w:rsidR="00486F2C" w:rsidRPr="00C02346" w:rsidRDefault="00486F2C" w:rsidP="00486F2C">
      <w:pPr>
        <w:pStyle w:val="Table-normal-text"/>
        <w:spacing w:before="0"/>
        <w:contextualSpacing/>
        <w:rPr>
          <w:rFonts w:ascii="Calibri" w:hAnsi="Calibri" w:cs="Calibri"/>
          <w:sz w:val="22"/>
          <w:szCs w:val="22"/>
        </w:rPr>
      </w:pPr>
    </w:p>
    <w:p w14:paraId="377DFCD6" w14:textId="3244D228" w:rsidR="008241D4" w:rsidRDefault="00486F2C" w:rsidP="00486F2C">
      <w:pPr>
        <w:pStyle w:val="Table-normal-text"/>
        <w:spacing w:before="0"/>
        <w:contextualSpacing/>
        <w:rPr>
          <w:rFonts w:ascii="Calibri" w:hAnsi="Calibri" w:cs="Calibri"/>
          <w:sz w:val="22"/>
          <w:szCs w:val="22"/>
        </w:rPr>
      </w:pPr>
      <w:r w:rsidRPr="00C02346">
        <w:rPr>
          <w:rFonts w:ascii="Calibri" w:hAnsi="Calibri" w:cs="Calibri"/>
          <w:sz w:val="22"/>
          <w:szCs w:val="22"/>
        </w:rPr>
        <w:t xml:space="preserve">The </w:t>
      </w:r>
      <w:r w:rsidRPr="00BA33CB">
        <w:rPr>
          <w:rFonts w:ascii="Calibri" w:hAnsi="Calibri" w:cs="Calibri"/>
          <w:sz w:val="22"/>
          <w:szCs w:val="22"/>
        </w:rPr>
        <w:t xml:space="preserve">evaluation took place between </w:t>
      </w:r>
      <w:r w:rsidR="007B5819" w:rsidRPr="00BA33CB">
        <w:rPr>
          <w:rFonts w:ascii="Calibri" w:hAnsi="Calibri" w:cs="Calibri"/>
          <w:sz w:val="22"/>
          <w:szCs w:val="22"/>
        </w:rPr>
        <w:t xml:space="preserve">December 2018 and April 2019. Field work was conducted on </w:t>
      </w:r>
      <w:proofErr w:type="spellStart"/>
      <w:r w:rsidR="007B5819" w:rsidRPr="00BA33CB">
        <w:rPr>
          <w:rFonts w:ascii="Calibri" w:hAnsi="Calibri" w:cs="Calibri"/>
          <w:sz w:val="22"/>
          <w:szCs w:val="22"/>
        </w:rPr>
        <w:t>Tongatapu</w:t>
      </w:r>
      <w:proofErr w:type="spellEnd"/>
      <w:r w:rsidR="007B5819" w:rsidRPr="00BA33CB">
        <w:rPr>
          <w:rFonts w:ascii="Calibri" w:hAnsi="Calibri" w:cs="Calibri"/>
          <w:sz w:val="22"/>
          <w:szCs w:val="22"/>
        </w:rPr>
        <w:t xml:space="preserve"> and ‘</w:t>
      </w:r>
      <w:proofErr w:type="spellStart"/>
      <w:r w:rsidR="007B5819" w:rsidRPr="00BA33CB">
        <w:rPr>
          <w:rFonts w:ascii="Calibri" w:hAnsi="Calibri" w:cs="Calibri"/>
          <w:sz w:val="22"/>
          <w:szCs w:val="22"/>
        </w:rPr>
        <w:t>Eua</w:t>
      </w:r>
      <w:proofErr w:type="spellEnd"/>
      <w:r w:rsidR="007B5819" w:rsidRPr="00BA33CB">
        <w:rPr>
          <w:rFonts w:ascii="Calibri" w:hAnsi="Calibri" w:cs="Calibri"/>
          <w:sz w:val="22"/>
          <w:szCs w:val="22"/>
        </w:rPr>
        <w:t xml:space="preserve"> between </w:t>
      </w:r>
      <w:r w:rsidR="00527482" w:rsidRPr="00BA33CB">
        <w:rPr>
          <w:rFonts w:ascii="Calibri" w:hAnsi="Calibri" w:cs="Calibri"/>
          <w:sz w:val="22"/>
          <w:szCs w:val="22"/>
        </w:rPr>
        <w:t>11</w:t>
      </w:r>
      <w:r w:rsidR="007B5819" w:rsidRPr="00BA33CB">
        <w:rPr>
          <w:rFonts w:ascii="Calibri" w:hAnsi="Calibri" w:cs="Calibri"/>
          <w:sz w:val="22"/>
          <w:szCs w:val="22"/>
        </w:rPr>
        <w:t xml:space="preserve"> and </w:t>
      </w:r>
      <w:r w:rsidR="00527482" w:rsidRPr="00BA33CB">
        <w:rPr>
          <w:rFonts w:ascii="Calibri" w:hAnsi="Calibri" w:cs="Calibri"/>
          <w:sz w:val="22"/>
          <w:szCs w:val="22"/>
        </w:rPr>
        <w:t>21 February 2019</w:t>
      </w:r>
      <w:r w:rsidRPr="00BA33CB">
        <w:rPr>
          <w:rFonts w:ascii="Calibri" w:hAnsi="Calibri" w:cs="Calibri"/>
          <w:sz w:val="22"/>
          <w:szCs w:val="22"/>
        </w:rPr>
        <w:t>.</w:t>
      </w:r>
      <w:r w:rsidRPr="00C02346">
        <w:rPr>
          <w:rFonts w:ascii="Calibri" w:hAnsi="Calibri" w:cs="Calibri"/>
          <w:sz w:val="22"/>
          <w:szCs w:val="22"/>
        </w:rPr>
        <w:t xml:space="preserve"> </w:t>
      </w:r>
    </w:p>
    <w:p w14:paraId="65B32304" w14:textId="77777777" w:rsidR="00921F16" w:rsidRDefault="00921F16" w:rsidP="00BA33CB">
      <w:pPr>
        <w:pStyle w:val="Table-normal-text"/>
        <w:spacing w:before="0"/>
        <w:contextualSpacing/>
        <w:rPr>
          <w:rFonts w:ascii="Calibri" w:hAnsi="Calibri" w:cs="Calibri"/>
          <w:b/>
        </w:rPr>
      </w:pPr>
    </w:p>
    <w:p w14:paraId="5D01DF8F" w14:textId="75F06E94" w:rsidR="00486F2C" w:rsidRPr="00C02346" w:rsidRDefault="00486F2C" w:rsidP="00486F2C">
      <w:pPr>
        <w:rPr>
          <w:rFonts w:ascii="Calibri" w:hAnsi="Calibri" w:cs="Calibri"/>
          <w:b/>
        </w:rPr>
      </w:pPr>
      <w:r w:rsidRPr="00C02346">
        <w:rPr>
          <w:rFonts w:ascii="Calibri" w:hAnsi="Calibri" w:cs="Calibri"/>
          <w:b/>
        </w:rPr>
        <w:t xml:space="preserve">Key </w:t>
      </w:r>
      <w:r w:rsidR="007B5819">
        <w:rPr>
          <w:rFonts w:ascii="Calibri" w:hAnsi="Calibri" w:cs="Calibri"/>
          <w:b/>
        </w:rPr>
        <w:t xml:space="preserve">evaluation </w:t>
      </w:r>
      <w:r w:rsidRPr="00C02346">
        <w:rPr>
          <w:rFonts w:ascii="Calibri" w:hAnsi="Calibri" w:cs="Calibri"/>
          <w:b/>
        </w:rPr>
        <w:t>messages:</w:t>
      </w:r>
    </w:p>
    <w:p w14:paraId="4EE80527" w14:textId="4CD6F1D3" w:rsidR="00921F16" w:rsidRDefault="007B5819" w:rsidP="00486F2C">
      <w:pPr>
        <w:pStyle w:val="Table-normal-text"/>
        <w:spacing w:before="0"/>
        <w:contextualSpacing/>
        <w:rPr>
          <w:rFonts w:ascii="Calibri" w:hAnsi="Calibri" w:cs="Calibri"/>
          <w:sz w:val="22"/>
          <w:szCs w:val="22"/>
        </w:rPr>
      </w:pPr>
      <w:r>
        <w:rPr>
          <w:rFonts w:ascii="Calibri" w:hAnsi="Calibri" w:cs="Calibri"/>
          <w:sz w:val="22"/>
          <w:szCs w:val="22"/>
        </w:rPr>
        <w:t xml:space="preserve">The evaluation found </w:t>
      </w:r>
      <w:r w:rsidR="00921F16">
        <w:rPr>
          <w:rFonts w:ascii="Calibri" w:hAnsi="Calibri" w:cs="Calibri"/>
          <w:sz w:val="22"/>
          <w:szCs w:val="22"/>
        </w:rPr>
        <w:t>Australia’s support to Tonga in response to the impact of Tropical Cyclone Gita on 12 February 2018 was largely appropriate, timely and effective.</w:t>
      </w:r>
      <w:r w:rsidR="003352E4">
        <w:rPr>
          <w:rFonts w:ascii="Calibri" w:hAnsi="Calibri" w:cs="Calibri"/>
          <w:sz w:val="22"/>
          <w:szCs w:val="22"/>
        </w:rPr>
        <w:t xml:space="preserve"> Australia engaged with the Government of Tonga, clusters and NGO partners to inform the initial response, which was well aligned with Tonga’s priorities. </w:t>
      </w:r>
    </w:p>
    <w:p w14:paraId="4EA04DE7" w14:textId="77777777" w:rsidR="003352E4" w:rsidRDefault="003352E4" w:rsidP="00486F2C">
      <w:pPr>
        <w:pStyle w:val="Table-normal-text"/>
        <w:spacing w:before="0"/>
        <w:contextualSpacing/>
        <w:rPr>
          <w:rFonts w:ascii="Calibri" w:hAnsi="Calibri" w:cs="Calibri"/>
          <w:sz w:val="22"/>
          <w:szCs w:val="22"/>
        </w:rPr>
      </w:pPr>
    </w:p>
    <w:p w14:paraId="05C8D71E" w14:textId="6F720B56" w:rsidR="00921F16" w:rsidRDefault="00921F16" w:rsidP="00486F2C">
      <w:pPr>
        <w:pStyle w:val="Table-normal-text"/>
        <w:spacing w:before="0"/>
        <w:contextualSpacing/>
        <w:rPr>
          <w:rFonts w:ascii="Calibri" w:hAnsi="Calibri" w:cs="Calibri"/>
          <w:sz w:val="22"/>
          <w:szCs w:val="22"/>
        </w:rPr>
      </w:pPr>
      <w:r>
        <w:rPr>
          <w:rFonts w:ascii="Calibri" w:hAnsi="Calibri" w:cs="Calibri"/>
          <w:sz w:val="22"/>
          <w:szCs w:val="22"/>
        </w:rPr>
        <w:t xml:space="preserve">Our implementing partners managed efficient programs, particularly by leveraging existing development programs. </w:t>
      </w:r>
      <w:r w:rsidR="001B3057">
        <w:rPr>
          <w:rFonts w:ascii="Calibri" w:hAnsi="Calibri" w:cs="Calibri"/>
          <w:sz w:val="22"/>
          <w:szCs w:val="22"/>
        </w:rPr>
        <w:t>New modalities used to mobilise Australia private sector companies for electricity restoration, and cash assistance to marginalised groups, were also successful in achieving priority outcomes</w:t>
      </w:r>
      <w:r w:rsidR="00B3020B">
        <w:rPr>
          <w:rFonts w:ascii="Calibri" w:hAnsi="Calibri" w:cs="Calibri"/>
          <w:sz w:val="22"/>
          <w:szCs w:val="22"/>
        </w:rPr>
        <w:t>. The ability to improve localisation could be improved by strengthening the organisational or institutional capacity of local partners to receive funding.</w:t>
      </w:r>
    </w:p>
    <w:p w14:paraId="4A75C277" w14:textId="599E8728" w:rsidR="00921F16" w:rsidRDefault="00921F16" w:rsidP="00486F2C">
      <w:pPr>
        <w:pStyle w:val="Table-normal-text"/>
        <w:spacing w:before="0"/>
        <w:contextualSpacing/>
        <w:rPr>
          <w:rFonts w:ascii="Calibri" w:hAnsi="Calibri" w:cs="Calibri"/>
          <w:sz w:val="22"/>
          <w:szCs w:val="22"/>
        </w:rPr>
      </w:pPr>
    </w:p>
    <w:p w14:paraId="0FD9D558" w14:textId="11FEBAA9" w:rsidR="003352E4" w:rsidRDefault="00E90F43" w:rsidP="00702B95">
      <w:pPr>
        <w:pStyle w:val="Table-normal-text"/>
        <w:contextualSpacing/>
        <w:rPr>
          <w:rFonts w:ascii="Calibri" w:hAnsi="Calibri" w:cs="Calibri"/>
          <w:sz w:val="22"/>
          <w:szCs w:val="22"/>
        </w:rPr>
      </w:pPr>
      <w:r w:rsidRPr="00E90F43">
        <w:rPr>
          <w:rFonts w:ascii="Calibri" w:hAnsi="Calibri" w:cs="Calibri"/>
          <w:sz w:val="22"/>
          <w:szCs w:val="22"/>
        </w:rPr>
        <w:t xml:space="preserve">Australian support </w:t>
      </w:r>
      <w:r>
        <w:rPr>
          <w:rFonts w:ascii="Calibri" w:hAnsi="Calibri" w:cs="Calibri"/>
          <w:sz w:val="22"/>
          <w:szCs w:val="22"/>
        </w:rPr>
        <w:t xml:space="preserve">was </w:t>
      </w:r>
      <w:r w:rsidR="00E16597">
        <w:rPr>
          <w:rFonts w:ascii="Calibri" w:hAnsi="Calibri" w:cs="Calibri"/>
          <w:sz w:val="22"/>
          <w:szCs w:val="22"/>
        </w:rPr>
        <w:t>assess</w:t>
      </w:r>
      <w:r>
        <w:rPr>
          <w:rFonts w:ascii="Calibri" w:hAnsi="Calibri" w:cs="Calibri"/>
          <w:sz w:val="22"/>
          <w:szCs w:val="22"/>
        </w:rPr>
        <w:t xml:space="preserve">ed to have </w:t>
      </w:r>
      <w:r w:rsidRPr="00E90F43">
        <w:rPr>
          <w:rFonts w:ascii="Calibri" w:hAnsi="Calibri" w:cs="Calibri"/>
          <w:sz w:val="22"/>
          <w:szCs w:val="22"/>
        </w:rPr>
        <w:t>reinforced national response and</w:t>
      </w:r>
      <w:r>
        <w:rPr>
          <w:rFonts w:ascii="Calibri" w:hAnsi="Calibri" w:cs="Calibri"/>
          <w:sz w:val="22"/>
          <w:szCs w:val="22"/>
        </w:rPr>
        <w:t xml:space="preserve"> coordination mechanisms, by </w:t>
      </w:r>
      <w:r w:rsidRPr="00E90F43">
        <w:rPr>
          <w:rFonts w:ascii="Calibri" w:hAnsi="Calibri" w:cs="Calibri"/>
          <w:sz w:val="22"/>
          <w:szCs w:val="22"/>
        </w:rPr>
        <w:t xml:space="preserve">working with </w:t>
      </w:r>
      <w:r>
        <w:rPr>
          <w:rFonts w:ascii="Calibri" w:hAnsi="Calibri" w:cs="Calibri"/>
          <w:sz w:val="22"/>
          <w:szCs w:val="22"/>
        </w:rPr>
        <w:t>existing national systems and structures. However the n</w:t>
      </w:r>
      <w:r w:rsidR="003352E4">
        <w:rPr>
          <w:rFonts w:ascii="Calibri" w:hAnsi="Calibri" w:cs="Calibri"/>
          <w:sz w:val="22"/>
          <w:szCs w:val="22"/>
        </w:rPr>
        <w:t xml:space="preserve">ational systems for collecting, managing and sharing data </w:t>
      </w:r>
      <w:r w:rsidR="001B3057">
        <w:rPr>
          <w:rFonts w:ascii="Calibri" w:hAnsi="Calibri" w:cs="Calibri"/>
          <w:sz w:val="22"/>
          <w:szCs w:val="22"/>
        </w:rPr>
        <w:t xml:space="preserve">were not </w:t>
      </w:r>
      <w:r>
        <w:rPr>
          <w:rFonts w:ascii="Calibri" w:hAnsi="Calibri" w:cs="Calibri"/>
          <w:sz w:val="22"/>
          <w:szCs w:val="22"/>
        </w:rPr>
        <w:t>strong</w:t>
      </w:r>
      <w:r w:rsidR="001B3057">
        <w:rPr>
          <w:rFonts w:ascii="Calibri" w:hAnsi="Calibri" w:cs="Calibri"/>
          <w:sz w:val="22"/>
          <w:szCs w:val="22"/>
        </w:rPr>
        <w:t>, and this is an area recommended for future strengthening support.</w:t>
      </w:r>
      <w:r w:rsidR="00B3020B">
        <w:rPr>
          <w:rFonts w:ascii="Calibri" w:hAnsi="Calibri" w:cs="Calibri"/>
          <w:sz w:val="22"/>
          <w:szCs w:val="22"/>
        </w:rPr>
        <w:t xml:space="preserve"> </w:t>
      </w:r>
      <w:r w:rsidR="00B8248E">
        <w:rPr>
          <w:rFonts w:ascii="Calibri" w:hAnsi="Calibri" w:cs="Calibri"/>
          <w:sz w:val="22"/>
          <w:szCs w:val="22"/>
        </w:rPr>
        <w:t>Coordination could also be improved by increasing outreach to partners about Australia’s capabilities.</w:t>
      </w:r>
    </w:p>
    <w:p w14:paraId="4A2BB01F" w14:textId="77777777" w:rsidR="00921F16" w:rsidRDefault="00921F16" w:rsidP="00486F2C">
      <w:pPr>
        <w:pStyle w:val="Table-normal-text"/>
        <w:spacing w:before="0"/>
        <w:contextualSpacing/>
        <w:rPr>
          <w:rFonts w:ascii="Calibri" w:hAnsi="Calibri" w:cs="Calibri"/>
          <w:sz w:val="22"/>
          <w:szCs w:val="22"/>
        </w:rPr>
      </w:pPr>
    </w:p>
    <w:p w14:paraId="19447243" w14:textId="52A68755" w:rsidR="002379A0" w:rsidRDefault="00105F12" w:rsidP="00486F2C">
      <w:pPr>
        <w:pStyle w:val="Table-normal-text"/>
        <w:spacing w:before="0"/>
        <w:contextualSpacing/>
        <w:rPr>
          <w:rFonts w:ascii="Calibri" w:hAnsi="Calibri" w:cs="Calibri"/>
          <w:sz w:val="22"/>
          <w:szCs w:val="22"/>
        </w:rPr>
      </w:pPr>
      <w:r>
        <w:rPr>
          <w:rFonts w:ascii="Calibri" w:hAnsi="Calibri" w:cs="Calibri"/>
          <w:sz w:val="22"/>
          <w:szCs w:val="22"/>
        </w:rPr>
        <w:t xml:space="preserve">The evaluation also </w:t>
      </w:r>
      <w:r w:rsidR="002379A0">
        <w:rPr>
          <w:rFonts w:ascii="Calibri" w:hAnsi="Calibri" w:cs="Calibri"/>
          <w:sz w:val="22"/>
          <w:szCs w:val="22"/>
        </w:rPr>
        <w:t xml:space="preserve">found there was </w:t>
      </w:r>
      <w:r w:rsidR="00E16597">
        <w:rPr>
          <w:rFonts w:ascii="Calibri" w:hAnsi="Calibri" w:cs="Calibri"/>
          <w:sz w:val="22"/>
          <w:szCs w:val="22"/>
        </w:rPr>
        <w:t>inconsistent c</w:t>
      </w:r>
      <w:r w:rsidR="002379A0">
        <w:rPr>
          <w:rFonts w:ascii="Calibri" w:hAnsi="Calibri" w:cs="Calibri"/>
          <w:sz w:val="22"/>
          <w:szCs w:val="22"/>
        </w:rPr>
        <w:t>onsideration of accountability to affected populations across the Australian package- and suggests this should be prioritised in future responses, including by supporting partners to develop and implement robust mechanisms.</w:t>
      </w:r>
    </w:p>
    <w:p w14:paraId="79D26EB3" w14:textId="77777777" w:rsidR="00E90F43" w:rsidRDefault="00E90F43" w:rsidP="00486F2C">
      <w:pPr>
        <w:pStyle w:val="Table-normal-text"/>
        <w:spacing w:before="0"/>
        <w:contextualSpacing/>
        <w:rPr>
          <w:rFonts w:ascii="Calibri" w:hAnsi="Calibri" w:cs="Calibri"/>
          <w:sz w:val="22"/>
          <w:szCs w:val="22"/>
        </w:rPr>
      </w:pPr>
    </w:p>
    <w:p w14:paraId="70DF9F77" w14:textId="77777777" w:rsidR="00E90F43" w:rsidRDefault="00E90F43" w:rsidP="00E90F43">
      <w:pPr>
        <w:pStyle w:val="Table-normal-text"/>
        <w:spacing w:before="0"/>
        <w:contextualSpacing/>
        <w:rPr>
          <w:rFonts w:ascii="Calibri" w:hAnsi="Calibri" w:cs="Calibri"/>
          <w:sz w:val="22"/>
          <w:szCs w:val="22"/>
        </w:rPr>
      </w:pPr>
      <w:r>
        <w:rPr>
          <w:rFonts w:ascii="Calibri" w:hAnsi="Calibri" w:cs="Calibri"/>
          <w:sz w:val="22"/>
          <w:szCs w:val="22"/>
        </w:rPr>
        <w:t>The transition to recovery was more difficult, and future assistance could be strengthened by improving planning, and seeking continuing of sectors and partnerships between response and recovery.</w:t>
      </w:r>
    </w:p>
    <w:p w14:paraId="77732A01" w14:textId="3FB09D38" w:rsidR="00921F16" w:rsidRDefault="00921F16" w:rsidP="00486F2C">
      <w:pPr>
        <w:pStyle w:val="Table-normal-text"/>
        <w:spacing w:before="0"/>
        <w:contextualSpacing/>
        <w:rPr>
          <w:rFonts w:ascii="Calibri" w:hAnsi="Calibri" w:cs="Calibri"/>
          <w:sz w:val="22"/>
          <w:szCs w:val="22"/>
        </w:rPr>
      </w:pPr>
    </w:p>
    <w:p w14:paraId="2CEAFD92" w14:textId="77777777" w:rsidR="00486F2C" w:rsidRPr="00C02346" w:rsidRDefault="00486F2C" w:rsidP="00486F2C">
      <w:pPr>
        <w:pStyle w:val="Heading2"/>
        <w:spacing w:before="120" w:after="120"/>
        <w:contextualSpacing/>
        <w:rPr>
          <w:rFonts w:ascii="Calibri" w:hAnsi="Calibri" w:cs="Calibri"/>
          <w:szCs w:val="24"/>
        </w:rPr>
      </w:pPr>
      <w:r w:rsidRPr="00C02346">
        <w:rPr>
          <w:rFonts w:ascii="Calibri" w:hAnsi="Calibri" w:cs="Calibri"/>
          <w:szCs w:val="24"/>
        </w:rPr>
        <w:t>Overall response to the evaluation</w:t>
      </w:r>
    </w:p>
    <w:p w14:paraId="4D6FC261" w14:textId="00C1C2B0" w:rsidR="00486F2C" w:rsidRDefault="00105F12" w:rsidP="00486F2C">
      <w:pPr>
        <w:pStyle w:val="Header"/>
        <w:rPr>
          <w:rFonts w:cstheme="minorHAnsi"/>
        </w:rPr>
      </w:pPr>
      <w:r w:rsidRPr="0018753A">
        <w:rPr>
          <w:rFonts w:ascii="Calibri" w:hAnsi="Calibri" w:cs="Calibri"/>
        </w:rPr>
        <w:t xml:space="preserve">DFAT agrees with the </w:t>
      </w:r>
      <w:r w:rsidR="0018753A" w:rsidRPr="00BA33CB">
        <w:rPr>
          <w:rFonts w:ascii="Calibri" w:hAnsi="Calibri" w:cs="Calibri"/>
        </w:rPr>
        <w:t xml:space="preserve">six </w:t>
      </w:r>
      <w:r w:rsidRPr="0018753A">
        <w:rPr>
          <w:rFonts w:ascii="Calibri" w:hAnsi="Calibri" w:cs="Calibri"/>
        </w:rPr>
        <w:t>recommendations of the evaluation</w:t>
      </w:r>
      <w:r w:rsidR="00486F2C" w:rsidRPr="0018753A">
        <w:rPr>
          <w:rFonts w:ascii="Calibri" w:hAnsi="Calibri" w:cs="Calibri"/>
        </w:rPr>
        <w:t xml:space="preserve">. </w:t>
      </w:r>
      <w:r w:rsidRPr="0018753A">
        <w:rPr>
          <w:rFonts w:ascii="Calibri" w:hAnsi="Calibri" w:cs="Calibri"/>
        </w:rPr>
        <w:t xml:space="preserve">The recommendations will </w:t>
      </w:r>
      <w:r w:rsidR="0018753A">
        <w:rPr>
          <w:rFonts w:ascii="Calibri" w:hAnsi="Calibri" w:cs="Calibri"/>
        </w:rPr>
        <w:t xml:space="preserve">be taken up both by Nuku’alofa Post to improve preparedness for future humanitarian responses in Tonga, and by DFAT </w:t>
      </w:r>
      <w:r w:rsidR="0018753A" w:rsidRPr="00BB01E4">
        <w:rPr>
          <w:rFonts w:cstheme="minorHAnsi"/>
        </w:rPr>
        <w:t>Humanitarian, NGOs, and Partnerships Division</w:t>
      </w:r>
      <w:r w:rsidR="0018753A">
        <w:rPr>
          <w:rFonts w:cstheme="minorHAnsi"/>
        </w:rPr>
        <w:t xml:space="preserve"> to inform Australian assistance provided in other countries. Implementation of many of the recommendations are already underway.</w:t>
      </w:r>
    </w:p>
    <w:p w14:paraId="24569BF4" w14:textId="29A99418" w:rsidR="00D91206" w:rsidRDefault="00D91206" w:rsidP="00486F2C">
      <w:pPr>
        <w:pStyle w:val="Header"/>
        <w:rPr>
          <w:rFonts w:cstheme="minorHAnsi"/>
        </w:rPr>
      </w:pPr>
    </w:p>
    <w:p w14:paraId="69A32163" w14:textId="7B70924E" w:rsidR="00D91206" w:rsidRDefault="00D91206" w:rsidP="00486F2C">
      <w:pPr>
        <w:pStyle w:val="Header"/>
        <w:rPr>
          <w:rFonts w:cstheme="minorHAnsi"/>
          <w:b/>
          <w:sz w:val="28"/>
          <w:szCs w:val="28"/>
          <w:u w:val="single"/>
        </w:rPr>
      </w:pPr>
    </w:p>
    <w:p w14:paraId="3C9CFC72" w14:textId="77777777" w:rsidR="00486F2C" w:rsidRDefault="00486F2C" w:rsidP="00964548">
      <w:pPr>
        <w:pStyle w:val="Header"/>
        <w:jc w:val="center"/>
        <w:rPr>
          <w:rFonts w:cstheme="minorHAnsi"/>
          <w:b/>
          <w:sz w:val="28"/>
          <w:szCs w:val="28"/>
          <w:u w:val="single"/>
        </w:rPr>
      </w:pPr>
    </w:p>
    <w:p w14:paraId="6C254ACD" w14:textId="77777777" w:rsidR="00486F2C" w:rsidRDefault="00486F2C" w:rsidP="00964548">
      <w:pPr>
        <w:pStyle w:val="Header"/>
        <w:jc w:val="center"/>
        <w:rPr>
          <w:rFonts w:cstheme="minorHAnsi"/>
          <w:b/>
          <w:sz w:val="28"/>
          <w:szCs w:val="28"/>
          <w:u w:val="single"/>
        </w:rPr>
      </w:pPr>
    </w:p>
    <w:p w14:paraId="2DB0E547" w14:textId="77777777" w:rsidR="00486F2C" w:rsidRDefault="00486F2C" w:rsidP="00964548">
      <w:pPr>
        <w:pStyle w:val="Header"/>
        <w:jc w:val="center"/>
        <w:rPr>
          <w:rFonts w:cstheme="minorHAnsi"/>
          <w:b/>
          <w:sz w:val="28"/>
          <w:szCs w:val="28"/>
          <w:u w:val="single"/>
        </w:rPr>
      </w:pPr>
    </w:p>
    <w:p w14:paraId="74EDBA31" w14:textId="77777777" w:rsidR="00486F2C" w:rsidRDefault="00486F2C" w:rsidP="00964548">
      <w:pPr>
        <w:pStyle w:val="Header"/>
        <w:jc w:val="center"/>
        <w:rPr>
          <w:rFonts w:cstheme="minorHAnsi"/>
          <w:b/>
          <w:sz w:val="28"/>
          <w:szCs w:val="28"/>
          <w:u w:val="single"/>
        </w:rPr>
      </w:pPr>
    </w:p>
    <w:p w14:paraId="0E1C3E79" w14:textId="77777777" w:rsidR="00921F16" w:rsidRDefault="00921F16" w:rsidP="00964548">
      <w:pPr>
        <w:pStyle w:val="Header"/>
        <w:jc w:val="center"/>
        <w:rPr>
          <w:rFonts w:cstheme="minorHAnsi"/>
          <w:b/>
          <w:sz w:val="28"/>
          <w:szCs w:val="28"/>
          <w:u w:val="single"/>
        </w:rPr>
        <w:sectPr w:rsidR="00921F16" w:rsidSect="00F375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26D3171F" w14:textId="42B3FDCB" w:rsidR="00964548" w:rsidRPr="00AF59E7" w:rsidRDefault="00964548" w:rsidP="00964548">
      <w:pPr>
        <w:pStyle w:val="Header"/>
        <w:jc w:val="center"/>
        <w:rPr>
          <w:rFonts w:cstheme="minorHAnsi"/>
          <w:b/>
          <w:sz w:val="28"/>
          <w:szCs w:val="28"/>
          <w:u w:val="single"/>
        </w:rPr>
      </w:pPr>
      <w:r w:rsidRPr="00AF59E7">
        <w:rPr>
          <w:rFonts w:cstheme="minorHAnsi"/>
          <w:b/>
          <w:sz w:val="28"/>
          <w:szCs w:val="28"/>
          <w:u w:val="single"/>
        </w:rPr>
        <w:lastRenderedPageBreak/>
        <w:t xml:space="preserve">Management response to mid-term </w:t>
      </w:r>
      <w:r w:rsidR="00CB7EA1">
        <w:rPr>
          <w:rFonts w:cstheme="minorHAnsi"/>
          <w:b/>
          <w:sz w:val="28"/>
          <w:szCs w:val="28"/>
          <w:u w:val="single"/>
        </w:rPr>
        <w:t>evaluation of TC Gita</w:t>
      </w:r>
    </w:p>
    <w:p w14:paraId="09D6B7E9" w14:textId="77777777" w:rsidR="00964548" w:rsidRPr="00964548" w:rsidRDefault="00964548" w:rsidP="00964548">
      <w:pPr>
        <w:pStyle w:val="Header"/>
        <w:jc w:val="center"/>
        <w:rPr>
          <w:rFonts w:cstheme="minorHAnsi"/>
          <w:sz w:val="24"/>
          <w:szCs w:val="24"/>
        </w:rPr>
      </w:pPr>
    </w:p>
    <w:tbl>
      <w:tblPr>
        <w:tblStyle w:val="GridTable1Light-Accent51"/>
        <w:tblW w:w="5000" w:type="pct"/>
        <w:tblLook w:val="04A0" w:firstRow="1" w:lastRow="0" w:firstColumn="1" w:lastColumn="0" w:noHBand="0" w:noVBand="1"/>
      </w:tblPr>
      <w:tblGrid>
        <w:gridCol w:w="3934"/>
        <w:gridCol w:w="1092"/>
        <w:gridCol w:w="6906"/>
        <w:gridCol w:w="3456"/>
      </w:tblGrid>
      <w:tr w:rsidR="006E3B91" w:rsidRPr="00964548" w14:paraId="0BD20631" w14:textId="0D27E019" w:rsidTr="00BA33C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34" w:type="pct"/>
            <w:noWrap/>
          </w:tcPr>
          <w:p w14:paraId="5966F5F2" w14:textId="77777777" w:rsidR="006E3B91" w:rsidRPr="00BA33CB" w:rsidRDefault="006E3B91" w:rsidP="00CB7EA1">
            <w:pPr>
              <w:rPr>
                <w:rFonts w:cstheme="minorHAnsi"/>
              </w:rPr>
            </w:pPr>
            <w:r w:rsidRPr="00BA33CB">
              <w:rPr>
                <w:rFonts w:cstheme="minorHAnsi"/>
              </w:rPr>
              <w:t>Recommendation</w:t>
            </w:r>
          </w:p>
        </w:tc>
        <w:tc>
          <w:tcPr>
            <w:tcW w:w="187" w:type="pct"/>
            <w:noWrap/>
          </w:tcPr>
          <w:p w14:paraId="48C9C3F9" w14:textId="6FFDB647" w:rsidR="006E3B91" w:rsidRPr="00BA33CB" w:rsidRDefault="006E3B91" w:rsidP="00CB7EA1">
            <w:pPr>
              <w:cnfStyle w:val="100000000000" w:firstRow="1" w:lastRow="0" w:firstColumn="0" w:lastColumn="0" w:oddVBand="0" w:evenVBand="0" w:oddHBand="0" w:evenHBand="0" w:firstRowFirstColumn="0" w:firstRowLastColumn="0" w:lastRowFirstColumn="0" w:lastRowLastColumn="0"/>
              <w:rPr>
                <w:rFonts w:cstheme="minorHAnsi"/>
              </w:rPr>
            </w:pPr>
            <w:r w:rsidRPr="00BA33CB">
              <w:rPr>
                <w:rFonts w:cstheme="minorHAnsi"/>
              </w:rPr>
              <w:t>Response</w:t>
            </w:r>
            <w:r w:rsidRPr="00BA33CB" w:rsidDel="00B67826">
              <w:rPr>
                <w:rFonts w:cstheme="minorHAnsi"/>
              </w:rPr>
              <w:t xml:space="preserve"> </w:t>
            </w:r>
          </w:p>
        </w:tc>
        <w:tc>
          <w:tcPr>
            <w:tcW w:w="2300" w:type="pct"/>
            <w:noWrap/>
          </w:tcPr>
          <w:p w14:paraId="7F6FF082" w14:textId="7346BBD9" w:rsidR="006E3B91" w:rsidRPr="00BA33CB" w:rsidRDefault="006E3B91" w:rsidP="00CB7EA1">
            <w:pPr>
              <w:cnfStyle w:val="100000000000" w:firstRow="1" w:lastRow="0" w:firstColumn="0" w:lastColumn="0" w:oddVBand="0" w:evenVBand="0" w:oddHBand="0" w:evenHBand="0" w:firstRowFirstColumn="0" w:firstRowLastColumn="0" w:lastRowFirstColumn="0" w:lastRowLastColumn="0"/>
              <w:rPr>
                <w:rFonts w:cstheme="minorHAnsi"/>
              </w:rPr>
            </w:pPr>
            <w:r w:rsidRPr="00BA33CB">
              <w:rPr>
                <w:rFonts w:cstheme="minorHAnsi"/>
              </w:rPr>
              <w:t>Action</w:t>
            </w:r>
          </w:p>
        </w:tc>
        <w:tc>
          <w:tcPr>
            <w:tcW w:w="1179" w:type="pct"/>
          </w:tcPr>
          <w:p w14:paraId="4DCCCF2F" w14:textId="4F42E49F" w:rsidR="006E3B91" w:rsidRPr="00BA33CB" w:rsidDel="00B67826" w:rsidRDefault="006E3B91" w:rsidP="00CB7EA1">
            <w:pPr>
              <w:cnfStyle w:val="100000000000" w:firstRow="1" w:lastRow="0" w:firstColumn="0" w:lastColumn="0" w:oddVBand="0" w:evenVBand="0" w:oddHBand="0" w:evenHBand="0" w:firstRowFirstColumn="0" w:firstRowLastColumn="0" w:lastRowFirstColumn="0" w:lastRowLastColumn="0"/>
              <w:rPr>
                <w:rFonts w:cstheme="minorHAnsi"/>
              </w:rPr>
            </w:pPr>
            <w:r w:rsidRPr="00BA33CB">
              <w:rPr>
                <w:rFonts w:cstheme="minorHAnsi"/>
              </w:rPr>
              <w:t>Responsibility and timeframe</w:t>
            </w:r>
          </w:p>
        </w:tc>
      </w:tr>
      <w:tr w:rsidR="006E3B91" w14:paraId="6D3AB8FB" w14:textId="45352F71" w:rsidTr="00BA33CB">
        <w:tc>
          <w:tcPr>
            <w:cnfStyle w:val="001000000000" w:firstRow="0" w:lastRow="0" w:firstColumn="1" w:lastColumn="0" w:oddVBand="0" w:evenVBand="0" w:oddHBand="0" w:evenHBand="0" w:firstRowFirstColumn="0" w:firstRowLastColumn="0" w:lastRowFirstColumn="0" w:lastRowLastColumn="0"/>
            <w:tcW w:w="1334" w:type="pct"/>
          </w:tcPr>
          <w:p w14:paraId="2DD650A8" w14:textId="77777777" w:rsidR="006E3B91" w:rsidRPr="00BA33CB" w:rsidRDefault="006E3B91" w:rsidP="00DF5D31">
            <w:pPr>
              <w:pStyle w:val="ListParagraph"/>
              <w:numPr>
                <w:ilvl w:val="0"/>
                <w:numId w:val="4"/>
              </w:numPr>
              <w:spacing w:line="240" w:lineRule="auto"/>
              <w:rPr>
                <w:rFonts w:cstheme="minorHAnsi"/>
                <w:b w:val="0"/>
              </w:rPr>
            </w:pPr>
            <w:r w:rsidRPr="00BA33CB">
              <w:rPr>
                <w:rFonts w:cstheme="minorHAnsi"/>
              </w:rPr>
              <w:t xml:space="preserve">DFAT should adopt a similar approach to engaging with national governments and partners in future responses in the region, building on established and respectful relationships. </w:t>
            </w:r>
          </w:p>
          <w:p w14:paraId="78133B1E" w14:textId="7BA16FFC" w:rsidR="006E3B91" w:rsidRPr="00BA33CB" w:rsidRDefault="006E3B91" w:rsidP="00702B95">
            <w:pPr>
              <w:pStyle w:val="ListParagraph"/>
              <w:spacing w:line="240" w:lineRule="auto"/>
              <w:ind w:left="240"/>
              <w:rPr>
                <w:rFonts w:cstheme="minorHAnsi"/>
                <w:b w:val="0"/>
              </w:rPr>
            </w:pPr>
          </w:p>
          <w:p w14:paraId="429AEEB2" w14:textId="5802A225" w:rsidR="006E3B91" w:rsidRPr="00BA33CB" w:rsidRDefault="006E3B91" w:rsidP="00874541">
            <w:pPr>
              <w:pStyle w:val="ListParagraph"/>
              <w:spacing w:line="240" w:lineRule="auto"/>
              <w:ind w:left="240"/>
              <w:rPr>
                <w:rFonts w:cstheme="minorHAnsi"/>
                <w:b w:val="0"/>
              </w:rPr>
            </w:pPr>
            <w:r w:rsidRPr="00BA33CB">
              <w:rPr>
                <w:rFonts w:cstheme="minorHAnsi"/>
              </w:rPr>
              <w:t>Australia could improve the appropriateness of future responses in Tonga by strengthening information management processes prior to and during humanitarian responses.</w:t>
            </w:r>
          </w:p>
        </w:tc>
        <w:tc>
          <w:tcPr>
            <w:tcW w:w="187" w:type="pct"/>
          </w:tcPr>
          <w:p w14:paraId="173061BA" w14:textId="240EFE8A" w:rsidR="006E3B91" w:rsidRPr="00BA33CB"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Agree.</w:t>
            </w:r>
          </w:p>
        </w:tc>
        <w:tc>
          <w:tcPr>
            <w:tcW w:w="2300" w:type="pct"/>
          </w:tcPr>
          <w:p w14:paraId="79E437D6" w14:textId="6E47B9D0"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Australia will continue to deliver humanitarian assistance in partnership with national governments and local partners, building on our existing</w:t>
            </w:r>
            <w:r w:rsidR="00E16597">
              <w:rPr>
                <w:rFonts w:cstheme="minorHAnsi"/>
              </w:rPr>
              <w:t xml:space="preserve"> strong and respectful</w:t>
            </w:r>
            <w:r w:rsidRPr="00BA33CB">
              <w:rPr>
                <w:rFonts w:cstheme="minorHAnsi"/>
              </w:rPr>
              <w:t xml:space="preserve"> relationships.</w:t>
            </w:r>
          </w:p>
          <w:p w14:paraId="433F0D8B" w14:textId="77777777"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634D64F5" w14:textId="77777777" w:rsidR="002A2DB0" w:rsidRDefault="002A2DB0"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12FCEC67" w14:textId="77777777" w:rsidR="002A2DB0" w:rsidRDefault="002A2DB0"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5C3B7B36" w14:textId="77777777" w:rsidR="002A2DB0" w:rsidRDefault="002A2DB0"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64F770A0" w14:textId="0C05F959"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DFAT will continue to further strengthen information management for future responses in Tonga including by:</w:t>
            </w:r>
          </w:p>
          <w:p w14:paraId="03A88FE2" w14:textId="77777777" w:rsidR="006E3B91" w:rsidRPr="00BA33CB" w:rsidRDefault="006E3B91" w:rsidP="00B67826">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Placement of a Disaster Risk Management specialist to support NEMO’s systems</w:t>
            </w:r>
          </w:p>
          <w:p w14:paraId="74A477D6" w14:textId="233680D0" w:rsidR="006E3B91" w:rsidRPr="00BA33CB" w:rsidRDefault="006E3B91" w:rsidP="00B67826">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 xml:space="preserve">Supporting partners in country, including Tonga Red Cross Society, and Emergency Management Clusters, to improve information management processes </w:t>
            </w:r>
            <w:r w:rsidR="002657D0">
              <w:rPr>
                <w:rFonts w:cstheme="minorHAnsi"/>
              </w:rPr>
              <w:t>within Tonga’s systems</w:t>
            </w:r>
          </w:p>
          <w:p w14:paraId="180CF8AE" w14:textId="77777777" w:rsidR="006E3B91" w:rsidRPr="00BA33CB" w:rsidRDefault="006E3B91" w:rsidP="00BA33CB">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Supporting OCHA to provide support on humanitarian information management across the Pacific, including in Tonga</w:t>
            </w:r>
          </w:p>
          <w:p w14:paraId="3621D0F2" w14:textId="76BBA745" w:rsidR="006E3B91" w:rsidRPr="00BA33CB" w:rsidRDefault="006E3B91" w:rsidP="00BA33CB">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8753A">
              <w:rPr>
                <w:rFonts w:cstheme="minorHAnsi"/>
              </w:rPr>
              <w:t xml:space="preserve">Policy engagement and advocacy for improved information management among donors, and between donors and government.  </w:t>
            </w:r>
          </w:p>
        </w:tc>
        <w:tc>
          <w:tcPr>
            <w:tcW w:w="1179" w:type="pct"/>
          </w:tcPr>
          <w:p w14:paraId="306C61F1" w14:textId="75C5F6C4"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DFAT Humanitarian, NGOs, and Partnerships Division will continue to coordinate Australian humanitarian responses in line with this principle. Ongoing.</w:t>
            </w:r>
          </w:p>
          <w:p w14:paraId="1CED0559" w14:textId="77777777"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276715A7" w14:textId="77777777" w:rsidR="002A2DB0" w:rsidRDefault="002A2DB0" w:rsidP="00B67826">
            <w:pPr>
              <w:cnfStyle w:val="000000000000" w:firstRow="0" w:lastRow="0" w:firstColumn="0" w:lastColumn="0" w:oddVBand="0" w:evenVBand="0" w:oddHBand="0" w:evenHBand="0" w:firstRowFirstColumn="0" w:firstRowLastColumn="0" w:lastRowFirstColumn="0" w:lastRowLastColumn="0"/>
              <w:rPr>
                <w:rFonts w:cstheme="minorHAnsi"/>
              </w:rPr>
            </w:pPr>
          </w:p>
          <w:p w14:paraId="2469D513" w14:textId="70F2A313" w:rsidR="006E3B91" w:rsidRPr="00BA33CB" w:rsidRDefault="006E3B91" w:rsidP="00B67826">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Nuku’alofa Post will continue to implement these programs of support, and engage on humanitarian policy in Tonga. Ongoing.</w:t>
            </w:r>
          </w:p>
        </w:tc>
      </w:tr>
      <w:tr w:rsidR="006E3B91" w14:paraId="5574CAD1" w14:textId="0B1FF746" w:rsidTr="00BA33CB">
        <w:tc>
          <w:tcPr>
            <w:cnfStyle w:val="001000000000" w:firstRow="0" w:lastRow="0" w:firstColumn="1" w:lastColumn="0" w:oddVBand="0" w:evenVBand="0" w:oddHBand="0" w:evenHBand="0" w:firstRowFirstColumn="0" w:firstRowLastColumn="0" w:lastRowFirstColumn="0" w:lastRowLastColumn="0"/>
            <w:tcW w:w="1334" w:type="pct"/>
          </w:tcPr>
          <w:p w14:paraId="39E7ACA7" w14:textId="50B05DEB" w:rsidR="006E3B91" w:rsidRPr="00BA33CB" w:rsidRDefault="00E16597" w:rsidP="006748F6">
            <w:pPr>
              <w:pStyle w:val="ListParagraph"/>
              <w:numPr>
                <w:ilvl w:val="0"/>
                <w:numId w:val="4"/>
              </w:numPr>
              <w:spacing w:line="240" w:lineRule="auto"/>
              <w:rPr>
                <w:rFonts w:cstheme="minorHAnsi"/>
                <w:b w:val="0"/>
              </w:rPr>
            </w:pPr>
            <w:r>
              <w:rPr>
                <w:rFonts w:cstheme="minorHAnsi"/>
              </w:rPr>
              <w:t>DFAT can s</w:t>
            </w:r>
            <w:r w:rsidR="006E3B91" w:rsidRPr="00BA33CB">
              <w:rPr>
                <w:rFonts w:cstheme="minorHAnsi"/>
              </w:rPr>
              <w:t>trengthen the effectiveness of future responses in the Pacific by developing and sharing a recovery strategy with external stakeholders that articulates the transition from response to recovery and identifies clear recovery objectives.</w:t>
            </w:r>
          </w:p>
          <w:p w14:paraId="00D76E46" w14:textId="6625241F" w:rsidR="006E3B91" w:rsidRPr="00BA33CB" w:rsidRDefault="006E3B91" w:rsidP="006748F6">
            <w:pPr>
              <w:pStyle w:val="ListParagraph"/>
              <w:spacing w:line="240" w:lineRule="auto"/>
              <w:ind w:left="240"/>
              <w:rPr>
                <w:rFonts w:cstheme="minorHAnsi"/>
                <w:b w:val="0"/>
              </w:rPr>
            </w:pPr>
          </w:p>
        </w:tc>
        <w:tc>
          <w:tcPr>
            <w:tcW w:w="187" w:type="pct"/>
          </w:tcPr>
          <w:p w14:paraId="286582FF" w14:textId="4371B477" w:rsidR="006E3B91" w:rsidRPr="00BA33CB"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Agree.</w:t>
            </w:r>
          </w:p>
        </w:tc>
        <w:tc>
          <w:tcPr>
            <w:tcW w:w="2300" w:type="pct"/>
          </w:tcPr>
          <w:p w14:paraId="2123726E" w14:textId="77777777" w:rsidR="002657D0" w:rsidRPr="00BA33CB" w:rsidRDefault="002657D0" w:rsidP="002657D0">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 xml:space="preserve">DFAT begins early recovery planning alongside humanitarian relief, in the response phase. This lays the foundations for longer term recovery, reconstruction and development activities. Recovery programing is subject to consultation with the affected government and will seek to leverage existing Australian aid programming.  </w:t>
            </w:r>
          </w:p>
          <w:p w14:paraId="4EBD82A3" w14:textId="2E8D9AAD" w:rsidR="002657D0" w:rsidRPr="00BA33CB" w:rsidRDefault="002657D0" w:rsidP="002657D0">
            <w:pPr>
              <w:cnfStyle w:val="000000000000" w:firstRow="0" w:lastRow="0" w:firstColumn="0" w:lastColumn="0" w:oddVBand="0" w:evenVBand="0" w:oddHBand="0" w:evenHBand="0" w:firstRowFirstColumn="0" w:firstRowLastColumn="0" w:lastRowFirstColumn="0" w:lastRowLastColumn="0"/>
              <w:rPr>
                <w:rFonts w:cstheme="minorHAnsi"/>
              </w:rPr>
            </w:pPr>
          </w:p>
          <w:p w14:paraId="595F26BC" w14:textId="54E6EB8E" w:rsidR="006E3B91" w:rsidRPr="004348EA" w:rsidRDefault="002657D0"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Where the nature and scale of a response is significant, DFAT documents options to support the plans of the affected government. In relevant Pacific responses, DFAT will publish a summary of Australia’s support for recovery plans within</w:t>
            </w:r>
            <w:r w:rsidR="00E16597">
              <w:rPr>
                <w:rFonts w:cstheme="minorHAnsi"/>
              </w:rPr>
              <w:t xml:space="preserve"> Crisis Hub on DFAT’s website, and will share it with local stakeholders.</w:t>
            </w:r>
          </w:p>
        </w:tc>
        <w:tc>
          <w:tcPr>
            <w:tcW w:w="1179" w:type="pct"/>
          </w:tcPr>
          <w:p w14:paraId="645DE2D6" w14:textId="0FD1F959" w:rsidR="006E3B91" w:rsidRPr="00BA33CB" w:rsidRDefault="002657D0"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297A09">
              <w:rPr>
                <w:rFonts w:cstheme="minorHAnsi"/>
              </w:rPr>
              <w:t>DFAT Humanitarian, NGOs, and Partnerships Division</w:t>
            </w:r>
            <w:r>
              <w:rPr>
                <w:rFonts w:cstheme="minorHAnsi"/>
              </w:rPr>
              <w:t xml:space="preserve"> with relevant Post/Desk </w:t>
            </w:r>
            <w:r w:rsidR="00E16597">
              <w:rPr>
                <w:rFonts w:cstheme="minorHAnsi"/>
              </w:rPr>
              <w:t>will publish plans and share with stakeholders</w:t>
            </w:r>
            <w:r>
              <w:rPr>
                <w:rFonts w:cstheme="minorHAnsi"/>
              </w:rPr>
              <w:t>. 1-3 months following a disaster.</w:t>
            </w:r>
          </w:p>
        </w:tc>
      </w:tr>
      <w:tr w:rsidR="006E3B91" w:rsidRPr="006748F6" w14:paraId="55B9FDFE" w14:textId="00D4249B" w:rsidTr="004348EA">
        <w:trPr>
          <w:trHeight w:val="2996"/>
        </w:trPr>
        <w:tc>
          <w:tcPr>
            <w:cnfStyle w:val="001000000000" w:firstRow="0" w:lastRow="0" w:firstColumn="1" w:lastColumn="0" w:oddVBand="0" w:evenVBand="0" w:oddHBand="0" w:evenHBand="0" w:firstRowFirstColumn="0" w:firstRowLastColumn="0" w:lastRowFirstColumn="0" w:lastRowLastColumn="0"/>
            <w:tcW w:w="1334" w:type="pct"/>
          </w:tcPr>
          <w:p w14:paraId="7C958F43" w14:textId="6CB07B48" w:rsidR="006E3B91" w:rsidRPr="00BA33CB" w:rsidRDefault="00E16597">
            <w:pPr>
              <w:pStyle w:val="ListParagraph"/>
              <w:numPr>
                <w:ilvl w:val="0"/>
                <w:numId w:val="4"/>
              </w:numPr>
              <w:spacing w:line="240" w:lineRule="auto"/>
              <w:rPr>
                <w:rFonts w:cstheme="minorHAnsi"/>
                <w:b w:val="0"/>
              </w:rPr>
            </w:pPr>
            <w:r>
              <w:rPr>
                <w:rFonts w:cstheme="minorHAnsi"/>
              </w:rPr>
              <w:lastRenderedPageBreak/>
              <w:t>DFAT should c</w:t>
            </w:r>
            <w:r w:rsidR="006E3B91" w:rsidRPr="00BA33CB">
              <w:rPr>
                <w:rFonts w:cstheme="minorHAnsi"/>
              </w:rPr>
              <w:t>ontinue to work with partners who have both response and recovery capabilities, and continue to provide mechanisms in partnership agreements for surge funding to respond to disasters.  DFAT should also continue to resource posts to manage response and recovery packages in the Pacific, with dedicated support roles where required.</w:t>
            </w:r>
          </w:p>
        </w:tc>
        <w:tc>
          <w:tcPr>
            <w:tcW w:w="187" w:type="pct"/>
          </w:tcPr>
          <w:p w14:paraId="47A6D5BA" w14:textId="71456E8E" w:rsidR="006E3B91" w:rsidRPr="00BA33CB"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Agree.</w:t>
            </w:r>
          </w:p>
        </w:tc>
        <w:tc>
          <w:tcPr>
            <w:tcW w:w="2300" w:type="pct"/>
          </w:tcPr>
          <w:p w14:paraId="72803008" w14:textId="0E6D22BD" w:rsidR="002B3325" w:rsidRPr="00BA33CB" w:rsidRDefault="002B3325" w:rsidP="002B3325">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 xml:space="preserve">DFAT will </w:t>
            </w:r>
            <w:r w:rsidR="00A17169" w:rsidRPr="00BA33CB">
              <w:rPr>
                <w:rFonts w:cstheme="minorHAnsi"/>
              </w:rPr>
              <w:t xml:space="preserve">use the opportunities of new or extensions to </w:t>
            </w:r>
            <w:r w:rsidRPr="00BA33CB">
              <w:rPr>
                <w:rFonts w:cstheme="minorHAnsi"/>
              </w:rPr>
              <w:t xml:space="preserve">partnerships and contracts </w:t>
            </w:r>
            <w:r w:rsidR="00A17169" w:rsidRPr="00BA33CB">
              <w:rPr>
                <w:rFonts w:cstheme="minorHAnsi"/>
              </w:rPr>
              <w:t>for programs in</w:t>
            </w:r>
            <w:r w:rsidRPr="00BA33CB">
              <w:rPr>
                <w:rFonts w:cstheme="minorHAnsi"/>
              </w:rPr>
              <w:t xml:space="preserve"> Tonga</w:t>
            </w:r>
            <w:r w:rsidR="00A17169" w:rsidRPr="00BA33CB">
              <w:rPr>
                <w:rFonts w:cstheme="minorHAnsi"/>
              </w:rPr>
              <w:t xml:space="preserve"> </w:t>
            </w:r>
            <w:r w:rsidRPr="00BA33CB">
              <w:rPr>
                <w:rFonts w:cstheme="minorHAnsi"/>
              </w:rPr>
              <w:t>to build in flexibility and provisions for humanitarian response. This would build on the work already undertaken by DFAT in Fiji and Vanuatu.</w:t>
            </w:r>
          </w:p>
          <w:p w14:paraId="7D59E836" w14:textId="77777777" w:rsidR="002B3325" w:rsidRPr="0018753A" w:rsidRDefault="002B3325"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66622439" w14:textId="5AEE181C" w:rsidR="006E3B91" w:rsidRPr="00BA33CB" w:rsidRDefault="002657D0" w:rsidP="004348EA">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BA33CB">
              <w:rPr>
                <w:rFonts w:cstheme="minorHAnsi"/>
              </w:rPr>
              <w:t>DFAT will ensure posts have adequate resources and expertise to support effective delivery of response and recovery packages</w:t>
            </w:r>
            <w:r>
              <w:rPr>
                <w:rFonts w:cstheme="minorHAnsi"/>
              </w:rPr>
              <w:t>, including the deployment of surge support where appropriate</w:t>
            </w:r>
            <w:r w:rsidRPr="00BA33CB">
              <w:rPr>
                <w:rFonts w:cstheme="minorHAnsi"/>
              </w:rPr>
              <w:t>.</w:t>
            </w:r>
          </w:p>
        </w:tc>
        <w:tc>
          <w:tcPr>
            <w:tcW w:w="1179" w:type="pct"/>
          </w:tcPr>
          <w:p w14:paraId="21AD14C7" w14:textId="77777777" w:rsidR="006E3B91" w:rsidRPr="00BA33CB" w:rsidRDefault="00A17169" w:rsidP="006E3B91">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Nuku’a</w:t>
            </w:r>
            <w:r w:rsidR="00C56A49" w:rsidRPr="00BA33CB">
              <w:rPr>
                <w:rFonts w:cstheme="minorHAnsi"/>
              </w:rPr>
              <w:t>lofa Post will review contracts as they are negotiated. Ongoing.</w:t>
            </w:r>
          </w:p>
          <w:p w14:paraId="202AD083" w14:textId="77777777" w:rsidR="00C56A49" w:rsidRPr="00BA33CB" w:rsidRDefault="00C56A49" w:rsidP="006E3B91">
            <w:pPr>
              <w:cnfStyle w:val="000000000000" w:firstRow="0" w:lastRow="0" w:firstColumn="0" w:lastColumn="0" w:oddVBand="0" w:evenVBand="0" w:oddHBand="0" w:evenHBand="0" w:firstRowFirstColumn="0" w:firstRowLastColumn="0" w:lastRowFirstColumn="0" w:lastRowLastColumn="0"/>
              <w:rPr>
                <w:rFonts w:cstheme="minorHAnsi"/>
              </w:rPr>
            </w:pPr>
          </w:p>
          <w:p w14:paraId="48269CDA" w14:textId="77777777" w:rsidR="002A2DB0" w:rsidRDefault="002A2DB0" w:rsidP="006E3B91">
            <w:pPr>
              <w:cnfStyle w:val="000000000000" w:firstRow="0" w:lastRow="0" w:firstColumn="0" w:lastColumn="0" w:oddVBand="0" w:evenVBand="0" w:oddHBand="0" w:evenHBand="0" w:firstRowFirstColumn="0" w:firstRowLastColumn="0" w:lastRowFirstColumn="0" w:lastRowLastColumn="0"/>
              <w:rPr>
                <w:rFonts w:cstheme="minorHAnsi"/>
              </w:rPr>
            </w:pPr>
          </w:p>
          <w:p w14:paraId="658D0142" w14:textId="38B663FC" w:rsidR="00C56A49" w:rsidRPr="004348EA" w:rsidRDefault="00C56A49" w:rsidP="006E3B91">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Humanitarian, NGOs, and Partnerships Division will coordinate and deploy surge support as required. Ongoing.</w:t>
            </w:r>
          </w:p>
        </w:tc>
      </w:tr>
      <w:tr w:rsidR="006E3B91" w:rsidRPr="00F32B8A" w14:paraId="6356F9DD" w14:textId="6D762E98" w:rsidTr="00BA33CB">
        <w:tc>
          <w:tcPr>
            <w:cnfStyle w:val="001000000000" w:firstRow="0" w:lastRow="0" w:firstColumn="1" w:lastColumn="0" w:oddVBand="0" w:evenVBand="0" w:oddHBand="0" w:evenHBand="0" w:firstRowFirstColumn="0" w:firstRowLastColumn="0" w:lastRowFirstColumn="0" w:lastRowLastColumn="0"/>
            <w:tcW w:w="1334" w:type="pct"/>
          </w:tcPr>
          <w:p w14:paraId="5B51D236" w14:textId="2420F8D9" w:rsidR="006E3B91" w:rsidRPr="00BA33CB" w:rsidRDefault="00E16597" w:rsidP="00F32B8A">
            <w:pPr>
              <w:pStyle w:val="ListParagraph"/>
              <w:numPr>
                <w:ilvl w:val="0"/>
                <w:numId w:val="4"/>
              </w:numPr>
              <w:spacing w:line="240" w:lineRule="auto"/>
              <w:rPr>
                <w:rFonts w:cstheme="minorHAnsi"/>
                <w:b w:val="0"/>
              </w:rPr>
            </w:pPr>
            <w:r>
              <w:rPr>
                <w:rFonts w:cstheme="minorHAnsi"/>
              </w:rPr>
              <w:t>DFAT should s</w:t>
            </w:r>
            <w:r w:rsidR="006E3B91" w:rsidRPr="00BA33CB">
              <w:rPr>
                <w:rFonts w:cstheme="minorHAnsi"/>
              </w:rPr>
              <w:t>upport partners to design and develop strong accountability mechanisms by resourcing their development and implementation.</w:t>
            </w:r>
          </w:p>
        </w:tc>
        <w:tc>
          <w:tcPr>
            <w:tcW w:w="187" w:type="pct"/>
          </w:tcPr>
          <w:p w14:paraId="5A45C0F4" w14:textId="74680DA7" w:rsidR="006E3B91" w:rsidRPr="00BA33CB"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Agree.</w:t>
            </w:r>
          </w:p>
        </w:tc>
        <w:tc>
          <w:tcPr>
            <w:tcW w:w="2300" w:type="pct"/>
          </w:tcPr>
          <w:p w14:paraId="3F6AF083" w14:textId="0B4D2F6B" w:rsidR="00C56A49" w:rsidRPr="00BA33CB" w:rsidRDefault="00C56A49"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DFAT will continue supporting the Safety and Protection</w:t>
            </w:r>
            <w:r w:rsidR="006E32B1">
              <w:rPr>
                <w:rFonts w:cstheme="minorHAnsi"/>
              </w:rPr>
              <w:t xml:space="preserve"> Cluster Coordinator (</w:t>
            </w:r>
            <w:r w:rsidRPr="00BA33CB">
              <w:rPr>
                <w:rFonts w:cstheme="minorHAnsi"/>
              </w:rPr>
              <w:t>w</w:t>
            </w:r>
            <w:r w:rsidR="006E32B1">
              <w:rPr>
                <w:rFonts w:cstheme="minorHAnsi"/>
              </w:rPr>
              <w:t xml:space="preserve">ithin Ministry of Internal </w:t>
            </w:r>
            <w:r w:rsidRPr="00BA33CB">
              <w:rPr>
                <w:rFonts w:cstheme="minorHAnsi"/>
              </w:rPr>
              <w:t>A</w:t>
            </w:r>
            <w:r w:rsidR="006E32B1">
              <w:rPr>
                <w:rFonts w:cstheme="minorHAnsi"/>
              </w:rPr>
              <w:t>ffairs</w:t>
            </w:r>
            <w:r w:rsidRPr="00BA33CB">
              <w:rPr>
                <w:rFonts w:cstheme="minorHAnsi"/>
              </w:rPr>
              <w:t>)</w:t>
            </w:r>
            <w:r w:rsidR="006E32B1">
              <w:rPr>
                <w:rFonts w:cstheme="minorHAnsi"/>
              </w:rPr>
              <w:t>, with responsibility</w:t>
            </w:r>
            <w:r w:rsidRPr="00BA33CB">
              <w:rPr>
                <w:rFonts w:cstheme="minorHAnsi"/>
              </w:rPr>
              <w:t xml:space="preserve"> for managing the national complaints mechanism.</w:t>
            </w:r>
            <w:r w:rsidR="006E32B1">
              <w:rPr>
                <w:rFonts w:cstheme="minorHAnsi"/>
              </w:rPr>
              <w:t xml:space="preserve"> </w:t>
            </w:r>
            <w:r w:rsidRPr="00BA33CB">
              <w:rPr>
                <w:rFonts w:cstheme="minorHAnsi"/>
              </w:rPr>
              <w:t xml:space="preserve"> </w:t>
            </w:r>
            <w:r w:rsidR="006E32B1">
              <w:rPr>
                <w:rFonts w:cstheme="minorHAnsi"/>
              </w:rPr>
              <w:t>DFAT will also work with partners in future responses to resource development and implementation of suitable feedback mechanisms through agreed response and recovery programs.</w:t>
            </w:r>
          </w:p>
          <w:p w14:paraId="23671522" w14:textId="77777777" w:rsidR="00CD450A" w:rsidRDefault="00CD450A"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410840CF" w14:textId="7B33E9E7" w:rsidR="00CD450A" w:rsidRPr="00BA33CB" w:rsidRDefault="00CD450A"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 xml:space="preserve">DFAT is also </w:t>
            </w:r>
            <w:r w:rsidR="00220F3F" w:rsidRPr="00BA33CB">
              <w:rPr>
                <w:rFonts w:cstheme="minorHAnsi"/>
              </w:rPr>
              <w:t>conducting a pilot activity in Fiji and Vanuatu to s</w:t>
            </w:r>
            <w:r w:rsidRPr="00BA33CB">
              <w:rPr>
                <w:rFonts w:cstheme="minorHAnsi"/>
              </w:rPr>
              <w:t>upport partners to strengthen communications with disaster-affected communities. DFAT will share lessons from this pilot activity across the Pacific region.</w:t>
            </w:r>
          </w:p>
        </w:tc>
        <w:tc>
          <w:tcPr>
            <w:tcW w:w="1179" w:type="pct"/>
          </w:tcPr>
          <w:p w14:paraId="789F44E3" w14:textId="77777777" w:rsidR="006E3B9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Nuku’alofa Post. Ongoing.</w:t>
            </w:r>
          </w:p>
          <w:p w14:paraId="59B4CD30" w14:textId="77777777" w:rsidR="006E32B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71E8F458" w14:textId="77777777" w:rsidR="006E32B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594A87EB" w14:textId="77777777" w:rsidR="006E32B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56215BE6" w14:textId="77777777" w:rsidR="006E32B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51091AE8" w14:textId="77777777" w:rsidR="006E32B1" w:rsidRDefault="006E32B1"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554F4D4C" w14:textId="77777777" w:rsidR="002A2DB0" w:rsidRDefault="002A2DB0"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69E67EEB" w14:textId="5E554E93" w:rsidR="006E32B1" w:rsidRPr="00BA33CB" w:rsidRDefault="006E32B1" w:rsidP="002A2DB0">
            <w:pPr>
              <w:cnfStyle w:val="000000000000" w:firstRow="0" w:lastRow="0" w:firstColumn="0" w:lastColumn="0" w:oddVBand="0" w:evenVBand="0" w:oddHBand="0" w:evenHBand="0" w:firstRowFirstColumn="0" w:firstRowLastColumn="0" w:lastRowFirstColumn="0" w:lastRowLastColumn="0"/>
              <w:rPr>
                <w:rFonts w:cstheme="minorHAnsi"/>
              </w:rPr>
            </w:pPr>
            <w:r w:rsidRPr="00667C13">
              <w:rPr>
                <w:rFonts w:cstheme="minorHAnsi"/>
              </w:rPr>
              <w:t>Humanitarian, NGOs, and Partnerships Division</w:t>
            </w:r>
            <w:r>
              <w:rPr>
                <w:rFonts w:cstheme="minorHAnsi"/>
              </w:rPr>
              <w:t xml:space="preserve">. </w:t>
            </w:r>
          </w:p>
        </w:tc>
      </w:tr>
      <w:tr w:rsidR="006E3B91" w:rsidRPr="00F32B8A" w14:paraId="06520671" w14:textId="4A9FE765" w:rsidTr="002A2DB0">
        <w:trPr>
          <w:trHeight w:val="586"/>
        </w:trPr>
        <w:tc>
          <w:tcPr>
            <w:cnfStyle w:val="001000000000" w:firstRow="0" w:lastRow="0" w:firstColumn="1" w:lastColumn="0" w:oddVBand="0" w:evenVBand="0" w:oddHBand="0" w:evenHBand="0" w:firstRowFirstColumn="0" w:firstRowLastColumn="0" w:lastRowFirstColumn="0" w:lastRowLastColumn="0"/>
            <w:tcW w:w="1334" w:type="pct"/>
          </w:tcPr>
          <w:p w14:paraId="40C9C5E2" w14:textId="3892AD3F" w:rsidR="006E3B91" w:rsidRPr="00BA33CB" w:rsidRDefault="00E16597" w:rsidP="00F32B8A">
            <w:pPr>
              <w:pStyle w:val="ListParagraph"/>
              <w:numPr>
                <w:ilvl w:val="0"/>
                <w:numId w:val="4"/>
              </w:numPr>
              <w:spacing w:line="240" w:lineRule="auto"/>
              <w:rPr>
                <w:rFonts w:cstheme="minorHAnsi"/>
                <w:b w:val="0"/>
              </w:rPr>
            </w:pPr>
            <w:r>
              <w:rPr>
                <w:rFonts w:cstheme="minorHAnsi"/>
              </w:rPr>
              <w:t>DFAT should c</w:t>
            </w:r>
            <w:r w:rsidR="006E3B91" w:rsidRPr="00BA33CB">
              <w:rPr>
                <w:rFonts w:cstheme="minorHAnsi"/>
              </w:rPr>
              <w:t>ontinue to support national leadership and capacity in future responses by :</w:t>
            </w:r>
          </w:p>
          <w:p w14:paraId="1D097D11" w14:textId="75A0A9D3" w:rsidR="006E3B91" w:rsidRPr="00BA33CB" w:rsidRDefault="006E3B91" w:rsidP="00F32B8A">
            <w:pPr>
              <w:pStyle w:val="ListParagraph"/>
              <w:numPr>
                <w:ilvl w:val="1"/>
                <w:numId w:val="4"/>
              </w:numPr>
              <w:spacing w:line="240" w:lineRule="auto"/>
              <w:rPr>
                <w:rFonts w:cstheme="minorHAnsi"/>
                <w:b w:val="0"/>
              </w:rPr>
            </w:pPr>
            <w:r w:rsidRPr="00BA33CB">
              <w:rPr>
                <w:rFonts w:cstheme="minorHAnsi"/>
              </w:rPr>
              <w:t>Strengthening the institutional capacity of national and local partners to receive direct  funding, including conducting due diligence processes as part of preparedness</w:t>
            </w:r>
          </w:p>
          <w:p w14:paraId="688B33B8" w14:textId="77777777" w:rsidR="006E3B91" w:rsidRPr="00BA33CB" w:rsidRDefault="006E3B91" w:rsidP="00F32B8A">
            <w:pPr>
              <w:pStyle w:val="ListParagraph"/>
              <w:numPr>
                <w:ilvl w:val="1"/>
                <w:numId w:val="4"/>
              </w:numPr>
              <w:spacing w:line="240" w:lineRule="auto"/>
              <w:rPr>
                <w:rFonts w:cstheme="minorHAnsi"/>
                <w:b w:val="0"/>
              </w:rPr>
            </w:pPr>
            <w:r w:rsidRPr="00BA33CB">
              <w:rPr>
                <w:rFonts w:cstheme="minorHAnsi"/>
              </w:rPr>
              <w:t>Considering more direct funding, including administrative costs, for national partners</w:t>
            </w:r>
          </w:p>
          <w:p w14:paraId="1ABC8481" w14:textId="44994E03" w:rsidR="006E3B91" w:rsidRPr="00BA33CB" w:rsidRDefault="006E3B91" w:rsidP="00F32B8A">
            <w:pPr>
              <w:pStyle w:val="ListParagraph"/>
              <w:numPr>
                <w:ilvl w:val="1"/>
                <w:numId w:val="4"/>
              </w:numPr>
              <w:spacing w:line="240" w:lineRule="auto"/>
              <w:rPr>
                <w:rFonts w:cstheme="minorHAnsi"/>
                <w:b w:val="0"/>
              </w:rPr>
            </w:pPr>
            <w:r w:rsidRPr="00BA33CB">
              <w:rPr>
                <w:rFonts w:cstheme="minorHAnsi"/>
              </w:rPr>
              <w:lastRenderedPageBreak/>
              <w:t>Using the localisation approaches and tools in the Joint Monitoring and Evaluation frameworks to inform decision-making.</w:t>
            </w:r>
          </w:p>
        </w:tc>
        <w:tc>
          <w:tcPr>
            <w:tcW w:w="187" w:type="pct"/>
          </w:tcPr>
          <w:p w14:paraId="6107E8E2" w14:textId="2278FC20" w:rsidR="006E3B91" w:rsidRPr="00BA33CB"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lastRenderedPageBreak/>
              <w:t>Agree</w:t>
            </w:r>
            <w:r w:rsidR="0018753A">
              <w:rPr>
                <w:rFonts w:cstheme="minorHAnsi"/>
              </w:rPr>
              <w:t>.</w:t>
            </w:r>
            <w:r w:rsidRPr="00BA33CB">
              <w:rPr>
                <w:rFonts w:cstheme="minorHAnsi"/>
              </w:rPr>
              <w:t xml:space="preserve"> </w:t>
            </w:r>
            <w:r w:rsidRPr="0018753A">
              <w:rPr>
                <w:rFonts w:cstheme="minorHAnsi"/>
              </w:rPr>
              <w:br/>
            </w:r>
            <w:r w:rsidRPr="00BA33CB">
              <w:rPr>
                <w:rFonts w:cstheme="minorHAnsi"/>
              </w:rPr>
              <w:t xml:space="preserve"> </w:t>
            </w:r>
          </w:p>
        </w:tc>
        <w:tc>
          <w:tcPr>
            <w:tcW w:w="2300" w:type="pct"/>
          </w:tcPr>
          <w:p w14:paraId="5EAE4E87" w14:textId="0EF60BC7" w:rsidR="00AB1B39" w:rsidRDefault="006E32B1" w:rsidP="006E32B1">
            <w:pPr>
              <w:cnfStyle w:val="000000000000" w:firstRow="0" w:lastRow="0" w:firstColumn="0" w:lastColumn="0" w:oddVBand="0" w:evenVBand="0" w:oddHBand="0" w:evenHBand="0" w:firstRowFirstColumn="0" w:firstRowLastColumn="0" w:lastRowFirstColumn="0" w:lastRowLastColumn="0"/>
              <w:rPr>
                <w:rFonts w:cstheme="minorHAnsi"/>
              </w:rPr>
            </w:pPr>
            <w:r w:rsidRPr="00667C13">
              <w:rPr>
                <w:rFonts w:cstheme="minorHAnsi"/>
              </w:rPr>
              <w:t>DFAT will endeavour to work with more local partners where possible</w:t>
            </w:r>
            <w:r w:rsidR="00AB1B39">
              <w:rPr>
                <w:rFonts w:cstheme="minorHAnsi"/>
              </w:rPr>
              <w:t>.</w:t>
            </w:r>
            <w:r w:rsidR="002657D0">
              <w:rPr>
                <w:rFonts w:cstheme="minorHAnsi"/>
              </w:rPr>
              <w:t xml:space="preserve"> We note there</w:t>
            </w:r>
            <w:r w:rsidR="002657D0">
              <w:t xml:space="preserve"> is a </w:t>
            </w:r>
            <w:r w:rsidR="002657D0" w:rsidRPr="00667C13">
              <w:t>limited number of suitable (non</w:t>
            </w:r>
            <w:r w:rsidR="002657D0">
              <w:t>-</w:t>
            </w:r>
            <w:r w:rsidR="002657D0" w:rsidRPr="00667C13">
              <w:t>government) local partners</w:t>
            </w:r>
            <w:r w:rsidR="002657D0">
              <w:t xml:space="preserve"> in Tonga with which DFAT does not have an existing arrangement</w:t>
            </w:r>
            <w:r w:rsidR="002657D0" w:rsidRPr="00667C13">
              <w:t>.</w:t>
            </w:r>
            <w:r w:rsidR="002657D0">
              <w:t xml:space="preserve"> </w:t>
            </w:r>
            <w:r w:rsidR="00AB1B39">
              <w:rPr>
                <w:rFonts w:cstheme="minorHAnsi"/>
              </w:rPr>
              <w:t>DFAT will assess the market for additional suitable partner</w:t>
            </w:r>
            <w:r w:rsidR="0078241A">
              <w:rPr>
                <w:rFonts w:cstheme="minorHAnsi"/>
              </w:rPr>
              <w:t xml:space="preserve"> organisations</w:t>
            </w:r>
            <w:r w:rsidR="00AB1B39">
              <w:rPr>
                <w:rFonts w:cstheme="minorHAnsi"/>
              </w:rPr>
              <w:t xml:space="preserve">, and consider </w:t>
            </w:r>
            <w:r w:rsidR="0078241A">
              <w:rPr>
                <w:rFonts w:cstheme="minorHAnsi"/>
              </w:rPr>
              <w:t xml:space="preserve">if and </w:t>
            </w:r>
            <w:r w:rsidR="00AB1B39">
              <w:rPr>
                <w:rFonts w:cstheme="minorHAnsi"/>
              </w:rPr>
              <w:t xml:space="preserve">how they might be strengthened. </w:t>
            </w:r>
          </w:p>
          <w:p w14:paraId="7A590EF1" w14:textId="77777777" w:rsidR="00AB1B39" w:rsidRDefault="00AB1B39" w:rsidP="006E32B1">
            <w:pPr>
              <w:cnfStyle w:val="000000000000" w:firstRow="0" w:lastRow="0" w:firstColumn="0" w:lastColumn="0" w:oddVBand="0" w:evenVBand="0" w:oddHBand="0" w:evenHBand="0" w:firstRowFirstColumn="0" w:firstRowLastColumn="0" w:lastRowFirstColumn="0" w:lastRowLastColumn="0"/>
              <w:rPr>
                <w:rFonts w:cstheme="minorHAnsi"/>
              </w:rPr>
            </w:pPr>
          </w:p>
          <w:p w14:paraId="077E1C7E" w14:textId="4282F2B8" w:rsidR="006E3B91" w:rsidRPr="00BA33CB" w:rsidRDefault="00AB1B39"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The Joint DFAT-MFAT Humanitarian Monitoring and Evaluation Framework (MEF) has been designed with flexibility to adapt to the needs of local contexts. When the MEF is utilised in a response, DFAT agrees to ensure that it is operationalised in a way which supports the leadership and decision-making of national actors</w:t>
            </w:r>
            <w:r w:rsidR="00301C93">
              <w:rPr>
                <w:rFonts w:cstheme="minorHAnsi"/>
              </w:rPr>
              <w:t xml:space="preserve">, </w:t>
            </w:r>
            <w:r w:rsidR="00301C93" w:rsidRPr="002657D0">
              <w:rPr>
                <w:rFonts w:cstheme="minorHAnsi"/>
              </w:rPr>
              <w:t xml:space="preserve">including increasing localisation </w:t>
            </w:r>
            <w:r w:rsidR="00301C93" w:rsidRPr="00BA33CB">
              <w:rPr>
                <w:rFonts w:cstheme="minorHAnsi"/>
              </w:rPr>
              <w:t xml:space="preserve">of response and recovery funding </w:t>
            </w:r>
            <w:r w:rsidR="00301C93" w:rsidRPr="002657D0">
              <w:rPr>
                <w:rFonts w:cstheme="minorHAnsi"/>
              </w:rPr>
              <w:t>where possible.</w:t>
            </w:r>
          </w:p>
        </w:tc>
        <w:tc>
          <w:tcPr>
            <w:tcW w:w="1179" w:type="pct"/>
          </w:tcPr>
          <w:p w14:paraId="31E3F0E3" w14:textId="7A1B4638" w:rsidR="00301C93" w:rsidRDefault="00AB1B39" w:rsidP="00BA33C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Nuku</w:t>
            </w:r>
            <w:r w:rsidR="002C7747">
              <w:rPr>
                <w:rFonts w:cstheme="minorHAnsi"/>
              </w:rPr>
              <w:t>’alofa Post will</w:t>
            </w:r>
            <w:r w:rsidR="0078241A">
              <w:rPr>
                <w:rFonts w:cstheme="minorHAnsi"/>
              </w:rPr>
              <w:t xml:space="preserve"> identify </w:t>
            </w:r>
            <w:r w:rsidR="002C7747">
              <w:rPr>
                <w:rFonts w:cstheme="minorHAnsi"/>
              </w:rPr>
              <w:t xml:space="preserve">and review </w:t>
            </w:r>
            <w:r w:rsidR="0078241A">
              <w:rPr>
                <w:rFonts w:cstheme="minorHAnsi"/>
              </w:rPr>
              <w:t xml:space="preserve">additional suitable organisations </w:t>
            </w:r>
            <w:r>
              <w:rPr>
                <w:rFonts w:cstheme="minorHAnsi"/>
              </w:rPr>
              <w:t>by 30 June 2020.</w:t>
            </w:r>
            <w:r w:rsidR="00301C93">
              <w:rPr>
                <w:rFonts w:cstheme="minorHAnsi"/>
              </w:rPr>
              <w:t xml:space="preserve"> </w:t>
            </w:r>
          </w:p>
          <w:p w14:paraId="066016BF" w14:textId="06A4B7EA" w:rsidR="00301C93" w:rsidRDefault="00301C93"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78303BA9" w14:textId="77777777" w:rsidR="002C7747" w:rsidRDefault="002C7747"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74BFBB79" w14:textId="429048C7" w:rsidR="00301C93" w:rsidRDefault="00301C93"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6B22BDFD" w14:textId="296182B1" w:rsidR="006E3B91" w:rsidRDefault="00301C93"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667C13">
              <w:rPr>
                <w:rFonts w:cstheme="minorHAnsi"/>
              </w:rPr>
              <w:t>Humanitarian, NGOs, and Partnerships Division</w:t>
            </w:r>
            <w:r>
              <w:rPr>
                <w:rFonts w:cstheme="minorHAnsi"/>
              </w:rPr>
              <w:t xml:space="preserve"> will coordinate and encourage increased localised, direct funding will be considered in future responses.</w:t>
            </w:r>
          </w:p>
          <w:p w14:paraId="1753C3C3" w14:textId="77777777" w:rsidR="00AB1B39" w:rsidRDefault="00AB1B39" w:rsidP="00BA33CB">
            <w:pPr>
              <w:cnfStyle w:val="000000000000" w:firstRow="0" w:lastRow="0" w:firstColumn="0" w:lastColumn="0" w:oddVBand="0" w:evenVBand="0" w:oddHBand="0" w:evenHBand="0" w:firstRowFirstColumn="0" w:firstRowLastColumn="0" w:lastRowFirstColumn="0" w:lastRowLastColumn="0"/>
              <w:rPr>
                <w:rFonts w:cstheme="minorHAnsi"/>
              </w:rPr>
            </w:pPr>
          </w:p>
          <w:p w14:paraId="737CE85A" w14:textId="0B75479F" w:rsidR="00AB1B39" w:rsidRPr="00BA33CB" w:rsidRDefault="00AB1B39" w:rsidP="00BA33CB">
            <w:pPr>
              <w:cnfStyle w:val="000000000000" w:firstRow="0" w:lastRow="0" w:firstColumn="0" w:lastColumn="0" w:oddVBand="0" w:evenVBand="0" w:oddHBand="0" w:evenHBand="0" w:firstRowFirstColumn="0" w:firstRowLastColumn="0" w:lastRowFirstColumn="0" w:lastRowLastColumn="0"/>
              <w:rPr>
                <w:rFonts w:cstheme="minorHAnsi"/>
              </w:rPr>
            </w:pPr>
          </w:p>
        </w:tc>
      </w:tr>
      <w:tr w:rsidR="006E3B91" w:rsidRPr="00F32B8A" w14:paraId="60471409" w14:textId="19EABCA8" w:rsidTr="00BA33CB">
        <w:tc>
          <w:tcPr>
            <w:cnfStyle w:val="001000000000" w:firstRow="0" w:lastRow="0" w:firstColumn="1" w:lastColumn="0" w:oddVBand="0" w:evenVBand="0" w:oddHBand="0" w:evenHBand="0" w:firstRowFirstColumn="0" w:firstRowLastColumn="0" w:lastRowFirstColumn="0" w:lastRowLastColumn="0"/>
            <w:tcW w:w="1334" w:type="pct"/>
          </w:tcPr>
          <w:p w14:paraId="13CDE090" w14:textId="34A659FB" w:rsidR="006E3B91" w:rsidRPr="00BA33CB" w:rsidRDefault="00E16597" w:rsidP="00F32B8A">
            <w:pPr>
              <w:pStyle w:val="ListParagraph"/>
              <w:numPr>
                <w:ilvl w:val="0"/>
                <w:numId w:val="4"/>
              </w:numPr>
              <w:spacing w:line="240" w:lineRule="auto"/>
              <w:rPr>
                <w:rFonts w:cstheme="minorHAnsi"/>
                <w:b w:val="0"/>
              </w:rPr>
            </w:pPr>
            <w:r>
              <w:rPr>
                <w:rFonts w:cstheme="minorHAnsi"/>
              </w:rPr>
              <w:lastRenderedPageBreak/>
              <w:t>DFAT should b</w:t>
            </w:r>
            <w:r w:rsidR="006E3B91" w:rsidRPr="00BA33CB">
              <w:rPr>
                <w:rFonts w:cstheme="minorHAnsi"/>
              </w:rPr>
              <w:t>uild on positive coordination with the government and other actors in Tonga.  To prepare for future responses, Australia should continue to strengthen communication with key partners about approaches, capabilities, resources and assets that could be activated or deployed in a response.</w:t>
            </w:r>
          </w:p>
        </w:tc>
        <w:tc>
          <w:tcPr>
            <w:tcW w:w="187" w:type="pct"/>
          </w:tcPr>
          <w:p w14:paraId="4073F1AF" w14:textId="17769149" w:rsidR="006E3B91" w:rsidRPr="0018753A" w:rsidRDefault="006E3B91"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BA33CB">
              <w:rPr>
                <w:rFonts w:cstheme="minorHAnsi"/>
              </w:rPr>
              <w:t>Agree.</w:t>
            </w:r>
          </w:p>
          <w:p w14:paraId="3BF67679" w14:textId="08806E05" w:rsidR="006E3B91" w:rsidRPr="00BA33CB" w:rsidRDefault="006E3B91" w:rsidP="00BA33CB">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300" w:type="pct"/>
          </w:tcPr>
          <w:p w14:paraId="792BD1A0" w14:textId="24F18539" w:rsidR="006E3B91" w:rsidRPr="00BA33CB" w:rsidRDefault="00301C93" w:rsidP="00BA33CB">
            <w:pPr>
              <w:cnfStyle w:val="000000000000" w:firstRow="0" w:lastRow="0" w:firstColumn="0" w:lastColumn="0" w:oddVBand="0" w:evenVBand="0" w:oddHBand="0" w:evenHBand="0" w:firstRowFirstColumn="0" w:firstRowLastColumn="0" w:lastRowFirstColumn="0" w:lastRowLastColumn="0"/>
              <w:rPr>
                <w:rFonts w:cstheme="minorHAnsi"/>
              </w:rPr>
            </w:pPr>
            <w:r w:rsidRPr="0018753A">
              <w:rPr>
                <w:rFonts w:cstheme="minorHAnsi"/>
              </w:rPr>
              <w:t xml:space="preserve">DFAT </w:t>
            </w:r>
            <w:r>
              <w:rPr>
                <w:rFonts w:cstheme="minorHAnsi"/>
              </w:rPr>
              <w:t>has</w:t>
            </w:r>
            <w:r w:rsidRPr="0018753A">
              <w:rPr>
                <w:rFonts w:cstheme="minorHAnsi"/>
              </w:rPr>
              <w:t xml:space="preserve"> </w:t>
            </w:r>
            <w:r>
              <w:rPr>
                <w:rFonts w:cstheme="minorHAnsi"/>
              </w:rPr>
              <w:t>briefed</w:t>
            </w:r>
            <w:r w:rsidRPr="00A76EA5">
              <w:rPr>
                <w:rFonts w:cstheme="minorHAnsi"/>
              </w:rPr>
              <w:t xml:space="preserve"> the Government of Tonga</w:t>
            </w:r>
            <w:r>
              <w:rPr>
                <w:rFonts w:cstheme="minorHAnsi"/>
              </w:rPr>
              <w:t>, donor partners, and key national response partners in the</w:t>
            </w:r>
            <w:r w:rsidRPr="00A76EA5">
              <w:rPr>
                <w:rFonts w:cstheme="minorHAnsi"/>
              </w:rPr>
              <w:t xml:space="preserve"> lead</w:t>
            </w:r>
            <w:r>
              <w:rPr>
                <w:rFonts w:cstheme="minorHAnsi"/>
              </w:rPr>
              <w:t>-</w:t>
            </w:r>
            <w:r w:rsidRPr="00A76EA5">
              <w:rPr>
                <w:rFonts w:cstheme="minorHAnsi"/>
              </w:rPr>
              <w:t>up to the</w:t>
            </w:r>
            <w:r>
              <w:rPr>
                <w:rFonts w:cstheme="minorHAnsi"/>
              </w:rPr>
              <w:t xml:space="preserve"> 2019-20</w:t>
            </w:r>
            <w:r w:rsidRPr="00A76EA5">
              <w:rPr>
                <w:rFonts w:cstheme="minorHAnsi"/>
              </w:rPr>
              <w:t xml:space="preserve"> </w:t>
            </w:r>
            <w:r>
              <w:rPr>
                <w:rFonts w:cstheme="minorHAnsi"/>
              </w:rPr>
              <w:t>c</w:t>
            </w:r>
            <w:r w:rsidRPr="00A76EA5">
              <w:rPr>
                <w:rFonts w:cstheme="minorHAnsi"/>
              </w:rPr>
              <w:t>yclone season to strengthen communication and preparedness.</w:t>
            </w:r>
            <w:r>
              <w:rPr>
                <w:rFonts w:cstheme="minorHAnsi"/>
              </w:rPr>
              <w:t xml:space="preserve"> We will continue to seek opportunities to increase partner understanding of Australian capabilities.</w:t>
            </w:r>
          </w:p>
        </w:tc>
        <w:tc>
          <w:tcPr>
            <w:tcW w:w="1179" w:type="pct"/>
          </w:tcPr>
          <w:p w14:paraId="5D544B87" w14:textId="2E76081D" w:rsidR="006E3B91" w:rsidRPr="00BA33CB" w:rsidRDefault="00E16597" w:rsidP="00BA33C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Nuku’alofa Post. Ongoing.</w:t>
            </w:r>
          </w:p>
        </w:tc>
      </w:tr>
    </w:tbl>
    <w:p w14:paraId="530E708B" w14:textId="359CCD7F" w:rsidR="004C35F0" w:rsidRDefault="004C35F0" w:rsidP="00FA4D99">
      <w:pPr>
        <w:jc w:val="center"/>
        <w:rPr>
          <w:rFonts w:cstheme="minorHAnsi"/>
          <w:b/>
          <w:sz w:val="24"/>
          <w:szCs w:val="24"/>
          <w:u w:val="single"/>
        </w:rPr>
      </w:pPr>
    </w:p>
    <w:p w14:paraId="5B844279" w14:textId="3803606C" w:rsidR="00486F2C" w:rsidRDefault="00486F2C" w:rsidP="00BA33CB">
      <w:pPr>
        <w:rPr>
          <w:rFonts w:cstheme="minorHAnsi"/>
          <w:b/>
          <w:sz w:val="24"/>
          <w:szCs w:val="24"/>
          <w:u w:val="single"/>
        </w:rPr>
      </w:pPr>
    </w:p>
    <w:p w14:paraId="1C4D7D66" w14:textId="53ED6EF5" w:rsidR="00486F2C" w:rsidRPr="00964548" w:rsidRDefault="00486F2C">
      <w:pPr>
        <w:rPr>
          <w:rFonts w:cstheme="minorHAnsi"/>
          <w:b/>
          <w:sz w:val="24"/>
          <w:szCs w:val="24"/>
          <w:u w:val="single"/>
        </w:rPr>
      </w:pPr>
    </w:p>
    <w:sectPr w:rsidR="00486F2C" w:rsidRPr="00964548" w:rsidSect="003352E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B0333" w14:textId="77777777" w:rsidR="00A26E94" w:rsidRDefault="00A26E94" w:rsidP="00FA4D99">
      <w:pPr>
        <w:spacing w:after="0" w:line="240" w:lineRule="auto"/>
      </w:pPr>
      <w:r>
        <w:separator/>
      </w:r>
    </w:p>
  </w:endnote>
  <w:endnote w:type="continuationSeparator" w:id="0">
    <w:p w14:paraId="183FFD80" w14:textId="77777777" w:rsidR="00A26E94" w:rsidRDefault="00A26E94" w:rsidP="00FA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E2B9" w14:textId="77777777" w:rsidR="00B569A3" w:rsidRDefault="00B5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4102" w14:textId="77777777" w:rsidR="00B569A3" w:rsidRDefault="00B56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A8E2" w14:textId="77777777" w:rsidR="00B569A3" w:rsidRDefault="00B5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3841" w14:textId="77777777" w:rsidR="00A26E94" w:rsidRDefault="00A26E94" w:rsidP="00FA4D99">
      <w:pPr>
        <w:spacing w:after="0" w:line="240" w:lineRule="auto"/>
      </w:pPr>
      <w:r>
        <w:separator/>
      </w:r>
    </w:p>
  </w:footnote>
  <w:footnote w:type="continuationSeparator" w:id="0">
    <w:p w14:paraId="6DD953AC" w14:textId="77777777" w:rsidR="00A26E94" w:rsidRDefault="00A26E94" w:rsidP="00FA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B392" w14:textId="77777777" w:rsidR="00B569A3" w:rsidRDefault="00B5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F109" w14:textId="21887DA3" w:rsidR="006949C0" w:rsidRDefault="006949C0" w:rsidP="006949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4127" w14:textId="77777777" w:rsidR="00B569A3" w:rsidRDefault="00B5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AC8"/>
    <w:multiLevelType w:val="hybridMultilevel"/>
    <w:tmpl w:val="4F12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A50EF"/>
    <w:multiLevelType w:val="hybridMultilevel"/>
    <w:tmpl w:val="35CA0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C7C6C"/>
    <w:multiLevelType w:val="hybridMultilevel"/>
    <w:tmpl w:val="F8684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91EA4"/>
    <w:multiLevelType w:val="hybridMultilevel"/>
    <w:tmpl w:val="094ACA26"/>
    <w:lvl w:ilvl="0" w:tplc="860C1C24">
      <w:start w:val="7"/>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87B10"/>
    <w:multiLevelType w:val="hybridMultilevel"/>
    <w:tmpl w:val="EE86536C"/>
    <w:lvl w:ilvl="0" w:tplc="39FE300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44EC9"/>
    <w:multiLevelType w:val="multilevel"/>
    <w:tmpl w:val="5F3E4E16"/>
    <w:lvl w:ilvl="0">
      <w:start w:val="1"/>
      <w:numFmt w:val="decimal"/>
      <w:lvlText w:val="%1."/>
      <w:lvlJc w:val="left"/>
      <w:pPr>
        <w:ind w:left="240" w:hanging="360"/>
      </w:pPr>
      <w:rPr>
        <w:rFonts w:hint="default"/>
      </w:rPr>
    </w:lvl>
    <w:lvl w:ilvl="1">
      <w:start w:val="1"/>
      <w:numFmt w:val="decimal"/>
      <w:isLgl/>
      <w:lvlText w:val="%1.%2"/>
      <w:lvlJc w:val="left"/>
      <w:pPr>
        <w:ind w:left="60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60" w:hanging="1800"/>
      </w:pPr>
      <w:rPr>
        <w:rFonts w:hint="default"/>
      </w:rPr>
    </w:lvl>
  </w:abstractNum>
  <w:abstractNum w:abstractNumId="6" w15:restartNumberingAfterBreak="0">
    <w:nsid w:val="23D84813"/>
    <w:multiLevelType w:val="hybridMultilevel"/>
    <w:tmpl w:val="6AFA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E08EE"/>
    <w:multiLevelType w:val="hybridMultilevel"/>
    <w:tmpl w:val="797C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559C9"/>
    <w:multiLevelType w:val="hybridMultilevel"/>
    <w:tmpl w:val="7862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A1F35"/>
    <w:multiLevelType w:val="hybridMultilevel"/>
    <w:tmpl w:val="C5CE04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CE76A3"/>
    <w:multiLevelType w:val="hybridMultilevel"/>
    <w:tmpl w:val="B0C64BF6"/>
    <w:lvl w:ilvl="0" w:tplc="A57AB5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3761EE1"/>
    <w:multiLevelType w:val="hybridMultilevel"/>
    <w:tmpl w:val="CAF014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6DD2A16"/>
    <w:multiLevelType w:val="hybridMultilevel"/>
    <w:tmpl w:val="D30E5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BF6A2C"/>
    <w:multiLevelType w:val="hybridMultilevel"/>
    <w:tmpl w:val="D436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8529AF"/>
    <w:multiLevelType w:val="hybridMultilevel"/>
    <w:tmpl w:val="49689FE2"/>
    <w:lvl w:ilvl="0" w:tplc="ECF87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546658"/>
    <w:multiLevelType w:val="hybridMultilevel"/>
    <w:tmpl w:val="1FB8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32A19"/>
    <w:multiLevelType w:val="hybridMultilevel"/>
    <w:tmpl w:val="7BC6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136297"/>
    <w:multiLevelType w:val="hybridMultilevel"/>
    <w:tmpl w:val="11DC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4"/>
  </w:num>
  <w:num w:numId="6">
    <w:abstractNumId w:val="16"/>
  </w:num>
  <w:num w:numId="7">
    <w:abstractNumId w:val="9"/>
  </w:num>
  <w:num w:numId="8">
    <w:abstractNumId w:val="3"/>
  </w:num>
  <w:num w:numId="9">
    <w:abstractNumId w:val="6"/>
  </w:num>
  <w:num w:numId="10">
    <w:abstractNumId w:val="14"/>
  </w:num>
  <w:num w:numId="11">
    <w:abstractNumId w:val="7"/>
  </w:num>
  <w:num w:numId="12">
    <w:abstractNumId w:val="13"/>
  </w:num>
  <w:num w:numId="13">
    <w:abstractNumId w:val="17"/>
  </w:num>
  <w:num w:numId="14">
    <w:abstractNumId w:val="1"/>
  </w:num>
  <w:num w:numId="15">
    <w:abstractNumId w:val="2"/>
  </w:num>
  <w:num w:numId="16">
    <w:abstractNumId w:val="8"/>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E5"/>
    <w:rsid w:val="00002D6F"/>
    <w:rsid w:val="00054D13"/>
    <w:rsid w:val="0006127C"/>
    <w:rsid w:val="00070D96"/>
    <w:rsid w:val="000B4D71"/>
    <w:rsid w:val="000C7D5D"/>
    <w:rsid w:val="000D28F4"/>
    <w:rsid w:val="000D7C1B"/>
    <w:rsid w:val="000E54BD"/>
    <w:rsid w:val="000E6CA7"/>
    <w:rsid w:val="00105F12"/>
    <w:rsid w:val="001076F6"/>
    <w:rsid w:val="00116A7F"/>
    <w:rsid w:val="00131F80"/>
    <w:rsid w:val="00153ECE"/>
    <w:rsid w:val="00176C8A"/>
    <w:rsid w:val="0018753A"/>
    <w:rsid w:val="001B3057"/>
    <w:rsid w:val="001B3285"/>
    <w:rsid w:val="001B6474"/>
    <w:rsid w:val="001C74BA"/>
    <w:rsid w:val="001C7A33"/>
    <w:rsid w:val="001D36AD"/>
    <w:rsid w:val="001F72F6"/>
    <w:rsid w:val="00220F3F"/>
    <w:rsid w:val="00233ED5"/>
    <w:rsid w:val="002379A0"/>
    <w:rsid w:val="002609F9"/>
    <w:rsid w:val="002657D0"/>
    <w:rsid w:val="00267410"/>
    <w:rsid w:val="00292F36"/>
    <w:rsid w:val="00292F76"/>
    <w:rsid w:val="002A2DB0"/>
    <w:rsid w:val="002B3325"/>
    <w:rsid w:val="002B4BA4"/>
    <w:rsid w:val="002C3EB3"/>
    <w:rsid w:val="002C7747"/>
    <w:rsid w:val="002D15BD"/>
    <w:rsid w:val="002E2D18"/>
    <w:rsid w:val="002E48C2"/>
    <w:rsid w:val="002E79D7"/>
    <w:rsid w:val="002F3842"/>
    <w:rsid w:val="002F408D"/>
    <w:rsid w:val="00301C93"/>
    <w:rsid w:val="003033DC"/>
    <w:rsid w:val="00310F08"/>
    <w:rsid w:val="00325D59"/>
    <w:rsid w:val="003352E4"/>
    <w:rsid w:val="00335918"/>
    <w:rsid w:val="00340927"/>
    <w:rsid w:val="00390BBB"/>
    <w:rsid w:val="003A1D10"/>
    <w:rsid w:val="003C09F6"/>
    <w:rsid w:val="003E09A8"/>
    <w:rsid w:val="003E2EA2"/>
    <w:rsid w:val="00403EE4"/>
    <w:rsid w:val="00413F77"/>
    <w:rsid w:val="00415E3B"/>
    <w:rsid w:val="00416881"/>
    <w:rsid w:val="004348EA"/>
    <w:rsid w:val="00451D9A"/>
    <w:rsid w:val="004712DF"/>
    <w:rsid w:val="00486F2C"/>
    <w:rsid w:val="00497999"/>
    <w:rsid w:val="004A1377"/>
    <w:rsid w:val="004B1DFB"/>
    <w:rsid w:val="004C35F0"/>
    <w:rsid w:val="004C41ED"/>
    <w:rsid w:val="004C57A9"/>
    <w:rsid w:val="004E5E0F"/>
    <w:rsid w:val="004F652A"/>
    <w:rsid w:val="00527482"/>
    <w:rsid w:val="00531D66"/>
    <w:rsid w:val="00541E8A"/>
    <w:rsid w:val="00545171"/>
    <w:rsid w:val="00551422"/>
    <w:rsid w:val="00563D5D"/>
    <w:rsid w:val="00574A0F"/>
    <w:rsid w:val="00577098"/>
    <w:rsid w:val="00584F7B"/>
    <w:rsid w:val="005D1317"/>
    <w:rsid w:val="005E38CC"/>
    <w:rsid w:val="005E7682"/>
    <w:rsid w:val="00615596"/>
    <w:rsid w:val="0062747F"/>
    <w:rsid w:val="006306F3"/>
    <w:rsid w:val="006624ED"/>
    <w:rsid w:val="006748F6"/>
    <w:rsid w:val="0068281C"/>
    <w:rsid w:val="00687811"/>
    <w:rsid w:val="006949C0"/>
    <w:rsid w:val="006A2DE2"/>
    <w:rsid w:val="006B0564"/>
    <w:rsid w:val="006B1DF3"/>
    <w:rsid w:val="006B4F6E"/>
    <w:rsid w:val="006E32B1"/>
    <w:rsid w:val="006E3B91"/>
    <w:rsid w:val="00702B95"/>
    <w:rsid w:val="00725D39"/>
    <w:rsid w:val="0073147A"/>
    <w:rsid w:val="0074754C"/>
    <w:rsid w:val="007645E1"/>
    <w:rsid w:val="0078241A"/>
    <w:rsid w:val="007A2417"/>
    <w:rsid w:val="007B4CEE"/>
    <w:rsid w:val="007B5819"/>
    <w:rsid w:val="007B6AC2"/>
    <w:rsid w:val="007D4A6F"/>
    <w:rsid w:val="007E03BC"/>
    <w:rsid w:val="007E4279"/>
    <w:rsid w:val="007E5A0C"/>
    <w:rsid w:val="00813E5A"/>
    <w:rsid w:val="008202F2"/>
    <w:rsid w:val="008241D4"/>
    <w:rsid w:val="00857BB2"/>
    <w:rsid w:val="00874541"/>
    <w:rsid w:val="00881282"/>
    <w:rsid w:val="0088305F"/>
    <w:rsid w:val="008849C5"/>
    <w:rsid w:val="008B7AA8"/>
    <w:rsid w:val="008F201D"/>
    <w:rsid w:val="00921CE9"/>
    <w:rsid w:val="00921F16"/>
    <w:rsid w:val="00934974"/>
    <w:rsid w:val="00960D3C"/>
    <w:rsid w:val="00964548"/>
    <w:rsid w:val="009667CA"/>
    <w:rsid w:val="009A5242"/>
    <w:rsid w:val="009B0977"/>
    <w:rsid w:val="009C1BDC"/>
    <w:rsid w:val="009E2F7C"/>
    <w:rsid w:val="00A015D3"/>
    <w:rsid w:val="00A15A6C"/>
    <w:rsid w:val="00A17169"/>
    <w:rsid w:val="00A26E94"/>
    <w:rsid w:val="00A378E5"/>
    <w:rsid w:val="00A7036D"/>
    <w:rsid w:val="00A81025"/>
    <w:rsid w:val="00A9605A"/>
    <w:rsid w:val="00AA49BE"/>
    <w:rsid w:val="00AB1B39"/>
    <w:rsid w:val="00AF5686"/>
    <w:rsid w:val="00AF59E7"/>
    <w:rsid w:val="00B06246"/>
    <w:rsid w:val="00B06F40"/>
    <w:rsid w:val="00B26765"/>
    <w:rsid w:val="00B3020B"/>
    <w:rsid w:val="00B36296"/>
    <w:rsid w:val="00B41664"/>
    <w:rsid w:val="00B569A3"/>
    <w:rsid w:val="00B65C9B"/>
    <w:rsid w:val="00B67826"/>
    <w:rsid w:val="00B72B53"/>
    <w:rsid w:val="00B8248E"/>
    <w:rsid w:val="00B94DA1"/>
    <w:rsid w:val="00BA33CB"/>
    <w:rsid w:val="00BC17A7"/>
    <w:rsid w:val="00BC1E06"/>
    <w:rsid w:val="00BC7D8B"/>
    <w:rsid w:val="00C045DE"/>
    <w:rsid w:val="00C419F9"/>
    <w:rsid w:val="00C56A49"/>
    <w:rsid w:val="00C575FF"/>
    <w:rsid w:val="00C579A1"/>
    <w:rsid w:val="00C9747C"/>
    <w:rsid w:val="00CA3B0D"/>
    <w:rsid w:val="00CB7EA1"/>
    <w:rsid w:val="00CC7D33"/>
    <w:rsid w:val="00CD450A"/>
    <w:rsid w:val="00CD59F0"/>
    <w:rsid w:val="00CE166F"/>
    <w:rsid w:val="00CE710E"/>
    <w:rsid w:val="00CE7EEB"/>
    <w:rsid w:val="00CF128A"/>
    <w:rsid w:val="00D134F6"/>
    <w:rsid w:val="00D73C56"/>
    <w:rsid w:val="00D73DA5"/>
    <w:rsid w:val="00D91206"/>
    <w:rsid w:val="00D95F6F"/>
    <w:rsid w:val="00DB2ED6"/>
    <w:rsid w:val="00DC6B0E"/>
    <w:rsid w:val="00DF0B01"/>
    <w:rsid w:val="00DF5D31"/>
    <w:rsid w:val="00E16597"/>
    <w:rsid w:val="00E37245"/>
    <w:rsid w:val="00E72070"/>
    <w:rsid w:val="00E744EA"/>
    <w:rsid w:val="00E86EA4"/>
    <w:rsid w:val="00E90F43"/>
    <w:rsid w:val="00E921C8"/>
    <w:rsid w:val="00E95EEA"/>
    <w:rsid w:val="00ED7DFD"/>
    <w:rsid w:val="00EE0096"/>
    <w:rsid w:val="00EE6ED1"/>
    <w:rsid w:val="00F32B8A"/>
    <w:rsid w:val="00F37500"/>
    <w:rsid w:val="00F456BA"/>
    <w:rsid w:val="00F524EB"/>
    <w:rsid w:val="00F638D9"/>
    <w:rsid w:val="00FA4D99"/>
    <w:rsid w:val="00FB1108"/>
    <w:rsid w:val="00FC06F7"/>
    <w:rsid w:val="00FF2274"/>
    <w:rsid w:val="00FF4D43"/>
    <w:rsid w:val="00FF7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863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F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86F2C"/>
    <w:pPr>
      <w:keepLines w:val="0"/>
      <w:spacing w:after="60" w:line="240" w:lineRule="auto"/>
      <w:outlineLvl w:val="1"/>
    </w:pPr>
    <w:rPr>
      <w:rFonts w:ascii="Arial" w:eastAsia="Times New Roman" w:hAnsi="Arial" w:cs="Arial"/>
      <w:b/>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A4D99"/>
    <w:pPr>
      <w:spacing w:line="240" w:lineRule="auto"/>
    </w:pPr>
    <w:rPr>
      <w:sz w:val="20"/>
      <w:szCs w:val="20"/>
    </w:rPr>
  </w:style>
  <w:style w:type="character" w:customStyle="1" w:styleId="CommentTextChar">
    <w:name w:val="Comment Text Char"/>
    <w:basedOn w:val="DefaultParagraphFont"/>
    <w:link w:val="CommentText"/>
    <w:uiPriority w:val="99"/>
    <w:semiHidden/>
    <w:rsid w:val="00FA4D99"/>
    <w:rPr>
      <w:sz w:val="20"/>
      <w:szCs w:val="20"/>
    </w:rPr>
  </w:style>
  <w:style w:type="character" w:styleId="CommentReference">
    <w:name w:val="annotation reference"/>
    <w:basedOn w:val="DefaultParagraphFont"/>
    <w:uiPriority w:val="99"/>
    <w:semiHidden/>
    <w:unhideWhenUsed/>
    <w:rsid w:val="00FA4D99"/>
    <w:rPr>
      <w:sz w:val="16"/>
      <w:szCs w:val="16"/>
    </w:rPr>
  </w:style>
  <w:style w:type="paragraph" w:styleId="BalloonText">
    <w:name w:val="Balloon Text"/>
    <w:basedOn w:val="Normal"/>
    <w:link w:val="BalloonTextChar"/>
    <w:uiPriority w:val="99"/>
    <w:semiHidden/>
    <w:unhideWhenUsed/>
    <w:rsid w:val="00FA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99"/>
    <w:rPr>
      <w:rFonts w:ascii="Segoe UI" w:hAnsi="Segoe UI" w:cs="Segoe UI"/>
      <w:sz w:val="18"/>
      <w:szCs w:val="18"/>
    </w:rPr>
  </w:style>
  <w:style w:type="paragraph" w:styleId="ListParagraph">
    <w:name w:val="List Paragraph"/>
    <w:basedOn w:val="Normal"/>
    <w:link w:val="ListParagraphChar"/>
    <w:uiPriority w:val="34"/>
    <w:qFormat/>
    <w:rsid w:val="00FA4D99"/>
    <w:pPr>
      <w:spacing w:line="256" w:lineRule="auto"/>
      <w:ind w:left="720"/>
      <w:contextualSpacing/>
    </w:pPr>
  </w:style>
  <w:style w:type="paragraph" w:styleId="Header">
    <w:name w:val="header"/>
    <w:basedOn w:val="Normal"/>
    <w:link w:val="HeaderChar"/>
    <w:uiPriority w:val="99"/>
    <w:unhideWhenUsed/>
    <w:rsid w:val="00FA4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99"/>
  </w:style>
  <w:style w:type="paragraph" w:styleId="Footer">
    <w:name w:val="footer"/>
    <w:basedOn w:val="Normal"/>
    <w:link w:val="FooterChar"/>
    <w:uiPriority w:val="99"/>
    <w:unhideWhenUsed/>
    <w:rsid w:val="00FA4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99"/>
  </w:style>
  <w:style w:type="table" w:customStyle="1" w:styleId="GridTable1Light-Accent11">
    <w:name w:val="Grid Table 1 Light - Accent 11"/>
    <w:basedOn w:val="TableNormal"/>
    <w:uiPriority w:val="46"/>
    <w:rsid w:val="007645E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645E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DC6B0E"/>
    <w:rPr>
      <w:b/>
      <w:bCs/>
    </w:rPr>
  </w:style>
  <w:style w:type="character" w:customStyle="1" w:styleId="CommentSubjectChar">
    <w:name w:val="Comment Subject Char"/>
    <w:basedOn w:val="CommentTextChar"/>
    <w:link w:val="CommentSubject"/>
    <w:uiPriority w:val="99"/>
    <w:semiHidden/>
    <w:rsid w:val="00DC6B0E"/>
    <w:rPr>
      <w:b/>
      <w:bCs/>
      <w:sz w:val="20"/>
      <w:szCs w:val="20"/>
    </w:rPr>
  </w:style>
  <w:style w:type="character" w:customStyle="1" w:styleId="Heading2Char">
    <w:name w:val="Heading 2 Char"/>
    <w:basedOn w:val="DefaultParagraphFont"/>
    <w:link w:val="Heading2"/>
    <w:rsid w:val="00486F2C"/>
    <w:rPr>
      <w:rFonts w:ascii="Arial" w:eastAsia="Times New Roman" w:hAnsi="Arial" w:cs="Arial"/>
      <w:b/>
      <w:iCs/>
      <w:sz w:val="24"/>
      <w:lang w:eastAsia="en-AU"/>
    </w:rPr>
  </w:style>
  <w:style w:type="paragraph" w:styleId="BodyText">
    <w:name w:val="Body Text"/>
    <w:basedOn w:val="Normal"/>
    <w:link w:val="BodyTextChar"/>
    <w:rsid w:val="00486F2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6F2C"/>
    <w:rPr>
      <w:rFonts w:ascii="Times New Roman" w:eastAsia="Times New Roman" w:hAnsi="Times New Roman" w:cs="Times New Roman"/>
      <w:sz w:val="24"/>
      <w:szCs w:val="24"/>
    </w:rPr>
  </w:style>
  <w:style w:type="paragraph" w:customStyle="1" w:styleId="DocName">
    <w:name w:val="DocName"/>
    <w:basedOn w:val="Normal"/>
    <w:link w:val="DocNameChar"/>
    <w:rsid w:val="00486F2C"/>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486F2C"/>
    <w:rPr>
      <w:rFonts w:ascii="Arial" w:eastAsia="Times New Roman" w:hAnsi="Arial" w:cs="Times New Roman"/>
      <w:b/>
      <w:bCs/>
      <w:sz w:val="28"/>
      <w:szCs w:val="24"/>
    </w:rPr>
  </w:style>
  <w:style w:type="paragraph" w:customStyle="1" w:styleId="Table-normal-text">
    <w:name w:val="Table-normal-text"/>
    <w:basedOn w:val="Normal"/>
    <w:rsid w:val="00486F2C"/>
    <w:pPr>
      <w:spacing w:before="60"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486F2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2E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3282">
      <w:bodyDiv w:val="1"/>
      <w:marLeft w:val="0"/>
      <w:marRight w:val="0"/>
      <w:marTop w:val="0"/>
      <w:marBottom w:val="0"/>
      <w:divBdr>
        <w:top w:val="none" w:sz="0" w:space="0" w:color="auto"/>
        <w:left w:val="none" w:sz="0" w:space="0" w:color="auto"/>
        <w:bottom w:val="none" w:sz="0" w:space="0" w:color="auto"/>
        <w:right w:val="none" w:sz="0" w:space="0" w:color="auto"/>
      </w:divBdr>
    </w:div>
    <w:div w:id="481700041">
      <w:bodyDiv w:val="1"/>
      <w:marLeft w:val="0"/>
      <w:marRight w:val="0"/>
      <w:marTop w:val="0"/>
      <w:marBottom w:val="0"/>
      <w:divBdr>
        <w:top w:val="none" w:sz="0" w:space="0" w:color="auto"/>
        <w:left w:val="none" w:sz="0" w:space="0" w:color="auto"/>
        <w:bottom w:val="none" w:sz="0" w:space="0" w:color="auto"/>
        <w:right w:val="none" w:sz="0" w:space="0" w:color="auto"/>
      </w:divBdr>
    </w:div>
    <w:div w:id="580137402">
      <w:bodyDiv w:val="1"/>
      <w:marLeft w:val="0"/>
      <w:marRight w:val="0"/>
      <w:marTop w:val="0"/>
      <w:marBottom w:val="0"/>
      <w:divBdr>
        <w:top w:val="none" w:sz="0" w:space="0" w:color="auto"/>
        <w:left w:val="none" w:sz="0" w:space="0" w:color="auto"/>
        <w:bottom w:val="none" w:sz="0" w:space="0" w:color="auto"/>
        <w:right w:val="none" w:sz="0" w:space="0" w:color="auto"/>
      </w:divBdr>
    </w:div>
    <w:div w:id="670378936">
      <w:bodyDiv w:val="1"/>
      <w:marLeft w:val="0"/>
      <w:marRight w:val="0"/>
      <w:marTop w:val="0"/>
      <w:marBottom w:val="0"/>
      <w:divBdr>
        <w:top w:val="none" w:sz="0" w:space="0" w:color="auto"/>
        <w:left w:val="none" w:sz="0" w:space="0" w:color="auto"/>
        <w:bottom w:val="none" w:sz="0" w:space="0" w:color="auto"/>
        <w:right w:val="none" w:sz="0" w:space="0" w:color="auto"/>
      </w:divBdr>
    </w:div>
    <w:div w:id="737441361">
      <w:bodyDiv w:val="1"/>
      <w:marLeft w:val="0"/>
      <w:marRight w:val="0"/>
      <w:marTop w:val="0"/>
      <w:marBottom w:val="0"/>
      <w:divBdr>
        <w:top w:val="none" w:sz="0" w:space="0" w:color="auto"/>
        <w:left w:val="none" w:sz="0" w:space="0" w:color="auto"/>
        <w:bottom w:val="none" w:sz="0" w:space="0" w:color="auto"/>
        <w:right w:val="none" w:sz="0" w:space="0" w:color="auto"/>
      </w:divBdr>
    </w:div>
    <w:div w:id="11307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CD04-38DB-48AB-9299-8D2EFEE4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2020-04-16T00:26:00Z</dcterms:created>
  <dcterms:modified xsi:type="dcterms:W3CDTF">2020-04-16T00:26:00Z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b74791cf-f1de-46df-adb1-50a75c7a48d6</vt:lpwstr>
  </property>
  <property fmtid="{D5CDD505-2E9C-101B-9397-08002B2CF9AE}" pid="3" name="SEC">
    <vt:lpwstr>UNCLASSIFIED</vt:lpwstr>
  </property>
  <property fmtid="{D5CDD505-2E9C-101B-9397-08002B2CF9AE}" pid="4" name="DLM">
    <vt:lpwstr>No DLM</vt:lpwstr>
  </property>
</Properties>
</file>