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89E54" w14:textId="77777777" w:rsidR="00BF055D" w:rsidRDefault="00BF055D" w:rsidP="00BF055D">
      <w:pPr>
        <w:rPr>
          <w:rFonts w:ascii="Arial" w:eastAsiaTheme="majorEastAsia" w:hAnsi="Arial" w:cs="Arial"/>
          <w:b/>
          <w:color w:val="DA291C"/>
          <w:sz w:val="44"/>
          <w:szCs w:val="44"/>
          <w:lang w:eastAsia="ja-JP"/>
        </w:rPr>
      </w:pPr>
    </w:p>
    <w:p w14:paraId="655ECC50" w14:textId="77777777" w:rsidR="00BF055D" w:rsidRDefault="00BF055D" w:rsidP="00BF055D">
      <w:pPr>
        <w:rPr>
          <w:rFonts w:ascii="Arial" w:eastAsiaTheme="majorEastAsia" w:hAnsi="Arial" w:cs="Arial"/>
          <w:b/>
          <w:color w:val="DA291C"/>
          <w:sz w:val="44"/>
          <w:szCs w:val="44"/>
          <w:lang w:eastAsia="ja-JP"/>
        </w:rPr>
      </w:pPr>
      <w:bookmarkStart w:id="0" w:name="_GoBack"/>
      <w:bookmarkEnd w:id="0"/>
    </w:p>
    <w:p w14:paraId="00D10410" w14:textId="77777777" w:rsidR="00BF055D" w:rsidRDefault="00BF055D" w:rsidP="00BF055D">
      <w:pPr>
        <w:rPr>
          <w:rFonts w:ascii="Arial" w:eastAsiaTheme="majorEastAsia" w:hAnsi="Arial" w:cs="Arial"/>
          <w:b/>
          <w:color w:val="DA291C"/>
          <w:sz w:val="44"/>
          <w:szCs w:val="44"/>
          <w:lang w:eastAsia="ja-JP"/>
        </w:rPr>
      </w:pPr>
    </w:p>
    <w:p w14:paraId="6D959BF9" w14:textId="77777777" w:rsidR="00BF055D" w:rsidRDefault="00BF055D" w:rsidP="00BF055D">
      <w:pPr>
        <w:rPr>
          <w:rFonts w:ascii="Arial" w:eastAsiaTheme="majorEastAsia" w:hAnsi="Arial" w:cs="Arial"/>
          <w:b/>
          <w:color w:val="DA291C"/>
          <w:sz w:val="44"/>
          <w:szCs w:val="44"/>
          <w:lang w:eastAsia="ja-JP"/>
        </w:rPr>
      </w:pPr>
    </w:p>
    <w:p w14:paraId="1F8D8836" w14:textId="77777777" w:rsidR="00BF055D" w:rsidRDefault="00BF055D" w:rsidP="00BF055D">
      <w:pPr>
        <w:rPr>
          <w:rFonts w:ascii="Arial" w:eastAsiaTheme="majorEastAsia" w:hAnsi="Arial" w:cs="Arial"/>
          <w:b/>
          <w:color w:val="DA291C"/>
          <w:sz w:val="44"/>
          <w:szCs w:val="44"/>
          <w:lang w:eastAsia="ja-JP"/>
        </w:rPr>
      </w:pPr>
    </w:p>
    <w:p w14:paraId="13AF3C16" w14:textId="77777777" w:rsidR="00BF055D" w:rsidRDefault="00BF055D" w:rsidP="00BF055D">
      <w:pPr>
        <w:rPr>
          <w:rFonts w:ascii="Arial" w:eastAsiaTheme="majorEastAsia" w:hAnsi="Arial" w:cs="Arial"/>
          <w:b/>
          <w:color w:val="DA291C"/>
          <w:sz w:val="44"/>
          <w:szCs w:val="44"/>
          <w:lang w:eastAsia="ja-JP"/>
        </w:rPr>
      </w:pPr>
    </w:p>
    <w:p w14:paraId="44A0E1DF" w14:textId="77777777" w:rsidR="00BF055D" w:rsidRPr="002E7744" w:rsidRDefault="00BF055D" w:rsidP="00BF055D">
      <w:pPr>
        <w:rPr>
          <w:rFonts w:ascii="Arial" w:eastAsiaTheme="majorEastAsia" w:hAnsi="Arial" w:cs="Arial"/>
          <w:b/>
          <w:color w:val="DA291C"/>
          <w:sz w:val="44"/>
          <w:szCs w:val="44"/>
          <w:lang w:eastAsia="ja-JP"/>
        </w:rPr>
      </w:pPr>
    </w:p>
    <w:p w14:paraId="6B060598" w14:textId="77777777" w:rsidR="00BF055D" w:rsidRPr="002E7744" w:rsidRDefault="00BF055D" w:rsidP="00BF055D">
      <w:pPr>
        <w:rPr>
          <w:rFonts w:ascii="Arial" w:eastAsiaTheme="majorEastAsia" w:hAnsi="Arial" w:cs="Arial"/>
          <w:b/>
          <w:color w:val="DA291C"/>
          <w:sz w:val="44"/>
          <w:szCs w:val="44"/>
          <w:lang w:eastAsia="ja-JP"/>
        </w:rPr>
      </w:pPr>
      <w:r>
        <w:rPr>
          <w:rFonts w:ascii="Arial" w:eastAsiaTheme="majorEastAsia" w:hAnsi="Arial" w:cs="Arial"/>
          <w:b/>
          <w:color w:val="DA291C"/>
          <w:sz w:val="44"/>
          <w:szCs w:val="44"/>
          <w:lang w:eastAsia="ja-JP"/>
        </w:rPr>
        <w:t xml:space="preserve">Tonga Health Systems Support Program </w:t>
      </w:r>
      <w:r>
        <w:rPr>
          <w:rFonts w:ascii="Arial" w:eastAsiaTheme="majorEastAsia" w:hAnsi="Arial" w:cs="Arial"/>
          <w:b/>
          <w:color w:val="DA291C"/>
          <w:sz w:val="44"/>
          <w:szCs w:val="44"/>
          <w:lang w:eastAsia="ja-JP"/>
        </w:rPr>
        <w:br/>
        <w:t>Phase 2 (THSSP2)</w:t>
      </w:r>
    </w:p>
    <w:p w14:paraId="61119366" w14:textId="77777777" w:rsidR="00BF055D" w:rsidRPr="002E7744" w:rsidRDefault="00BF055D" w:rsidP="00BF055D">
      <w:pPr>
        <w:rPr>
          <w:rFonts w:ascii="Arial" w:eastAsiaTheme="majorEastAsia" w:hAnsi="Arial" w:cs="Arial"/>
          <w:b/>
          <w:color w:val="DA291C"/>
          <w:sz w:val="44"/>
          <w:szCs w:val="44"/>
          <w:lang w:eastAsia="ja-JP"/>
        </w:rPr>
      </w:pPr>
    </w:p>
    <w:p w14:paraId="7A50A191" w14:textId="77777777" w:rsidR="00BF055D" w:rsidRPr="002E7744" w:rsidRDefault="00BF055D" w:rsidP="00BF055D">
      <w:pPr>
        <w:rPr>
          <w:rFonts w:ascii="Arial" w:eastAsiaTheme="majorEastAsia" w:hAnsi="Arial" w:cs="Arial"/>
          <w:b/>
          <w:color w:val="DA291C"/>
          <w:sz w:val="44"/>
          <w:szCs w:val="44"/>
          <w:lang w:eastAsia="ja-JP"/>
        </w:rPr>
      </w:pPr>
      <w:r>
        <w:rPr>
          <w:rFonts w:ascii="Arial" w:eastAsiaTheme="majorEastAsia" w:hAnsi="Arial" w:cs="Arial"/>
          <w:b/>
          <w:color w:val="DA291C"/>
          <w:sz w:val="44"/>
          <w:szCs w:val="44"/>
          <w:lang w:eastAsia="ja-JP"/>
        </w:rPr>
        <w:t>Mid-term evaluation</w:t>
      </w:r>
      <w:r w:rsidR="00EB517B">
        <w:rPr>
          <w:rFonts w:ascii="Arial" w:eastAsiaTheme="majorEastAsia" w:hAnsi="Arial" w:cs="Arial"/>
          <w:b/>
          <w:color w:val="DA291C"/>
          <w:sz w:val="44"/>
          <w:szCs w:val="44"/>
          <w:lang w:eastAsia="ja-JP"/>
        </w:rPr>
        <w:t xml:space="preserve"> report</w:t>
      </w:r>
    </w:p>
    <w:p w14:paraId="02533F00" w14:textId="77777777" w:rsidR="00BF055D" w:rsidRPr="002E7744" w:rsidRDefault="00BF055D" w:rsidP="00BF055D">
      <w:pPr>
        <w:rPr>
          <w:rFonts w:ascii="Arial" w:eastAsiaTheme="majorEastAsia" w:hAnsi="Arial" w:cs="Arial"/>
          <w:b/>
          <w:color w:val="DA291C"/>
          <w:sz w:val="44"/>
          <w:szCs w:val="44"/>
          <w:lang w:eastAsia="ja-JP"/>
        </w:rPr>
      </w:pPr>
    </w:p>
    <w:p w14:paraId="4EA49846" w14:textId="4703255C" w:rsidR="00BF055D" w:rsidRDefault="009D1C97" w:rsidP="00BF055D">
      <w:pPr>
        <w:rPr>
          <w:rFonts w:ascii="Arial" w:eastAsiaTheme="majorEastAsia" w:hAnsi="Arial" w:cs="Arial"/>
          <w:b/>
          <w:color w:val="A6A6A6" w:themeColor="background1" w:themeShade="A6"/>
          <w:sz w:val="44"/>
          <w:szCs w:val="44"/>
          <w:lang w:eastAsia="ja-JP"/>
        </w:rPr>
      </w:pPr>
      <w:r>
        <w:rPr>
          <w:rFonts w:ascii="Arial" w:eastAsiaTheme="majorEastAsia" w:hAnsi="Arial" w:cs="Arial"/>
          <w:b/>
          <w:color w:val="A6A6A6" w:themeColor="background1" w:themeShade="A6"/>
          <w:sz w:val="44"/>
          <w:szCs w:val="44"/>
          <w:lang w:eastAsia="ja-JP"/>
        </w:rPr>
        <w:t>25 April</w:t>
      </w:r>
      <w:r w:rsidR="0026683A" w:rsidRPr="002E7744">
        <w:rPr>
          <w:rFonts w:ascii="Arial" w:eastAsiaTheme="majorEastAsia" w:hAnsi="Arial" w:cs="Arial"/>
          <w:b/>
          <w:color w:val="A6A6A6" w:themeColor="background1" w:themeShade="A6"/>
          <w:sz w:val="44"/>
          <w:szCs w:val="44"/>
          <w:lang w:eastAsia="ja-JP"/>
        </w:rPr>
        <w:t xml:space="preserve"> 201</w:t>
      </w:r>
      <w:r w:rsidR="0026683A">
        <w:rPr>
          <w:rFonts w:ascii="Arial" w:eastAsiaTheme="majorEastAsia" w:hAnsi="Arial" w:cs="Arial"/>
          <w:b/>
          <w:color w:val="A6A6A6" w:themeColor="background1" w:themeShade="A6"/>
          <w:sz w:val="44"/>
          <w:szCs w:val="44"/>
          <w:lang w:eastAsia="ja-JP"/>
        </w:rPr>
        <w:t>9</w:t>
      </w:r>
    </w:p>
    <w:p w14:paraId="1B7294E5" w14:textId="77777777" w:rsidR="00BF055D" w:rsidRDefault="00BF055D" w:rsidP="00BF055D">
      <w:pPr>
        <w:rPr>
          <w:rFonts w:eastAsiaTheme="majorEastAsia"/>
          <w:b/>
          <w:color w:val="DA291C"/>
          <w:lang w:eastAsia="ja-JP"/>
        </w:rPr>
      </w:pPr>
    </w:p>
    <w:p w14:paraId="15C6C90B" w14:textId="77777777" w:rsidR="00BF055D" w:rsidRDefault="00BF055D" w:rsidP="00BF055D">
      <w:pPr>
        <w:rPr>
          <w:rFonts w:eastAsiaTheme="majorEastAsia"/>
          <w:b/>
          <w:color w:val="DA291C"/>
          <w:lang w:eastAsia="ja-JP"/>
        </w:rPr>
      </w:pPr>
    </w:p>
    <w:p w14:paraId="061B7926" w14:textId="6C5717AE" w:rsidR="00BF055D" w:rsidRDefault="00BF055D" w:rsidP="00BF055D">
      <w:pPr>
        <w:rPr>
          <w:rFonts w:eastAsiaTheme="majorEastAsia"/>
          <w:b/>
          <w:color w:val="DA291C"/>
          <w:sz w:val="48"/>
          <w:szCs w:val="48"/>
          <w:lang w:eastAsia="ja-JP"/>
        </w:rPr>
      </w:pPr>
    </w:p>
    <w:p w14:paraId="67036B96" w14:textId="77777777" w:rsidR="00EB517B" w:rsidRDefault="00EB517B" w:rsidP="00BF055D">
      <w:pPr>
        <w:rPr>
          <w:rFonts w:eastAsiaTheme="majorEastAsia"/>
          <w:b/>
          <w:color w:val="DA291C"/>
          <w:sz w:val="48"/>
          <w:szCs w:val="48"/>
          <w:lang w:eastAsia="ja-JP"/>
        </w:rPr>
      </w:pPr>
    </w:p>
    <w:p w14:paraId="09434FF5" w14:textId="77777777" w:rsidR="00EB517B" w:rsidRDefault="00EB517B" w:rsidP="00BF055D">
      <w:pPr>
        <w:rPr>
          <w:rFonts w:eastAsiaTheme="majorEastAsia"/>
          <w:b/>
          <w:color w:val="DA291C"/>
          <w:sz w:val="48"/>
          <w:szCs w:val="48"/>
          <w:lang w:eastAsia="ja-JP"/>
        </w:rPr>
      </w:pPr>
    </w:p>
    <w:p w14:paraId="765F2425" w14:textId="77777777" w:rsidR="00EB517B" w:rsidRDefault="00EB517B" w:rsidP="00BF055D">
      <w:pPr>
        <w:rPr>
          <w:rFonts w:eastAsiaTheme="majorEastAsia"/>
          <w:b/>
          <w:color w:val="DA291C"/>
          <w:lang w:eastAsia="ja-JP"/>
        </w:rPr>
        <w:sectPr w:rsidR="00EB517B" w:rsidSect="00324FBF">
          <w:footerReference w:type="default" r:id="rId8"/>
          <w:footerReference w:type="first" r:id="rId9"/>
          <w:pgSz w:w="11907" w:h="16839" w:code="9"/>
          <w:pgMar w:top="1440" w:right="1077" w:bottom="1440" w:left="1077" w:header="709" w:footer="709" w:gutter="0"/>
          <w:pgNumType w:start="0"/>
          <w:cols w:space="708"/>
          <w:titlePg/>
          <w:docGrid w:linePitch="360"/>
        </w:sectPr>
      </w:pPr>
    </w:p>
    <w:p w14:paraId="3AFA9DD9" w14:textId="77777777" w:rsidR="00B66DBB" w:rsidRDefault="00B66DBB" w:rsidP="00BF055D">
      <w:pPr>
        <w:pStyle w:val="Default"/>
        <w:rPr>
          <w:rFonts w:eastAsiaTheme="majorEastAsia"/>
          <w:b/>
          <w:color w:val="DA291C"/>
          <w:sz w:val="28"/>
          <w:szCs w:val="28"/>
          <w:lang w:val="en-GB" w:eastAsia="ja-JP"/>
        </w:rPr>
      </w:pPr>
    </w:p>
    <w:p w14:paraId="3B8651CB" w14:textId="77777777" w:rsidR="00B66DBB" w:rsidRDefault="00B66DBB" w:rsidP="00BF055D">
      <w:pPr>
        <w:pStyle w:val="Default"/>
        <w:rPr>
          <w:rFonts w:eastAsiaTheme="majorEastAsia"/>
          <w:b/>
          <w:color w:val="DA291C"/>
          <w:sz w:val="28"/>
          <w:szCs w:val="28"/>
          <w:lang w:val="en-GB" w:eastAsia="ja-JP"/>
        </w:rPr>
        <w:sectPr w:rsidR="00B66DBB">
          <w:footerReference w:type="default" r:id="rId10"/>
          <w:pgSz w:w="11906" w:h="16838"/>
          <w:pgMar w:top="1440" w:right="1440" w:bottom="1440" w:left="1440" w:header="708" w:footer="708" w:gutter="0"/>
          <w:cols w:space="708"/>
          <w:docGrid w:linePitch="360"/>
        </w:sectPr>
      </w:pPr>
    </w:p>
    <w:sdt>
      <w:sdtPr>
        <w:rPr>
          <w:rFonts w:asciiTheme="minorHAnsi" w:eastAsiaTheme="minorHAnsi" w:hAnsiTheme="minorHAnsi" w:cstheme="minorHAnsi"/>
          <w:b w:val="0"/>
          <w:bCs w:val="0"/>
          <w:color w:val="auto"/>
          <w:sz w:val="26"/>
          <w:szCs w:val="26"/>
          <w:lang w:val="en-GB" w:eastAsia="en-US"/>
        </w:rPr>
        <w:id w:val="409654394"/>
        <w:docPartObj>
          <w:docPartGallery w:val="Table of Contents"/>
          <w:docPartUnique/>
        </w:docPartObj>
      </w:sdtPr>
      <w:sdtEndPr>
        <w:rPr>
          <w:noProof/>
          <w:sz w:val="21"/>
          <w:szCs w:val="21"/>
        </w:rPr>
      </w:sdtEndPr>
      <w:sdtContent>
        <w:p w14:paraId="2AFCA8EC" w14:textId="77777777" w:rsidR="001F2BE3" w:rsidRPr="00120996" w:rsidRDefault="001F2BE3">
          <w:pPr>
            <w:pStyle w:val="TOCHeading"/>
            <w:rPr>
              <w:rFonts w:ascii="Arial" w:hAnsi="Arial" w:cs="Arial"/>
              <w:color w:val="DA291C"/>
              <w:sz w:val="26"/>
              <w:szCs w:val="26"/>
            </w:rPr>
          </w:pPr>
          <w:r w:rsidRPr="00120996">
            <w:rPr>
              <w:rFonts w:ascii="Arial" w:hAnsi="Arial" w:cs="Arial"/>
              <w:color w:val="DA291C"/>
              <w:sz w:val="26"/>
              <w:szCs w:val="26"/>
            </w:rPr>
            <w:t>Contents</w:t>
          </w:r>
        </w:p>
        <w:p w14:paraId="39E926D9" w14:textId="6A5D1956" w:rsidR="00976A78" w:rsidRPr="00976A78" w:rsidRDefault="001F2BE3">
          <w:pPr>
            <w:pStyle w:val="TOC1"/>
            <w:tabs>
              <w:tab w:val="right" w:leader="dot" w:pos="9016"/>
            </w:tabs>
            <w:rPr>
              <w:rFonts w:asciiTheme="minorHAnsi" w:eastAsiaTheme="minorEastAsia" w:hAnsiTheme="minorHAnsi" w:cstheme="minorHAnsi"/>
              <w:noProof/>
              <w:sz w:val="22"/>
              <w:szCs w:val="22"/>
              <w:lang w:eastAsia="en-AU"/>
            </w:rPr>
          </w:pPr>
          <w:r w:rsidRPr="00C44750">
            <w:rPr>
              <w:rFonts w:asciiTheme="minorHAnsi" w:hAnsiTheme="minorHAnsi" w:cstheme="minorHAnsi"/>
              <w:b/>
              <w:bCs/>
              <w:noProof/>
              <w:sz w:val="21"/>
              <w:szCs w:val="21"/>
            </w:rPr>
            <w:fldChar w:fldCharType="begin"/>
          </w:r>
          <w:r w:rsidRPr="00C44750">
            <w:rPr>
              <w:rFonts w:asciiTheme="minorHAnsi" w:hAnsiTheme="minorHAnsi" w:cstheme="minorHAnsi"/>
              <w:b/>
              <w:bCs/>
              <w:noProof/>
              <w:sz w:val="21"/>
              <w:szCs w:val="21"/>
            </w:rPr>
            <w:instrText xml:space="preserve"> TOC \o "1-3" \h \z \u </w:instrText>
          </w:r>
          <w:r w:rsidRPr="00C44750">
            <w:rPr>
              <w:rFonts w:asciiTheme="minorHAnsi" w:hAnsiTheme="minorHAnsi" w:cstheme="minorHAnsi"/>
              <w:b/>
              <w:bCs/>
              <w:noProof/>
              <w:sz w:val="21"/>
              <w:szCs w:val="21"/>
            </w:rPr>
            <w:fldChar w:fldCharType="separate"/>
          </w:r>
          <w:hyperlink w:anchor="_Toc536205421" w:history="1">
            <w:r w:rsidR="00976A78" w:rsidRPr="00976A78">
              <w:rPr>
                <w:rStyle w:val="Hyperlink"/>
                <w:rFonts w:asciiTheme="minorHAnsi" w:hAnsiTheme="minorHAnsi" w:cstheme="minorHAnsi"/>
                <w:noProof/>
                <w:sz w:val="22"/>
                <w:szCs w:val="22"/>
              </w:rPr>
              <w:t>Executive Summary</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_Toc536205421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v</w:t>
            </w:r>
            <w:r w:rsidR="00976A78" w:rsidRPr="00976A78">
              <w:rPr>
                <w:rFonts w:asciiTheme="minorHAnsi" w:hAnsiTheme="minorHAnsi" w:cstheme="minorHAnsi"/>
                <w:noProof/>
                <w:webHidden/>
                <w:sz w:val="22"/>
                <w:szCs w:val="22"/>
              </w:rPr>
              <w:fldChar w:fldCharType="end"/>
            </w:r>
          </w:hyperlink>
        </w:p>
        <w:p w14:paraId="408426C1" w14:textId="2DCB415C" w:rsidR="00976A78" w:rsidRPr="00976A78" w:rsidRDefault="001A663F">
          <w:pPr>
            <w:pStyle w:val="TOC1"/>
            <w:tabs>
              <w:tab w:val="left" w:pos="440"/>
              <w:tab w:val="right" w:leader="dot" w:pos="9016"/>
            </w:tabs>
            <w:rPr>
              <w:rFonts w:asciiTheme="minorHAnsi" w:eastAsiaTheme="minorEastAsia" w:hAnsiTheme="minorHAnsi" w:cstheme="minorHAnsi"/>
              <w:noProof/>
              <w:sz w:val="22"/>
              <w:szCs w:val="22"/>
              <w:lang w:eastAsia="en-AU"/>
            </w:rPr>
          </w:pPr>
          <w:hyperlink w:anchor="_Toc536205422" w:history="1">
            <w:r w:rsidR="00976A78" w:rsidRPr="00976A78">
              <w:rPr>
                <w:rStyle w:val="Hyperlink"/>
                <w:rFonts w:asciiTheme="minorHAnsi" w:hAnsiTheme="minorHAnsi" w:cstheme="minorHAnsi"/>
                <w:noProof/>
                <w:sz w:val="22"/>
                <w:szCs w:val="22"/>
              </w:rPr>
              <w:t>1.</w:t>
            </w:r>
            <w:r w:rsidR="00976A78" w:rsidRPr="00976A78">
              <w:rPr>
                <w:rFonts w:asciiTheme="minorHAnsi" w:eastAsiaTheme="minorEastAsia" w:hAnsiTheme="minorHAnsi" w:cstheme="minorHAnsi"/>
                <w:noProof/>
                <w:sz w:val="22"/>
                <w:szCs w:val="22"/>
                <w:lang w:eastAsia="en-AU"/>
              </w:rPr>
              <w:tab/>
            </w:r>
            <w:r w:rsidR="00976A78" w:rsidRPr="00976A78">
              <w:rPr>
                <w:rStyle w:val="Hyperlink"/>
                <w:rFonts w:asciiTheme="minorHAnsi" w:hAnsiTheme="minorHAnsi" w:cstheme="minorHAnsi"/>
                <w:noProof/>
                <w:sz w:val="22"/>
                <w:szCs w:val="22"/>
              </w:rPr>
              <w:t>Introduction</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_Toc536205422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1</w:t>
            </w:r>
            <w:r w:rsidR="00976A78" w:rsidRPr="00976A78">
              <w:rPr>
                <w:rFonts w:asciiTheme="minorHAnsi" w:hAnsiTheme="minorHAnsi" w:cstheme="minorHAnsi"/>
                <w:noProof/>
                <w:webHidden/>
                <w:sz w:val="22"/>
                <w:szCs w:val="22"/>
              </w:rPr>
              <w:fldChar w:fldCharType="end"/>
            </w:r>
          </w:hyperlink>
        </w:p>
        <w:p w14:paraId="28CF7E60" w14:textId="67672017"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23" w:history="1">
            <w:r w:rsidR="00976A78" w:rsidRPr="00976A78">
              <w:rPr>
                <w:rStyle w:val="Hyperlink"/>
                <w:rFonts w:asciiTheme="minorHAnsi" w:hAnsiTheme="minorHAnsi" w:cstheme="minorHAnsi"/>
                <w:noProof/>
                <w:sz w:val="22"/>
              </w:rPr>
              <w:t>1.1.</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Health in Tonga</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_Toc536205423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1</w:t>
            </w:r>
            <w:r w:rsidR="00976A78" w:rsidRPr="00976A78">
              <w:rPr>
                <w:rFonts w:asciiTheme="minorHAnsi" w:hAnsiTheme="minorHAnsi" w:cstheme="minorHAnsi"/>
                <w:noProof/>
                <w:webHidden/>
                <w:sz w:val="22"/>
              </w:rPr>
              <w:fldChar w:fldCharType="end"/>
            </w:r>
          </w:hyperlink>
        </w:p>
        <w:p w14:paraId="3B2FEE8F" w14:textId="13636C57"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24" w:history="1">
            <w:r w:rsidR="00976A78" w:rsidRPr="00976A78">
              <w:rPr>
                <w:rStyle w:val="Hyperlink"/>
                <w:rFonts w:asciiTheme="minorHAnsi" w:hAnsiTheme="minorHAnsi" w:cstheme="minorHAnsi"/>
                <w:noProof/>
                <w:sz w:val="22"/>
              </w:rPr>
              <w:t>1.2.</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The Tonga Health Systems Support Program (THSSP)</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_Toc536205424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2</w:t>
            </w:r>
            <w:r w:rsidR="00976A78" w:rsidRPr="00976A78">
              <w:rPr>
                <w:rFonts w:asciiTheme="minorHAnsi" w:hAnsiTheme="minorHAnsi" w:cstheme="minorHAnsi"/>
                <w:noProof/>
                <w:webHidden/>
                <w:sz w:val="22"/>
              </w:rPr>
              <w:fldChar w:fldCharType="end"/>
            </w:r>
          </w:hyperlink>
        </w:p>
        <w:p w14:paraId="38DFBAF1" w14:textId="7AAD9C01"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25" w:history="1">
            <w:r w:rsidR="00976A78" w:rsidRPr="00976A78">
              <w:rPr>
                <w:rStyle w:val="Hyperlink"/>
                <w:rFonts w:cstheme="minorHAnsi"/>
                <w:noProof/>
              </w:rPr>
              <w:t>1.2.1.</w:t>
            </w:r>
            <w:r w:rsidR="00976A78" w:rsidRPr="00976A78">
              <w:rPr>
                <w:rFonts w:eastAsiaTheme="minorEastAsia" w:cstheme="minorHAnsi"/>
                <w:noProof/>
                <w:lang w:val="en-AU" w:eastAsia="en-AU"/>
              </w:rPr>
              <w:tab/>
            </w:r>
            <w:r w:rsidR="00976A78" w:rsidRPr="00976A78">
              <w:rPr>
                <w:rStyle w:val="Hyperlink"/>
                <w:rFonts w:cstheme="minorHAnsi"/>
                <w:noProof/>
              </w:rPr>
              <w:t>Compatibility with Government of Tonga priorities</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_Toc536205425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3</w:t>
            </w:r>
            <w:r w:rsidR="00976A78" w:rsidRPr="00976A78">
              <w:rPr>
                <w:rFonts w:cstheme="minorHAnsi"/>
                <w:noProof/>
                <w:webHidden/>
              </w:rPr>
              <w:fldChar w:fldCharType="end"/>
            </w:r>
          </w:hyperlink>
        </w:p>
        <w:p w14:paraId="7A1384F7" w14:textId="41E3FAA2"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26" w:history="1">
            <w:r w:rsidR="00976A78" w:rsidRPr="00976A78">
              <w:rPr>
                <w:rStyle w:val="Hyperlink"/>
                <w:rFonts w:cstheme="minorHAnsi"/>
                <w:noProof/>
              </w:rPr>
              <w:t>1.2.2.</w:t>
            </w:r>
            <w:r w:rsidR="00976A78" w:rsidRPr="00976A78">
              <w:rPr>
                <w:rFonts w:eastAsiaTheme="minorEastAsia" w:cstheme="minorHAnsi"/>
                <w:noProof/>
                <w:lang w:val="en-AU" w:eastAsia="en-AU"/>
              </w:rPr>
              <w:tab/>
            </w:r>
            <w:r w:rsidR="00976A78" w:rsidRPr="00976A78">
              <w:rPr>
                <w:rStyle w:val="Hyperlink"/>
                <w:rFonts w:cstheme="minorHAnsi"/>
                <w:noProof/>
              </w:rPr>
              <w:t>THSSP2 targets</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_Toc536205426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4</w:t>
            </w:r>
            <w:r w:rsidR="00976A78" w:rsidRPr="00976A78">
              <w:rPr>
                <w:rFonts w:cstheme="minorHAnsi"/>
                <w:noProof/>
                <w:webHidden/>
              </w:rPr>
              <w:fldChar w:fldCharType="end"/>
            </w:r>
          </w:hyperlink>
        </w:p>
        <w:p w14:paraId="59E0FAA1" w14:textId="0D65316C"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27" w:history="1">
            <w:r w:rsidR="00976A78" w:rsidRPr="00976A78">
              <w:rPr>
                <w:rStyle w:val="Hyperlink"/>
                <w:rFonts w:cstheme="minorHAnsi"/>
                <w:noProof/>
              </w:rPr>
              <w:t>1.2.3.</w:t>
            </w:r>
            <w:r w:rsidR="00976A78" w:rsidRPr="00976A78">
              <w:rPr>
                <w:rFonts w:eastAsiaTheme="minorEastAsia" w:cstheme="minorHAnsi"/>
                <w:noProof/>
                <w:lang w:val="en-AU" w:eastAsia="en-AU"/>
              </w:rPr>
              <w:tab/>
            </w:r>
            <w:r w:rsidR="00976A78" w:rsidRPr="00976A78">
              <w:rPr>
                <w:rStyle w:val="Hyperlink"/>
                <w:rFonts w:cstheme="minorHAnsi"/>
                <w:noProof/>
              </w:rPr>
              <w:t>THSSP2 budget</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_Toc536205427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5</w:t>
            </w:r>
            <w:r w:rsidR="00976A78" w:rsidRPr="00976A78">
              <w:rPr>
                <w:rFonts w:cstheme="minorHAnsi"/>
                <w:noProof/>
                <w:webHidden/>
              </w:rPr>
              <w:fldChar w:fldCharType="end"/>
            </w:r>
          </w:hyperlink>
        </w:p>
        <w:p w14:paraId="26FBD8EB" w14:textId="08315B04"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28" w:history="1">
            <w:r w:rsidR="00976A78" w:rsidRPr="00976A78">
              <w:rPr>
                <w:rStyle w:val="Hyperlink"/>
                <w:rFonts w:cstheme="minorHAnsi"/>
                <w:noProof/>
              </w:rPr>
              <w:t>1.2.4.</w:t>
            </w:r>
            <w:r w:rsidR="00976A78" w:rsidRPr="00976A78">
              <w:rPr>
                <w:rFonts w:eastAsiaTheme="minorEastAsia" w:cstheme="minorHAnsi"/>
                <w:noProof/>
                <w:lang w:val="en-AU" w:eastAsia="en-AU"/>
              </w:rPr>
              <w:tab/>
            </w:r>
            <w:r w:rsidR="00976A78" w:rsidRPr="00976A78">
              <w:rPr>
                <w:rStyle w:val="Hyperlink"/>
                <w:rFonts w:cstheme="minorHAnsi"/>
                <w:noProof/>
              </w:rPr>
              <w:t>Governance, management and staffing</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_Toc536205428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5</w:t>
            </w:r>
            <w:r w:rsidR="00976A78" w:rsidRPr="00976A78">
              <w:rPr>
                <w:rFonts w:cstheme="minorHAnsi"/>
                <w:noProof/>
                <w:webHidden/>
              </w:rPr>
              <w:fldChar w:fldCharType="end"/>
            </w:r>
          </w:hyperlink>
        </w:p>
        <w:p w14:paraId="26BD6E76" w14:textId="2B9012E5"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29" w:history="1">
            <w:r w:rsidR="00976A78" w:rsidRPr="00976A78">
              <w:rPr>
                <w:rStyle w:val="Hyperlink"/>
                <w:rFonts w:asciiTheme="minorHAnsi" w:hAnsiTheme="minorHAnsi" w:cstheme="minorHAnsi"/>
                <w:noProof/>
                <w:sz w:val="22"/>
              </w:rPr>
              <w:t>1.3.</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Australian aid strategic priorities</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_Toc536205429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5</w:t>
            </w:r>
            <w:r w:rsidR="00976A78" w:rsidRPr="00976A78">
              <w:rPr>
                <w:rFonts w:asciiTheme="minorHAnsi" w:hAnsiTheme="minorHAnsi" w:cstheme="minorHAnsi"/>
                <w:noProof/>
                <w:webHidden/>
                <w:sz w:val="22"/>
              </w:rPr>
              <w:fldChar w:fldCharType="end"/>
            </w:r>
          </w:hyperlink>
        </w:p>
        <w:p w14:paraId="4C437C75" w14:textId="77B92B14"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30" w:history="1">
            <w:r w:rsidR="00976A78" w:rsidRPr="00976A78">
              <w:rPr>
                <w:rStyle w:val="Hyperlink"/>
                <w:rFonts w:asciiTheme="minorHAnsi" w:hAnsiTheme="minorHAnsi" w:cstheme="minorHAnsi"/>
                <w:noProof/>
                <w:sz w:val="22"/>
              </w:rPr>
              <w:t>1.4.</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Complementary evaluations</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_Toc536205430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6</w:t>
            </w:r>
            <w:r w:rsidR="00976A78" w:rsidRPr="00976A78">
              <w:rPr>
                <w:rFonts w:asciiTheme="minorHAnsi" w:hAnsiTheme="minorHAnsi" w:cstheme="minorHAnsi"/>
                <w:noProof/>
                <w:webHidden/>
                <w:sz w:val="22"/>
              </w:rPr>
              <w:fldChar w:fldCharType="end"/>
            </w:r>
          </w:hyperlink>
        </w:p>
        <w:p w14:paraId="540A7B4E" w14:textId="1AB92A08" w:rsidR="00976A78" w:rsidRPr="00976A78" w:rsidRDefault="001A663F">
          <w:pPr>
            <w:pStyle w:val="TOC1"/>
            <w:tabs>
              <w:tab w:val="left" w:pos="440"/>
              <w:tab w:val="right" w:leader="dot" w:pos="9016"/>
            </w:tabs>
            <w:rPr>
              <w:rFonts w:asciiTheme="minorHAnsi" w:eastAsiaTheme="minorEastAsia" w:hAnsiTheme="minorHAnsi" w:cstheme="minorHAnsi"/>
              <w:noProof/>
              <w:sz w:val="22"/>
              <w:szCs w:val="22"/>
              <w:lang w:eastAsia="en-AU"/>
            </w:rPr>
          </w:pPr>
          <w:hyperlink w:anchor="_Toc536205431" w:history="1">
            <w:r w:rsidR="00976A78" w:rsidRPr="00976A78">
              <w:rPr>
                <w:rStyle w:val="Hyperlink"/>
                <w:rFonts w:asciiTheme="minorHAnsi" w:hAnsiTheme="minorHAnsi" w:cstheme="minorHAnsi"/>
                <w:noProof/>
                <w:sz w:val="22"/>
                <w:szCs w:val="22"/>
              </w:rPr>
              <w:t>2.</w:t>
            </w:r>
            <w:r w:rsidR="00976A78" w:rsidRPr="00976A78">
              <w:rPr>
                <w:rFonts w:asciiTheme="minorHAnsi" w:eastAsiaTheme="minorEastAsia" w:hAnsiTheme="minorHAnsi" w:cstheme="minorHAnsi"/>
                <w:noProof/>
                <w:sz w:val="22"/>
                <w:szCs w:val="22"/>
                <w:lang w:eastAsia="en-AU"/>
              </w:rPr>
              <w:tab/>
            </w:r>
            <w:r w:rsidR="00976A78" w:rsidRPr="00976A78">
              <w:rPr>
                <w:rStyle w:val="Hyperlink"/>
                <w:rFonts w:asciiTheme="minorHAnsi" w:hAnsiTheme="minorHAnsi" w:cstheme="minorHAnsi"/>
                <w:noProof/>
                <w:sz w:val="22"/>
                <w:szCs w:val="22"/>
              </w:rPr>
              <w:t>Evaluation Methods</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_Toc536205431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7</w:t>
            </w:r>
            <w:r w:rsidR="00976A78" w:rsidRPr="00976A78">
              <w:rPr>
                <w:rFonts w:asciiTheme="minorHAnsi" w:hAnsiTheme="minorHAnsi" w:cstheme="minorHAnsi"/>
                <w:noProof/>
                <w:webHidden/>
                <w:sz w:val="22"/>
                <w:szCs w:val="22"/>
              </w:rPr>
              <w:fldChar w:fldCharType="end"/>
            </w:r>
          </w:hyperlink>
        </w:p>
        <w:p w14:paraId="31294145" w14:textId="07310C70"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33" w:history="1">
            <w:r w:rsidR="00976A78" w:rsidRPr="00976A78">
              <w:rPr>
                <w:rStyle w:val="Hyperlink"/>
                <w:rFonts w:asciiTheme="minorHAnsi" w:hAnsiTheme="minorHAnsi" w:cstheme="minorHAnsi"/>
                <w:noProof/>
                <w:sz w:val="22"/>
              </w:rPr>
              <w:t>2.1.</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Evaluation purpose</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_Toc536205433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7</w:t>
            </w:r>
            <w:r w:rsidR="00976A78" w:rsidRPr="00976A78">
              <w:rPr>
                <w:rFonts w:asciiTheme="minorHAnsi" w:hAnsiTheme="minorHAnsi" w:cstheme="minorHAnsi"/>
                <w:noProof/>
                <w:webHidden/>
                <w:sz w:val="22"/>
              </w:rPr>
              <w:fldChar w:fldCharType="end"/>
            </w:r>
          </w:hyperlink>
        </w:p>
        <w:p w14:paraId="16B9B70E" w14:textId="24C072BC"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34" w:history="1">
            <w:r w:rsidR="00976A78" w:rsidRPr="00976A78">
              <w:rPr>
                <w:rStyle w:val="Hyperlink"/>
                <w:rFonts w:asciiTheme="minorHAnsi" w:hAnsiTheme="minorHAnsi" w:cstheme="minorHAnsi"/>
                <w:noProof/>
                <w:sz w:val="22"/>
              </w:rPr>
              <w:t>2.2.</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Evaluation scope and methods</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_Toc536205434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7</w:t>
            </w:r>
            <w:r w:rsidR="00976A78" w:rsidRPr="00976A78">
              <w:rPr>
                <w:rFonts w:asciiTheme="minorHAnsi" w:hAnsiTheme="minorHAnsi" w:cstheme="minorHAnsi"/>
                <w:noProof/>
                <w:webHidden/>
                <w:sz w:val="22"/>
              </w:rPr>
              <w:fldChar w:fldCharType="end"/>
            </w:r>
          </w:hyperlink>
        </w:p>
        <w:p w14:paraId="6DB05665" w14:textId="085277BE"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37" w:history="1">
            <w:r w:rsidR="00976A78" w:rsidRPr="00976A78">
              <w:rPr>
                <w:rStyle w:val="Hyperlink"/>
                <w:rFonts w:cstheme="minorHAnsi"/>
                <w:noProof/>
              </w:rPr>
              <w:t>2.2.1</w:t>
            </w:r>
            <w:r w:rsidR="00976A78" w:rsidRPr="00976A78">
              <w:rPr>
                <w:rFonts w:eastAsiaTheme="minorEastAsia" w:cstheme="minorHAnsi"/>
                <w:noProof/>
                <w:lang w:val="en-AU" w:eastAsia="en-AU"/>
              </w:rPr>
              <w:tab/>
            </w:r>
            <w:r w:rsidR="00976A78" w:rsidRPr="00976A78">
              <w:rPr>
                <w:rStyle w:val="Hyperlink"/>
                <w:rFonts w:cstheme="minorHAnsi"/>
                <w:noProof/>
              </w:rPr>
              <w:t>Document review</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_Toc536205437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8</w:t>
            </w:r>
            <w:r w:rsidR="00976A78" w:rsidRPr="00976A78">
              <w:rPr>
                <w:rFonts w:cstheme="minorHAnsi"/>
                <w:noProof/>
                <w:webHidden/>
              </w:rPr>
              <w:fldChar w:fldCharType="end"/>
            </w:r>
          </w:hyperlink>
        </w:p>
        <w:p w14:paraId="20EF5761" w14:textId="4903AD80"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38" w:history="1">
            <w:r w:rsidR="00976A78" w:rsidRPr="00976A78">
              <w:rPr>
                <w:rStyle w:val="Hyperlink"/>
                <w:rFonts w:cstheme="minorHAnsi"/>
                <w:noProof/>
              </w:rPr>
              <w:t>2.2.2</w:t>
            </w:r>
            <w:r w:rsidR="00976A78" w:rsidRPr="00976A78">
              <w:rPr>
                <w:rFonts w:eastAsiaTheme="minorEastAsia" w:cstheme="minorHAnsi"/>
                <w:noProof/>
                <w:lang w:val="en-AU" w:eastAsia="en-AU"/>
              </w:rPr>
              <w:tab/>
            </w:r>
            <w:r w:rsidR="00976A78" w:rsidRPr="00976A78">
              <w:rPr>
                <w:rStyle w:val="Hyperlink"/>
                <w:rFonts w:cstheme="minorHAnsi"/>
                <w:noProof/>
              </w:rPr>
              <w:t>Consultations</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_Toc536205438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8</w:t>
            </w:r>
            <w:r w:rsidR="00976A78" w:rsidRPr="00976A78">
              <w:rPr>
                <w:rFonts w:cstheme="minorHAnsi"/>
                <w:noProof/>
                <w:webHidden/>
              </w:rPr>
              <w:fldChar w:fldCharType="end"/>
            </w:r>
          </w:hyperlink>
        </w:p>
        <w:p w14:paraId="18F7F34A" w14:textId="54159D73"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39" w:history="1">
            <w:r w:rsidR="00976A78" w:rsidRPr="00976A78">
              <w:rPr>
                <w:rStyle w:val="Hyperlink"/>
                <w:rFonts w:cstheme="minorHAnsi"/>
                <w:noProof/>
              </w:rPr>
              <w:t>2.2.3</w:t>
            </w:r>
            <w:r w:rsidR="00976A78" w:rsidRPr="00976A78">
              <w:rPr>
                <w:rFonts w:eastAsiaTheme="minorEastAsia" w:cstheme="minorHAnsi"/>
                <w:noProof/>
                <w:lang w:val="en-AU" w:eastAsia="en-AU"/>
              </w:rPr>
              <w:tab/>
            </w:r>
            <w:r w:rsidR="00976A78" w:rsidRPr="00976A78">
              <w:rPr>
                <w:rStyle w:val="Hyperlink"/>
                <w:rFonts w:cstheme="minorHAnsi"/>
                <w:noProof/>
              </w:rPr>
              <w:t>Site visits</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_Toc536205439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8</w:t>
            </w:r>
            <w:r w:rsidR="00976A78" w:rsidRPr="00976A78">
              <w:rPr>
                <w:rFonts w:cstheme="minorHAnsi"/>
                <w:noProof/>
                <w:webHidden/>
              </w:rPr>
              <w:fldChar w:fldCharType="end"/>
            </w:r>
          </w:hyperlink>
        </w:p>
        <w:p w14:paraId="7B3D298F" w14:textId="0AB51231"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40" w:history="1">
            <w:r w:rsidR="00976A78" w:rsidRPr="00976A78">
              <w:rPr>
                <w:rStyle w:val="Hyperlink"/>
                <w:rFonts w:cstheme="minorHAnsi"/>
                <w:noProof/>
              </w:rPr>
              <w:t>2.2.4</w:t>
            </w:r>
            <w:r w:rsidR="00976A78" w:rsidRPr="00976A78">
              <w:rPr>
                <w:rFonts w:eastAsiaTheme="minorEastAsia" w:cstheme="minorHAnsi"/>
                <w:noProof/>
                <w:lang w:val="en-AU" w:eastAsia="en-AU"/>
              </w:rPr>
              <w:tab/>
            </w:r>
            <w:r w:rsidR="00976A78" w:rsidRPr="00976A78">
              <w:rPr>
                <w:rStyle w:val="Hyperlink"/>
                <w:rFonts w:cstheme="minorHAnsi"/>
                <w:noProof/>
              </w:rPr>
              <w:t>Limitations</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_Toc536205440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8</w:t>
            </w:r>
            <w:r w:rsidR="00976A78" w:rsidRPr="00976A78">
              <w:rPr>
                <w:rFonts w:cstheme="minorHAnsi"/>
                <w:noProof/>
                <w:webHidden/>
              </w:rPr>
              <w:fldChar w:fldCharType="end"/>
            </w:r>
          </w:hyperlink>
        </w:p>
        <w:p w14:paraId="74703E52" w14:textId="7137024A" w:rsidR="00976A78" w:rsidRPr="00976A78" w:rsidRDefault="001A663F">
          <w:pPr>
            <w:pStyle w:val="TOC1"/>
            <w:tabs>
              <w:tab w:val="left" w:pos="440"/>
              <w:tab w:val="right" w:leader="dot" w:pos="9016"/>
            </w:tabs>
            <w:rPr>
              <w:rFonts w:asciiTheme="minorHAnsi" w:eastAsiaTheme="minorEastAsia" w:hAnsiTheme="minorHAnsi" w:cstheme="minorHAnsi"/>
              <w:noProof/>
              <w:sz w:val="22"/>
              <w:szCs w:val="22"/>
              <w:lang w:eastAsia="en-AU"/>
            </w:rPr>
          </w:pPr>
          <w:hyperlink w:anchor="_Toc536205441" w:history="1">
            <w:r w:rsidR="00976A78" w:rsidRPr="00976A78">
              <w:rPr>
                <w:rStyle w:val="Hyperlink"/>
                <w:rFonts w:asciiTheme="minorHAnsi" w:hAnsiTheme="minorHAnsi" w:cstheme="minorHAnsi"/>
                <w:noProof/>
                <w:sz w:val="22"/>
                <w:szCs w:val="22"/>
              </w:rPr>
              <w:t>3.</w:t>
            </w:r>
            <w:r w:rsidR="00976A78" w:rsidRPr="00976A78">
              <w:rPr>
                <w:rFonts w:asciiTheme="minorHAnsi" w:eastAsiaTheme="minorEastAsia" w:hAnsiTheme="minorHAnsi" w:cstheme="minorHAnsi"/>
                <w:noProof/>
                <w:sz w:val="22"/>
                <w:szCs w:val="22"/>
                <w:lang w:eastAsia="en-AU"/>
              </w:rPr>
              <w:tab/>
            </w:r>
            <w:r w:rsidR="00976A78" w:rsidRPr="00976A78">
              <w:rPr>
                <w:rStyle w:val="Hyperlink"/>
                <w:rFonts w:asciiTheme="minorHAnsi" w:hAnsiTheme="minorHAnsi" w:cstheme="minorHAnsi"/>
                <w:noProof/>
                <w:sz w:val="22"/>
                <w:szCs w:val="22"/>
              </w:rPr>
              <w:t>Evaluation Findings</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_Toc536205441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9</w:t>
            </w:r>
            <w:r w:rsidR="00976A78" w:rsidRPr="00976A78">
              <w:rPr>
                <w:rFonts w:asciiTheme="minorHAnsi" w:hAnsiTheme="minorHAnsi" w:cstheme="minorHAnsi"/>
                <w:noProof/>
                <w:webHidden/>
                <w:sz w:val="22"/>
                <w:szCs w:val="22"/>
              </w:rPr>
              <w:fldChar w:fldCharType="end"/>
            </w:r>
          </w:hyperlink>
        </w:p>
        <w:p w14:paraId="1113B4DF" w14:textId="00787DB3"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42" w:history="1">
            <w:r w:rsidR="00976A78" w:rsidRPr="00976A78">
              <w:rPr>
                <w:rStyle w:val="Hyperlink"/>
                <w:rFonts w:asciiTheme="minorHAnsi" w:hAnsiTheme="minorHAnsi" w:cstheme="minorHAnsi"/>
                <w:noProof/>
                <w:sz w:val="22"/>
              </w:rPr>
              <w:t>3.1</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High-level program targets</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_Toc536205442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9</w:t>
            </w:r>
            <w:r w:rsidR="00976A78" w:rsidRPr="00976A78">
              <w:rPr>
                <w:rFonts w:asciiTheme="minorHAnsi" w:hAnsiTheme="minorHAnsi" w:cstheme="minorHAnsi"/>
                <w:noProof/>
                <w:webHidden/>
                <w:sz w:val="22"/>
              </w:rPr>
              <w:fldChar w:fldCharType="end"/>
            </w:r>
          </w:hyperlink>
        </w:p>
        <w:p w14:paraId="3C0E83D6" w14:textId="695A7B08"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43" w:history="1">
            <w:r w:rsidR="00976A78" w:rsidRPr="00976A78">
              <w:rPr>
                <w:rStyle w:val="Hyperlink"/>
                <w:rFonts w:asciiTheme="minorHAnsi" w:hAnsiTheme="minorHAnsi" w:cstheme="minorHAnsi"/>
                <w:noProof/>
                <w:sz w:val="22"/>
              </w:rPr>
              <w:t>3.2</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Progress</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_Toc536205443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11</w:t>
            </w:r>
            <w:r w:rsidR="00976A78" w:rsidRPr="00976A78">
              <w:rPr>
                <w:rFonts w:asciiTheme="minorHAnsi" w:hAnsiTheme="minorHAnsi" w:cstheme="minorHAnsi"/>
                <w:noProof/>
                <w:webHidden/>
                <w:sz w:val="22"/>
              </w:rPr>
              <w:fldChar w:fldCharType="end"/>
            </w:r>
          </w:hyperlink>
        </w:p>
        <w:p w14:paraId="13E484C2" w14:textId="4F87C8B7"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49" w:history="1">
            <w:r w:rsidR="00976A78" w:rsidRPr="00976A78">
              <w:rPr>
                <w:rStyle w:val="Hyperlink"/>
                <w:rFonts w:cstheme="minorHAnsi"/>
                <w:noProof/>
              </w:rPr>
              <w:t>3.2.1</w:t>
            </w:r>
            <w:r w:rsidR="00976A78" w:rsidRPr="00976A78">
              <w:rPr>
                <w:rFonts w:eastAsiaTheme="minorEastAsia" w:cstheme="minorHAnsi"/>
                <w:noProof/>
                <w:lang w:val="en-AU" w:eastAsia="en-AU"/>
              </w:rPr>
              <w:tab/>
            </w:r>
            <w:r w:rsidR="00976A78" w:rsidRPr="00976A78">
              <w:rPr>
                <w:rStyle w:val="Hyperlink"/>
                <w:rFonts w:cstheme="minorHAnsi"/>
                <w:noProof/>
              </w:rPr>
              <w:t>NCD prevention</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_Toc536205449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13</w:t>
            </w:r>
            <w:r w:rsidR="00976A78" w:rsidRPr="00976A78">
              <w:rPr>
                <w:rFonts w:cstheme="minorHAnsi"/>
                <w:noProof/>
                <w:webHidden/>
              </w:rPr>
              <w:fldChar w:fldCharType="end"/>
            </w:r>
          </w:hyperlink>
        </w:p>
        <w:p w14:paraId="40C5BC0D" w14:textId="5A659CD7"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50" w:history="1">
            <w:r w:rsidR="00976A78" w:rsidRPr="00976A78">
              <w:rPr>
                <w:rStyle w:val="Hyperlink"/>
                <w:rFonts w:cstheme="minorHAnsi"/>
                <w:noProof/>
              </w:rPr>
              <w:t>3.2.2</w:t>
            </w:r>
            <w:r w:rsidR="00976A78" w:rsidRPr="00976A78">
              <w:rPr>
                <w:rFonts w:eastAsiaTheme="minorEastAsia" w:cstheme="minorHAnsi"/>
                <w:noProof/>
                <w:lang w:val="en-AU" w:eastAsia="en-AU"/>
              </w:rPr>
              <w:tab/>
            </w:r>
            <w:r w:rsidR="00976A78" w:rsidRPr="00976A78">
              <w:rPr>
                <w:rStyle w:val="Hyperlink"/>
                <w:rFonts w:cstheme="minorHAnsi"/>
                <w:noProof/>
              </w:rPr>
              <w:t>Primary health care</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_Toc536205450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16</w:t>
            </w:r>
            <w:r w:rsidR="00976A78" w:rsidRPr="00976A78">
              <w:rPr>
                <w:rFonts w:cstheme="minorHAnsi"/>
                <w:noProof/>
                <w:webHidden/>
              </w:rPr>
              <w:fldChar w:fldCharType="end"/>
            </w:r>
          </w:hyperlink>
        </w:p>
        <w:p w14:paraId="7CCC13B0" w14:textId="0F93615D"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51" w:history="1">
            <w:r w:rsidR="00976A78" w:rsidRPr="00976A78">
              <w:rPr>
                <w:rStyle w:val="Hyperlink"/>
                <w:rFonts w:cstheme="minorHAnsi"/>
                <w:noProof/>
              </w:rPr>
              <w:t>3.2.3</w:t>
            </w:r>
            <w:r w:rsidR="00976A78" w:rsidRPr="00976A78">
              <w:rPr>
                <w:rFonts w:eastAsiaTheme="minorEastAsia" w:cstheme="minorHAnsi"/>
                <w:noProof/>
                <w:lang w:val="en-AU" w:eastAsia="en-AU"/>
              </w:rPr>
              <w:tab/>
            </w:r>
            <w:r w:rsidR="00976A78" w:rsidRPr="00976A78">
              <w:rPr>
                <w:rStyle w:val="Hyperlink"/>
                <w:rFonts w:cstheme="minorHAnsi"/>
                <w:noProof/>
              </w:rPr>
              <w:t>Governance and strategy</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_Toc536205451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19</w:t>
            </w:r>
            <w:r w:rsidR="00976A78" w:rsidRPr="00976A78">
              <w:rPr>
                <w:rFonts w:cstheme="minorHAnsi"/>
                <w:noProof/>
                <w:webHidden/>
              </w:rPr>
              <w:fldChar w:fldCharType="end"/>
            </w:r>
          </w:hyperlink>
        </w:p>
        <w:p w14:paraId="3C1C4664" w14:textId="4EA0CF27"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52" w:history="1">
            <w:r w:rsidR="00976A78" w:rsidRPr="00976A78">
              <w:rPr>
                <w:rStyle w:val="Hyperlink"/>
                <w:rFonts w:cstheme="minorHAnsi"/>
                <w:noProof/>
              </w:rPr>
              <w:t>3.2.4</w:t>
            </w:r>
            <w:r w:rsidR="00976A78" w:rsidRPr="00976A78">
              <w:rPr>
                <w:rFonts w:eastAsiaTheme="minorEastAsia" w:cstheme="minorHAnsi"/>
                <w:noProof/>
                <w:lang w:val="en-AU" w:eastAsia="en-AU"/>
              </w:rPr>
              <w:tab/>
            </w:r>
            <w:r w:rsidR="00976A78" w:rsidRPr="00976A78">
              <w:rPr>
                <w:rStyle w:val="Hyperlink"/>
                <w:rFonts w:cstheme="minorHAnsi"/>
                <w:noProof/>
              </w:rPr>
              <w:t>Public financial management</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_Toc536205452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22</w:t>
            </w:r>
            <w:r w:rsidR="00976A78" w:rsidRPr="00976A78">
              <w:rPr>
                <w:rFonts w:cstheme="minorHAnsi"/>
                <w:noProof/>
                <w:webHidden/>
              </w:rPr>
              <w:fldChar w:fldCharType="end"/>
            </w:r>
          </w:hyperlink>
        </w:p>
        <w:p w14:paraId="23C5431F" w14:textId="1CB296E7"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53" w:history="1">
            <w:r w:rsidR="00976A78" w:rsidRPr="00976A78">
              <w:rPr>
                <w:rStyle w:val="Hyperlink"/>
                <w:rFonts w:cstheme="minorHAnsi"/>
                <w:noProof/>
              </w:rPr>
              <w:t>3.2.5</w:t>
            </w:r>
            <w:r w:rsidR="00976A78" w:rsidRPr="00976A78">
              <w:rPr>
                <w:rFonts w:eastAsiaTheme="minorEastAsia" w:cstheme="minorHAnsi"/>
                <w:noProof/>
                <w:lang w:val="en-AU" w:eastAsia="en-AU"/>
              </w:rPr>
              <w:tab/>
            </w:r>
            <w:r w:rsidR="00976A78" w:rsidRPr="00976A78">
              <w:rPr>
                <w:rStyle w:val="Hyperlink"/>
                <w:rFonts w:cstheme="minorHAnsi"/>
                <w:noProof/>
              </w:rPr>
              <w:t>Monitoring and performance</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_Toc536205453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27</w:t>
            </w:r>
            <w:r w:rsidR="00976A78" w:rsidRPr="00976A78">
              <w:rPr>
                <w:rFonts w:cstheme="minorHAnsi"/>
                <w:noProof/>
                <w:webHidden/>
              </w:rPr>
              <w:fldChar w:fldCharType="end"/>
            </w:r>
          </w:hyperlink>
        </w:p>
        <w:p w14:paraId="61ACB91A" w14:textId="4D8A18E1"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54" w:history="1">
            <w:r w:rsidR="00976A78" w:rsidRPr="00976A78">
              <w:rPr>
                <w:rStyle w:val="Hyperlink"/>
                <w:rFonts w:cstheme="minorHAnsi"/>
                <w:noProof/>
              </w:rPr>
              <w:t>3.2.6</w:t>
            </w:r>
            <w:r w:rsidR="00976A78" w:rsidRPr="00976A78">
              <w:rPr>
                <w:rFonts w:eastAsiaTheme="minorEastAsia" w:cstheme="minorHAnsi"/>
                <w:noProof/>
                <w:lang w:val="en-AU" w:eastAsia="en-AU"/>
              </w:rPr>
              <w:tab/>
            </w:r>
            <w:r w:rsidR="00976A78" w:rsidRPr="00976A78">
              <w:rPr>
                <w:rStyle w:val="Hyperlink"/>
                <w:rFonts w:cstheme="minorHAnsi"/>
                <w:noProof/>
              </w:rPr>
              <w:t>Capacity development</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_Toc536205454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30</w:t>
            </w:r>
            <w:r w:rsidR="00976A78" w:rsidRPr="00976A78">
              <w:rPr>
                <w:rFonts w:cstheme="minorHAnsi"/>
                <w:noProof/>
                <w:webHidden/>
              </w:rPr>
              <w:fldChar w:fldCharType="end"/>
            </w:r>
          </w:hyperlink>
        </w:p>
        <w:p w14:paraId="3A46072B" w14:textId="21794749"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55" w:history="1">
            <w:r w:rsidR="00976A78" w:rsidRPr="00976A78">
              <w:rPr>
                <w:rStyle w:val="Hyperlink"/>
                <w:rFonts w:cstheme="minorHAnsi"/>
                <w:noProof/>
              </w:rPr>
              <w:t>3.2.7</w:t>
            </w:r>
            <w:r w:rsidR="00976A78" w:rsidRPr="00976A78">
              <w:rPr>
                <w:rFonts w:eastAsiaTheme="minorEastAsia" w:cstheme="minorHAnsi"/>
                <w:noProof/>
                <w:lang w:val="en-AU" w:eastAsia="en-AU"/>
              </w:rPr>
              <w:tab/>
            </w:r>
            <w:r w:rsidR="00976A78" w:rsidRPr="00976A78">
              <w:rPr>
                <w:rStyle w:val="Hyperlink"/>
                <w:rFonts w:cstheme="minorHAnsi"/>
                <w:noProof/>
              </w:rPr>
              <w:t>Disability, including mental health</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_Toc536205455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32</w:t>
            </w:r>
            <w:r w:rsidR="00976A78" w:rsidRPr="00976A78">
              <w:rPr>
                <w:rFonts w:cstheme="minorHAnsi"/>
                <w:noProof/>
                <w:webHidden/>
              </w:rPr>
              <w:fldChar w:fldCharType="end"/>
            </w:r>
          </w:hyperlink>
        </w:p>
        <w:p w14:paraId="2B8DC59A" w14:textId="41A46708"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56" w:history="1">
            <w:r w:rsidR="00976A78" w:rsidRPr="00976A78">
              <w:rPr>
                <w:rStyle w:val="Hyperlink"/>
                <w:rFonts w:cstheme="minorHAnsi"/>
                <w:noProof/>
              </w:rPr>
              <w:t>3.2.8</w:t>
            </w:r>
            <w:r w:rsidR="00976A78" w:rsidRPr="00976A78">
              <w:rPr>
                <w:rFonts w:eastAsiaTheme="minorEastAsia" w:cstheme="minorHAnsi"/>
                <w:noProof/>
                <w:lang w:val="en-AU" w:eastAsia="en-AU"/>
              </w:rPr>
              <w:tab/>
            </w:r>
            <w:r w:rsidR="00976A78" w:rsidRPr="00976A78">
              <w:rPr>
                <w:rStyle w:val="Hyperlink"/>
                <w:rFonts w:cstheme="minorHAnsi"/>
                <w:noProof/>
              </w:rPr>
              <w:t>Disadvantage, including remoteness</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_Toc536205456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33</w:t>
            </w:r>
            <w:r w:rsidR="00976A78" w:rsidRPr="00976A78">
              <w:rPr>
                <w:rFonts w:cstheme="minorHAnsi"/>
                <w:noProof/>
                <w:webHidden/>
              </w:rPr>
              <w:fldChar w:fldCharType="end"/>
            </w:r>
          </w:hyperlink>
        </w:p>
        <w:p w14:paraId="78E27BA2" w14:textId="462C0314"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57" w:history="1">
            <w:r w:rsidR="00976A78" w:rsidRPr="00976A78">
              <w:rPr>
                <w:rStyle w:val="Hyperlink"/>
                <w:rFonts w:cstheme="minorHAnsi"/>
                <w:noProof/>
              </w:rPr>
              <w:t>3.2.9</w:t>
            </w:r>
            <w:r w:rsidR="00976A78" w:rsidRPr="00976A78">
              <w:rPr>
                <w:rFonts w:eastAsiaTheme="minorEastAsia" w:cstheme="minorHAnsi"/>
                <w:noProof/>
                <w:lang w:val="en-AU" w:eastAsia="en-AU"/>
              </w:rPr>
              <w:tab/>
            </w:r>
            <w:r w:rsidR="00976A78" w:rsidRPr="00976A78">
              <w:rPr>
                <w:rStyle w:val="Hyperlink"/>
                <w:rFonts w:cstheme="minorHAnsi"/>
                <w:noProof/>
              </w:rPr>
              <w:t>Gender</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_Toc536205457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34</w:t>
            </w:r>
            <w:r w:rsidR="00976A78" w:rsidRPr="00976A78">
              <w:rPr>
                <w:rFonts w:cstheme="minorHAnsi"/>
                <w:noProof/>
                <w:webHidden/>
              </w:rPr>
              <w:fldChar w:fldCharType="end"/>
            </w:r>
          </w:hyperlink>
        </w:p>
        <w:p w14:paraId="23ADFC20" w14:textId="1E6F063E"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58" w:history="1">
            <w:r w:rsidR="00976A78" w:rsidRPr="00976A78">
              <w:rPr>
                <w:rStyle w:val="Hyperlink"/>
                <w:rFonts w:cstheme="minorHAnsi"/>
                <w:noProof/>
              </w:rPr>
              <w:t>3.2.10</w:t>
            </w:r>
            <w:r w:rsidR="00976A78" w:rsidRPr="00976A78">
              <w:rPr>
                <w:rFonts w:eastAsiaTheme="minorEastAsia" w:cstheme="minorHAnsi"/>
                <w:noProof/>
                <w:lang w:val="en-AU" w:eastAsia="en-AU"/>
              </w:rPr>
              <w:tab/>
            </w:r>
            <w:r w:rsidR="00976A78" w:rsidRPr="00976A78">
              <w:rPr>
                <w:rStyle w:val="Hyperlink"/>
                <w:rFonts w:cstheme="minorHAnsi"/>
                <w:noProof/>
              </w:rPr>
              <w:t>Human resources</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_Toc536205458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35</w:t>
            </w:r>
            <w:r w:rsidR="00976A78" w:rsidRPr="00976A78">
              <w:rPr>
                <w:rFonts w:cstheme="minorHAnsi"/>
                <w:noProof/>
                <w:webHidden/>
              </w:rPr>
              <w:fldChar w:fldCharType="end"/>
            </w:r>
          </w:hyperlink>
        </w:p>
        <w:p w14:paraId="64AE1E48" w14:textId="0C2F8F7C"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59" w:history="1">
            <w:r w:rsidR="00976A78" w:rsidRPr="00976A78">
              <w:rPr>
                <w:rStyle w:val="Hyperlink"/>
                <w:rFonts w:asciiTheme="minorHAnsi" w:hAnsiTheme="minorHAnsi" w:cstheme="minorHAnsi"/>
                <w:noProof/>
                <w:sz w:val="22"/>
              </w:rPr>
              <w:t>3.3</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Program implementation issues</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_Toc536205459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36</w:t>
            </w:r>
            <w:r w:rsidR="00976A78" w:rsidRPr="00976A78">
              <w:rPr>
                <w:rFonts w:asciiTheme="minorHAnsi" w:hAnsiTheme="minorHAnsi" w:cstheme="minorHAnsi"/>
                <w:noProof/>
                <w:webHidden/>
                <w:sz w:val="22"/>
              </w:rPr>
              <w:fldChar w:fldCharType="end"/>
            </w:r>
          </w:hyperlink>
        </w:p>
        <w:p w14:paraId="06CC9503" w14:textId="7BECB4C2"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61" w:history="1">
            <w:r w:rsidR="00976A78" w:rsidRPr="00976A78">
              <w:rPr>
                <w:rStyle w:val="Hyperlink"/>
                <w:rFonts w:cstheme="minorHAnsi"/>
                <w:noProof/>
              </w:rPr>
              <w:t>3.3.1</w:t>
            </w:r>
            <w:r w:rsidR="00976A78" w:rsidRPr="00976A78">
              <w:rPr>
                <w:rFonts w:eastAsiaTheme="minorEastAsia" w:cstheme="minorHAnsi"/>
                <w:noProof/>
                <w:lang w:val="en-AU" w:eastAsia="en-AU"/>
              </w:rPr>
              <w:tab/>
            </w:r>
            <w:r w:rsidR="00976A78" w:rsidRPr="00976A78">
              <w:rPr>
                <w:rStyle w:val="Hyperlink"/>
                <w:rFonts w:cstheme="minorHAnsi"/>
                <w:noProof/>
              </w:rPr>
              <w:t>Program activities and investments</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_Toc536205461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36</w:t>
            </w:r>
            <w:r w:rsidR="00976A78" w:rsidRPr="00976A78">
              <w:rPr>
                <w:rFonts w:cstheme="minorHAnsi"/>
                <w:noProof/>
                <w:webHidden/>
              </w:rPr>
              <w:fldChar w:fldCharType="end"/>
            </w:r>
          </w:hyperlink>
        </w:p>
        <w:p w14:paraId="717D5A4C" w14:textId="11600864" w:rsidR="00976A78" w:rsidRPr="00976A78" w:rsidRDefault="001A663F">
          <w:pPr>
            <w:pStyle w:val="TOC3"/>
            <w:tabs>
              <w:tab w:val="left" w:pos="1320"/>
              <w:tab w:val="right" w:leader="dot" w:pos="9016"/>
            </w:tabs>
            <w:rPr>
              <w:rFonts w:eastAsiaTheme="minorEastAsia" w:cstheme="minorHAnsi"/>
              <w:noProof/>
              <w:lang w:val="en-AU" w:eastAsia="en-AU"/>
            </w:rPr>
          </w:pPr>
          <w:hyperlink w:anchor="_Toc536205462" w:history="1">
            <w:r w:rsidR="00976A78" w:rsidRPr="00976A78">
              <w:rPr>
                <w:rStyle w:val="Hyperlink"/>
                <w:rFonts w:cstheme="minorHAnsi"/>
                <w:noProof/>
              </w:rPr>
              <w:t>3.3.2</w:t>
            </w:r>
            <w:r w:rsidR="00976A78" w:rsidRPr="00976A78">
              <w:rPr>
                <w:rFonts w:eastAsiaTheme="minorEastAsia" w:cstheme="minorHAnsi"/>
                <w:noProof/>
                <w:lang w:val="en-AU" w:eastAsia="en-AU"/>
              </w:rPr>
              <w:tab/>
            </w:r>
            <w:r w:rsidR="00976A78" w:rsidRPr="00976A78">
              <w:rPr>
                <w:rStyle w:val="Hyperlink"/>
                <w:rFonts w:cstheme="minorHAnsi"/>
                <w:noProof/>
              </w:rPr>
              <w:t>Relationships</w:t>
            </w:r>
            <w:r w:rsidR="00976A78" w:rsidRPr="00976A78">
              <w:rPr>
                <w:rFonts w:cstheme="minorHAnsi"/>
                <w:noProof/>
                <w:webHidden/>
              </w:rPr>
              <w:tab/>
            </w:r>
            <w:r w:rsidR="00976A78" w:rsidRPr="00976A78">
              <w:rPr>
                <w:rFonts w:cstheme="minorHAnsi"/>
                <w:noProof/>
                <w:webHidden/>
              </w:rPr>
              <w:fldChar w:fldCharType="begin"/>
            </w:r>
            <w:r w:rsidR="00976A78" w:rsidRPr="00976A78">
              <w:rPr>
                <w:rFonts w:cstheme="minorHAnsi"/>
                <w:noProof/>
                <w:webHidden/>
              </w:rPr>
              <w:instrText xml:space="preserve"> PAGEREF _Toc536205462 \h </w:instrText>
            </w:r>
            <w:r w:rsidR="00976A78" w:rsidRPr="00976A78">
              <w:rPr>
                <w:rFonts w:cstheme="minorHAnsi"/>
                <w:noProof/>
                <w:webHidden/>
              </w:rPr>
            </w:r>
            <w:r w:rsidR="00976A78" w:rsidRPr="00976A78">
              <w:rPr>
                <w:rFonts w:cstheme="minorHAnsi"/>
                <w:noProof/>
                <w:webHidden/>
              </w:rPr>
              <w:fldChar w:fldCharType="separate"/>
            </w:r>
            <w:r w:rsidR="00766056">
              <w:rPr>
                <w:rFonts w:cstheme="minorHAnsi"/>
                <w:noProof/>
                <w:webHidden/>
              </w:rPr>
              <w:t>38</w:t>
            </w:r>
            <w:r w:rsidR="00976A78" w:rsidRPr="00976A78">
              <w:rPr>
                <w:rFonts w:cstheme="minorHAnsi"/>
                <w:noProof/>
                <w:webHidden/>
              </w:rPr>
              <w:fldChar w:fldCharType="end"/>
            </w:r>
          </w:hyperlink>
        </w:p>
        <w:p w14:paraId="70FDF703" w14:textId="166DBE60"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63" w:history="1">
            <w:r w:rsidR="00976A78" w:rsidRPr="00976A78">
              <w:rPr>
                <w:rStyle w:val="Hyperlink"/>
                <w:rFonts w:asciiTheme="minorHAnsi" w:hAnsiTheme="minorHAnsi" w:cstheme="minorHAnsi"/>
                <w:noProof/>
                <w:sz w:val="22"/>
              </w:rPr>
              <w:t>3.4</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DFAT’s strategic evaluation questions</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_Toc536205463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39</w:t>
            </w:r>
            <w:r w:rsidR="00976A78" w:rsidRPr="00976A78">
              <w:rPr>
                <w:rFonts w:asciiTheme="minorHAnsi" w:hAnsiTheme="minorHAnsi" w:cstheme="minorHAnsi"/>
                <w:noProof/>
                <w:webHidden/>
                <w:sz w:val="22"/>
              </w:rPr>
              <w:fldChar w:fldCharType="end"/>
            </w:r>
          </w:hyperlink>
        </w:p>
        <w:p w14:paraId="59FA3363" w14:textId="5F827963" w:rsidR="00976A78" w:rsidRPr="00976A78" w:rsidRDefault="001A663F">
          <w:pPr>
            <w:pStyle w:val="TOC1"/>
            <w:tabs>
              <w:tab w:val="left" w:pos="440"/>
              <w:tab w:val="right" w:leader="dot" w:pos="9016"/>
            </w:tabs>
            <w:rPr>
              <w:rFonts w:asciiTheme="minorHAnsi" w:eastAsiaTheme="minorEastAsia" w:hAnsiTheme="minorHAnsi" w:cstheme="minorHAnsi"/>
              <w:noProof/>
              <w:sz w:val="22"/>
              <w:szCs w:val="22"/>
              <w:lang w:eastAsia="en-AU"/>
            </w:rPr>
          </w:pPr>
          <w:hyperlink w:anchor="_Toc536205464" w:history="1">
            <w:r w:rsidR="00976A78" w:rsidRPr="00976A78">
              <w:rPr>
                <w:rStyle w:val="Hyperlink"/>
                <w:rFonts w:asciiTheme="minorHAnsi" w:hAnsiTheme="minorHAnsi" w:cstheme="minorHAnsi"/>
                <w:noProof/>
                <w:sz w:val="22"/>
                <w:szCs w:val="22"/>
              </w:rPr>
              <w:t>4.</w:t>
            </w:r>
            <w:r w:rsidR="00976A78" w:rsidRPr="00976A78">
              <w:rPr>
                <w:rFonts w:asciiTheme="minorHAnsi" w:eastAsiaTheme="minorEastAsia" w:hAnsiTheme="minorHAnsi" w:cstheme="minorHAnsi"/>
                <w:noProof/>
                <w:sz w:val="22"/>
                <w:szCs w:val="22"/>
                <w:lang w:eastAsia="en-AU"/>
              </w:rPr>
              <w:tab/>
            </w:r>
            <w:r w:rsidR="00976A78" w:rsidRPr="00976A78">
              <w:rPr>
                <w:rStyle w:val="Hyperlink"/>
                <w:rFonts w:asciiTheme="minorHAnsi" w:hAnsiTheme="minorHAnsi" w:cstheme="minorHAnsi"/>
                <w:noProof/>
                <w:sz w:val="22"/>
                <w:szCs w:val="22"/>
              </w:rPr>
              <w:t>Recommendations</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_Toc536205464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42</w:t>
            </w:r>
            <w:r w:rsidR="00976A78" w:rsidRPr="00976A78">
              <w:rPr>
                <w:rFonts w:asciiTheme="minorHAnsi" w:hAnsiTheme="minorHAnsi" w:cstheme="minorHAnsi"/>
                <w:noProof/>
                <w:webHidden/>
                <w:sz w:val="22"/>
                <w:szCs w:val="22"/>
              </w:rPr>
              <w:fldChar w:fldCharType="end"/>
            </w:r>
          </w:hyperlink>
        </w:p>
        <w:p w14:paraId="6E923C32" w14:textId="2B66FD11"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67" w:history="1">
            <w:r w:rsidR="00976A78" w:rsidRPr="00976A78">
              <w:rPr>
                <w:rStyle w:val="Hyperlink"/>
                <w:rFonts w:asciiTheme="minorHAnsi" w:hAnsiTheme="minorHAnsi" w:cstheme="minorHAnsi"/>
                <w:noProof/>
                <w:sz w:val="22"/>
              </w:rPr>
              <w:t>4.1.</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Program targets and direction</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_Toc536205467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42</w:t>
            </w:r>
            <w:r w:rsidR="00976A78" w:rsidRPr="00976A78">
              <w:rPr>
                <w:rFonts w:asciiTheme="minorHAnsi" w:hAnsiTheme="minorHAnsi" w:cstheme="minorHAnsi"/>
                <w:noProof/>
                <w:webHidden/>
                <w:sz w:val="22"/>
              </w:rPr>
              <w:fldChar w:fldCharType="end"/>
            </w:r>
          </w:hyperlink>
        </w:p>
        <w:p w14:paraId="7B1C4531" w14:textId="13F9F178"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68" w:history="1">
            <w:r w:rsidR="00976A78" w:rsidRPr="00976A78">
              <w:rPr>
                <w:rStyle w:val="Hyperlink"/>
                <w:rFonts w:asciiTheme="minorHAnsi" w:hAnsiTheme="minorHAnsi" w:cstheme="minorHAnsi"/>
                <w:noProof/>
                <w:sz w:val="22"/>
              </w:rPr>
              <w:t>4.2.</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Program oversight and engagement</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_Toc536205468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43</w:t>
            </w:r>
            <w:r w:rsidR="00976A78" w:rsidRPr="00976A78">
              <w:rPr>
                <w:rFonts w:asciiTheme="minorHAnsi" w:hAnsiTheme="minorHAnsi" w:cstheme="minorHAnsi"/>
                <w:noProof/>
                <w:webHidden/>
                <w:sz w:val="22"/>
              </w:rPr>
              <w:fldChar w:fldCharType="end"/>
            </w:r>
          </w:hyperlink>
        </w:p>
        <w:p w14:paraId="069772E6" w14:textId="0C00862F"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69" w:history="1">
            <w:r w:rsidR="00976A78" w:rsidRPr="00976A78">
              <w:rPr>
                <w:rStyle w:val="Hyperlink"/>
                <w:rFonts w:asciiTheme="minorHAnsi" w:hAnsiTheme="minorHAnsi" w:cstheme="minorHAnsi"/>
                <w:noProof/>
                <w:sz w:val="22"/>
              </w:rPr>
              <w:t>4.3.</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Program performance measurement</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_Toc536205469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44</w:t>
            </w:r>
            <w:r w:rsidR="00976A78" w:rsidRPr="00976A78">
              <w:rPr>
                <w:rFonts w:asciiTheme="minorHAnsi" w:hAnsiTheme="minorHAnsi" w:cstheme="minorHAnsi"/>
                <w:noProof/>
                <w:webHidden/>
                <w:sz w:val="22"/>
              </w:rPr>
              <w:fldChar w:fldCharType="end"/>
            </w:r>
          </w:hyperlink>
        </w:p>
        <w:p w14:paraId="7B1F8C09" w14:textId="294C29B9"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70" w:history="1">
            <w:r w:rsidR="00976A78" w:rsidRPr="00976A78">
              <w:rPr>
                <w:rStyle w:val="Hyperlink"/>
                <w:rFonts w:asciiTheme="minorHAnsi" w:hAnsiTheme="minorHAnsi" w:cstheme="minorHAnsi"/>
                <w:noProof/>
                <w:sz w:val="22"/>
              </w:rPr>
              <w:t>4.4.</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NCD prevention</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_Toc536205470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44</w:t>
            </w:r>
            <w:r w:rsidR="00976A78" w:rsidRPr="00976A78">
              <w:rPr>
                <w:rFonts w:asciiTheme="minorHAnsi" w:hAnsiTheme="minorHAnsi" w:cstheme="minorHAnsi"/>
                <w:noProof/>
                <w:webHidden/>
                <w:sz w:val="22"/>
              </w:rPr>
              <w:fldChar w:fldCharType="end"/>
            </w:r>
          </w:hyperlink>
        </w:p>
        <w:p w14:paraId="044C351A" w14:textId="3AE90A77"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71" w:history="1">
            <w:r w:rsidR="00976A78" w:rsidRPr="00976A78">
              <w:rPr>
                <w:rStyle w:val="Hyperlink"/>
                <w:rFonts w:asciiTheme="minorHAnsi" w:hAnsiTheme="minorHAnsi" w:cstheme="minorHAnsi"/>
                <w:noProof/>
                <w:sz w:val="22"/>
              </w:rPr>
              <w:t>4.5.</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NCD management and universal health coverage</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_Toc536205471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45</w:t>
            </w:r>
            <w:r w:rsidR="00976A78" w:rsidRPr="00976A78">
              <w:rPr>
                <w:rFonts w:asciiTheme="minorHAnsi" w:hAnsiTheme="minorHAnsi" w:cstheme="minorHAnsi"/>
                <w:noProof/>
                <w:webHidden/>
                <w:sz w:val="22"/>
              </w:rPr>
              <w:fldChar w:fldCharType="end"/>
            </w:r>
          </w:hyperlink>
        </w:p>
        <w:p w14:paraId="7A9DD56C" w14:textId="465073CC"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72" w:history="1">
            <w:r w:rsidR="00976A78" w:rsidRPr="00976A78">
              <w:rPr>
                <w:rStyle w:val="Hyperlink"/>
                <w:rFonts w:asciiTheme="minorHAnsi" w:hAnsiTheme="minorHAnsi" w:cstheme="minorHAnsi"/>
                <w:noProof/>
                <w:sz w:val="22"/>
              </w:rPr>
              <w:t>4.6.</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Health sector management</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_Toc536205472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45</w:t>
            </w:r>
            <w:r w:rsidR="00976A78" w:rsidRPr="00976A78">
              <w:rPr>
                <w:rFonts w:asciiTheme="minorHAnsi" w:hAnsiTheme="minorHAnsi" w:cstheme="minorHAnsi"/>
                <w:noProof/>
                <w:webHidden/>
                <w:sz w:val="22"/>
              </w:rPr>
              <w:fldChar w:fldCharType="end"/>
            </w:r>
          </w:hyperlink>
        </w:p>
        <w:p w14:paraId="14118C2B" w14:textId="53B39CE5"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73" w:history="1">
            <w:r w:rsidR="00976A78" w:rsidRPr="00976A78">
              <w:rPr>
                <w:rStyle w:val="Hyperlink"/>
                <w:rFonts w:asciiTheme="minorHAnsi" w:hAnsiTheme="minorHAnsi" w:cstheme="minorHAnsi"/>
                <w:noProof/>
                <w:sz w:val="22"/>
              </w:rPr>
              <w:t>4.7.</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Disability-inclusive health</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_Toc536205473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45</w:t>
            </w:r>
            <w:r w:rsidR="00976A78" w:rsidRPr="00976A78">
              <w:rPr>
                <w:rFonts w:asciiTheme="minorHAnsi" w:hAnsiTheme="minorHAnsi" w:cstheme="minorHAnsi"/>
                <w:noProof/>
                <w:webHidden/>
                <w:sz w:val="22"/>
              </w:rPr>
              <w:fldChar w:fldCharType="end"/>
            </w:r>
          </w:hyperlink>
        </w:p>
        <w:p w14:paraId="003B11E3" w14:textId="3476008A"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74" w:history="1">
            <w:r w:rsidR="00976A78" w:rsidRPr="00976A78">
              <w:rPr>
                <w:rStyle w:val="Hyperlink"/>
                <w:rFonts w:asciiTheme="minorHAnsi" w:hAnsiTheme="minorHAnsi" w:cstheme="minorHAnsi"/>
                <w:noProof/>
                <w:sz w:val="22"/>
              </w:rPr>
              <w:t>4.8.</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Gender and social inclusion</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_Toc536205474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46</w:t>
            </w:r>
            <w:r w:rsidR="00976A78" w:rsidRPr="00976A78">
              <w:rPr>
                <w:rFonts w:asciiTheme="minorHAnsi" w:hAnsiTheme="minorHAnsi" w:cstheme="minorHAnsi"/>
                <w:noProof/>
                <w:webHidden/>
                <w:sz w:val="22"/>
              </w:rPr>
              <w:fldChar w:fldCharType="end"/>
            </w:r>
          </w:hyperlink>
        </w:p>
        <w:p w14:paraId="7529D0C8" w14:textId="4040DF6C" w:rsidR="00976A78" w:rsidRPr="00976A78" w:rsidRDefault="001A663F">
          <w:pPr>
            <w:pStyle w:val="TOC1"/>
            <w:tabs>
              <w:tab w:val="left" w:pos="440"/>
              <w:tab w:val="right" w:leader="dot" w:pos="9016"/>
            </w:tabs>
            <w:rPr>
              <w:rFonts w:asciiTheme="minorHAnsi" w:eastAsiaTheme="minorEastAsia" w:hAnsiTheme="minorHAnsi" w:cstheme="minorHAnsi"/>
              <w:noProof/>
              <w:sz w:val="22"/>
              <w:szCs w:val="22"/>
              <w:lang w:eastAsia="en-AU"/>
            </w:rPr>
          </w:pPr>
          <w:hyperlink w:anchor="_Toc536205475" w:history="1">
            <w:r w:rsidR="00976A78" w:rsidRPr="00976A78">
              <w:rPr>
                <w:rStyle w:val="Hyperlink"/>
                <w:rFonts w:asciiTheme="minorHAnsi" w:hAnsiTheme="minorHAnsi" w:cstheme="minorHAnsi"/>
                <w:noProof/>
                <w:sz w:val="22"/>
                <w:szCs w:val="22"/>
              </w:rPr>
              <w:t>5.</w:t>
            </w:r>
            <w:r w:rsidR="00976A78" w:rsidRPr="00976A78">
              <w:rPr>
                <w:rFonts w:asciiTheme="minorHAnsi" w:eastAsiaTheme="minorEastAsia" w:hAnsiTheme="minorHAnsi" w:cstheme="minorHAnsi"/>
                <w:noProof/>
                <w:sz w:val="22"/>
                <w:szCs w:val="22"/>
                <w:lang w:eastAsia="en-AU"/>
              </w:rPr>
              <w:tab/>
            </w:r>
            <w:r w:rsidR="00976A78" w:rsidRPr="00976A78">
              <w:rPr>
                <w:rStyle w:val="Hyperlink"/>
                <w:rFonts w:asciiTheme="minorHAnsi" w:hAnsiTheme="minorHAnsi" w:cstheme="minorHAnsi"/>
                <w:noProof/>
                <w:sz w:val="22"/>
                <w:szCs w:val="22"/>
              </w:rPr>
              <w:t>Future Australian aid support</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_Toc536205475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48</w:t>
            </w:r>
            <w:r w:rsidR="00976A78" w:rsidRPr="00976A78">
              <w:rPr>
                <w:rFonts w:asciiTheme="minorHAnsi" w:hAnsiTheme="minorHAnsi" w:cstheme="minorHAnsi"/>
                <w:noProof/>
                <w:webHidden/>
                <w:sz w:val="22"/>
                <w:szCs w:val="22"/>
              </w:rPr>
              <w:fldChar w:fldCharType="end"/>
            </w:r>
          </w:hyperlink>
        </w:p>
        <w:p w14:paraId="603B8603" w14:textId="7A39A0F4"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76" w:history="1">
            <w:r w:rsidR="00976A78" w:rsidRPr="00976A78">
              <w:rPr>
                <w:rStyle w:val="Hyperlink"/>
                <w:rFonts w:asciiTheme="minorHAnsi" w:hAnsiTheme="minorHAnsi" w:cstheme="minorHAnsi"/>
                <w:noProof/>
                <w:sz w:val="22"/>
              </w:rPr>
              <w:t>5.1</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Future health sector support</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_Toc536205476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48</w:t>
            </w:r>
            <w:r w:rsidR="00976A78" w:rsidRPr="00976A78">
              <w:rPr>
                <w:rFonts w:asciiTheme="minorHAnsi" w:hAnsiTheme="minorHAnsi" w:cstheme="minorHAnsi"/>
                <w:noProof/>
                <w:webHidden/>
                <w:sz w:val="22"/>
              </w:rPr>
              <w:fldChar w:fldCharType="end"/>
            </w:r>
          </w:hyperlink>
        </w:p>
        <w:p w14:paraId="669104F8" w14:textId="395D66AF" w:rsidR="00976A78" w:rsidRPr="00976A78" w:rsidRDefault="001A663F">
          <w:pPr>
            <w:pStyle w:val="TOC2"/>
            <w:tabs>
              <w:tab w:val="left" w:pos="880"/>
              <w:tab w:val="right" w:leader="dot" w:pos="9016"/>
            </w:tabs>
            <w:rPr>
              <w:rFonts w:asciiTheme="minorHAnsi" w:eastAsiaTheme="minorEastAsia" w:hAnsiTheme="minorHAnsi" w:cstheme="minorHAnsi"/>
              <w:noProof/>
              <w:sz w:val="22"/>
              <w:lang w:eastAsia="en-AU"/>
            </w:rPr>
          </w:pPr>
          <w:hyperlink w:anchor="_Toc536205477" w:history="1">
            <w:r w:rsidR="00976A78" w:rsidRPr="00976A78">
              <w:rPr>
                <w:rStyle w:val="Hyperlink"/>
                <w:rFonts w:asciiTheme="minorHAnsi" w:hAnsiTheme="minorHAnsi" w:cstheme="minorHAnsi"/>
                <w:noProof/>
                <w:sz w:val="22"/>
              </w:rPr>
              <w:t>5.2</w:t>
            </w:r>
            <w:r w:rsidR="00976A78" w:rsidRPr="00976A78">
              <w:rPr>
                <w:rFonts w:asciiTheme="minorHAnsi" w:eastAsiaTheme="minorEastAsia" w:hAnsiTheme="minorHAnsi" w:cstheme="minorHAnsi"/>
                <w:noProof/>
                <w:sz w:val="22"/>
                <w:lang w:eastAsia="en-AU"/>
              </w:rPr>
              <w:tab/>
            </w:r>
            <w:r w:rsidR="00976A78" w:rsidRPr="00976A78">
              <w:rPr>
                <w:rStyle w:val="Hyperlink"/>
                <w:rFonts w:asciiTheme="minorHAnsi" w:hAnsiTheme="minorHAnsi" w:cstheme="minorHAnsi"/>
                <w:noProof/>
                <w:sz w:val="22"/>
              </w:rPr>
              <w:t>Analytical products</w:t>
            </w:r>
            <w:r w:rsidR="00976A78" w:rsidRPr="00976A78">
              <w:rPr>
                <w:rFonts w:asciiTheme="minorHAnsi" w:hAnsiTheme="minorHAnsi" w:cstheme="minorHAnsi"/>
                <w:noProof/>
                <w:webHidden/>
                <w:sz w:val="22"/>
              </w:rPr>
              <w:tab/>
            </w:r>
            <w:r w:rsidR="00976A78" w:rsidRPr="00976A78">
              <w:rPr>
                <w:rFonts w:asciiTheme="minorHAnsi" w:hAnsiTheme="minorHAnsi" w:cstheme="minorHAnsi"/>
                <w:noProof/>
                <w:webHidden/>
                <w:sz w:val="22"/>
              </w:rPr>
              <w:fldChar w:fldCharType="begin"/>
            </w:r>
            <w:r w:rsidR="00976A78" w:rsidRPr="00976A78">
              <w:rPr>
                <w:rFonts w:asciiTheme="minorHAnsi" w:hAnsiTheme="minorHAnsi" w:cstheme="minorHAnsi"/>
                <w:noProof/>
                <w:webHidden/>
                <w:sz w:val="22"/>
              </w:rPr>
              <w:instrText xml:space="preserve"> PAGEREF _Toc536205477 \h </w:instrText>
            </w:r>
            <w:r w:rsidR="00976A78" w:rsidRPr="00976A78">
              <w:rPr>
                <w:rFonts w:asciiTheme="minorHAnsi" w:hAnsiTheme="minorHAnsi" w:cstheme="minorHAnsi"/>
                <w:noProof/>
                <w:webHidden/>
                <w:sz w:val="22"/>
              </w:rPr>
            </w:r>
            <w:r w:rsidR="00976A78" w:rsidRPr="00976A78">
              <w:rPr>
                <w:rFonts w:asciiTheme="minorHAnsi" w:hAnsiTheme="minorHAnsi" w:cstheme="minorHAnsi"/>
                <w:noProof/>
                <w:webHidden/>
                <w:sz w:val="22"/>
              </w:rPr>
              <w:fldChar w:fldCharType="separate"/>
            </w:r>
            <w:r w:rsidR="00766056">
              <w:rPr>
                <w:rFonts w:asciiTheme="minorHAnsi" w:hAnsiTheme="minorHAnsi" w:cstheme="minorHAnsi"/>
                <w:noProof/>
                <w:webHidden/>
                <w:sz w:val="22"/>
              </w:rPr>
              <w:t>50</w:t>
            </w:r>
            <w:r w:rsidR="00976A78" w:rsidRPr="00976A78">
              <w:rPr>
                <w:rFonts w:asciiTheme="minorHAnsi" w:hAnsiTheme="minorHAnsi" w:cstheme="minorHAnsi"/>
                <w:noProof/>
                <w:webHidden/>
                <w:sz w:val="22"/>
              </w:rPr>
              <w:fldChar w:fldCharType="end"/>
            </w:r>
          </w:hyperlink>
        </w:p>
        <w:p w14:paraId="64787CCD" w14:textId="5B202F92" w:rsidR="00976A78" w:rsidRPr="00976A78" w:rsidRDefault="001A663F">
          <w:pPr>
            <w:pStyle w:val="TOC1"/>
            <w:tabs>
              <w:tab w:val="left" w:pos="440"/>
              <w:tab w:val="right" w:leader="dot" w:pos="9016"/>
            </w:tabs>
            <w:rPr>
              <w:rFonts w:asciiTheme="minorHAnsi" w:eastAsiaTheme="minorEastAsia" w:hAnsiTheme="minorHAnsi" w:cstheme="minorHAnsi"/>
              <w:noProof/>
              <w:sz w:val="22"/>
              <w:szCs w:val="22"/>
              <w:lang w:eastAsia="en-AU"/>
            </w:rPr>
          </w:pPr>
          <w:hyperlink w:anchor="_Toc536205478" w:history="1">
            <w:r w:rsidR="00976A78" w:rsidRPr="00976A78">
              <w:rPr>
                <w:rStyle w:val="Hyperlink"/>
                <w:rFonts w:asciiTheme="minorHAnsi" w:hAnsiTheme="minorHAnsi" w:cstheme="minorHAnsi"/>
                <w:noProof/>
                <w:sz w:val="22"/>
                <w:szCs w:val="22"/>
              </w:rPr>
              <w:t>6.</w:t>
            </w:r>
            <w:r w:rsidR="00976A78" w:rsidRPr="00976A78">
              <w:rPr>
                <w:rFonts w:asciiTheme="minorHAnsi" w:eastAsiaTheme="minorEastAsia" w:hAnsiTheme="minorHAnsi" w:cstheme="minorHAnsi"/>
                <w:noProof/>
                <w:sz w:val="22"/>
                <w:szCs w:val="22"/>
                <w:lang w:eastAsia="en-AU"/>
              </w:rPr>
              <w:tab/>
            </w:r>
            <w:r w:rsidR="00976A78" w:rsidRPr="00976A78">
              <w:rPr>
                <w:rStyle w:val="Hyperlink"/>
                <w:rFonts w:asciiTheme="minorHAnsi" w:hAnsiTheme="minorHAnsi" w:cstheme="minorHAnsi"/>
                <w:noProof/>
                <w:sz w:val="22"/>
                <w:szCs w:val="22"/>
              </w:rPr>
              <w:t>References</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_Toc536205478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53</w:t>
            </w:r>
            <w:r w:rsidR="00976A78" w:rsidRPr="00976A78">
              <w:rPr>
                <w:rFonts w:asciiTheme="minorHAnsi" w:hAnsiTheme="minorHAnsi" w:cstheme="minorHAnsi"/>
                <w:noProof/>
                <w:webHidden/>
                <w:sz w:val="22"/>
                <w:szCs w:val="22"/>
              </w:rPr>
              <w:fldChar w:fldCharType="end"/>
            </w:r>
          </w:hyperlink>
        </w:p>
        <w:p w14:paraId="7D58B516" w14:textId="7FB61304" w:rsidR="00976A78" w:rsidRPr="00976A78" w:rsidRDefault="001A663F">
          <w:pPr>
            <w:pStyle w:val="TOC1"/>
            <w:tabs>
              <w:tab w:val="right" w:leader="dot" w:pos="9016"/>
            </w:tabs>
            <w:rPr>
              <w:rFonts w:asciiTheme="minorHAnsi" w:eastAsiaTheme="minorEastAsia" w:hAnsiTheme="minorHAnsi" w:cstheme="minorHAnsi"/>
              <w:noProof/>
              <w:sz w:val="22"/>
              <w:szCs w:val="22"/>
              <w:lang w:eastAsia="en-AU"/>
            </w:rPr>
          </w:pPr>
          <w:hyperlink w:anchor="_Toc536205479" w:history="1">
            <w:r w:rsidR="00976A78" w:rsidRPr="00976A78">
              <w:rPr>
                <w:rStyle w:val="Hyperlink"/>
                <w:rFonts w:asciiTheme="minorHAnsi" w:hAnsiTheme="minorHAnsi" w:cstheme="minorHAnsi"/>
                <w:noProof/>
                <w:sz w:val="22"/>
                <w:szCs w:val="22"/>
                <w:lang w:val="en-GB"/>
              </w:rPr>
              <w:t>Annex A:  THSSP2 Mid-term Evaluation Terms of Reference</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_Toc536205479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55</w:t>
            </w:r>
            <w:r w:rsidR="00976A78" w:rsidRPr="00976A78">
              <w:rPr>
                <w:rFonts w:asciiTheme="minorHAnsi" w:hAnsiTheme="minorHAnsi" w:cstheme="minorHAnsi"/>
                <w:noProof/>
                <w:webHidden/>
                <w:sz w:val="22"/>
                <w:szCs w:val="22"/>
              </w:rPr>
              <w:fldChar w:fldCharType="end"/>
            </w:r>
          </w:hyperlink>
        </w:p>
        <w:p w14:paraId="4F280D6B" w14:textId="53F93112" w:rsidR="00976A78" w:rsidRPr="00976A78" w:rsidRDefault="001A663F">
          <w:pPr>
            <w:pStyle w:val="TOC1"/>
            <w:tabs>
              <w:tab w:val="right" w:leader="dot" w:pos="9016"/>
            </w:tabs>
            <w:rPr>
              <w:rFonts w:asciiTheme="minorHAnsi" w:eastAsiaTheme="minorEastAsia" w:hAnsiTheme="minorHAnsi" w:cstheme="minorHAnsi"/>
              <w:noProof/>
              <w:sz w:val="22"/>
              <w:szCs w:val="22"/>
              <w:lang w:eastAsia="en-AU"/>
            </w:rPr>
          </w:pPr>
          <w:hyperlink w:anchor="_Toc536205480" w:history="1">
            <w:r w:rsidR="00976A78" w:rsidRPr="00976A78">
              <w:rPr>
                <w:rStyle w:val="Hyperlink"/>
                <w:rFonts w:asciiTheme="minorHAnsi" w:hAnsiTheme="minorHAnsi" w:cstheme="minorHAnsi"/>
                <w:noProof/>
                <w:sz w:val="22"/>
                <w:szCs w:val="22"/>
                <w:lang w:val="en-GB"/>
              </w:rPr>
              <w:t>Annex B: Bibliography</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_Toc536205480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66</w:t>
            </w:r>
            <w:r w:rsidR="00976A78" w:rsidRPr="00976A78">
              <w:rPr>
                <w:rFonts w:asciiTheme="minorHAnsi" w:hAnsiTheme="minorHAnsi" w:cstheme="minorHAnsi"/>
                <w:noProof/>
                <w:webHidden/>
                <w:sz w:val="22"/>
                <w:szCs w:val="22"/>
              </w:rPr>
              <w:fldChar w:fldCharType="end"/>
            </w:r>
          </w:hyperlink>
        </w:p>
        <w:p w14:paraId="4E97A899" w14:textId="341E9E44" w:rsidR="00976A78" w:rsidRPr="00976A78" w:rsidRDefault="001A663F">
          <w:pPr>
            <w:pStyle w:val="TOC1"/>
            <w:tabs>
              <w:tab w:val="right" w:leader="dot" w:pos="9016"/>
            </w:tabs>
            <w:rPr>
              <w:rFonts w:asciiTheme="minorHAnsi" w:eastAsiaTheme="minorEastAsia" w:hAnsiTheme="minorHAnsi" w:cstheme="minorHAnsi"/>
              <w:noProof/>
              <w:sz w:val="22"/>
              <w:szCs w:val="22"/>
              <w:lang w:eastAsia="en-AU"/>
            </w:rPr>
          </w:pPr>
          <w:hyperlink w:anchor="_Toc536205481" w:history="1">
            <w:r w:rsidR="00976A78" w:rsidRPr="00976A78">
              <w:rPr>
                <w:rStyle w:val="Hyperlink"/>
                <w:rFonts w:asciiTheme="minorHAnsi" w:hAnsiTheme="minorHAnsi" w:cstheme="minorHAnsi"/>
                <w:noProof/>
                <w:sz w:val="22"/>
                <w:szCs w:val="22"/>
                <w:lang w:val="en-GB"/>
              </w:rPr>
              <w:t>Annex C:  List of informants</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_Toc536205481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69</w:t>
            </w:r>
            <w:r w:rsidR="00976A78" w:rsidRPr="00976A78">
              <w:rPr>
                <w:rFonts w:asciiTheme="minorHAnsi" w:hAnsiTheme="minorHAnsi" w:cstheme="minorHAnsi"/>
                <w:noProof/>
                <w:webHidden/>
                <w:sz w:val="22"/>
                <w:szCs w:val="22"/>
              </w:rPr>
              <w:fldChar w:fldCharType="end"/>
            </w:r>
          </w:hyperlink>
        </w:p>
        <w:p w14:paraId="2B2BD08C" w14:textId="462AFBFD" w:rsidR="00976A78" w:rsidRPr="00976A78" w:rsidRDefault="001A663F">
          <w:pPr>
            <w:pStyle w:val="TOC1"/>
            <w:tabs>
              <w:tab w:val="right" w:leader="dot" w:pos="9016"/>
            </w:tabs>
            <w:rPr>
              <w:rFonts w:asciiTheme="minorHAnsi" w:eastAsiaTheme="minorEastAsia" w:hAnsiTheme="minorHAnsi" w:cstheme="minorHAnsi"/>
              <w:noProof/>
              <w:sz w:val="22"/>
              <w:szCs w:val="22"/>
              <w:lang w:eastAsia="en-AU"/>
            </w:rPr>
          </w:pPr>
          <w:hyperlink w:anchor="_Toc536205482" w:history="1">
            <w:r w:rsidR="00976A78" w:rsidRPr="00976A78">
              <w:rPr>
                <w:rStyle w:val="Hyperlink"/>
                <w:rFonts w:asciiTheme="minorHAnsi" w:hAnsiTheme="minorHAnsi" w:cstheme="minorHAnsi"/>
                <w:noProof/>
                <w:sz w:val="22"/>
                <w:szCs w:val="22"/>
                <w:lang w:val="en-GB"/>
              </w:rPr>
              <w:t>Annex D: THSSP2 performance measured using the M&amp;E framework</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_Toc536205482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73</w:t>
            </w:r>
            <w:r w:rsidR="00976A78" w:rsidRPr="00976A78">
              <w:rPr>
                <w:rFonts w:asciiTheme="minorHAnsi" w:hAnsiTheme="minorHAnsi" w:cstheme="minorHAnsi"/>
                <w:noProof/>
                <w:webHidden/>
                <w:sz w:val="22"/>
                <w:szCs w:val="22"/>
              </w:rPr>
              <w:fldChar w:fldCharType="end"/>
            </w:r>
          </w:hyperlink>
        </w:p>
        <w:p w14:paraId="4AEC51F7" w14:textId="1C94ED31" w:rsidR="00976A78" w:rsidRDefault="001A663F">
          <w:pPr>
            <w:pStyle w:val="TOC1"/>
            <w:tabs>
              <w:tab w:val="right" w:leader="dot" w:pos="9016"/>
            </w:tabs>
            <w:rPr>
              <w:rFonts w:asciiTheme="minorHAnsi" w:eastAsiaTheme="minorEastAsia" w:hAnsiTheme="minorHAnsi" w:cstheme="minorBidi"/>
              <w:noProof/>
              <w:sz w:val="22"/>
              <w:szCs w:val="22"/>
              <w:lang w:eastAsia="en-AU"/>
            </w:rPr>
          </w:pPr>
          <w:hyperlink w:anchor="_Toc536205483" w:history="1">
            <w:r w:rsidR="00976A78" w:rsidRPr="00976A78">
              <w:rPr>
                <w:rStyle w:val="Hyperlink"/>
                <w:rFonts w:asciiTheme="minorHAnsi" w:hAnsiTheme="minorHAnsi" w:cstheme="minorHAnsi"/>
                <w:noProof/>
                <w:sz w:val="22"/>
                <w:szCs w:val="22"/>
                <w:lang w:val="en-GB"/>
              </w:rPr>
              <w:t>Annex E: Analytical products</w:t>
            </w:r>
            <w:r w:rsidR="00976A78" w:rsidRPr="00976A78">
              <w:rPr>
                <w:rFonts w:asciiTheme="minorHAnsi" w:hAnsiTheme="minorHAnsi" w:cstheme="minorHAnsi"/>
                <w:noProof/>
                <w:webHidden/>
                <w:sz w:val="22"/>
                <w:szCs w:val="22"/>
              </w:rPr>
              <w:tab/>
            </w:r>
            <w:r w:rsidR="00976A78" w:rsidRPr="00976A78">
              <w:rPr>
                <w:rFonts w:asciiTheme="minorHAnsi" w:hAnsiTheme="minorHAnsi" w:cstheme="minorHAnsi"/>
                <w:noProof/>
                <w:webHidden/>
                <w:sz w:val="22"/>
                <w:szCs w:val="22"/>
              </w:rPr>
              <w:fldChar w:fldCharType="begin"/>
            </w:r>
            <w:r w:rsidR="00976A78" w:rsidRPr="00976A78">
              <w:rPr>
                <w:rFonts w:asciiTheme="minorHAnsi" w:hAnsiTheme="minorHAnsi" w:cstheme="minorHAnsi"/>
                <w:noProof/>
                <w:webHidden/>
                <w:sz w:val="22"/>
                <w:szCs w:val="22"/>
              </w:rPr>
              <w:instrText xml:space="preserve"> PAGEREF _Toc536205483 \h </w:instrText>
            </w:r>
            <w:r w:rsidR="00976A78" w:rsidRPr="00976A78">
              <w:rPr>
                <w:rFonts w:asciiTheme="minorHAnsi" w:hAnsiTheme="minorHAnsi" w:cstheme="minorHAnsi"/>
                <w:noProof/>
                <w:webHidden/>
                <w:sz w:val="22"/>
                <w:szCs w:val="22"/>
              </w:rPr>
            </w:r>
            <w:r w:rsidR="00976A78" w:rsidRPr="00976A78">
              <w:rPr>
                <w:rFonts w:asciiTheme="minorHAnsi" w:hAnsiTheme="minorHAnsi" w:cstheme="minorHAnsi"/>
                <w:noProof/>
                <w:webHidden/>
                <w:sz w:val="22"/>
                <w:szCs w:val="22"/>
              </w:rPr>
              <w:fldChar w:fldCharType="separate"/>
            </w:r>
            <w:r w:rsidR="00766056">
              <w:rPr>
                <w:rFonts w:asciiTheme="minorHAnsi" w:hAnsiTheme="minorHAnsi" w:cstheme="minorHAnsi"/>
                <w:noProof/>
                <w:webHidden/>
                <w:sz w:val="22"/>
                <w:szCs w:val="22"/>
              </w:rPr>
              <w:t>120</w:t>
            </w:r>
            <w:r w:rsidR="00976A78" w:rsidRPr="00976A78">
              <w:rPr>
                <w:rFonts w:asciiTheme="minorHAnsi" w:hAnsiTheme="minorHAnsi" w:cstheme="minorHAnsi"/>
                <w:noProof/>
                <w:webHidden/>
                <w:sz w:val="22"/>
                <w:szCs w:val="22"/>
              </w:rPr>
              <w:fldChar w:fldCharType="end"/>
            </w:r>
          </w:hyperlink>
        </w:p>
        <w:p w14:paraId="67115907" w14:textId="77777777" w:rsidR="001F2BE3" w:rsidRPr="00C44750" w:rsidRDefault="001F2BE3">
          <w:pPr>
            <w:rPr>
              <w:rFonts w:cstheme="minorHAnsi"/>
              <w:sz w:val="21"/>
              <w:szCs w:val="21"/>
            </w:rPr>
          </w:pPr>
          <w:r w:rsidRPr="00C44750">
            <w:rPr>
              <w:rFonts w:cstheme="minorHAnsi"/>
              <w:b/>
              <w:bCs/>
              <w:noProof/>
              <w:sz w:val="21"/>
              <w:szCs w:val="21"/>
            </w:rPr>
            <w:fldChar w:fldCharType="end"/>
          </w:r>
        </w:p>
      </w:sdtContent>
    </w:sdt>
    <w:p w14:paraId="1F915BC1" w14:textId="77777777" w:rsidR="00976A78" w:rsidRDefault="00976A78">
      <w:pPr>
        <w:rPr>
          <w:rFonts w:eastAsiaTheme="majorEastAsia" w:cstheme="minorHAnsi"/>
          <w:b/>
          <w:color w:val="DA291C"/>
          <w:sz w:val="28"/>
          <w:szCs w:val="28"/>
          <w:lang w:eastAsia="ja-JP"/>
        </w:rPr>
      </w:pPr>
      <w:r>
        <w:rPr>
          <w:rFonts w:eastAsiaTheme="majorEastAsia" w:cstheme="minorHAnsi"/>
          <w:b/>
          <w:color w:val="DA291C"/>
          <w:sz w:val="28"/>
          <w:szCs w:val="28"/>
          <w:lang w:eastAsia="ja-JP"/>
        </w:rPr>
        <w:br w:type="page"/>
      </w:r>
    </w:p>
    <w:p w14:paraId="2679B868" w14:textId="77777777" w:rsidR="00BF055D" w:rsidRPr="00024020" w:rsidRDefault="00BF055D" w:rsidP="00BF055D">
      <w:pPr>
        <w:pStyle w:val="Default"/>
        <w:rPr>
          <w:rFonts w:eastAsiaTheme="majorEastAsia"/>
          <w:b/>
          <w:color w:val="DA291C"/>
          <w:sz w:val="26"/>
          <w:szCs w:val="26"/>
          <w:lang w:val="en-GB" w:eastAsia="ja-JP"/>
        </w:rPr>
      </w:pPr>
      <w:r w:rsidRPr="00024020">
        <w:rPr>
          <w:rFonts w:eastAsiaTheme="majorEastAsia"/>
          <w:b/>
          <w:color w:val="DA291C"/>
          <w:sz w:val="26"/>
          <w:szCs w:val="26"/>
          <w:lang w:val="en-GB" w:eastAsia="ja-JP"/>
        </w:rPr>
        <w:lastRenderedPageBreak/>
        <w:t>Acronyms</w:t>
      </w:r>
    </w:p>
    <w:p w14:paraId="26A43796" w14:textId="77777777" w:rsidR="00BF055D" w:rsidRPr="00AC677F" w:rsidRDefault="00BF055D" w:rsidP="00BF055D">
      <w:pPr>
        <w:rPr>
          <w:rFonts w:cstheme="minorHAnsi"/>
          <w:lang w:eastAsia="ja-JP"/>
        </w:rPr>
      </w:pPr>
    </w:p>
    <w:p w14:paraId="04F54C1D" w14:textId="77777777" w:rsidR="00D329C5" w:rsidRPr="00AC677F" w:rsidRDefault="00D329C5" w:rsidP="00007595">
      <w:pPr>
        <w:tabs>
          <w:tab w:val="left" w:pos="1134"/>
        </w:tabs>
        <w:spacing w:after="0"/>
        <w:rPr>
          <w:rFonts w:cstheme="minorHAnsi"/>
          <w:lang w:eastAsia="ja-JP"/>
        </w:rPr>
      </w:pPr>
      <w:r w:rsidRPr="00AC677F">
        <w:rPr>
          <w:rFonts w:cstheme="minorHAnsi"/>
          <w:lang w:eastAsia="ja-JP"/>
        </w:rPr>
        <w:t>ADB</w:t>
      </w:r>
      <w:r w:rsidRPr="00AC677F">
        <w:rPr>
          <w:rFonts w:cstheme="minorHAnsi"/>
          <w:lang w:eastAsia="ja-JP"/>
        </w:rPr>
        <w:tab/>
      </w:r>
      <w:r w:rsidRPr="00AC677F">
        <w:rPr>
          <w:rFonts w:cstheme="minorHAnsi"/>
          <w:lang w:eastAsia="ja-JP"/>
        </w:rPr>
        <w:tab/>
        <w:t>Asian Development Bank</w:t>
      </w:r>
    </w:p>
    <w:p w14:paraId="5175A71C" w14:textId="77777777" w:rsidR="00C1795F" w:rsidRPr="00AC677F" w:rsidRDefault="00C1795F" w:rsidP="00007595">
      <w:pPr>
        <w:tabs>
          <w:tab w:val="left" w:pos="1134"/>
        </w:tabs>
        <w:spacing w:after="0"/>
        <w:rPr>
          <w:rFonts w:cstheme="minorHAnsi"/>
          <w:lang w:eastAsia="ja-JP"/>
        </w:rPr>
      </w:pPr>
      <w:r w:rsidRPr="00AC677F">
        <w:rPr>
          <w:rFonts w:cstheme="minorHAnsi"/>
          <w:lang w:eastAsia="ja-JP"/>
        </w:rPr>
        <w:t>AGO</w:t>
      </w:r>
      <w:r w:rsidRPr="00AC677F">
        <w:rPr>
          <w:rFonts w:cstheme="minorHAnsi"/>
          <w:lang w:eastAsia="ja-JP"/>
        </w:rPr>
        <w:tab/>
      </w:r>
      <w:r w:rsidRPr="00AC677F">
        <w:rPr>
          <w:rFonts w:cstheme="minorHAnsi"/>
          <w:lang w:eastAsia="ja-JP"/>
        </w:rPr>
        <w:tab/>
        <w:t>Auditor General’s Office</w:t>
      </w:r>
    </w:p>
    <w:p w14:paraId="2998CE51" w14:textId="77777777" w:rsidR="00BF055D" w:rsidRPr="00AC677F" w:rsidRDefault="00BF055D" w:rsidP="00007595">
      <w:pPr>
        <w:tabs>
          <w:tab w:val="left" w:pos="1134"/>
        </w:tabs>
        <w:spacing w:after="0"/>
        <w:rPr>
          <w:rFonts w:cstheme="minorHAnsi"/>
          <w:lang w:eastAsia="ja-JP"/>
        </w:rPr>
      </w:pPr>
      <w:r w:rsidRPr="00AC677F">
        <w:rPr>
          <w:rFonts w:cstheme="minorHAnsi"/>
          <w:lang w:eastAsia="ja-JP"/>
        </w:rPr>
        <w:t>AUD</w:t>
      </w:r>
      <w:r w:rsidRPr="00AC677F">
        <w:rPr>
          <w:rFonts w:cstheme="minorHAnsi"/>
          <w:lang w:eastAsia="ja-JP"/>
        </w:rPr>
        <w:tab/>
      </w:r>
      <w:r w:rsidRPr="00AC677F">
        <w:rPr>
          <w:rFonts w:cstheme="minorHAnsi"/>
          <w:lang w:eastAsia="ja-JP"/>
        </w:rPr>
        <w:tab/>
        <w:t>Australian Dollar (currency)</w:t>
      </w:r>
      <w:r w:rsidR="00484D86">
        <w:rPr>
          <w:rFonts w:cstheme="minorHAnsi"/>
          <w:lang w:eastAsia="ja-JP"/>
        </w:rPr>
        <w:t>; unless indicated otherwise, “$” is used in the text</w:t>
      </w:r>
    </w:p>
    <w:p w14:paraId="662FB78A" w14:textId="77777777" w:rsidR="00BF055D" w:rsidRPr="00AC677F" w:rsidRDefault="00BF055D" w:rsidP="00007595">
      <w:pPr>
        <w:tabs>
          <w:tab w:val="left" w:pos="1134"/>
        </w:tabs>
        <w:spacing w:after="0"/>
        <w:rPr>
          <w:rFonts w:cstheme="minorHAnsi"/>
          <w:lang w:eastAsia="ja-JP"/>
        </w:rPr>
      </w:pPr>
      <w:r w:rsidRPr="00AC677F">
        <w:rPr>
          <w:rFonts w:cstheme="minorHAnsi"/>
          <w:lang w:eastAsia="ja-JP"/>
        </w:rPr>
        <w:t>BCC</w:t>
      </w:r>
      <w:r w:rsidRPr="00AC677F">
        <w:rPr>
          <w:rFonts w:cstheme="minorHAnsi"/>
          <w:lang w:eastAsia="ja-JP"/>
        </w:rPr>
        <w:tab/>
      </w:r>
      <w:r w:rsidRPr="00AC677F">
        <w:rPr>
          <w:rFonts w:cstheme="minorHAnsi"/>
          <w:lang w:eastAsia="ja-JP"/>
        </w:rPr>
        <w:tab/>
        <w:t>Behaviour change communication</w:t>
      </w:r>
    </w:p>
    <w:p w14:paraId="4FA1193A" w14:textId="77777777" w:rsidR="00690139" w:rsidRPr="00AC677F" w:rsidRDefault="00690139" w:rsidP="00007595">
      <w:pPr>
        <w:tabs>
          <w:tab w:val="left" w:pos="1134"/>
        </w:tabs>
        <w:spacing w:after="0"/>
        <w:rPr>
          <w:rFonts w:cstheme="minorHAnsi"/>
          <w:lang w:eastAsia="ja-JP"/>
        </w:rPr>
      </w:pPr>
      <w:r w:rsidRPr="00AC677F">
        <w:rPr>
          <w:rFonts w:cstheme="minorHAnsi"/>
          <w:lang w:eastAsia="ja-JP"/>
        </w:rPr>
        <w:t>CEO</w:t>
      </w:r>
      <w:r w:rsidRPr="00AC677F">
        <w:rPr>
          <w:rFonts w:cstheme="minorHAnsi"/>
          <w:lang w:eastAsia="ja-JP"/>
        </w:rPr>
        <w:tab/>
      </w:r>
      <w:r w:rsidRPr="00AC677F">
        <w:rPr>
          <w:rFonts w:cstheme="minorHAnsi"/>
          <w:lang w:eastAsia="ja-JP"/>
        </w:rPr>
        <w:tab/>
        <w:t>Chief Executive Officer</w:t>
      </w:r>
    </w:p>
    <w:p w14:paraId="725195B7" w14:textId="77777777" w:rsidR="009D1298" w:rsidRDefault="009D1298" w:rsidP="00007595">
      <w:pPr>
        <w:tabs>
          <w:tab w:val="left" w:pos="1134"/>
        </w:tabs>
        <w:spacing w:after="0"/>
        <w:rPr>
          <w:lang w:eastAsia="ja-JP"/>
        </w:rPr>
      </w:pPr>
      <w:r>
        <w:rPr>
          <w:lang w:eastAsia="ja-JP"/>
        </w:rPr>
        <w:t>COPD</w:t>
      </w:r>
      <w:r>
        <w:rPr>
          <w:lang w:eastAsia="ja-JP"/>
        </w:rPr>
        <w:tab/>
      </w:r>
      <w:r>
        <w:rPr>
          <w:lang w:eastAsia="ja-JP"/>
        </w:rPr>
        <w:tab/>
        <w:t>Ch</w:t>
      </w:r>
      <w:r w:rsidR="00517335">
        <w:rPr>
          <w:lang w:eastAsia="ja-JP"/>
        </w:rPr>
        <w:t>ronic obstructive pulmonary d</w:t>
      </w:r>
      <w:r>
        <w:rPr>
          <w:lang w:eastAsia="ja-JP"/>
        </w:rPr>
        <w:t>isease</w:t>
      </w:r>
    </w:p>
    <w:p w14:paraId="3EE990E8" w14:textId="77777777" w:rsidR="00CD6BE8" w:rsidRDefault="00CD6BE8" w:rsidP="00007595">
      <w:pPr>
        <w:tabs>
          <w:tab w:val="left" w:pos="1134"/>
        </w:tabs>
        <w:spacing w:after="0"/>
        <w:rPr>
          <w:lang w:eastAsia="ja-JP"/>
        </w:rPr>
      </w:pPr>
      <w:r>
        <w:rPr>
          <w:lang w:eastAsia="ja-JP"/>
        </w:rPr>
        <w:t>CPU</w:t>
      </w:r>
      <w:r>
        <w:rPr>
          <w:lang w:eastAsia="ja-JP"/>
        </w:rPr>
        <w:tab/>
      </w:r>
      <w:r>
        <w:rPr>
          <w:lang w:eastAsia="ja-JP"/>
        </w:rPr>
        <w:tab/>
        <w:t>Central Procurement Unit</w:t>
      </w:r>
      <w:r w:rsidR="00270701">
        <w:rPr>
          <w:lang w:eastAsia="ja-JP"/>
        </w:rPr>
        <w:t xml:space="preserve"> (M</w:t>
      </w:r>
      <w:r w:rsidR="001532A4">
        <w:rPr>
          <w:lang w:eastAsia="ja-JP"/>
        </w:rPr>
        <w:t xml:space="preserve">inistry </w:t>
      </w:r>
      <w:r w:rsidR="00270701">
        <w:rPr>
          <w:lang w:eastAsia="ja-JP"/>
        </w:rPr>
        <w:t>o</w:t>
      </w:r>
      <w:r w:rsidR="001532A4">
        <w:rPr>
          <w:lang w:eastAsia="ja-JP"/>
        </w:rPr>
        <w:t xml:space="preserve">f </w:t>
      </w:r>
      <w:r w:rsidR="00270701">
        <w:rPr>
          <w:lang w:eastAsia="ja-JP"/>
        </w:rPr>
        <w:t>F</w:t>
      </w:r>
      <w:r w:rsidR="001532A4">
        <w:rPr>
          <w:lang w:eastAsia="ja-JP"/>
        </w:rPr>
        <w:t>inance</w:t>
      </w:r>
      <w:r w:rsidR="00270701">
        <w:rPr>
          <w:lang w:eastAsia="ja-JP"/>
        </w:rPr>
        <w:t>)</w:t>
      </w:r>
    </w:p>
    <w:p w14:paraId="2168DED6" w14:textId="77777777" w:rsidR="00BF055D" w:rsidRDefault="00BF055D" w:rsidP="00007595">
      <w:pPr>
        <w:tabs>
          <w:tab w:val="left" w:pos="1134"/>
        </w:tabs>
        <w:spacing w:after="0"/>
        <w:rPr>
          <w:lang w:eastAsia="ja-JP"/>
        </w:rPr>
      </w:pPr>
      <w:r>
        <w:rPr>
          <w:lang w:eastAsia="ja-JP"/>
        </w:rPr>
        <w:t>DFAT</w:t>
      </w:r>
      <w:r>
        <w:rPr>
          <w:lang w:eastAsia="ja-JP"/>
        </w:rPr>
        <w:tab/>
      </w:r>
      <w:r>
        <w:rPr>
          <w:lang w:eastAsia="ja-JP"/>
        </w:rPr>
        <w:tab/>
        <w:t>Government of Australia Department of Foreign Affairs and Trade</w:t>
      </w:r>
    </w:p>
    <w:p w14:paraId="4F398751" w14:textId="77777777" w:rsidR="00D92577" w:rsidRDefault="00D92577" w:rsidP="00007595">
      <w:pPr>
        <w:tabs>
          <w:tab w:val="left" w:pos="1134"/>
        </w:tabs>
        <w:spacing w:after="0"/>
        <w:rPr>
          <w:lang w:eastAsia="ja-JP"/>
        </w:rPr>
      </w:pPr>
      <w:r>
        <w:rPr>
          <w:lang w:eastAsia="ja-JP"/>
        </w:rPr>
        <w:t>FMIS</w:t>
      </w:r>
      <w:r>
        <w:rPr>
          <w:lang w:eastAsia="ja-JP"/>
        </w:rPr>
        <w:tab/>
      </w:r>
      <w:r>
        <w:rPr>
          <w:lang w:eastAsia="ja-JP"/>
        </w:rPr>
        <w:tab/>
        <w:t>Fi</w:t>
      </w:r>
      <w:r w:rsidR="00517335">
        <w:rPr>
          <w:lang w:eastAsia="ja-JP"/>
        </w:rPr>
        <w:t>nancial management information s</w:t>
      </w:r>
      <w:r>
        <w:rPr>
          <w:lang w:eastAsia="ja-JP"/>
        </w:rPr>
        <w:t>ystem</w:t>
      </w:r>
    </w:p>
    <w:p w14:paraId="6D090484" w14:textId="77777777" w:rsidR="00CD6BE8" w:rsidRDefault="00517335" w:rsidP="00007595">
      <w:pPr>
        <w:tabs>
          <w:tab w:val="left" w:pos="1134"/>
        </w:tabs>
        <w:spacing w:after="0"/>
        <w:rPr>
          <w:lang w:eastAsia="ja-JP"/>
        </w:rPr>
      </w:pPr>
      <w:r>
        <w:rPr>
          <w:lang w:eastAsia="ja-JP"/>
        </w:rPr>
        <w:t>FY</w:t>
      </w:r>
      <w:r>
        <w:rPr>
          <w:lang w:eastAsia="ja-JP"/>
        </w:rPr>
        <w:tab/>
      </w:r>
      <w:r>
        <w:rPr>
          <w:lang w:eastAsia="ja-JP"/>
        </w:rPr>
        <w:tab/>
        <w:t>Fiscal y</w:t>
      </w:r>
      <w:r w:rsidR="00CD6BE8">
        <w:rPr>
          <w:lang w:eastAsia="ja-JP"/>
        </w:rPr>
        <w:t>ear</w:t>
      </w:r>
    </w:p>
    <w:p w14:paraId="0DFF30D8" w14:textId="77777777" w:rsidR="009D1298" w:rsidRDefault="009D1298" w:rsidP="00007595">
      <w:pPr>
        <w:tabs>
          <w:tab w:val="left" w:pos="1134"/>
        </w:tabs>
        <w:spacing w:after="0"/>
        <w:rPr>
          <w:lang w:eastAsia="ja-JP"/>
        </w:rPr>
      </w:pPr>
      <w:r>
        <w:rPr>
          <w:lang w:eastAsia="ja-JP"/>
        </w:rPr>
        <w:t>GBD</w:t>
      </w:r>
      <w:r>
        <w:rPr>
          <w:lang w:eastAsia="ja-JP"/>
        </w:rPr>
        <w:tab/>
      </w:r>
      <w:r>
        <w:rPr>
          <w:lang w:eastAsia="ja-JP"/>
        </w:rPr>
        <w:tab/>
        <w:t>Global Burden of Disease</w:t>
      </w:r>
      <w:r w:rsidR="00517335">
        <w:rPr>
          <w:lang w:eastAsia="ja-JP"/>
        </w:rPr>
        <w:t xml:space="preserve"> (Institute for Health Metrics and Evaluation)</w:t>
      </w:r>
    </w:p>
    <w:p w14:paraId="12018FBC" w14:textId="77777777" w:rsidR="00BF055D" w:rsidRDefault="00BF055D" w:rsidP="00007595">
      <w:pPr>
        <w:tabs>
          <w:tab w:val="left" w:pos="1134"/>
        </w:tabs>
        <w:spacing w:after="0"/>
        <w:rPr>
          <w:lang w:eastAsia="ja-JP"/>
        </w:rPr>
      </w:pPr>
      <w:r>
        <w:rPr>
          <w:lang w:eastAsia="ja-JP"/>
        </w:rPr>
        <w:t>GoT</w:t>
      </w:r>
      <w:r>
        <w:rPr>
          <w:lang w:eastAsia="ja-JP"/>
        </w:rPr>
        <w:tab/>
      </w:r>
      <w:r>
        <w:rPr>
          <w:lang w:eastAsia="ja-JP"/>
        </w:rPr>
        <w:tab/>
        <w:t>Government of Tonga</w:t>
      </w:r>
    </w:p>
    <w:p w14:paraId="60F3DACA" w14:textId="77777777" w:rsidR="00BF055D" w:rsidRDefault="00BF055D" w:rsidP="00007595">
      <w:pPr>
        <w:tabs>
          <w:tab w:val="left" w:pos="1134"/>
        </w:tabs>
        <w:spacing w:after="0"/>
        <w:rPr>
          <w:lang w:eastAsia="ja-JP"/>
        </w:rPr>
      </w:pPr>
      <w:r>
        <w:rPr>
          <w:lang w:eastAsia="ja-JP"/>
        </w:rPr>
        <w:t>GSHS</w:t>
      </w:r>
      <w:r>
        <w:rPr>
          <w:lang w:eastAsia="ja-JP"/>
        </w:rPr>
        <w:tab/>
      </w:r>
      <w:r>
        <w:rPr>
          <w:lang w:eastAsia="ja-JP"/>
        </w:rPr>
        <w:tab/>
        <w:t>WHO Global School-based Student Health Survey</w:t>
      </w:r>
    </w:p>
    <w:p w14:paraId="061D59C4" w14:textId="77777777" w:rsidR="00C71E52" w:rsidRDefault="00C71E52" w:rsidP="00007595">
      <w:pPr>
        <w:tabs>
          <w:tab w:val="left" w:pos="1134"/>
        </w:tabs>
        <w:spacing w:after="0"/>
        <w:ind w:left="1418" w:hanging="1418"/>
        <w:rPr>
          <w:lang w:eastAsia="ja-JP"/>
        </w:rPr>
      </w:pPr>
      <w:r>
        <w:rPr>
          <w:lang w:eastAsia="ja-JP"/>
        </w:rPr>
        <w:t>Hala Fononga</w:t>
      </w:r>
      <w:r>
        <w:rPr>
          <w:lang w:eastAsia="ja-JP"/>
        </w:rPr>
        <w:tab/>
        <w:t xml:space="preserve">National strategy for the prevention and control of NCDs 2015-2020 </w:t>
      </w:r>
      <w:r w:rsidR="00C1015B">
        <w:rPr>
          <w:lang w:eastAsia="ja-JP"/>
        </w:rPr>
        <w:br/>
      </w:r>
      <w:r>
        <w:rPr>
          <w:lang w:eastAsia="ja-JP"/>
        </w:rPr>
        <w:t>(</w:t>
      </w:r>
      <w:r w:rsidR="006520A1">
        <w:rPr>
          <w:lang w:eastAsia="ja-JP"/>
        </w:rPr>
        <w:t>‘Hala Fononga ki ha Tong</w:t>
      </w:r>
      <w:r w:rsidR="00C1015B">
        <w:rPr>
          <w:lang w:eastAsia="ja-JP"/>
        </w:rPr>
        <w:t xml:space="preserve">a Mo’ui Lelei’ </w:t>
      </w:r>
      <w:r w:rsidR="006520A1">
        <w:rPr>
          <w:lang w:eastAsia="ja-JP"/>
        </w:rPr>
        <w:t xml:space="preserve">translates as </w:t>
      </w:r>
      <w:r w:rsidR="00760392">
        <w:rPr>
          <w:lang w:eastAsia="ja-JP"/>
        </w:rPr>
        <w:t>‘</w:t>
      </w:r>
      <w:r w:rsidR="006520A1">
        <w:rPr>
          <w:lang w:eastAsia="ja-JP"/>
        </w:rPr>
        <w:t xml:space="preserve">The </w:t>
      </w:r>
      <w:r>
        <w:rPr>
          <w:lang w:eastAsia="ja-JP"/>
        </w:rPr>
        <w:t>path</w:t>
      </w:r>
      <w:r w:rsidR="006520A1">
        <w:rPr>
          <w:lang w:eastAsia="ja-JP"/>
        </w:rPr>
        <w:t xml:space="preserve"> to good health</w:t>
      </w:r>
      <w:r w:rsidR="00760392">
        <w:rPr>
          <w:lang w:eastAsia="ja-JP"/>
        </w:rPr>
        <w:t>’</w:t>
      </w:r>
      <w:r>
        <w:rPr>
          <w:lang w:eastAsia="ja-JP"/>
        </w:rPr>
        <w:t>)</w:t>
      </w:r>
    </w:p>
    <w:p w14:paraId="2F097AA3" w14:textId="77777777" w:rsidR="00535E4C" w:rsidRDefault="00535E4C" w:rsidP="00007595">
      <w:pPr>
        <w:tabs>
          <w:tab w:val="left" w:pos="1134"/>
        </w:tabs>
        <w:spacing w:after="0"/>
        <w:ind w:left="1418" w:hanging="1418"/>
        <w:rPr>
          <w:lang w:eastAsia="ja-JP"/>
        </w:rPr>
      </w:pPr>
      <w:r>
        <w:rPr>
          <w:lang w:eastAsia="ja-JP"/>
        </w:rPr>
        <w:t>HIV</w:t>
      </w:r>
      <w:r>
        <w:rPr>
          <w:lang w:eastAsia="ja-JP"/>
        </w:rPr>
        <w:tab/>
      </w:r>
      <w:r>
        <w:rPr>
          <w:lang w:eastAsia="ja-JP"/>
        </w:rPr>
        <w:tab/>
        <w:t>Human immunodeficiency virus</w:t>
      </w:r>
    </w:p>
    <w:p w14:paraId="19B28F2A" w14:textId="77777777" w:rsidR="00B71169" w:rsidRDefault="00517335" w:rsidP="00007595">
      <w:pPr>
        <w:tabs>
          <w:tab w:val="left" w:pos="1134"/>
        </w:tabs>
        <w:spacing w:after="0"/>
        <w:ind w:left="1418" w:hanging="1418"/>
        <w:rPr>
          <w:lang w:eastAsia="ja-JP"/>
        </w:rPr>
      </w:pPr>
      <w:r>
        <w:rPr>
          <w:lang w:eastAsia="ja-JP"/>
        </w:rPr>
        <w:t>HR</w:t>
      </w:r>
      <w:r>
        <w:rPr>
          <w:lang w:eastAsia="ja-JP"/>
        </w:rPr>
        <w:tab/>
      </w:r>
      <w:r>
        <w:rPr>
          <w:lang w:eastAsia="ja-JP"/>
        </w:rPr>
        <w:tab/>
        <w:t>Human r</w:t>
      </w:r>
      <w:r w:rsidR="00B71169">
        <w:rPr>
          <w:lang w:eastAsia="ja-JP"/>
        </w:rPr>
        <w:t>esources</w:t>
      </w:r>
    </w:p>
    <w:p w14:paraId="722B10D3" w14:textId="77777777" w:rsidR="005A51DE" w:rsidRDefault="005A51DE" w:rsidP="00007595">
      <w:pPr>
        <w:tabs>
          <w:tab w:val="left" w:pos="1134"/>
        </w:tabs>
        <w:spacing w:after="0"/>
        <w:ind w:left="1418" w:hanging="1418"/>
        <w:rPr>
          <w:lang w:eastAsia="ja-JP"/>
        </w:rPr>
      </w:pPr>
      <w:r>
        <w:rPr>
          <w:lang w:eastAsia="ja-JP"/>
        </w:rPr>
        <w:t>JICA</w:t>
      </w:r>
      <w:r>
        <w:rPr>
          <w:lang w:eastAsia="ja-JP"/>
        </w:rPr>
        <w:tab/>
      </w:r>
      <w:r>
        <w:rPr>
          <w:lang w:eastAsia="ja-JP"/>
        </w:rPr>
        <w:tab/>
        <w:t xml:space="preserve">Japan </w:t>
      </w:r>
      <w:r w:rsidR="007078E8">
        <w:rPr>
          <w:lang w:eastAsia="ja-JP"/>
        </w:rPr>
        <w:t>International Cooperation Agency</w:t>
      </w:r>
    </w:p>
    <w:p w14:paraId="7931754C" w14:textId="77777777" w:rsidR="00D35977" w:rsidRDefault="00D35977" w:rsidP="00007595">
      <w:pPr>
        <w:tabs>
          <w:tab w:val="left" w:pos="1134"/>
        </w:tabs>
        <w:spacing w:after="0"/>
        <w:ind w:left="1418" w:hanging="1418"/>
        <w:rPr>
          <w:lang w:eastAsia="ja-JP"/>
        </w:rPr>
      </w:pPr>
      <w:r>
        <w:rPr>
          <w:lang w:eastAsia="ja-JP"/>
        </w:rPr>
        <w:t>KPI</w:t>
      </w:r>
      <w:r>
        <w:rPr>
          <w:lang w:eastAsia="ja-JP"/>
        </w:rPr>
        <w:tab/>
      </w:r>
      <w:r>
        <w:rPr>
          <w:lang w:eastAsia="ja-JP"/>
        </w:rPr>
        <w:tab/>
        <w:t>Key performance indicator</w:t>
      </w:r>
    </w:p>
    <w:p w14:paraId="796DCE2E" w14:textId="77777777" w:rsidR="00BF055D" w:rsidRDefault="00BF055D" w:rsidP="00007595">
      <w:pPr>
        <w:tabs>
          <w:tab w:val="left" w:pos="1134"/>
        </w:tabs>
        <w:spacing w:after="0"/>
        <w:ind w:left="1418" w:hanging="1418"/>
        <w:rPr>
          <w:lang w:eastAsia="ja-JP"/>
        </w:rPr>
      </w:pPr>
      <w:r>
        <w:rPr>
          <w:lang w:eastAsia="ja-JP"/>
        </w:rPr>
        <w:t>M&amp;E</w:t>
      </w:r>
      <w:r>
        <w:rPr>
          <w:lang w:eastAsia="ja-JP"/>
        </w:rPr>
        <w:tab/>
      </w:r>
      <w:r>
        <w:rPr>
          <w:lang w:eastAsia="ja-JP"/>
        </w:rPr>
        <w:tab/>
        <w:t>Monitoring and evaluation</w:t>
      </w:r>
    </w:p>
    <w:p w14:paraId="048BB85F" w14:textId="77777777" w:rsidR="00BF055D" w:rsidRDefault="00BF055D" w:rsidP="00007595">
      <w:pPr>
        <w:tabs>
          <w:tab w:val="left" w:pos="1134"/>
        </w:tabs>
        <w:spacing w:after="0"/>
        <w:ind w:left="1418" w:hanging="1418"/>
        <w:rPr>
          <w:lang w:eastAsia="ja-JP"/>
        </w:rPr>
      </w:pPr>
      <w:r>
        <w:rPr>
          <w:lang w:eastAsia="ja-JP"/>
        </w:rPr>
        <w:t>MoF</w:t>
      </w:r>
      <w:r>
        <w:rPr>
          <w:lang w:eastAsia="ja-JP"/>
        </w:rPr>
        <w:tab/>
      </w:r>
      <w:r>
        <w:rPr>
          <w:lang w:eastAsia="ja-JP"/>
        </w:rPr>
        <w:tab/>
        <w:t xml:space="preserve">Government of Tonga Ministry </w:t>
      </w:r>
      <w:r w:rsidR="001532A4">
        <w:rPr>
          <w:lang w:eastAsia="ja-JP"/>
        </w:rPr>
        <w:t>of Finance</w:t>
      </w:r>
      <w:r w:rsidR="00D82B75">
        <w:rPr>
          <w:lang w:eastAsia="ja-JP"/>
        </w:rPr>
        <w:t xml:space="preserve"> (formerly Ministry of Finance and National Planning)</w:t>
      </w:r>
    </w:p>
    <w:p w14:paraId="7F2CB926" w14:textId="77777777" w:rsidR="00BF055D" w:rsidRDefault="009E2E05" w:rsidP="00007595">
      <w:pPr>
        <w:tabs>
          <w:tab w:val="left" w:pos="1134"/>
        </w:tabs>
        <w:spacing w:after="0"/>
        <w:rPr>
          <w:lang w:eastAsia="ja-JP"/>
        </w:rPr>
      </w:pPr>
      <w:r>
        <w:rPr>
          <w:lang w:eastAsia="ja-JP"/>
        </w:rPr>
        <w:t>MoH</w:t>
      </w:r>
      <w:r w:rsidR="00BF055D">
        <w:rPr>
          <w:lang w:eastAsia="ja-JP"/>
        </w:rPr>
        <w:tab/>
      </w:r>
      <w:r w:rsidR="00BF055D">
        <w:rPr>
          <w:lang w:eastAsia="ja-JP"/>
        </w:rPr>
        <w:tab/>
        <w:t>Government of Tonga Ministry of Health</w:t>
      </w:r>
    </w:p>
    <w:p w14:paraId="71C7E030" w14:textId="77777777" w:rsidR="00BF055D" w:rsidRDefault="00BF055D" w:rsidP="00007595">
      <w:pPr>
        <w:tabs>
          <w:tab w:val="left" w:pos="1134"/>
        </w:tabs>
        <w:spacing w:after="0"/>
        <w:rPr>
          <w:lang w:eastAsia="ja-JP"/>
        </w:rPr>
      </w:pPr>
      <w:r>
        <w:rPr>
          <w:lang w:eastAsia="ja-JP"/>
        </w:rPr>
        <w:t>NCD</w:t>
      </w:r>
      <w:r>
        <w:rPr>
          <w:lang w:eastAsia="ja-JP"/>
        </w:rPr>
        <w:tab/>
      </w:r>
      <w:r>
        <w:rPr>
          <w:lang w:eastAsia="ja-JP"/>
        </w:rPr>
        <w:tab/>
        <w:t>Non-communicable disease</w:t>
      </w:r>
    </w:p>
    <w:p w14:paraId="1BF0752B" w14:textId="77777777" w:rsidR="001B375E" w:rsidRPr="00DD6492" w:rsidRDefault="001B375E" w:rsidP="00007595">
      <w:pPr>
        <w:tabs>
          <w:tab w:val="left" w:pos="1134"/>
        </w:tabs>
        <w:spacing w:after="0"/>
        <w:rPr>
          <w:lang w:eastAsia="ja-JP"/>
        </w:rPr>
      </w:pPr>
      <w:r>
        <w:rPr>
          <w:lang w:eastAsia="ja-JP"/>
        </w:rPr>
        <w:t>NCD-</w:t>
      </w:r>
      <w:r w:rsidR="00D82B75">
        <w:rPr>
          <w:lang w:eastAsia="ja-JP"/>
        </w:rPr>
        <w:t>MAP</w:t>
      </w:r>
      <w:r w:rsidR="00D82B75">
        <w:rPr>
          <w:lang w:eastAsia="ja-JP"/>
        </w:rPr>
        <w:tab/>
      </w:r>
      <w:r w:rsidR="00D82B75">
        <w:rPr>
          <w:lang w:eastAsia="ja-JP"/>
        </w:rPr>
        <w:tab/>
        <w:t>Multi-sector action p</w:t>
      </w:r>
      <w:r w:rsidR="00F44374">
        <w:rPr>
          <w:lang w:eastAsia="ja-JP"/>
        </w:rPr>
        <w:t xml:space="preserve">lan </w:t>
      </w:r>
      <w:r w:rsidRPr="00DD6492">
        <w:rPr>
          <w:lang w:eastAsia="ja-JP"/>
        </w:rPr>
        <w:t>on</w:t>
      </w:r>
      <w:r w:rsidR="00F44374">
        <w:rPr>
          <w:lang w:eastAsia="ja-JP"/>
        </w:rPr>
        <w:t xml:space="preserve"> control and prevention of NCDs</w:t>
      </w:r>
    </w:p>
    <w:p w14:paraId="72CBC377" w14:textId="77777777" w:rsidR="00BF055D" w:rsidRDefault="00BF055D" w:rsidP="00007595">
      <w:pPr>
        <w:tabs>
          <w:tab w:val="left" w:pos="1134"/>
        </w:tabs>
        <w:spacing w:after="0"/>
        <w:rPr>
          <w:lang w:eastAsia="ja-JP"/>
        </w:rPr>
      </w:pPr>
      <w:r>
        <w:rPr>
          <w:lang w:eastAsia="ja-JP"/>
        </w:rPr>
        <w:t>NHDC</w:t>
      </w:r>
      <w:r>
        <w:rPr>
          <w:lang w:eastAsia="ja-JP"/>
        </w:rPr>
        <w:tab/>
      </w:r>
      <w:r>
        <w:rPr>
          <w:lang w:eastAsia="ja-JP"/>
        </w:rPr>
        <w:tab/>
        <w:t>National Health Development Committee</w:t>
      </w:r>
    </w:p>
    <w:p w14:paraId="0E16AC10" w14:textId="77777777" w:rsidR="004E3597" w:rsidRDefault="004E3597" w:rsidP="00007595">
      <w:pPr>
        <w:tabs>
          <w:tab w:val="left" w:pos="1134"/>
        </w:tabs>
        <w:spacing w:after="0"/>
        <w:rPr>
          <w:lang w:eastAsia="ja-JP"/>
        </w:rPr>
      </w:pPr>
      <w:r>
        <w:rPr>
          <w:lang w:eastAsia="ja-JP"/>
        </w:rPr>
        <w:t>NHSP</w:t>
      </w:r>
      <w:r>
        <w:rPr>
          <w:lang w:eastAsia="ja-JP"/>
        </w:rPr>
        <w:tab/>
      </w:r>
      <w:r>
        <w:rPr>
          <w:lang w:eastAsia="ja-JP"/>
        </w:rPr>
        <w:tab/>
        <w:t>National Health Strategic Plan</w:t>
      </w:r>
    </w:p>
    <w:p w14:paraId="16D390CC" w14:textId="77777777" w:rsidR="00733CB3" w:rsidRDefault="00733CB3" w:rsidP="00007595">
      <w:pPr>
        <w:tabs>
          <w:tab w:val="left" w:pos="1134"/>
        </w:tabs>
        <w:spacing w:after="0"/>
        <w:rPr>
          <w:lang w:eastAsia="ja-JP"/>
        </w:rPr>
      </w:pPr>
      <w:r>
        <w:rPr>
          <w:lang w:eastAsia="ja-JP"/>
        </w:rPr>
        <w:t>NPO</w:t>
      </w:r>
      <w:r>
        <w:rPr>
          <w:lang w:eastAsia="ja-JP"/>
        </w:rPr>
        <w:tab/>
      </w:r>
      <w:r>
        <w:rPr>
          <w:lang w:eastAsia="ja-JP"/>
        </w:rPr>
        <w:tab/>
        <w:t>National Planning Office</w:t>
      </w:r>
      <w:r w:rsidR="00517335">
        <w:rPr>
          <w:lang w:eastAsia="ja-JP"/>
        </w:rPr>
        <w:t xml:space="preserve"> (Prime Minister’s Office)</w:t>
      </w:r>
    </w:p>
    <w:p w14:paraId="4D669150" w14:textId="77777777" w:rsidR="00BF055D" w:rsidRDefault="00BF055D" w:rsidP="00007595">
      <w:pPr>
        <w:tabs>
          <w:tab w:val="left" w:pos="1134"/>
        </w:tabs>
        <w:spacing w:after="0"/>
        <w:rPr>
          <w:lang w:eastAsia="ja-JP"/>
        </w:rPr>
      </w:pPr>
      <w:r>
        <w:rPr>
          <w:lang w:eastAsia="ja-JP"/>
        </w:rPr>
        <w:t>ODE</w:t>
      </w:r>
      <w:r>
        <w:rPr>
          <w:lang w:eastAsia="ja-JP"/>
        </w:rPr>
        <w:tab/>
      </w:r>
      <w:r>
        <w:rPr>
          <w:lang w:eastAsia="ja-JP"/>
        </w:rPr>
        <w:tab/>
        <w:t>DFAT Office of Development Effectiveness</w:t>
      </w:r>
    </w:p>
    <w:p w14:paraId="72E19488" w14:textId="77777777" w:rsidR="003F427B" w:rsidRDefault="003F427B" w:rsidP="00007595">
      <w:pPr>
        <w:tabs>
          <w:tab w:val="left" w:pos="1134"/>
        </w:tabs>
        <w:spacing w:after="0"/>
        <w:rPr>
          <w:lang w:eastAsia="ja-JP"/>
        </w:rPr>
      </w:pPr>
      <w:r>
        <w:rPr>
          <w:lang w:eastAsia="ja-JP"/>
        </w:rPr>
        <w:t>PASA</w:t>
      </w:r>
      <w:r>
        <w:rPr>
          <w:lang w:eastAsia="ja-JP"/>
        </w:rPr>
        <w:tab/>
      </w:r>
      <w:r>
        <w:rPr>
          <w:lang w:eastAsia="ja-JP"/>
        </w:rPr>
        <w:tab/>
      </w:r>
      <w:r>
        <w:rPr>
          <w:szCs w:val="23"/>
        </w:rPr>
        <w:t>World Bank Pacific Health Analytical and Advisory Services program</w:t>
      </w:r>
    </w:p>
    <w:p w14:paraId="530C29E1" w14:textId="77777777" w:rsidR="00145AE0" w:rsidRDefault="00145AE0" w:rsidP="00007595">
      <w:pPr>
        <w:tabs>
          <w:tab w:val="left" w:pos="1134"/>
        </w:tabs>
        <w:spacing w:after="0"/>
        <w:rPr>
          <w:lang w:eastAsia="ja-JP"/>
        </w:rPr>
      </w:pPr>
      <w:r>
        <w:rPr>
          <w:lang w:eastAsia="ja-JP"/>
        </w:rPr>
        <w:t>PEN</w:t>
      </w:r>
      <w:r>
        <w:rPr>
          <w:lang w:eastAsia="ja-JP"/>
        </w:rPr>
        <w:tab/>
      </w:r>
      <w:r>
        <w:rPr>
          <w:lang w:eastAsia="ja-JP"/>
        </w:rPr>
        <w:tab/>
        <w:t>WHO Package of Essential NCD Interventions</w:t>
      </w:r>
    </w:p>
    <w:p w14:paraId="14AF7BFA" w14:textId="77777777" w:rsidR="00733CB3" w:rsidRDefault="00A644C6" w:rsidP="00007595">
      <w:pPr>
        <w:tabs>
          <w:tab w:val="left" w:pos="1134"/>
        </w:tabs>
        <w:spacing w:after="0"/>
        <w:rPr>
          <w:lang w:eastAsia="ja-JP"/>
        </w:rPr>
      </w:pPr>
      <w:r>
        <w:rPr>
          <w:lang w:eastAsia="ja-JP"/>
        </w:rPr>
        <w:t>PFM</w:t>
      </w:r>
      <w:r>
        <w:rPr>
          <w:lang w:eastAsia="ja-JP"/>
        </w:rPr>
        <w:tab/>
      </w:r>
      <w:r>
        <w:rPr>
          <w:lang w:eastAsia="ja-JP"/>
        </w:rPr>
        <w:tab/>
        <w:t>Public f</w:t>
      </w:r>
      <w:r w:rsidR="00733CB3">
        <w:rPr>
          <w:lang w:eastAsia="ja-JP"/>
        </w:rPr>
        <w:t>inanc</w:t>
      </w:r>
      <w:r w:rsidR="00517335">
        <w:rPr>
          <w:lang w:eastAsia="ja-JP"/>
        </w:rPr>
        <w:t>ial</w:t>
      </w:r>
      <w:r>
        <w:rPr>
          <w:lang w:eastAsia="ja-JP"/>
        </w:rPr>
        <w:t xml:space="preserve"> m</w:t>
      </w:r>
      <w:r w:rsidR="00733CB3">
        <w:rPr>
          <w:lang w:eastAsia="ja-JP"/>
        </w:rPr>
        <w:t>anagement</w:t>
      </w:r>
    </w:p>
    <w:p w14:paraId="2B33D421" w14:textId="77777777" w:rsidR="00C1795F" w:rsidRDefault="00C1795F" w:rsidP="00007595">
      <w:pPr>
        <w:tabs>
          <w:tab w:val="left" w:pos="1134"/>
        </w:tabs>
        <w:spacing w:after="0"/>
        <w:rPr>
          <w:lang w:eastAsia="ja-JP"/>
        </w:rPr>
      </w:pPr>
      <w:r>
        <w:rPr>
          <w:lang w:eastAsia="ja-JP"/>
        </w:rPr>
        <w:t>PSC</w:t>
      </w:r>
      <w:r>
        <w:rPr>
          <w:lang w:eastAsia="ja-JP"/>
        </w:rPr>
        <w:tab/>
      </w:r>
      <w:r>
        <w:rPr>
          <w:lang w:eastAsia="ja-JP"/>
        </w:rPr>
        <w:tab/>
        <w:t>Public Service Commission</w:t>
      </w:r>
    </w:p>
    <w:p w14:paraId="7E5DB334" w14:textId="77777777" w:rsidR="009D1298" w:rsidRDefault="009D1298" w:rsidP="00007595">
      <w:pPr>
        <w:tabs>
          <w:tab w:val="left" w:pos="1134"/>
        </w:tabs>
        <w:spacing w:after="0"/>
        <w:rPr>
          <w:lang w:eastAsia="ja-JP"/>
        </w:rPr>
      </w:pPr>
      <w:r>
        <w:rPr>
          <w:lang w:eastAsia="ja-JP"/>
        </w:rPr>
        <w:t>SDG</w:t>
      </w:r>
      <w:r>
        <w:rPr>
          <w:lang w:eastAsia="ja-JP"/>
        </w:rPr>
        <w:tab/>
      </w:r>
      <w:r>
        <w:rPr>
          <w:lang w:eastAsia="ja-JP"/>
        </w:rPr>
        <w:tab/>
        <w:t>Sustain</w:t>
      </w:r>
      <w:r w:rsidR="00900905">
        <w:rPr>
          <w:lang w:eastAsia="ja-JP"/>
        </w:rPr>
        <w:t>a</w:t>
      </w:r>
      <w:r>
        <w:rPr>
          <w:lang w:eastAsia="ja-JP"/>
        </w:rPr>
        <w:t>ble Development Goals</w:t>
      </w:r>
    </w:p>
    <w:p w14:paraId="6BB0BB16" w14:textId="77777777" w:rsidR="00A60365" w:rsidRDefault="00A60365" w:rsidP="00007595">
      <w:pPr>
        <w:tabs>
          <w:tab w:val="left" w:pos="1134"/>
        </w:tabs>
        <w:spacing w:after="0"/>
        <w:rPr>
          <w:lang w:eastAsia="ja-JP"/>
        </w:rPr>
      </w:pPr>
      <w:r>
        <w:rPr>
          <w:lang w:eastAsia="ja-JP"/>
        </w:rPr>
        <w:t>SHS</w:t>
      </w:r>
      <w:r>
        <w:rPr>
          <w:lang w:eastAsia="ja-JP"/>
        </w:rPr>
        <w:tab/>
      </w:r>
      <w:r>
        <w:rPr>
          <w:lang w:eastAsia="ja-JP"/>
        </w:rPr>
        <w:tab/>
        <w:t>Specialist Health Service</w:t>
      </w:r>
    </w:p>
    <w:p w14:paraId="76063C17" w14:textId="77777777" w:rsidR="005D567C" w:rsidRDefault="005D567C" w:rsidP="00007595">
      <w:pPr>
        <w:tabs>
          <w:tab w:val="left" w:pos="1134"/>
        </w:tabs>
        <w:spacing w:after="0"/>
        <w:rPr>
          <w:lang w:eastAsia="ja-JP"/>
        </w:rPr>
      </w:pPr>
      <w:r>
        <w:rPr>
          <w:lang w:eastAsia="ja-JP"/>
        </w:rPr>
        <w:t>SPC</w:t>
      </w:r>
      <w:r>
        <w:rPr>
          <w:lang w:eastAsia="ja-JP"/>
        </w:rPr>
        <w:tab/>
      </w:r>
      <w:r>
        <w:rPr>
          <w:lang w:eastAsia="ja-JP"/>
        </w:rPr>
        <w:tab/>
        <w:t>The Pacific Community</w:t>
      </w:r>
    </w:p>
    <w:p w14:paraId="683C3D5B" w14:textId="77777777" w:rsidR="00BF055D" w:rsidRDefault="00BF055D" w:rsidP="00007595">
      <w:pPr>
        <w:tabs>
          <w:tab w:val="left" w:pos="1134"/>
        </w:tabs>
        <w:spacing w:after="0"/>
        <w:rPr>
          <w:lang w:eastAsia="ja-JP"/>
        </w:rPr>
      </w:pPr>
      <w:r>
        <w:rPr>
          <w:lang w:eastAsia="ja-JP"/>
        </w:rPr>
        <w:t>STEPS</w:t>
      </w:r>
      <w:r>
        <w:rPr>
          <w:lang w:eastAsia="ja-JP"/>
        </w:rPr>
        <w:tab/>
      </w:r>
      <w:r>
        <w:rPr>
          <w:lang w:eastAsia="ja-JP"/>
        </w:rPr>
        <w:tab/>
        <w:t>WHO STEPwise Approach to Surveillance</w:t>
      </w:r>
    </w:p>
    <w:p w14:paraId="6A0AC7C3" w14:textId="77777777" w:rsidR="009D1298" w:rsidRDefault="00900905" w:rsidP="00007595">
      <w:pPr>
        <w:tabs>
          <w:tab w:val="left" w:pos="1134"/>
        </w:tabs>
        <w:spacing w:after="0"/>
        <w:rPr>
          <w:lang w:eastAsia="ja-JP"/>
        </w:rPr>
      </w:pPr>
      <w:r>
        <w:rPr>
          <w:lang w:eastAsia="ja-JP"/>
        </w:rPr>
        <w:t>T2DM</w:t>
      </w:r>
      <w:r>
        <w:rPr>
          <w:lang w:eastAsia="ja-JP"/>
        </w:rPr>
        <w:tab/>
      </w:r>
      <w:r>
        <w:rPr>
          <w:lang w:eastAsia="ja-JP"/>
        </w:rPr>
        <w:tab/>
        <w:t>Type 2 diabetes m</w:t>
      </w:r>
      <w:r w:rsidR="009D1298">
        <w:rPr>
          <w:lang w:eastAsia="ja-JP"/>
        </w:rPr>
        <w:t>ellitus</w:t>
      </w:r>
    </w:p>
    <w:p w14:paraId="3A9E7FC6" w14:textId="77777777" w:rsidR="00733CB3" w:rsidRDefault="00733CB3" w:rsidP="00007595">
      <w:pPr>
        <w:tabs>
          <w:tab w:val="left" w:pos="1134"/>
        </w:tabs>
        <w:spacing w:after="0"/>
        <w:rPr>
          <w:lang w:eastAsia="ja-JP"/>
        </w:rPr>
      </w:pPr>
      <w:r>
        <w:rPr>
          <w:lang w:eastAsia="ja-JP"/>
        </w:rPr>
        <w:t>TSDF</w:t>
      </w:r>
      <w:r w:rsidR="0030769D">
        <w:rPr>
          <w:lang w:eastAsia="ja-JP"/>
        </w:rPr>
        <w:t xml:space="preserve"> II</w:t>
      </w:r>
      <w:r>
        <w:rPr>
          <w:lang w:eastAsia="ja-JP"/>
        </w:rPr>
        <w:tab/>
      </w:r>
      <w:r>
        <w:rPr>
          <w:lang w:eastAsia="ja-JP"/>
        </w:rPr>
        <w:tab/>
        <w:t>Tonga S</w:t>
      </w:r>
      <w:r w:rsidR="0030769D">
        <w:rPr>
          <w:lang w:eastAsia="ja-JP"/>
        </w:rPr>
        <w:t>trategic</w:t>
      </w:r>
      <w:r>
        <w:rPr>
          <w:lang w:eastAsia="ja-JP"/>
        </w:rPr>
        <w:t xml:space="preserve"> Development Framework</w:t>
      </w:r>
      <w:r w:rsidR="0030769D">
        <w:rPr>
          <w:lang w:eastAsia="ja-JP"/>
        </w:rPr>
        <w:t xml:space="preserve"> 2015-2025</w:t>
      </w:r>
    </w:p>
    <w:p w14:paraId="6D989309" w14:textId="77777777" w:rsidR="0030769D" w:rsidRDefault="0030769D" w:rsidP="00007595">
      <w:pPr>
        <w:tabs>
          <w:tab w:val="left" w:pos="1134"/>
        </w:tabs>
        <w:spacing w:after="0"/>
        <w:rPr>
          <w:lang w:eastAsia="ja-JP"/>
        </w:rPr>
      </w:pPr>
      <w:r>
        <w:rPr>
          <w:lang w:eastAsia="ja-JP"/>
        </w:rPr>
        <w:t>THSSP1</w:t>
      </w:r>
      <w:r>
        <w:rPr>
          <w:lang w:eastAsia="ja-JP"/>
        </w:rPr>
        <w:tab/>
      </w:r>
      <w:r>
        <w:rPr>
          <w:lang w:eastAsia="ja-JP"/>
        </w:rPr>
        <w:tab/>
        <w:t>Tonga Health Systems Support Program Phase 1</w:t>
      </w:r>
    </w:p>
    <w:p w14:paraId="114DC4BF" w14:textId="77777777" w:rsidR="00BF055D" w:rsidRDefault="00BF055D" w:rsidP="00007595">
      <w:pPr>
        <w:tabs>
          <w:tab w:val="left" w:pos="1134"/>
        </w:tabs>
        <w:spacing w:after="0"/>
        <w:rPr>
          <w:lang w:eastAsia="ja-JP"/>
        </w:rPr>
      </w:pPr>
      <w:r>
        <w:rPr>
          <w:lang w:eastAsia="ja-JP"/>
        </w:rPr>
        <w:t>THSSP2</w:t>
      </w:r>
      <w:r>
        <w:rPr>
          <w:lang w:eastAsia="ja-JP"/>
        </w:rPr>
        <w:tab/>
      </w:r>
      <w:r>
        <w:rPr>
          <w:lang w:eastAsia="ja-JP"/>
        </w:rPr>
        <w:tab/>
        <w:t>Tonga Health Systems Support Program Phase 2</w:t>
      </w:r>
    </w:p>
    <w:p w14:paraId="6F818C41" w14:textId="77777777" w:rsidR="00BF055D" w:rsidRDefault="00BF055D" w:rsidP="00007595">
      <w:pPr>
        <w:tabs>
          <w:tab w:val="left" w:pos="1134"/>
        </w:tabs>
        <w:spacing w:after="0"/>
        <w:rPr>
          <w:lang w:eastAsia="ja-JP"/>
        </w:rPr>
      </w:pPr>
      <w:r>
        <w:rPr>
          <w:lang w:eastAsia="ja-JP"/>
        </w:rPr>
        <w:t>TongaHealth</w:t>
      </w:r>
      <w:r>
        <w:rPr>
          <w:lang w:eastAsia="ja-JP"/>
        </w:rPr>
        <w:tab/>
        <w:t>Tonga Health Promotion Foundation</w:t>
      </w:r>
    </w:p>
    <w:p w14:paraId="57EE94A5" w14:textId="77777777" w:rsidR="00BF055D" w:rsidRDefault="00BF055D" w:rsidP="00007595">
      <w:pPr>
        <w:tabs>
          <w:tab w:val="left" w:pos="1134"/>
        </w:tabs>
        <w:spacing w:after="0"/>
        <w:rPr>
          <w:lang w:eastAsia="ja-JP"/>
        </w:rPr>
      </w:pPr>
      <w:r>
        <w:rPr>
          <w:lang w:eastAsia="ja-JP"/>
        </w:rPr>
        <w:t>TOP</w:t>
      </w:r>
      <w:r>
        <w:rPr>
          <w:lang w:eastAsia="ja-JP"/>
        </w:rPr>
        <w:tab/>
      </w:r>
      <w:r>
        <w:rPr>
          <w:lang w:eastAsia="ja-JP"/>
        </w:rPr>
        <w:tab/>
        <w:t>Tongan Pa’anga (currency)</w:t>
      </w:r>
    </w:p>
    <w:p w14:paraId="76C961AB" w14:textId="77777777" w:rsidR="00BF055D" w:rsidRDefault="00BF055D" w:rsidP="00007595">
      <w:pPr>
        <w:tabs>
          <w:tab w:val="left" w:pos="1134"/>
        </w:tabs>
        <w:spacing w:after="0"/>
        <w:rPr>
          <w:lang w:eastAsia="ja-JP"/>
        </w:rPr>
      </w:pPr>
      <w:r>
        <w:rPr>
          <w:lang w:eastAsia="ja-JP"/>
        </w:rPr>
        <w:t>ToRs</w:t>
      </w:r>
      <w:r>
        <w:rPr>
          <w:lang w:eastAsia="ja-JP"/>
        </w:rPr>
        <w:tab/>
      </w:r>
      <w:r>
        <w:rPr>
          <w:lang w:eastAsia="ja-JP"/>
        </w:rPr>
        <w:tab/>
        <w:t>Terms of reference</w:t>
      </w:r>
    </w:p>
    <w:p w14:paraId="26B4D442" w14:textId="77777777" w:rsidR="00BF055D" w:rsidRDefault="00BF055D" w:rsidP="00007595">
      <w:pPr>
        <w:spacing w:after="0"/>
        <w:rPr>
          <w:lang w:eastAsia="ja-JP"/>
        </w:rPr>
      </w:pPr>
      <w:r>
        <w:rPr>
          <w:lang w:eastAsia="ja-JP"/>
        </w:rPr>
        <w:t>WHO</w:t>
      </w:r>
      <w:r>
        <w:rPr>
          <w:lang w:eastAsia="ja-JP"/>
        </w:rPr>
        <w:tab/>
      </w:r>
      <w:r>
        <w:rPr>
          <w:lang w:eastAsia="ja-JP"/>
        </w:rPr>
        <w:tab/>
        <w:t>World Health Organization</w:t>
      </w:r>
    </w:p>
    <w:p w14:paraId="023FBAA0" w14:textId="77777777" w:rsidR="00A421B7" w:rsidRPr="003073D3" w:rsidRDefault="00022D77" w:rsidP="002853B5">
      <w:pPr>
        <w:pStyle w:val="Heading1"/>
        <w:numPr>
          <w:ilvl w:val="0"/>
          <w:numId w:val="0"/>
        </w:numPr>
        <w:rPr>
          <w:rFonts w:eastAsia="Times New Roman"/>
        </w:rPr>
      </w:pPr>
      <w:bookmarkStart w:id="1" w:name="_Toc536205421"/>
      <w:r w:rsidRPr="003073D3">
        <w:rPr>
          <w:rFonts w:eastAsia="Times New Roman"/>
        </w:rPr>
        <w:lastRenderedPageBreak/>
        <w:t>Executive Summary</w:t>
      </w:r>
      <w:bookmarkEnd w:id="1"/>
    </w:p>
    <w:p w14:paraId="61E74D03" w14:textId="77777777" w:rsidR="00CA1426" w:rsidRDefault="00CA1426" w:rsidP="00CA1426">
      <w:pPr>
        <w:spacing w:after="0"/>
      </w:pPr>
    </w:p>
    <w:p w14:paraId="01825179" w14:textId="52EF560C" w:rsidR="00177CC7" w:rsidRDefault="00177CC7" w:rsidP="002E5221">
      <w:pPr>
        <w:rPr>
          <w:b/>
          <w:color w:val="3B3838" w:themeColor="background2" w:themeShade="40"/>
          <w:sz w:val="24"/>
          <w:szCs w:val="24"/>
        </w:rPr>
      </w:pPr>
      <w:r>
        <w:rPr>
          <w:b/>
          <w:color w:val="3B3838" w:themeColor="background2" w:themeShade="40"/>
          <w:sz w:val="24"/>
          <w:szCs w:val="24"/>
        </w:rPr>
        <w:t>Overview of findings</w:t>
      </w:r>
    </w:p>
    <w:p w14:paraId="1B31478E" w14:textId="02B8D00B" w:rsidR="00534304" w:rsidRPr="00534304" w:rsidRDefault="00C727A9" w:rsidP="00534304">
      <w:pPr>
        <w:rPr>
          <w:b/>
          <w:sz w:val="24"/>
          <w:szCs w:val="24"/>
        </w:rPr>
      </w:pPr>
      <w:r w:rsidRPr="00C727A9">
        <w:rPr>
          <w:rFonts w:cstheme="minorHAnsi"/>
          <w:color w:val="000000"/>
        </w:rPr>
        <w:t>The design of THSSP2 appropriately addresses the most significant health issues for Tonga, and implementation has largely delivered according to the design.</w:t>
      </w:r>
      <w:r w:rsidR="00534304">
        <w:rPr>
          <w:rFonts w:cstheme="minorHAnsi"/>
          <w:color w:val="000000"/>
        </w:rPr>
        <w:t xml:space="preserve">  The </w:t>
      </w:r>
      <w:r w:rsidRPr="00C727A9">
        <w:rPr>
          <w:rFonts w:cstheme="minorHAnsi"/>
          <w:color w:val="000000"/>
        </w:rPr>
        <w:t xml:space="preserve">intended modality of "on plan, on </w:t>
      </w:r>
      <w:r w:rsidR="0099762B">
        <w:rPr>
          <w:rFonts w:cstheme="minorHAnsi"/>
          <w:color w:val="000000"/>
        </w:rPr>
        <w:t>budget</w:t>
      </w:r>
      <w:r w:rsidRPr="00C727A9">
        <w:rPr>
          <w:rFonts w:cstheme="minorHAnsi"/>
          <w:color w:val="000000"/>
        </w:rPr>
        <w:t xml:space="preserve">, on </w:t>
      </w:r>
      <w:r w:rsidR="0099762B">
        <w:rPr>
          <w:rFonts w:cstheme="minorHAnsi"/>
          <w:color w:val="000000"/>
        </w:rPr>
        <w:t>system</w:t>
      </w:r>
      <w:r w:rsidRPr="00C727A9">
        <w:rPr>
          <w:rFonts w:cstheme="minorHAnsi"/>
          <w:color w:val="000000"/>
        </w:rPr>
        <w:t xml:space="preserve">" was appropriate in terms of good development practice, but ambitious considering the limitations of </w:t>
      </w:r>
      <w:r w:rsidR="00534304">
        <w:rPr>
          <w:rFonts w:cstheme="minorHAnsi"/>
          <w:color w:val="000000"/>
        </w:rPr>
        <w:t>elements of the Tonga</w:t>
      </w:r>
      <w:r w:rsidRPr="00C727A9">
        <w:rPr>
          <w:rFonts w:cstheme="minorHAnsi"/>
          <w:color w:val="000000"/>
        </w:rPr>
        <w:t xml:space="preserve"> public </w:t>
      </w:r>
      <w:r w:rsidR="00534304">
        <w:rPr>
          <w:rFonts w:cstheme="minorHAnsi"/>
          <w:color w:val="000000"/>
        </w:rPr>
        <w:t>service</w:t>
      </w:r>
      <w:r w:rsidRPr="00C727A9">
        <w:rPr>
          <w:rFonts w:cstheme="minorHAnsi"/>
          <w:color w:val="000000"/>
        </w:rPr>
        <w:t>, and this led to</w:t>
      </w:r>
      <w:r w:rsidR="00534304">
        <w:rPr>
          <w:rFonts w:cstheme="minorHAnsi"/>
          <w:color w:val="000000"/>
        </w:rPr>
        <w:t xml:space="preserve"> the use of</w:t>
      </w:r>
      <w:r>
        <w:rPr>
          <w:rFonts w:cstheme="minorHAnsi"/>
          <w:color w:val="000000"/>
        </w:rPr>
        <w:t xml:space="preserve"> some </w:t>
      </w:r>
      <w:r w:rsidRPr="00C727A9">
        <w:rPr>
          <w:rFonts w:cstheme="minorHAnsi"/>
          <w:color w:val="000000"/>
        </w:rPr>
        <w:t>parallel system</w:t>
      </w:r>
      <w:r>
        <w:rPr>
          <w:rFonts w:cstheme="minorHAnsi"/>
          <w:color w:val="000000"/>
        </w:rPr>
        <w:t>s</w:t>
      </w:r>
      <w:r w:rsidRPr="00C727A9">
        <w:rPr>
          <w:rFonts w:cstheme="minorHAnsi"/>
          <w:color w:val="000000"/>
        </w:rPr>
        <w:t xml:space="preserve"> for THSSP2.</w:t>
      </w:r>
      <w:r w:rsidR="00534304">
        <w:rPr>
          <w:rFonts w:cstheme="minorHAnsi"/>
          <w:color w:val="000000"/>
        </w:rPr>
        <w:t xml:space="preserve"> </w:t>
      </w:r>
      <w:r w:rsidR="00534304" w:rsidRPr="00534304">
        <w:rPr>
          <w:rFonts w:cstheme="minorHAnsi"/>
          <w:color w:val="000000"/>
        </w:rPr>
        <w:t xml:space="preserve"> </w:t>
      </w:r>
      <w:r w:rsidRPr="00534304">
        <w:rPr>
          <w:rFonts w:cstheme="minorHAnsi"/>
          <w:color w:val="000000"/>
        </w:rPr>
        <w:t xml:space="preserve">The </w:t>
      </w:r>
      <w:r w:rsidR="00534304">
        <w:rPr>
          <w:rFonts w:cstheme="minorHAnsi"/>
          <w:color w:val="000000"/>
        </w:rPr>
        <w:t xml:space="preserve">Mid-Term Evaluation </w:t>
      </w:r>
      <w:r w:rsidRPr="00534304">
        <w:rPr>
          <w:rFonts w:cstheme="minorHAnsi"/>
          <w:color w:val="000000"/>
        </w:rPr>
        <w:t xml:space="preserve">Team considers that the original design concepts are sound for a sector program, and </w:t>
      </w:r>
      <w:r w:rsidRPr="00534304">
        <w:rPr>
          <w:rFonts w:cstheme="minorHAnsi"/>
        </w:rPr>
        <w:t xml:space="preserve">that </w:t>
      </w:r>
      <w:r w:rsidR="00534304" w:rsidRPr="00534304">
        <w:rPr>
          <w:rFonts w:eastAsia="Times New Roman"/>
        </w:rPr>
        <w:t>future work continue to focus on strengthening this approach, including improvements to: core planning and budgeting functions</w:t>
      </w:r>
      <w:r w:rsidR="00534304">
        <w:rPr>
          <w:rFonts w:eastAsia="Times New Roman"/>
        </w:rPr>
        <w:t>;</w:t>
      </w:r>
      <w:r w:rsidR="00534304" w:rsidRPr="00534304">
        <w:rPr>
          <w:rFonts w:eastAsia="Times New Roman"/>
        </w:rPr>
        <w:t xml:space="preserve"> effective governance and monitoring and evaluation, gender and social inclusion</w:t>
      </w:r>
      <w:r w:rsidR="00534304">
        <w:rPr>
          <w:rFonts w:eastAsia="Times New Roman"/>
        </w:rPr>
        <w:t>;</w:t>
      </w:r>
      <w:r w:rsidR="00534304" w:rsidRPr="00534304">
        <w:rPr>
          <w:rFonts w:eastAsia="Times New Roman"/>
        </w:rPr>
        <w:t xml:space="preserve"> and coordinating support to</w:t>
      </w:r>
      <w:r w:rsidR="00534304">
        <w:rPr>
          <w:rFonts w:eastAsia="Times New Roman"/>
        </w:rPr>
        <w:t xml:space="preserve"> the Government of Tonga’s </w:t>
      </w:r>
      <w:r w:rsidR="00534304" w:rsidRPr="00534304">
        <w:rPr>
          <w:rFonts w:eastAsia="Times New Roman"/>
        </w:rPr>
        <w:t>medium term priorities in the sector.</w:t>
      </w:r>
    </w:p>
    <w:p w14:paraId="3AD7B360" w14:textId="5BAD1CA8" w:rsidR="00CA1426" w:rsidRPr="00592CC9" w:rsidRDefault="00323C44" w:rsidP="002E5221">
      <w:pPr>
        <w:rPr>
          <w:b/>
          <w:color w:val="3B3838" w:themeColor="background2" w:themeShade="40"/>
          <w:sz w:val="24"/>
          <w:szCs w:val="24"/>
          <w:u w:val="single"/>
        </w:rPr>
      </w:pPr>
      <w:r w:rsidRPr="00592CC9">
        <w:rPr>
          <w:b/>
          <w:color w:val="3B3838" w:themeColor="background2" w:themeShade="40"/>
          <w:sz w:val="24"/>
          <w:szCs w:val="24"/>
        </w:rPr>
        <w:t>Background</w:t>
      </w:r>
    </w:p>
    <w:p w14:paraId="00094FC8" w14:textId="77777777" w:rsidR="00CA1426" w:rsidRDefault="00CA1426" w:rsidP="00534304">
      <w:pPr>
        <w:rPr>
          <w:lang w:eastAsia="en-AU"/>
        </w:rPr>
      </w:pPr>
      <w:r>
        <w:t>S</w:t>
      </w:r>
      <w:r w:rsidRPr="00240D20">
        <w:t>ince 2009, Australia has invested in Tonga’s</w:t>
      </w:r>
      <w:r w:rsidR="00A82688">
        <w:t xml:space="preserve"> health sector </w:t>
      </w:r>
      <w:r w:rsidRPr="00240D20">
        <w:t xml:space="preserve">through the Tonga Health Systems Support Program. Phase 1 (THSSP1) of the Program </w:t>
      </w:r>
      <w:r>
        <w:t xml:space="preserve">(2009-2015) </w:t>
      </w:r>
      <w:r w:rsidRPr="00240D20">
        <w:t xml:space="preserve">aimed to improve community health services and deliver preventative health </w:t>
      </w:r>
      <w:r w:rsidRPr="00A318B9">
        <w:rPr>
          <w:noProof/>
        </w:rPr>
        <w:t>measures,</w:t>
      </w:r>
      <w:r w:rsidRPr="00240D20">
        <w:t xml:space="preserve"> while focusing on halting the rise in prevalence of </w:t>
      </w:r>
      <w:r w:rsidR="00E44498">
        <w:t>non-communicable diseases (</w:t>
      </w:r>
      <w:r w:rsidRPr="00240D20">
        <w:t>NCDs</w:t>
      </w:r>
      <w:r w:rsidR="00E44498">
        <w:t>)</w:t>
      </w:r>
      <w:r w:rsidRPr="00240D20">
        <w:t xml:space="preserve"> and </w:t>
      </w:r>
      <w:r w:rsidR="00E44498">
        <w:t>their</w:t>
      </w:r>
      <w:r w:rsidR="00E44498" w:rsidRPr="00240D20">
        <w:t xml:space="preserve"> </w:t>
      </w:r>
      <w:r w:rsidRPr="00240D20">
        <w:t xml:space="preserve">risk factors. </w:t>
      </w:r>
      <w:r>
        <w:t xml:space="preserve">THSSP </w:t>
      </w:r>
      <w:r w:rsidRPr="007F5DB7">
        <w:t xml:space="preserve">Phase 2 (THSSP2) commenced in March 2015, with </w:t>
      </w:r>
      <w:r>
        <w:t xml:space="preserve">continued </w:t>
      </w:r>
      <w:r w:rsidRPr="007F5DB7">
        <w:t>support</w:t>
      </w:r>
      <w:r>
        <w:t xml:space="preserve"> focused on preven</w:t>
      </w:r>
      <w:r w:rsidRPr="007F5DB7">
        <w:t xml:space="preserve">tive health services. </w:t>
      </w:r>
      <w:r>
        <w:t>THSSP</w:t>
      </w:r>
      <w:r w:rsidRPr="000E3B05">
        <w:t xml:space="preserve">2 </w:t>
      </w:r>
      <w:r w:rsidRPr="008834E5">
        <w:rPr>
          <w:noProof/>
        </w:rPr>
        <w:t>is designed</w:t>
      </w:r>
      <w:r w:rsidRPr="000E3B05">
        <w:t xml:space="preserve"> </w:t>
      </w:r>
      <w:r>
        <w:t xml:space="preserve">around </w:t>
      </w:r>
      <w:r w:rsidRPr="008834E5">
        <w:rPr>
          <w:noProof/>
        </w:rPr>
        <w:t>funding</w:t>
      </w:r>
      <w:r w:rsidRPr="00746326">
        <w:t xml:space="preserve"> of the annual work-plans of the </w:t>
      </w:r>
      <w:r w:rsidR="00E44498">
        <w:t>Ministry of Health (</w:t>
      </w:r>
      <w:r>
        <w:t>MoH</w:t>
      </w:r>
      <w:r w:rsidR="00E44498">
        <w:t>)</w:t>
      </w:r>
      <w:r>
        <w:t xml:space="preserve"> </w:t>
      </w:r>
      <w:r w:rsidRPr="00746326">
        <w:t xml:space="preserve">and </w:t>
      </w:r>
      <w:r>
        <w:t>Tonga Health Promotion Foundation (‘</w:t>
      </w:r>
      <w:r w:rsidRPr="00746326">
        <w:t>TongaHealth</w:t>
      </w:r>
      <w:r>
        <w:t>’)</w:t>
      </w:r>
      <w:r w:rsidRPr="00746326">
        <w:t xml:space="preserve">. </w:t>
      </w:r>
      <w:r>
        <w:t xml:space="preserve">There is a direct funding agreement with the Ministry of Finance (MoF) </w:t>
      </w:r>
      <w:r w:rsidR="00367258">
        <w:t>and the MoH</w:t>
      </w:r>
      <w:r w:rsidR="00120191">
        <w:t>,</w:t>
      </w:r>
      <w:r w:rsidR="00367258">
        <w:t xml:space="preserve"> </w:t>
      </w:r>
      <w:r>
        <w:t>for the MoH</w:t>
      </w:r>
      <w:r w:rsidR="00120191">
        <w:t>,</w:t>
      </w:r>
      <w:r>
        <w:t xml:space="preserve"> and a funding agreement with Tonga</w:t>
      </w:r>
      <w:r w:rsidRPr="007F5DB7">
        <w:t>Health</w:t>
      </w:r>
      <w:r>
        <w:t xml:space="preserve">. </w:t>
      </w:r>
      <w:r w:rsidRPr="007D1762">
        <w:t xml:space="preserve">The NCD prevention component of THSSP2 is </w:t>
      </w:r>
      <w:r>
        <w:t xml:space="preserve">specifically designed to support the </w:t>
      </w:r>
      <w:r w:rsidRPr="007D1762">
        <w:rPr>
          <w:i/>
        </w:rPr>
        <w:t xml:space="preserve">National </w:t>
      </w:r>
      <w:r>
        <w:rPr>
          <w:i/>
        </w:rPr>
        <w:t>S</w:t>
      </w:r>
      <w:r w:rsidRPr="007D1762">
        <w:rPr>
          <w:i/>
        </w:rPr>
        <w:t xml:space="preserve">trategy for the </w:t>
      </w:r>
      <w:r>
        <w:rPr>
          <w:i/>
        </w:rPr>
        <w:t>P</w:t>
      </w:r>
      <w:r w:rsidRPr="007D1762">
        <w:rPr>
          <w:i/>
        </w:rPr>
        <w:t xml:space="preserve">revention and </w:t>
      </w:r>
      <w:r>
        <w:rPr>
          <w:i/>
        </w:rPr>
        <w:t>C</w:t>
      </w:r>
      <w:r w:rsidRPr="007D1762">
        <w:rPr>
          <w:i/>
        </w:rPr>
        <w:t>ontrol of NCDs 2015-2020</w:t>
      </w:r>
      <w:r w:rsidRPr="007D1762">
        <w:t xml:space="preserve"> (‘Hala Fononga’)</w:t>
      </w:r>
      <w:r>
        <w:t xml:space="preserve">. </w:t>
      </w:r>
      <w:r>
        <w:rPr>
          <w:lang w:eastAsia="en-AU"/>
        </w:rPr>
        <w:t xml:space="preserve">The total THSSP2 budget is </w:t>
      </w:r>
      <w:r w:rsidR="00750831">
        <w:rPr>
          <w:lang w:eastAsia="en-AU"/>
        </w:rPr>
        <w:t>$</w:t>
      </w:r>
      <w:r>
        <w:rPr>
          <w:lang w:eastAsia="en-AU"/>
        </w:rPr>
        <w:t>17.3 million</w:t>
      </w:r>
      <w:r w:rsidR="00AA554C">
        <w:rPr>
          <w:lang w:eastAsia="en-AU"/>
        </w:rPr>
        <w:t xml:space="preserve"> over five years (2015-20)</w:t>
      </w:r>
      <w:r>
        <w:rPr>
          <w:lang w:eastAsia="en-AU"/>
        </w:rPr>
        <w:t xml:space="preserve">, including </w:t>
      </w:r>
      <w:r w:rsidR="00750831">
        <w:rPr>
          <w:lang w:eastAsia="en-AU"/>
        </w:rPr>
        <w:t>$</w:t>
      </w:r>
      <w:r>
        <w:rPr>
          <w:lang w:eastAsia="en-AU"/>
        </w:rPr>
        <w:t>3.3 million in DFAT regional Disability-inclusive Development (DID) funding.</w:t>
      </w:r>
    </w:p>
    <w:p w14:paraId="00466056" w14:textId="77777777" w:rsidR="00CA1426" w:rsidRDefault="00CA1426" w:rsidP="00CA1426">
      <w:r w:rsidRPr="0097191B">
        <w:t>The purpose of th</w:t>
      </w:r>
      <w:r>
        <w:t>e</w:t>
      </w:r>
      <w:r w:rsidRPr="0097191B">
        <w:t xml:space="preserve"> </w:t>
      </w:r>
      <w:r>
        <w:t>m</w:t>
      </w:r>
      <w:r w:rsidRPr="0097191B">
        <w:t>id</w:t>
      </w:r>
      <w:r>
        <w:t>-</w:t>
      </w:r>
      <w:r w:rsidRPr="0097191B">
        <w:t xml:space="preserve">term </w:t>
      </w:r>
      <w:r>
        <w:t>e</w:t>
      </w:r>
      <w:r w:rsidRPr="0097191B">
        <w:t xml:space="preserve">valuation </w:t>
      </w:r>
      <w:r>
        <w:t>was</w:t>
      </w:r>
      <w:r w:rsidRPr="0097191B">
        <w:t xml:space="preserve"> to </w:t>
      </w:r>
      <w:r>
        <w:t>obtain</w:t>
      </w:r>
      <w:r w:rsidRPr="0097191B">
        <w:t xml:space="preserve"> information </w:t>
      </w:r>
      <w:r w:rsidR="00A82688">
        <w:t>on the performance</w:t>
      </w:r>
      <w:r w:rsidRPr="0097191B">
        <w:t xml:space="preserve"> of </w:t>
      </w:r>
      <w:r>
        <w:t>Australian-</w:t>
      </w:r>
      <w:r w:rsidRPr="0097191B">
        <w:t>funded support to the health sector</w:t>
      </w:r>
      <w:r w:rsidR="00A82688">
        <w:t xml:space="preserve"> through THSSP2</w:t>
      </w:r>
      <w:r w:rsidRPr="0097191B">
        <w:t xml:space="preserve">. This information will be used to improve Australia’s support to the </w:t>
      </w:r>
      <w:r>
        <w:t>MoH</w:t>
      </w:r>
      <w:r w:rsidRPr="0097191B">
        <w:t xml:space="preserve"> </w:t>
      </w:r>
      <w:r>
        <w:t>and Tonga</w:t>
      </w:r>
      <w:r w:rsidRPr="0097191B">
        <w:t>Health and, subsequently, the delivery of Tonga’s National Hea</w:t>
      </w:r>
      <w:r>
        <w:t>lth Strategic Plan 2015 – 2020.</w:t>
      </w:r>
      <w:r w:rsidR="00AA554C">
        <w:t xml:space="preserve"> It will also be used to inform consideration of any future Australian support to the health sector.</w:t>
      </w:r>
      <w:r>
        <w:rPr>
          <w:lang w:eastAsia="en-AU"/>
        </w:rPr>
        <w:t xml:space="preserve"> </w:t>
      </w:r>
      <w:r w:rsidRPr="00022D77">
        <w:t xml:space="preserve">The evaluation </w:t>
      </w:r>
      <w:r>
        <w:t>approach reflected the program design, with five high-level program targets and the intention that progress would be measured using the THSSP2 Monitoring and Evaluation Framework (M&amp;E Framework).</w:t>
      </w:r>
    </w:p>
    <w:p w14:paraId="26EA6AF5" w14:textId="77777777" w:rsidR="00550647" w:rsidRDefault="00CA1426" w:rsidP="002E5221">
      <w:pPr>
        <w:rPr>
          <w:b/>
          <w:color w:val="3B3838" w:themeColor="background2" w:themeShade="40"/>
          <w:sz w:val="24"/>
          <w:szCs w:val="24"/>
        </w:rPr>
      </w:pPr>
      <w:r w:rsidRPr="00592CC9">
        <w:rPr>
          <w:b/>
          <w:color w:val="3B3838" w:themeColor="background2" w:themeShade="40"/>
          <w:sz w:val="24"/>
          <w:szCs w:val="24"/>
        </w:rPr>
        <w:t>Progress</w:t>
      </w:r>
    </w:p>
    <w:p w14:paraId="0A16047B" w14:textId="77777777" w:rsidR="00CA1426" w:rsidRPr="00550647" w:rsidRDefault="00550647" w:rsidP="002E5221">
      <w:pPr>
        <w:rPr>
          <w:b/>
          <w:color w:val="767171" w:themeColor="background2" w:themeShade="80"/>
        </w:rPr>
      </w:pPr>
      <w:r w:rsidRPr="00550647">
        <w:rPr>
          <w:b/>
          <w:color w:val="767171" w:themeColor="background2" w:themeShade="80"/>
        </w:rPr>
        <w:t>H</w:t>
      </w:r>
      <w:r w:rsidR="00CA1426" w:rsidRPr="00550647">
        <w:rPr>
          <w:b/>
          <w:color w:val="767171" w:themeColor="background2" w:themeShade="80"/>
        </w:rPr>
        <w:t>igh-level program targets</w:t>
      </w:r>
    </w:p>
    <w:p w14:paraId="09B68814" w14:textId="77777777" w:rsidR="00CA1426" w:rsidRDefault="00CA1426" w:rsidP="00CA1426">
      <w:pPr>
        <w:spacing w:after="120"/>
      </w:pPr>
      <w:r>
        <w:t>The THSSP2 Design Document sets five high</w:t>
      </w:r>
      <w:r w:rsidR="00120996">
        <w:t>-</w:t>
      </w:r>
      <w:r>
        <w:t>level program targets. Although available information on the population health program targets was limited, the evaluation found:</w:t>
      </w:r>
    </w:p>
    <w:p w14:paraId="3A8F0CE1" w14:textId="77777777" w:rsidR="00CA1426" w:rsidRDefault="00CA1426" w:rsidP="00C727A9">
      <w:pPr>
        <w:pStyle w:val="ListParagraph"/>
        <w:numPr>
          <w:ilvl w:val="0"/>
          <w:numId w:val="40"/>
        </w:numPr>
        <w:spacing w:after="120"/>
        <w:ind w:left="714" w:hanging="357"/>
        <w:contextualSpacing w:val="0"/>
      </w:pPr>
      <w:r>
        <w:t xml:space="preserve">Signs of early progress towards achieving the following </w:t>
      </w:r>
      <w:r w:rsidR="00120996">
        <w:rPr>
          <w:u w:val="single"/>
        </w:rPr>
        <w:t>population health</w:t>
      </w:r>
      <w:r w:rsidR="00120996">
        <w:t xml:space="preserve"> t</w:t>
      </w:r>
      <w:r>
        <w:t>argets:</w:t>
      </w:r>
    </w:p>
    <w:p w14:paraId="1CEDF49F" w14:textId="77777777" w:rsidR="00CA1426" w:rsidRDefault="00CA1426" w:rsidP="00C727A9">
      <w:pPr>
        <w:pStyle w:val="ListParagraph"/>
        <w:numPr>
          <w:ilvl w:val="0"/>
          <w:numId w:val="41"/>
        </w:numPr>
        <w:spacing w:after="120"/>
        <w:ind w:left="1071" w:hanging="357"/>
        <w:contextualSpacing w:val="0"/>
      </w:pPr>
      <w:r>
        <w:t>the rate of NCD-related premature mortality had not risen;</w:t>
      </w:r>
    </w:p>
    <w:p w14:paraId="6FCE4C47" w14:textId="77777777" w:rsidR="00CA1426" w:rsidRDefault="00CA1426" w:rsidP="00C727A9">
      <w:pPr>
        <w:pStyle w:val="ListParagraph"/>
        <w:numPr>
          <w:ilvl w:val="0"/>
          <w:numId w:val="41"/>
        </w:numPr>
        <w:spacing w:after="120"/>
        <w:ind w:left="1071" w:hanging="357"/>
        <w:contextualSpacing w:val="0"/>
      </w:pPr>
      <w:r>
        <w:t>behavioural risk factors relating to tobacco and alcohol use had fallen amongst adolescents.</w:t>
      </w:r>
    </w:p>
    <w:p w14:paraId="58513BCC" w14:textId="77777777" w:rsidR="00CA1426" w:rsidRDefault="00CA1426" w:rsidP="00C727A9">
      <w:pPr>
        <w:pStyle w:val="ListParagraph"/>
        <w:numPr>
          <w:ilvl w:val="0"/>
          <w:numId w:val="40"/>
        </w:numPr>
        <w:spacing w:after="120"/>
        <w:ind w:left="714" w:hanging="357"/>
        <w:contextualSpacing w:val="0"/>
      </w:pPr>
      <w:r>
        <w:t xml:space="preserve">Key progress towards </w:t>
      </w:r>
      <w:r w:rsidRPr="00E734B8">
        <w:rPr>
          <w:u w:val="single"/>
        </w:rPr>
        <w:t>health systems</w:t>
      </w:r>
      <w:r>
        <w:t xml:space="preserve"> targets:</w:t>
      </w:r>
    </w:p>
    <w:p w14:paraId="3F6FF2A0" w14:textId="77777777" w:rsidR="00CA1426" w:rsidRPr="00ED661D" w:rsidRDefault="00CA1426" w:rsidP="00C727A9">
      <w:pPr>
        <w:pStyle w:val="ListParagraph"/>
        <w:numPr>
          <w:ilvl w:val="0"/>
          <w:numId w:val="42"/>
        </w:numPr>
        <w:spacing w:after="120"/>
        <w:ind w:left="1071" w:hanging="357"/>
        <w:contextualSpacing w:val="0"/>
      </w:pPr>
      <w:r>
        <w:lastRenderedPageBreak/>
        <w:t xml:space="preserve">the development of the </w:t>
      </w:r>
      <w:r w:rsidRPr="00802169">
        <w:t xml:space="preserve">Package of </w:t>
      </w:r>
      <w:r w:rsidR="00802169">
        <w:rPr>
          <w:rFonts w:ascii="Calibri" w:hAnsi="Calibri" w:cs="Calibri"/>
          <w:color w:val="000000"/>
        </w:rPr>
        <w:t>Essential Health Services</w:t>
      </w:r>
      <w:r w:rsidRPr="00802169">
        <w:rPr>
          <w:rFonts w:ascii="Calibri" w:hAnsi="Calibri" w:cs="Calibri"/>
          <w:color w:val="000000"/>
        </w:rPr>
        <w:t xml:space="preserve"> </w:t>
      </w:r>
      <w:r w:rsidRPr="00E734B8">
        <w:rPr>
          <w:rFonts w:ascii="Calibri" w:hAnsi="Calibri" w:cs="Calibri"/>
          <w:color w:val="000000"/>
        </w:rPr>
        <w:t>(</w:t>
      </w:r>
      <w:r w:rsidR="00802169">
        <w:rPr>
          <w:rFonts w:ascii="Calibri" w:hAnsi="Calibri" w:cs="Calibri"/>
          <w:color w:val="000000"/>
        </w:rPr>
        <w:t xml:space="preserve">PEHS): an MoH policy framework, </w:t>
      </w:r>
      <w:r w:rsidRPr="00E734B8">
        <w:rPr>
          <w:rFonts w:ascii="Calibri" w:hAnsi="Calibri" w:cs="Calibri"/>
          <w:color w:val="000000"/>
        </w:rPr>
        <w:t>at final draft stage</w:t>
      </w:r>
      <w:r w:rsidR="00802169">
        <w:rPr>
          <w:rFonts w:ascii="Calibri" w:hAnsi="Calibri" w:cs="Calibri"/>
          <w:color w:val="000000"/>
        </w:rPr>
        <w:t>,</w:t>
      </w:r>
      <w:r w:rsidRPr="00E734B8">
        <w:rPr>
          <w:rFonts w:ascii="Calibri" w:hAnsi="Calibri" w:cs="Calibri"/>
          <w:color w:val="000000"/>
        </w:rPr>
        <w:t xml:space="preserve"> that commits to mainstream NCD management into primary health care;</w:t>
      </w:r>
      <w:r w:rsidR="00802169">
        <w:rPr>
          <w:rFonts w:ascii="Calibri" w:hAnsi="Calibri" w:cs="Calibri"/>
          <w:color w:val="000000"/>
        </w:rPr>
        <w:t xml:space="preserve"> </w:t>
      </w:r>
    </w:p>
    <w:p w14:paraId="44BBC515" w14:textId="77777777" w:rsidR="00CA1426" w:rsidRDefault="00CA1426" w:rsidP="00C727A9">
      <w:pPr>
        <w:pStyle w:val="ListParagraph"/>
        <w:numPr>
          <w:ilvl w:val="0"/>
          <w:numId w:val="42"/>
        </w:numPr>
      </w:pPr>
      <w:r>
        <w:t>strengthening of the MoH organisational structure by consolidating administrative support functions into a Corporate Services Division.</w:t>
      </w:r>
    </w:p>
    <w:p w14:paraId="7284921D" w14:textId="77777777" w:rsidR="0043433D" w:rsidRPr="00550647" w:rsidRDefault="00550647" w:rsidP="002E5221">
      <w:pPr>
        <w:rPr>
          <w:b/>
          <w:color w:val="767171" w:themeColor="background2" w:themeShade="80"/>
        </w:rPr>
      </w:pPr>
      <w:r w:rsidRPr="00550647">
        <w:rPr>
          <w:b/>
          <w:color w:val="767171" w:themeColor="background2" w:themeShade="80"/>
        </w:rPr>
        <w:t>H</w:t>
      </w:r>
      <w:r w:rsidR="00CF59D3" w:rsidRPr="00550647">
        <w:rPr>
          <w:b/>
          <w:color w:val="767171" w:themeColor="background2" w:themeShade="80"/>
        </w:rPr>
        <w:t>ealth services</w:t>
      </w:r>
    </w:p>
    <w:p w14:paraId="62E65A6B" w14:textId="77777777" w:rsidR="00CF59D3" w:rsidRDefault="00CF59D3" w:rsidP="0043433D">
      <w:r w:rsidRPr="00550647">
        <w:t xml:space="preserve">The evaluation </w:t>
      </w:r>
      <w:r>
        <w:t>considered that the areas of progress in health services with the greatest overall significance were:</w:t>
      </w:r>
    </w:p>
    <w:p w14:paraId="3A27ACB0" w14:textId="77777777" w:rsidR="0043433D" w:rsidRDefault="0043433D" w:rsidP="00C727A9">
      <w:pPr>
        <w:pStyle w:val="ListParagraph"/>
        <w:numPr>
          <w:ilvl w:val="0"/>
          <w:numId w:val="52"/>
        </w:numPr>
        <w:ind w:left="714" w:hanging="357"/>
        <w:contextualSpacing w:val="0"/>
      </w:pPr>
      <w:r w:rsidRPr="00550647">
        <w:t>T</w:t>
      </w:r>
      <w:r w:rsidR="00CF59D3">
        <w:t>he development and ongoing implementation of T</w:t>
      </w:r>
      <w:r w:rsidRPr="00550647">
        <w:t>onga’s multi-sector action plan for NCD prevention and control</w:t>
      </w:r>
      <w:r w:rsidR="00CF59D3">
        <w:t xml:space="preserve">, which </w:t>
      </w:r>
      <w:r w:rsidRPr="00550647">
        <w:t>positions Tonga as a regional leader</w:t>
      </w:r>
      <w:r w:rsidR="00CF59D3">
        <w:t>, with signs of early progress previously described</w:t>
      </w:r>
      <w:r w:rsidRPr="00550647">
        <w:t>.</w:t>
      </w:r>
    </w:p>
    <w:p w14:paraId="1F18B268" w14:textId="77777777" w:rsidR="00CF59D3" w:rsidRPr="00CF59D3" w:rsidRDefault="00CF59D3" w:rsidP="00C727A9">
      <w:pPr>
        <w:pStyle w:val="ListParagraph"/>
        <w:numPr>
          <w:ilvl w:val="0"/>
          <w:numId w:val="52"/>
        </w:numPr>
        <w:ind w:left="714" w:hanging="357"/>
        <w:contextualSpacing w:val="0"/>
      </w:pPr>
      <w:r w:rsidRPr="009258B9">
        <w:rPr>
          <w:rFonts w:cstheme="minorHAnsi"/>
        </w:rPr>
        <w:t>NCD management has continued to improve (as a largely vertical program)</w:t>
      </w:r>
      <w:r>
        <w:rPr>
          <w:rFonts w:cstheme="minorHAnsi"/>
        </w:rPr>
        <w:t>.</w:t>
      </w:r>
    </w:p>
    <w:p w14:paraId="11810ACA" w14:textId="77777777" w:rsidR="00CF59D3" w:rsidRPr="00550647" w:rsidRDefault="00CF59D3" w:rsidP="00C727A9">
      <w:pPr>
        <w:pStyle w:val="ListParagraph"/>
        <w:numPr>
          <w:ilvl w:val="0"/>
          <w:numId w:val="52"/>
        </w:numPr>
      </w:pPr>
      <w:r w:rsidRPr="008834E5">
        <w:rPr>
          <w:noProof/>
        </w:rPr>
        <w:t xml:space="preserve">The scope of the vision of the PEHS, </w:t>
      </w:r>
      <w:r w:rsidR="006E5305" w:rsidRPr="008834E5">
        <w:rPr>
          <w:noProof/>
        </w:rPr>
        <w:t>embracing many of the priorities advanced by THSSP2 including (in addition to the mainstreaming of NCD management), the</w:t>
      </w:r>
      <w:r w:rsidRPr="008834E5">
        <w:rPr>
          <w:noProof/>
        </w:rPr>
        <w:t xml:space="preserve"> mainstreaming </w:t>
      </w:r>
      <w:r w:rsidR="006E5305" w:rsidRPr="008834E5">
        <w:rPr>
          <w:noProof/>
        </w:rPr>
        <w:t xml:space="preserve">of </w:t>
      </w:r>
      <w:r w:rsidRPr="008834E5">
        <w:rPr>
          <w:noProof/>
        </w:rPr>
        <w:t>services such as mental health</w:t>
      </w:r>
      <w:r w:rsidR="006E5305" w:rsidRPr="008834E5">
        <w:rPr>
          <w:noProof/>
        </w:rPr>
        <w:t xml:space="preserve">, </w:t>
      </w:r>
      <w:r w:rsidR="007E59A2" w:rsidRPr="008834E5">
        <w:rPr>
          <w:noProof/>
        </w:rPr>
        <w:t>a</w:t>
      </w:r>
      <w:r w:rsidRPr="008834E5">
        <w:rPr>
          <w:noProof/>
        </w:rPr>
        <w:t xml:space="preserve"> commitment to provide a consistent range and level of se</w:t>
      </w:r>
      <w:r w:rsidR="007E59A2" w:rsidRPr="008834E5">
        <w:rPr>
          <w:noProof/>
        </w:rPr>
        <w:t>rvices in all health facilities</w:t>
      </w:r>
      <w:r w:rsidRPr="008834E5">
        <w:rPr>
          <w:noProof/>
        </w:rPr>
        <w:t xml:space="preserve"> including outer islands</w:t>
      </w:r>
      <w:r w:rsidR="006E5305" w:rsidRPr="008834E5">
        <w:rPr>
          <w:noProof/>
        </w:rPr>
        <w:t xml:space="preserve">, </w:t>
      </w:r>
      <w:r w:rsidR="007E59A2" w:rsidRPr="008834E5">
        <w:rPr>
          <w:noProof/>
        </w:rPr>
        <w:t xml:space="preserve">a commitment to a disability-inclusive approach, </w:t>
      </w:r>
      <w:r w:rsidR="006E5305" w:rsidRPr="008834E5">
        <w:rPr>
          <w:noProof/>
        </w:rPr>
        <w:t xml:space="preserve">and </w:t>
      </w:r>
      <w:r w:rsidR="007E59A2" w:rsidRPr="008834E5">
        <w:rPr>
          <w:noProof/>
        </w:rPr>
        <w:t>a</w:t>
      </w:r>
      <w:r w:rsidRPr="008834E5">
        <w:rPr>
          <w:noProof/>
        </w:rPr>
        <w:t xml:space="preserve"> commitment to progress gender equality.</w:t>
      </w:r>
    </w:p>
    <w:p w14:paraId="1E87940B" w14:textId="77777777" w:rsidR="006E5305" w:rsidRPr="00550647" w:rsidRDefault="00550647" w:rsidP="006E5305">
      <w:pPr>
        <w:rPr>
          <w:b/>
          <w:color w:val="767171" w:themeColor="background2" w:themeShade="80"/>
        </w:rPr>
      </w:pPr>
      <w:r w:rsidRPr="00550647">
        <w:rPr>
          <w:b/>
          <w:color w:val="767171" w:themeColor="background2" w:themeShade="80"/>
        </w:rPr>
        <w:t>H</w:t>
      </w:r>
      <w:r w:rsidR="006E5305" w:rsidRPr="00550647">
        <w:rPr>
          <w:b/>
          <w:color w:val="767171" w:themeColor="background2" w:themeShade="80"/>
        </w:rPr>
        <w:t>ealth systems strengthening</w:t>
      </w:r>
    </w:p>
    <w:p w14:paraId="5247275D" w14:textId="77777777" w:rsidR="006E5305" w:rsidRDefault="006E5305" w:rsidP="006E5305">
      <w:r w:rsidRPr="009258B9">
        <w:t xml:space="preserve">The evaluation </w:t>
      </w:r>
      <w:r>
        <w:t>considered that the areas of achievement in health systems strengthening with the greatest overall significance were:</w:t>
      </w:r>
    </w:p>
    <w:p w14:paraId="0EBDEB90" w14:textId="77777777" w:rsidR="0043433D" w:rsidRPr="006E5305" w:rsidRDefault="006E5305" w:rsidP="00C727A9">
      <w:pPr>
        <w:pStyle w:val="ListParagraph"/>
        <w:numPr>
          <w:ilvl w:val="0"/>
          <w:numId w:val="53"/>
        </w:numPr>
        <w:rPr>
          <w:rFonts w:cstheme="minorHAnsi"/>
        </w:rPr>
      </w:pPr>
      <w:r w:rsidRPr="00550647">
        <w:t>GoT has maintained its level of financing for the health sector, and MoH’s budget for the Public Health Division has increased as a percentage of the total MoH budget.</w:t>
      </w:r>
      <w:r>
        <w:br/>
      </w:r>
    </w:p>
    <w:p w14:paraId="27029F72" w14:textId="6D96DD9C" w:rsidR="006E5305" w:rsidRPr="00550647" w:rsidRDefault="006E5305" w:rsidP="00C727A9">
      <w:pPr>
        <w:pStyle w:val="ListParagraph"/>
        <w:numPr>
          <w:ilvl w:val="0"/>
          <w:numId w:val="53"/>
        </w:numPr>
        <w:rPr>
          <w:rFonts w:cstheme="minorHAnsi"/>
        </w:rPr>
      </w:pPr>
      <w:r w:rsidRPr="00550647">
        <w:rPr>
          <w:rFonts w:eastAsia="Times New Roman"/>
          <w:color w:val="222222"/>
          <w:lang w:val="en-PH"/>
        </w:rPr>
        <w:t>MoH and TongaHealth have largely met</w:t>
      </w:r>
      <w:r w:rsidR="00C727A9">
        <w:rPr>
          <w:rFonts w:eastAsia="Times New Roman"/>
          <w:color w:val="222222"/>
          <w:lang w:val="en-PH"/>
        </w:rPr>
        <w:t xml:space="preserve"> their high-level accountability requirement (eg budget commitments) but key elements of program level accountability have been weak (eg no annual reporting or </w:t>
      </w:r>
      <w:r w:rsidR="006719C2">
        <w:rPr>
          <w:rFonts w:eastAsia="Times New Roman"/>
          <w:color w:val="222222"/>
          <w:lang w:val="en-PH"/>
        </w:rPr>
        <w:t xml:space="preserve">overall program </w:t>
      </w:r>
      <w:r w:rsidR="00C727A9">
        <w:rPr>
          <w:rFonts w:eastAsia="Times New Roman"/>
          <w:color w:val="222222"/>
          <w:lang w:val="en-PH"/>
        </w:rPr>
        <w:t>oversight meetings and delayed financial reporting).</w:t>
      </w:r>
      <w:r w:rsidR="00C727A9">
        <w:rPr>
          <w:rStyle w:val="CommentReference"/>
        </w:rPr>
        <w:t xml:space="preserve"> </w:t>
      </w:r>
      <w:r>
        <w:rPr>
          <w:rFonts w:eastAsia="Times New Roman"/>
          <w:color w:val="000000"/>
        </w:rPr>
        <w:br/>
      </w:r>
    </w:p>
    <w:p w14:paraId="2AABB1BB" w14:textId="77777777" w:rsidR="006E5305" w:rsidRPr="00550647" w:rsidRDefault="006E5305" w:rsidP="00C727A9">
      <w:pPr>
        <w:pStyle w:val="ListParagraph"/>
        <w:numPr>
          <w:ilvl w:val="0"/>
          <w:numId w:val="53"/>
        </w:numPr>
        <w:rPr>
          <w:rFonts w:cstheme="minorHAnsi"/>
        </w:rPr>
      </w:pPr>
      <w:r w:rsidRPr="00550647">
        <w:rPr>
          <w:lang w:eastAsia="en-GB"/>
        </w:rPr>
        <w:t>THSSP (</w:t>
      </w:r>
      <w:r>
        <w:rPr>
          <w:lang w:eastAsia="en-GB"/>
        </w:rPr>
        <w:t xml:space="preserve">through </w:t>
      </w:r>
      <w:r w:rsidRPr="00550647">
        <w:rPr>
          <w:lang w:eastAsia="en-GB"/>
        </w:rPr>
        <w:t xml:space="preserve">both phases) has been successful in establishing an agenda for more effective use of GoT health sector resources. The MoH has </w:t>
      </w:r>
      <w:r w:rsidR="00C6154B">
        <w:rPr>
          <w:lang w:eastAsia="en-GB"/>
        </w:rPr>
        <w:t>successfully developed</w:t>
      </w:r>
      <w:r w:rsidRPr="00550647">
        <w:rPr>
          <w:lang w:eastAsia="en-GB"/>
        </w:rPr>
        <w:t xml:space="preserve"> key change agendas </w:t>
      </w:r>
      <w:r w:rsidR="00C6154B">
        <w:rPr>
          <w:lang w:eastAsia="en-GB"/>
        </w:rPr>
        <w:t>supported under</w:t>
      </w:r>
      <w:r w:rsidRPr="00550647">
        <w:rPr>
          <w:lang w:eastAsia="en-GB"/>
        </w:rPr>
        <w:t xml:space="preserve"> THSSP including the </w:t>
      </w:r>
      <w:r>
        <w:rPr>
          <w:lang w:eastAsia="en-GB"/>
        </w:rPr>
        <w:t xml:space="preserve">establishment of a Corporate Services Division and the development of the </w:t>
      </w:r>
      <w:r w:rsidRPr="00550647">
        <w:rPr>
          <w:lang w:eastAsia="en-GB"/>
        </w:rPr>
        <w:t>PEHS.</w:t>
      </w:r>
    </w:p>
    <w:p w14:paraId="17CE1A31" w14:textId="77777777" w:rsidR="00550647" w:rsidRPr="00550647" w:rsidRDefault="00550647" w:rsidP="00550647">
      <w:pPr>
        <w:rPr>
          <w:rFonts w:cstheme="minorHAnsi"/>
        </w:rPr>
      </w:pPr>
      <w:r>
        <w:t>In addition to the areas above, THSSP2 h</w:t>
      </w:r>
      <w:r w:rsidRPr="006E5305">
        <w:t xml:space="preserve">as </w:t>
      </w:r>
      <w:r>
        <w:t>supported the establishment of a</w:t>
      </w:r>
      <w:r w:rsidRPr="00550647">
        <w:rPr>
          <w:rFonts w:cstheme="minorHAnsi"/>
        </w:rPr>
        <w:t xml:space="preserve"> national disability-inclusive health oversight mechanism inclusive of persons with disability organisations has successfully been established.</w:t>
      </w:r>
    </w:p>
    <w:p w14:paraId="58CF99AC" w14:textId="77777777" w:rsidR="00550647" w:rsidRPr="00550647" w:rsidRDefault="00550647" w:rsidP="00550647">
      <w:pPr>
        <w:rPr>
          <w:b/>
          <w:color w:val="3B3838" w:themeColor="background2" w:themeShade="40"/>
          <w:sz w:val="24"/>
          <w:szCs w:val="24"/>
        </w:rPr>
      </w:pPr>
      <w:r w:rsidRPr="00550647">
        <w:rPr>
          <w:b/>
          <w:color w:val="3B3838" w:themeColor="background2" w:themeShade="40"/>
          <w:sz w:val="24"/>
          <w:szCs w:val="24"/>
        </w:rPr>
        <w:t xml:space="preserve">Progress in priority </w:t>
      </w:r>
      <w:r>
        <w:rPr>
          <w:b/>
          <w:color w:val="3B3838" w:themeColor="background2" w:themeShade="40"/>
          <w:sz w:val="24"/>
          <w:szCs w:val="24"/>
        </w:rPr>
        <w:t>and</w:t>
      </w:r>
      <w:r w:rsidRPr="00550647">
        <w:rPr>
          <w:b/>
          <w:color w:val="3B3838" w:themeColor="background2" w:themeShade="40"/>
          <w:sz w:val="24"/>
          <w:szCs w:val="24"/>
        </w:rPr>
        <w:t xml:space="preserve"> strategic areas</w:t>
      </w:r>
    </w:p>
    <w:p w14:paraId="2F474D74" w14:textId="77777777" w:rsidR="00000E16" w:rsidRDefault="00000E16" w:rsidP="00000E16">
      <w:r w:rsidRPr="009258B9">
        <w:t xml:space="preserve">The </w:t>
      </w:r>
      <w:r>
        <w:t xml:space="preserve">terms of reference (ToR) for the </w:t>
      </w:r>
      <w:r w:rsidRPr="009258B9">
        <w:t xml:space="preserve">evaluation </w:t>
      </w:r>
      <w:r>
        <w:t xml:space="preserve">required the evaluation team to examine </w:t>
      </w:r>
      <w:r w:rsidR="00550647">
        <w:t xml:space="preserve">several </w:t>
      </w:r>
      <w:r>
        <w:t>priority</w:t>
      </w:r>
      <w:r w:rsidR="00550647">
        <w:t xml:space="preserve"> and </w:t>
      </w:r>
      <w:r>
        <w:t xml:space="preserve">strategic areas. The key findings are summarised here under three major themes: (i) health services (ii) health systems strengthening and (iii) </w:t>
      </w:r>
      <w:r w:rsidR="0045753F">
        <w:t>general and cross-cutting priorities</w:t>
      </w:r>
      <w:r>
        <w:t>:</w:t>
      </w:r>
    </w:p>
    <w:p w14:paraId="7C54556E" w14:textId="77777777" w:rsidR="005E33A5" w:rsidRDefault="005E33A5" w:rsidP="00000E16">
      <w:pPr>
        <w:rPr>
          <w:b/>
          <w:color w:val="767171" w:themeColor="background2" w:themeShade="80"/>
        </w:rPr>
      </w:pPr>
    </w:p>
    <w:p w14:paraId="1DED0B41" w14:textId="77777777" w:rsidR="005E33A5" w:rsidRDefault="005E33A5" w:rsidP="00000E16">
      <w:pPr>
        <w:rPr>
          <w:b/>
          <w:color w:val="767171" w:themeColor="background2" w:themeShade="80"/>
        </w:rPr>
      </w:pPr>
    </w:p>
    <w:p w14:paraId="5D73192E" w14:textId="4A5E4795" w:rsidR="00000E16" w:rsidRPr="00550647" w:rsidRDefault="0045753F" w:rsidP="00000E16">
      <w:pPr>
        <w:rPr>
          <w:b/>
          <w:color w:val="767171" w:themeColor="background2" w:themeShade="80"/>
        </w:rPr>
      </w:pPr>
      <w:r w:rsidRPr="00550647">
        <w:rPr>
          <w:b/>
          <w:color w:val="767171" w:themeColor="background2" w:themeShade="80"/>
        </w:rPr>
        <w:lastRenderedPageBreak/>
        <w:t>Theme 1: H</w:t>
      </w:r>
      <w:r w:rsidR="00000E16" w:rsidRPr="00550647">
        <w:rPr>
          <w:b/>
          <w:color w:val="767171" w:themeColor="background2" w:themeShade="80"/>
        </w:rPr>
        <w:t>ealth services</w:t>
      </w:r>
    </w:p>
    <w:p w14:paraId="2399E2D6" w14:textId="77777777" w:rsidR="00000E16" w:rsidRPr="004960D8" w:rsidRDefault="00000E16" w:rsidP="005E311F">
      <w:pPr>
        <w:tabs>
          <w:tab w:val="left" w:pos="7800"/>
        </w:tabs>
        <w:spacing w:after="0"/>
        <w:rPr>
          <w:i/>
        </w:rPr>
      </w:pPr>
      <w:r w:rsidRPr="004960D8">
        <w:rPr>
          <w:i/>
        </w:rPr>
        <w:t>NCD prevention and health promotion activities</w:t>
      </w:r>
    </w:p>
    <w:p w14:paraId="619FFF83" w14:textId="77777777" w:rsidR="00000E16" w:rsidRDefault="00000E16" w:rsidP="00000E16">
      <w:r>
        <w:t>TongaHealth, a statutory agency, acts as the secretariat for Hala Fononga (the National Strategy for the Prevention and Control of NCDs 2015-2020). The statutory health promotion fund provides an effective mechanism for pooling GoT and THSSP2 funds in support of Hala Fononga, and for sequestering GoT’s funding commitment for health promotion from the wider health sector budget. TongaHealth’s primary role is as a grant manager rather than an implementer.</w:t>
      </w:r>
    </w:p>
    <w:p w14:paraId="521A2146" w14:textId="77777777" w:rsidR="00000E16" w:rsidRDefault="00000E16" w:rsidP="00000E16">
      <w:r>
        <w:t>In line with Hala Fononga, Tonga</w:t>
      </w:r>
      <w:r w:rsidRPr="0054501C">
        <w:t xml:space="preserve">Health </w:t>
      </w:r>
      <w:r>
        <w:t>co</w:t>
      </w:r>
      <w:r w:rsidRPr="0054501C">
        <w:t>ordinate</w:t>
      </w:r>
      <w:r>
        <w:t xml:space="preserve">s a </w:t>
      </w:r>
      <w:r w:rsidRPr="0054501C">
        <w:t>multi-sector action plan for NCD prevention and control</w:t>
      </w:r>
      <w:r>
        <w:t xml:space="preserve"> (NCD-MAP)</w:t>
      </w:r>
      <w:r w:rsidRPr="0054501C">
        <w:t>. Th</w:t>
      </w:r>
      <w:r>
        <w:t>e</w:t>
      </w:r>
      <w:r w:rsidRPr="0054501C">
        <w:t xml:space="preserve"> concept </w:t>
      </w:r>
      <w:r>
        <w:t xml:space="preserve">of a multi-sectoral approach to NCDs has only recently been recognised globally and positions Tonga </w:t>
      </w:r>
      <w:r w:rsidRPr="008834E5">
        <w:rPr>
          <w:noProof/>
        </w:rPr>
        <w:t>at forefront of</w:t>
      </w:r>
      <w:r>
        <w:t xml:space="preserve"> multi-sectoral approach implementation. </w:t>
      </w:r>
      <w:r w:rsidRPr="008834E5">
        <w:rPr>
          <w:noProof/>
        </w:rPr>
        <w:t>This</w:t>
      </w:r>
      <w:r>
        <w:t xml:space="preserve"> is strategic for Australia because it is supporting other Pacific countries to respond to similar NCD problems</w:t>
      </w:r>
      <w:r w:rsidRPr="0054501C">
        <w:t>.</w:t>
      </w:r>
    </w:p>
    <w:p w14:paraId="4F7B6EB8" w14:textId="77777777" w:rsidR="00000E16" w:rsidRDefault="00000E16" w:rsidP="00000E16">
      <w:r>
        <w:t>Co</w:t>
      </w:r>
      <w:r w:rsidRPr="0054501C">
        <w:t xml:space="preserve">ordinated work and consistent focus </w:t>
      </w:r>
      <w:r w:rsidRPr="008834E5">
        <w:rPr>
          <w:noProof/>
        </w:rPr>
        <w:t>has</w:t>
      </w:r>
      <w:r w:rsidRPr="0054501C">
        <w:t xml:space="preserve"> turned NCDs into a whole of </w:t>
      </w:r>
      <w:r w:rsidRPr="008834E5">
        <w:rPr>
          <w:noProof/>
        </w:rPr>
        <w:t>community</w:t>
      </w:r>
      <w:r w:rsidRPr="0054501C">
        <w:t xml:space="preserve"> issue</w:t>
      </w:r>
      <w:r>
        <w:t xml:space="preserve">. A formal independent review of Hala Fononga is scheduled to take place shortly after the THSSP2 mid-term evaluation. </w:t>
      </w:r>
      <w:r w:rsidRPr="008834E5">
        <w:rPr>
          <w:noProof/>
        </w:rPr>
        <w:t>To achieve changes in population risk factors</w:t>
      </w:r>
      <w:r>
        <w:t xml:space="preserve">, </w:t>
      </w:r>
      <w:r w:rsidRPr="00A90476">
        <w:t xml:space="preserve">there is a need </w:t>
      </w:r>
      <w:r>
        <w:t>for</w:t>
      </w:r>
      <w:r w:rsidRPr="00A90476">
        <w:t xml:space="preserve"> </w:t>
      </w:r>
      <w:r>
        <w:t xml:space="preserve">ongoing refinement of TongaHealth’s systems including strategic prioritisation of areas for </w:t>
      </w:r>
      <w:r w:rsidRPr="008834E5">
        <w:rPr>
          <w:noProof/>
        </w:rPr>
        <w:t>grant</w:t>
      </w:r>
      <w:r>
        <w:t xml:space="preserve"> application, increased attention to </w:t>
      </w:r>
      <w:r w:rsidRPr="00A90476">
        <w:t>healthy eating</w:t>
      </w:r>
      <w:r>
        <w:t>, local r</w:t>
      </w:r>
      <w:r w:rsidRPr="00A90476">
        <w:t>esearch, innovation and advocacy</w:t>
      </w:r>
      <w:r>
        <w:t>.</w:t>
      </w:r>
    </w:p>
    <w:p w14:paraId="4D535F16" w14:textId="77777777" w:rsidR="0045753F" w:rsidRPr="004960D8" w:rsidRDefault="0045753F" w:rsidP="004960D8">
      <w:pPr>
        <w:spacing w:after="0"/>
        <w:rPr>
          <w:i/>
        </w:rPr>
      </w:pPr>
      <w:r w:rsidRPr="004960D8">
        <w:rPr>
          <w:i/>
        </w:rPr>
        <w:t>Primary health care and NCD services</w:t>
      </w:r>
    </w:p>
    <w:p w14:paraId="1273AB75" w14:textId="77777777" w:rsidR="0045753F" w:rsidRDefault="0045753F" w:rsidP="0045753F">
      <w:r>
        <w:t xml:space="preserve">THSSP2 has invested to further develop initiatives established during </w:t>
      </w:r>
      <w:r w:rsidRPr="0054501C">
        <w:t>THSSP</w:t>
      </w:r>
      <w:r>
        <w:t>1. For example, the Vaiola Hospital</w:t>
      </w:r>
      <w:r w:rsidRPr="0054501C">
        <w:t xml:space="preserve"> Diabetes Centre</w:t>
      </w:r>
      <w:r>
        <w:t>, with THSSP2 support,</w:t>
      </w:r>
      <w:r w:rsidRPr="0054501C">
        <w:t xml:space="preserve"> has worked to improve patient</w:t>
      </w:r>
      <w:r w:rsidR="004960D8">
        <w:t>-</w:t>
      </w:r>
      <w:r w:rsidRPr="0054501C">
        <w:t xml:space="preserve">centred care to achieve a lower level of defaulters and greatly improved management </w:t>
      </w:r>
      <w:r>
        <w:t xml:space="preserve">of diabetic </w:t>
      </w:r>
      <w:r w:rsidRPr="0054501C">
        <w:t>patients.</w:t>
      </w:r>
      <w:r>
        <w:t xml:space="preserve"> The deployment of a cadre of NCD nurses has improved access to and quality of NCD management.</w:t>
      </w:r>
    </w:p>
    <w:p w14:paraId="7A856085" w14:textId="7AFF9249" w:rsidR="0045753F" w:rsidRDefault="0045753F" w:rsidP="0045753F">
      <w:r>
        <w:t xml:space="preserve">The PEHS provides an effective framework for mainstreaming services such as NCD management and mental health into primary health care. </w:t>
      </w:r>
      <w:r w:rsidRPr="0054501C">
        <w:t xml:space="preserve">The impact of PEHS now depends on </w:t>
      </w:r>
      <w:r>
        <w:t>an</w:t>
      </w:r>
      <w:r w:rsidRPr="0054501C">
        <w:t xml:space="preserve"> effective</w:t>
      </w:r>
      <w:r>
        <w:t xml:space="preserve"> rollout strategy that will need to be planned and resourced. The World Bank will commence a </w:t>
      </w:r>
      <w:r w:rsidR="00AA554C">
        <w:t xml:space="preserve">health facility </w:t>
      </w:r>
      <w:r>
        <w:t>costing</w:t>
      </w:r>
      <w:r w:rsidR="00AA554C">
        <w:t xml:space="preserve"> and benchmarking</w:t>
      </w:r>
      <w:r>
        <w:t xml:space="preserve"> exercise</w:t>
      </w:r>
      <w:r w:rsidR="00AA554C">
        <w:t xml:space="preserve"> that will help inform the roll-out of the </w:t>
      </w:r>
      <w:r>
        <w:t>PEHS</w:t>
      </w:r>
      <w:r w:rsidR="005B0621">
        <w:t>, including</w:t>
      </w:r>
      <w:r>
        <w:t xml:space="preserve"> </w:t>
      </w:r>
      <w:r w:rsidR="005B0621">
        <w:t xml:space="preserve">developing </w:t>
      </w:r>
      <w:r>
        <w:t xml:space="preserve">financing guidelines by 2020-21. Sources of </w:t>
      </w:r>
      <w:r w:rsidRPr="005511D5">
        <w:t xml:space="preserve">finance </w:t>
      </w:r>
      <w:r>
        <w:t xml:space="preserve">for the additional costs of achieving PEHS service benchmarks </w:t>
      </w:r>
      <w:r w:rsidRPr="005511D5">
        <w:t>have not been identified.</w:t>
      </w:r>
    </w:p>
    <w:p w14:paraId="69D4D748" w14:textId="77777777" w:rsidR="0045753F" w:rsidRDefault="0045753F" w:rsidP="0045753F">
      <w:r>
        <w:t>The PEHS signals that NCD services will be effectively ‘mainstreamed’ into universal health coverage. The</w:t>
      </w:r>
      <w:r w:rsidRPr="0054501C">
        <w:t xml:space="preserve"> capacity </w:t>
      </w:r>
      <w:r>
        <w:t xml:space="preserve">of the nursing workforce </w:t>
      </w:r>
      <w:r w:rsidRPr="0054501C">
        <w:t xml:space="preserve">to deliver elements of the PEHS requires </w:t>
      </w:r>
      <w:r>
        <w:t>training and supervision, and clarification of nursing roles.</w:t>
      </w:r>
    </w:p>
    <w:p w14:paraId="2553E6DC" w14:textId="77777777" w:rsidR="0045753F" w:rsidRPr="0054501C" w:rsidRDefault="00287CAB" w:rsidP="0045753F">
      <w:r>
        <w:t>The</w:t>
      </w:r>
      <w:r w:rsidR="0045753F">
        <w:t xml:space="preserve"> MoH</w:t>
      </w:r>
      <w:r>
        <w:t xml:space="preserve"> </w:t>
      </w:r>
      <w:r w:rsidR="0045753F">
        <w:t>has</w:t>
      </w:r>
      <w:r>
        <w:t xml:space="preserve"> recently changed the reporting lines of the </w:t>
      </w:r>
      <w:r w:rsidR="0045753F">
        <w:t>nursing workforce</w:t>
      </w:r>
      <w:r>
        <w:t xml:space="preserve"> of the Community Health Section</w:t>
      </w:r>
      <w:r w:rsidR="0045753F">
        <w:t xml:space="preserve"> </w:t>
      </w:r>
      <w:r w:rsidR="00CC59BF">
        <w:t>within the</w:t>
      </w:r>
      <w:r w:rsidR="0045753F">
        <w:t xml:space="preserve"> Public Health</w:t>
      </w:r>
      <w:r>
        <w:t xml:space="preserve"> Division. A number of respondents reported this has contributed to a lack of clarity of roles between </w:t>
      </w:r>
      <w:r w:rsidR="0045753F">
        <w:t>reproductive health</w:t>
      </w:r>
      <w:r w:rsidR="0045753F" w:rsidRPr="0054501C">
        <w:t>, NCD and general nurses</w:t>
      </w:r>
      <w:r w:rsidR="0045753F">
        <w:t xml:space="preserve">. Nurse-delivered NCD outreach services are complicated by the limited </w:t>
      </w:r>
      <w:r w:rsidR="0045753F" w:rsidRPr="0054501C">
        <w:t xml:space="preserve">prescribing </w:t>
      </w:r>
      <w:r w:rsidR="0045753F">
        <w:t>privilege</w:t>
      </w:r>
      <w:r w:rsidR="0045753F" w:rsidRPr="0054501C">
        <w:t>s of nurses</w:t>
      </w:r>
      <w:r w:rsidR="0045753F">
        <w:t xml:space="preserve"> and supervision by hospital-based medical staff</w:t>
      </w:r>
      <w:r w:rsidR="00D0598F">
        <w:t xml:space="preserve"> (at the time of the evaluation, MoH had plans to review prescribing arrangements in 2019)</w:t>
      </w:r>
      <w:r w:rsidR="0045753F">
        <w:t>.</w:t>
      </w:r>
    </w:p>
    <w:p w14:paraId="1ECC4982" w14:textId="77777777" w:rsidR="0045753F" w:rsidRDefault="0045753F" w:rsidP="0045753F">
      <w:r>
        <w:t>F</w:t>
      </w:r>
      <w:r w:rsidRPr="0054501C">
        <w:t>eedback from pharmacy staff and nurses suggest</w:t>
      </w:r>
      <w:r>
        <w:t xml:space="preserve">s improvements in availability </w:t>
      </w:r>
      <w:r w:rsidRPr="0054501C">
        <w:t>of essential NCD medicines between 2016 and 2018</w:t>
      </w:r>
      <w:r>
        <w:t xml:space="preserve"> (</w:t>
      </w:r>
      <w:r w:rsidRPr="0054501C">
        <w:t>there were no reports of stock outs in the previous year</w:t>
      </w:r>
      <w:r>
        <w:t>)</w:t>
      </w:r>
      <w:r w:rsidRPr="0054501C">
        <w:t xml:space="preserve">. 2017 and 2018 stock reports from Vaiola Outpatient Dispensary </w:t>
      </w:r>
      <w:r>
        <w:t>show</w:t>
      </w:r>
      <w:r w:rsidRPr="0054501C">
        <w:t xml:space="preserve"> all essential NCD medications in good supply.</w:t>
      </w:r>
    </w:p>
    <w:p w14:paraId="1E2CD3ED" w14:textId="77777777" w:rsidR="0045753F" w:rsidRPr="00550647" w:rsidRDefault="0045753F" w:rsidP="0045753F">
      <w:pPr>
        <w:rPr>
          <w:b/>
          <w:color w:val="767171" w:themeColor="background2" w:themeShade="80"/>
        </w:rPr>
      </w:pPr>
      <w:r w:rsidRPr="00550647">
        <w:rPr>
          <w:b/>
          <w:color w:val="767171" w:themeColor="background2" w:themeShade="80"/>
        </w:rPr>
        <w:t>Theme 2: Health systems strengthening</w:t>
      </w:r>
    </w:p>
    <w:p w14:paraId="38CADA74" w14:textId="77777777" w:rsidR="0045753F" w:rsidRPr="004960D8" w:rsidRDefault="0045753F" w:rsidP="004960D8">
      <w:pPr>
        <w:spacing w:after="0"/>
        <w:rPr>
          <w:i/>
        </w:rPr>
      </w:pPr>
      <w:r w:rsidRPr="004960D8">
        <w:rPr>
          <w:i/>
        </w:rPr>
        <w:lastRenderedPageBreak/>
        <w:t>Governance and strategy</w:t>
      </w:r>
    </w:p>
    <w:p w14:paraId="592B6630" w14:textId="77777777" w:rsidR="0045753F" w:rsidRDefault="0045753F" w:rsidP="0045753F">
      <w:r w:rsidRPr="00CB3E09">
        <w:rPr>
          <w:lang w:val="en-AU"/>
        </w:rPr>
        <w:t xml:space="preserve">The </w:t>
      </w:r>
      <w:r>
        <w:rPr>
          <w:lang w:val="en-AU"/>
        </w:rPr>
        <w:t>National Health Development Committee (NHDC) had not provided program oversight as intended in the program design, but the T</w:t>
      </w:r>
      <w:r w:rsidRPr="00CB3E09">
        <w:rPr>
          <w:lang w:val="en-AU"/>
        </w:rPr>
        <w:t xml:space="preserve">ongaHealth Board </w:t>
      </w:r>
      <w:r>
        <w:rPr>
          <w:lang w:val="en-AU"/>
        </w:rPr>
        <w:t xml:space="preserve">had </w:t>
      </w:r>
      <w:r w:rsidRPr="00CB3E09">
        <w:rPr>
          <w:lang w:val="en-AU"/>
        </w:rPr>
        <w:t>oversight</w:t>
      </w:r>
      <w:r>
        <w:rPr>
          <w:lang w:val="en-AU"/>
        </w:rPr>
        <w:t>ed</w:t>
      </w:r>
      <w:r w:rsidRPr="00CB3E09">
        <w:rPr>
          <w:lang w:val="en-AU"/>
        </w:rPr>
        <w:t xml:space="preserve"> TongaHealth</w:t>
      </w:r>
      <w:r>
        <w:rPr>
          <w:lang w:val="en-AU"/>
        </w:rPr>
        <w:t xml:space="preserve"> operations</w:t>
      </w:r>
      <w:r w:rsidRPr="00CB3E09">
        <w:rPr>
          <w:lang w:val="en-AU"/>
        </w:rPr>
        <w:t xml:space="preserve">. </w:t>
      </w:r>
      <w:r>
        <w:rPr>
          <w:lang w:val="en-AU"/>
        </w:rPr>
        <w:t>T</w:t>
      </w:r>
      <w:r w:rsidRPr="00CB3E09">
        <w:rPr>
          <w:lang w:val="en-AU"/>
        </w:rPr>
        <w:t xml:space="preserve">he National NCD Committee </w:t>
      </w:r>
      <w:r>
        <w:rPr>
          <w:lang w:val="en-AU"/>
        </w:rPr>
        <w:t xml:space="preserve">(NNCDC) had </w:t>
      </w:r>
      <w:r w:rsidRPr="00CB3E09">
        <w:rPr>
          <w:lang w:val="en-AU"/>
        </w:rPr>
        <w:t xml:space="preserve">not met regularly </w:t>
      </w:r>
      <w:r>
        <w:rPr>
          <w:lang w:val="en-AU"/>
        </w:rPr>
        <w:t xml:space="preserve">to oversight the multi-sectoral action plan on NCDs (NCD-MAP). </w:t>
      </w:r>
      <w:r>
        <w:t xml:space="preserve">The capacity of the MoH to budget, plan, and administer its </w:t>
      </w:r>
      <w:r w:rsidRPr="009603AB">
        <w:t xml:space="preserve">resources </w:t>
      </w:r>
      <w:r>
        <w:t xml:space="preserve">was limited according to delegations from </w:t>
      </w:r>
      <w:r w:rsidRPr="009603AB">
        <w:t xml:space="preserve">central </w:t>
      </w:r>
      <w:r>
        <w:t xml:space="preserve">government </w:t>
      </w:r>
      <w:r w:rsidRPr="009603AB">
        <w:t>agencies</w:t>
      </w:r>
      <w:r w:rsidR="00080AFD">
        <w:t xml:space="preserve"> (e</w:t>
      </w:r>
      <w:r w:rsidR="00875113">
        <w:t>.</w:t>
      </w:r>
      <w:r w:rsidR="00080AFD">
        <w:t>g</w:t>
      </w:r>
      <w:r w:rsidR="00875113">
        <w:t>.</w:t>
      </w:r>
      <w:r w:rsidR="00080AFD">
        <w:t xml:space="preserve"> to manage public finances, manage staff, and set public policy)</w:t>
      </w:r>
      <w:r>
        <w:t xml:space="preserve">. The </w:t>
      </w:r>
      <w:r w:rsidR="009152DC">
        <w:t xml:space="preserve">evaluation team </w:t>
      </w:r>
      <w:r w:rsidR="00E246E8">
        <w:t xml:space="preserve">did not encounter any evidence that the newly established </w:t>
      </w:r>
      <w:r>
        <w:t xml:space="preserve">MoH Corporate Services Division </w:t>
      </w:r>
      <w:r w:rsidR="00E246E8">
        <w:t>had begun</w:t>
      </w:r>
      <w:r>
        <w:t xml:space="preserve"> to have an impact on institutional performance.</w:t>
      </w:r>
    </w:p>
    <w:p w14:paraId="70FC154D" w14:textId="77777777" w:rsidR="0045753F" w:rsidRPr="00DD4308" w:rsidRDefault="0045753F" w:rsidP="0045753F">
      <w:pPr>
        <w:rPr>
          <w:szCs w:val="23"/>
        </w:rPr>
      </w:pPr>
      <w:r>
        <w:t xml:space="preserve">MoH strategic planning capacity </w:t>
      </w:r>
      <w:r w:rsidRPr="00CB3E09">
        <w:t>ha</w:t>
      </w:r>
      <w:r>
        <w:t>d</w:t>
      </w:r>
      <w:r w:rsidRPr="00CB3E09">
        <w:t xml:space="preserve"> improved </w:t>
      </w:r>
      <w:r>
        <w:t xml:space="preserve">according to ratings issued by the MoF and recorded in the program Monitoring and Evaluation (M&amp;E) Framework. Despite these ratings, the evaluation found that the health sector does not have </w:t>
      </w:r>
      <w:r w:rsidRPr="00CB3E09">
        <w:t>a</w:t>
      </w:r>
      <w:r>
        <w:t>n expressed</w:t>
      </w:r>
      <w:r w:rsidRPr="00CB3E09">
        <w:t xml:space="preserve"> medium-term strategic </w:t>
      </w:r>
      <w:r>
        <w:t>direction</w:t>
      </w:r>
      <w:r w:rsidRPr="00CB3E09">
        <w:t>.</w:t>
      </w:r>
      <w:r>
        <w:t xml:space="preserve"> </w:t>
      </w:r>
      <w:r>
        <w:rPr>
          <w:szCs w:val="23"/>
        </w:rPr>
        <w:t>As the largest bilateral donor in the health sector, DFAT is challenged to optimise the strategic impact of its investments given the lack of clarity about the medium-term strategic direction of the sector.</w:t>
      </w:r>
    </w:p>
    <w:p w14:paraId="11CA3152" w14:textId="77777777" w:rsidR="0045753F" w:rsidRPr="004960D8" w:rsidRDefault="0045753F" w:rsidP="0045753F">
      <w:pPr>
        <w:spacing w:after="0"/>
        <w:rPr>
          <w:i/>
        </w:rPr>
      </w:pPr>
      <w:r w:rsidRPr="004960D8">
        <w:rPr>
          <w:i/>
        </w:rPr>
        <w:t>Public financial management</w:t>
      </w:r>
    </w:p>
    <w:p w14:paraId="14D2E47E" w14:textId="77777777" w:rsidR="0045753F" w:rsidRDefault="0045753F" w:rsidP="0045753F">
      <w:pPr>
        <w:rPr>
          <w:rFonts w:eastAsia="Times New Roman"/>
          <w:color w:val="000000"/>
          <w:lang w:val="en-PH"/>
        </w:rPr>
      </w:pPr>
      <w:r>
        <w:t xml:space="preserve">Pre-conditions in the THSSP2 </w:t>
      </w:r>
      <w:r w:rsidRPr="00CB3E09">
        <w:t>Design Document</w:t>
      </w:r>
      <w:r>
        <w:t xml:space="preserve"> </w:t>
      </w:r>
      <w:r w:rsidRPr="00CB3E09">
        <w:t xml:space="preserve">that </w:t>
      </w:r>
      <w:r>
        <w:t>Government of Tonga (</w:t>
      </w:r>
      <w:r w:rsidRPr="00CB3E09">
        <w:t>G</w:t>
      </w:r>
      <w:r>
        <w:t>o</w:t>
      </w:r>
      <w:r w:rsidRPr="00CB3E09">
        <w:t>T</w:t>
      </w:r>
      <w:r>
        <w:t>)</w:t>
      </w:r>
      <w:r w:rsidRPr="00CB3E09">
        <w:t xml:space="preserve"> maintain</w:t>
      </w:r>
      <w:r>
        <w:t>s</w:t>
      </w:r>
      <w:r w:rsidRPr="00CB3E09">
        <w:t xml:space="preserve"> its </w:t>
      </w:r>
      <w:r>
        <w:t xml:space="preserve">level of </w:t>
      </w:r>
      <w:r w:rsidRPr="00CB3E09">
        <w:t>financi</w:t>
      </w:r>
      <w:r>
        <w:t>ng</w:t>
      </w:r>
      <w:r w:rsidRPr="00CB3E09">
        <w:t xml:space="preserve"> </w:t>
      </w:r>
      <w:r>
        <w:t>for</w:t>
      </w:r>
      <w:r w:rsidRPr="00CB3E09">
        <w:t xml:space="preserve"> </w:t>
      </w:r>
      <w:r>
        <w:t>the health sector,</w:t>
      </w:r>
      <w:r w:rsidRPr="00CB3E09">
        <w:t xml:space="preserve"> and that </w:t>
      </w:r>
      <w:r>
        <w:t>MoH</w:t>
      </w:r>
      <w:r w:rsidRPr="00CB3E09">
        <w:t xml:space="preserve">’s budget for the Public Health Division (excluding donor funds) increases as a percentage of the total </w:t>
      </w:r>
      <w:r>
        <w:t>MoH</w:t>
      </w:r>
      <w:r w:rsidRPr="00CB3E09">
        <w:t xml:space="preserve"> budget</w:t>
      </w:r>
      <w:r>
        <w:t xml:space="preserve">, have been met. </w:t>
      </w:r>
      <w:r>
        <w:rPr>
          <w:rFonts w:eastAsia="Times New Roman"/>
          <w:color w:val="222222"/>
          <w:lang w:val="en-PH"/>
        </w:rPr>
        <w:t xml:space="preserve">MoH and TongaHealth </w:t>
      </w:r>
      <w:r w:rsidRPr="000F1389">
        <w:rPr>
          <w:rFonts w:eastAsia="Times New Roman"/>
          <w:color w:val="222222"/>
          <w:lang w:val="en-PH"/>
        </w:rPr>
        <w:t>have also largely been accountable</w:t>
      </w:r>
      <w:r>
        <w:rPr>
          <w:rFonts w:eastAsia="Times New Roman"/>
          <w:color w:val="222222"/>
          <w:lang w:val="en-PH"/>
        </w:rPr>
        <w:t>,</w:t>
      </w:r>
      <w:r w:rsidRPr="000F1389">
        <w:rPr>
          <w:rFonts w:eastAsia="Times New Roman"/>
          <w:color w:val="222222"/>
          <w:lang w:val="en-PH"/>
        </w:rPr>
        <w:t xml:space="preserve"> as far as</w:t>
      </w:r>
      <w:r w:rsidRPr="000F1389">
        <w:rPr>
          <w:rFonts w:eastAsia="Times New Roman"/>
          <w:bCs/>
          <w:color w:val="222222"/>
          <w:lang w:val="en-PH"/>
        </w:rPr>
        <w:t xml:space="preserve"> this can be </w:t>
      </w:r>
      <w:r w:rsidRPr="000F1389">
        <w:rPr>
          <w:rFonts w:eastAsia="Times New Roman"/>
          <w:color w:val="000000"/>
        </w:rPr>
        <w:t>assessed</w:t>
      </w:r>
      <w:r>
        <w:rPr>
          <w:rFonts w:eastAsia="Times New Roman"/>
          <w:color w:val="000000"/>
        </w:rPr>
        <w:t>,</w:t>
      </w:r>
      <w:r w:rsidRPr="000F1389">
        <w:rPr>
          <w:rFonts w:eastAsia="Times New Roman"/>
          <w:color w:val="000000"/>
        </w:rPr>
        <w:t xml:space="preserve"> against </w:t>
      </w:r>
      <w:r>
        <w:rPr>
          <w:rFonts w:eastAsia="Times New Roman"/>
          <w:color w:val="000000"/>
        </w:rPr>
        <w:t xml:space="preserve">GoT requirements and Department of Foreign Affairs and Trade (DFAT) </w:t>
      </w:r>
      <w:r w:rsidRPr="000F1389">
        <w:rPr>
          <w:rFonts w:eastAsia="Times New Roman"/>
          <w:color w:val="000000"/>
        </w:rPr>
        <w:t xml:space="preserve">indicators </w:t>
      </w:r>
      <w:r>
        <w:rPr>
          <w:rFonts w:eastAsia="Times New Roman"/>
          <w:color w:val="000000"/>
        </w:rPr>
        <w:t>in</w:t>
      </w:r>
      <w:r w:rsidRPr="000F1389">
        <w:rPr>
          <w:rFonts w:eastAsia="Times New Roman"/>
          <w:color w:val="000000"/>
        </w:rPr>
        <w:t xml:space="preserve"> the THSSP2 </w:t>
      </w:r>
      <w:r>
        <w:rPr>
          <w:rFonts w:eastAsia="Times New Roman"/>
          <w:color w:val="000000"/>
        </w:rPr>
        <w:t>M&amp;E Framework</w:t>
      </w:r>
      <w:r w:rsidRPr="000F1389">
        <w:rPr>
          <w:rFonts w:eastAsia="Times New Roman"/>
          <w:color w:val="000000"/>
        </w:rPr>
        <w:t>.</w:t>
      </w:r>
      <w:r>
        <w:rPr>
          <w:rFonts w:eastAsia="Times New Roman"/>
          <w:color w:val="000000"/>
        </w:rPr>
        <w:t xml:space="preserve"> Financial reporting has been consistently delayed.</w:t>
      </w:r>
    </w:p>
    <w:p w14:paraId="7994771C" w14:textId="69DD94F8" w:rsidR="0045753F" w:rsidRDefault="0045753F" w:rsidP="0045753F">
      <w:r w:rsidRPr="004F7D2E">
        <w:t xml:space="preserve">The THSSP2 Design Document states that program delivery </w:t>
      </w:r>
      <w:r w:rsidR="00760392">
        <w:rPr>
          <w:i/>
        </w:rPr>
        <w:t>‘</w:t>
      </w:r>
      <w:r w:rsidRPr="004F7D2E">
        <w:rPr>
          <w:i/>
        </w:rPr>
        <w:t xml:space="preserve">will be organised around the funding of the annual work-plans of the Ministry of Health and TongaHealth… with involvement from DFAT in </w:t>
      </w:r>
      <w:r w:rsidRPr="004F7D2E">
        <w:t>agreeing areas for funding</w:t>
      </w:r>
      <w:r w:rsidR="00760392">
        <w:t>’</w:t>
      </w:r>
      <w:r w:rsidRPr="004F7D2E">
        <w:t xml:space="preserve">. </w:t>
      </w:r>
      <w:r>
        <w:t>Early attempts to integrate THSSP2 annual planning with MoH planning were unsatisfactory</w:t>
      </w:r>
      <w:r w:rsidR="0086432E">
        <w:t xml:space="preserve"> as the </w:t>
      </w:r>
      <w:r w:rsidR="00756132">
        <w:t>MoH</w:t>
      </w:r>
      <w:r w:rsidR="0086432E">
        <w:t xml:space="preserve"> budget prioritisation process was not considered robust</w:t>
      </w:r>
      <w:r>
        <w:t>. In response, a parallel annual planning process was instituted by DFAT, meaning that whilst THSSP2 is ‘on system’, it is ‘off plan’. DFAT has little in the way of an agreed sector strategic framework by which to assess funding applications other than the five high-level program targets and professional judgement.</w:t>
      </w:r>
    </w:p>
    <w:p w14:paraId="4FAA55FF" w14:textId="7DDFCE2C" w:rsidR="0045753F" w:rsidRDefault="0045753F" w:rsidP="0045753F">
      <w:pPr>
        <w:rPr>
          <w:lang w:val="en-AU"/>
        </w:rPr>
      </w:pPr>
      <w:r>
        <w:rPr>
          <w:rFonts w:eastAsia="Times New Roman" w:cstheme="minorHAnsi"/>
          <w:color w:val="000000"/>
          <w:lang w:eastAsia="en-GB"/>
        </w:rPr>
        <w:t xml:space="preserve">THSSP2 has been </w:t>
      </w:r>
      <w:r w:rsidRPr="00D33888">
        <w:rPr>
          <w:rFonts w:eastAsia="Times New Roman" w:cstheme="minorHAnsi"/>
          <w:color w:val="000000"/>
          <w:lang w:eastAsia="en-GB"/>
        </w:rPr>
        <w:t>succe</w:t>
      </w:r>
      <w:r>
        <w:rPr>
          <w:rFonts w:eastAsia="Times New Roman" w:cstheme="minorHAnsi"/>
          <w:color w:val="000000"/>
          <w:lang w:eastAsia="en-GB"/>
        </w:rPr>
        <w:t>ssful in getting program funds ‘</w:t>
      </w:r>
      <w:r w:rsidRPr="00D33888">
        <w:rPr>
          <w:rFonts w:eastAsia="Times New Roman" w:cstheme="minorHAnsi"/>
          <w:color w:val="000000"/>
          <w:lang w:eastAsia="en-GB"/>
        </w:rPr>
        <w:t>on system</w:t>
      </w:r>
      <w:r>
        <w:rPr>
          <w:rFonts w:eastAsia="Times New Roman" w:cstheme="minorHAnsi"/>
          <w:color w:val="000000"/>
          <w:lang w:eastAsia="en-GB"/>
        </w:rPr>
        <w:t xml:space="preserve">’ i.e. </w:t>
      </w:r>
      <w:r w:rsidRPr="00CB3E09">
        <w:rPr>
          <w:lang w:val="en-AU"/>
        </w:rPr>
        <w:t>program activities have been successfully funded and implemented through G</w:t>
      </w:r>
      <w:r>
        <w:rPr>
          <w:lang w:val="en-AU"/>
        </w:rPr>
        <w:t>o</w:t>
      </w:r>
      <w:r w:rsidRPr="00CB3E09">
        <w:rPr>
          <w:lang w:val="en-AU"/>
        </w:rPr>
        <w:t xml:space="preserve">T systems (i.e. </w:t>
      </w:r>
      <w:r>
        <w:rPr>
          <w:lang w:val="en-AU"/>
        </w:rPr>
        <w:t>MoH</w:t>
      </w:r>
      <w:r w:rsidRPr="00CB3E09">
        <w:rPr>
          <w:lang w:val="en-AU"/>
        </w:rPr>
        <w:t xml:space="preserve"> and TongaHealth), and </w:t>
      </w:r>
      <w:r>
        <w:rPr>
          <w:lang w:val="en-AU"/>
        </w:rPr>
        <w:t>program</w:t>
      </w:r>
      <w:r w:rsidRPr="00CB3E09">
        <w:rPr>
          <w:lang w:val="en-AU"/>
        </w:rPr>
        <w:t xml:space="preserve"> procurement (goods and</w:t>
      </w:r>
      <w:r>
        <w:rPr>
          <w:lang w:val="en-AU"/>
        </w:rPr>
        <w:t xml:space="preserve"> services, infrastructure) </w:t>
      </w:r>
      <w:r w:rsidRPr="00CB3E09">
        <w:rPr>
          <w:lang w:val="en-AU"/>
        </w:rPr>
        <w:t>occurs through G</w:t>
      </w:r>
      <w:r>
        <w:rPr>
          <w:lang w:val="en-AU"/>
        </w:rPr>
        <w:t>o</w:t>
      </w:r>
      <w:r w:rsidRPr="00CB3E09">
        <w:rPr>
          <w:lang w:val="en-AU"/>
        </w:rPr>
        <w:t>T systems.</w:t>
      </w:r>
      <w:r>
        <w:rPr>
          <w:lang w:val="en-AU"/>
        </w:rPr>
        <w:t xml:space="preserve"> THSSP2</w:t>
      </w:r>
      <w:r w:rsidR="0021784A">
        <w:rPr>
          <w:lang w:val="en-AU"/>
        </w:rPr>
        <w:t xml:space="preserve"> is also </w:t>
      </w:r>
      <w:r>
        <w:rPr>
          <w:lang w:val="en-AU"/>
        </w:rPr>
        <w:t>‘on budget’ with funds appearing in GoT budget records</w:t>
      </w:r>
      <w:r w:rsidR="0021784A">
        <w:rPr>
          <w:lang w:val="en-AU"/>
        </w:rPr>
        <w:t>,</w:t>
      </w:r>
      <w:r>
        <w:rPr>
          <w:lang w:val="en-AU"/>
        </w:rPr>
        <w:t xml:space="preserve"> but</w:t>
      </w:r>
      <w:r w:rsidR="0021784A">
        <w:rPr>
          <w:lang w:val="en-AU"/>
        </w:rPr>
        <w:t xml:space="preserve"> as per above is</w:t>
      </w:r>
      <w:r>
        <w:rPr>
          <w:lang w:val="en-AU"/>
        </w:rPr>
        <w:t xml:space="preserve"> not integrated with the MoH </w:t>
      </w:r>
      <w:r w:rsidR="0021784A">
        <w:rPr>
          <w:lang w:val="en-AU"/>
        </w:rPr>
        <w:t xml:space="preserve">planning </w:t>
      </w:r>
      <w:r>
        <w:rPr>
          <w:lang w:val="en-AU"/>
        </w:rPr>
        <w:t>process.</w:t>
      </w:r>
    </w:p>
    <w:p w14:paraId="54B1F5F8" w14:textId="77777777" w:rsidR="0045753F" w:rsidRPr="006A322C" w:rsidRDefault="0045753F" w:rsidP="006A322C">
      <w:pPr>
        <w:spacing w:after="0"/>
        <w:rPr>
          <w:i/>
        </w:rPr>
      </w:pPr>
      <w:r w:rsidRPr="006A322C">
        <w:rPr>
          <w:i/>
        </w:rPr>
        <w:t>Monitoring and performance</w:t>
      </w:r>
    </w:p>
    <w:p w14:paraId="4A361F3B" w14:textId="77777777" w:rsidR="004372E2" w:rsidRDefault="004372E2" w:rsidP="004372E2">
      <w:pPr>
        <w:rPr>
          <w:lang w:val="en-AU"/>
        </w:rPr>
      </w:pPr>
      <w:r>
        <w:rPr>
          <w:lang w:eastAsia="en-GB"/>
        </w:rPr>
        <w:t xml:space="preserve">The THSSP2 M&amp;E Framework contains 76 indicators which are not well harmonised with other M&amp;E frameworks </w:t>
      </w:r>
      <w:r w:rsidR="006A322C">
        <w:rPr>
          <w:lang w:eastAsia="en-GB"/>
        </w:rPr>
        <w:t xml:space="preserve">used </w:t>
      </w:r>
      <w:r>
        <w:rPr>
          <w:lang w:eastAsia="en-GB"/>
        </w:rPr>
        <w:t xml:space="preserve">in the health sector. The THSSP2 M&amp;E Framework does not adequately represent the program design and </w:t>
      </w:r>
      <w:r w:rsidRPr="00CB3E09">
        <w:rPr>
          <w:lang w:val="en-AU"/>
        </w:rPr>
        <w:t xml:space="preserve">many of </w:t>
      </w:r>
      <w:r>
        <w:rPr>
          <w:lang w:val="en-AU"/>
        </w:rPr>
        <w:t xml:space="preserve">the indicators </w:t>
      </w:r>
      <w:r w:rsidRPr="00CB3E09">
        <w:rPr>
          <w:lang w:val="en-AU"/>
        </w:rPr>
        <w:t>are not routinely collected</w:t>
      </w:r>
      <w:r>
        <w:rPr>
          <w:lang w:val="en-AU"/>
        </w:rPr>
        <w:t>. Each of the indicators from the various frameworks reflects some interesting aspect of the health sector, but not all indicators are strategic. Practical, strategic information for MoH and DFAT management is needed.</w:t>
      </w:r>
    </w:p>
    <w:p w14:paraId="1959091B" w14:textId="29D57436" w:rsidR="004372E2" w:rsidRDefault="004372E2" w:rsidP="009A4301">
      <w:r>
        <w:t xml:space="preserve">Independently of other components of the program, the THSSP2 Design Document reserves </w:t>
      </w:r>
      <w:r w:rsidR="00750831">
        <w:rPr>
          <w:lang w:eastAsia="ja-JP"/>
        </w:rPr>
        <w:t>$</w:t>
      </w:r>
      <w:r>
        <w:rPr>
          <w:lang w:eastAsia="ja-JP"/>
        </w:rPr>
        <w:t xml:space="preserve">1 million </w:t>
      </w:r>
      <w:r w:rsidRPr="00B86F2D">
        <w:rPr>
          <w:lang w:eastAsia="ja-JP"/>
        </w:rPr>
        <w:t>over the five years</w:t>
      </w:r>
      <w:r>
        <w:rPr>
          <w:lang w:eastAsia="ja-JP"/>
        </w:rPr>
        <w:t xml:space="preserve"> of the program </w:t>
      </w:r>
      <w:r w:rsidRPr="00B86F2D">
        <w:rPr>
          <w:lang w:eastAsia="ja-JP"/>
        </w:rPr>
        <w:t>for performance</w:t>
      </w:r>
      <w:r>
        <w:rPr>
          <w:lang w:eastAsia="ja-JP"/>
        </w:rPr>
        <w:t>-</w:t>
      </w:r>
      <w:r w:rsidRPr="00B86F2D">
        <w:rPr>
          <w:lang w:eastAsia="ja-JP"/>
        </w:rPr>
        <w:t>based payments to the M</w:t>
      </w:r>
      <w:r>
        <w:rPr>
          <w:lang w:eastAsia="ja-JP"/>
        </w:rPr>
        <w:t>oH. T</w:t>
      </w:r>
      <w:r w:rsidRPr="00B86F2D">
        <w:rPr>
          <w:lang w:eastAsia="ja-JP"/>
        </w:rPr>
        <w:t xml:space="preserve">he </w:t>
      </w:r>
      <w:r>
        <w:t>evaluation team considered that there was no evidence of the payment having a motivational effect.</w:t>
      </w:r>
    </w:p>
    <w:p w14:paraId="7CD80CE9" w14:textId="77777777" w:rsidR="005E33A5" w:rsidRDefault="005E33A5" w:rsidP="009A4301"/>
    <w:p w14:paraId="07BF0F27" w14:textId="77777777" w:rsidR="0045753F" w:rsidRPr="00550647" w:rsidRDefault="0045753F" w:rsidP="0045753F">
      <w:pPr>
        <w:rPr>
          <w:b/>
          <w:color w:val="767171" w:themeColor="background2" w:themeShade="80"/>
        </w:rPr>
      </w:pPr>
      <w:r w:rsidRPr="00550647">
        <w:rPr>
          <w:b/>
          <w:color w:val="767171" w:themeColor="background2" w:themeShade="80"/>
        </w:rPr>
        <w:lastRenderedPageBreak/>
        <w:t>Theme 3: General and cross-cutting priorities</w:t>
      </w:r>
    </w:p>
    <w:p w14:paraId="47B50370" w14:textId="77777777" w:rsidR="0045753F" w:rsidRPr="006A322C" w:rsidRDefault="0045753F" w:rsidP="0045753F">
      <w:pPr>
        <w:spacing w:after="0"/>
        <w:rPr>
          <w:i/>
        </w:rPr>
      </w:pPr>
      <w:r w:rsidRPr="006A322C">
        <w:rPr>
          <w:i/>
        </w:rPr>
        <w:t>Capacity development</w:t>
      </w:r>
    </w:p>
    <w:p w14:paraId="0651C957" w14:textId="77777777" w:rsidR="0045753F" w:rsidRDefault="0045753F" w:rsidP="0045753F">
      <w:pPr>
        <w:rPr>
          <w:lang w:eastAsia="en-GB"/>
        </w:rPr>
      </w:pPr>
      <w:r w:rsidRPr="00873507">
        <w:rPr>
          <w:lang w:eastAsia="en-GB"/>
        </w:rPr>
        <w:t xml:space="preserve">The THSSP2 Design Document states that </w:t>
      </w:r>
      <w:r w:rsidR="00BD0286">
        <w:rPr>
          <w:lang w:eastAsia="en-GB"/>
        </w:rPr>
        <w:t>‘</w:t>
      </w:r>
      <w:r w:rsidRPr="00873507">
        <w:rPr>
          <w:lang w:eastAsia="en-GB"/>
        </w:rPr>
        <w:t>THSSP2 has a strong focus on systems improvement, supported by TA</w:t>
      </w:r>
      <w:r w:rsidR="00BD0286">
        <w:rPr>
          <w:lang w:eastAsia="en-GB"/>
        </w:rPr>
        <w:t>’</w:t>
      </w:r>
      <w:r w:rsidRPr="00873507">
        <w:rPr>
          <w:lang w:eastAsia="en-GB"/>
        </w:rPr>
        <w:t>.</w:t>
      </w:r>
      <w:r w:rsidRPr="00873507">
        <w:rPr>
          <w:rStyle w:val="CommentReference"/>
        </w:rPr>
        <w:t xml:space="preserve"> </w:t>
      </w:r>
      <w:r>
        <w:t xml:space="preserve">In the context of a centralised system of government, the </w:t>
      </w:r>
      <w:r w:rsidRPr="005B570F">
        <w:t>institutional</w:t>
      </w:r>
      <w:r>
        <w:t xml:space="preserve"> capacities of MoH and TongaHealth are largely dependent on the </w:t>
      </w:r>
      <w:r w:rsidRPr="005B570F">
        <w:t xml:space="preserve">central </w:t>
      </w:r>
      <w:r>
        <w:t xml:space="preserve">GoT </w:t>
      </w:r>
      <w:r w:rsidRPr="005B570F">
        <w:t xml:space="preserve">agencies </w:t>
      </w:r>
      <w:r>
        <w:t xml:space="preserve">and therefore outside of the </w:t>
      </w:r>
      <w:r w:rsidR="00BD0286">
        <w:t>‘</w:t>
      </w:r>
      <w:r>
        <w:t>reach</w:t>
      </w:r>
      <w:r w:rsidR="00BD0286">
        <w:t>’</w:t>
      </w:r>
      <w:r>
        <w:t xml:space="preserve"> of THSSP2. </w:t>
      </w:r>
      <w:r w:rsidRPr="00873507">
        <w:rPr>
          <w:lang w:eastAsia="en-GB"/>
        </w:rPr>
        <w:t>DFAT is intended to be instrumental in capacity building through the strategic and annual planning processes</w:t>
      </w:r>
      <w:r>
        <w:rPr>
          <w:lang w:eastAsia="en-GB"/>
        </w:rPr>
        <w:t>, but weak</w:t>
      </w:r>
      <w:r w:rsidRPr="00873507">
        <w:rPr>
          <w:lang w:eastAsia="en-GB"/>
        </w:rPr>
        <w:t xml:space="preserve"> program oversight by </w:t>
      </w:r>
      <w:r>
        <w:rPr>
          <w:lang w:eastAsia="en-GB"/>
        </w:rPr>
        <w:t>t</w:t>
      </w:r>
      <w:r w:rsidRPr="00873507">
        <w:rPr>
          <w:lang w:eastAsia="en-GB"/>
        </w:rPr>
        <w:t>he NHDC</w:t>
      </w:r>
      <w:r w:rsidR="00BD0286">
        <w:rPr>
          <w:lang w:eastAsia="en-GB"/>
        </w:rPr>
        <w:t>,</w:t>
      </w:r>
      <w:r>
        <w:rPr>
          <w:lang w:eastAsia="en-GB"/>
        </w:rPr>
        <w:t xml:space="preserve"> the lack of an agreed sector strategic plan</w:t>
      </w:r>
      <w:r w:rsidR="00BD0286">
        <w:rPr>
          <w:lang w:eastAsia="en-GB"/>
        </w:rPr>
        <w:t xml:space="preserve">, </w:t>
      </w:r>
      <w:r>
        <w:rPr>
          <w:lang w:eastAsia="en-GB"/>
        </w:rPr>
        <w:t xml:space="preserve">and the </w:t>
      </w:r>
      <w:r w:rsidR="00561EC2">
        <w:rPr>
          <w:lang w:eastAsia="en-GB"/>
        </w:rPr>
        <w:t xml:space="preserve">use </w:t>
      </w:r>
      <w:r>
        <w:rPr>
          <w:lang w:eastAsia="en-GB"/>
        </w:rPr>
        <w:t>of a parallel annual planning process for THSSP2 funds has limited the ability of DFAT staff to directly engage with and influence the direction and use of GoT health sector resources.</w:t>
      </w:r>
    </w:p>
    <w:p w14:paraId="0AA5C66E" w14:textId="77777777" w:rsidR="0045753F" w:rsidRDefault="0045753F" w:rsidP="0045753F">
      <w:pPr>
        <w:rPr>
          <w:lang w:eastAsia="en-GB"/>
        </w:rPr>
      </w:pPr>
      <w:r>
        <w:rPr>
          <w:lang w:eastAsia="en-GB"/>
        </w:rPr>
        <w:t>Despite the challenging context, there was evidence that THSSP (both phases) has been successful in establishing an agenda for more effective use of GoT health sector resources. The THSSP2 program targets provide evidence that GoT support for health has been maintained and MoH support for public health has actually increased. It appeared to the evaluation team that key actors within the MoH have taken ownership of the agenda introduced through THSSP. Some program initiatives have provided ‘seed funding’ for improvements that are strategic and may be sustainable under GoT funding (for example, the costs of developing the PEHS document under Phase 2, and training of the first cohort of NCD nurses under Phase 1). Other program-funded investments</w:t>
      </w:r>
      <w:r w:rsidR="00AA1B8D">
        <w:rPr>
          <w:lang w:eastAsia="en-GB"/>
        </w:rPr>
        <w:t xml:space="preserve"> supplement </w:t>
      </w:r>
      <w:r>
        <w:rPr>
          <w:lang w:eastAsia="en-GB"/>
        </w:rPr>
        <w:t>GoT funding for ordinary service delivery, for example, paying for specialist outreach travel to outer islands and salary supplementation. The capacity development potential of the two key long-term advisers has been diminished by</w:t>
      </w:r>
      <w:r w:rsidR="00DC2685">
        <w:rPr>
          <w:lang w:eastAsia="en-GB"/>
        </w:rPr>
        <w:t>:</w:t>
      </w:r>
      <w:r>
        <w:rPr>
          <w:lang w:eastAsia="en-GB"/>
        </w:rPr>
        <w:t xml:space="preserve"> the parallel THSSP2 annual planning process (not integrated with MoH planning)</w:t>
      </w:r>
      <w:r w:rsidR="00DC2685">
        <w:rPr>
          <w:lang w:eastAsia="en-GB"/>
        </w:rPr>
        <w:t>; MoH staff changes and vacancies (the MoH THSSP2 co-ordinator for 50% of the program</w:t>
      </w:r>
      <w:r w:rsidR="00756132">
        <w:rPr>
          <w:lang w:eastAsia="en-GB"/>
        </w:rPr>
        <w:t xml:space="preserve"> to date,</w:t>
      </w:r>
      <w:r w:rsidR="00DC2685">
        <w:rPr>
          <w:lang w:eastAsia="en-GB"/>
        </w:rPr>
        <w:t xml:space="preserve"> the retirement of the Princip</w:t>
      </w:r>
      <w:r w:rsidR="00756132">
        <w:rPr>
          <w:lang w:eastAsia="en-GB"/>
        </w:rPr>
        <w:t>al</w:t>
      </w:r>
      <w:r w:rsidR="00DC2685">
        <w:rPr>
          <w:lang w:eastAsia="en-GB"/>
        </w:rPr>
        <w:t xml:space="preserve"> Administrator requiring the adviser to act in</w:t>
      </w:r>
      <w:r w:rsidR="00756132">
        <w:rPr>
          <w:lang w:eastAsia="en-GB"/>
        </w:rPr>
        <w:t>-</w:t>
      </w:r>
      <w:r w:rsidR="00DC2685">
        <w:rPr>
          <w:lang w:eastAsia="en-GB"/>
        </w:rPr>
        <w:t>line</w:t>
      </w:r>
      <w:r w:rsidR="00756132">
        <w:rPr>
          <w:lang w:eastAsia="en-GB"/>
        </w:rPr>
        <w:t>,</w:t>
      </w:r>
      <w:r w:rsidR="00DC2685">
        <w:rPr>
          <w:lang w:eastAsia="en-GB"/>
        </w:rPr>
        <w:t xml:space="preserve"> and the lag time of more than a year between establishing the Director of Corporate Services </w:t>
      </w:r>
      <w:r w:rsidR="00756132">
        <w:rPr>
          <w:lang w:eastAsia="en-GB"/>
        </w:rPr>
        <w:t xml:space="preserve">position </w:t>
      </w:r>
      <w:r w:rsidR="00DC2685">
        <w:rPr>
          <w:lang w:eastAsia="en-GB"/>
        </w:rPr>
        <w:t xml:space="preserve">and filling it); </w:t>
      </w:r>
      <w:r>
        <w:rPr>
          <w:lang w:eastAsia="en-GB"/>
        </w:rPr>
        <w:t xml:space="preserve"> and high staff turnover within TongaHealth.</w:t>
      </w:r>
    </w:p>
    <w:p w14:paraId="14BA29CE" w14:textId="77777777" w:rsidR="0045753F" w:rsidRDefault="0045753F" w:rsidP="0045753F">
      <w:pPr>
        <w:rPr>
          <w:lang w:eastAsia="en-GB"/>
        </w:rPr>
      </w:pPr>
      <w:r>
        <w:t>Overall, the evaluation team considered that actual progress in capacity development was reasonable given the context, and that expectations about changing capacity in functions largely controlled by central government agencies may have been unrealistic in the original program design.</w:t>
      </w:r>
    </w:p>
    <w:p w14:paraId="44E26E05" w14:textId="77777777" w:rsidR="0045753F" w:rsidRPr="00921B4B" w:rsidRDefault="0045753F" w:rsidP="0045753F">
      <w:pPr>
        <w:spacing w:after="0"/>
        <w:rPr>
          <w:i/>
        </w:rPr>
      </w:pPr>
      <w:r w:rsidRPr="00921B4B">
        <w:rPr>
          <w:i/>
        </w:rPr>
        <w:t>Disability, including mental health</w:t>
      </w:r>
    </w:p>
    <w:p w14:paraId="3DA399C5" w14:textId="77777777" w:rsidR="0045753F" w:rsidRDefault="0045753F" w:rsidP="0045753F">
      <w:r>
        <w:t xml:space="preserve">Disability-inclusive health is a </w:t>
      </w:r>
      <w:r w:rsidR="00750831">
        <w:t>$</w:t>
      </w:r>
      <w:r>
        <w:t xml:space="preserve">3.3 million component funded under the DFAT regional Disability-inclusive Development (DID) initiative. </w:t>
      </w:r>
      <w:r w:rsidR="00DC2685">
        <w:t xml:space="preserve">Implementation of the DID-funded initiative is overseen by </w:t>
      </w:r>
      <w:r w:rsidR="00A11C27">
        <w:t>a Steering Committee led by MoH</w:t>
      </w:r>
      <w:r w:rsidR="00F17558">
        <w:t>. However</w:t>
      </w:r>
      <w:r w:rsidR="008D3E7D">
        <w:t>,</w:t>
      </w:r>
      <w:r w:rsidR="00F17558">
        <w:t xml:space="preserve"> there is limited decision-making authority held by this committee as all activities</w:t>
      </w:r>
      <w:r w:rsidR="00DC2685">
        <w:t xml:space="preserve"> </w:t>
      </w:r>
      <w:r w:rsidR="00921B4B">
        <w:t xml:space="preserve">were </w:t>
      </w:r>
      <w:r w:rsidR="00DC2685">
        <w:t xml:space="preserve">fully </w:t>
      </w:r>
      <w:r>
        <w:t>planned</w:t>
      </w:r>
      <w:r w:rsidR="00C6154B">
        <w:t xml:space="preserve"> at the beginning of the initiative</w:t>
      </w:r>
      <w:r>
        <w:t xml:space="preserve">. Awareness raising workshops have been conducted for the MoH and TongaHealth leadership groups to prepare for subsequent activities, including the mainstreaming of disability into regular health worker practice. The draft PEHS, which is expressly disability-inclusive, establishes a framework for universally available mental health services in the future. </w:t>
      </w:r>
      <w:r w:rsidR="005B76EC">
        <w:t xml:space="preserve">At DFAT’s request, </w:t>
      </w:r>
      <w:r>
        <w:t>THSSP2 refurbishment of the national psychiatric inpatient facility (ward) at Vaiola Hospital has been delayed</w:t>
      </w:r>
      <w:r w:rsidR="00F17558">
        <w:t xml:space="preserve"> </w:t>
      </w:r>
      <w:r w:rsidR="005B76EC">
        <w:t xml:space="preserve">by around 18 months </w:t>
      </w:r>
      <w:r w:rsidR="00F17558">
        <w:t xml:space="preserve">due to </w:t>
      </w:r>
      <w:r w:rsidR="005B76EC">
        <w:t xml:space="preserve">a </w:t>
      </w:r>
      <w:r w:rsidR="00F17558">
        <w:t xml:space="preserve">long lag in </w:t>
      </w:r>
      <w:r w:rsidR="005B76EC">
        <w:t xml:space="preserve">DFAT’s </w:t>
      </w:r>
      <w:r w:rsidR="00F17558">
        <w:t>engagement of an architect to quality assure the proposed design</w:t>
      </w:r>
      <w:r>
        <w:t>. At the time of the mid-term evaluation, an M&amp;E framework for the disability-inclusive health component was not in place.</w:t>
      </w:r>
    </w:p>
    <w:p w14:paraId="484F003E" w14:textId="77777777" w:rsidR="0045753F" w:rsidRPr="00921B4B" w:rsidRDefault="0045753F" w:rsidP="0045753F">
      <w:pPr>
        <w:spacing w:after="0"/>
        <w:rPr>
          <w:i/>
        </w:rPr>
      </w:pPr>
      <w:r w:rsidRPr="00921B4B">
        <w:rPr>
          <w:i/>
        </w:rPr>
        <w:t>Disadvantage, including remoteness</w:t>
      </w:r>
    </w:p>
    <w:p w14:paraId="19C93706" w14:textId="77777777" w:rsidR="0045753F" w:rsidRDefault="0045753F" w:rsidP="0045753F">
      <w:r w:rsidRPr="0019561B">
        <w:t xml:space="preserve">With 75% of the national population on Tongatapu, Tonga has less of a challenge in providing universal health coverage than </w:t>
      </w:r>
      <w:r>
        <w:t xml:space="preserve">many </w:t>
      </w:r>
      <w:r w:rsidRPr="0019561B">
        <w:t xml:space="preserve">other Pacific </w:t>
      </w:r>
      <w:r>
        <w:t xml:space="preserve">Island </w:t>
      </w:r>
      <w:r w:rsidRPr="0019561B">
        <w:t xml:space="preserve">countries, but the evaluation team did find some evidence of ongoing disadvantage </w:t>
      </w:r>
      <w:r>
        <w:t xml:space="preserve">due to remoteness </w:t>
      </w:r>
      <w:r w:rsidRPr="0019561B">
        <w:t xml:space="preserve">(for example, </w:t>
      </w:r>
      <w:r>
        <w:t xml:space="preserve">reduced access to some </w:t>
      </w:r>
      <w:r>
        <w:lastRenderedPageBreak/>
        <w:t>NCD medications</w:t>
      </w:r>
      <w:r w:rsidRPr="0019561B">
        <w:t>). The draft PEHS is the main development supported under THSSP2 that potentially addresses disadvantag</w:t>
      </w:r>
      <w:r>
        <w:t>e due to remoteness.</w:t>
      </w:r>
    </w:p>
    <w:p w14:paraId="57509541" w14:textId="77777777" w:rsidR="0045753F" w:rsidRPr="00921B4B" w:rsidRDefault="0045753F" w:rsidP="0045753F">
      <w:pPr>
        <w:spacing w:after="0"/>
        <w:rPr>
          <w:i/>
        </w:rPr>
      </w:pPr>
      <w:r w:rsidRPr="00921B4B">
        <w:rPr>
          <w:i/>
        </w:rPr>
        <w:t>Gender</w:t>
      </w:r>
      <w:r w:rsidR="00921B4B">
        <w:rPr>
          <w:i/>
        </w:rPr>
        <w:t xml:space="preserve"> equality</w:t>
      </w:r>
    </w:p>
    <w:p w14:paraId="497AC1AB" w14:textId="77777777" w:rsidR="0045753F" w:rsidRDefault="0045753F" w:rsidP="0045753F">
      <w:r>
        <w:t xml:space="preserve">National outcome C of the TSDF II is ‘human development with gender equality’. The evaluation team observed indications of equal employment opportunity in the Tongan public service and availability of </w:t>
      </w:r>
      <w:r w:rsidRPr="00D542CF">
        <w:t>gender disaggregated health and disability information is generally good.</w:t>
      </w:r>
      <w:r>
        <w:t xml:space="preserve"> THSSP2 annual funded activities are required to consider gender. Female participation has been good in health promotion activities such as Fiefia sports but, because of underlying gender differences in NCDs and NCD-related disability, it is appropriate to develop some strategic targeting of gender in NCD management and health promotion activities.</w:t>
      </w:r>
    </w:p>
    <w:p w14:paraId="05649BE9" w14:textId="77777777" w:rsidR="0045753F" w:rsidRPr="00921B4B" w:rsidRDefault="0045753F" w:rsidP="0045753F">
      <w:pPr>
        <w:spacing w:after="0"/>
        <w:rPr>
          <w:i/>
        </w:rPr>
      </w:pPr>
      <w:r w:rsidRPr="00921B4B">
        <w:rPr>
          <w:i/>
        </w:rPr>
        <w:t>Human resources</w:t>
      </w:r>
      <w:r w:rsidR="00921B4B">
        <w:rPr>
          <w:i/>
        </w:rPr>
        <w:t xml:space="preserve"> for health</w:t>
      </w:r>
    </w:p>
    <w:p w14:paraId="7FBDE480" w14:textId="77777777" w:rsidR="0045753F" w:rsidRDefault="0045753F" w:rsidP="0045753F">
      <w:pPr>
        <w:rPr>
          <w:rFonts w:eastAsia="Times New Roman"/>
          <w:color w:val="000000"/>
        </w:rPr>
      </w:pPr>
      <w:r>
        <w:rPr>
          <w:u w:color="FB0007"/>
        </w:rPr>
        <w:t xml:space="preserve">A </w:t>
      </w:r>
      <w:r>
        <w:rPr>
          <w:rFonts w:eastAsia="Times New Roman"/>
          <w:color w:val="000000"/>
        </w:rPr>
        <w:t>m</w:t>
      </w:r>
      <w:r w:rsidRPr="00A75A77">
        <w:rPr>
          <w:rFonts w:eastAsia="Times New Roman"/>
          <w:color w:val="000000"/>
        </w:rPr>
        <w:t xml:space="preserve">ajor </w:t>
      </w:r>
      <w:r>
        <w:rPr>
          <w:rFonts w:eastAsia="Times New Roman"/>
          <w:color w:val="000000"/>
        </w:rPr>
        <w:t xml:space="preserve">issue for the </w:t>
      </w:r>
      <w:r w:rsidRPr="00A75A77">
        <w:rPr>
          <w:rFonts w:eastAsia="Times New Roman"/>
          <w:color w:val="000000"/>
        </w:rPr>
        <w:t xml:space="preserve">MoH </w:t>
      </w:r>
      <w:r>
        <w:rPr>
          <w:rFonts w:eastAsia="Times New Roman"/>
          <w:color w:val="000000"/>
        </w:rPr>
        <w:t xml:space="preserve">and DFAT throughout both phases of THSSP has been </w:t>
      </w:r>
      <w:r w:rsidRPr="00A75A77">
        <w:rPr>
          <w:rFonts w:eastAsia="Times New Roman"/>
          <w:color w:val="000000"/>
        </w:rPr>
        <w:t xml:space="preserve">the inability </w:t>
      </w:r>
      <w:r>
        <w:rPr>
          <w:rFonts w:eastAsia="Times New Roman"/>
          <w:color w:val="000000"/>
        </w:rPr>
        <w:t xml:space="preserve">of GoT </w:t>
      </w:r>
      <w:r w:rsidRPr="0019561B">
        <w:rPr>
          <w:rFonts w:eastAsia="Times New Roman"/>
          <w:color w:val="000000"/>
        </w:rPr>
        <w:t>to provide regionally competitive remuneration for</w:t>
      </w:r>
      <w:r w:rsidR="00BE2183">
        <w:rPr>
          <w:rFonts w:eastAsia="Times New Roman"/>
          <w:color w:val="000000"/>
        </w:rPr>
        <w:t xml:space="preserve"> some specific positions for</w:t>
      </w:r>
      <w:r w:rsidRPr="0019561B">
        <w:rPr>
          <w:rFonts w:eastAsia="Times New Roman"/>
          <w:color w:val="000000"/>
        </w:rPr>
        <w:t xml:space="preserve"> highly qualified medical professionals</w:t>
      </w:r>
      <w:r w:rsidR="00BE2183">
        <w:rPr>
          <w:rFonts w:eastAsia="Times New Roman"/>
          <w:color w:val="000000"/>
        </w:rPr>
        <w:t xml:space="preserve"> (“Critical Staffing Deficiencies”)</w:t>
      </w:r>
      <w:r w:rsidRPr="0019561B">
        <w:rPr>
          <w:rFonts w:eastAsia="Times New Roman"/>
          <w:color w:val="000000"/>
        </w:rPr>
        <w:t xml:space="preserve">, leading to </w:t>
      </w:r>
      <w:r w:rsidR="005B76EC">
        <w:rPr>
          <w:rFonts w:eastAsia="Times New Roman"/>
          <w:color w:val="000000"/>
        </w:rPr>
        <w:t xml:space="preserve">high-cost, </w:t>
      </w:r>
      <w:r w:rsidRPr="0019561B">
        <w:rPr>
          <w:rFonts w:eastAsia="Times New Roman"/>
          <w:color w:val="000000"/>
        </w:rPr>
        <w:t>unsustainable topping up of salaries by DFAT. The arrangement was carried over into</w:t>
      </w:r>
      <w:r>
        <w:rPr>
          <w:rFonts w:eastAsia="Times New Roman"/>
          <w:color w:val="000000"/>
        </w:rPr>
        <w:t xml:space="preserve"> THSSP2 despite the fact that the medical specialist positions being supported are in acute clinical care and not directly related to the high-level targets of THSSP2. DFAT advised the evaluation team that it</w:t>
      </w:r>
      <w:r w:rsidR="005B76EC">
        <w:rPr>
          <w:rFonts w:eastAsia="Times New Roman"/>
          <w:color w:val="000000"/>
        </w:rPr>
        <w:t xml:space="preserve"> intended</w:t>
      </w:r>
      <w:r>
        <w:rPr>
          <w:rFonts w:eastAsia="Times New Roman"/>
          <w:color w:val="000000"/>
        </w:rPr>
        <w:t xml:space="preserve"> to phase out support for medical specialist remuneration by the end of THSSP2.</w:t>
      </w:r>
      <w:r w:rsidR="005B76EC">
        <w:rPr>
          <w:rFonts w:eastAsia="Times New Roman"/>
          <w:color w:val="000000"/>
        </w:rPr>
        <w:t xml:space="preserve"> </w:t>
      </w:r>
      <w:r w:rsidR="005C2B04">
        <w:rPr>
          <w:rFonts w:eastAsia="Times New Roman"/>
          <w:color w:val="000000"/>
        </w:rPr>
        <w:t>T</w:t>
      </w:r>
      <w:r w:rsidR="005B76EC">
        <w:rPr>
          <w:rFonts w:eastAsia="Times New Roman"/>
          <w:color w:val="000000"/>
        </w:rPr>
        <w:t>his will require agreement to be reached between MoH, Public Service Commission and the Remuneration Authority to be able to pay increased rates (“Scarcity Allowance”) so that specialist positions are competitively remunerated</w:t>
      </w:r>
      <w:r w:rsidR="005C2B04">
        <w:rPr>
          <w:rFonts w:eastAsia="Times New Roman"/>
          <w:color w:val="000000"/>
        </w:rPr>
        <w:t xml:space="preserve"> from the GoT budget</w:t>
      </w:r>
      <w:r w:rsidR="005B76EC">
        <w:rPr>
          <w:rFonts w:eastAsia="Times New Roman"/>
          <w:color w:val="000000"/>
        </w:rPr>
        <w:t>.</w:t>
      </w:r>
    </w:p>
    <w:p w14:paraId="32F3FECF" w14:textId="77777777" w:rsidR="00CA1426" w:rsidRPr="00592CC9" w:rsidRDefault="00CA1426" w:rsidP="002E5221">
      <w:pPr>
        <w:rPr>
          <w:b/>
          <w:color w:val="3B3838" w:themeColor="background2" w:themeShade="40"/>
          <w:sz w:val="24"/>
          <w:szCs w:val="24"/>
        </w:rPr>
      </w:pPr>
      <w:bookmarkStart w:id="2" w:name="_Toc533338306"/>
      <w:r w:rsidRPr="00592CC9">
        <w:rPr>
          <w:b/>
          <w:color w:val="3B3838" w:themeColor="background2" w:themeShade="40"/>
          <w:sz w:val="24"/>
          <w:szCs w:val="24"/>
        </w:rPr>
        <w:t>Program implementation issues</w:t>
      </w:r>
      <w:bookmarkEnd w:id="2"/>
    </w:p>
    <w:p w14:paraId="55830BDD" w14:textId="77777777" w:rsidR="00CA1426" w:rsidRDefault="00CA1426" w:rsidP="00CA1426">
      <w:pPr>
        <w:rPr>
          <w:rFonts w:eastAsia="Times New Roman" w:cstheme="minorHAnsi"/>
          <w:color w:val="000000"/>
          <w:lang w:eastAsia="en-GB"/>
        </w:rPr>
      </w:pPr>
      <w:r w:rsidRPr="00827444">
        <w:rPr>
          <w:rFonts w:eastAsia="Times New Roman" w:cstheme="minorHAnsi"/>
          <w:color w:val="000000"/>
          <w:lang w:eastAsia="en-GB"/>
        </w:rPr>
        <w:t xml:space="preserve">Despite the </w:t>
      </w:r>
      <w:r>
        <w:rPr>
          <w:rFonts w:eastAsia="Times New Roman" w:cstheme="minorHAnsi"/>
          <w:color w:val="000000"/>
          <w:lang w:eastAsia="en-GB"/>
        </w:rPr>
        <w:t>intention</w:t>
      </w:r>
      <w:r w:rsidRPr="00827444">
        <w:rPr>
          <w:rFonts w:eastAsia="Times New Roman" w:cstheme="minorHAnsi"/>
          <w:color w:val="000000"/>
          <w:lang w:eastAsia="en-GB"/>
        </w:rPr>
        <w:t xml:space="preserve"> of the THSSP2 program design to integrate into </w:t>
      </w:r>
      <w:r>
        <w:rPr>
          <w:rFonts w:eastAsia="Times New Roman" w:cstheme="minorHAnsi"/>
          <w:color w:val="000000"/>
          <w:lang w:eastAsia="en-GB"/>
        </w:rPr>
        <w:t xml:space="preserve">MoH’s own annual planning process, this </w:t>
      </w:r>
      <w:r w:rsidR="00B50E9B">
        <w:rPr>
          <w:rFonts w:eastAsia="Times New Roman" w:cstheme="minorHAnsi"/>
          <w:color w:val="000000"/>
          <w:lang w:eastAsia="en-GB"/>
        </w:rPr>
        <w:t xml:space="preserve">has not been </w:t>
      </w:r>
      <w:r>
        <w:rPr>
          <w:rFonts w:eastAsia="Times New Roman" w:cstheme="minorHAnsi"/>
          <w:color w:val="000000"/>
          <w:lang w:eastAsia="en-GB"/>
        </w:rPr>
        <w:t>achieved and a project-like planning arrangement persists. Also, THSSP2 inherited legacy investments that are not necessarily consistent with the five high-level program targets.</w:t>
      </w:r>
    </w:p>
    <w:p w14:paraId="1F6AEDC3" w14:textId="77777777" w:rsidR="00CA1426" w:rsidRDefault="00802169" w:rsidP="00CA1426">
      <w:pPr>
        <w:rPr>
          <w:rFonts w:eastAsia="Times New Roman"/>
          <w:color w:val="000000"/>
        </w:rPr>
      </w:pPr>
      <w:r>
        <w:rPr>
          <w:rFonts w:eastAsia="Times New Roman" w:cstheme="minorHAnsi"/>
          <w:color w:val="000000"/>
          <w:lang w:eastAsia="en-GB"/>
        </w:rPr>
        <w:t xml:space="preserve">The Clinical Services Division of MoH has to date received </w:t>
      </w:r>
      <w:r w:rsidR="00515365">
        <w:rPr>
          <w:rFonts w:eastAsia="Times New Roman" w:cstheme="minorHAnsi"/>
          <w:color w:val="000000"/>
          <w:lang w:eastAsia="en-GB"/>
        </w:rPr>
        <w:t xml:space="preserve">around </w:t>
      </w:r>
      <w:r>
        <w:rPr>
          <w:rFonts w:eastAsia="Times New Roman" w:cstheme="minorHAnsi"/>
          <w:color w:val="000000"/>
          <w:lang w:eastAsia="en-GB"/>
        </w:rPr>
        <w:t>57</w:t>
      </w:r>
      <w:r w:rsidR="00CA1426" w:rsidRPr="003073D3">
        <w:rPr>
          <w:rFonts w:eastAsia="Times New Roman" w:cstheme="minorHAnsi"/>
          <w:color w:val="000000"/>
          <w:lang w:eastAsia="en-GB"/>
        </w:rPr>
        <w:t>%</w:t>
      </w:r>
      <w:r w:rsidR="00B50E9B" w:rsidRPr="003073D3">
        <w:rPr>
          <w:rFonts w:eastAsia="Times New Roman" w:cstheme="minorHAnsi"/>
          <w:color w:val="000000"/>
          <w:lang w:eastAsia="en-GB"/>
        </w:rPr>
        <w:t xml:space="preserve"> of</w:t>
      </w:r>
      <w:r w:rsidR="00CA1426" w:rsidRPr="003073D3">
        <w:rPr>
          <w:rFonts w:eastAsia="Times New Roman" w:cstheme="minorHAnsi"/>
          <w:color w:val="000000"/>
          <w:lang w:eastAsia="en-GB"/>
        </w:rPr>
        <w:t xml:space="preserve"> THSSP2 investment in the MoH</w:t>
      </w:r>
      <w:r w:rsidR="00515365">
        <w:rPr>
          <w:rFonts w:eastAsia="Times New Roman" w:cstheme="minorHAnsi"/>
          <w:color w:val="000000"/>
          <w:lang w:eastAsia="en-GB"/>
        </w:rPr>
        <w:t xml:space="preserve">: 17% being </w:t>
      </w:r>
      <w:r w:rsidR="008C6EEB">
        <w:rPr>
          <w:rFonts w:eastAsia="Times New Roman" w:cstheme="minorHAnsi"/>
          <w:color w:val="000000"/>
          <w:lang w:eastAsia="en-GB"/>
        </w:rPr>
        <w:t xml:space="preserve">for </w:t>
      </w:r>
      <w:r w:rsidR="00523721">
        <w:rPr>
          <w:rFonts w:eastAsia="Times New Roman" w:cstheme="minorHAnsi"/>
          <w:color w:val="000000"/>
          <w:lang w:eastAsia="en-GB"/>
        </w:rPr>
        <w:t xml:space="preserve">clinical services activities </w:t>
      </w:r>
      <w:r w:rsidR="00515365">
        <w:rPr>
          <w:rFonts w:eastAsia="Times New Roman" w:cstheme="minorHAnsi"/>
          <w:color w:val="000000"/>
          <w:lang w:eastAsia="en-GB"/>
        </w:rPr>
        <w:t xml:space="preserve">related to the THSSP2 high-level targets and around 40% </w:t>
      </w:r>
      <w:r w:rsidR="008C6EEB">
        <w:rPr>
          <w:rFonts w:eastAsia="Times New Roman" w:cstheme="minorHAnsi"/>
          <w:color w:val="000000"/>
          <w:lang w:eastAsia="en-GB"/>
        </w:rPr>
        <w:t>for</w:t>
      </w:r>
      <w:r w:rsidR="00515365">
        <w:rPr>
          <w:rFonts w:eastAsia="Times New Roman" w:cstheme="minorHAnsi"/>
          <w:color w:val="000000"/>
          <w:lang w:eastAsia="en-GB"/>
        </w:rPr>
        <w:t xml:space="preserve"> </w:t>
      </w:r>
      <w:r w:rsidR="00974601" w:rsidRPr="003073D3">
        <w:rPr>
          <w:rFonts w:eastAsia="Times New Roman" w:cstheme="minorHAnsi"/>
          <w:color w:val="000000"/>
          <w:lang w:eastAsia="en-GB"/>
        </w:rPr>
        <w:t xml:space="preserve">acute </w:t>
      </w:r>
      <w:r w:rsidR="00523721">
        <w:rPr>
          <w:rFonts w:eastAsia="Times New Roman" w:cstheme="minorHAnsi"/>
          <w:color w:val="000000"/>
          <w:lang w:eastAsia="en-GB"/>
        </w:rPr>
        <w:t>hospital care</w:t>
      </w:r>
      <w:r w:rsidR="00515365">
        <w:rPr>
          <w:rFonts w:eastAsia="Times New Roman" w:cstheme="minorHAnsi"/>
          <w:color w:val="000000"/>
          <w:lang w:eastAsia="en-GB"/>
        </w:rPr>
        <w:t xml:space="preserve"> that is not consistent with </w:t>
      </w:r>
      <w:r w:rsidR="00523721">
        <w:rPr>
          <w:rFonts w:eastAsia="Times New Roman" w:cstheme="minorHAnsi"/>
          <w:color w:val="000000"/>
          <w:lang w:eastAsia="en-GB"/>
        </w:rPr>
        <w:t>the</w:t>
      </w:r>
      <w:r w:rsidR="00CA1426" w:rsidRPr="003073D3">
        <w:rPr>
          <w:rFonts w:eastAsia="Times New Roman" w:cstheme="minorHAnsi"/>
          <w:color w:val="000000"/>
          <w:lang w:eastAsia="en-GB"/>
        </w:rPr>
        <w:t xml:space="preserve"> priorities expressed in the THSSP2 Design Document. T</w:t>
      </w:r>
      <w:r w:rsidR="00CA1426" w:rsidRPr="003073D3">
        <w:t xml:space="preserve">he investment in </w:t>
      </w:r>
      <w:r w:rsidR="00AE5632" w:rsidRPr="003073D3">
        <w:t xml:space="preserve">acute </w:t>
      </w:r>
      <w:r w:rsidR="00523721">
        <w:t>hospital</w:t>
      </w:r>
      <w:r w:rsidR="00CA1426" w:rsidRPr="003073D3">
        <w:t xml:space="preserve"> </w:t>
      </w:r>
      <w:r w:rsidR="00515365">
        <w:t>care</w:t>
      </w:r>
      <w:r w:rsidR="00CA1426" w:rsidRPr="003073D3">
        <w:t xml:space="preserve"> is not precluded in the design, although some logical con</w:t>
      </w:r>
      <w:r w:rsidR="008C6EEB">
        <w:t>nection with</w:t>
      </w:r>
      <w:r w:rsidR="00CA1426" w:rsidRPr="003073D3">
        <w:t xml:space="preserve"> progress towards the five high-level program targets would be reasonably expected. T</w:t>
      </w:r>
      <w:r w:rsidR="00CA1426" w:rsidRPr="003073D3">
        <w:rPr>
          <w:rFonts w:eastAsia="Times New Roman"/>
          <w:color w:val="000000"/>
        </w:rPr>
        <w:t>his substantial program investment is unmeasured</w:t>
      </w:r>
      <w:r w:rsidR="00AE5632" w:rsidRPr="003073D3">
        <w:rPr>
          <w:rFonts w:eastAsia="Times New Roman"/>
          <w:color w:val="000000"/>
        </w:rPr>
        <w:t xml:space="preserve"> in the M&amp;E Framework</w:t>
      </w:r>
      <w:r w:rsidR="00CA1426" w:rsidRPr="003073D3">
        <w:rPr>
          <w:rFonts w:eastAsia="Times New Roman"/>
          <w:color w:val="000000"/>
        </w:rPr>
        <w:t xml:space="preserve">. The evaluation team concludes that the large investment in </w:t>
      </w:r>
      <w:r w:rsidR="003073D3">
        <w:rPr>
          <w:rFonts w:eastAsia="Times New Roman"/>
          <w:color w:val="000000"/>
        </w:rPr>
        <w:t xml:space="preserve">acute </w:t>
      </w:r>
      <w:r w:rsidR="00CA1426" w:rsidRPr="003073D3">
        <w:rPr>
          <w:rFonts w:eastAsia="Times New Roman"/>
          <w:color w:val="000000"/>
        </w:rPr>
        <w:t xml:space="preserve">clinical </w:t>
      </w:r>
      <w:r w:rsidR="00523721">
        <w:rPr>
          <w:rFonts w:eastAsia="Times New Roman"/>
          <w:color w:val="000000"/>
        </w:rPr>
        <w:t>care</w:t>
      </w:r>
      <w:r w:rsidR="00CA1426" w:rsidRPr="003073D3">
        <w:rPr>
          <w:rFonts w:eastAsia="Times New Roman"/>
          <w:color w:val="000000"/>
        </w:rPr>
        <w:t xml:space="preserve"> represents dilution of the strategic intent of the THSSP2 program design.</w:t>
      </w:r>
    </w:p>
    <w:p w14:paraId="64300876" w14:textId="77777777" w:rsidR="00324FBF" w:rsidRPr="00592CC9" w:rsidRDefault="00B50E9B" w:rsidP="002E5221">
      <w:pPr>
        <w:rPr>
          <w:b/>
          <w:color w:val="3B3838" w:themeColor="background2" w:themeShade="40"/>
          <w:sz w:val="24"/>
          <w:szCs w:val="24"/>
        </w:rPr>
      </w:pPr>
      <w:r w:rsidRPr="00592CC9">
        <w:rPr>
          <w:b/>
          <w:color w:val="3B3838" w:themeColor="background2" w:themeShade="40"/>
          <w:sz w:val="24"/>
          <w:szCs w:val="24"/>
        </w:rPr>
        <w:t>Recommendations</w:t>
      </w:r>
    </w:p>
    <w:tbl>
      <w:tblPr>
        <w:tblStyle w:val="TableGrid"/>
        <w:tblW w:w="5265" w:type="pct"/>
        <w:tblLook w:val="04A0" w:firstRow="1" w:lastRow="0" w:firstColumn="1" w:lastColumn="0" w:noHBand="0" w:noVBand="1"/>
      </w:tblPr>
      <w:tblGrid>
        <w:gridCol w:w="5155"/>
        <w:gridCol w:w="1356"/>
        <w:gridCol w:w="911"/>
        <w:gridCol w:w="2072"/>
      </w:tblGrid>
      <w:tr w:rsidR="00820B0D" w:rsidRPr="00820B0D" w14:paraId="708D5710" w14:textId="77777777" w:rsidTr="00820B0D">
        <w:trPr>
          <w:tblHeader/>
        </w:trPr>
        <w:tc>
          <w:tcPr>
            <w:tcW w:w="2715" w:type="pct"/>
          </w:tcPr>
          <w:p w14:paraId="21C180AB"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b/>
                <w:sz w:val="22"/>
                <w:szCs w:val="22"/>
              </w:rPr>
            </w:pPr>
            <w:r w:rsidRPr="00820B0D">
              <w:rPr>
                <w:rStyle w:val="Heading2Char"/>
                <w:rFonts w:asciiTheme="minorHAnsi" w:hAnsiTheme="minorHAnsi" w:cstheme="minorHAnsi"/>
                <w:b/>
                <w:sz w:val="22"/>
                <w:szCs w:val="22"/>
              </w:rPr>
              <w:t>Recommendation</w:t>
            </w:r>
          </w:p>
        </w:tc>
        <w:tc>
          <w:tcPr>
            <w:tcW w:w="714" w:type="pct"/>
          </w:tcPr>
          <w:p w14:paraId="1771E5E2"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b/>
                <w:sz w:val="22"/>
                <w:szCs w:val="22"/>
              </w:rPr>
            </w:pPr>
            <w:r w:rsidRPr="00820B0D">
              <w:rPr>
                <w:rStyle w:val="Heading2Char"/>
                <w:rFonts w:asciiTheme="minorHAnsi" w:hAnsiTheme="minorHAnsi" w:cstheme="minorHAnsi"/>
                <w:b/>
                <w:sz w:val="22"/>
                <w:szCs w:val="22"/>
              </w:rPr>
              <w:t xml:space="preserve">Responsibility </w:t>
            </w:r>
          </w:p>
        </w:tc>
        <w:tc>
          <w:tcPr>
            <w:tcW w:w="480" w:type="pct"/>
          </w:tcPr>
          <w:p w14:paraId="078CC6B4"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b/>
                <w:sz w:val="22"/>
                <w:szCs w:val="22"/>
              </w:rPr>
            </w:pPr>
            <w:r w:rsidRPr="00820B0D">
              <w:rPr>
                <w:rStyle w:val="Heading2Char"/>
                <w:rFonts w:asciiTheme="minorHAnsi" w:hAnsiTheme="minorHAnsi" w:cstheme="minorHAnsi"/>
                <w:b/>
                <w:sz w:val="22"/>
                <w:szCs w:val="22"/>
              </w:rPr>
              <w:t>Priority</w:t>
            </w:r>
          </w:p>
        </w:tc>
        <w:tc>
          <w:tcPr>
            <w:tcW w:w="1091" w:type="pct"/>
          </w:tcPr>
          <w:p w14:paraId="3EAF9253"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b/>
                <w:sz w:val="22"/>
                <w:szCs w:val="22"/>
              </w:rPr>
            </w:pPr>
            <w:r w:rsidRPr="00820B0D">
              <w:rPr>
                <w:rStyle w:val="Heading2Char"/>
                <w:rFonts w:asciiTheme="minorHAnsi" w:hAnsiTheme="minorHAnsi" w:cstheme="minorHAnsi"/>
                <w:b/>
                <w:sz w:val="22"/>
                <w:szCs w:val="22"/>
              </w:rPr>
              <w:t>Timeframe</w:t>
            </w:r>
          </w:p>
        </w:tc>
      </w:tr>
      <w:tr w:rsidR="00B41B2D" w:rsidRPr="00820B0D" w14:paraId="5596FAE5" w14:textId="77777777" w:rsidTr="00820B0D">
        <w:tc>
          <w:tcPr>
            <w:tcW w:w="5000" w:type="pct"/>
            <w:gridSpan w:val="4"/>
          </w:tcPr>
          <w:p w14:paraId="7951E3A4"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b/>
                <w:i/>
                <w:sz w:val="22"/>
                <w:szCs w:val="22"/>
              </w:rPr>
            </w:pPr>
            <w:r w:rsidRPr="00820B0D">
              <w:rPr>
                <w:rStyle w:val="Heading2Char"/>
                <w:rFonts w:asciiTheme="minorHAnsi" w:hAnsiTheme="minorHAnsi" w:cstheme="minorHAnsi"/>
                <w:b/>
                <w:i/>
                <w:sz w:val="22"/>
                <w:szCs w:val="22"/>
              </w:rPr>
              <w:t>Program targets and direction</w:t>
            </w:r>
          </w:p>
        </w:tc>
      </w:tr>
      <w:tr w:rsidR="00820B0D" w:rsidRPr="00820B0D" w14:paraId="33FD3F5E" w14:textId="77777777" w:rsidTr="00820B0D">
        <w:tc>
          <w:tcPr>
            <w:tcW w:w="2715" w:type="pct"/>
          </w:tcPr>
          <w:p w14:paraId="1C2407D3"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Australian aid health sector support maintains consistent priorities at least until the end of THSSP2.</w:t>
            </w:r>
          </w:p>
        </w:tc>
        <w:tc>
          <w:tcPr>
            <w:tcW w:w="714" w:type="pct"/>
          </w:tcPr>
          <w:p w14:paraId="2D4CDAF5"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DFAT</w:t>
            </w:r>
          </w:p>
        </w:tc>
        <w:tc>
          <w:tcPr>
            <w:tcW w:w="480" w:type="pct"/>
            <w:shd w:val="clear" w:color="auto" w:fill="FF9999"/>
          </w:tcPr>
          <w:p w14:paraId="7878B068"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High</w:t>
            </w:r>
          </w:p>
        </w:tc>
        <w:tc>
          <w:tcPr>
            <w:tcW w:w="1091" w:type="pct"/>
            <w:shd w:val="clear" w:color="auto" w:fill="auto"/>
          </w:tcPr>
          <w:p w14:paraId="491489F4"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Immediate ratification, with effect 2019/20 annual plans</w:t>
            </w:r>
          </w:p>
        </w:tc>
      </w:tr>
      <w:tr w:rsidR="00820B0D" w:rsidRPr="00820B0D" w14:paraId="62E8A60A" w14:textId="77777777" w:rsidTr="00820B0D">
        <w:tc>
          <w:tcPr>
            <w:tcW w:w="2715" w:type="pct"/>
          </w:tcPr>
          <w:p w14:paraId="1574B7F1"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THSSP2 annual planning be specifically aligned with the operationalisation of the PEHS.</w:t>
            </w:r>
          </w:p>
        </w:tc>
        <w:tc>
          <w:tcPr>
            <w:tcW w:w="714" w:type="pct"/>
          </w:tcPr>
          <w:p w14:paraId="39C15445"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MoH/DFAT</w:t>
            </w:r>
          </w:p>
        </w:tc>
        <w:tc>
          <w:tcPr>
            <w:tcW w:w="480" w:type="pct"/>
            <w:shd w:val="clear" w:color="auto" w:fill="FFC000"/>
          </w:tcPr>
          <w:p w14:paraId="48CAABFD"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High/ Medium</w:t>
            </w:r>
          </w:p>
        </w:tc>
        <w:tc>
          <w:tcPr>
            <w:tcW w:w="1091" w:type="pct"/>
            <w:shd w:val="clear" w:color="auto" w:fill="auto"/>
          </w:tcPr>
          <w:p w14:paraId="2234E958"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2019/20 onwards</w:t>
            </w:r>
          </w:p>
        </w:tc>
      </w:tr>
      <w:tr w:rsidR="00820B0D" w:rsidRPr="00820B0D" w14:paraId="181B3A97" w14:textId="77777777" w:rsidTr="00820B0D">
        <w:tc>
          <w:tcPr>
            <w:tcW w:w="2715" w:type="pct"/>
          </w:tcPr>
          <w:p w14:paraId="1236BC01"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lastRenderedPageBreak/>
              <w:t>THSSP2 annual planning continues in parallel with MoH annual planning until the end of Phase 2, and that future Australian aid works towards integrated MoH/THSSP annual planning</w:t>
            </w:r>
            <w:r w:rsidRPr="00820B0D">
              <w:rPr>
                <w:lang w:val="en-AU"/>
              </w:rPr>
              <w:t>.</w:t>
            </w:r>
          </w:p>
        </w:tc>
        <w:tc>
          <w:tcPr>
            <w:tcW w:w="714" w:type="pct"/>
          </w:tcPr>
          <w:p w14:paraId="58D73B31"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MoH/DFAT</w:t>
            </w:r>
          </w:p>
        </w:tc>
        <w:tc>
          <w:tcPr>
            <w:tcW w:w="480" w:type="pct"/>
            <w:shd w:val="clear" w:color="auto" w:fill="FFC000"/>
          </w:tcPr>
          <w:p w14:paraId="5406B5EB"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High/ Medium</w:t>
            </w:r>
          </w:p>
        </w:tc>
        <w:tc>
          <w:tcPr>
            <w:tcW w:w="1091" w:type="pct"/>
            <w:shd w:val="clear" w:color="auto" w:fill="auto"/>
          </w:tcPr>
          <w:p w14:paraId="207DE086"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2019/20 onwards</w:t>
            </w:r>
          </w:p>
        </w:tc>
      </w:tr>
      <w:tr w:rsidR="00B41B2D" w:rsidRPr="00820B0D" w14:paraId="054E5D63" w14:textId="77777777" w:rsidTr="00820B0D">
        <w:tc>
          <w:tcPr>
            <w:tcW w:w="5000" w:type="pct"/>
            <w:gridSpan w:val="4"/>
          </w:tcPr>
          <w:p w14:paraId="67A37863"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i/>
                <w:color w:val="auto"/>
                <w:sz w:val="22"/>
                <w:szCs w:val="22"/>
              </w:rPr>
            </w:pPr>
            <w:r w:rsidRPr="00820B0D">
              <w:rPr>
                <w:rFonts w:asciiTheme="minorHAnsi" w:hAnsiTheme="minorHAnsi" w:cstheme="minorHAnsi"/>
                <w:i/>
                <w:sz w:val="22"/>
                <w:szCs w:val="22"/>
              </w:rPr>
              <w:t>Program oversight and engagement</w:t>
            </w:r>
          </w:p>
        </w:tc>
      </w:tr>
      <w:tr w:rsidR="00820B0D" w:rsidRPr="00820B0D" w14:paraId="529EFBC5" w14:textId="77777777" w:rsidTr="00820B0D">
        <w:tc>
          <w:tcPr>
            <w:tcW w:w="2715" w:type="pct"/>
          </w:tcPr>
          <w:p w14:paraId="2A615643"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THSSP2 program oversight is re-assigned to the MoH level for the remainder of Phase 2.</w:t>
            </w:r>
          </w:p>
        </w:tc>
        <w:tc>
          <w:tcPr>
            <w:tcW w:w="714" w:type="pct"/>
          </w:tcPr>
          <w:p w14:paraId="73372420"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MoH</w:t>
            </w:r>
          </w:p>
        </w:tc>
        <w:tc>
          <w:tcPr>
            <w:tcW w:w="480" w:type="pct"/>
            <w:shd w:val="clear" w:color="auto" w:fill="FF9999"/>
          </w:tcPr>
          <w:p w14:paraId="2571CD06"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High</w:t>
            </w:r>
          </w:p>
        </w:tc>
        <w:tc>
          <w:tcPr>
            <w:tcW w:w="1091" w:type="pct"/>
            <w:shd w:val="clear" w:color="auto" w:fill="auto"/>
          </w:tcPr>
          <w:p w14:paraId="19D31A27"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Immediate</w:t>
            </w:r>
          </w:p>
        </w:tc>
      </w:tr>
      <w:tr w:rsidR="00820B0D" w:rsidRPr="00820B0D" w14:paraId="55FB6A19" w14:textId="77777777" w:rsidTr="00820B0D">
        <w:tc>
          <w:tcPr>
            <w:tcW w:w="2715" w:type="pct"/>
          </w:tcPr>
          <w:p w14:paraId="382D97D9"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THSSP2 progress reporting and acquittal procedures be simplified.</w:t>
            </w:r>
          </w:p>
        </w:tc>
        <w:tc>
          <w:tcPr>
            <w:tcW w:w="714" w:type="pct"/>
          </w:tcPr>
          <w:p w14:paraId="48272D28"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DFAT/MoH</w:t>
            </w:r>
          </w:p>
        </w:tc>
        <w:tc>
          <w:tcPr>
            <w:tcW w:w="480" w:type="pct"/>
            <w:shd w:val="clear" w:color="auto" w:fill="FFE599" w:themeFill="accent4" w:themeFillTint="66"/>
          </w:tcPr>
          <w:p w14:paraId="21FC42C1"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Medium</w:t>
            </w:r>
          </w:p>
        </w:tc>
        <w:tc>
          <w:tcPr>
            <w:tcW w:w="1091" w:type="pct"/>
            <w:shd w:val="clear" w:color="auto" w:fill="auto"/>
          </w:tcPr>
          <w:p w14:paraId="6599BD2E"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2019/20 onwards</w:t>
            </w:r>
          </w:p>
        </w:tc>
      </w:tr>
      <w:tr w:rsidR="00820B0D" w:rsidRPr="00820B0D" w14:paraId="6391415B" w14:textId="77777777" w:rsidTr="00820B0D">
        <w:tc>
          <w:tcPr>
            <w:tcW w:w="2715" w:type="pct"/>
          </w:tcPr>
          <w:p w14:paraId="29221980" w14:textId="77777777" w:rsidR="00820B0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The criteria for the performance-based payment be simplified, worded more explicitly, and focused on fewer themes</w:t>
            </w:r>
            <w:r w:rsidR="00820B0D">
              <w:rPr>
                <w:rFonts w:cstheme="minorHAnsi"/>
                <w:lang w:val="en-AU"/>
              </w:rPr>
              <w:t>.</w:t>
            </w:r>
          </w:p>
        </w:tc>
        <w:tc>
          <w:tcPr>
            <w:tcW w:w="714" w:type="pct"/>
          </w:tcPr>
          <w:p w14:paraId="1C3903DE"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DFAT</w:t>
            </w:r>
          </w:p>
        </w:tc>
        <w:tc>
          <w:tcPr>
            <w:tcW w:w="480" w:type="pct"/>
            <w:shd w:val="clear" w:color="auto" w:fill="FFE599" w:themeFill="accent4" w:themeFillTint="66"/>
          </w:tcPr>
          <w:p w14:paraId="5256103F"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Medium</w:t>
            </w:r>
          </w:p>
        </w:tc>
        <w:tc>
          <w:tcPr>
            <w:tcW w:w="1091" w:type="pct"/>
            <w:shd w:val="clear" w:color="auto" w:fill="auto"/>
          </w:tcPr>
          <w:p w14:paraId="4ABA2E5B"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Before 2019/20 year</w:t>
            </w:r>
          </w:p>
        </w:tc>
      </w:tr>
      <w:tr w:rsidR="00B41B2D" w:rsidRPr="00820B0D" w14:paraId="5019265B" w14:textId="77777777" w:rsidTr="00820B0D">
        <w:tc>
          <w:tcPr>
            <w:tcW w:w="5000" w:type="pct"/>
            <w:gridSpan w:val="4"/>
          </w:tcPr>
          <w:p w14:paraId="56853A44"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i/>
                <w:color w:val="auto"/>
                <w:sz w:val="22"/>
                <w:szCs w:val="22"/>
              </w:rPr>
            </w:pPr>
            <w:r w:rsidRPr="00820B0D">
              <w:rPr>
                <w:rFonts w:asciiTheme="minorHAnsi" w:hAnsiTheme="minorHAnsi" w:cstheme="minorHAnsi"/>
                <w:i/>
                <w:sz w:val="22"/>
                <w:szCs w:val="22"/>
              </w:rPr>
              <w:t>Program performance measurement</w:t>
            </w:r>
          </w:p>
        </w:tc>
      </w:tr>
      <w:tr w:rsidR="00820B0D" w:rsidRPr="00820B0D" w14:paraId="36C7976F" w14:textId="77777777" w:rsidTr="00820B0D">
        <w:tc>
          <w:tcPr>
            <w:tcW w:w="2715" w:type="pct"/>
          </w:tcPr>
          <w:p w14:paraId="627EBE84" w14:textId="4CD5459B" w:rsidR="00771DA6" w:rsidRPr="006719C2" w:rsidRDefault="00B41B2D" w:rsidP="00771DA6">
            <w:pPr>
              <w:pStyle w:val="ListParagraph"/>
              <w:numPr>
                <w:ilvl w:val="0"/>
                <w:numId w:val="58"/>
              </w:numPr>
              <w:spacing w:line="276" w:lineRule="auto"/>
              <w:contextualSpacing w:val="0"/>
              <w:rPr>
                <w:b/>
                <w:lang w:val="en-AU"/>
              </w:rPr>
            </w:pPr>
            <w:r w:rsidRPr="00820B0D">
              <w:rPr>
                <w:rFonts w:cstheme="minorHAnsi"/>
                <w:lang w:val="en-AU"/>
              </w:rPr>
              <w:t>DFAT adopts a more pragmatic approach towards THSSP2 performance measurement for the remainder of Phase 2.</w:t>
            </w:r>
          </w:p>
        </w:tc>
        <w:tc>
          <w:tcPr>
            <w:tcW w:w="714" w:type="pct"/>
          </w:tcPr>
          <w:p w14:paraId="335FB26F"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DFAT</w:t>
            </w:r>
          </w:p>
        </w:tc>
        <w:tc>
          <w:tcPr>
            <w:tcW w:w="480" w:type="pct"/>
            <w:shd w:val="clear" w:color="auto" w:fill="FF9999"/>
          </w:tcPr>
          <w:p w14:paraId="794D160D"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High</w:t>
            </w:r>
          </w:p>
        </w:tc>
        <w:tc>
          <w:tcPr>
            <w:tcW w:w="1091" w:type="pct"/>
            <w:shd w:val="clear" w:color="auto" w:fill="auto"/>
          </w:tcPr>
          <w:p w14:paraId="1D53E6BD"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2019/20 onwards</w:t>
            </w:r>
          </w:p>
        </w:tc>
      </w:tr>
      <w:tr w:rsidR="00B41B2D" w:rsidRPr="00820B0D" w14:paraId="5A1CE68B" w14:textId="77777777" w:rsidTr="00820B0D">
        <w:tc>
          <w:tcPr>
            <w:tcW w:w="5000" w:type="pct"/>
            <w:gridSpan w:val="4"/>
          </w:tcPr>
          <w:p w14:paraId="22094EB3"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i/>
                <w:color w:val="auto"/>
                <w:sz w:val="22"/>
                <w:szCs w:val="22"/>
              </w:rPr>
            </w:pPr>
            <w:r w:rsidRPr="00820B0D">
              <w:rPr>
                <w:rFonts w:asciiTheme="minorHAnsi" w:hAnsiTheme="minorHAnsi" w:cstheme="minorHAnsi"/>
                <w:i/>
                <w:sz w:val="22"/>
                <w:szCs w:val="22"/>
              </w:rPr>
              <w:t>NCD prevention</w:t>
            </w:r>
          </w:p>
        </w:tc>
      </w:tr>
      <w:tr w:rsidR="00820B0D" w:rsidRPr="00820B0D" w14:paraId="0237D9E6" w14:textId="77777777" w:rsidTr="00820B0D">
        <w:tc>
          <w:tcPr>
            <w:tcW w:w="2715" w:type="pct"/>
          </w:tcPr>
          <w:p w14:paraId="21C54135"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TongaHealth’s grant application and management processes and systems be simplified and streamlined to the extent possible.</w:t>
            </w:r>
          </w:p>
        </w:tc>
        <w:tc>
          <w:tcPr>
            <w:tcW w:w="714" w:type="pct"/>
          </w:tcPr>
          <w:p w14:paraId="27635882"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TongaHealth</w:t>
            </w:r>
          </w:p>
        </w:tc>
        <w:tc>
          <w:tcPr>
            <w:tcW w:w="480" w:type="pct"/>
            <w:shd w:val="clear" w:color="auto" w:fill="FFE599" w:themeFill="accent4" w:themeFillTint="66"/>
          </w:tcPr>
          <w:p w14:paraId="29474D4B"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Medium</w:t>
            </w:r>
          </w:p>
        </w:tc>
        <w:tc>
          <w:tcPr>
            <w:tcW w:w="1091" w:type="pct"/>
            <w:shd w:val="clear" w:color="auto" w:fill="auto"/>
          </w:tcPr>
          <w:p w14:paraId="2F6CF676"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Before end of phase 2</w:t>
            </w:r>
          </w:p>
        </w:tc>
      </w:tr>
      <w:tr w:rsidR="00820B0D" w:rsidRPr="00820B0D" w14:paraId="1EB1C215" w14:textId="77777777" w:rsidTr="00820B0D">
        <w:tc>
          <w:tcPr>
            <w:tcW w:w="2715" w:type="pct"/>
          </w:tcPr>
          <w:p w14:paraId="33AEF58B"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TongaHealth proactively encourages grant applications based on strategic relevance.</w:t>
            </w:r>
          </w:p>
        </w:tc>
        <w:tc>
          <w:tcPr>
            <w:tcW w:w="714" w:type="pct"/>
          </w:tcPr>
          <w:p w14:paraId="5A0E96AF"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TongaHealth</w:t>
            </w:r>
          </w:p>
        </w:tc>
        <w:tc>
          <w:tcPr>
            <w:tcW w:w="480" w:type="pct"/>
            <w:shd w:val="clear" w:color="auto" w:fill="FFC000"/>
          </w:tcPr>
          <w:p w14:paraId="7CB7A976"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High/ Medium</w:t>
            </w:r>
          </w:p>
        </w:tc>
        <w:tc>
          <w:tcPr>
            <w:tcW w:w="1091" w:type="pct"/>
            <w:shd w:val="clear" w:color="auto" w:fill="auto"/>
          </w:tcPr>
          <w:p w14:paraId="2CED17AB"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From 2019/20 onwards</w:t>
            </w:r>
          </w:p>
        </w:tc>
      </w:tr>
      <w:tr w:rsidR="00820B0D" w:rsidRPr="00820B0D" w14:paraId="50ECE853" w14:textId="77777777" w:rsidTr="00820B0D">
        <w:tc>
          <w:tcPr>
            <w:tcW w:w="2715" w:type="pct"/>
          </w:tcPr>
          <w:p w14:paraId="246F53A2"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TongaHealth supports and facilitates local research to inform and evaluate health promotion messages and focus (healthy eating, health-promoting churches and NCD control).</w:t>
            </w:r>
          </w:p>
        </w:tc>
        <w:tc>
          <w:tcPr>
            <w:tcW w:w="714" w:type="pct"/>
          </w:tcPr>
          <w:p w14:paraId="5DE82393"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TongaHealth</w:t>
            </w:r>
          </w:p>
        </w:tc>
        <w:tc>
          <w:tcPr>
            <w:tcW w:w="480" w:type="pct"/>
            <w:shd w:val="clear" w:color="auto" w:fill="FFE599" w:themeFill="accent4" w:themeFillTint="66"/>
          </w:tcPr>
          <w:p w14:paraId="2DA9A14F"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Medium</w:t>
            </w:r>
          </w:p>
        </w:tc>
        <w:tc>
          <w:tcPr>
            <w:tcW w:w="1091" w:type="pct"/>
            <w:shd w:val="clear" w:color="auto" w:fill="auto"/>
          </w:tcPr>
          <w:p w14:paraId="5F9E248C"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Initial steps taken before end of phase 2</w:t>
            </w:r>
          </w:p>
        </w:tc>
      </w:tr>
      <w:tr w:rsidR="00B41B2D" w:rsidRPr="00820B0D" w14:paraId="3CD056F7" w14:textId="77777777" w:rsidTr="00820B0D">
        <w:tc>
          <w:tcPr>
            <w:tcW w:w="5000" w:type="pct"/>
            <w:gridSpan w:val="4"/>
          </w:tcPr>
          <w:p w14:paraId="2B998D59"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i/>
                <w:color w:val="auto"/>
                <w:sz w:val="22"/>
                <w:szCs w:val="22"/>
              </w:rPr>
            </w:pPr>
            <w:r w:rsidRPr="00820B0D">
              <w:rPr>
                <w:rFonts w:asciiTheme="minorHAnsi" w:hAnsiTheme="minorHAnsi" w:cstheme="minorHAnsi"/>
                <w:i/>
                <w:sz w:val="22"/>
                <w:szCs w:val="22"/>
              </w:rPr>
              <w:t>NCD management and universal health coverage</w:t>
            </w:r>
          </w:p>
        </w:tc>
      </w:tr>
      <w:tr w:rsidR="00820B0D" w:rsidRPr="00820B0D" w14:paraId="2660207A" w14:textId="77777777" w:rsidTr="00820B0D">
        <w:tc>
          <w:tcPr>
            <w:tcW w:w="2715" w:type="pct"/>
          </w:tcPr>
          <w:p w14:paraId="1FA50E16" w14:textId="658E48B9" w:rsidR="006719C2" w:rsidRPr="006719C2" w:rsidRDefault="00B41B2D" w:rsidP="006719C2">
            <w:pPr>
              <w:pStyle w:val="ListParagraph"/>
              <w:numPr>
                <w:ilvl w:val="0"/>
                <w:numId w:val="58"/>
              </w:numPr>
              <w:spacing w:line="276" w:lineRule="auto"/>
              <w:contextualSpacing w:val="0"/>
              <w:rPr>
                <w:b/>
                <w:lang w:val="en-AU"/>
              </w:rPr>
            </w:pPr>
            <w:r w:rsidRPr="006719C2">
              <w:rPr>
                <w:rFonts w:cstheme="minorHAnsi"/>
                <w:lang w:val="en-AU"/>
              </w:rPr>
              <w:t>The planning for the PEHS rollout considers the role of nurses, particularly in relation to NCD control.</w:t>
            </w:r>
          </w:p>
        </w:tc>
        <w:tc>
          <w:tcPr>
            <w:tcW w:w="714" w:type="pct"/>
          </w:tcPr>
          <w:p w14:paraId="1A1A18FE"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MoH</w:t>
            </w:r>
          </w:p>
        </w:tc>
        <w:tc>
          <w:tcPr>
            <w:tcW w:w="480" w:type="pct"/>
            <w:shd w:val="clear" w:color="auto" w:fill="FFE599" w:themeFill="accent4" w:themeFillTint="66"/>
          </w:tcPr>
          <w:p w14:paraId="763D882F"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Medium</w:t>
            </w:r>
          </w:p>
        </w:tc>
        <w:tc>
          <w:tcPr>
            <w:tcW w:w="1091" w:type="pct"/>
            <w:shd w:val="clear" w:color="auto" w:fill="auto"/>
          </w:tcPr>
          <w:p w14:paraId="319E70F4"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Before end of phase 2</w:t>
            </w:r>
          </w:p>
        </w:tc>
      </w:tr>
      <w:tr w:rsidR="00B41B2D" w:rsidRPr="00820B0D" w14:paraId="099C3DB4" w14:textId="77777777" w:rsidTr="00820B0D">
        <w:tc>
          <w:tcPr>
            <w:tcW w:w="5000" w:type="pct"/>
            <w:gridSpan w:val="4"/>
          </w:tcPr>
          <w:p w14:paraId="50CAA802"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i/>
                <w:color w:val="auto"/>
                <w:sz w:val="22"/>
                <w:szCs w:val="22"/>
              </w:rPr>
            </w:pPr>
            <w:r w:rsidRPr="00820B0D">
              <w:rPr>
                <w:rFonts w:asciiTheme="minorHAnsi" w:hAnsiTheme="minorHAnsi" w:cstheme="minorHAnsi"/>
                <w:i/>
                <w:sz w:val="22"/>
                <w:szCs w:val="22"/>
              </w:rPr>
              <w:t>Health sector management</w:t>
            </w:r>
          </w:p>
        </w:tc>
      </w:tr>
      <w:tr w:rsidR="00820B0D" w:rsidRPr="00820B0D" w14:paraId="0D645859" w14:textId="77777777" w:rsidTr="00820B0D">
        <w:tc>
          <w:tcPr>
            <w:tcW w:w="2715" w:type="pct"/>
          </w:tcPr>
          <w:p w14:paraId="49F7E839" w14:textId="4604C354" w:rsidR="006719C2" w:rsidRPr="006719C2" w:rsidRDefault="00B41B2D" w:rsidP="00534304">
            <w:pPr>
              <w:pStyle w:val="ListParagraph"/>
              <w:numPr>
                <w:ilvl w:val="0"/>
                <w:numId w:val="58"/>
              </w:numPr>
              <w:spacing w:line="276" w:lineRule="auto"/>
              <w:contextualSpacing w:val="0"/>
              <w:rPr>
                <w:rFonts w:cstheme="minorHAnsi"/>
                <w:lang w:val="en-AU"/>
              </w:rPr>
            </w:pPr>
            <w:r w:rsidRPr="00820B0D">
              <w:rPr>
                <w:rFonts w:cstheme="minorHAnsi"/>
                <w:lang w:val="en-AU"/>
              </w:rPr>
              <w:t>Future Australian aid health sector designs reflect the underlying need to strengthen core government functions.</w:t>
            </w:r>
          </w:p>
        </w:tc>
        <w:tc>
          <w:tcPr>
            <w:tcW w:w="714" w:type="pct"/>
          </w:tcPr>
          <w:p w14:paraId="4694B7A3"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D</w:t>
            </w:r>
            <w:r w:rsidRPr="00820B0D">
              <w:rPr>
                <w:rStyle w:val="Heading2Char"/>
                <w:rFonts w:asciiTheme="minorHAnsi" w:hAnsiTheme="minorHAnsi" w:cstheme="minorHAnsi"/>
                <w:sz w:val="22"/>
                <w:szCs w:val="22"/>
              </w:rPr>
              <w:t>FAT</w:t>
            </w:r>
          </w:p>
        </w:tc>
        <w:tc>
          <w:tcPr>
            <w:tcW w:w="480" w:type="pct"/>
            <w:shd w:val="clear" w:color="auto" w:fill="FFE599" w:themeFill="accent4" w:themeFillTint="66"/>
          </w:tcPr>
          <w:p w14:paraId="5255B564"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w:t>
            </w:r>
            <w:r w:rsidRPr="00820B0D">
              <w:rPr>
                <w:rStyle w:val="Heading2Char"/>
                <w:rFonts w:asciiTheme="minorHAnsi" w:hAnsiTheme="minorHAnsi" w:cstheme="minorHAnsi"/>
                <w:sz w:val="22"/>
                <w:szCs w:val="22"/>
              </w:rPr>
              <w:t>edium</w:t>
            </w:r>
          </w:p>
        </w:tc>
        <w:tc>
          <w:tcPr>
            <w:tcW w:w="1091" w:type="pct"/>
            <w:shd w:val="clear" w:color="auto" w:fill="auto"/>
          </w:tcPr>
          <w:p w14:paraId="3D1C9A9D"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Future health sector designs</w:t>
            </w:r>
          </w:p>
        </w:tc>
      </w:tr>
      <w:tr w:rsidR="00B41B2D" w:rsidRPr="00820B0D" w14:paraId="11FD30C5" w14:textId="77777777" w:rsidTr="00820B0D">
        <w:tc>
          <w:tcPr>
            <w:tcW w:w="5000" w:type="pct"/>
            <w:gridSpan w:val="4"/>
          </w:tcPr>
          <w:p w14:paraId="5D9E039B"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i/>
                <w:color w:val="auto"/>
                <w:sz w:val="22"/>
                <w:szCs w:val="22"/>
              </w:rPr>
            </w:pPr>
            <w:r w:rsidRPr="00820B0D">
              <w:rPr>
                <w:rFonts w:asciiTheme="minorHAnsi" w:hAnsiTheme="minorHAnsi" w:cstheme="minorHAnsi"/>
                <w:i/>
                <w:sz w:val="22"/>
                <w:szCs w:val="22"/>
              </w:rPr>
              <w:t>Disability-inclusive health</w:t>
            </w:r>
          </w:p>
        </w:tc>
      </w:tr>
      <w:tr w:rsidR="00820B0D" w:rsidRPr="00820B0D" w14:paraId="2036692B" w14:textId="77777777" w:rsidTr="00820B0D">
        <w:tc>
          <w:tcPr>
            <w:tcW w:w="2715" w:type="pct"/>
          </w:tcPr>
          <w:p w14:paraId="3944B8C7"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Disability-inclusive health activities are captured in program performance measurement.</w:t>
            </w:r>
          </w:p>
        </w:tc>
        <w:tc>
          <w:tcPr>
            <w:tcW w:w="714" w:type="pct"/>
          </w:tcPr>
          <w:p w14:paraId="1C718183"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DFAT/MIA</w:t>
            </w:r>
          </w:p>
        </w:tc>
        <w:tc>
          <w:tcPr>
            <w:tcW w:w="480" w:type="pct"/>
            <w:shd w:val="clear" w:color="auto" w:fill="FFE599" w:themeFill="accent4" w:themeFillTint="66"/>
          </w:tcPr>
          <w:p w14:paraId="4982428D"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Medium</w:t>
            </w:r>
          </w:p>
        </w:tc>
        <w:tc>
          <w:tcPr>
            <w:tcW w:w="1091" w:type="pct"/>
            <w:shd w:val="clear" w:color="auto" w:fill="auto"/>
          </w:tcPr>
          <w:p w14:paraId="253FEB66"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Before end of 2019</w:t>
            </w:r>
          </w:p>
        </w:tc>
      </w:tr>
      <w:tr w:rsidR="00820B0D" w:rsidRPr="00820B0D" w14:paraId="520A22E2" w14:textId="77777777" w:rsidTr="00820B0D">
        <w:tc>
          <w:tcPr>
            <w:tcW w:w="2715" w:type="pct"/>
          </w:tcPr>
          <w:p w14:paraId="13449F34" w14:textId="77777777" w:rsidR="00B41B2D" w:rsidRPr="005E33A5" w:rsidRDefault="00B41B2D" w:rsidP="006719C2">
            <w:pPr>
              <w:pStyle w:val="ListParagraph"/>
              <w:numPr>
                <w:ilvl w:val="0"/>
                <w:numId w:val="58"/>
              </w:numPr>
              <w:spacing w:line="276" w:lineRule="auto"/>
              <w:contextualSpacing w:val="0"/>
              <w:rPr>
                <w:b/>
                <w:lang w:val="en-AU"/>
              </w:rPr>
            </w:pPr>
            <w:r w:rsidRPr="00820B0D">
              <w:rPr>
                <w:rFonts w:cstheme="minorHAnsi"/>
                <w:lang w:val="en-AU"/>
              </w:rPr>
              <w:t>The participation of persons with disability in oversight of the disability-inclusive health component is facilitated by supplementary opportunities for dialogue.</w:t>
            </w:r>
          </w:p>
          <w:p w14:paraId="09444413" w14:textId="77777777" w:rsidR="005E33A5" w:rsidRDefault="005E33A5" w:rsidP="005E33A5">
            <w:pPr>
              <w:spacing w:line="276" w:lineRule="auto"/>
              <w:rPr>
                <w:b/>
                <w:lang w:val="en-AU"/>
              </w:rPr>
            </w:pPr>
          </w:p>
          <w:p w14:paraId="626D6A8A" w14:textId="0B59A60F" w:rsidR="005E33A5" w:rsidRPr="005E33A5" w:rsidRDefault="005E33A5" w:rsidP="005E33A5">
            <w:pPr>
              <w:spacing w:line="276" w:lineRule="auto"/>
              <w:rPr>
                <w:b/>
                <w:lang w:val="en-AU"/>
              </w:rPr>
            </w:pPr>
          </w:p>
        </w:tc>
        <w:tc>
          <w:tcPr>
            <w:tcW w:w="714" w:type="pct"/>
          </w:tcPr>
          <w:p w14:paraId="1A9D1AC2"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DFAT/MIA</w:t>
            </w:r>
          </w:p>
        </w:tc>
        <w:tc>
          <w:tcPr>
            <w:tcW w:w="480" w:type="pct"/>
            <w:shd w:val="clear" w:color="auto" w:fill="FF9999"/>
          </w:tcPr>
          <w:p w14:paraId="18184A2A"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High</w:t>
            </w:r>
          </w:p>
        </w:tc>
        <w:tc>
          <w:tcPr>
            <w:tcW w:w="1091" w:type="pct"/>
            <w:shd w:val="clear" w:color="auto" w:fill="auto"/>
          </w:tcPr>
          <w:p w14:paraId="76E1DDE2"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From 2019/20 onwards</w:t>
            </w:r>
          </w:p>
        </w:tc>
      </w:tr>
      <w:tr w:rsidR="00B41B2D" w:rsidRPr="00820B0D" w14:paraId="2DC99791" w14:textId="77777777" w:rsidTr="00820B0D">
        <w:tc>
          <w:tcPr>
            <w:tcW w:w="5000" w:type="pct"/>
            <w:gridSpan w:val="4"/>
          </w:tcPr>
          <w:p w14:paraId="69E914A3"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i/>
                <w:color w:val="auto"/>
                <w:sz w:val="22"/>
                <w:szCs w:val="22"/>
              </w:rPr>
            </w:pPr>
            <w:r w:rsidRPr="00820B0D">
              <w:rPr>
                <w:rFonts w:asciiTheme="minorHAnsi" w:hAnsiTheme="minorHAnsi" w:cstheme="minorHAnsi"/>
                <w:i/>
                <w:sz w:val="22"/>
                <w:szCs w:val="22"/>
              </w:rPr>
              <w:lastRenderedPageBreak/>
              <w:t>Gender and social inclusion</w:t>
            </w:r>
          </w:p>
        </w:tc>
      </w:tr>
      <w:tr w:rsidR="00820B0D" w:rsidRPr="00820B0D" w14:paraId="0F499E58" w14:textId="77777777" w:rsidTr="00820B0D">
        <w:tc>
          <w:tcPr>
            <w:tcW w:w="2715" w:type="pct"/>
            <w:tcBorders>
              <w:bottom w:val="nil"/>
            </w:tcBorders>
          </w:tcPr>
          <w:p w14:paraId="29C87429"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(a) TongaHealth encourages gender-differentiated health promotion activities where appropriate, and</w:t>
            </w:r>
          </w:p>
        </w:tc>
        <w:tc>
          <w:tcPr>
            <w:tcW w:w="714" w:type="pct"/>
          </w:tcPr>
          <w:p w14:paraId="0A1D249C" w14:textId="77777777" w:rsidR="00B41B2D" w:rsidRPr="00820B0D" w:rsidRDefault="00B41B2D" w:rsidP="008F25BD">
            <w:pPr>
              <w:pStyle w:val="Level2Heading"/>
              <w:numPr>
                <w:ilvl w:val="0"/>
                <w:numId w:val="0"/>
              </w:numPr>
              <w:spacing w:before="0" w:after="0"/>
              <w:rPr>
                <w:rFonts w:asciiTheme="minorHAnsi" w:hAnsiTheme="minorHAnsi" w:cstheme="minorHAnsi"/>
                <w:b w:val="0"/>
                <w:color w:val="auto"/>
                <w:sz w:val="22"/>
                <w:szCs w:val="22"/>
              </w:rPr>
            </w:pPr>
            <w:r w:rsidRPr="00820B0D">
              <w:rPr>
                <w:rStyle w:val="Heading2Char"/>
                <w:rFonts w:asciiTheme="minorHAnsi" w:hAnsiTheme="minorHAnsi" w:cstheme="minorHAnsi"/>
                <w:color w:val="auto"/>
                <w:sz w:val="22"/>
                <w:szCs w:val="22"/>
              </w:rPr>
              <w:t>TongaHealth</w:t>
            </w:r>
          </w:p>
        </w:tc>
        <w:tc>
          <w:tcPr>
            <w:tcW w:w="480" w:type="pct"/>
            <w:shd w:val="clear" w:color="auto" w:fill="FFC000"/>
          </w:tcPr>
          <w:p w14:paraId="1B1234BD" w14:textId="77777777" w:rsidR="00B41B2D" w:rsidRPr="00820B0D" w:rsidRDefault="00B41B2D" w:rsidP="008F25BD">
            <w:pPr>
              <w:pStyle w:val="Level2Heading"/>
              <w:numPr>
                <w:ilvl w:val="0"/>
                <w:numId w:val="0"/>
              </w:numPr>
              <w:spacing w:before="0" w:after="0"/>
              <w:rPr>
                <w:rFonts w:asciiTheme="minorHAnsi" w:hAnsiTheme="minorHAnsi" w:cstheme="minorHAnsi"/>
                <w:b w:val="0"/>
                <w:color w:val="auto"/>
                <w:sz w:val="22"/>
                <w:szCs w:val="22"/>
              </w:rPr>
            </w:pPr>
            <w:r w:rsidRPr="00820B0D">
              <w:rPr>
                <w:rStyle w:val="Heading2Char"/>
                <w:rFonts w:asciiTheme="minorHAnsi" w:hAnsiTheme="minorHAnsi" w:cstheme="minorHAnsi"/>
                <w:color w:val="auto"/>
                <w:sz w:val="22"/>
                <w:szCs w:val="22"/>
              </w:rPr>
              <w:t>High/ Medium</w:t>
            </w:r>
          </w:p>
        </w:tc>
        <w:tc>
          <w:tcPr>
            <w:tcW w:w="1091" w:type="pct"/>
            <w:shd w:val="clear" w:color="auto" w:fill="auto"/>
          </w:tcPr>
          <w:p w14:paraId="247DF5C0" w14:textId="77777777" w:rsidR="00B41B2D" w:rsidRPr="00820B0D" w:rsidRDefault="00B41B2D" w:rsidP="008F25BD">
            <w:pPr>
              <w:rPr>
                <w:rFonts w:cstheme="minorHAnsi"/>
                <w:lang w:eastAsia="ja-JP"/>
              </w:rPr>
            </w:pPr>
            <w:r w:rsidRPr="00820B0D">
              <w:rPr>
                <w:rFonts w:cstheme="minorHAnsi"/>
                <w:lang w:eastAsia="ja-JP"/>
              </w:rPr>
              <w:t>Before 2020/21</w:t>
            </w:r>
          </w:p>
        </w:tc>
      </w:tr>
      <w:tr w:rsidR="00820B0D" w:rsidRPr="00820B0D" w14:paraId="181AAD9B" w14:textId="77777777" w:rsidTr="00820B0D">
        <w:tc>
          <w:tcPr>
            <w:tcW w:w="2715" w:type="pct"/>
            <w:tcBorders>
              <w:top w:val="nil"/>
            </w:tcBorders>
          </w:tcPr>
          <w:p w14:paraId="164C5669" w14:textId="77777777" w:rsidR="00B41B2D" w:rsidRPr="00820B0D" w:rsidRDefault="00B41B2D" w:rsidP="008F25BD">
            <w:pPr>
              <w:pStyle w:val="Level2Heading"/>
              <w:numPr>
                <w:ilvl w:val="0"/>
                <w:numId w:val="0"/>
              </w:numPr>
              <w:spacing w:before="0" w:after="0"/>
              <w:ind w:left="1117" w:hanging="720"/>
              <w:rPr>
                <w:rStyle w:val="Heading2Char"/>
                <w:rFonts w:asciiTheme="minorHAnsi" w:hAnsiTheme="minorHAnsi" w:cstheme="minorHAnsi"/>
                <w:b/>
                <w:color w:val="auto"/>
                <w:sz w:val="22"/>
                <w:szCs w:val="22"/>
              </w:rPr>
            </w:pPr>
            <w:r w:rsidRPr="00820B0D">
              <w:rPr>
                <w:rFonts w:asciiTheme="minorHAnsi" w:hAnsiTheme="minorHAnsi" w:cstheme="minorHAnsi"/>
                <w:b w:val="0"/>
                <w:color w:val="auto"/>
                <w:sz w:val="22"/>
                <w:szCs w:val="22"/>
                <w:lang w:val="en-AU"/>
              </w:rPr>
              <w:t>(b) MoH develops gender-differentiated NCD interventions where appropriate.</w:t>
            </w:r>
          </w:p>
        </w:tc>
        <w:tc>
          <w:tcPr>
            <w:tcW w:w="714" w:type="pct"/>
          </w:tcPr>
          <w:p w14:paraId="099BB5B7"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MoH</w:t>
            </w:r>
          </w:p>
        </w:tc>
        <w:tc>
          <w:tcPr>
            <w:tcW w:w="480" w:type="pct"/>
            <w:shd w:val="clear" w:color="auto" w:fill="FFE599" w:themeFill="accent4" w:themeFillTint="66"/>
          </w:tcPr>
          <w:p w14:paraId="3596F078"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Medium</w:t>
            </w:r>
          </w:p>
        </w:tc>
        <w:tc>
          <w:tcPr>
            <w:tcW w:w="1091" w:type="pct"/>
            <w:shd w:val="clear" w:color="auto" w:fill="auto"/>
          </w:tcPr>
          <w:p w14:paraId="7A93EDE7"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b/>
                <w:color w:val="auto"/>
                <w:sz w:val="22"/>
                <w:szCs w:val="22"/>
              </w:rPr>
            </w:pPr>
            <w:r w:rsidRPr="00820B0D">
              <w:rPr>
                <w:rFonts w:asciiTheme="minorHAnsi" w:hAnsiTheme="minorHAnsi" w:cstheme="minorHAnsi"/>
                <w:b w:val="0"/>
                <w:sz w:val="22"/>
                <w:szCs w:val="22"/>
              </w:rPr>
              <w:t>Before 2020/21</w:t>
            </w:r>
          </w:p>
        </w:tc>
      </w:tr>
      <w:tr w:rsidR="00820B0D" w:rsidRPr="00820B0D" w14:paraId="37E926AA" w14:textId="77777777" w:rsidTr="00820B0D">
        <w:tc>
          <w:tcPr>
            <w:tcW w:w="2715" w:type="pct"/>
          </w:tcPr>
          <w:p w14:paraId="5282E25B"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Low socio-economic status be included as one of the determinants of disadvantage in future Australian aid health sector support.</w:t>
            </w:r>
          </w:p>
        </w:tc>
        <w:tc>
          <w:tcPr>
            <w:tcW w:w="714" w:type="pct"/>
          </w:tcPr>
          <w:p w14:paraId="0232AF1B"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D</w:t>
            </w:r>
            <w:r w:rsidRPr="00820B0D">
              <w:rPr>
                <w:rStyle w:val="Heading2Char"/>
                <w:rFonts w:asciiTheme="minorHAnsi" w:hAnsiTheme="minorHAnsi" w:cstheme="minorHAnsi"/>
                <w:sz w:val="22"/>
                <w:szCs w:val="22"/>
              </w:rPr>
              <w:t>FAT</w:t>
            </w:r>
          </w:p>
        </w:tc>
        <w:tc>
          <w:tcPr>
            <w:tcW w:w="480" w:type="pct"/>
            <w:shd w:val="clear" w:color="auto" w:fill="FFE599" w:themeFill="accent4" w:themeFillTint="66"/>
          </w:tcPr>
          <w:p w14:paraId="6D743D74"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M</w:t>
            </w:r>
            <w:r w:rsidRPr="00820B0D">
              <w:rPr>
                <w:rStyle w:val="Heading2Char"/>
                <w:rFonts w:asciiTheme="minorHAnsi" w:hAnsiTheme="minorHAnsi" w:cstheme="minorHAnsi"/>
                <w:sz w:val="22"/>
                <w:szCs w:val="22"/>
              </w:rPr>
              <w:t>edium</w:t>
            </w:r>
          </w:p>
        </w:tc>
        <w:tc>
          <w:tcPr>
            <w:tcW w:w="1091" w:type="pct"/>
            <w:shd w:val="clear" w:color="auto" w:fill="auto"/>
          </w:tcPr>
          <w:p w14:paraId="1F667026"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Future health sector designs</w:t>
            </w:r>
          </w:p>
        </w:tc>
      </w:tr>
      <w:tr w:rsidR="00B41B2D" w:rsidRPr="00820B0D" w14:paraId="0914610B" w14:textId="77777777" w:rsidTr="00820B0D">
        <w:tc>
          <w:tcPr>
            <w:tcW w:w="5000" w:type="pct"/>
            <w:gridSpan w:val="4"/>
          </w:tcPr>
          <w:p w14:paraId="067D1ED4"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i/>
                <w:color w:val="auto"/>
                <w:sz w:val="22"/>
                <w:szCs w:val="22"/>
              </w:rPr>
            </w:pPr>
            <w:r w:rsidRPr="00820B0D">
              <w:rPr>
                <w:rFonts w:asciiTheme="minorHAnsi" w:hAnsiTheme="minorHAnsi" w:cstheme="minorHAnsi"/>
                <w:i/>
                <w:sz w:val="22"/>
                <w:szCs w:val="22"/>
              </w:rPr>
              <w:t>Technical assistance for remainder of Phase 2</w:t>
            </w:r>
          </w:p>
        </w:tc>
      </w:tr>
      <w:tr w:rsidR="00820B0D" w:rsidRPr="00820B0D" w14:paraId="7E1B445C" w14:textId="77777777" w:rsidTr="00820B0D">
        <w:tc>
          <w:tcPr>
            <w:tcW w:w="2715" w:type="pct"/>
          </w:tcPr>
          <w:p w14:paraId="6DDB950C" w14:textId="77777777" w:rsidR="00B41B2D" w:rsidRPr="00820B0D" w:rsidRDefault="00B41B2D" w:rsidP="006719C2">
            <w:pPr>
              <w:pStyle w:val="ListParagraph"/>
              <w:numPr>
                <w:ilvl w:val="0"/>
                <w:numId w:val="58"/>
              </w:numPr>
              <w:spacing w:line="276" w:lineRule="auto"/>
              <w:contextualSpacing w:val="0"/>
              <w:rPr>
                <w:b/>
                <w:lang w:val="en-AU"/>
              </w:rPr>
            </w:pPr>
            <w:r w:rsidRPr="00820B0D">
              <w:rPr>
                <w:rFonts w:cstheme="minorHAnsi"/>
                <w:lang w:val="en-AU"/>
              </w:rPr>
              <w:t>Long-term technical assistance for the remainder of Phase 2 focuses on supporting progress towards the recommendations above, where appropriate.</w:t>
            </w:r>
          </w:p>
        </w:tc>
        <w:tc>
          <w:tcPr>
            <w:tcW w:w="714" w:type="pct"/>
          </w:tcPr>
          <w:p w14:paraId="1BF1D417"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D</w:t>
            </w:r>
            <w:r w:rsidRPr="00820B0D">
              <w:rPr>
                <w:rStyle w:val="Heading2Char"/>
                <w:rFonts w:asciiTheme="minorHAnsi" w:hAnsiTheme="minorHAnsi" w:cstheme="minorHAnsi"/>
                <w:sz w:val="22"/>
                <w:szCs w:val="22"/>
              </w:rPr>
              <w:t>FAT/MoH/ TongaHealth</w:t>
            </w:r>
          </w:p>
        </w:tc>
        <w:tc>
          <w:tcPr>
            <w:tcW w:w="480" w:type="pct"/>
            <w:shd w:val="clear" w:color="auto" w:fill="FF9999"/>
          </w:tcPr>
          <w:p w14:paraId="27622B08"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High</w:t>
            </w:r>
          </w:p>
        </w:tc>
        <w:tc>
          <w:tcPr>
            <w:tcW w:w="1091" w:type="pct"/>
            <w:shd w:val="clear" w:color="auto" w:fill="auto"/>
          </w:tcPr>
          <w:p w14:paraId="7C199FFA" w14:textId="77777777" w:rsidR="00B41B2D" w:rsidRPr="00820B0D" w:rsidRDefault="00B41B2D" w:rsidP="008F25BD">
            <w:pPr>
              <w:pStyle w:val="Level2Heading"/>
              <w:numPr>
                <w:ilvl w:val="0"/>
                <w:numId w:val="0"/>
              </w:numPr>
              <w:spacing w:before="0" w:after="0"/>
              <w:rPr>
                <w:rStyle w:val="Heading2Char"/>
                <w:rFonts w:asciiTheme="minorHAnsi" w:hAnsiTheme="minorHAnsi" w:cstheme="minorHAnsi"/>
                <w:color w:val="auto"/>
                <w:sz w:val="22"/>
                <w:szCs w:val="22"/>
              </w:rPr>
            </w:pPr>
            <w:r w:rsidRPr="00820B0D">
              <w:rPr>
                <w:rStyle w:val="Heading2Char"/>
                <w:rFonts w:asciiTheme="minorHAnsi" w:hAnsiTheme="minorHAnsi" w:cstheme="minorHAnsi"/>
                <w:color w:val="auto"/>
                <w:sz w:val="22"/>
                <w:szCs w:val="22"/>
              </w:rPr>
              <w:t>Immediate (for TA work plans)</w:t>
            </w:r>
          </w:p>
        </w:tc>
      </w:tr>
    </w:tbl>
    <w:p w14:paraId="771A7814" w14:textId="77777777" w:rsidR="00B41B2D" w:rsidRDefault="00B41B2D" w:rsidP="002853B5">
      <w:pPr>
        <w:rPr>
          <w:color w:val="000000"/>
          <w:lang w:eastAsia="en-GB"/>
        </w:rPr>
      </w:pPr>
    </w:p>
    <w:p w14:paraId="4D7D7E71" w14:textId="77777777" w:rsidR="00D2451B" w:rsidRDefault="00D2451B" w:rsidP="00881933">
      <w:pPr>
        <w:rPr>
          <w:lang w:eastAsia="en-GB"/>
        </w:rPr>
      </w:pPr>
    </w:p>
    <w:p w14:paraId="62689389" w14:textId="77777777" w:rsidR="00820B0D" w:rsidRDefault="00820B0D" w:rsidP="00881933">
      <w:pPr>
        <w:rPr>
          <w:lang w:eastAsia="en-GB"/>
        </w:rPr>
      </w:pPr>
    </w:p>
    <w:p w14:paraId="60F0CA7B" w14:textId="77777777" w:rsidR="00820B0D" w:rsidRDefault="00820B0D" w:rsidP="00881933">
      <w:pPr>
        <w:rPr>
          <w:lang w:eastAsia="en-GB"/>
        </w:rPr>
      </w:pPr>
    </w:p>
    <w:p w14:paraId="1094B71D" w14:textId="2CAF2EA5" w:rsidR="006719C2" w:rsidRDefault="006719C2">
      <w:pPr>
        <w:rPr>
          <w:rFonts w:ascii="Arial" w:eastAsia="Times New Roman" w:hAnsi="Arial" w:cs="Arial"/>
          <w:b/>
          <w:color w:val="DA291C"/>
          <w:sz w:val="26"/>
          <w:szCs w:val="26"/>
          <w:lang w:eastAsia="ja-JP"/>
        </w:rPr>
      </w:pPr>
      <w:bookmarkStart w:id="3" w:name="_Toc536205422"/>
      <w:r>
        <w:rPr>
          <w:rFonts w:eastAsia="Times New Roman"/>
        </w:rPr>
        <w:br w:type="page"/>
      </w:r>
    </w:p>
    <w:p w14:paraId="579D3553" w14:textId="77777777" w:rsidR="00C41C6D" w:rsidRDefault="00C41C6D" w:rsidP="00881933">
      <w:pPr>
        <w:pStyle w:val="Heading1"/>
        <w:rPr>
          <w:rFonts w:eastAsia="Times New Roman"/>
        </w:rPr>
        <w:sectPr w:rsidR="00C41C6D" w:rsidSect="00814E7F">
          <w:footerReference w:type="default" r:id="rId11"/>
          <w:pgSz w:w="11906" w:h="16838"/>
          <w:pgMar w:top="1440" w:right="1440" w:bottom="1440" w:left="1440" w:header="708" w:footer="708" w:gutter="0"/>
          <w:pgNumType w:fmt="lowerRoman" w:start="2"/>
          <w:cols w:space="708"/>
          <w:docGrid w:linePitch="360"/>
        </w:sectPr>
      </w:pPr>
    </w:p>
    <w:p w14:paraId="344192A0" w14:textId="77777777" w:rsidR="00B92EBA" w:rsidRDefault="00022D77" w:rsidP="00881933">
      <w:pPr>
        <w:pStyle w:val="Heading1"/>
        <w:rPr>
          <w:rFonts w:eastAsia="Times New Roman"/>
        </w:rPr>
      </w:pPr>
      <w:r w:rsidRPr="00022D77">
        <w:rPr>
          <w:rFonts w:eastAsia="Times New Roman"/>
        </w:rPr>
        <w:lastRenderedPageBreak/>
        <w:t>Introduction</w:t>
      </w:r>
      <w:bookmarkEnd w:id="3"/>
    </w:p>
    <w:p w14:paraId="52A2DBB7" w14:textId="77777777" w:rsidR="00B92EBA" w:rsidRDefault="00B92EBA" w:rsidP="00881933">
      <w:pPr>
        <w:spacing w:after="0"/>
        <w:rPr>
          <w:lang w:eastAsia="en-GB"/>
        </w:rPr>
      </w:pPr>
    </w:p>
    <w:p w14:paraId="4CD3E248" w14:textId="77777777" w:rsidR="00B92EBA" w:rsidRPr="00002A48" w:rsidRDefault="00022D77" w:rsidP="00E036F4">
      <w:pPr>
        <w:pStyle w:val="Heading2"/>
        <w:ind w:left="0"/>
        <w:rPr>
          <w:rStyle w:val="Heading2Char"/>
          <w:b/>
        </w:rPr>
      </w:pPr>
      <w:bookmarkStart w:id="4" w:name="_Toc536205423"/>
      <w:r w:rsidRPr="00002A48">
        <w:rPr>
          <w:rStyle w:val="Heading2Char"/>
          <w:b/>
        </w:rPr>
        <w:t>Health in Tonga</w:t>
      </w:r>
      <w:bookmarkEnd w:id="4"/>
    </w:p>
    <w:p w14:paraId="779CC616" w14:textId="77777777" w:rsidR="0036014A" w:rsidRDefault="008209D3" w:rsidP="00881933">
      <w:pPr>
        <w:rPr>
          <w:lang w:eastAsia="en-GB"/>
        </w:rPr>
      </w:pPr>
      <w:r w:rsidRPr="00022D77">
        <w:rPr>
          <w:lang w:eastAsia="en-GB"/>
        </w:rPr>
        <w:t>Tonga has a</w:t>
      </w:r>
      <w:r>
        <w:rPr>
          <w:lang w:eastAsia="en-GB"/>
        </w:rPr>
        <w:t xml:space="preserve"> </w:t>
      </w:r>
      <w:r w:rsidRPr="00022D77">
        <w:rPr>
          <w:lang w:eastAsia="en-GB"/>
        </w:rPr>
        <w:t>population of 10</w:t>
      </w:r>
      <w:r w:rsidR="000217BE">
        <w:rPr>
          <w:lang w:eastAsia="en-GB"/>
        </w:rPr>
        <w:t xml:space="preserve">0,745 </w:t>
      </w:r>
      <w:r>
        <w:rPr>
          <w:lang w:eastAsia="en-GB"/>
        </w:rPr>
        <w:t>(201</w:t>
      </w:r>
      <w:r w:rsidR="000217BE">
        <w:rPr>
          <w:lang w:eastAsia="en-GB"/>
        </w:rPr>
        <w:t>6</w:t>
      </w:r>
      <w:r>
        <w:rPr>
          <w:lang w:eastAsia="en-GB"/>
        </w:rPr>
        <w:t xml:space="preserve"> </w:t>
      </w:r>
      <w:r w:rsidR="000217BE">
        <w:rPr>
          <w:lang w:eastAsia="en-GB"/>
        </w:rPr>
        <w:t>census preliminary count</w:t>
      </w:r>
      <w:r>
        <w:rPr>
          <w:lang w:eastAsia="en-GB"/>
        </w:rPr>
        <w:t>)</w:t>
      </w:r>
      <w:r w:rsidRPr="00022D77">
        <w:rPr>
          <w:lang w:eastAsia="en-GB"/>
        </w:rPr>
        <w:t xml:space="preserve">, with </w:t>
      </w:r>
      <w:r w:rsidR="000217BE">
        <w:rPr>
          <w:lang w:eastAsia="en-GB"/>
        </w:rPr>
        <w:t xml:space="preserve">around </w:t>
      </w:r>
      <w:r>
        <w:rPr>
          <w:lang w:eastAsia="en-GB"/>
        </w:rPr>
        <w:t>74%</w:t>
      </w:r>
      <w:r w:rsidRPr="00022D77">
        <w:rPr>
          <w:lang w:eastAsia="en-GB"/>
        </w:rPr>
        <w:t xml:space="preserve"> of</w:t>
      </w:r>
      <w:r>
        <w:rPr>
          <w:lang w:eastAsia="en-GB"/>
        </w:rPr>
        <w:t xml:space="preserve"> </w:t>
      </w:r>
      <w:r w:rsidRPr="00022D77">
        <w:rPr>
          <w:lang w:eastAsia="en-GB"/>
        </w:rPr>
        <w:t xml:space="preserve">the </w:t>
      </w:r>
      <w:r>
        <w:rPr>
          <w:lang w:eastAsia="en-GB"/>
        </w:rPr>
        <w:t xml:space="preserve">national </w:t>
      </w:r>
      <w:r w:rsidRPr="00022D77">
        <w:rPr>
          <w:lang w:eastAsia="en-GB"/>
        </w:rPr>
        <w:t xml:space="preserve">population </w:t>
      </w:r>
      <w:r>
        <w:rPr>
          <w:lang w:eastAsia="en-GB"/>
        </w:rPr>
        <w:t>residing</w:t>
      </w:r>
      <w:r w:rsidRPr="00022D77">
        <w:rPr>
          <w:lang w:eastAsia="en-GB"/>
        </w:rPr>
        <w:t xml:space="preserve"> on the </w:t>
      </w:r>
      <w:r>
        <w:rPr>
          <w:lang w:eastAsia="en-GB"/>
        </w:rPr>
        <w:t>m</w:t>
      </w:r>
      <w:r w:rsidRPr="00022D77">
        <w:rPr>
          <w:lang w:eastAsia="en-GB"/>
        </w:rPr>
        <w:t xml:space="preserve">ain island of Tongatapu. </w:t>
      </w:r>
      <w:r w:rsidR="0036014A" w:rsidRPr="0036014A">
        <w:rPr>
          <w:lang w:eastAsia="en-GB"/>
        </w:rPr>
        <w:t xml:space="preserve">The </w:t>
      </w:r>
      <w:r w:rsidR="000217BE">
        <w:rPr>
          <w:lang w:eastAsia="en-GB"/>
        </w:rPr>
        <w:t xml:space="preserve">2016 population census </w:t>
      </w:r>
      <w:r w:rsidR="0036014A" w:rsidRPr="0036014A">
        <w:rPr>
          <w:lang w:eastAsia="en-GB"/>
        </w:rPr>
        <w:t>show</w:t>
      </w:r>
      <w:r w:rsidR="000217BE">
        <w:rPr>
          <w:lang w:eastAsia="en-GB"/>
        </w:rPr>
        <w:t>s</w:t>
      </w:r>
      <w:r w:rsidR="0036014A" w:rsidRPr="0036014A">
        <w:rPr>
          <w:lang w:eastAsia="en-GB"/>
        </w:rPr>
        <w:t xml:space="preserve"> that, </w:t>
      </w:r>
      <w:r w:rsidR="000217BE">
        <w:rPr>
          <w:lang w:eastAsia="en-GB"/>
        </w:rPr>
        <w:t>since 1996</w:t>
      </w:r>
      <w:r w:rsidR="0036014A" w:rsidRPr="0036014A">
        <w:rPr>
          <w:lang w:eastAsia="en-GB"/>
        </w:rPr>
        <w:t xml:space="preserve">, life expectancy for men has fallen by </w:t>
      </w:r>
      <w:r w:rsidR="00FE2BE3">
        <w:rPr>
          <w:lang w:eastAsia="en-GB"/>
        </w:rPr>
        <w:t>five</w:t>
      </w:r>
      <w:r w:rsidR="0036014A" w:rsidRPr="0036014A">
        <w:rPr>
          <w:lang w:eastAsia="en-GB"/>
        </w:rPr>
        <w:t xml:space="preserve"> years for males to 65 years, and by </w:t>
      </w:r>
      <w:r w:rsidR="00FE2BE3">
        <w:rPr>
          <w:lang w:eastAsia="en-GB"/>
        </w:rPr>
        <w:t>three</w:t>
      </w:r>
      <w:r w:rsidR="0036014A" w:rsidRPr="0036014A">
        <w:rPr>
          <w:lang w:eastAsia="en-GB"/>
        </w:rPr>
        <w:t xml:space="preserve"> years for females to 69 years.</w:t>
      </w:r>
    </w:p>
    <w:p w14:paraId="54682357" w14:textId="77777777" w:rsidR="008209D3" w:rsidRDefault="00C20F9F" w:rsidP="00881933">
      <w:pPr>
        <w:rPr>
          <w:lang w:eastAsia="en-GB"/>
        </w:rPr>
      </w:pPr>
      <w:r>
        <w:rPr>
          <w:lang w:eastAsia="en-GB"/>
        </w:rPr>
        <w:t>As at 2016, t</w:t>
      </w:r>
      <w:r w:rsidR="0036014A">
        <w:rPr>
          <w:lang w:eastAsia="en-GB"/>
        </w:rPr>
        <w:t>he i</w:t>
      </w:r>
      <w:r w:rsidR="008209D3" w:rsidRPr="00022D77">
        <w:rPr>
          <w:lang w:eastAsia="en-GB"/>
        </w:rPr>
        <w:t xml:space="preserve">nfant mortality rate </w:t>
      </w:r>
      <w:r>
        <w:rPr>
          <w:lang w:eastAsia="en-GB"/>
        </w:rPr>
        <w:t>was</w:t>
      </w:r>
      <w:r w:rsidRPr="00022D77">
        <w:rPr>
          <w:lang w:eastAsia="en-GB"/>
        </w:rPr>
        <w:t xml:space="preserve"> </w:t>
      </w:r>
      <w:r w:rsidR="008209D3">
        <w:rPr>
          <w:lang w:eastAsia="en-GB"/>
        </w:rPr>
        <w:t>7</w:t>
      </w:r>
      <w:r w:rsidR="008209D3" w:rsidRPr="00022D77">
        <w:rPr>
          <w:lang w:eastAsia="en-GB"/>
        </w:rPr>
        <w:t>.</w:t>
      </w:r>
      <w:r w:rsidR="008209D3">
        <w:rPr>
          <w:lang w:eastAsia="en-GB"/>
        </w:rPr>
        <w:t>4</w:t>
      </w:r>
      <w:r w:rsidR="008209D3" w:rsidRPr="00022D77">
        <w:rPr>
          <w:lang w:eastAsia="en-GB"/>
        </w:rPr>
        <w:t xml:space="preserve"> per 1,000 live births</w:t>
      </w:r>
      <w:r w:rsidR="006F241A">
        <w:rPr>
          <w:lang w:eastAsia="en-GB"/>
        </w:rPr>
        <w:t>,</w:t>
      </w:r>
      <w:r w:rsidR="0036014A">
        <w:rPr>
          <w:lang w:eastAsia="en-GB"/>
        </w:rPr>
        <w:t xml:space="preserve"> t</w:t>
      </w:r>
      <w:r w:rsidR="008209D3" w:rsidRPr="00022D77">
        <w:rPr>
          <w:lang w:eastAsia="en-GB"/>
        </w:rPr>
        <w:t>he total fertility</w:t>
      </w:r>
      <w:r w:rsidR="008209D3">
        <w:rPr>
          <w:lang w:eastAsia="en-GB"/>
        </w:rPr>
        <w:t xml:space="preserve"> </w:t>
      </w:r>
      <w:r w:rsidR="008209D3" w:rsidRPr="00022D77">
        <w:rPr>
          <w:lang w:eastAsia="en-GB"/>
        </w:rPr>
        <w:t xml:space="preserve">rate </w:t>
      </w:r>
      <w:r>
        <w:rPr>
          <w:lang w:eastAsia="en-GB"/>
        </w:rPr>
        <w:t>wa</w:t>
      </w:r>
      <w:r w:rsidRPr="00022D77">
        <w:rPr>
          <w:lang w:eastAsia="en-GB"/>
        </w:rPr>
        <w:t>s</w:t>
      </w:r>
      <w:r>
        <w:rPr>
          <w:lang w:eastAsia="en-GB"/>
        </w:rPr>
        <w:t xml:space="preserve"> </w:t>
      </w:r>
      <w:r w:rsidR="008209D3">
        <w:rPr>
          <w:lang w:eastAsia="en-GB"/>
        </w:rPr>
        <w:t>3.</w:t>
      </w:r>
      <w:r>
        <w:rPr>
          <w:lang w:eastAsia="en-GB"/>
        </w:rPr>
        <w:t>3</w:t>
      </w:r>
      <w:r w:rsidR="006F241A">
        <w:rPr>
          <w:lang w:eastAsia="en-GB"/>
        </w:rPr>
        <w:t xml:space="preserve">, </w:t>
      </w:r>
      <w:r w:rsidR="008209D3" w:rsidRPr="00022D77">
        <w:rPr>
          <w:lang w:eastAsia="en-GB"/>
        </w:rPr>
        <w:t xml:space="preserve">and </w:t>
      </w:r>
      <w:r>
        <w:rPr>
          <w:lang w:eastAsia="en-GB"/>
        </w:rPr>
        <w:t>31.9</w:t>
      </w:r>
      <w:r w:rsidR="008209D3">
        <w:rPr>
          <w:lang w:eastAsia="en-GB"/>
        </w:rPr>
        <w:t xml:space="preserve">% </w:t>
      </w:r>
      <w:r w:rsidR="008209D3" w:rsidRPr="00022D77">
        <w:rPr>
          <w:lang w:eastAsia="en-GB"/>
        </w:rPr>
        <w:t xml:space="preserve">of </w:t>
      </w:r>
      <w:r>
        <w:rPr>
          <w:lang w:eastAsia="en-GB"/>
        </w:rPr>
        <w:t xml:space="preserve">married </w:t>
      </w:r>
      <w:r w:rsidR="008209D3" w:rsidRPr="00022D77">
        <w:rPr>
          <w:lang w:eastAsia="en-GB"/>
        </w:rPr>
        <w:t>women of reproductive age use</w:t>
      </w:r>
      <w:r>
        <w:rPr>
          <w:lang w:eastAsia="en-GB"/>
        </w:rPr>
        <w:t>d</w:t>
      </w:r>
      <w:r w:rsidR="008209D3" w:rsidRPr="00022D77">
        <w:rPr>
          <w:lang w:eastAsia="en-GB"/>
        </w:rPr>
        <w:t xml:space="preserve"> modern contraceptives</w:t>
      </w:r>
      <w:r>
        <w:rPr>
          <w:lang w:eastAsia="en-GB"/>
        </w:rPr>
        <w:t xml:space="preserve"> (Ministry of Health, 2018)</w:t>
      </w:r>
      <w:r w:rsidR="0036014A">
        <w:rPr>
          <w:lang w:eastAsia="en-GB"/>
        </w:rPr>
        <w:t>. R</w:t>
      </w:r>
      <w:r w:rsidR="008209D3" w:rsidRPr="00022D77">
        <w:rPr>
          <w:lang w:eastAsia="en-GB"/>
        </w:rPr>
        <w:t xml:space="preserve">ates of emigration are very high, with an annual net </w:t>
      </w:r>
      <w:r w:rsidR="008209D3">
        <w:rPr>
          <w:lang w:eastAsia="en-GB"/>
        </w:rPr>
        <w:t xml:space="preserve">outwards </w:t>
      </w:r>
      <w:r w:rsidR="008209D3" w:rsidRPr="00022D77">
        <w:rPr>
          <w:lang w:eastAsia="en-GB"/>
        </w:rPr>
        <w:t>migration rate of 1</w:t>
      </w:r>
      <w:r w:rsidR="008209D3">
        <w:rPr>
          <w:lang w:eastAsia="en-GB"/>
        </w:rPr>
        <w:t>7</w:t>
      </w:r>
      <w:r w:rsidR="008209D3" w:rsidRPr="00022D77">
        <w:rPr>
          <w:lang w:eastAsia="en-GB"/>
        </w:rPr>
        <w:t>.</w:t>
      </w:r>
      <w:r w:rsidR="008209D3">
        <w:rPr>
          <w:lang w:eastAsia="en-GB"/>
        </w:rPr>
        <w:t>8</w:t>
      </w:r>
      <w:r w:rsidR="008209D3" w:rsidRPr="00022D77">
        <w:rPr>
          <w:lang w:eastAsia="en-GB"/>
        </w:rPr>
        <w:t xml:space="preserve"> per 1,000</w:t>
      </w:r>
      <w:r w:rsidR="008209D3">
        <w:rPr>
          <w:lang w:eastAsia="en-GB"/>
        </w:rPr>
        <w:t xml:space="preserve"> (2017 estimate</w:t>
      </w:r>
      <w:r w:rsidR="00DD0AEA">
        <w:rPr>
          <w:lang w:eastAsia="en-GB"/>
        </w:rPr>
        <w:t>: CIA, 2018</w:t>
      </w:r>
      <w:r w:rsidR="008209D3">
        <w:rPr>
          <w:lang w:eastAsia="en-GB"/>
        </w:rPr>
        <w:t>)</w:t>
      </w:r>
      <w:r w:rsidR="008209D3" w:rsidRPr="00022D77">
        <w:rPr>
          <w:lang w:eastAsia="en-GB"/>
        </w:rPr>
        <w:t>.</w:t>
      </w:r>
      <w:r w:rsidR="008209D3">
        <w:rPr>
          <w:lang w:eastAsia="en-GB"/>
        </w:rPr>
        <w:t xml:space="preserve"> </w:t>
      </w:r>
      <w:r w:rsidR="008209D3" w:rsidRPr="00022D77">
        <w:rPr>
          <w:lang w:eastAsia="en-GB"/>
        </w:rPr>
        <w:t xml:space="preserve">The population </w:t>
      </w:r>
      <w:r w:rsidR="008209D3">
        <w:rPr>
          <w:lang w:eastAsia="en-GB"/>
        </w:rPr>
        <w:t xml:space="preserve">growth rate is </w:t>
      </w:r>
      <w:r w:rsidR="00DD0AEA">
        <w:rPr>
          <w:lang w:eastAsia="en-GB"/>
        </w:rPr>
        <w:t xml:space="preserve">estimated to be </w:t>
      </w:r>
      <w:r w:rsidR="008209D3">
        <w:rPr>
          <w:lang w:eastAsia="en-GB"/>
        </w:rPr>
        <w:t>-</w:t>
      </w:r>
      <w:r w:rsidR="008209D3" w:rsidRPr="00022D77">
        <w:rPr>
          <w:lang w:eastAsia="en-GB"/>
        </w:rPr>
        <w:t>0.</w:t>
      </w:r>
      <w:r w:rsidR="008209D3">
        <w:rPr>
          <w:lang w:eastAsia="en-GB"/>
        </w:rPr>
        <w:t>1%</w:t>
      </w:r>
      <w:r w:rsidR="008209D3" w:rsidRPr="00022D77">
        <w:rPr>
          <w:lang w:eastAsia="en-GB"/>
        </w:rPr>
        <w:t xml:space="preserve"> </w:t>
      </w:r>
      <w:r w:rsidR="008209D3">
        <w:rPr>
          <w:lang w:eastAsia="en-GB"/>
        </w:rPr>
        <w:t>(</w:t>
      </w:r>
      <w:r w:rsidR="00DD0AEA">
        <w:rPr>
          <w:lang w:eastAsia="en-GB"/>
        </w:rPr>
        <w:t xml:space="preserve">CIA, </w:t>
      </w:r>
      <w:r w:rsidR="008209D3">
        <w:rPr>
          <w:lang w:eastAsia="en-GB"/>
        </w:rPr>
        <w:t>2018)</w:t>
      </w:r>
      <w:r w:rsidR="008209D3" w:rsidRPr="00022D77">
        <w:rPr>
          <w:lang w:eastAsia="en-GB"/>
        </w:rPr>
        <w:t>. The</w:t>
      </w:r>
      <w:r w:rsidR="008209D3">
        <w:rPr>
          <w:lang w:eastAsia="en-GB"/>
        </w:rPr>
        <w:t xml:space="preserve"> </w:t>
      </w:r>
      <w:r w:rsidR="008209D3" w:rsidRPr="00022D77">
        <w:rPr>
          <w:lang w:eastAsia="en-GB"/>
        </w:rPr>
        <w:t>percentage of</w:t>
      </w:r>
      <w:r w:rsidR="008209D3">
        <w:rPr>
          <w:lang w:eastAsia="en-GB"/>
        </w:rPr>
        <w:t xml:space="preserve"> literacy</w:t>
      </w:r>
      <w:r w:rsidR="008209D3" w:rsidRPr="00971ED8">
        <w:rPr>
          <w:lang w:eastAsia="en-GB"/>
        </w:rPr>
        <w:t>, immunisation, deliveries with a skilled birth attendant, and access to water and sanitation are all at, or close to 100</w:t>
      </w:r>
      <w:r w:rsidR="008209D3">
        <w:rPr>
          <w:lang w:eastAsia="en-GB"/>
        </w:rPr>
        <w:t>%</w:t>
      </w:r>
      <w:r w:rsidR="007B0F54">
        <w:rPr>
          <w:lang w:eastAsia="en-GB"/>
        </w:rPr>
        <w:t xml:space="preserve"> (Ministry of Health, 2018; </w:t>
      </w:r>
      <w:r w:rsidR="007B0F54" w:rsidRPr="00A318B9">
        <w:rPr>
          <w:rStyle w:val="Hyperlink"/>
          <w:color w:val="auto"/>
          <w:u w:val="none"/>
        </w:rPr>
        <w:t>Rodney A, Hufanga S, Sausini Paasi S, Vivili P, ‘Ahio T and Hufanga M</w:t>
      </w:r>
      <w:r w:rsidR="007B0F54">
        <w:rPr>
          <w:rStyle w:val="Hyperlink"/>
          <w:color w:val="auto"/>
          <w:u w:val="none"/>
        </w:rPr>
        <w:t xml:space="preserve">, </w:t>
      </w:r>
      <w:r w:rsidR="007B0F54" w:rsidRPr="00A318B9">
        <w:rPr>
          <w:rStyle w:val="Hyperlink"/>
          <w:color w:val="auto"/>
          <w:u w:val="none"/>
        </w:rPr>
        <w:t>2015</w:t>
      </w:r>
      <w:r w:rsidR="007B0F54">
        <w:rPr>
          <w:rStyle w:val="Hyperlink"/>
          <w:color w:val="auto"/>
          <w:u w:val="none"/>
        </w:rPr>
        <w:t>)</w:t>
      </w:r>
      <w:r w:rsidR="008209D3" w:rsidRPr="00022D77">
        <w:rPr>
          <w:lang w:eastAsia="en-GB"/>
        </w:rPr>
        <w:t>.</w:t>
      </w:r>
    </w:p>
    <w:p w14:paraId="3A20A96E" w14:textId="77777777" w:rsidR="008209D3" w:rsidRDefault="008209D3" w:rsidP="00881933">
      <w:pPr>
        <w:rPr>
          <w:lang w:eastAsia="en-GB"/>
        </w:rPr>
      </w:pPr>
      <w:r w:rsidRPr="00022D77">
        <w:rPr>
          <w:lang w:eastAsia="en-GB"/>
        </w:rPr>
        <w:t xml:space="preserve">Tonga has one </w:t>
      </w:r>
      <w:r>
        <w:rPr>
          <w:lang w:eastAsia="en-GB"/>
        </w:rPr>
        <w:t>national referral</w:t>
      </w:r>
      <w:r w:rsidRPr="00022D77">
        <w:rPr>
          <w:lang w:eastAsia="en-GB"/>
        </w:rPr>
        <w:t xml:space="preserve"> hospital (Vaiola)</w:t>
      </w:r>
      <w:r>
        <w:rPr>
          <w:lang w:eastAsia="en-GB"/>
        </w:rPr>
        <w:t>, four</w:t>
      </w:r>
      <w:r w:rsidRPr="00022D77">
        <w:rPr>
          <w:lang w:eastAsia="en-GB"/>
        </w:rPr>
        <w:t xml:space="preserve"> district hospitals</w:t>
      </w:r>
      <w:r>
        <w:rPr>
          <w:lang w:eastAsia="en-GB"/>
        </w:rPr>
        <w:t xml:space="preserve"> (Niu’eiki, Niu’ui, Prince Wellington Ngu, and Likamonu), and </w:t>
      </w:r>
      <w:r w:rsidRPr="00244F91">
        <w:rPr>
          <w:lang w:eastAsia="en-GB"/>
        </w:rPr>
        <w:t xml:space="preserve">14 </w:t>
      </w:r>
      <w:r w:rsidRPr="007C1D20">
        <w:rPr>
          <w:lang w:eastAsia="en-GB"/>
        </w:rPr>
        <w:t>Community Health Centres (seven on Tongatapu, seven o</w:t>
      </w:r>
      <w:r w:rsidRPr="00022D77">
        <w:rPr>
          <w:lang w:eastAsia="en-GB"/>
        </w:rPr>
        <w:t xml:space="preserve">n other islands). There </w:t>
      </w:r>
      <w:r>
        <w:rPr>
          <w:lang w:eastAsia="en-GB"/>
        </w:rPr>
        <w:t>we</w:t>
      </w:r>
      <w:r w:rsidRPr="00022D77">
        <w:rPr>
          <w:lang w:eastAsia="en-GB"/>
        </w:rPr>
        <w:t xml:space="preserve">re </w:t>
      </w:r>
      <w:r>
        <w:rPr>
          <w:lang w:eastAsia="en-GB"/>
        </w:rPr>
        <w:t xml:space="preserve">71 </w:t>
      </w:r>
      <w:r w:rsidRPr="00022D77">
        <w:rPr>
          <w:lang w:eastAsia="en-GB"/>
        </w:rPr>
        <w:t xml:space="preserve">doctors and </w:t>
      </w:r>
      <w:r>
        <w:rPr>
          <w:lang w:eastAsia="en-GB"/>
        </w:rPr>
        <w:t>454</w:t>
      </w:r>
      <w:r w:rsidRPr="00022D77">
        <w:rPr>
          <w:lang w:eastAsia="en-GB"/>
        </w:rPr>
        <w:t xml:space="preserve"> nurses working in Tonga</w:t>
      </w:r>
      <w:r w:rsidR="00AE5632">
        <w:rPr>
          <w:lang w:eastAsia="en-GB"/>
        </w:rPr>
        <w:t xml:space="preserve"> as at end of 2016</w:t>
      </w:r>
      <w:r w:rsidRPr="00022D77">
        <w:rPr>
          <w:lang w:eastAsia="en-GB"/>
        </w:rPr>
        <w:t>. Services are</w:t>
      </w:r>
      <w:r>
        <w:rPr>
          <w:lang w:eastAsia="en-GB"/>
        </w:rPr>
        <w:t xml:space="preserve"> </w:t>
      </w:r>
      <w:r w:rsidRPr="00022D77">
        <w:rPr>
          <w:lang w:eastAsia="en-GB"/>
        </w:rPr>
        <w:t>funded through general taxation and are free at a point of delivery. Pharmaceuticals</w:t>
      </w:r>
      <w:r>
        <w:rPr>
          <w:lang w:eastAsia="en-GB"/>
        </w:rPr>
        <w:t xml:space="preserve"> are </w:t>
      </w:r>
      <w:r w:rsidRPr="00022D77">
        <w:rPr>
          <w:lang w:eastAsia="en-GB"/>
        </w:rPr>
        <w:t>free if dispensed at health centres.</w:t>
      </w:r>
    </w:p>
    <w:p w14:paraId="1210BF39" w14:textId="77777777" w:rsidR="007C77F0" w:rsidRDefault="008209D3" w:rsidP="00881933">
      <w:pPr>
        <w:rPr>
          <w:lang w:eastAsia="en-GB"/>
        </w:rPr>
      </w:pPr>
      <w:r w:rsidRPr="00022D77">
        <w:rPr>
          <w:lang w:eastAsia="en-GB"/>
        </w:rPr>
        <w:t>The growing</w:t>
      </w:r>
      <w:r>
        <w:rPr>
          <w:lang w:eastAsia="en-GB"/>
        </w:rPr>
        <w:t xml:space="preserve"> prevalence of </w:t>
      </w:r>
      <w:r w:rsidRPr="00022D77">
        <w:rPr>
          <w:lang w:eastAsia="en-GB"/>
        </w:rPr>
        <w:t>non-communicable diseases (NCDs)</w:t>
      </w:r>
      <w:r>
        <w:rPr>
          <w:lang w:eastAsia="en-GB"/>
        </w:rPr>
        <w:t xml:space="preserve"> </w:t>
      </w:r>
      <w:r w:rsidRPr="00022D77">
        <w:rPr>
          <w:lang w:eastAsia="en-GB"/>
        </w:rPr>
        <w:t>is a national</w:t>
      </w:r>
      <w:r>
        <w:rPr>
          <w:lang w:eastAsia="en-GB"/>
        </w:rPr>
        <w:t xml:space="preserve"> health crisis</w:t>
      </w:r>
      <w:r w:rsidR="00B417EB">
        <w:rPr>
          <w:lang w:eastAsia="en-GB"/>
        </w:rPr>
        <w:t>: driving up mortality rates and health system costs</w:t>
      </w:r>
      <w:r w:rsidRPr="00022D77">
        <w:rPr>
          <w:lang w:eastAsia="en-GB"/>
        </w:rPr>
        <w:t>.</w:t>
      </w:r>
      <w:r>
        <w:rPr>
          <w:lang w:eastAsia="en-GB"/>
        </w:rPr>
        <w:t xml:space="preserve"> The four primary NCDs </w:t>
      </w:r>
      <w:r w:rsidR="00900905">
        <w:rPr>
          <w:lang w:eastAsia="en-GB"/>
        </w:rPr>
        <w:t>are</w:t>
      </w:r>
      <w:r>
        <w:rPr>
          <w:lang w:eastAsia="en-GB"/>
        </w:rPr>
        <w:t xml:space="preserve"> heart disease, type 2 diabetes mellitus (T2DM), chronic obstructive pulmonary dis</w:t>
      </w:r>
      <w:r w:rsidR="0036014A">
        <w:rPr>
          <w:lang w:eastAsia="en-GB"/>
        </w:rPr>
        <w:t>ease</w:t>
      </w:r>
      <w:r>
        <w:rPr>
          <w:lang w:eastAsia="en-GB"/>
        </w:rPr>
        <w:t xml:space="preserve"> (COPD) and cancer</w:t>
      </w:r>
      <w:r w:rsidR="00924EEF">
        <w:rPr>
          <w:lang w:eastAsia="en-GB"/>
        </w:rPr>
        <w:t xml:space="preserve"> (</w:t>
      </w:r>
      <w:r w:rsidR="00763E64">
        <w:t xml:space="preserve">Institute of Health Metrics and Evaluation, 2017; </w:t>
      </w:r>
      <w:r w:rsidR="00924EEF">
        <w:rPr>
          <w:lang w:eastAsia="en-GB"/>
        </w:rPr>
        <w:t>WHO, 2017)</w:t>
      </w:r>
      <w:r>
        <w:rPr>
          <w:lang w:eastAsia="en-GB"/>
        </w:rPr>
        <w:t>.</w:t>
      </w:r>
      <w:r w:rsidRPr="00022D77">
        <w:rPr>
          <w:lang w:eastAsia="en-GB"/>
        </w:rPr>
        <w:t xml:space="preserve"> The prevalence of </w:t>
      </w:r>
      <w:r w:rsidR="00924EEF">
        <w:rPr>
          <w:lang w:eastAsia="en-GB"/>
        </w:rPr>
        <w:t xml:space="preserve">all </w:t>
      </w:r>
      <w:r w:rsidRPr="00022D77">
        <w:rPr>
          <w:lang w:eastAsia="en-GB"/>
        </w:rPr>
        <w:t>NCD</w:t>
      </w:r>
      <w:r>
        <w:rPr>
          <w:lang w:eastAsia="en-GB"/>
        </w:rPr>
        <w:t>s</w:t>
      </w:r>
      <w:r w:rsidRPr="00022D77">
        <w:rPr>
          <w:lang w:eastAsia="en-GB"/>
        </w:rPr>
        <w:t xml:space="preserve"> was estimated to</w:t>
      </w:r>
      <w:r>
        <w:rPr>
          <w:lang w:eastAsia="en-GB"/>
        </w:rPr>
        <w:t xml:space="preserve"> </w:t>
      </w:r>
      <w:r w:rsidRPr="00022D77">
        <w:rPr>
          <w:lang w:eastAsia="en-GB"/>
        </w:rPr>
        <w:t>be 7% in 197</w:t>
      </w:r>
      <w:r w:rsidR="00AF2992">
        <w:rPr>
          <w:lang w:eastAsia="en-GB"/>
        </w:rPr>
        <w:t>3, 15% in 1999 and 18% in 2004</w:t>
      </w:r>
      <w:r w:rsidR="00CF0687">
        <w:rPr>
          <w:lang w:eastAsia="en-GB"/>
        </w:rPr>
        <w:t xml:space="preserve"> (</w:t>
      </w:r>
      <w:r w:rsidR="009878A7">
        <w:rPr>
          <w:lang w:eastAsia="en-GB"/>
        </w:rPr>
        <w:t>Government of Tonga</w:t>
      </w:r>
      <w:r w:rsidR="00CF0687">
        <w:rPr>
          <w:lang w:eastAsia="en-GB"/>
        </w:rPr>
        <w:t>, 201</w:t>
      </w:r>
      <w:r w:rsidR="009878A7">
        <w:rPr>
          <w:lang w:eastAsia="en-GB"/>
        </w:rPr>
        <w:t>1</w:t>
      </w:r>
      <w:r w:rsidR="00CF0687">
        <w:rPr>
          <w:lang w:eastAsia="en-GB"/>
        </w:rPr>
        <w:t>)</w:t>
      </w:r>
      <w:r w:rsidR="007C77F0">
        <w:rPr>
          <w:lang w:eastAsia="en-GB"/>
        </w:rPr>
        <w:t xml:space="preserve">. By 2012, the </w:t>
      </w:r>
      <w:r w:rsidR="007C77F0" w:rsidRPr="00984E29">
        <w:t xml:space="preserve">World Health Organization (WHO) STEPwise approach to Surveillance (‘STEPS’) </w:t>
      </w:r>
      <w:r w:rsidR="007C77F0" w:rsidRPr="005E714E">
        <w:rPr>
          <w:lang w:eastAsia="en-GB"/>
        </w:rPr>
        <w:t>survey</w:t>
      </w:r>
      <w:r w:rsidR="007C77F0">
        <w:rPr>
          <w:lang w:eastAsia="en-GB"/>
        </w:rPr>
        <w:t xml:space="preserve"> found that the prevalence of specific NCDs amongst adult Tongans had increased to 22% for diabetes, 28% for hypertension and 49% for elevated blood cholesterol</w:t>
      </w:r>
      <w:r w:rsidR="00AF2992">
        <w:rPr>
          <w:lang w:eastAsia="en-GB"/>
        </w:rPr>
        <w:t>.</w:t>
      </w:r>
    </w:p>
    <w:p w14:paraId="2784B484" w14:textId="77777777" w:rsidR="008209D3" w:rsidRDefault="00AF2992" w:rsidP="00881933">
      <w:r w:rsidRPr="00FD7BB5">
        <w:t>The</w:t>
      </w:r>
      <w:r>
        <w:t xml:space="preserve"> primary</w:t>
      </w:r>
      <w:r w:rsidRPr="00FD7BB5">
        <w:t xml:space="preserve"> </w:t>
      </w:r>
      <w:r>
        <w:t>NCDs share four behavioural risk factors</w:t>
      </w:r>
      <w:r w:rsidR="007C77F0">
        <w:t xml:space="preserve">: </w:t>
      </w:r>
      <w:r>
        <w:t>unhealthy diets, physical inactivity, alcohol and tobacco use, as well as the intermed</w:t>
      </w:r>
      <w:r w:rsidR="0036014A">
        <w:t>iate risk factor of overweight/</w:t>
      </w:r>
      <w:r>
        <w:t>obesity.</w:t>
      </w:r>
      <w:r w:rsidR="006F241A">
        <w:t xml:space="preserve"> </w:t>
      </w:r>
      <w:r w:rsidR="00900905" w:rsidRPr="00984E29">
        <w:t xml:space="preserve">The </w:t>
      </w:r>
      <w:r w:rsidR="007C77F0">
        <w:t xml:space="preserve">2012 </w:t>
      </w:r>
      <w:r w:rsidR="00900905" w:rsidRPr="00984E29">
        <w:t>STEPS</w:t>
      </w:r>
      <w:r w:rsidR="008209D3" w:rsidRPr="005E714E">
        <w:rPr>
          <w:lang w:eastAsia="en-GB"/>
        </w:rPr>
        <w:t xml:space="preserve"> survey </w:t>
      </w:r>
      <w:r w:rsidR="002F7F85">
        <w:rPr>
          <w:lang w:eastAsia="en-GB"/>
        </w:rPr>
        <w:t>conclude</w:t>
      </w:r>
      <w:r w:rsidR="00DC020D">
        <w:rPr>
          <w:lang w:eastAsia="en-GB"/>
        </w:rPr>
        <w:t>d that</w:t>
      </w:r>
      <w:r w:rsidR="00900905">
        <w:rPr>
          <w:lang w:eastAsia="en-GB"/>
        </w:rPr>
        <w:t xml:space="preserve"> 9</w:t>
      </w:r>
      <w:r w:rsidR="002F7F85">
        <w:rPr>
          <w:lang w:eastAsia="en-GB"/>
        </w:rPr>
        <w:t>8</w:t>
      </w:r>
      <w:r w:rsidR="00900905">
        <w:rPr>
          <w:lang w:eastAsia="en-GB"/>
        </w:rPr>
        <w:t>.</w:t>
      </w:r>
      <w:r w:rsidR="002F7F85">
        <w:rPr>
          <w:lang w:eastAsia="en-GB"/>
        </w:rPr>
        <w:t>7</w:t>
      </w:r>
      <w:r w:rsidR="008209D3">
        <w:rPr>
          <w:lang w:eastAsia="en-GB"/>
        </w:rPr>
        <w:t xml:space="preserve">% </w:t>
      </w:r>
      <w:r w:rsidR="008209D3" w:rsidRPr="00BC2EAC">
        <w:rPr>
          <w:lang w:eastAsia="en-GB"/>
        </w:rPr>
        <w:t>of</w:t>
      </w:r>
      <w:r w:rsidR="008209D3">
        <w:rPr>
          <w:lang w:eastAsia="en-GB"/>
        </w:rPr>
        <w:t xml:space="preserve"> the population are at </w:t>
      </w:r>
      <w:r w:rsidR="002F7F85">
        <w:rPr>
          <w:lang w:eastAsia="en-GB"/>
        </w:rPr>
        <w:t xml:space="preserve">moderate or high </w:t>
      </w:r>
      <w:r w:rsidR="008209D3">
        <w:rPr>
          <w:lang w:eastAsia="en-GB"/>
        </w:rPr>
        <w:t>risk of NCDs (displaying at least one risk factor), with</w:t>
      </w:r>
      <w:r w:rsidR="008209D3" w:rsidRPr="005E714E">
        <w:rPr>
          <w:lang w:eastAsia="en-GB"/>
        </w:rPr>
        <w:t xml:space="preserve"> 61% at high</w:t>
      </w:r>
      <w:r w:rsidR="002F7F85">
        <w:rPr>
          <w:lang w:eastAsia="en-GB"/>
        </w:rPr>
        <w:t xml:space="preserve"> risk (</w:t>
      </w:r>
      <w:r w:rsidR="00DC020D">
        <w:rPr>
          <w:lang w:eastAsia="en-GB"/>
        </w:rPr>
        <w:t>three to five r</w:t>
      </w:r>
      <w:r w:rsidR="008209D3">
        <w:rPr>
          <w:lang w:eastAsia="en-GB"/>
        </w:rPr>
        <w:t>isk factors)</w:t>
      </w:r>
      <w:r w:rsidR="008209D3" w:rsidRPr="005E714E">
        <w:rPr>
          <w:lang w:eastAsia="en-GB"/>
        </w:rPr>
        <w:t>.</w:t>
      </w:r>
      <w:r w:rsidR="00DC020D">
        <w:rPr>
          <w:lang w:eastAsia="en-GB"/>
        </w:rPr>
        <w:t xml:space="preserve"> </w:t>
      </w:r>
      <w:r w:rsidR="002F7F85">
        <w:rPr>
          <w:lang w:eastAsia="en-GB"/>
        </w:rPr>
        <w:t>Key findings in t</w:t>
      </w:r>
      <w:r w:rsidR="00DC020D">
        <w:rPr>
          <w:lang w:eastAsia="en-GB"/>
        </w:rPr>
        <w:t xml:space="preserve">he 2012 STEPS survey </w:t>
      </w:r>
      <w:r w:rsidR="00D62345">
        <w:t>(for adults age 25-64 years) were</w:t>
      </w:r>
      <w:r w:rsidR="002F7F85">
        <w:t>:</w:t>
      </w:r>
    </w:p>
    <w:p w14:paraId="290DF862" w14:textId="77777777" w:rsidR="008209D3" w:rsidRDefault="008209D3" w:rsidP="00881933">
      <w:pPr>
        <w:pStyle w:val="ListParagraph"/>
        <w:numPr>
          <w:ilvl w:val="0"/>
          <w:numId w:val="13"/>
        </w:numPr>
      </w:pPr>
      <w:r>
        <w:t>9</w:t>
      </w:r>
      <w:r w:rsidR="002F7F85">
        <w:t>0.7</w:t>
      </w:r>
      <w:r>
        <w:t>% of the adult popul</w:t>
      </w:r>
      <w:r w:rsidR="002F7F85">
        <w:t xml:space="preserve">ation is overweight or </w:t>
      </w:r>
      <w:r>
        <w:t>obese</w:t>
      </w:r>
      <w:r w:rsidR="002F7F85">
        <w:t xml:space="preserve"> (67.6% obese)</w:t>
      </w:r>
    </w:p>
    <w:p w14:paraId="17FE8592" w14:textId="77777777" w:rsidR="008209D3" w:rsidRDefault="002F7F85" w:rsidP="00881933">
      <w:pPr>
        <w:pStyle w:val="ListParagraph"/>
        <w:numPr>
          <w:ilvl w:val="0"/>
          <w:numId w:val="13"/>
        </w:numPr>
      </w:pPr>
      <w:r>
        <w:t>7</w:t>
      </w:r>
      <w:r w:rsidR="008209D3">
        <w:t>3</w:t>
      </w:r>
      <w:r>
        <w:t>.1</w:t>
      </w:r>
      <w:r w:rsidR="008209D3">
        <w:t xml:space="preserve">% are not meeting fruit and vegetable </w:t>
      </w:r>
      <w:r w:rsidR="00AF2992">
        <w:t xml:space="preserve">intake </w:t>
      </w:r>
      <w:r w:rsidR="008209D3">
        <w:t>guidelines</w:t>
      </w:r>
    </w:p>
    <w:p w14:paraId="1A56EDD6" w14:textId="77777777" w:rsidR="00AF2992" w:rsidRDefault="002F7F85" w:rsidP="00881933">
      <w:pPr>
        <w:pStyle w:val="ListParagraph"/>
        <w:numPr>
          <w:ilvl w:val="0"/>
          <w:numId w:val="13"/>
        </w:numPr>
      </w:pPr>
      <w:r>
        <w:t>23.7</w:t>
      </w:r>
      <w:r w:rsidR="008209D3">
        <w:t xml:space="preserve">% have low levels of </w:t>
      </w:r>
      <w:r w:rsidR="00D62345">
        <w:t xml:space="preserve">physical </w:t>
      </w:r>
      <w:r w:rsidR="008209D3">
        <w:t xml:space="preserve">activity </w:t>
      </w:r>
    </w:p>
    <w:p w14:paraId="13EEDC46" w14:textId="77777777" w:rsidR="008209D3" w:rsidRDefault="008209D3" w:rsidP="00881933">
      <w:pPr>
        <w:pStyle w:val="ListParagraph"/>
        <w:numPr>
          <w:ilvl w:val="0"/>
          <w:numId w:val="13"/>
        </w:numPr>
      </w:pPr>
      <w:r>
        <w:t>2</w:t>
      </w:r>
      <w:r w:rsidR="002F7F85">
        <w:t>6.7</w:t>
      </w:r>
      <w:r>
        <w:t>% are daily smokers</w:t>
      </w:r>
      <w:r w:rsidR="007C77F0">
        <w:t>.</w:t>
      </w:r>
    </w:p>
    <w:p w14:paraId="4D851F61" w14:textId="77777777" w:rsidR="008209D3" w:rsidRDefault="00AF2992" w:rsidP="00881933">
      <w:r>
        <w:t xml:space="preserve">The </w:t>
      </w:r>
      <w:r w:rsidR="009C03B2">
        <w:t xml:space="preserve">2017 </w:t>
      </w:r>
      <w:r>
        <w:t>WHO</w:t>
      </w:r>
      <w:r w:rsidR="008209D3">
        <w:t xml:space="preserve"> Global School</w:t>
      </w:r>
      <w:r>
        <w:t>-based Student</w:t>
      </w:r>
      <w:r w:rsidR="008209D3">
        <w:t xml:space="preserve"> Health Survey </w:t>
      </w:r>
      <w:r w:rsidR="00DC020D">
        <w:t xml:space="preserve">(GSHS) </w:t>
      </w:r>
      <w:r w:rsidR="008209D3">
        <w:t>show</w:t>
      </w:r>
      <w:r>
        <w:t>s</w:t>
      </w:r>
      <w:r w:rsidR="008209D3">
        <w:t xml:space="preserve"> that it is not only adults at a high risk of NCDs, with adolescents </w:t>
      </w:r>
      <w:r w:rsidR="005728B5">
        <w:t xml:space="preserve">(age 13 years onwards) </w:t>
      </w:r>
      <w:r w:rsidR="008209D3">
        <w:t xml:space="preserve">showing </w:t>
      </w:r>
      <w:r w:rsidR="005728B5">
        <w:t>an increase in</w:t>
      </w:r>
      <w:r w:rsidR="008209D3">
        <w:t xml:space="preserve"> behaviour</w:t>
      </w:r>
      <w:r w:rsidR="00DC020D">
        <w:t>al risk factor</w:t>
      </w:r>
      <w:r w:rsidR="008209D3">
        <w:t>s</w:t>
      </w:r>
      <w:r w:rsidR="005728B5">
        <w:t xml:space="preserve"> since 2010</w:t>
      </w:r>
      <w:r w:rsidR="008209D3">
        <w:t>. Left unaddressed, th</w:t>
      </w:r>
      <w:r>
        <w:t>e potential future burden of NCDs in th</w:t>
      </w:r>
      <w:r w:rsidR="008209D3">
        <w:t xml:space="preserve">is younger population already </w:t>
      </w:r>
      <w:r>
        <w:t xml:space="preserve">at </w:t>
      </w:r>
      <w:r w:rsidR="008209D3">
        <w:t xml:space="preserve">high risk threatens to overwhelm the health system and </w:t>
      </w:r>
      <w:r>
        <w:t xml:space="preserve">impact on the </w:t>
      </w:r>
      <w:r w:rsidR="008209D3">
        <w:t xml:space="preserve">social and economic development of Tonga. </w:t>
      </w:r>
    </w:p>
    <w:p w14:paraId="07119DB0" w14:textId="77777777" w:rsidR="008209D3" w:rsidRDefault="008209D3" w:rsidP="001E17BC">
      <w:pPr>
        <w:spacing w:after="0"/>
      </w:pPr>
      <w:r>
        <w:lastRenderedPageBreak/>
        <w:t>As the first Pacific country to release a</w:t>
      </w:r>
      <w:r w:rsidR="00DC020D">
        <w:t xml:space="preserve"> </w:t>
      </w:r>
      <w:r>
        <w:t>n</w:t>
      </w:r>
      <w:r w:rsidR="00DC020D">
        <w:t>ational</w:t>
      </w:r>
      <w:r>
        <w:t xml:space="preserve"> NCD strategy in 2004</w:t>
      </w:r>
      <w:r w:rsidR="00DC020D">
        <w:t>,</w:t>
      </w:r>
      <w:r>
        <w:t xml:space="preserve"> Tonga has been a leader in strategic and policy direction within the region. However</w:t>
      </w:r>
      <w:r w:rsidR="00FE2BE3">
        <w:t>,</w:t>
      </w:r>
      <w:r>
        <w:t xml:space="preserve"> NCDs are a chronic, whole of society </w:t>
      </w:r>
      <w:r w:rsidR="00DC020D">
        <w:t>issue</w:t>
      </w:r>
      <w:r>
        <w:t xml:space="preserve"> </w:t>
      </w:r>
      <w:r w:rsidR="00AE5632">
        <w:t>that</w:t>
      </w:r>
      <w:r>
        <w:t xml:space="preserve"> require long lasting and efficient health and societal action to effectively control and prevent.</w:t>
      </w:r>
    </w:p>
    <w:p w14:paraId="49DB2D6C" w14:textId="77777777" w:rsidR="006F241A" w:rsidRDefault="006F241A" w:rsidP="001E17BC">
      <w:pPr>
        <w:spacing w:after="0"/>
      </w:pPr>
    </w:p>
    <w:p w14:paraId="786A62D2" w14:textId="77777777" w:rsidR="0058440E" w:rsidRPr="00DD0215" w:rsidRDefault="0058440E" w:rsidP="00E036F4">
      <w:pPr>
        <w:pStyle w:val="Heading2"/>
        <w:ind w:left="0"/>
        <w:rPr>
          <w:rStyle w:val="Heading2Char"/>
          <w:b/>
        </w:rPr>
      </w:pPr>
      <w:bookmarkStart w:id="5" w:name="_Toc536205424"/>
      <w:r w:rsidRPr="00DD0215">
        <w:rPr>
          <w:rStyle w:val="Heading2Char"/>
          <w:b/>
        </w:rPr>
        <w:t>The Tonga Health Systems Support Program (THSSP)</w:t>
      </w:r>
      <w:bookmarkEnd w:id="5"/>
    </w:p>
    <w:p w14:paraId="245E0348" w14:textId="77777777" w:rsidR="003726D9" w:rsidRDefault="00E83E43" w:rsidP="00881933">
      <w:r w:rsidRPr="009C4B8B">
        <w:t xml:space="preserve">The Australia-Tonga Aid </w:t>
      </w:r>
      <w:r w:rsidR="00CB75BD">
        <w:t>p</w:t>
      </w:r>
      <w:r w:rsidRPr="009C4B8B">
        <w:t>artnership</w:t>
      </w:r>
      <w:r w:rsidR="00D72194">
        <w:t xml:space="preserve">, as documented in the </w:t>
      </w:r>
      <w:r w:rsidRPr="00716D39">
        <w:t>Aid Investment Plan (AIP)</w:t>
      </w:r>
      <w:r w:rsidR="00D72194" w:rsidRPr="00716D39">
        <w:t>,</w:t>
      </w:r>
      <w:r w:rsidRPr="00716D39">
        <w:t xml:space="preserve"> sets the strategic framework for the provision of Australian bilateral aid to Tonga. </w:t>
      </w:r>
      <w:r w:rsidR="00D72194">
        <w:t xml:space="preserve">There is one objective for the health sector: [a] </w:t>
      </w:r>
      <w:r w:rsidR="00D72194" w:rsidRPr="00716D39">
        <w:rPr>
          <w:b/>
          <w:i/>
        </w:rPr>
        <w:t>m</w:t>
      </w:r>
      <w:r w:rsidRPr="00716D39">
        <w:rPr>
          <w:b/>
          <w:i/>
        </w:rPr>
        <w:t>ore effective, efficient and equitable health system</w:t>
      </w:r>
      <w:r w:rsidR="00D72194" w:rsidRPr="00716D39">
        <w:t>. ‘</w:t>
      </w:r>
      <w:r w:rsidRPr="00716D39">
        <w:t>Australia is promoting a more effective, efficient and equitable health system in Tonga, with a focus on reducing the heal</w:t>
      </w:r>
      <w:r w:rsidR="003726D9" w:rsidRPr="00716D39">
        <w:t>th and economic burden of NCDs.</w:t>
      </w:r>
      <w:r w:rsidR="00716D39">
        <w:t>’</w:t>
      </w:r>
    </w:p>
    <w:p w14:paraId="45B0B7B3" w14:textId="77777777" w:rsidR="00240D20" w:rsidRPr="00716D39" w:rsidRDefault="00240D20" w:rsidP="00881933">
      <w:r w:rsidRPr="00240D20">
        <w:t xml:space="preserve">Since 2009, Australia has invested in Tonga’s Ministry of Health </w:t>
      </w:r>
      <w:r w:rsidR="00926535">
        <w:t>(</w:t>
      </w:r>
      <w:r w:rsidR="009E2E05">
        <w:t>MoH</w:t>
      </w:r>
      <w:r w:rsidR="00926535">
        <w:t xml:space="preserve">) </w:t>
      </w:r>
      <w:r w:rsidRPr="00240D20">
        <w:t xml:space="preserve">through the Tonga Health Systems Support Program. Phase 1 (THSSP1) of the Program </w:t>
      </w:r>
      <w:r w:rsidR="008F08FF">
        <w:t xml:space="preserve">(2009-2015) </w:t>
      </w:r>
      <w:r w:rsidRPr="00240D20">
        <w:t xml:space="preserve">aimed to improve community health services and deliver preventative health measures, while focusing on halting the rise in prevalence of NCDs and its risk factors. The program also supported improvements in primary health care services to a common national standard, a skills development twinning arrangement with Ballarat’s St John of God Hospital, provision of critical clinical positions, and mentoring and training to support the operation of </w:t>
      </w:r>
      <w:r>
        <w:t>Vaiola</w:t>
      </w:r>
      <w:r w:rsidRPr="00240D20">
        <w:t xml:space="preserve"> </w:t>
      </w:r>
      <w:r>
        <w:t>H</w:t>
      </w:r>
      <w:r w:rsidRPr="00240D20">
        <w:t xml:space="preserve">ospital. </w:t>
      </w:r>
      <w:r>
        <w:t>THSSP1</w:t>
      </w:r>
      <w:r w:rsidRPr="00240D20">
        <w:t xml:space="preserve"> also supported Tong</w:t>
      </w:r>
      <w:r w:rsidR="00AE5632">
        <w:t xml:space="preserve">a to build a cadre of specially </w:t>
      </w:r>
      <w:r w:rsidRPr="00240D20">
        <w:t>trained NCD nurses to improve the treatment of NCDs. The nurses are stationed at health and diabetes centres across Tonga, including all outer island groups.</w:t>
      </w:r>
    </w:p>
    <w:p w14:paraId="27842000" w14:textId="77777777" w:rsidR="003726D9" w:rsidRDefault="00240D20" w:rsidP="00881933">
      <w:r>
        <w:t xml:space="preserve">THSSP </w:t>
      </w:r>
      <w:r w:rsidR="00CF48BA" w:rsidRPr="007F5DB7">
        <w:t xml:space="preserve">Phase 2 (THSSP2) commenced in March 2015, with Australia agreeing to continue its support to Tonga’s health sector in order to improve health service </w:t>
      </w:r>
      <w:r w:rsidR="00746326">
        <w:t>delivery, in particular preven</w:t>
      </w:r>
      <w:r w:rsidR="00CF48BA" w:rsidRPr="007F5DB7">
        <w:t xml:space="preserve">tive health services. </w:t>
      </w:r>
      <w:r w:rsidR="00746326">
        <w:t>THSSP</w:t>
      </w:r>
      <w:r w:rsidR="003726D9" w:rsidRPr="000E3B05">
        <w:t>2 is designed to s</w:t>
      </w:r>
      <w:r w:rsidR="003726D9">
        <w:t>upport the Government of Tonga</w:t>
      </w:r>
      <w:r w:rsidR="003726D9" w:rsidRPr="000E3B05">
        <w:t xml:space="preserve"> (G</w:t>
      </w:r>
      <w:r w:rsidR="003726D9">
        <w:t>o</w:t>
      </w:r>
      <w:r w:rsidR="003726D9" w:rsidRPr="000E3B05">
        <w:t>T</w:t>
      </w:r>
      <w:r w:rsidR="003726D9">
        <w:t>)</w:t>
      </w:r>
      <w:r w:rsidR="003726D9" w:rsidRPr="000E3B05">
        <w:t xml:space="preserve"> strategy and planning for the health sector by providing support to </w:t>
      </w:r>
      <w:r w:rsidR="009E2E05">
        <w:t>MoH</w:t>
      </w:r>
      <w:r w:rsidR="003726D9" w:rsidRPr="000E3B05">
        <w:t xml:space="preserve"> </w:t>
      </w:r>
      <w:r w:rsidR="003726D9">
        <w:t>and Tonga</w:t>
      </w:r>
      <w:r w:rsidR="003726D9" w:rsidRPr="000E3B05">
        <w:t>Health to improve health service delivery, with a strong focu</w:t>
      </w:r>
      <w:r w:rsidR="003726D9">
        <w:t>s on NCDs</w:t>
      </w:r>
      <w:r w:rsidR="003726D9" w:rsidRPr="000E3B05">
        <w:t>. The program is aligned to the Tonga Strategic Development Framework II, the National Strategy to Prevent and Cont</w:t>
      </w:r>
      <w:r w:rsidR="00746326">
        <w:t xml:space="preserve">rol NCDs 2010 – 2015, and the </w:t>
      </w:r>
      <w:r w:rsidR="009E2E05">
        <w:t>MoH</w:t>
      </w:r>
      <w:r w:rsidR="003726D9" w:rsidRPr="000E3B05">
        <w:t xml:space="preserve"> Corporate </w:t>
      </w:r>
      <w:r w:rsidR="00746326">
        <w:t>Plan</w:t>
      </w:r>
      <w:r w:rsidR="0030769D">
        <w:t>s</w:t>
      </w:r>
      <w:r w:rsidR="00746326">
        <w:t xml:space="preserve"> 2015-2020. The THSSP</w:t>
      </w:r>
      <w:r w:rsidR="003726D9" w:rsidRPr="000E3B05">
        <w:t>2’s overarching objective is for a more effective, efficient and equitable preventative and primary care service for the Tongan population.</w:t>
      </w:r>
    </w:p>
    <w:p w14:paraId="12CC6EE7" w14:textId="77777777" w:rsidR="00716D39" w:rsidRDefault="00746326" w:rsidP="00881933">
      <w:pPr>
        <w:spacing w:line="276" w:lineRule="auto"/>
      </w:pPr>
      <w:r w:rsidRPr="00746326">
        <w:t>THSSP</w:t>
      </w:r>
      <w:r>
        <w:t>2</w:t>
      </w:r>
      <w:r w:rsidRPr="00746326">
        <w:t xml:space="preserve"> </w:t>
      </w:r>
      <w:r>
        <w:t xml:space="preserve">was designed to </w:t>
      </w:r>
      <w:r w:rsidRPr="00746326">
        <w:t>be orga</w:t>
      </w:r>
      <w:r w:rsidR="007C3594">
        <w:t xml:space="preserve">nised around </w:t>
      </w:r>
      <w:r w:rsidRPr="00746326">
        <w:t>funding of the annual work</w:t>
      </w:r>
      <w:r w:rsidR="002D2D08">
        <w:t xml:space="preserve"> </w:t>
      </w:r>
      <w:r w:rsidRPr="00746326">
        <w:t xml:space="preserve">plans of the </w:t>
      </w:r>
      <w:r w:rsidR="009E2E05">
        <w:t>MoH</w:t>
      </w:r>
      <w:r>
        <w:t xml:space="preserve"> </w:t>
      </w:r>
      <w:r w:rsidRPr="00746326">
        <w:t>and TongaHealth. This combines a government-led approach with support for systems</w:t>
      </w:r>
      <w:r>
        <w:t xml:space="preserve"> </w:t>
      </w:r>
      <w:r w:rsidRPr="00746326">
        <w:t>strengthening, with involvement from DFAT in agreeing areas for funding and in monitoring</w:t>
      </w:r>
      <w:r>
        <w:t xml:space="preserve"> </w:t>
      </w:r>
      <w:r w:rsidRPr="00746326">
        <w:t>achievements. A key aim of THSSP2 is to strengthen systems of planning, budgeting, financial</w:t>
      </w:r>
      <w:r>
        <w:t xml:space="preserve"> </w:t>
      </w:r>
      <w:r w:rsidRPr="00746326">
        <w:t>management and reporting so that there is strong local capacity to sustain the response to the</w:t>
      </w:r>
      <w:r>
        <w:t xml:space="preserve"> </w:t>
      </w:r>
      <w:r w:rsidRPr="00746326">
        <w:t>NCD crisis.</w:t>
      </w:r>
      <w:r>
        <w:t xml:space="preserve"> </w:t>
      </w:r>
      <w:r w:rsidR="00490102">
        <w:t xml:space="preserve">Funding </w:t>
      </w:r>
      <w:r w:rsidR="00757FE0">
        <w:t>occurs under a direct funding agreement with the Ministry of Finance (MoF)</w:t>
      </w:r>
      <w:r w:rsidR="007C3594">
        <w:t xml:space="preserve">, for the </w:t>
      </w:r>
      <w:r w:rsidR="009E2E05">
        <w:t>MoH</w:t>
      </w:r>
      <w:r w:rsidR="007C3594">
        <w:t>,</w:t>
      </w:r>
      <w:r w:rsidR="00490102">
        <w:t xml:space="preserve"> and </w:t>
      </w:r>
      <w:r w:rsidR="00757FE0">
        <w:t xml:space="preserve">a funding agreement with </w:t>
      </w:r>
      <w:r>
        <w:t>Tonga</w:t>
      </w:r>
      <w:r w:rsidRPr="007F5DB7">
        <w:t>Health</w:t>
      </w:r>
      <w:r w:rsidR="00490102">
        <w:t xml:space="preserve">. THSSP2 also funds </w:t>
      </w:r>
      <w:r w:rsidRPr="007F5DB7">
        <w:t>technical assistance</w:t>
      </w:r>
      <w:r w:rsidR="00757FE0">
        <w:t>,</w:t>
      </w:r>
      <w:r w:rsidR="00490102">
        <w:t xml:space="preserve"> procured directly by DFAT</w:t>
      </w:r>
      <w:r w:rsidR="00757FE0">
        <w:t>,</w:t>
      </w:r>
      <w:r w:rsidR="00490102">
        <w:t xml:space="preserve"> and </w:t>
      </w:r>
      <w:r>
        <w:t>program management.</w:t>
      </w:r>
    </w:p>
    <w:p w14:paraId="47C751A9" w14:textId="200739E8" w:rsidR="00633877" w:rsidRDefault="00633877" w:rsidP="00881933">
      <w:pPr>
        <w:spacing w:line="276" w:lineRule="auto"/>
      </w:pPr>
      <w:r>
        <w:t>In the parlance of international development program design, THSSP2 is designed to be ‘</w:t>
      </w:r>
      <w:r w:rsidR="00DD6EE2">
        <w:t>on budget’ and ‘</w:t>
      </w:r>
      <w:r>
        <w:t>on system’</w:t>
      </w:r>
      <w:r w:rsidR="0067532B">
        <w:t xml:space="preserve"> </w:t>
      </w:r>
      <w:r w:rsidR="00DD6EE2">
        <w:t xml:space="preserve">i.e. program </w:t>
      </w:r>
      <w:r w:rsidR="0067532B">
        <w:t xml:space="preserve">activities are </w:t>
      </w:r>
      <w:r w:rsidR="00DD6EE2">
        <w:t xml:space="preserve">budgeted as part of the annual work plans for the MoH and TongaHealth, </w:t>
      </w:r>
      <w:r w:rsidR="0078075A">
        <w:t xml:space="preserve">and </w:t>
      </w:r>
      <w:r w:rsidR="00DD6EE2">
        <w:t xml:space="preserve">program funds are managed </w:t>
      </w:r>
      <w:r w:rsidR="0078075A">
        <w:t>and expended through</w:t>
      </w:r>
      <w:r w:rsidR="00DD6EE2">
        <w:t xml:space="preserve"> GoT financial systems</w:t>
      </w:r>
      <w:r w:rsidR="0078075A">
        <w:t xml:space="preserve"> or </w:t>
      </w:r>
      <w:r w:rsidR="00DD6EE2">
        <w:t>TongaHealth grants.</w:t>
      </w:r>
      <w:r w:rsidR="002D2D08">
        <w:t xml:space="preserve"> THSSP2 </w:t>
      </w:r>
      <w:r w:rsidR="00AB0C41">
        <w:t>was also designed to be</w:t>
      </w:r>
      <w:r w:rsidR="002D2D08">
        <w:t xml:space="preserve"> ‘on plan’, to the extent that MoH and TongaHealth annual planning flows from the relevant medium</w:t>
      </w:r>
      <w:r w:rsidR="001E17BC">
        <w:t>-</w:t>
      </w:r>
      <w:r w:rsidR="002D2D08">
        <w:t>term strategic plans.</w:t>
      </w:r>
    </w:p>
    <w:p w14:paraId="44948DA5" w14:textId="77777777" w:rsidR="00FA3370" w:rsidRDefault="00FA3370" w:rsidP="00881933">
      <w:pPr>
        <w:spacing w:line="276" w:lineRule="auto"/>
      </w:pPr>
    </w:p>
    <w:p w14:paraId="120AD733" w14:textId="77777777" w:rsidR="00DD0215" w:rsidRPr="00DD0215" w:rsidRDefault="00DD0215" w:rsidP="00000502">
      <w:pPr>
        <w:pStyle w:val="Heading3"/>
      </w:pPr>
      <w:bookmarkStart w:id="6" w:name="_Toc536205425"/>
      <w:bookmarkStart w:id="7" w:name="_Toc508806371"/>
      <w:r w:rsidRPr="00DD0215">
        <w:lastRenderedPageBreak/>
        <w:t>Compatibility with Government of Tonga priorities</w:t>
      </w:r>
      <w:bookmarkEnd w:id="6"/>
      <w:bookmarkEnd w:id="7"/>
    </w:p>
    <w:p w14:paraId="44EE745A" w14:textId="77777777" w:rsidR="001F7136" w:rsidRDefault="0030769D" w:rsidP="001F7136">
      <w:pPr>
        <w:pStyle w:val="NormalWeb"/>
        <w:shd w:val="clear" w:color="auto" w:fill="FFFFFF"/>
        <w:spacing w:before="0" w:beforeAutospacing="0" w:after="0" w:afterAutospacing="0" w:line="270" w:lineRule="atLeast"/>
        <w:ind w:right="301"/>
        <w:textAlignment w:val="baseline"/>
        <w:rPr>
          <w:rFonts w:asciiTheme="minorHAnsi" w:hAnsiTheme="minorHAnsi" w:cstheme="minorHAnsi"/>
          <w:sz w:val="22"/>
          <w:szCs w:val="22"/>
        </w:rPr>
      </w:pPr>
      <w:r>
        <w:rPr>
          <w:rFonts w:asciiTheme="minorHAnsi" w:eastAsiaTheme="minorHAnsi" w:hAnsiTheme="minorHAnsi" w:cstheme="minorBidi"/>
          <w:sz w:val="22"/>
          <w:szCs w:val="22"/>
          <w:lang w:eastAsia="en-US"/>
        </w:rPr>
        <w:t>T</w:t>
      </w:r>
      <w:r w:rsidR="00E90746">
        <w:rPr>
          <w:rFonts w:asciiTheme="minorHAnsi" w:eastAsiaTheme="minorHAnsi" w:hAnsiTheme="minorHAnsi" w:cstheme="minorBidi"/>
          <w:sz w:val="22"/>
          <w:szCs w:val="22"/>
          <w:lang w:eastAsia="en-US"/>
        </w:rPr>
        <w:t xml:space="preserve">HSSP2 </w:t>
      </w:r>
      <w:r w:rsidR="007C3594">
        <w:rPr>
          <w:rFonts w:asciiTheme="minorHAnsi" w:eastAsiaTheme="minorHAnsi" w:hAnsiTheme="minorHAnsi" w:cstheme="minorBidi"/>
          <w:sz w:val="22"/>
          <w:szCs w:val="22"/>
          <w:lang w:eastAsia="en-US"/>
        </w:rPr>
        <w:t xml:space="preserve">is broadly </w:t>
      </w:r>
      <w:r w:rsidR="007D1762">
        <w:rPr>
          <w:rFonts w:asciiTheme="minorHAnsi" w:eastAsiaTheme="minorHAnsi" w:hAnsiTheme="minorHAnsi" w:cstheme="minorBidi"/>
          <w:sz w:val="22"/>
          <w:szCs w:val="22"/>
          <w:lang w:eastAsia="en-US"/>
        </w:rPr>
        <w:t xml:space="preserve">supportive of </w:t>
      </w:r>
      <w:r w:rsidR="002F257A">
        <w:rPr>
          <w:rFonts w:asciiTheme="minorHAnsi" w:eastAsiaTheme="minorHAnsi" w:hAnsiTheme="minorHAnsi" w:cstheme="minorBidi"/>
          <w:sz w:val="22"/>
          <w:szCs w:val="22"/>
          <w:lang w:eastAsia="en-US"/>
        </w:rPr>
        <w:t>t</w:t>
      </w:r>
      <w:r w:rsidR="002F257A" w:rsidRPr="00E61601">
        <w:rPr>
          <w:rFonts w:asciiTheme="minorHAnsi" w:eastAsiaTheme="minorHAnsi" w:hAnsiTheme="minorHAnsi" w:cstheme="minorHAnsi"/>
          <w:sz w:val="22"/>
          <w:szCs w:val="22"/>
        </w:rPr>
        <w:t xml:space="preserve">he health outcomes of the </w:t>
      </w:r>
      <w:r w:rsidR="002F257A" w:rsidRPr="00FA3370">
        <w:rPr>
          <w:rFonts w:asciiTheme="minorHAnsi" w:hAnsiTheme="minorHAnsi" w:cstheme="minorHAnsi"/>
          <w:i/>
          <w:sz w:val="22"/>
          <w:szCs w:val="22"/>
        </w:rPr>
        <w:t>Tonga Strategic Development Framework 2015 -2025</w:t>
      </w:r>
      <w:r w:rsidR="002F257A" w:rsidRPr="00E61601">
        <w:rPr>
          <w:rFonts w:asciiTheme="minorHAnsi" w:hAnsiTheme="minorHAnsi" w:cstheme="minorHAnsi"/>
          <w:sz w:val="22"/>
          <w:szCs w:val="22"/>
        </w:rPr>
        <w:t xml:space="preserve"> (TSDF II)</w:t>
      </w:r>
      <w:r w:rsidR="001F7136" w:rsidRPr="001F7136">
        <w:rPr>
          <w:rFonts w:asciiTheme="minorHAnsi" w:hAnsiTheme="minorHAnsi" w:cstheme="minorHAnsi"/>
          <w:sz w:val="22"/>
          <w:szCs w:val="22"/>
        </w:rPr>
        <w:t xml:space="preserve"> </w:t>
      </w:r>
      <w:r w:rsidR="001F7136">
        <w:rPr>
          <w:rFonts w:asciiTheme="minorHAnsi" w:hAnsiTheme="minorHAnsi" w:cstheme="minorHAnsi"/>
          <w:sz w:val="22"/>
          <w:szCs w:val="22"/>
        </w:rPr>
        <w:t xml:space="preserve">and </w:t>
      </w:r>
      <w:r w:rsidR="001F7136">
        <w:rPr>
          <w:rFonts w:asciiTheme="minorHAnsi" w:eastAsiaTheme="minorHAnsi" w:hAnsiTheme="minorHAnsi" w:cstheme="minorBidi"/>
          <w:sz w:val="22"/>
          <w:szCs w:val="22"/>
          <w:lang w:eastAsia="en-US"/>
        </w:rPr>
        <w:t xml:space="preserve">the goals of the </w:t>
      </w:r>
      <w:r w:rsidR="001F7136" w:rsidRPr="007D1762">
        <w:rPr>
          <w:rFonts w:asciiTheme="minorHAnsi" w:eastAsiaTheme="minorHAnsi" w:hAnsiTheme="minorHAnsi" w:cstheme="minorBidi"/>
          <w:i/>
          <w:sz w:val="22"/>
          <w:szCs w:val="22"/>
          <w:lang w:eastAsia="en-US"/>
        </w:rPr>
        <w:t>Tonga National Health Strategic Plan 2015-2020</w:t>
      </w:r>
      <w:r w:rsidR="001F7136">
        <w:rPr>
          <w:rFonts w:asciiTheme="minorHAnsi" w:hAnsiTheme="minorHAnsi" w:cstheme="minorHAnsi"/>
          <w:sz w:val="22"/>
          <w:szCs w:val="22"/>
        </w:rPr>
        <w:t>.</w:t>
      </w:r>
      <w:r w:rsidR="002F257A">
        <w:rPr>
          <w:rFonts w:asciiTheme="minorHAnsi" w:hAnsiTheme="minorHAnsi" w:cstheme="minorHAnsi"/>
          <w:sz w:val="22"/>
          <w:szCs w:val="22"/>
        </w:rPr>
        <w:t xml:space="preserve"> </w:t>
      </w:r>
      <w:r w:rsidR="001F7136">
        <w:rPr>
          <w:rFonts w:asciiTheme="minorHAnsi" w:hAnsiTheme="minorHAnsi" w:cstheme="minorHAnsi"/>
          <w:sz w:val="22"/>
          <w:szCs w:val="22"/>
        </w:rPr>
        <w:t xml:space="preserve"> </w:t>
      </w:r>
    </w:p>
    <w:p w14:paraId="0AF27CB6" w14:textId="77777777" w:rsidR="001F7136" w:rsidRDefault="001F7136" w:rsidP="001F7136">
      <w:pPr>
        <w:pStyle w:val="NormalWeb"/>
        <w:shd w:val="clear" w:color="auto" w:fill="FFFFFF"/>
        <w:spacing w:before="0" w:beforeAutospacing="0" w:after="0" w:afterAutospacing="0" w:line="270" w:lineRule="atLeast"/>
        <w:ind w:right="301"/>
        <w:textAlignment w:val="baseline"/>
        <w:rPr>
          <w:rFonts w:asciiTheme="minorHAnsi" w:hAnsiTheme="minorHAnsi" w:cstheme="minorHAnsi"/>
          <w:sz w:val="22"/>
          <w:szCs w:val="22"/>
        </w:rPr>
      </w:pPr>
    </w:p>
    <w:p w14:paraId="13A707B2" w14:textId="77777777" w:rsidR="001F7136" w:rsidRDefault="001F7136" w:rsidP="001F7136">
      <w:pPr>
        <w:pStyle w:val="NormalWeb"/>
        <w:shd w:val="clear" w:color="auto" w:fill="FFFFFF"/>
        <w:spacing w:before="0" w:beforeAutospacing="0" w:after="120" w:afterAutospacing="0" w:line="270" w:lineRule="atLeast"/>
        <w:ind w:right="301"/>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Pillar 2 “social institutions “of the TSDF II sets out the following health outcomes:</w:t>
      </w:r>
    </w:p>
    <w:p w14:paraId="09DEE646" w14:textId="77777777" w:rsidR="001F7136" w:rsidRPr="001F7136" w:rsidRDefault="001F7136" w:rsidP="006719C2">
      <w:pPr>
        <w:pStyle w:val="ListParagraph"/>
        <w:numPr>
          <w:ilvl w:val="0"/>
          <w:numId w:val="55"/>
        </w:numPr>
        <w:spacing w:after="120"/>
        <w:ind w:left="357" w:hanging="357"/>
        <w:contextualSpacing w:val="0"/>
        <w:rPr>
          <w:color w:val="000000"/>
        </w:rPr>
      </w:pPr>
      <w:r>
        <w:t xml:space="preserve">Outcome 2.5: Improved health care and delivery systems (universal health coverage): </w:t>
      </w:r>
      <w:r w:rsidRPr="001F7136">
        <w:rPr>
          <w:color w:val="000000"/>
        </w:rPr>
        <w:t>Improved, country-wide, health care systems which better address the medical conditions becoming more prevalent in Tonga so hastening recovery and limiting pain and suffering.</w:t>
      </w:r>
    </w:p>
    <w:p w14:paraId="4734BE28" w14:textId="77777777" w:rsidR="001F7136" w:rsidRPr="001F7136" w:rsidRDefault="001F7136" w:rsidP="006719C2">
      <w:pPr>
        <w:pStyle w:val="ListParagraph"/>
        <w:numPr>
          <w:ilvl w:val="0"/>
          <w:numId w:val="55"/>
        </w:numPr>
        <w:spacing w:after="120"/>
        <w:ind w:left="357" w:hanging="357"/>
        <w:contextualSpacing w:val="0"/>
        <w:rPr>
          <w:color w:val="000000"/>
        </w:rPr>
      </w:pPr>
      <w:r w:rsidRPr="001F7136">
        <w:rPr>
          <w:color w:val="000000"/>
        </w:rPr>
        <w:t xml:space="preserve">Outcome 2.6: </w:t>
      </w:r>
      <w:r w:rsidRPr="001F7136">
        <w:rPr>
          <w:rFonts w:ascii="Calibri" w:hAnsi="Calibri" w:cs="Calibri"/>
          <w:bCs/>
          <w:iCs/>
          <w:color w:val="000000"/>
        </w:rPr>
        <w:t xml:space="preserve">Stronger integrated approaches to address both communicable and non-communicable diseases: </w:t>
      </w:r>
      <w:r w:rsidRPr="001F7136">
        <w:rPr>
          <w:color w:val="000000"/>
        </w:rPr>
        <w:t>A stronger and more integrated approach by all parts of society, to address communicable and non-communicable disease, significantly cutting the rate of these diseases and the burden they place upon communities and the economy.</w:t>
      </w:r>
    </w:p>
    <w:p w14:paraId="4D6FDD3F" w14:textId="77777777" w:rsidR="001F7136" w:rsidRPr="00E619AE" w:rsidRDefault="001F7136" w:rsidP="006719C2">
      <w:pPr>
        <w:pStyle w:val="ListParagraph"/>
        <w:numPr>
          <w:ilvl w:val="0"/>
          <w:numId w:val="55"/>
        </w:numPr>
        <w:spacing w:after="120"/>
        <w:ind w:left="357" w:hanging="357"/>
        <w:contextualSpacing w:val="0"/>
      </w:pPr>
      <w:r w:rsidRPr="001F7136">
        <w:rPr>
          <w:color w:val="000000"/>
        </w:rPr>
        <w:t xml:space="preserve">Outcome 2.7: </w:t>
      </w:r>
      <w:r w:rsidRPr="001F7136">
        <w:rPr>
          <w:rFonts w:ascii="Calibri" w:hAnsi="Calibri" w:cs="Calibri"/>
          <w:bCs/>
          <w:iCs/>
          <w:color w:val="000000"/>
        </w:rPr>
        <w:t xml:space="preserve">Better care &amp; support for vulnerable people, in particular the disabled: </w:t>
      </w:r>
      <w:r w:rsidRPr="001F7136">
        <w:rPr>
          <w:color w:val="000000"/>
        </w:rPr>
        <w:t>Better care and support for vulnerable people that ensures the elderly, the young, disabled and others with particular needs continue to be supported and protected despite shrinking extended families and other changing social institutions.</w:t>
      </w:r>
    </w:p>
    <w:p w14:paraId="5787961F" w14:textId="77777777" w:rsidR="001F7136" w:rsidRDefault="001F7136" w:rsidP="00881933">
      <w:pPr>
        <w:pStyle w:val="NormalWeb"/>
        <w:shd w:val="clear" w:color="auto" w:fill="FFFFFF"/>
        <w:spacing w:before="0" w:beforeAutospacing="0" w:after="0" w:afterAutospacing="0" w:line="270" w:lineRule="atLeast"/>
        <w:ind w:right="301"/>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relevant parts of the Tonga National Health Strategic Plan are set out in </w:t>
      </w:r>
      <w:r w:rsidR="00C930D1">
        <w:rPr>
          <w:rFonts w:asciiTheme="minorHAnsi" w:eastAsiaTheme="minorHAnsi" w:hAnsiTheme="minorHAnsi" w:cstheme="minorBidi"/>
          <w:sz w:val="22"/>
          <w:szCs w:val="22"/>
          <w:lang w:eastAsia="en-US"/>
        </w:rPr>
        <w:t>Table 1</w:t>
      </w:r>
      <w:r>
        <w:rPr>
          <w:rFonts w:asciiTheme="minorHAnsi" w:eastAsiaTheme="minorHAnsi" w:hAnsiTheme="minorHAnsi" w:cstheme="minorBidi"/>
          <w:sz w:val="22"/>
          <w:szCs w:val="22"/>
          <w:lang w:eastAsia="en-US"/>
        </w:rPr>
        <w:t xml:space="preserve"> below. </w:t>
      </w:r>
    </w:p>
    <w:p w14:paraId="0797141C" w14:textId="77777777" w:rsidR="001F7136" w:rsidRDefault="001F7136" w:rsidP="00881933">
      <w:pPr>
        <w:pStyle w:val="NormalWeb"/>
        <w:shd w:val="clear" w:color="auto" w:fill="FFFFFF"/>
        <w:spacing w:before="0" w:beforeAutospacing="0" w:after="0" w:afterAutospacing="0" w:line="270" w:lineRule="atLeast"/>
        <w:ind w:right="301"/>
        <w:textAlignment w:val="baseline"/>
        <w:rPr>
          <w:rFonts w:asciiTheme="minorHAnsi" w:eastAsiaTheme="minorHAnsi" w:hAnsiTheme="minorHAnsi" w:cstheme="minorBidi"/>
          <w:b/>
          <w:sz w:val="22"/>
          <w:szCs w:val="22"/>
          <w:lang w:eastAsia="en-US"/>
        </w:rPr>
      </w:pPr>
    </w:p>
    <w:p w14:paraId="49EB186A" w14:textId="77777777" w:rsidR="0030769D" w:rsidRPr="007C3594" w:rsidRDefault="00022D77" w:rsidP="00881933">
      <w:pPr>
        <w:pStyle w:val="NormalWeb"/>
        <w:shd w:val="clear" w:color="auto" w:fill="FFFFFF"/>
        <w:spacing w:before="0" w:beforeAutospacing="0" w:after="0" w:afterAutospacing="0" w:line="270" w:lineRule="atLeast"/>
        <w:ind w:right="301"/>
        <w:textAlignment w:val="baseline"/>
        <w:rPr>
          <w:rFonts w:asciiTheme="minorHAnsi" w:eastAsiaTheme="minorHAnsi" w:hAnsiTheme="minorHAnsi" w:cstheme="minorBidi"/>
          <w:b/>
          <w:sz w:val="22"/>
          <w:szCs w:val="22"/>
          <w:lang w:eastAsia="en-US"/>
        </w:rPr>
      </w:pPr>
      <w:r w:rsidRPr="007C3594">
        <w:rPr>
          <w:rFonts w:asciiTheme="minorHAnsi" w:eastAsiaTheme="minorHAnsi" w:hAnsiTheme="minorHAnsi" w:cstheme="minorBidi"/>
          <w:b/>
          <w:sz w:val="22"/>
          <w:szCs w:val="22"/>
          <w:lang w:eastAsia="en-US"/>
        </w:rPr>
        <w:t xml:space="preserve">Table </w:t>
      </w:r>
      <w:r w:rsidR="0030769D" w:rsidRPr="007C3594">
        <w:rPr>
          <w:rFonts w:asciiTheme="minorHAnsi" w:eastAsiaTheme="minorHAnsi" w:hAnsiTheme="minorHAnsi" w:cstheme="minorBidi"/>
          <w:b/>
          <w:sz w:val="22"/>
          <w:szCs w:val="22"/>
          <w:lang w:eastAsia="en-US"/>
        </w:rPr>
        <w:t xml:space="preserve">1: </w:t>
      </w:r>
      <w:r w:rsidR="007C3594" w:rsidRPr="007C3594">
        <w:rPr>
          <w:rFonts w:asciiTheme="minorHAnsi" w:eastAsiaTheme="minorHAnsi" w:hAnsiTheme="minorHAnsi" w:cstheme="minorBidi"/>
          <w:b/>
          <w:sz w:val="22"/>
          <w:szCs w:val="22"/>
          <w:lang w:eastAsia="en-US"/>
        </w:rPr>
        <w:t>Tonga National Health Strategic Plan 2015-2020</w:t>
      </w:r>
      <w:r w:rsidR="007C3594">
        <w:rPr>
          <w:rFonts w:asciiTheme="minorHAnsi" w:eastAsiaTheme="minorHAnsi" w:hAnsiTheme="minorHAnsi" w:cstheme="minorBidi"/>
          <w:b/>
          <w:sz w:val="22"/>
          <w:szCs w:val="22"/>
          <w:lang w:eastAsia="en-US"/>
        </w:rPr>
        <w:t>:</w:t>
      </w:r>
      <w:r w:rsidR="007C3594" w:rsidRPr="007C3594">
        <w:rPr>
          <w:rFonts w:asciiTheme="minorHAnsi" w:eastAsiaTheme="minorHAnsi" w:hAnsiTheme="minorHAnsi" w:cstheme="minorBidi"/>
          <w:b/>
          <w:sz w:val="22"/>
          <w:szCs w:val="22"/>
          <w:lang w:eastAsia="en-US"/>
        </w:rPr>
        <w:t xml:space="preserve"> </w:t>
      </w:r>
      <w:r w:rsidR="007C3594">
        <w:rPr>
          <w:rFonts w:asciiTheme="minorHAnsi" w:eastAsiaTheme="minorHAnsi" w:hAnsiTheme="minorHAnsi" w:cstheme="minorBidi"/>
          <w:b/>
          <w:sz w:val="22"/>
          <w:szCs w:val="22"/>
          <w:lang w:eastAsia="en-US"/>
        </w:rPr>
        <w:t>key result</w:t>
      </w:r>
      <w:r w:rsidR="007C3594" w:rsidRPr="007C3594">
        <w:rPr>
          <w:rFonts w:asciiTheme="minorHAnsi" w:eastAsiaTheme="minorHAnsi" w:hAnsiTheme="minorHAnsi" w:cstheme="minorBidi"/>
          <w:b/>
          <w:sz w:val="22"/>
          <w:szCs w:val="22"/>
          <w:lang w:eastAsia="en-US"/>
        </w:rPr>
        <w:t xml:space="preserve"> areas and goals</w:t>
      </w:r>
    </w:p>
    <w:tbl>
      <w:tblPr>
        <w:tblStyle w:val="TableGrid"/>
        <w:tblW w:w="0" w:type="auto"/>
        <w:tblLook w:val="04A0" w:firstRow="1" w:lastRow="0" w:firstColumn="1" w:lastColumn="0" w:noHBand="0" w:noVBand="1"/>
      </w:tblPr>
      <w:tblGrid>
        <w:gridCol w:w="3539"/>
        <w:gridCol w:w="5477"/>
      </w:tblGrid>
      <w:tr w:rsidR="0030769D" w14:paraId="2590AD35" w14:textId="77777777" w:rsidTr="007C3594">
        <w:trPr>
          <w:tblHeader/>
        </w:trPr>
        <w:tc>
          <w:tcPr>
            <w:tcW w:w="3539" w:type="dxa"/>
            <w:shd w:val="clear" w:color="auto" w:fill="D9D9D9" w:themeFill="background1" w:themeFillShade="D9"/>
          </w:tcPr>
          <w:p w14:paraId="5B1474B8" w14:textId="77777777" w:rsidR="0030769D" w:rsidRPr="007C3594" w:rsidRDefault="0030769D" w:rsidP="00984E29">
            <w:pPr>
              <w:pStyle w:val="NormalWeb"/>
              <w:spacing w:before="0" w:beforeAutospacing="0" w:after="270" w:afterAutospacing="0" w:line="270" w:lineRule="atLeast"/>
              <w:ind w:right="300"/>
              <w:textAlignment w:val="baseline"/>
              <w:rPr>
                <w:rFonts w:asciiTheme="minorHAnsi" w:eastAsiaTheme="minorHAnsi" w:hAnsiTheme="minorHAnsi" w:cstheme="minorHAnsi"/>
                <w:b/>
                <w:i/>
                <w:sz w:val="20"/>
                <w:szCs w:val="20"/>
                <w:lang w:eastAsia="en-US"/>
              </w:rPr>
            </w:pPr>
            <w:r w:rsidRPr="007C3594">
              <w:rPr>
                <w:rFonts w:asciiTheme="minorHAnsi" w:eastAsiaTheme="minorHAnsi" w:hAnsiTheme="minorHAnsi" w:cstheme="minorHAnsi"/>
                <w:b/>
                <w:i/>
                <w:sz w:val="20"/>
                <w:szCs w:val="20"/>
                <w:lang w:eastAsia="en-US"/>
              </w:rPr>
              <w:t>Key Result Area</w:t>
            </w:r>
          </w:p>
        </w:tc>
        <w:tc>
          <w:tcPr>
            <w:tcW w:w="5477" w:type="dxa"/>
            <w:shd w:val="clear" w:color="auto" w:fill="D9D9D9" w:themeFill="background1" w:themeFillShade="D9"/>
          </w:tcPr>
          <w:p w14:paraId="3ACEAB5C" w14:textId="77777777" w:rsidR="0030769D" w:rsidRPr="007C3594" w:rsidRDefault="00E90746" w:rsidP="00984E29">
            <w:pPr>
              <w:pStyle w:val="NormalWeb"/>
              <w:spacing w:before="0" w:beforeAutospacing="0" w:after="270" w:afterAutospacing="0" w:line="270" w:lineRule="atLeast"/>
              <w:ind w:right="300"/>
              <w:textAlignment w:val="baseline"/>
              <w:rPr>
                <w:rFonts w:asciiTheme="minorHAnsi" w:eastAsiaTheme="minorHAnsi" w:hAnsiTheme="minorHAnsi" w:cstheme="minorHAnsi"/>
                <w:b/>
                <w:i/>
                <w:sz w:val="20"/>
                <w:szCs w:val="20"/>
                <w:lang w:eastAsia="en-US"/>
              </w:rPr>
            </w:pPr>
            <w:r w:rsidRPr="007C3594">
              <w:rPr>
                <w:rFonts w:asciiTheme="minorHAnsi" w:eastAsiaTheme="minorHAnsi" w:hAnsiTheme="minorHAnsi" w:cstheme="minorHAnsi"/>
                <w:b/>
                <w:i/>
                <w:sz w:val="20"/>
                <w:szCs w:val="20"/>
                <w:lang w:eastAsia="en-US"/>
              </w:rPr>
              <w:t>Goal</w:t>
            </w:r>
          </w:p>
        </w:tc>
      </w:tr>
      <w:tr w:rsidR="0030769D" w14:paraId="4C3A55EE" w14:textId="77777777" w:rsidTr="007C3594">
        <w:tc>
          <w:tcPr>
            <w:tcW w:w="3539" w:type="dxa"/>
          </w:tcPr>
          <w:p w14:paraId="3A519A5A" w14:textId="77777777" w:rsidR="0030769D" w:rsidRPr="007C3594" w:rsidRDefault="00E90746" w:rsidP="00E90746">
            <w:pPr>
              <w:rPr>
                <w:rFonts w:cstheme="minorHAnsi"/>
                <w:sz w:val="20"/>
                <w:szCs w:val="20"/>
                <w:highlight w:val="yellow"/>
              </w:rPr>
            </w:pPr>
            <w:r w:rsidRPr="007C3594">
              <w:rPr>
                <w:rFonts w:cstheme="minorHAnsi"/>
                <w:sz w:val="20"/>
                <w:szCs w:val="20"/>
              </w:rPr>
              <w:t>KRA 1: SERVICE DELIVERY</w:t>
            </w:r>
          </w:p>
        </w:tc>
        <w:tc>
          <w:tcPr>
            <w:tcW w:w="5477" w:type="dxa"/>
          </w:tcPr>
          <w:p w14:paraId="679B4F33" w14:textId="77777777" w:rsidR="0030769D" w:rsidRPr="007C3594" w:rsidRDefault="00E90746" w:rsidP="007C3594">
            <w:pPr>
              <w:rPr>
                <w:rFonts w:cstheme="minorHAnsi"/>
                <w:sz w:val="20"/>
                <w:szCs w:val="20"/>
                <w:highlight w:val="yellow"/>
              </w:rPr>
            </w:pPr>
            <w:r w:rsidRPr="007C3594">
              <w:rPr>
                <w:rFonts w:cstheme="minorHAnsi"/>
                <w:sz w:val="20"/>
                <w:szCs w:val="20"/>
              </w:rPr>
              <w:t>To provide the best attainable quality health care services through</w:t>
            </w:r>
            <w:r w:rsidR="007C3594" w:rsidRPr="007C3594">
              <w:rPr>
                <w:rFonts w:cstheme="minorHAnsi"/>
                <w:sz w:val="20"/>
                <w:szCs w:val="20"/>
              </w:rPr>
              <w:t xml:space="preserve"> </w:t>
            </w:r>
            <w:r w:rsidRPr="007C3594">
              <w:rPr>
                <w:rFonts w:cstheme="minorHAnsi"/>
                <w:sz w:val="20"/>
                <w:szCs w:val="20"/>
              </w:rPr>
              <w:t>promotion of good health, reducing morbidity, disability and premature</w:t>
            </w:r>
            <w:r w:rsidR="007C3594" w:rsidRPr="007C3594">
              <w:rPr>
                <w:rFonts w:cstheme="minorHAnsi"/>
                <w:sz w:val="20"/>
                <w:szCs w:val="20"/>
              </w:rPr>
              <w:t xml:space="preserve"> </w:t>
            </w:r>
            <w:r w:rsidRPr="007C3594">
              <w:rPr>
                <w:rFonts w:cstheme="minorHAnsi"/>
                <w:sz w:val="20"/>
                <w:szCs w:val="20"/>
              </w:rPr>
              <w:t>(death) mortality.</w:t>
            </w:r>
          </w:p>
        </w:tc>
      </w:tr>
      <w:tr w:rsidR="0030769D" w14:paraId="2BD48576" w14:textId="77777777" w:rsidTr="007C3594">
        <w:tc>
          <w:tcPr>
            <w:tcW w:w="3539" w:type="dxa"/>
          </w:tcPr>
          <w:p w14:paraId="74FF75B5" w14:textId="77777777" w:rsidR="0030769D" w:rsidRPr="007C3594" w:rsidRDefault="00E90746" w:rsidP="00E90746">
            <w:pPr>
              <w:rPr>
                <w:rFonts w:cstheme="minorHAnsi"/>
                <w:sz w:val="20"/>
                <w:szCs w:val="20"/>
                <w:highlight w:val="yellow"/>
              </w:rPr>
            </w:pPr>
            <w:r w:rsidRPr="007C3594">
              <w:rPr>
                <w:rFonts w:cstheme="minorHAnsi"/>
                <w:sz w:val="20"/>
                <w:szCs w:val="20"/>
              </w:rPr>
              <w:t>KRA 2: HEALTH WORKFORCE</w:t>
            </w:r>
          </w:p>
        </w:tc>
        <w:tc>
          <w:tcPr>
            <w:tcW w:w="5477" w:type="dxa"/>
          </w:tcPr>
          <w:p w14:paraId="07539053" w14:textId="77777777" w:rsidR="0030769D" w:rsidRPr="007C3594" w:rsidRDefault="00E90746" w:rsidP="007C3594">
            <w:pPr>
              <w:rPr>
                <w:rFonts w:cstheme="minorHAnsi"/>
                <w:sz w:val="20"/>
                <w:szCs w:val="20"/>
              </w:rPr>
            </w:pPr>
            <w:r w:rsidRPr="007C3594">
              <w:rPr>
                <w:rFonts w:cstheme="minorHAnsi"/>
                <w:sz w:val="20"/>
                <w:szCs w:val="20"/>
              </w:rPr>
              <w:t>To provide the best attainable human resource services and wo</w:t>
            </w:r>
            <w:r w:rsidR="007C3594" w:rsidRPr="007C3594">
              <w:rPr>
                <w:rFonts w:cstheme="minorHAnsi"/>
                <w:sz w:val="20"/>
                <w:szCs w:val="20"/>
              </w:rPr>
              <w:t>r</w:t>
            </w:r>
            <w:r w:rsidRPr="007C3594">
              <w:rPr>
                <w:rFonts w:cstheme="minorHAnsi"/>
                <w:sz w:val="20"/>
                <w:szCs w:val="20"/>
              </w:rPr>
              <w:t>kforce</w:t>
            </w:r>
            <w:r w:rsidR="007C3594" w:rsidRPr="007C3594">
              <w:rPr>
                <w:rFonts w:cstheme="minorHAnsi"/>
                <w:sz w:val="20"/>
                <w:szCs w:val="20"/>
              </w:rPr>
              <w:t xml:space="preserve"> </w:t>
            </w:r>
            <w:r w:rsidRPr="007C3594">
              <w:rPr>
                <w:rFonts w:cstheme="minorHAnsi"/>
                <w:sz w:val="20"/>
                <w:szCs w:val="20"/>
              </w:rPr>
              <w:t>systems that can serve the best attainabl</w:t>
            </w:r>
            <w:r w:rsidR="007C3594" w:rsidRPr="007C3594">
              <w:rPr>
                <w:rFonts w:cstheme="minorHAnsi"/>
                <w:sz w:val="20"/>
                <w:szCs w:val="20"/>
              </w:rPr>
              <w:t>e quality health care services.</w:t>
            </w:r>
          </w:p>
        </w:tc>
      </w:tr>
      <w:tr w:rsidR="0030769D" w14:paraId="164ED602" w14:textId="77777777" w:rsidTr="007C3594">
        <w:tc>
          <w:tcPr>
            <w:tcW w:w="3539" w:type="dxa"/>
          </w:tcPr>
          <w:p w14:paraId="1310DA62" w14:textId="77777777" w:rsidR="0030769D" w:rsidRPr="007C3594" w:rsidRDefault="00E90746" w:rsidP="00E90746">
            <w:pPr>
              <w:rPr>
                <w:rFonts w:cstheme="minorHAnsi"/>
                <w:sz w:val="20"/>
                <w:szCs w:val="20"/>
                <w:highlight w:val="yellow"/>
              </w:rPr>
            </w:pPr>
            <w:r w:rsidRPr="007C3594">
              <w:rPr>
                <w:rFonts w:cstheme="minorHAnsi"/>
                <w:sz w:val="20"/>
                <w:szCs w:val="20"/>
              </w:rPr>
              <w:t>KRA 3: INFRASTRUCTURE, MEDICAL PRODUCTS AND TECHNOLOGY</w:t>
            </w:r>
          </w:p>
        </w:tc>
        <w:tc>
          <w:tcPr>
            <w:tcW w:w="5477" w:type="dxa"/>
          </w:tcPr>
          <w:p w14:paraId="0896A544" w14:textId="77777777" w:rsidR="0030769D" w:rsidRPr="007C3594" w:rsidRDefault="007C3594" w:rsidP="007C3594">
            <w:pPr>
              <w:rPr>
                <w:rFonts w:cstheme="minorHAnsi"/>
                <w:sz w:val="20"/>
                <w:szCs w:val="20"/>
                <w:highlight w:val="yellow"/>
              </w:rPr>
            </w:pPr>
            <w:r w:rsidRPr="007C3594">
              <w:rPr>
                <w:rFonts w:cstheme="minorHAnsi"/>
                <w:sz w:val="20"/>
                <w:szCs w:val="20"/>
              </w:rPr>
              <w:t>To provide the best attainable i</w:t>
            </w:r>
            <w:r w:rsidR="00E90746" w:rsidRPr="007C3594">
              <w:rPr>
                <w:rFonts w:cstheme="minorHAnsi"/>
                <w:sz w:val="20"/>
                <w:szCs w:val="20"/>
              </w:rPr>
              <w:t xml:space="preserve">nfrastructure, </w:t>
            </w:r>
            <w:r w:rsidRPr="007C3594">
              <w:rPr>
                <w:rFonts w:cstheme="minorHAnsi"/>
                <w:sz w:val="20"/>
                <w:szCs w:val="20"/>
              </w:rPr>
              <w:t>medical p</w:t>
            </w:r>
            <w:r w:rsidR="00E90746" w:rsidRPr="007C3594">
              <w:rPr>
                <w:rFonts w:cstheme="minorHAnsi"/>
                <w:sz w:val="20"/>
                <w:szCs w:val="20"/>
              </w:rPr>
              <w:t>roducts and</w:t>
            </w:r>
            <w:r w:rsidRPr="007C3594">
              <w:rPr>
                <w:rFonts w:cstheme="minorHAnsi"/>
                <w:sz w:val="20"/>
                <w:szCs w:val="20"/>
              </w:rPr>
              <w:t xml:space="preserve"> t</w:t>
            </w:r>
            <w:r w:rsidR="00E90746" w:rsidRPr="007C3594">
              <w:rPr>
                <w:rFonts w:cstheme="minorHAnsi"/>
                <w:sz w:val="20"/>
                <w:szCs w:val="20"/>
              </w:rPr>
              <w:t>echnology that is needed to deliver the entire minimum required health care</w:t>
            </w:r>
            <w:r w:rsidRPr="007C3594">
              <w:rPr>
                <w:rFonts w:cstheme="minorHAnsi"/>
                <w:sz w:val="20"/>
                <w:szCs w:val="20"/>
              </w:rPr>
              <w:t xml:space="preserve"> services in Tonga.</w:t>
            </w:r>
          </w:p>
        </w:tc>
      </w:tr>
      <w:tr w:rsidR="0030769D" w14:paraId="5D74C7BA" w14:textId="77777777" w:rsidTr="007C3594">
        <w:tc>
          <w:tcPr>
            <w:tcW w:w="3539" w:type="dxa"/>
          </w:tcPr>
          <w:p w14:paraId="6974B5F5" w14:textId="77777777" w:rsidR="0030769D" w:rsidRPr="007C3594" w:rsidRDefault="00E90746" w:rsidP="00E90746">
            <w:pPr>
              <w:rPr>
                <w:rFonts w:cstheme="minorHAnsi"/>
                <w:sz w:val="20"/>
                <w:szCs w:val="20"/>
                <w:highlight w:val="yellow"/>
              </w:rPr>
            </w:pPr>
            <w:r w:rsidRPr="007C3594">
              <w:rPr>
                <w:rFonts w:cstheme="minorHAnsi"/>
                <w:sz w:val="20"/>
                <w:szCs w:val="20"/>
              </w:rPr>
              <w:t>KRA 4: LEADERSHIP AND GOVERNANCE</w:t>
            </w:r>
          </w:p>
        </w:tc>
        <w:tc>
          <w:tcPr>
            <w:tcW w:w="5477" w:type="dxa"/>
          </w:tcPr>
          <w:p w14:paraId="3D7570CA" w14:textId="77777777" w:rsidR="0030769D" w:rsidRPr="007C3594" w:rsidRDefault="00E90746" w:rsidP="007C3594">
            <w:pPr>
              <w:rPr>
                <w:rFonts w:cstheme="minorHAnsi"/>
                <w:sz w:val="20"/>
                <w:szCs w:val="20"/>
                <w:highlight w:val="yellow"/>
              </w:rPr>
            </w:pPr>
            <w:r w:rsidRPr="007C3594">
              <w:rPr>
                <w:rFonts w:cstheme="minorHAnsi"/>
                <w:sz w:val="20"/>
                <w:szCs w:val="20"/>
              </w:rPr>
              <w:t>To provide efficient and effective</w:t>
            </w:r>
            <w:r w:rsidR="007C3594" w:rsidRPr="007C3594">
              <w:rPr>
                <w:rFonts w:cstheme="minorHAnsi"/>
                <w:sz w:val="20"/>
                <w:szCs w:val="20"/>
              </w:rPr>
              <w:t xml:space="preserve"> leadership and governance s</w:t>
            </w:r>
            <w:r w:rsidRPr="007C3594">
              <w:rPr>
                <w:rFonts w:cstheme="minorHAnsi"/>
                <w:sz w:val="20"/>
                <w:szCs w:val="20"/>
              </w:rPr>
              <w:t>ystems</w:t>
            </w:r>
            <w:r w:rsidR="007C3594" w:rsidRPr="007C3594">
              <w:rPr>
                <w:rFonts w:cstheme="minorHAnsi"/>
                <w:sz w:val="20"/>
                <w:szCs w:val="20"/>
              </w:rPr>
              <w:t xml:space="preserve"> </w:t>
            </w:r>
            <w:r w:rsidRPr="007C3594">
              <w:rPr>
                <w:rFonts w:cstheme="minorHAnsi"/>
                <w:sz w:val="20"/>
                <w:szCs w:val="20"/>
              </w:rPr>
              <w:t>that would produce and deliver the best attainable health care services to</w:t>
            </w:r>
            <w:r w:rsidR="007C3594" w:rsidRPr="007C3594">
              <w:rPr>
                <w:rFonts w:cstheme="minorHAnsi"/>
                <w:sz w:val="20"/>
                <w:szCs w:val="20"/>
              </w:rPr>
              <w:t xml:space="preserve"> the people of Tonga.</w:t>
            </w:r>
          </w:p>
        </w:tc>
      </w:tr>
      <w:tr w:rsidR="0030769D" w14:paraId="19857B70" w14:textId="77777777" w:rsidTr="007C3594">
        <w:tc>
          <w:tcPr>
            <w:tcW w:w="3539" w:type="dxa"/>
          </w:tcPr>
          <w:p w14:paraId="641F1C4F" w14:textId="77777777" w:rsidR="0030769D" w:rsidRPr="007C3594" w:rsidRDefault="00E90746" w:rsidP="00E90746">
            <w:pPr>
              <w:rPr>
                <w:rFonts w:cstheme="minorHAnsi"/>
                <w:sz w:val="20"/>
                <w:szCs w:val="20"/>
                <w:highlight w:val="yellow"/>
              </w:rPr>
            </w:pPr>
            <w:r w:rsidRPr="007C3594">
              <w:rPr>
                <w:rFonts w:cstheme="minorHAnsi"/>
                <w:sz w:val="20"/>
                <w:szCs w:val="20"/>
              </w:rPr>
              <w:t>KRA 5: INFORMATION</w:t>
            </w:r>
            <w:r w:rsidR="007C3594">
              <w:rPr>
                <w:rFonts w:cstheme="minorHAnsi"/>
                <w:sz w:val="20"/>
                <w:szCs w:val="20"/>
              </w:rPr>
              <w:t>, RESEARCH, POLICY AND PLANNING</w:t>
            </w:r>
          </w:p>
        </w:tc>
        <w:tc>
          <w:tcPr>
            <w:tcW w:w="5477" w:type="dxa"/>
          </w:tcPr>
          <w:p w14:paraId="188DF890" w14:textId="77777777" w:rsidR="0030769D" w:rsidRPr="007C3594" w:rsidRDefault="00E90746" w:rsidP="007C3594">
            <w:pPr>
              <w:rPr>
                <w:rFonts w:cstheme="minorHAnsi"/>
                <w:sz w:val="20"/>
                <w:szCs w:val="20"/>
                <w:highlight w:val="yellow"/>
              </w:rPr>
            </w:pPr>
            <w:r w:rsidRPr="007C3594">
              <w:rPr>
                <w:rFonts w:cstheme="minorHAnsi"/>
                <w:sz w:val="20"/>
                <w:szCs w:val="20"/>
              </w:rPr>
              <w:t>To provide the best attainable policy and planning services that is</w:t>
            </w:r>
            <w:r w:rsidR="007C3594" w:rsidRPr="007C3594">
              <w:rPr>
                <w:rFonts w:cstheme="minorHAnsi"/>
                <w:sz w:val="20"/>
                <w:szCs w:val="20"/>
              </w:rPr>
              <w:t xml:space="preserve"> </w:t>
            </w:r>
            <w:r w:rsidRPr="007C3594">
              <w:rPr>
                <w:rFonts w:cstheme="minorHAnsi"/>
                <w:sz w:val="20"/>
                <w:szCs w:val="20"/>
              </w:rPr>
              <w:t>guided by credible information and research to ensure the cost effectiveness</w:t>
            </w:r>
            <w:r w:rsidR="007C3594" w:rsidRPr="007C3594">
              <w:rPr>
                <w:rFonts w:cstheme="minorHAnsi"/>
                <w:sz w:val="20"/>
                <w:szCs w:val="20"/>
              </w:rPr>
              <w:t xml:space="preserve"> </w:t>
            </w:r>
            <w:r w:rsidRPr="007C3594">
              <w:rPr>
                <w:rFonts w:cstheme="minorHAnsi"/>
                <w:sz w:val="20"/>
                <w:szCs w:val="20"/>
              </w:rPr>
              <w:t>of health care services in relation to heal</w:t>
            </w:r>
            <w:r w:rsidR="007C3594" w:rsidRPr="007C3594">
              <w:rPr>
                <w:rFonts w:cstheme="minorHAnsi"/>
                <w:sz w:val="20"/>
                <w:szCs w:val="20"/>
              </w:rPr>
              <w:t>th needs and problems of Tonga.</w:t>
            </w:r>
          </w:p>
        </w:tc>
      </w:tr>
      <w:tr w:rsidR="0030769D" w14:paraId="7BD837C5" w14:textId="77777777" w:rsidTr="007C3594">
        <w:tc>
          <w:tcPr>
            <w:tcW w:w="3539" w:type="dxa"/>
          </w:tcPr>
          <w:p w14:paraId="30DD4A56" w14:textId="77777777" w:rsidR="0030769D" w:rsidRPr="007C3594" w:rsidRDefault="007C3594" w:rsidP="00E90746">
            <w:pPr>
              <w:rPr>
                <w:rFonts w:cstheme="minorHAnsi"/>
                <w:sz w:val="20"/>
                <w:szCs w:val="20"/>
                <w:highlight w:val="yellow"/>
              </w:rPr>
            </w:pPr>
            <w:r>
              <w:rPr>
                <w:rFonts w:cstheme="minorHAnsi"/>
                <w:sz w:val="20"/>
                <w:szCs w:val="20"/>
              </w:rPr>
              <w:t>KRA 6: HEALTHCARE FINANCE</w:t>
            </w:r>
          </w:p>
        </w:tc>
        <w:tc>
          <w:tcPr>
            <w:tcW w:w="5477" w:type="dxa"/>
          </w:tcPr>
          <w:p w14:paraId="34798622" w14:textId="77777777" w:rsidR="00E90746" w:rsidRPr="007C3594" w:rsidRDefault="00E90746" w:rsidP="00E90746">
            <w:pPr>
              <w:rPr>
                <w:rFonts w:cstheme="minorHAnsi"/>
                <w:sz w:val="20"/>
                <w:szCs w:val="20"/>
                <w:highlight w:val="yellow"/>
              </w:rPr>
            </w:pPr>
            <w:r w:rsidRPr="007C3594">
              <w:rPr>
                <w:rFonts w:cstheme="minorHAnsi"/>
                <w:sz w:val="20"/>
                <w:szCs w:val="20"/>
              </w:rPr>
              <w:t>To improve financial support for efficient implementation of health</w:t>
            </w:r>
            <w:r w:rsidR="007C3594" w:rsidRPr="007C3594">
              <w:rPr>
                <w:rFonts w:cstheme="minorHAnsi"/>
                <w:sz w:val="20"/>
                <w:szCs w:val="20"/>
              </w:rPr>
              <w:t xml:space="preserve"> </w:t>
            </w:r>
            <w:r w:rsidRPr="007C3594">
              <w:rPr>
                <w:rFonts w:cstheme="minorHAnsi"/>
                <w:sz w:val="20"/>
                <w:szCs w:val="20"/>
              </w:rPr>
              <w:t>services in Tonga.</w:t>
            </w:r>
          </w:p>
          <w:p w14:paraId="351B855E" w14:textId="77777777" w:rsidR="0030769D" w:rsidRPr="007C3594" w:rsidRDefault="0030769D" w:rsidP="00E90746">
            <w:pPr>
              <w:rPr>
                <w:rFonts w:cstheme="minorHAnsi"/>
                <w:sz w:val="20"/>
                <w:szCs w:val="20"/>
                <w:highlight w:val="yellow"/>
              </w:rPr>
            </w:pPr>
          </w:p>
        </w:tc>
      </w:tr>
    </w:tbl>
    <w:p w14:paraId="30E06B7E" w14:textId="77777777" w:rsidR="00EC20FE" w:rsidRDefault="00EC20FE" w:rsidP="00881933">
      <w:pPr>
        <w:pStyle w:val="NormalWeb"/>
        <w:shd w:val="clear" w:color="auto" w:fill="FFFFFF"/>
        <w:spacing w:before="0" w:beforeAutospacing="0" w:after="0" w:afterAutospacing="0" w:line="270" w:lineRule="atLeast"/>
        <w:ind w:right="300"/>
        <w:textAlignment w:val="baseline"/>
        <w:rPr>
          <w:rFonts w:asciiTheme="minorHAnsi" w:eastAsiaTheme="minorHAnsi" w:hAnsiTheme="minorHAnsi" w:cstheme="minorBidi"/>
          <w:sz w:val="22"/>
          <w:szCs w:val="22"/>
          <w:lang w:eastAsia="en-US"/>
        </w:rPr>
      </w:pPr>
    </w:p>
    <w:p w14:paraId="2C887C0B" w14:textId="77777777" w:rsidR="00A752BB" w:rsidRDefault="00C71E52" w:rsidP="00881933">
      <w:pPr>
        <w:pStyle w:val="NormalWeb"/>
        <w:shd w:val="clear" w:color="auto" w:fill="FFFFFF"/>
        <w:spacing w:before="0" w:beforeAutospacing="0" w:after="270" w:afterAutospacing="0" w:line="270" w:lineRule="atLeast"/>
        <w:ind w:right="300"/>
        <w:textAlignment w:val="baseline"/>
        <w:rPr>
          <w:rFonts w:asciiTheme="minorHAnsi" w:eastAsiaTheme="minorHAnsi" w:hAnsiTheme="minorHAnsi" w:cstheme="minorBidi"/>
          <w:sz w:val="22"/>
          <w:szCs w:val="22"/>
          <w:lang w:eastAsia="en-US"/>
        </w:rPr>
      </w:pPr>
      <w:r w:rsidRPr="007D1762">
        <w:rPr>
          <w:rFonts w:asciiTheme="minorHAnsi" w:eastAsiaTheme="minorHAnsi" w:hAnsiTheme="minorHAnsi" w:cstheme="minorBidi"/>
          <w:sz w:val="22"/>
          <w:szCs w:val="22"/>
          <w:lang w:eastAsia="en-US"/>
        </w:rPr>
        <w:t xml:space="preserve">The NCD prevention component of THSSP2 is </w:t>
      </w:r>
      <w:r w:rsidR="007D1762">
        <w:rPr>
          <w:rFonts w:asciiTheme="minorHAnsi" w:eastAsiaTheme="minorHAnsi" w:hAnsiTheme="minorHAnsi" w:cstheme="minorBidi"/>
          <w:sz w:val="22"/>
          <w:szCs w:val="22"/>
          <w:lang w:eastAsia="en-US"/>
        </w:rPr>
        <w:t xml:space="preserve">very specifically designed to reflect </w:t>
      </w:r>
      <w:r w:rsidR="00F517FD">
        <w:rPr>
          <w:rFonts w:asciiTheme="minorHAnsi" w:eastAsiaTheme="minorHAnsi" w:hAnsiTheme="minorHAnsi" w:cstheme="minorBidi"/>
          <w:sz w:val="22"/>
          <w:szCs w:val="22"/>
          <w:lang w:eastAsia="en-US"/>
        </w:rPr>
        <w:t xml:space="preserve">(and support) </w:t>
      </w:r>
      <w:r w:rsidR="007D1762">
        <w:rPr>
          <w:rFonts w:asciiTheme="minorHAnsi" w:eastAsiaTheme="minorHAnsi" w:hAnsiTheme="minorHAnsi" w:cstheme="minorBidi"/>
          <w:sz w:val="22"/>
          <w:szCs w:val="22"/>
          <w:lang w:eastAsia="en-US"/>
        </w:rPr>
        <w:t xml:space="preserve">the </w:t>
      </w:r>
      <w:r w:rsidR="00A752BB" w:rsidRPr="007D1762">
        <w:rPr>
          <w:rFonts w:asciiTheme="minorHAnsi" w:eastAsiaTheme="minorHAnsi" w:hAnsiTheme="minorHAnsi" w:cstheme="minorBidi"/>
          <w:i/>
          <w:sz w:val="22"/>
          <w:szCs w:val="22"/>
          <w:lang w:eastAsia="en-US"/>
        </w:rPr>
        <w:t xml:space="preserve">National </w:t>
      </w:r>
      <w:r w:rsidR="007D1762">
        <w:rPr>
          <w:rFonts w:asciiTheme="minorHAnsi" w:eastAsiaTheme="minorHAnsi" w:hAnsiTheme="minorHAnsi" w:cstheme="minorBidi"/>
          <w:i/>
          <w:sz w:val="22"/>
          <w:szCs w:val="22"/>
          <w:lang w:eastAsia="en-US"/>
        </w:rPr>
        <w:t>S</w:t>
      </w:r>
      <w:r w:rsidR="00A752BB" w:rsidRPr="007D1762">
        <w:rPr>
          <w:rFonts w:asciiTheme="minorHAnsi" w:eastAsiaTheme="minorHAnsi" w:hAnsiTheme="minorHAnsi" w:cstheme="minorBidi"/>
          <w:i/>
          <w:sz w:val="22"/>
          <w:szCs w:val="22"/>
          <w:lang w:eastAsia="en-US"/>
        </w:rPr>
        <w:t xml:space="preserve">trategy </w:t>
      </w:r>
      <w:r w:rsidRPr="007D1762">
        <w:rPr>
          <w:rFonts w:asciiTheme="minorHAnsi" w:eastAsiaTheme="minorHAnsi" w:hAnsiTheme="minorHAnsi" w:cstheme="minorBidi"/>
          <w:i/>
          <w:sz w:val="22"/>
          <w:szCs w:val="22"/>
          <w:lang w:eastAsia="en-US"/>
        </w:rPr>
        <w:t xml:space="preserve">for the </w:t>
      </w:r>
      <w:r w:rsidR="007D1762">
        <w:rPr>
          <w:rFonts w:asciiTheme="minorHAnsi" w:eastAsiaTheme="minorHAnsi" w:hAnsiTheme="minorHAnsi" w:cstheme="minorBidi"/>
          <w:i/>
          <w:sz w:val="22"/>
          <w:szCs w:val="22"/>
          <w:lang w:eastAsia="en-US"/>
        </w:rPr>
        <w:t>P</w:t>
      </w:r>
      <w:r w:rsidRPr="007D1762">
        <w:rPr>
          <w:rFonts w:asciiTheme="minorHAnsi" w:eastAsiaTheme="minorHAnsi" w:hAnsiTheme="minorHAnsi" w:cstheme="minorBidi"/>
          <w:i/>
          <w:sz w:val="22"/>
          <w:szCs w:val="22"/>
          <w:lang w:eastAsia="en-US"/>
        </w:rPr>
        <w:t xml:space="preserve">revention and </w:t>
      </w:r>
      <w:r w:rsidR="007D1762">
        <w:rPr>
          <w:rFonts w:asciiTheme="minorHAnsi" w:eastAsiaTheme="minorHAnsi" w:hAnsiTheme="minorHAnsi" w:cstheme="minorBidi"/>
          <w:i/>
          <w:sz w:val="22"/>
          <w:szCs w:val="22"/>
          <w:lang w:eastAsia="en-US"/>
        </w:rPr>
        <w:t>C</w:t>
      </w:r>
      <w:r w:rsidR="00D93892" w:rsidRPr="007D1762">
        <w:rPr>
          <w:rFonts w:asciiTheme="minorHAnsi" w:eastAsiaTheme="minorHAnsi" w:hAnsiTheme="minorHAnsi" w:cstheme="minorBidi"/>
          <w:i/>
          <w:sz w:val="22"/>
          <w:szCs w:val="22"/>
          <w:lang w:eastAsia="en-US"/>
        </w:rPr>
        <w:t xml:space="preserve">ontrol </w:t>
      </w:r>
      <w:r w:rsidRPr="007D1762">
        <w:rPr>
          <w:rFonts w:asciiTheme="minorHAnsi" w:eastAsiaTheme="minorHAnsi" w:hAnsiTheme="minorHAnsi" w:cstheme="minorBidi"/>
          <w:i/>
          <w:sz w:val="22"/>
          <w:szCs w:val="22"/>
          <w:lang w:eastAsia="en-US"/>
        </w:rPr>
        <w:t xml:space="preserve">of </w:t>
      </w:r>
      <w:r w:rsidR="00D93892" w:rsidRPr="007D1762">
        <w:rPr>
          <w:rFonts w:asciiTheme="minorHAnsi" w:eastAsiaTheme="minorHAnsi" w:hAnsiTheme="minorHAnsi" w:cstheme="minorBidi"/>
          <w:i/>
          <w:sz w:val="22"/>
          <w:szCs w:val="22"/>
          <w:lang w:eastAsia="en-US"/>
        </w:rPr>
        <w:t xml:space="preserve">NCDs </w:t>
      </w:r>
      <w:r w:rsidRPr="007D1762">
        <w:rPr>
          <w:rFonts w:asciiTheme="minorHAnsi" w:eastAsiaTheme="minorHAnsi" w:hAnsiTheme="minorHAnsi" w:cstheme="minorBidi"/>
          <w:i/>
          <w:sz w:val="22"/>
          <w:szCs w:val="22"/>
          <w:lang w:eastAsia="en-US"/>
        </w:rPr>
        <w:t>2015-2020</w:t>
      </w:r>
      <w:r w:rsidRPr="007D1762">
        <w:rPr>
          <w:rFonts w:asciiTheme="minorHAnsi" w:eastAsiaTheme="minorHAnsi" w:hAnsiTheme="minorHAnsi" w:cstheme="minorBidi"/>
          <w:sz w:val="22"/>
          <w:szCs w:val="22"/>
          <w:lang w:eastAsia="en-US"/>
        </w:rPr>
        <w:t xml:space="preserve"> </w:t>
      </w:r>
      <w:r w:rsidR="00D93892" w:rsidRPr="007D1762">
        <w:rPr>
          <w:rFonts w:asciiTheme="minorHAnsi" w:eastAsiaTheme="minorHAnsi" w:hAnsiTheme="minorHAnsi" w:cstheme="minorBidi"/>
          <w:sz w:val="22"/>
          <w:szCs w:val="22"/>
          <w:lang w:eastAsia="en-US"/>
        </w:rPr>
        <w:t>(‘Hala Fo</w:t>
      </w:r>
      <w:r w:rsidR="00A752BB" w:rsidRPr="007D1762">
        <w:rPr>
          <w:rFonts w:asciiTheme="minorHAnsi" w:eastAsiaTheme="minorHAnsi" w:hAnsiTheme="minorHAnsi" w:cstheme="minorBidi"/>
          <w:sz w:val="22"/>
          <w:szCs w:val="22"/>
          <w:lang w:eastAsia="en-US"/>
        </w:rPr>
        <w:t>nonga’)</w:t>
      </w:r>
      <w:r w:rsidR="007D1762">
        <w:rPr>
          <w:rFonts w:asciiTheme="minorHAnsi" w:eastAsiaTheme="minorHAnsi" w:hAnsiTheme="minorHAnsi" w:cstheme="minorBidi"/>
          <w:sz w:val="22"/>
          <w:szCs w:val="22"/>
          <w:lang w:eastAsia="en-US"/>
        </w:rPr>
        <w:t>.</w:t>
      </w:r>
    </w:p>
    <w:p w14:paraId="0B0B7F7A" w14:textId="77777777" w:rsidR="00024020" w:rsidRDefault="00024020" w:rsidP="00881933">
      <w:pPr>
        <w:pStyle w:val="NormalWeb"/>
        <w:shd w:val="clear" w:color="auto" w:fill="FFFFFF"/>
        <w:spacing w:before="0" w:beforeAutospacing="0" w:after="270" w:afterAutospacing="0" w:line="270" w:lineRule="atLeast"/>
        <w:ind w:right="300"/>
        <w:textAlignment w:val="baseline"/>
        <w:rPr>
          <w:rFonts w:asciiTheme="minorHAnsi" w:eastAsiaTheme="minorHAnsi" w:hAnsiTheme="minorHAnsi" w:cstheme="minorBidi"/>
          <w:sz w:val="22"/>
          <w:szCs w:val="22"/>
          <w:lang w:eastAsia="en-US"/>
        </w:rPr>
      </w:pPr>
    </w:p>
    <w:p w14:paraId="532617C0" w14:textId="77777777" w:rsidR="001E17BC" w:rsidRDefault="001E17BC" w:rsidP="00881933">
      <w:pPr>
        <w:pStyle w:val="NormalWeb"/>
        <w:shd w:val="clear" w:color="auto" w:fill="FFFFFF"/>
        <w:spacing w:before="0" w:beforeAutospacing="0" w:after="270" w:afterAutospacing="0" w:line="270" w:lineRule="atLeast"/>
        <w:ind w:right="300"/>
        <w:textAlignment w:val="baseline"/>
        <w:rPr>
          <w:rFonts w:asciiTheme="minorHAnsi" w:eastAsiaTheme="minorHAnsi" w:hAnsiTheme="minorHAnsi" w:cstheme="minorBidi"/>
          <w:sz w:val="22"/>
          <w:szCs w:val="22"/>
          <w:lang w:eastAsia="en-US"/>
        </w:rPr>
      </w:pPr>
    </w:p>
    <w:p w14:paraId="776A15EF" w14:textId="77777777" w:rsidR="007D1762" w:rsidRPr="007C3594" w:rsidRDefault="007D1762" w:rsidP="00881933">
      <w:pPr>
        <w:pStyle w:val="NormalWeb"/>
        <w:shd w:val="clear" w:color="auto" w:fill="FFFFFF"/>
        <w:spacing w:before="0" w:beforeAutospacing="0" w:after="0" w:afterAutospacing="0" w:line="270" w:lineRule="atLeast"/>
        <w:ind w:right="301"/>
        <w:textAlignment w:val="baseline"/>
        <w:rPr>
          <w:rFonts w:asciiTheme="minorHAnsi" w:eastAsiaTheme="minorHAnsi" w:hAnsiTheme="minorHAnsi" w:cstheme="minorBidi"/>
          <w:b/>
          <w:sz w:val="22"/>
          <w:szCs w:val="22"/>
          <w:lang w:eastAsia="en-US"/>
        </w:rPr>
      </w:pPr>
      <w:r w:rsidRPr="007C3594">
        <w:rPr>
          <w:rFonts w:asciiTheme="minorHAnsi" w:eastAsiaTheme="minorHAnsi" w:hAnsiTheme="minorHAnsi" w:cstheme="minorBidi"/>
          <w:b/>
          <w:sz w:val="22"/>
          <w:szCs w:val="22"/>
          <w:lang w:eastAsia="en-US"/>
        </w:rPr>
        <w:lastRenderedPageBreak/>
        <w:t xml:space="preserve">Table </w:t>
      </w:r>
      <w:r>
        <w:rPr>
          <w:rFonts w:asciiTheme="minorHAnsi" w:eastAsiaTheme="minorHAnsi" w:hAnsiTheme="minorHAnsi" w:cstheme="minorBidi"/>
          <w:b/>
          <w:sz w:val="22"/>
          <w:szCs w:val="22"/>
          <w:lang w:eastAsia="en-US"/>
        </w:rPr>
        <w:t>2</w:t>
      </w:r>
      <w:r w:rsidRPr="007C3594">
        <w:rPr>
          <w:rFonts w:asciiTheme="minorHAnsi" w:eastAsiaTheme="minorHAnsi" w:hAnsiTheme="minorHAnsi" w:cstheme="minorBidi"/>
          <w:b/>
          <w:sz w:val="22"/>
          <w:szCs w:val="22"/>
          <w:lang w:eastAsia="en-US"/>
        </w:rPr>
        <w:t>: National Strateg</w:t>
      </w:r>
      <w:r>
        <w:rPr>
          <w:rFonts w:asciiTheme="minorHAnsi" w:eastAsiaTheme="minorHAnsi" w:hAnsiTheme="minorHAnsi" w:cstheme="minorBidi"/>
          <w:b/>
          <w:sz w:val="22"/>
          <w:szCs w:val="22"/>
          <w:lang w:eastAsia="en-US"/>
        </w:rPr>
        <w:t xml:space="preserve">y for the Prevention and Control of NCDs </w:t>
      </w:r>
      <w:r w:rsidRPr="007C3594">
        <w:rPr>
          <w:rFonts w:asciiTheme="minorHAnsi" w:eastAsiaTheme="minorHAnsi" w:hAnsiTheme="minorHAnsi" w:cstheme="minorBidi"/>
          <w:b/>
          <w:sz w:val="22"/>
          <w:szCs w:val="22"/>
          <w:lang w:eastAsia="en-US"/>
        </w:rPr>
        <w:t>2015-2020</w:t>
      </w:r>
      <w:r>
        <w:rPr>
          <w:rFonts w:asciiTheme="minorHAnsi" w:eastAsiaTheme="minorHAnsi" w:hAnsiTheme="minorHAnsi" w:cstheme="minorBidi"/>
          <w:b/>
          <w:sz w:val="22"/>
          <w:szCs w:val="22"/>
          <w:lang w:eastAsia="en-US"/>
        </w:rPr>
        <w:t>:</w:t>
      </w:r>
      <w:r w:rsidRPr="007C3594">
        <w:rPr>
          <w:rFonts w:asciiTheme="minorHAnsi" w:eastAsiaTheme="minorHAnsi" w:hAnsiTheme="minorHAnsi" w:cstheme="minorBidi"/>
          <w:b/>
          <w:sz w:val="22"/>
          <w:szCs w:val="22"/>
          <w:lang w:eastAsia="en-US"/>
        </w:rPr>
        <w:t xml:space="preserve"> </w:t>
      </w:r>
      <w:r w:rsidR="00F517FD">
        <w:rPr>
          <w:rFonts w:asciiTheme="minorHAnsi" w:eastAsiaTheme="minorHAnsi" w:hAnsiTheme="minorHAnsi" w:cstheme="minorBidi"/>
          <w:b/>
          <w:sz w:val="22"/>
          <w:szCs w:val="22"/>
          <w:lang w:eastAsia="en-US"/>
        </w:rPr>
        <w:t xml:space="preserve">vision, goals and </w:t>
      </w:r>
      <w:r>
        <w:rPr>
          <w:rFonts w:asciiTheme="minorHAnsi" w:eastAsiaTheme="minorHAnsi" w:hAnsiTheme="minorHAnsi" w:cstheme="minorBidi"/>
          <w:b/>
          <w:sz w:val="22"/>
          <w:szCs w:val="22"/>
          <w:lang w:eastAsia="en-US"/>
        </w:rPr>
        <w:t>key result</w:t>
      </w:r>
      <w:r w:rsidRPr="007C3594">
        <w:rPr>
          <w:rFonts w:asciiTheme="minorHAnsi" w:eastAsiaTheme="minorHAnsi" w:hAnsiTheme="minorHAnsi" w:cstheme="minorBidi"/>
          <w:b/>
          <w:sz w:val="22"/>
          <w:szCs w:val="22"/>
          <w:lang w:eastAsia="en-US"/>
        </w:rPr>
        <w:t xml:space="preserve"> areas and goals</w:t>
      </w:r>
    </w:p>
    <w:tbl>
      <w:tblPr>
        <w:tblStyle w:val="TableGrid"/>
        <w:tblW w:w="0" w:type="auto"/>
        <w:tblLook w:val="04A0" w:firstRow="1" w:lastRow="0" w:firstColumn="1" w:lastColumn="0" w:noHBand="0" w:noVBand="1"/>
      </w:tblPr>
      <w:tblGrid>
        <w:gridCol w:w="3539"/>
        <w:gridCol w:w="5477"/>
      </w:tblGrid>
      <w:tr w:rsidR="00F517FD" w14:paraId="494B526E" w14:textId="77777777" w:rsidTr="00F517FD">
        <w:tc>
          <w:tcPr>
            <w:tcW w:w="3539" w:type="dxa"/>
          </w:tcPr>
          <w:p w14:paraId="3BD87553" w14:textId="77777777" w:rsidR="00F517FD" w:rsidRPr="00F517FD" w:rsidRDefault="00F517FD" w:rsidP="00984E29">
            <w:pPr>
              <w:pStyle w:val="NormalWeb"/>
              <w:spacing w:before="0" w:beforeAutospacing="0" w:after="270" w:afterAutospacing="0" w:line="270" w:lineRule="atLeast"/>
              <w:ind w:right="300"/>
              <w:textAlignment w:val="baseline"/>
              <w:rPr>
                <w:rFonts w:asciiTheme="minorHAnsi" w:eastAsiaTheme="minorHAnsi" w:hAnsiTheme="minorHAnsi" w:cstheme="minorBidi"/>
                <w:sz w:val="20"/>
                <w:szCs w:val="20"/>
                <w:lang w:eastAsia="en-US"/>
              </w:rPr>
            </w:pPr>
            <w:r w:rsidRPr="00F517FD">
              <w:rPr>
                <w:rFonts w:asciiTheme="minorHAnsi" w:eastAsiaTheme="minorHAnsi" w:hAnsiTheme="minorHAnsi" w:cstheme="minorBidi"/>
                <w:sz w:val="20"/>
                <w:szCs w:val="20"/>
                <w:lang w:eastAsia="en-US"/>
              </w:rPr>
              <w:t>VISION:</w:t>
            </w:r>
          </w:p>
        </w:tc>
        <w:tc>
          <w:tcPr>
            <w:tcW w:w="5477" w:type="dxa"/>
          </w:tcPr>
          <w:p w14:paraId="7A19C299" w14:textId="77777777" w:rsidR="00F517FD" w:rsidRPr="00F517FD" w:rsidRDefault="00F517FD" w:rsidP="00F517FD">
            <w:pPr>
              <w:rPr>
                <w:rFonts w:cstheme="minorHAnsi"/>
                <w:sz w:val="20"/>
                <w:szCs w:val="20"/>
              </w:rPr>
            </w:pPr>
            <w:r w:rsidRPr="00F517FD">
              <w:rPr>
                <w:rFonts w:cstheme="minorHAnsi"/>
                <w:sz w:val="20"/>
                <w:szCs w:val="20"/>
              </w:rPr>
              <w:t>Stronger integrated approaches to address non-communicable diseases result in reduced premature death, illness and disability</w:t>
            </w:r>
          </w:p>
        </w:tc>
      </w:tr>
      <w:tr w:rsidR="00F517FD" w14:paraId="54FDD485" w14:textId="77777777" w:rsidTr="00F517FD">
        <w:tc>
          <w:tcPr>
            <w:tcW w:w="3539" w:type="dxa"/>
            <w:vMerge w:val="restart"/>
          </w:tcPr>
          <w:p w14:paraId="69A620B2" w14:textId="77777777" w:rsidR="00F517FD" w:rsidRPr="00F517FD" w:rsidRDefault="00F517FD" w:rsidP="00F517FD">
            <w:pPr>
              <w:pStyle w:val="NormalWeb"/>
              <w:spacing w:before="0" w:beforeAutospacing="0" w:after="270" w:afterAutospacing="0" w:line="270" w:lineRule="atLeast"/>
              <w:ind w:right="300"/>
              <w:textAlignment w:val="baseline"/>
              <w:rPr>
                <w:rFonts w:asciiTheme="minorHAnsi" w:eastAsiaTheme="minorHAnsi" w:hAnsiTheme="minorHAnsi" w:cstheme="minorBidi"/>
                <w:sz w:val="22"/>
                <w:szCs w:val="22"/>
                <w:lang w:eastAsia="en-US"/>
              </w:rPr>
            </w:pPr>
            <w:r w:rsidRPr="00F517FD">
              <w:rPr>
                <w:rFonts w:asciiTheme="minorHAnsi" w:eastAsiaTheme="minorHAnsi" w:hAnsiTheme="minorHAnsi" w:cstheme="minorBidi"/>
                <w:sz w:val="20"/>
                <w:szCs w:val="20"/>
                <w:lang w:eastAsia="en-US"/>
              </w:rPr>
              <w:t>GOALS:</w:t>
            </w:r>
          </w:p>
        </w:tc>
        <w:tc>
          <w:tcPr>
            <w:tcW w:w="5477" w:type="dxa"/>
          </w:tcPr>
          <w:p w14:paraId="25414B98" w14:textId="77777777" w:rsidR="00F517FD" w:rsidRPr="00F517FD" w:rsidRDefault="00F517FD" w:rsidP="00F517FD">
            <w:pPr>
              <w:rPr>
                <w:rFonts w:cstheme="minorHAnsi"/>
                <w:sz w:val="20"/>
                <w:szCs w:val="20"/>
              </w:rPr>
            </w:pPr>
            <w:r w:rsidRPr="00F517FD">
              <w:rPr>
                <w:rFonts w:cstheme="minorHAnsi"/>
                <w:sz w:val="20"/>
                <w:szCs w:val="20"/>
              </w:rPr>
              <w:t>Positive trends in Tonga's</w:t>
            </w:r>
            <w:r>
              <w:rPr>
                <w:rFonts w:cstheme="minorHAnsi"/>
                <w:sz w:val="20"/>
                <w:szCs w:val="20"/>
              </w:rPr>
              <w:t xml:space="preserve"> </w:t>
            </w:r>
            <w:r w:rsidRPr="00F517FD">
              <w:rPr>
                <w:rFonts w:cstheme="minorHAnsi"/>
                <w:sz w:val="20"/>
                <w:szCs w:val="20"/>
              </w:rPr>
              <w:t>performance against a relevant</w:t>
            </w:r>
            <w:r>
              <w:rPr>
                <w:rFonts w:cstheme="minorHAnsi"/>
                <w:sz w:val="20"/>
                <w:szCs w:val="20"/>
              </w:rPr>
              <w:t xml:space="preserve"> </w:t>
            </w:r>
            <w:r w:rsidRPr="00F517FD">
              <w:rPr>
                <w:rFonts w:cstheme="minorHAnsi"/>
                <w:sz w:val="20"/>
                <w:szCs w:val="20"/>
              </w:rPr>
              <w:t>NCDs environment policy index that</w:t>
            </w:r>
            <w:r>
              <w:rPr>
                <w:rFonts w:cstheme="minorHAnsi"/>
                <w:sz w:val="20"/>
                <w:szCs w:val="20"/>
              </w:rPr>
              <w:t xml:space="preserve"> </w:t>
            </w:r>
            <w:r w:rsidRPr="00F517FD">
              <w:rPr>
                <w:rFonts w:cstheme="minorHAnsi"/>
                <w:sz w:val="20"/>
                <w:szCs w:val="20"/>
              </w:rPr>
              <w:t>measures key in</w:t>
            </w:r>
            <w:r>
              <w:rPr>
                <w:rFonts w:cstheme="minorHAnsi"/>
                <w:sz w:val="20"/>
                <w:szCs w:val="20"/>
              </w:rPr>
              <w:t>f</w:t>
            </w:r>
            <w:r w:rsidRPr="00F517FD">
              <w:rPr>
                <w:rFonts w:cstheme="minorHAnsi"/>
                <w:sz w:val="20"/>
                <w:szCs w:val="20"/>
              </w:rPr>
              <w:t>luences like funding</w:t>
            </w:r>
            <w:r>
              <w:rPr>
                <w:rFonts w:cstheme="minorHAnsi"/>
                <w:sz w:val="20"/>
                <w:szCs w:val="20"/>
              </w:rPr>
              <w:t xml:space="preserve"> </w:t>
            </w:r>
            <w:r w:rsidRPr="00F517FD">
              <w:rPr>
                <w:rFonts w:cstheme="minorHAnsi"/>
                <w:sz w:val="20"/>
                <w:szCs w:val="20"/>
              </w:rPr>
              <w:t>and resources, health-in-all-policy,</w:t>
            </w:r>
            <w:r>
              <w:rPr>
                <w:rFonts w:cstheme="minorHAnsi"/>
                <w:sz w:val="20"/>
                <w:szCs w:val="20"/>
              </w:rPr>
              <w:t xml:space="preserve"> </w:t>
            </w:r>
            <w:r w:rsidRPr="00F517FD">
              <w:rPr>
                <w:rFonts w:cstheme="minorHAnsi"/>
                <w:sz w:val="20"/>
                <w:szCs w:val="20"/>
              </w:rPr>
              <w:t>leadership and governance</w:t>
            </w:r>
          </w:p>
        </w:tc>
      </w:tr>
      <w:tr w:rsidR="00F517FD" w14:paraId="3AA314AB" w14:textId="77777777" w:rsidTr="00F517FD">
        <w:tc>
          <w:tcPr>
            <w:tcW w:w="3539" w:type="dxa"/>
            <w:vMerge/>
          </w:tcPr>
          <w:p w14:paraId="28CEC50A" w14:textId="77777777" w:rsidR="00F517FD" w:rsidRDefault="00F517FD" w:rsidP="00984E29">
            <w:pPr>
              <w:pStyle w:val="NormalWeb"/>
              <w:spacing w:before="0" w:beforeAutospacing="0" w:after="270" w:afterAutospacing="0" w:line="270" w:lineRule="atLeast"/>
              <w:ind w:right="300"/>
              <w:textAlignment w:val="baseline"/>
              <w:rPr>
                <w:rFonts w:asciiTheme="minorHAnsi" w:eastAsiaTheme="minorHAnsi" w:hAnsiTheme="minorHAnsi" w:cstheme="minorBidi"/>
                <w:sz w:val="22"/>
                <w:szCs w:val="22"/>
                <w:lang w:eastAsia="en-US"/>
              </w:rPr>
            </w:pPr>
          </w:p>
        </w:tc>
        <w:tc>
          <w:tcPr>
            <w:tcW w:w="5477" w:type="dxa"/>
          </w:tcPr>
          <w:p w14:paraId="1F69D87E" w14:textId="77777777" w:rsidR="00F517FD" w:rsidRPr="00F517FD" w:rsidRDefault="00F517FD" w:rsidP="00F517FD">
            <w:pPr>
              <w:rPr>
                <w:rFonts w:cstheme="minorHAnsi"/>
                <w:sz w:val="20"/>
                <w:szCs w:val="20"/>
              </w:rPr>
            </w:pPr>
            <w:r w:rsidRPr="00F517FD">
              <w:rPr>
                <w:rFonts w:cstheme="minorHAnsi"/>
                <w:sz w:val="20"/>
                <w:szCs w:val="20"/>
              </w:rPr>
              <w:t>Positive trends in the effectiveness</w:t>
            </w:r>
            <w:r>
              <w:rPr>
                <w:rFonts w:cstheme="minorHAnsi"/>
                <w:sz w:val="20"/>
                <w:szCs w:val="20"/>
              </w:rPr>
              <w:t xml:space="preserve"> </w:t>
            </w:r>
            <w:r w:rsidRPr="00F517FD">
              <w:rPr>
                <w:rFonts w:cstheme="minorHAnsi"/>
                <w:sz w:val="20"/>
                <w:szCs w:val="20"/>
              </w:rPr>
              <w:t>of NCDs related multi-sectoral</w:t>
            </w:r>
            <w:r>
              <w:rPr>
                <w:rFonts w:cstheme="minorHAnsi"/>
                <w:sz w:val="20"/>
                <w:szCs w:val="20"/>
              </w:rPr>
              <w:t xml:space="preserve"> </w:t>
            </w:r>
            <w:r w:rsidRPr="00F517FD">
              <w:rPr>
                <w:rFonts w:cstheme="minorHAnsi"/>
                <w:sz w:val="20"/>
                <w:szCs w:val="20"/>
              </w:rPr>
              <w:t>partnership in delivering against</w:t>
            </w:r>
            <w:r>
              <w:rPr>
                <w:rFonts w:cstheme="minorHAnsi"/>
                <w:sz w:val="20"/>
                <w:szCs w:val="20"/>
              </w:rPr>
              <w:t xml:space="preserve"> </w:t>
            </w:r>
            <w:r w:rsidRPr="00F517FD">
              <w:rPr>
                <w:rFonts w:cstheme="minorHAnsi"/>
                <w:sz w:val="20"/>
                <w:szCs w:val="20"/>
              </w:rPr>
              <w:t>NCDs strategy goals</w:t>
            </w:r>
          </w:p>
        </w:tc>
      </w:tr>
      <w:tr w:rsidR="00F517FD" w14:paraId="0FF981ED" w14:textId="77777777" w:rsidTr="00F517FD">
        <w:tc>
          <w:tcPr>
            <w:tcW w:w="3539" w:type="dxa"/>
            <w:vMerge w:val="restart"/>
          </w:tcPr>
          <w:p w14:paraId="1D5CB51F" w14:textId="77777777" w:rsidR="00F517FD" w:rsidRPr="00F517FD" w:rsidRDefault="00F517FD" w:rsidP="00984E29">
            <w:pPr>
              <w:pStyle w:val="NormalWeb"/>
              <w:spacing w:before="0" w:beforeAutospacing="0" w:after="270" w:afterAutospacing="0" w:line="270" w:lineRule="atLeast"/>
              <w:ind w:right="300"/>
              <w:textAlignment w:val="baseline"/>
              <w:rPr>
                <w:rFonts w:asciiTheme="minorHAnsi" w:eastAsiaTheme="minorHAnsi" w:hAnsiTheme="minorHAnsi" w:cstheme="minorBidi"/>
                <w:sz w:val="20"/>
                <w:szCs w:val="20"/>
                <w:lang w:eastAsia="en-US"/>
              </w:rPr>
            </w:pPr>
            <w:r w:rsidRPr="00F517FD">
              <w:rPr>
                <w:rFonts w:asciiTheme="minorHAnsi" w:eastAsiaTheme="minorHAnsi" w:hAnsiTheme="minorHAnsi" w:cstheme="minorBidi"/>
                <w:sz w:val="20"/>
                <w:szCs w:val="20"/>
                <w:lang w:eastAsia="en-US"/>
              </w:rPr>
              <w:t>OUTCOMES:</w:t>
            </w:r>
          </w:p>
        </w:tc>
        <w:tc>
          <w:tcPr>
            <w:tcW w:w="5477" w:type="dxa"/>
          </w:tcPr>
          <w:p w14:paraId="089D274E" w14:textId="77777777" w:rsidR="00F517FD" w:rsidRPr="00F517FD" w:rsidRDefault="00F517FD" w:rsidP="00F517FD">
            <w:pPr>
              <w:rPr>
                <w:rFonts w:cstheme="minorHAnsi"/>
                <w:sz w:val="20"/>
                <w:szCs w:val="20"/>
              </w:rPr>
            </w:pPr>
            <w:r w:rsidRPr="00F517FD">
              <w:rPr>
                <w:rFonts w:cstheme="minorHAnsi"/>
                <w:sz w:val="20"/>
                <w:szCs w:val="20"/>
              </w:rPr>
              <w:t>1: Tongan infants (age 2 and under) have a healthier start to life</w:t>
            </w:r>
          </w:p>
        </w:tc>
      </w:tr>
      <w:tr w:rsidR="00F517FD" w14:paraId="5BC9A2DC" w14:textId="77777777" w:rsidTr="00F517FD">
        <w:tc>
          <w:tcPr>
            <w:tcW w:w="3539" w:type="dxa"/>
            <w:vMerge/>
          </w:tcPr>
          <w:p w14:paraId="71FA297A" w14:textId="77777777" w:rsidR="00F517FD" w:rsidRDefault="00F517FD" w:rsidP="00984E29">
            <w:pPr>
              <w:pStyle w:val="NormalWeb"/>
              <w:spacing w:before="0" w:beforeAutospacing="0" w:after="270" w:afterAutospacing="0" w:line="270" w:lineRule="atLeast"/>
              <w:ind w:right="300"/>
              <w:textAlignment w:val="baseline"/>
              <w:rPr>
                <w:rFonts w:asciiTheme="minorHAnsi" w:eastAsiaTheme="minorHAnsi" w:hAnsiTheme="minorHAnsi" w:cstheme="minorBidi"/>
                <w:sz w:val="22"/>
                <w:szCs w:val="22"/>
                <w:lang w:eastAsia="en-US"/>
              </w:rPr>
            </w:pPr>
          </w:p>
        </w:tc>
        <w:tc>
          <w:tcPr>
            <w:tcW w:w="5477" w:type="dxa"/>
          </w:tcPr>
          <w:p w14:paraId="251618FF" w14:textId="77777777" w:rsidR="00F517FD" w:rsidRPr="00F517FD" w:rsidRDefault="00F517FD" w:rsidP="00F517FD">
            <w:pPr>
              <w:rPr>
                <w:rFonts w:cstheme="minorHAnsi"/>
                <w:sz w:val="20"/>
                <w:szCs w:val="20"/>
              </w:rPr>
            </w:pPr>
            <w:r w:rsidRPr="00F517FD">
              <w:rPr>
                <w:rFonts w:cstheme="minorHAnsi"/>
                <w:sz w:val="20"/>
                <w:szCs w:val="20"/>
              </w:rPr>
              <w:t>2: Tongans are leading healthier lifestyles (with a focus on</w:t>
            </w:r>
            <w:r>
              <w:rPr>
                <w:rFonts w:cstheme="minorHAnsi"/>
                <w:sz w:val="20"/>
                <w:szCs w:val="20"/>
              </w:rPr>
              <w:t xml:space="preserve"> </w:t>
            </w:r>
            <w:r w:rsidRPr="00F517FD">
              <w:rPr>
                <w:rFonts w:cstheme="minorHAnsi"/>
                <w:sz w:val="20"/>
                <w:szCs w:val="20"/>
              </w:rPr>
              <w:t>children and adolescents)</w:t>
            </w:r>
          </w:p>
        </w:tc>
      </w:tr>
      <w:tr w:rsidR="00F517FD" w14:paraId="42A63032" w14:textId="77777777" w:rsidTr="00F517FD">
        <w:tc>
          <w:tcPr>
            <w:tcW w:w="3539" w:type="dxa"/>
            <w:vMerge/>
          </w:tcPr>
          <w:p w14:paraId="6179C2E9" w14:textId="77777777" w:rsidR="00F517FD" w:rsidRDefault="00F517FD" w:rsidP="00984E29">
            <w:pPr>
              <w:pStyle w:val="NormalWeb"/>
              <w:spacing w:before="0" w:beforeAutospacing="0" w:after="270" w:afterAutospacing="0" w:line="270" w:lineRule="atLeast"/>
              <w:ind w:right="300"/>
              <w:textAlignment w:val="baseline"/>
              <w:rPr>
                <w:rFonts w:asciiTheme="minorHAnsi" w:eastAsiaTheme="minorHAnsi" w:hAnsiTheme="minorHAnsi" w:cstheme="minorBidi"/>
                <w:sz w:val="22"/>
                <w:szCs w:val="22"/>
                <w:lang w:eastAsia="en-US"/>
              </w:rPr>
            </w:pPr>
          </w:p>
        </w:tc>
        <w:tc>
          <w:tcPr>
            <w:tcW w:w="5477" w:type="dxa"/>
          </w:tcPr>
          <w:p w14:paraId="1737618E" w14:textId="77777777" w:rsidR="00F517FD" w:rsidRPr="00F517FD" w:rsidRDefault="00F517FD" w:rsidP="00F517FD">
            <w:pPr>
              <w:rPr>
                <w:rFonts w:cstheme="minorHAnsi"/>
                <w:sz w:val="20"/>
                <w:szCs w:val="20"/>
              </w:rPr>
            </w:pPr>
            <w:r w:rsidRPr="00F517FD">
              <w:rPr>
                <w:rFonts w:cstheme="minorHAnsi"/>
                <w:sz w:val="20"/>
                <w:szCs w:val="20"/>
              </w:rPr>
              <w:t>3: Improved early detection, treatment and sustained management</w:t>
            </w:r>
            <w:r>
              <w:rPr>
                <w:rFonts w:cstheme="minorHAnsi"/>
                <w:sz w:val="20"/>
                <w:szCs w:val="20"/>
              </w:rPr>
              <w:t xml:space="preserve"> </w:t>
            </w:r>
            <w:r w:rsidRPr="00F517FD">
              <w:rPr>
                <w:rFonts w:cstheme="minorHAnsi"/>
                <w:sz w:val="20"/>
                <w:szCs w:val="20"/>
              </w:rPr>
              <w:t>of people with or at high risk of NCDs</w:t>
            </w:r>
          </w:p>
        </w:tc>
      </w:tr>
      <w:tr w:rsidR="00F517FD" w14:paraId="1A1BEEA0" w14:textId="77777777" w:rsidTr="00F517FD">
        <w:tc>
          <w:tcPr>
            <w:tcW w:w="3539" w:type="dxa"/>
            <w:vMerge/>
          </w:tcPr>
          <w:p w14:paraId="7C93BD0F" w14:textId="77777777" w:rsidR="00F517FD" w:rsidRDefault="00F517FD" w:rsidP="00984E29">
            <w:pPr>
              <w:pStyle w:val="NormalWeb"/>
              <w:spacing w:before="0" w:beforeAutospacing="0" w:after="270" w:afterAutospacing="0" w:line="270" w:lineRule="atLeast"/>
              <w:ind w:right="300"/>
              <w:textAlignment w:val="baseline"/>
              <w:rPr>
                <w:rFonts w:asciiTheme="minorHAnsi" w:eastAsiaTheme="minorHAnsi" w:hAnsiTheme="minorHAnsi" w:cstheme="minorBidi"/>
                <w:sz w:val="22"/>
                <w:szCs w:val="22"/>
                <w:lang w:eastAsia="en-US"/>
              </w:rPr>
            </w:pPr>
          </w:p>
        </w:tc>
        <w:tc>
          <w:tcPr>
            <w:tcW w:w="5477" w:type="dxa"/>
          </w:tcPr>
          <w:p w14:paraId="4AC8F2EB" w14:textId="77777777" w:rsidR="00F517FD" w:rsidRPr="00F517FD" w:rsidRDefault="00F517FD" w:rsidP="00F517FD">
            <w:pPr>
              <w:rPr>
                <w:rFonts w:cstheme="minorHAnsi"/>
                <w:sz w:val="20"/>
                <w:szCs w:val="20"/>
              </w:rPr>
            </w:pPr>
            <w:r w:rsidRPr="00F517FD">
              <w:rPr>
                <w:rFonts w:cstheme="minorHAnsi"/>
                <w:sz w:val="20"/>
                <w:szCs w:val="20"/>
              </w:rPr>
              <w:t>4: Strengthened monitoring and surveillance supports evidence</w:t>
            </w:r>
            <w:r>
              <w:rPr>
                <w:rFonts w:cstheme="minorHAnsi"/>
                <w:sz w:val="20"/>
                <w:szCs w:val="20"/>
              </w:rPr>
              <w:t>-</w:t>
            </w:r>
            <w:r w:rsidRPr="00F517FD">
              <w:rPr>
                <w:rFonts w:cstheme="minorHAnsi"/>
                <w:sz w:val="20"/>
                <w:szCs w:val="20"/>
              </w:rPr>
              <w:t>based action</w:t>
            </w:r>
          </w:p>
        </w:tc>
      </w:tr>
    </w:tbl>
    <w:p w14:paraId="3C9E2E04" w14:textId="77777777" w:rsidR="00A752BB" w:rsidRDefault="00A752BB" w:rsidP="00881933">
      <w:pPr>
        <w:pStyle w:val="NormalWeb"/>
        <w:shd w:val="clear" w:color="auto" w:fill="FFFFFF"/>
        <w:spacing w:before="0" w:beforeAutospacing="0" w:after="0" w:afterAutospacing="0" w:line="270" w:lineRule="atLeast"/>
        <w:ind w:right="300"/>
        <w:textAlignment w:val="baseline"/>
        <w:rPr>
          <w:rFonts w:asciiTheme="minorHAnsi" w:eastAsiaTheme="minorHAnsi" w:hAnsiTheme="minorHAnsi" w:cstheme="minorBidi"/>
          <w:sz w:val="22"/>
          <w:szCs w:val="22"/>
          <w:lang w:eastAsia="en-US"/>
        </w:rPr>
      </w:pPr>
    </w:p>
    <w:p w14:paraId="1B582AA5" w14:textId="77777777" w:rsidR="00A752BB" w:rsidRPr="00DD0215" w:rsidRDefault="00022D77" w:rsidP="00000502">
      <w:pPr>
        <w:pStyle w:val="Heading3"/>
      </w:pPr>
      <w:bookmarkStart w:id="8" w:name="_Toc536205426"/>
      <w:r w:rsidRPr="00DD0215">
        <w:t>THSSP</w:t>
      </w:r>
      <w:r w:rsidR="00CF48BA" w:rsidRPr="00DD0215">
        <w:t>2</w:t>
      </w:r>
      <w:r w:rsidRPr="00DD0215">
        <w:t xml:space="preserve"> targets</w:t>
      </w:r>
      <w:bookmarkEnd w:id="8"/>
    </w:p>
    <w:p w14:paraId="2068B198" w14:textId="77777777" w:rsidR="00924910" w:rsidRDefault="00CF48BA" w:rsidP="00881933">
      <w:pPr>
        <w:spacing w:line="276" w:lineRule="auto"/>
      </w:pPr>
      <w:r>
        <w:t xml:space="preserve">The original THSSP2 </w:t>
      </w:r>
      <w:r w:rsidR="00300CE8">
        <w:t xml:space="preserve">program </w:t>
      </w:r>
      <w:r>
        <w:t xml:space="preserve">design </w:t>
      </w:r>
      <w:r w:rsidR="00924910">
        <w:t xml:space="preserve">identified </w:t>
      </w:r>
      <w:r>
        <w:t xml:space="preserve">five </w:t>
      </w:r>
      <w:r w:rsidRPr="000E3B05">
        <w:t>outcome</w:t>
      </w:r>
      <w:r>
        <w:t xml:space="preserve"> </w:t>
      </w:r>
      <w:r w:rsidR="00924910">
        <w:t>targets to be achieved by the end of program</w:t>
      </w:r>
      <w:r w:rsidR="00300CE8">
        <w:t>:</w:t>
      </w:r>
    </w:p>
    <w:p w14:paraId="6B71C9CA" w14:textId="77777777" w:rsidR="00924910" w:rsidRPr="00716D39" w:rsidRDefault="00CF48BA" w:rsidP="00881933">
      <w:pPr>
        <w:pStyle w:val="ListParagraph"/>
        <w:numPr>
          <w:ilvl w:val="0"/>
          <w:numId w:val="3"/>
        </w:numPr>
        <w:spacing w:after="120"/>
        <w:ind w:left="714" w:hanging="357"/>
        <w:contextualSpacing w:val="0"/>
        <w:rPr>
          <w:bCs/>
          <w:color w:val="000000"/>
        </w:rPr>
      </w:pPr>
      <w:r w:rsidRPr="00716D39">
        <w:t>Decrease in percentage of population at high risk of developing an NCD, for both males and</w:t>
      </w:r>
      <w:r w:rsidR="00924910" w:rsidRPr="00716D39">
        <w:t xml:space="preserve"> </w:t>
      </w:r>
      <w:r w:rsidRPr="00716D39">
        <w:t>females. (Risk factors are diet, inactivity, smoking and alcohol abuse.)</w:t>
      </w:r>
    </w:p>
    <w:p w14:paraId="075745B8" w14:textId="77777777" w:rsidR="00924910" w:rsidRPr="00716D39" w:rsidRDefault="00CF48BA" w:rsidP="00881933">
      <w:pPr>
        <w:pStyle w:val="ListParagraph"/>
        <w:numPr>
          <w:ilvl w:val="0"/>
          <w:numId w:val="3"/>
        </w:numPr>
        <w:spacing w:after="120"/>
        <w:contextualSpacing w:val="0"/>
        <w:rPr>
          <w:bCs/>
          <w:color w:val="000000"/>
        </w:rPr>
      </w:pPr>
      <w:r w:rsidRPr="00716D39">
        <w:t>Downward trend in the rates of premature deaths and preventable disability related to</w:t>
      </w:r>
      <w:r w:rsidRPr="00716D39">
        <w:br/>
        <w:t>NCDs in men and in women.</w:t>
      </w:r>
    </w:p>
    <w:p w14:paraId="3A1A56B9" w14:textId="77777777" w:rsidR="00924910" w:rsidRPr="00716D39" w:rsidRDefault="00CF48BA" w:rsidP="00881933">
      <w:pPr>
        <w:pStyle w:val="ListParagraph"/>
        <w:numPr>
          <w:ilvl w:val="0"/>
          <w:numId w:val="3"/>
        </w:numPr>
        <w:spacing w:after="120"/>
        <w:contextualSpacing w:val="0"/>
        <w:rPr>
          <w:bCs/>
          <w:color w:val="000000"/>
        </w:rPr>
      </w:pPr>
      <w:r w:rsidRPr="00716D39">
        <w:t>NCD management as part of Universal Health Coverage leads to cost savings in hospitals.</w:t>
      </w:r>
    </w:p>
    <w:p w14:paraId="1F7DB77F" w14:textId="77777777" w:rsidR="00924910" w:rsidRPr="00716D39" w:rsidRDefault="00CF48BA" w:rsidP="00881933">
      <w:pPr>
        <w:pStyle w:val="ListParagraph"/>
        <w:numPr>
          <w:ilvl w:val="0"/>
          <w:numId w:val="3"/>
        </w:numPr>
        <w:spacing w:after="120"/>
        <w:contextualSpacing w:val="0"/>
        <w:rPr>
          <w:bCs/>
          <w:color w:val="000000"/>
        </w:rPr>
      </w:pPr>
      <w:r w:rsidRPr="00716D39">
        <w:t>Strengthened health system management, including planning, financial management,</w:t>
      </w:r>
      <w:r w:rsidR="00924910" w:rsidRPr="00716D39">
        <w:t xml:space="preserve"> </w:t>
      </w:r>
      <w:r w:rsidRPr="00716D39">
        <w:t>implementation, monitoring, health information, procurement and human resources.</w:t>
      </w:r>
    </w:p>
    <w:p w14:paraId="34F55722" w14:textId="77777777" w:rsidR="00924910" w:rsidRPr="00716D39" w:rsidRDefault="00CF48BA" w:rsidP="00881933">
      <w:pPr>
        <w:pStyle w:val="ListParagraph"/>
        <w:numPr>
          <w:ilvl w:val="0"/>
          <w:numId w:val="3"/>
        </w:numPr>
        <w:rPr>
          <w:bCs/>
          <w:color w:val="000000"/>
        </w:rPr>
      </w:pPr>
      <w:r w:rsidRPr="00716D39">
        <w:t>Development of GESI as a cross-cutting issue: at least 80% of annual plans from the</w:t>
      </w:r>
      <w:r w:rsidR="00924910" w:rsidRPr="00716D39">
        <w:t xml:space="preserve"> </w:t>
      </w:r>
      <w:r w:rsidRPr="00716D39">
        <w:t>Ministry of Health and TongaHealth reflect GESI considerations. (The most relevant GESI</w:t>
      </w:r>
      <w:r w:rsidR="00924910" w:rsidRPr="00716D39">
        <w:t xml:space="preserve"> </w:t>
      </w:r>
      <w:r w:rsidRPr="00716D39">
        <w:t>considerations for THSSP2 are gender, geographic equity, and inclusion of disabled and</w:t>
      </w:r>
      <w:r w:rsidR="00924910" w:rsidRPr="00716D39">
        <w:t xml:space="preserve"> </w:t>
      </w:r>
      <w:r w:rsidRPr="00716D39">
        <w:rPr>
          <w:color w:val="000000"/>
        </w:rPr>
        <w:t>mentally ill people.)</w:t>
      </w:r>
    </w:p>
    <w:p w14:paraId="431C7E94" w14:textId="77777777" w:rsidR="00300CE8" w:rsidRPr="00300CE8" w:rsidRDefault="0083119E" w:rsidP="00881933">
      <w:pPr>
        <w:pStyle w:val="NormalWeb"/>
        <w:shd w:val="clear" w:color="auto" w:fill="FFFFFF"/>
        <w:spacing w:before="0" w:beforeAutospacing="0" w:after="270" w:afterAutospacing="0" w:line="270" w:lineRule="atLeast"/>
        <w:ind w:right="30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00300CE8" w:rsidRPr="00300CE8">
        <w:rPr>
          <w:rFonts w:asciiTheme="minorHAnsi" w:eastAsiaTheme="minorHAnsi" w:hAnsiTheme="minorHAnsi" w:cstheme="minorBidi"/>
          <w:sz w:val="22"/>
          <w:szCs w:val="22"/>
          <w:lang w:eastAsia="en-US"/>
        </w:rPr>
        <w:t xml:space="preserve">he </w:t>
      </w:r>
      <w:r w:rsidR="00300CE8">
        <w:rPr>
          <w:rFonts w:asciiTheme="minorHAnsi" w:eastAsiaTheme="minorHAnsi" w:hAnsiTheme="minorHAnsi" w:cstheme="minorBidi"/>
          <w:sz w:val="22"/>
          <w:szCs w:val="22"/>
          <w:lang w:eastAsia="en-US"/>
        </w:rPr>
        <w:t xml:space="preserve">program </w:t>
      </w:r>
      <w:r w:rsidR="00300CE8" w:rsidRPr="00300CE8">
        <w:rPr>
          <w:rFonts w:asciiTheme="minorHAnsi" w:eastAsiaTheme="minorHAnsi" w:hAnsiTheme="minorHAnsi" w:cstheme="minorBidi"/>
          <w:sz w:val="22"/>
          <w:szCs w:val="22"/>
          <w:lang w:eastAsia="en-US"/>
        </w:rPr>
        <w:t xml:space="preserve">targets </w:t>
      </w:r>
      <w:r>
        <w:rPr>
          <w:rFonts w:asciiTheme="minorHAnsi" w:eastAsiaTheme="minorHAnsi" w:hAnsiTheme="minorHAnsi" w:cstheme="minorBidi"/>
          <w:sz w:val="22"/>
          <w:szCs w:val="22"/>
          <w:lang w:eastAsia="en-US"/>
        </w:rPr>
        <w:t>were subsequently refined</w:t>
      </w:r>
      <w:r w:rsidR="005A69AB">
        <w:rPr>
          <w:rFonts w:asciiTheme="minorHAnsi" w:eastAsiaTheme="minorHAnsi" w:hAnsiTheme="minorHAnsi" w:cstheme="minorBidi"/>
          <w:sz w:val="22"/>
          <w:szCs w:val="22"/>
          <w:lang w:eastAsia="en-US"/>
        </w:rPr>
        <w:t xml:space="preserve"> in </w:t>
      </w:r>
      <w:r w:rsidR="00757B59">
        <w:rPr>
          <w:rFonts w:asciiTheme="minorHAnsi" w:eastAsiaTheme="minorHAnsi" w:hAnsiTheme="minorHAnsi" w:cstheme="minorBidi"/>
          <w:sz w:val="22"/>
          <w:szCs w:val="22"/>
          <w:lang w:eastAsia="en-US"/>
        </w:rPr>
        <w:t>June 2017</w:t>
      </w:r>
      <w:r>
        <w:rPr>
          <w:rFonts w:asciiTheme="minorHAnsi" w:eastAsiaTheme="minorHAnsi" w:hAnsiTheme="minorHAnsi" w:cstheme="minorBidi"/>
          <w:sz w:val="22"/>
          <w:szCs w:val="22"/>
          <w:lang w:eastAsia="en-US"/>
        </w:rPr>
        <w:t xml:space="preserve">, </w:t>
      </w:r>
      <w:r w:rsidR="00300CE8" w:rsidRPr="00300CE8">
        <w:rPr>
          <w:rFonts w:asciiTheme="minorHAnsi" w:eastAsiaTheme="minorHAnsi" w:hAnsiTheme="minorHAnsi" w:cstheme="minorBidi"/>
          <w:sz w:val="22"/>
          <w:szCs w:val="22"/>
          <w:lang w:eastAsia="en-US"/>
        </w:rPr>
        <w:t>as indicated below:</w:t>
      </w:r>
    </w:p>
    <w:p w14:paraId="3730DBB1" w14:textId="77777777" w:rsidR="00300CE8" w:rsidRPr="00300CE8" w:rsidRDefault="00716D39" w:rsidP="00881933">
      <w:pPr>
        <w:pStyle w:val="ListParagraph"/>
        <w:numPr>
          <w:ilvl w:val="0"/>
          <w:numId w:val="4"/>
        </w:numPr>
        <w:spacing w:after="120"/>
        <w:ind w:left="714" w:hanging="357"/>
        <w:contextualSpacing w:val="0"/>
      </w:pPr>
      <w:r>
        <w:t>R</w:t>
      </w:r>
      <w:r w:rsidR="00300CE8" w:rsidRPr="00300CE8">
        <w:t>ate of premature deaths and preventable disability</w:t>
      </w:r>
      <w:r>
        <w:t xml:space="preserve"> related to NCDs has not risen.</w:t>
      </w:r>
    </w:p>
    <w:p w14:paraId="6868ECAA" w14:textId="77777777" w:rsidR="00300CE8" w:rsidRPr="00300CE8" w:rsidRDefault="00716D39" w:rsidP="00881933">
      <w:pPr>
        <w:pStyle w:val="ListParagraph"/>
        <w:numPr>
          <w:ilvl w:val="0"/>
          <w:numId w:val="4"/>
        </w:numPr>
        <w:spacing w:after="120"/>
        <w:ind w:left="714" w:hanging="357"/>
        <w:contextualSpacing w:val="0"/>
      </w:pPr>
      <w:r>
        <w:t>F</w:t>
      </w:r>
      <w:r w:rsidR="00300CE8" w:rsidRPr="00300CE8">
        <w:t xml:space="preserve">all in percentages of population </w:t>
      </w:r>
      <w:r>
        <w:t>at high risk of developing NCDs.</w:t>
      </w:r>
    </w:p>
    <w:p w14:paraId="1C4C2E05" w14:textId="77777777" w:rsidR="00300CE8" w:rsidRPr="00300CE8" w:rsidRDefault="00716D39" w:rsidP="00881933">
      <w:pPr>
        <w:pStyle w:val="ListParagraph"/>
        <w:numPr>
          <w:ilvl w:val="0"/>
          <w:numId w:val="4"/>
        </w:numPr>
        <w:spacing w:after="120"/>
        <w:ind w:left="714" w:hanging="357"/>
        <w:contextualSpacing w:val="0"/>
      </w:pPr>
      <w:r>
        <w:t>D</w:t>
      </w:r>
      <w:r w:rsidR="00300CE8" w:rsidRPr="00300CE8">
        <w:t>evelop and implement a plan with strategies to increase NCD management as part of universal health coverage leading to efficiencies and budget c</w:t>
      </w:r>
      <w:r>
        <w:t>ost savings through the program.</w:t>
      </w:r>
    </w:p>
    <w:p w14:paraId="318E3DC0" w14:textId="77777777" w:rsidR="00300CE8" w:rsidRPr="00300CE8" w:rsidRDefault="00716D39" w:rsidP="00881933">
      <w:pPr>
        <w:pStyle w:val="ListParagraph"/>
        <w:numPr>
          <w:ilvl w:val="0"/>
          <w:numId w:val="4"/>
        </w:numPr>
        <w:spacing w:after="120"/>
        <w:ind w:left="714" w:hanging="357"/>
        <w:contextualSpacing w:val="0"/>
      </w:pPr>
      <w:r>
        <w:t>S</w:t>
      </w:r>
      <w:r w:rsidR="00300CE8" w:rsidRPr="00300CE8">
        <w:t>trengthened health system management (including public financial management) of budgeting, planning, reporting, implementation and procurement</w:t>
      </w:r>
      <w:r>
        <w:t>.</w:t>
      </w:r>
    </w:p>
    <w:p w14:paraId="38E3B09D" w14:textId="77777777" w:rsidR="00716D39" w:rsidRDefault="00716D39" w:rsidP="00881933">
      <w:pPr>
        <w:pStyle w:val="ListParagraph"/>
        <w:numPr>
          <w:ilvl w:val="0"/>
          <w:numId w:val="4"/>
        </w:numPr>
        <w:tabs>
          <w:tab w:val="left" w:pos="2028"/>
        </w:tabs>
      </w:pPr>
      <w:r>
        <w:t>I</w:t>
      </w:r>
      <w:r w:rsidR="00300CE8" w:rsidRPr="00300CE8">
        <w:t xml:space="preserve">ncreased equity of access for poor and marginalised groups, including people with disability, to </w:t>
      </w:r>
      <w:r w:rsidR="009E2E05">
        <w:t>MoH</w:t>
      </w:r>
      <w:r w:rsidR="00300CE8" w:rsidRPr="00300CE8">
        <w:t xml:space="preserve"> servic</w:t>
      </w:r>
      <w:r w:rsidR="00795B2D">
        <w:t>es and Tonga</w:t>
      </w:r>
      <w:r w:rsidR="00300CE8">
        <w:t>Health activities.</w:t>
      </w:r>
    </w:p>
    <w:p w14:paraId="11FB43EA" w14:textId="77777777" w:rsidR="00274691" w:rsidRPr="00300CE8" w:rsidRDefault="00274691" w:rsidP="00274691">
      <w:pPr>
        <w:pStyle w:val="ListParagraph"/>
        <w:tabs>
          <w:tab w:val="left" w:pos="2028"/>
        </w:tabs>
      </w:pPr>
    </w:p>
    <w:p w14:paraId="6F69296B" w14:textId="77777777" w:rsidR="00D72194" w:rsidRPr="00DD0215" w:rsidRDefault="00022D77" w:rsidP="00000502">
      <w:pPr>
        <w:pStyle w:val="Heading3"/>
      </w:pPr>
      <w:bookmarkStart w:id="9" w:name="_Toc536205427"/>
      <w:r w:rsidRPr="00DD0215">
        <w:lastRenderedPageBreak/>
        <w:t>THSSP</w:t>
      </w:r>
      <w:r w:rsidR="00D72194" w:rsidRPr="00DD0215">
        <w:t>2</w:t>
      </w:r>
      <w:r w:rsidRPr="00DD0215">
        <w:t xml:space="preserve"> budget</w:t>
      </w:r>
      <w:bookmarkEnd w:id="9"/>
    </w:p>
    <w:p w14:paraId="3066DDAA" w14:textId="77777777" w:rsidR="004005C3" w:rsidRPr="004005C3" w:rsidRDefault="00300CE8" w:rsidP="00881933">
      <w:pPr>
        <w:rPr>
          <w:lang w:eastAsia="en-AU"/>
        </w:rPr>
      </w:pPr>
      <w:r w:rsidRPr="004005C3">
        <w:rPr>
          <w:lang w:eastAsia="en-AU"/>
        </w:rPr>
        <w:t xml:space="preserve">THSSP2 was designed with an overall budget of </w:t>
      </w:r>
      <w:r w:rsidR="00750831">
        <w:rPr>
          <w:lang w:eastAsia="en-AU"/>
        </w:rPr>
        <w:t>$</w:t>
      </w:r>
      <w:r w:rsidRPr="004005C3">
        <w:rPr>
          <w:lang w:eastAsia="en-AU"/>
        </w:rPr>
        <w:t xml:space="preserve">10 million over </w:t>
      </w:r>
      <w:r w:rsidR="004005C3" w:rsidRPr="004005C3">
        <w:rPr>
          <w:lang w:eastAsia="en-AU"/>
        </w:rPr>
        <w:t xml:space="preserve">the five years </w:t>
      </w:r>
      <w:r w:rsidRPr="004005C3">
        <w:rPr>
          <w:lang w:eastAsia="en-AU"/>
        </w:rPr>
        <w:t>July 2015</w:t>
      </w:r>
      <w:r w:rsidR="004005C3" w:rsidRPr="004005C3">
        <w:rPr>
          <w:lang w:eastAsia="en-AU"/>
        </w:rPr>
        <w:t xml:space="preserve"> to </w:t>
      </w:r>
      <w:r w:rsidRPr="004005C3">
        <w:rPr>
          <w:lang w:eastAsia="en-AU"/>
        </w:rPr>
        <w:t>June 2020</w:t>
      </w:r>
      <w:r w:rsidR="004005C3" w:rsidRPr="004005C3">
        <w:rPr>
          <w:lang w:eastAsia="en-AU"/>
        </w:rPr>
        <w:t xml:space="preserve">. The budget was allocated as </w:t>
      </w:r>
      <w:r w:rsidR="00750831">
        <w:rPr>
          <w:lang w:eastAsia="en-AU"/>
        </w:rPr>
        <w:t>$</w:t>
      </w:r>
      <w:r w:rsidR="004005C3" w:rsidRPr="004005C3">
        <w:rPr>
          <w:lang w:eastAsia="en-AU"/>
        </w:rPr>
        <w:t xml:space="preserve">6.8 million for </w:t>
      </w:r>
      <w:r w:rsidR="009E2E05">
        <w:rPr>
          <w:lang w:eastAsia="en-AU"/>
        </w:rPr>
        <w:t>MoH</w:t>
      </w:r>
      <w:r w:rsidR="004005C3" w:rsidRPr="004005C3">
        <w:rPr>
          <w:lang w:eastAsia="en-AU"/>
        </w:rPr>
        <w:t xml:space="preserve"> and TongaHealth, </w:t>
      </w:r>
      <w:r w:rsidR="00750831">
        <w:rPr>
          <w:lang w:eastAsia="en-AU"/>
        </w:rPr>
        <w:t>$</w:t>
      </w:r>
      <w:r w:rsidR="004005C3" w:rsidRPr="004005C3">
        <w:rPr>
          <w:lang w:eastAsia="en-AU"/>
        </w:rPr>
        <w:t>1.0 million for performance-based payments to</w:t>
      </w:r>
      <w:r w:rsidR="00C90F34">
        <w:rPr>
          <w:lang w:eastAsia="en-AU"/>
        </w:rPr>
        <w:t xml:space="preserve"> </w:t>
      </w:r>
      <w:r w:rsidR="009E2E05">
        <w:rPr>
          <w:lang w:eastAsia="en-AU"/>
        </w:rPr>
        <w:t>MoH</w:t>
      </w:r>
      <w:r w:rsidR="00C90F34">
        <w:rPr>
          <w:lang w:eastAsia="en-AU"/>
        </w:rPr>
        <w:t xml:space="preserve"> and the remainder for Post p</w:t>
      </w:r>
      <w:r w:rsidR="004005C3" w:rsidRPr="004005C3">
        <w:rPr>
          <w:lang w:eastAsia="en-AU"/>
        </w:rPr>
        <w:t xml:space="preserve">rogram management costs. Technical assistance was to be funded out of the </w:t>
      </w:r>
      <w:r w:rsidR="009E2E05">
        <w:rPr>
          <w:lang w:eastAsia="en-AU"/>
        </w:rPr>
        <w:t>MoH</w:t>
      </w:r>
      <w:r w:rsidR="004005C3" w:rsidRPr="004005C3">
        <w:rPr>
          <w:lang w:eastAsia="en-AU"/>
        </w:rPr>
        <w:t>/TongaHealth allocation.</w:t>
      </w:r>
    </w:p>
    <w:p w14:paraId="75529CE5" w14:textId="77777777" w:rsidR="00BC0773" w:rsidRDefault="004005C3" w:rsidP="00881933">
      <w:pPr>
        <w:rPr>
          <w:lang w:eastAsia="en-AU"/>
        </w:rPr>
      </w:pPr>
      <w:r>
        <w:rPr>
          <w:lang w:eastAsia="en-AU"/>
        </w:rPr>
        <w:t>The to</w:t>
      </w:r>
      <w:r w:rsidR="004F4B60">
        <w:rPr>
          <w:lang w:eastAsia="en-AU"/>
        </w:rPr>
        <w:t xml:space="preserve">tal investment was </w:t>
      </w:r>
      <w:r w:rsidR="00C90F34">
        <w:rPr>
          <w:lang w:eastAsia="en-AU"/>
        </w:rPr>
        <w:t>increased</w:t>
      </w:r>
      <w:r>
        <w:rPr>
          <w:lang w:eastAsia="en-AU"/>
        </w:rPr>
        <w:t xml:space="preserve"> </w:t>
      </w:r>
      <w:r w:rsidR="004F4B60">
        <w:rPr>
          <w:lang w:eastAsia="en-AU"/>
        </w:rPr>
        <w:t xml:space="preserve">by variations in August 2016 and October 2017 </w:t>
      </w:r>
      <w:r>
        <w:rPr>
          <w:lang w:eastAsia="en-AU"/>
        </w:rPr>
        <w:t xml:space="preserve">to </w:t>
      </w:r>
      <w:r w:rsidR="00FD2FEF">
        <w:rPr>
          <w:lang w:eastAsia="en-AU"/>
        </w:rPr>
        <w:t xml:space="preserve">a total of </w:t>
      </w:r>
      <w:r w:rsidR="00750831">
        <w:rPr>
          <w:lang w:eastAsia="en-AU"/>
        </w:rPr>
        <w:t>$</w:t>
      </w:r>
      <w:r>
        <w:rPr>
          <w:lang w:eastAsia="en-AU"/>
        </w:rPr>
        <w:t>1</w:t>
      </w:r>
      <w:r w:rsidR="006A4DEC">
        <w:rPr>
          <w:lang w:eastAsia="en-AU"/>
        </w:rPr>
        <w:t>7</w:t>
      </w:r>
      <w:r>
        <w:rPr>
          <w:lang w:eastAsia="en-AU"/>
        </w:rPr>
        <w:t>.3 million</w:t>
      </w:r>
      <w:r w:rsidR="00FD2FEF">
        <w:rPr>
          <w:lang w:eastAsia="en-AU"/>
        </w:rPr>
        <w:t xml:space="preserve">. The </w:t>
      </w:r>
      <w:r w:rsidR="004F4B60">
        <w:rPr>
          <w:lang w:eastAsia="en-AU"/>
        </w:rPr>
        <w:t xml:space="preserve">variations added </w:t>
      </w:r>
      <w:r w:rsidR="00750831">
        <w:rPr>
          <w:lang w:eastAsia="en-AU"/>
        </w:rPr>
        <w:t>$</w:t>
      </w:r>
      <w:r w:rsidR="004F4B60">
        <w:rPr>
          <w:lang w:eastAsia="en-AU"/>
        </w:rPr>
        <w:t>3.3 million in</w:t>
      </w:r>
      <w:r w:rsidR="006A4DEC">
        <w:rPr>
          <w:lang w:eastAsia="en-AU"/>
        </w:rPr>
        <w:t xml:space="preserve"> </w:t>
      </w:r>
      <w:r w:rsidR="00C90F34">
        <w:rPr>
          <w:lang w:eastAsia="en-AU"/>
        </w:rPr>
        <w:t>DFAT regional Disability-inclusive Development (DID) funding</w:t>
      </w:r>
      <w:r w:rsidR="004F4B60">
        <w:rPr>
          <w:lang w:eastAsia="en-AU"/>
        </w:rPr>
        <w:t xml:space="preserve">, </w:t>
      </w:r>
      <w:r w:rsidR="000028DD">
        <w:rPr>
          <w:lang w:eastAsia="en-AU"/>
        </w:rPr>
        <w:t xml:space="preserve">increased the total amount of bilateral funding, and </w:t>
      </w:r>
      <w:r w:rsidR="004F4B60">
        <w:rPr>
          <w:lang w:eastAsia="en-AU"/>
        </w:rPr>
        <w:t>modified the performance-based payment component</w:t>
      </w:r>
      <w:r w:rsidR="000028DD">
        <w:rPr>
          <w:lang w:eastAsia="en-AU"/>
        </w:rPr>
        <w:t>.</w:t>
      </w:r>
      <w:r w:rsidR="004F4B60">
        <w:rPr>
          <w:lang w:eastAsia="en-AU"/>
        </w:rPr>
        <w:t xml:space="preserve"> </w:t>
      </w:r>
      <w:r w:rsidR="00E17DE9">
        <w:rPr>
          <w:lang w:eastAsia="en-AU"/>
        </w:rPr>
        <w:t xml:space="preserve">The </w:t>
      </w:r>
      <w:r w:rsidR="004F4B60">
        <w:rPr>
          <w:lang w:eastAsia="en-AU"/>
        </w:rPr>
        <w:t>final</w:t>
      </w:r>
      <w:r w:rsidR="00E17DE9">
        <w:rPr>
          <w:lang w:eastAsia="en-AU"/>
        </w:rPr>
        <w:t xml:space="preserve"> budget </w:t>
      </w:r>
      <w:r w:rsidR="002919C4">
        <w:rPr>
          <w:lang w:eastAsia="en-AU"/>
        </w:rPr>
        <w:t>includ</w:t>
      </w:r>
      <w:r>
        <w:rPr>
          <w:lang w:eastAsia="en-AU"/>
        </w:rPr>
        <w:t>e</w:t>
      </w:r>
      <w:r w:rsidR="00E17DE9">
        <w:rPr>
          <w:lang w:eastAsia="en-AU"/>
        </w:rPr>
        <w:t>s</w:t>
      </w:r>
      <w:r w:rsidR="00BC0773">
        <w:rPr>
          <w:lang w:eastAsia="en-AU"/>
        </w:rPr>
        <w:t>:</w:t>
      </w:r>
    </w:p>
    <w:p w14:paraId="7D59EABC" w14:textId="77777777" w:rsidR="00BC0773" w:rsidRDefault="004005C3" w:rsidP="00881933">
      <w:pPr>
        <w:pStyle w:val="ListParagraph"/>
        <w:numPr>
          <w:ilvl w:val="0"/>
          <w:numId w:val="5"/>
        </w:numPr>
        <w:spacing w:after="120"/>
        <w:ind w:left="714" w:hanging="357"/>
        <w:contextualSpacing w:val="0"/>
        <w:rPr>
          <w:lang w:eastAsia="en-AU"/>
        </w:rPr>
      </w:pPr>
      <w:r w:rsidRPr="00BC0773">
        <w:rPr>
          <w:lang w:eastAsia="en-AU"/>
        </w:rPr>
        <w:t xml:space="preserve">a direct funding agreement with </w:t>
      </w:r>
      <w:r w:rsidR="007D7EFF">
        <w:rPr>
          <w:lang w:eastAsia="en-AU"/>
        </w:rPr>
        <w:t>MoH</w:t>
      </w:r>
      <w:r w:rsidRPr="00BC0773">
        <w:rPr>
          <w:lang w:eastAsia="en-AU"/>
        </w:rPr>
        <w:t xml:space="preserve"> (</w:t>
      </w:r>
      <w:r w:rsidR="00750831">
        <w:rPr>
          <w:lang w:eastAsia="en-AU"/>
        </w:rPr>
        <w:t>$</w:t>
      </w:r>
      <w:r w:rsidRPr="00BC0773">
        <w:rPr>
          <w:lang w:eastAsia="en-AU"/>
        </w:rPr>
        <w:t>10.</w:t>
      </w:r>
      <w:r w:rsidR="004F4B60">
        <w:rPr>
          <w:lang w:eastAsia="en-AU"/>
        </w:rPr>
        <w:t>75</w:t>
      </w:r>
      <w:r w:rsidRPr="00BC0773">
        <w:rPr>
          <w:lang w:eastAsia="en-AU"/>
        </w:rPr>
        <w:t xml:space="preserve"> million) supporting a range of NCD prevention and treatment services, as well as systems strengthening support to improve planning and budgeting for sustainability, and including a component earmarked for disability-inclusive health (</w:t>
      </w:r>
      <w:r w:rsidR="00750831">
        <w:rPr>
          <w:lang w:eastAsia="en-AU"/>
        </w:rPr>
        <w:t>$</w:t>
      </w:r>
      <w:r w:rsidRPr="00BC0773">
        <w:rPr>
          <w:lang w:eastAsia="en-AU"/>
        </w:rPr>
        <w:t xml:space="preserve">3.3 million) </w:t>
      </w:r>
      <w:r w:rsidR="00B744DF">
        <w:rPr>
          <w:lang w:eastAsia="en-AU"/>
        </w:rPr>
        <w:t xml:space="preserve">for </w:t>
      </w:r>
      <w:r w:rsidRPr="00BC0773">
        <w:rPr>
          <w:lang w:eastAsia="en-AU"/>
        </w:rPr>
        <w:t xml:space="preserve">service accessibility, community-based rehabilitation, and mental health. Funded activities are negotiated each year against </w:t>
      </w:r>
      <w:r w:rsidR="009E2E05">
        <w:rPr>
          <w:lang w:eastAsia="en-AU"/>
        </w:rPr>
        <w:t>MoH</w:t>
      </w:r>
      <w:r w:rsidRPr="00BC0773">
        <w:rPr>
          <w:lang w:eastAsia="en-AU"/>
        </w:rPr>
        <w:t xml:space="preserve"> management plans.</w:t>
      </w:r>
    </w:p>
    <w:p w14:paraId="7D8F1DB6" w14:textId="77777777" w:rsidR="00BC0773" w:rsidRPr="00BC0773" w:rsidRDefault="00BC0773" w:rsidP="00881933">
      <w:pPr>
        <w:pStyle w:val="ListParagraph"/>
        <w:numPr>
          <w:ilvl w:val="0"/>
          <w:numId w:val="5"/>
        </w:numPr>
        <w:spacing w:after="120"/>
        <w:ind w:left="714" w:hanging="357"/>
        <w:contextualSpacing w:val="0"/>
        <w:rPr>
          <w:lang w:eastAsia="en-AU"/>
        </w:rPr>
      </w:pPr>
      <w:r>
        <w:rPr>
          <w:lang w:eastAsia="en-AU"/>
        </w:rPr>
        <w:t>a direct f</w:t>
      </w:r>
      <w:r w:rsidR="00B97972" w:rsidRPr="000E3B05">
        <w:t>unding agreement (</w:t>
      </w:r>
      <w:r w:rsidR="00750831">
        <w:t>$</w:t>
      </w:r>
      <w:r w:rsidR="00B97972" w:rsidRPr="000E3B05">
        <w:t>2.1</w:t>
      </w:r>
      <w:r w:rsidR="00B97972">
        <w:t xml:space="preserve"> million</w:t>
      </w:r>
      <w:r w:rsidR="00B97972" w:rsidRPr="000E3B05">
        <w:t xml:space="preserve">) with </w:t>
      </w:r>
      <w:r w:rsidR="00B97972">
        <w:t>Tonga</w:t>
      </w:r>
      <w:r w:rsidR="00B97972" w:rsidRPr="000E3B05">
        <w:t>Health to support national cross-sectoral action and coordination on the national NCD strategy</w:t>
      </w:r>
    </w:p>
    <w:p w14:paraId="7673D336" w14:textId="77777777" w:rsidR="004005C3" w:rsidRPr="00BC0773" w:rsidRDefault="00BC0773" w:rsidP="00881933">
      <w:pPr>
        <w:pStyle w:val="ListParagraph"/>
        <w:numPr>
          <w:ilvl w:val="0"/>
          <w:numId w:val="5"/>
        </w:numPr>
        <w:spacing w:after="120"/>
        <w:ind w:left="714" w:hanging="357"/>
        <w:contextualSpacing w:val="0"/>
        <w:rPr>
          <w:lang w:eastAsia="en-AU"/>
        </w:rPr>
      </w:pPr>
      <w:r>
        <w:t xml:space="preserve">technical assistance costs (approximately </w:t>
      </w:r>
      <w:r w:rsidR="00750831">
        <w:t>$</w:t>
      </w:r>
      <w:r>
        <w:t>1.9 million), and</w:t>
      </w:r>
    </w:p>
    <w:p w14:paraId="547AC7CF" w14:textId="77777777" w:rsidR="00BC0773" w:rsidRPr="00BC0773" w:rsidRDefault="00BC0773" w:rsidP="00881933">
      <w:pPr>
        <w:pStyle w:val="ListParagraph"/>
        <w:numPr>
          <w:ilvl w:val="0"/>
          <w:numId w:val="5"/>
        </w:numPr>
        <w:rPr>
          <w:lang w:eastAsia="en-AU"/>
        </w:rPr>
      </w:pPr>
      <w:r>
        <w:rPr>
          <w:lang w:eastAsia="en-AU"/>
        </w:rPr>
        <w:t xml:space="preserve">Post </w:t>
      </w:r>
      <w:r w:rsidR="00C90F34">
        <w:rPr>
          <w:lang w:eastAsia="en-AU"/>
        </w:rPr>
        <w:t xml:space="preserve">program </w:t>
      </w:r>
      <w:r>
        <w:rPr>
          <w:lang w:eastAsia="en-AU"/>
        </w:rPr>
        <w:t xml:space="preserve">management costs and audit (approximately </w:t>
      </w:r>
      <w:r w:rsidR="00750831">
        <w:rPr>
          <w:lang w:eastAsia="en-AU"/>
        </w:rPr>
        <w:t>$</w:t>
      </w:r>
      <w:r>
        <w:rPr>
          <w:lang w:eastAsia="en-AU"/>
        </w:rPr>
        <w:t>1.5 million).</w:t>
      </w:r>
    </w:p>
    <w:p w14:paraId="05504085" w14:textId="77777777" w:rsidR="00BB244D" w:rsidRDefault="00B97972" w:rsidP="00881933">
      <w:pPr>
        <w:rPr>
          <w:color w:val="000000"/>
        </w:rPr>
      </w:pPr>
      <w:r>
        <w:rPr>
          <w:lang w:eastAsia="en-AU"/>
        </w:rPr>
        <w:t xml:space="preserve">THSSP2 is </w:t>
      </w:r>
      <w:r w:rsidRPr="00022D77">
        <w:rPr>
          <w:color w:val="000000"/>
        </w:rPr>
        <w:t>by</w:t>
      </w:r>
      <w:r>
        <w:rPr>
          <w:color w:val="000000"/>
        </w:rPr>
        <w:t xml:space="preserve"> </w:t>
      </w:r>
      <w:r w:rsidRPr="00022D77">
        <w:rPr>
          <w:color w:val="000000"/>
        </w:rPr>
        <w:t xml:space="preserve">far the largest donor program in the health sector. </w:t>
      </w:r>
      <w:r w:rsidR="00E17DE9">
        <w:rPr>
          <w:color w:val="000000"/>
        </w:rPr>
        <w:t>The</w:t>
      </w:r>
      <w:r w:rsidRPr="00022D77">
        <w:rPr>
          <w:color w:val="000000"/>
        </w:rPr>
        <w:t xml:space="preserve"> average annual budget </w:t>
      </w:r>
      <w:r w:rsidR="00E17DE9">
        <w:rPr>
          <w:color w:val="000000"/>
        </w:rPr>
        <w:t xml:space="preserve">of THSSP2 </w:t>
      </w:r>
      <w:r w:rsidRPr="00022D77">
        <w:rPr>
          <w:color w:val="000000"/>
        </w:rPr>
        <w:t>is</w:t>
      </w:r>
      <w:r>
        <w:rPr>
          <w:color w:val="000000"/>
        </w:rPr>
        <w:t xml:space="preserve"> </w:t>
      </w:r>
      <w:r w:rsidRPr="00022D77">
        <w:rPr>
          <w:color w:val="000000"/>
        </w:rPr>
        <w:t xml:space="preserve">equivalent to </w:t>
      </w:r>
      <w:r w:rsidR="00927639">
        <w:rPr>
          <w:color w:val="000000"/>
        </w:rPr>
        <w:t>13.5%</w:t>
      </w:r>
      <w:r w:rsidRPr="00022D77">
        <w:rPr>
          <w:color w:val="000000"/>
        </w:rPr>
        <w:t xml:space="preserve"> </w:t>
      </w:r>
      <w:r w:rsidR="00441657">
        <w:rPr>
          <w:color w:val="000000"/>
        </w:rPr>
        <w:t xml:space="preserve">of </w:t>
      </w:r>
      <w:r w:rsidRPr="00022D77">
        <w:rPr>
          <w:color w:val="000000"/>
        </w:rPr>
        <w:t xml:space="preserve">the </w:t>
      </w:r>
      <w:r w:rsidR="00E17DE9">
        <w:rPr>
          <w:color w:val="000000"/>
        </w:rPr>
        <w:t>GoT</w:t>
      </w:r>
      <w:r w:rsidRPr="00022D77">
        <w:rPr>
          <w:color w:val="000000"/>
        </w:rPr>
        <w:t xml:space="preserve"> </w:t>
      </w:r>
      <w:r w:rsidR="00441657">
        <w:rPr>
          <w:color w:val="000000"/>
        </w:rPr>
        <w:t>budget allocation for health in 2017-18.</w:t>
      </w:r>
    </w:p>
    <w:p w14:paraId="72C7EC81" w14:textId="77777777" w:rsidR="00716D39" w:rsidRPr="00DD0215" w:rsidRDefault="00D863C7" w:rsidP="00000502">
      <w:pPr>
        <w:pStyle w:val="Heading3"/>
      </w:pPr>
      <w:bookmarkStart w:id="10" w:name="_Toc536205428"/>
      <w:r w:rsidRPr="00DD0215">
        <w:t>G</w:t>
      </w:r>
      <w:r w:rsidR="00022D77" w:rsidRPr="00DD0215">
        <w:t>overnance</w:t>
      </w:r>
      <w:r w:rsidRPr="00DD0215">
        <w:t xml:space="preserve">, </w:t>
      </w:r>
      <w:r w:rsidR="00022D77" w:rsidRPr="00DD0215">
        <w:t>management</w:t>
      </w:r>
      <w:r w:rsidRPr="00DD0215">
        <w:t xml:space="preserve"> and staffing</w:t>
      </w:r>
      <w:bookmarkEnd w:id="10"/>
    </w:p>
    <w:p w14:paraId="7AC907EC" w14:textId="77777777" w:rsidR="00D863C7" w:rsidRDefault="00D863C7" w:rsidP="00881933">
      <w:r>
        <w:t>The National Health Development Committee (</w:t>
      </w:r>
      <w:r w:rsidR="00441657">
        <w:t xml:space="preserve">NHDC) is </w:t>
      </w:r>
      <w:r>
        <w:t xml:space="preserve">the highest governance structure in the </w:t>
      </w:r>
      <w:r w:rsidR="009E2E05">
        <w:t>MoH</w:t>
      </w:r>
      <w:r w:rsidR="00441657">
        <w:t xml:space="preserve"> and is chaired by the Minister. The THSSP2 Design Document intended that the NHDC and </w:t>
      </w:r>
      <w:r>
        <w:t xml:space="preserve">the TongaHealth Board </w:t>
      </w:r>
      <w:r w:rsidR="00441657">
        <w:t>would be</w:t>
      </w:r>
      <w:r>
        <w:t xml:space="preserve"> the </w:t>
      </w:r>
      <w:r w:rsidR="00441657">
        <w:t>peak</w:t>
      </w:r>
      <w:r>
        <w:t xml:space="preserve"> governance </w:t>
      </w:r>
      <w:r w:rsidR="00441657">
        <w:t xml:space="preserve">bodies for the program: </w:t>
      </w:r>
      <w:r>
        <w:t>approv</w:t>
      </w:r>
      <w:r w:rsidR="00441657">
        <w:t>ing</w:t>
      </w:r>
      <w:r>
        <w:t xml:space="preserve"> </w:t>
      </w:r>
      <w:r w:rsidR="00441657">
        <w:t xml:space="preserve">annual </w:t>
      </w:r>
      <w:r>
        <w:t>work</w:t>
      </w:r>
      <w:r w:rsidR="00441657">
        <w:t xml:space="preserve"> </w:t>
      </w:r>
      <w:r>
        <w:t xml:space="preserve">plans </w:t>
      </w:r>
      <w:r w:rsidR="00441657">
        <w:t xml:space="preserve">of program-funded activities and monitoring </w:t>
      </w:r>
      <w:r>
        <w:t>quarterly reports</w:t>
      </w:r>
      <w:r w:rsidR="00441657">
        <w:t xml:space="preserve">. </w:t>
      </w:r>
      <w:r>
        <w:t>DFAT w</w:t>
      </w:r>
      <w:r w:rsidR="00441657">
        <w:t xml:space="preserve">as to be included in </w:t>
      </w:r>
      <w:r>
        <w:t>dialog around</w:t>
      </w:r>
      <w:r w:rsidR="00441657">
        <w:t xml:space="preserve"> </w:t>
      </w:r>
      <w:r>
        <w:t>the</w:t>
      </w:r>
      <w:r w:rsidR="00441657">
        <w:t xml:space="preserve"> </w:t>
      </w:r>
      <w:r>
        <w:t>work</w:t>
      </w:r>
      <w:r w:rsidR="00441657">
        <w:t xml:space="preserve"> </w:t>
      </w:r>
      <w:r>
        <w:t>plans</w:t>
      </w:r>
      <w:r w:rsidR="00441657">
        <w:t xml:space="preserve"> and would have </w:t>
      </w:r>
      <w:r>
        <w:t>f</w:t>
      </w:r>
      <w:r w:rsidR="00441657">
        <w:t>inal</w:t>
      </w:r>
      <w:r>
        <w:t xml:space="preserve"> approval </w:t>
      </w:r>
      <w:r w:rsidR="00441657">
        <w:t>regarding activities to be funded</w:t>
      </w:r>
      <w:r>
        <w:t>.</w:t>
      </w:r>
    </w:p>
    <w:p w14:paraId="0D41DAB4" w14:textId="77777777" w:rsidR="00441657" w:rsidRDefault="00F343B1" w:rsidP="00881933">
      <w:r>
        <w:t xml:space="preserve">The </w:t>
      </w:r>
      <w:r w:rsidR="00441657">
        <w:t xml:space="preserve">Post program management </w:t>
      </w:r>
      <w:r>
        <w:t xml:space="preserve">structure is one Australian Public Service position (Second Secretary Development) </w:t>
      </w:r>
      <w:r w:rsidR="00441657">
        <w:t>funded from program funds</w:t>
      </w:r>
      <w:r>
        <w:t xml:space="preserve"> and two Program Managers in nationally-engaged positions</w:t>
      </w:r>
      <w:r w:rsidR="00441657">
        <w:t xml:space="preserve">. Under the terms of </w:t>
      </w:r>
      <w:r>
        <w:t>an</w:t>
      </w:r>
      <w:r w:rsidR="00441657">
        <w:t xml:space="preserve"> Agreement between DFAT and </w:t>
      </w:r>
      <w:r w:rsidR="009E2E05">
        <w:t>MoH</w:t>
      </w:r>
      <w:r w:rsidR="00441657">
        <w:t xml:space="preserve">, </w:t>
      </w:r>
      <w:r w:rsidR="009E2E05">
        <w:t>MoH</w:t>
      </w:r>
      <w:r w:rsidR="00441657">
        <w:t xml:space="preserve"> is obliged to fund </w:t>
      </w:r>
      <w:r>
        <w:t xml:space="preserve">and staff </w:t>
      </w:r>
      <w:r w:rsidR="00441657">
        <w:t>two program support positions</w:t>
      </w:r>
      <w:r>
        <w:t>,</w:t>
      </w:r>
      <w:r w:rsidR="00441657">
        <w:t xml:space="preserve"> a project coordinator and a finance (accounts) officer</w:t>
      </w:r>
      <w:r>
        <w:t>, as a precondition for THSSP2 funding</w:t>
      </w:r>
      <w:r w:rsidR="00441657">
        <w:t>.</w:t>
      </w:r>
    </w:p>
    <w:p w14:paraId="326FE982" w14:textId="77777777" w:rsidR="006A5908" w:rsidRDefault="00B97972" w:rsidP="001E17BC">
      <w:pPr>
        <w:spacing w:after="0"/>
      </w:pPr>
      <w:r>
        <w:t xml:space="preserve">At the time of the midterm evaluation, </w:t>
      </w:r>
      <w:r w:rsidR="00971EB3">
        <w:t xml:space="preserve">two </w:t>
      </w:r>
      <w:r>
        <w:t xml:space="preserve">long term technical assistance positions were funded out of program funding: </w:t>
      </w:r>
      <w:r w:rsidR="00971EB3">
        <w:t xml:space="preserve">a </w:t>
      </w:r>
      <w:r>
        <w:t>health planner</w:t>
      </w:r>
      <w:r w:rsidR="00971EB3">
        <w:t xml:space="preserve"> and a</w:t>
      </w:r>
      <w:r>
        <w:t xml:space="preserve"> health promotion</w:t>
      </w:r>
      <w:r w:rsidR="00971EB3">
        <w:t xml:space="preserve">/NCD specialist. A </w:t>
      </w:r>
      <w:r w:rsidR="00B744DF">
        <w:t>long-term</w:t>
      </w:r>
      <w:r w:rsidR="00971EB3">
        <w:t xml:space="preserve"> </w:t>
      </w:r>
      <w:r>
        <w:t>procurement and contracts</w:t>
      </w:r>
      <w:r w:rsidR="00971EB3">
        <w:t xml:space="preserve"> specialist was deployed to the MoH under the DFAT economic governance program</w:t>
      </w:r>
      <w:r w:rsidR="00875113">
        <w:t>.</w:t>
      </w:r>
    </w:p>
    <w:p w14:paraId="0A5DE9F6" w14:textId="77777777" w:rsidR="00875113" w:rsidRDefault="00875113" w:rsidP="001E17BC">
      <w:pPr>
        <w:spacing w:after="0"/>
      </w:pPr>
    </w:p>
    <w:p w14:paraId="4FE52BA7" w14:textId="77777777" w:rsidR="0058440E" w:rsidRPr="00DD0215" w:rsidRDefault="0058440E" w:rsidP="00626A65">
      <w:pPr>
        <w:pStyle w:val="Heading2"/>
        <w:ind w:left="0"/>
        <w:rPr>
          <w:rStyle w:val="Heading2Char"/>
          <w:b/>
        </w:rPr>
      </w:pPr>
      <w:bookmarkStart w:id="11" w:name="_Toc536205429"/>
      <w:r w:rsidRPr="00DD0215">
        <w:rPr>
          <w:rStyle w:val="Heading2Char"/>
          <w:b/>
        </w:rPr>
        <w:t>Australian aid strategic priorities</w:t>
      </w:r>
      <w:bookmarkEnd w:id="11"/>
    </w:p>
    <w:p w14:paraId="25C882BB" w14:textId="77777777" w:rsidR="0047318D" w:rsidRDefault="0047318D" w:rsidP="00881933">
      <w:r w:rsidRPr="00580A29">
        <w:t xml:space="preserve">In addition to the directions of Australia’s country program in Tonga, this mid-term evaluation is intended to determine the extent of consistency of THSSP2 with the broader policy directions and strategies for Australian aid. Relevant key DFAT policy documents include </w:t>
      </w:r>
      <w:r w:rsidRPr="00580A29">
        <w:rPr>
          <w:i/>
        </w:rPr>
        <w:t>Making Performance Count</w:t>
      </w:r>
      <w:r w:rsidRPr="00580A29">
        <w:t xml:space="preserve"> (2014)</w:t>
      </w:r>
      <w:r w:rsidR="00DC5C2C">
        <w:t>,</w:t>
      </w:r>
      <w:r w:rsidRPr="00580A29">
        <w:t xml:space="preserve"> </w:t>
      </w:r>
      <w:r w:rsidRPr="00580A29">
        <w:rPr>
          <w:i/>
        </w:rPr>
        <w:t xml:space="preserve">Health for Development Strategy </w:t>
      </w:r>
      <w:r w:rsidRPr="00580A29">
        <w:t>(2015)</w:t>
      </w:r>
      <w:r w:rsidR="00DC5C2C">
        <w:t xml:space="preserve">, </w:t>
      </w:r>
      <w:r w:rsidR="00DC5C2C" w:rsidRPr="00274691">
        <w:rPr>
          <w:i/>
        </w:rPr>
        <w:t xml:space="preserve">Gender </w:t>
      </w:r>
      <w:r w:rsidR="00DC5C2C">
        <w:rPr>
          <w:i/>
        </w:rPr>
        <w:t>E</w:t>
      </w:r>
      <w:r w:rsidR="00DC5C2C" w:rsidRPr="00274691">
        <w:rPr>
          <w:i/>
        </w:rPr>
        <w:t xml:space="preserve">quality and </w:t>
      </w:r>
      <w:r w:rsidR="00DC5C2C">
        <w:rPr>
          <w:i/>
        </w:rPr>
        <w:t>W</w:t>
      </w:r>
      <w:r w:rsidR="00DC5C2C" w:rsidRPr="00274691">
        <w:rPr>
          <w:i/>
        </w:rPr>
        <w:t xml:space="preserve">omen’s </w:t>
      </w:r>
      <w:r w:rsidR="00DC5C2C">
        <w:rPr>
          <w:i/>
        </w:rPr>
        <w:t>E</w:t>
      </w:r>
      <w:r w:rsidR="00DC5C2C" w:rsidRPr="00274691">
        <w:rPr>
          <w:i/>
        </w:rPr>
        <w:t xml:space="preserve">mpowerment </w:t>
      </w:r>
      <w:r w:rsidR="00DC5C2C">
        <w:rPr>
          <w:i/>
        </w:rPr>
        <w:t>S</w:t>
      </w:r>
      <w:r w:rsidR="00DC5C2C" w:rsidRPr="00274691">
        <w:rPr>
          <w:i/>
        </w:rPr>
        <w:t>trategy</w:t>
      </w:r>
      <w:r w:rsidR="00DC5C2C">
        <w:t xml:space="preserve"> (2016), and </w:t>
      </w:r>
      <w:r w:rsidR="00DC5C2C" w:rsidRPr="00274691">
        <w:rPr>
          <w:i/>
        </w:rPr>
        <w:t>Development for All</w:t>
      </w:r>
      <w:r w:rsidR="00DC5C2C">
        <w:t xml:space="preserve"> (2015)</w:t>
      </w:r>
      <w:r w:rsidRPr="00580A29">
        <w:t>.</w:t>
      </w:r>
    </w:p>
    <w:p w14:paraId="184C0A57" w14:textId="77777777" w:rsidR="0047318D" w:rsidRDefault="0047318D" w:rsidP="00881933">
      <w:r w:rsidRPr="00503F8B">
        <w:rPr>
          <w:i/>
        </w:rPr>
        <w:lastRenderedPageBreak/>
        <w:t>Making Performance Count</w:t>
      </w:r>
      <w:r>
        <w:t xml:space="preserve"> sets out the purpose of Australia’s </w:t>
      </w:r>
      <w:r w:rsidRPr="003204BF">
        <w:t>aid program</w:t>
      </w:r>
      <w:r>
        <w:t xml:space="preserve">: </w:t>
      </w:r>
      <w:r w:rsidRPr="003204BF">
        <w:t>promot</w:t>
      </w:r>
      <w:r>
        <w:t>ing</w:t>
      </w:r>
      <w:r w:rsidRPr="003204BF">
        <w:t xml:space="preserve"> Australia’s national interests by contributing to </w:t>
      </w:r>
      <w:r>
        <w:t>sustainable</w:t>
      </w:r>
      <w:r w:rsidRPr="003204BF">
        <w:t xml:space="preserve"> economic growth and poverty reduction. </w:t>
      </w:r>
      <w:r>
        <w:t>The 10 targets are:</w:t>
      </w:r>
    </w:p>
    <w:p w14:paraId="38356D3E" w14:textId="77777777" w:rsidR="0047318D" w:rsidRPr="001935D6" w:rsidRDefault="0047318D" w:rsidP="00881933">
      <w:pPr>
        <w:pStyle w:val="ListParagraph"/>
        <w:numPr>
          <w:ilvl w:val="0"/>
          <w:numId w:val="6"/>
        </w:numPr>
      </w:pPr>
      <w:r w:rsidRPr="001935D6">
        <w:t>Promoting prosperity</w:t>
      </w:r>
    </w:p>
    <w:p w14:paraId="74ACC1DB" w14:textId="77777777" w:rsidR="0047318D" w:rsidRPr="001935D6" w:rsidRDefault="0047318D" w:rsidP="00881933">
      <w:pPr>
        <w:pStyle w:val="ListParagraph"/>
        <w:numPr>
          <w:ilvl w:val="0"/>
          <w:numId w:val="6"/>
        </w:numPr>
      </w:pPr>
      <w:r w:rsidRPr="001935D6">
        <w:t>Engaging the private sector</w:t>
      </w:r>
    </w:p>
    <w:p w14:paraId="2295E2B3" w14:textId="77777777" w:rsidR="0047318D" w:rsidRPr="001935D6" w:rsidRDefault="0047318D" w:rsidP="00881933">
      <w:pPr>
        <w:pStyle w:val="ListParagraph"/>
        <w:numPr>
          <w:ilvl w:val="0"/>
          <w:numId w:val="6"/>
        </w:numPr>
      </w:pPr>
      <w:r w:rsidRPr="001935D6">
        <w:t>Reducing poverty</w:t>
      </w:r>
    </w:p>
    <w:p w14:paraId="6B26B57B" w14:textId="77777777" w:rsidR="0047318D" w:rsidRPr="001935D6" w:rsidRDefault="0047318D" w:rsidP="00881933">
      <w:pPr>
        <w:pStyle w:val="ListParagraph"/>
        <w:numPr>
          <w:ilvl w:val="0"/>
          <w:numId w:val="6"/>
        </w:numPr>
      </w:pPr>
      <w:r w:rsidRPr="001935D6">
        <w:t>Empowering women and girls</w:t>
      </w:r>
    </w:p>
    <w:p w14:paraId="470D2253" w14:textId="77777777" w:rsidR="0047318D" w:rsidRPr="001935D6" w:rsidRDefault="0047318D" w:rsidP="00881933">
      <w:pPr>
        <w:pStyle w:val="ListParagraph"/>
        <w:numPr>
          <w:ilvl w:val="0"/>
          <w:numId w:val="6"/>
        </w:numPr>
      </w:pPr>
      <w:r w:rsidRPr="001935D6">
        <w:t>Focusing on the Indo-Pacific region</w:t>
      </w:r>
    </w:p>
    <w:p w14:paraId="5DEAA0B1" w14:textId="77777777" w:rsidR="0047318D" w:rsidRPr="001935D6" w:rsidRDefault="0047318D" w:rsidP="00881933">
      <w:pPr>
        <w:pStyle w:val="ListParagraph"/>
        <w:numPr>
          <w:ilvl w:val="0"/>
          <w:numId w:val="6"/>
        </w:numPr>
      </w:pPr>
      <w:r w:rsidRPr="001935D6">
        <w:t>Delivering on commitments</w:t>
      </w:r>
    </w:p>
    <w:p w14:paraId="0D239EA4" w14:textId="77777777" w:rsidR="0047318D" w:rsidRPr="001935D6" w:rsidRDefault="0047318D" w:rsidP="00881933">
      <w:pPr>
        <w:pStyle w:val="ListParagraph"/>
        <w:numPr>
          <w:ilvl w:val="0"/>
          <w:numId w:val="6"/>
        </w:numPr>
      </w:pPr>
      <w:r w:rsidRPr="001935D6">
        <w:t>Working with the most effective partners</w:t>
      </w:r>
    </w:p>
    <w:p w14:paraId="2A89A21E" w14:textId="77777777" w:rsidR="0047318D" w:rsidRPr="001935D6" w:rsidRDefault="0047318D" w:rsidP="00881933">
      <w:pPr>
        <w:pStyle w:val="ListParagraph"/>
        <w:numPr>
          <w:ilvl w:val="0"/>
          <w:numId w:val="6"/>
        </w:numPr>
      </w:pPr>
      <w:r w:rsidRPr="001935D6">
        <w:t>Ensuring value-for-money</w:t>
      </w:r>
    </w:p>
    <w:p w14:paraId="7D1D16A3" w14:textId="77777777" w:rsidR="0047318D" w:rsidRPr="001935D6" w:rsidRDefault="0047318D" w:rsidP="00881933">
      <w:pPr>
        <w:pStyle w:val="ListParagraph"/>
        <w:numPr>
          <w:ilvl w:val="0"/>
          <w:numId w:val="6"/>
        </w:numPr>
      </w:pPr>
      <w:r w:rsidRPr="001935D6">
        <w:t>Increasing consolidation</w:t>
      </w:r>
    </w:p>
    <w:p w14:paraId="5FFA5ED4" w14:textId="77777777" w:rsidR="0047318D" w:rsidRPr="001935D6" w:rsidRDefault="0047318D" w:rsidP="00881933">
      <w:pPr>
        <w:pStyle w:val="ListParagraph"/>
        <w:numPr>
          <w:ilvl w:val="0"/>
          <w:numId w:val="6"/>
        </w:numPr>
      </w:pPr>
      <w:r w:rsidRPr="001935D6">
        <w:t>Combatting corruption</w:t>
      </w:r>
    </w:p>
    <w:p w14:paraId="2314CF59" w14:textId="77777777" w:rsidR="0047318D" w:rsidRDefault="0047318D" w:rsidP="00881933">
      <w:pPr>
        <w:rPr>
          <w:szCs w:val="21"/>
        </w:rPr>
      </w:pPr>
      <w:r>
        <w:t xml:space="preserve">The targets for Australian aid described in </w:t>
      </w:r>
      <w:r w:rsidRPr="00503F8B">
        <w:rPr>
          <w:i/>
        </w:rPr>
        <w:t>Making Performance Count</w:t>
      </w:r>
      <w:r>
        <w:t xml:space="preserve"> are reflected in the evaluation framework for this mid-term evaluation.</w:t>
      </w:r>
    </w:p>
    <w:p w14:paraId="7063451F" w14:textId="77777777" w:rsidR="0023242F" w:rsidRDefault="0047318D" w:rsidP="00F928C2">
      <w:r w:rsidRPr="00AB16A6">
        <w:t xml:space="preserve">The contribution that health programs make towards enabling development is the subject of DFAT’s Health for Development Strategy 2015-2020. In the health sector, Australia's </w:t>
      </w:r>
      <w:r w:rsidR="00AB16A6">
        <w:t>highest</w:t>
      </w:r>
      <w:r w:rsidRPr="00AB16A6">
        <w:t xml:space="preserve"> priority for aid is to </w:t>
      </w:r>
      <w:r w:rsidR="00AB16A6">
        <w:t>work towards</w:t>
      </w:r>
      <w:r w:rsidR="00AB16A6" w:rsidRPr="00AB16A6">
        <w:t xml:space="preserve"> strengthened, resilient public health systems as a foundation for country and regional health</w:t>
      </w:r>
      <w:r w:rsidR="00AB16A6">
        <w:t xml:space="preserve"> security and prosperity</w:t>
      </w:r>
      <w:r w:rsidR="00AB16A6" w:rsidRPr="00AB16A6">
        <w:t>.</w:t>
      </w:r>
    </w:p>
    <w:p w14:paraId="2B5FB484" w14:textId="77777777" w:rsidR="0095498A" w:rsidRDefault="0095498A" w:rsidP="00F928C2">
      <w:r w:rsidRPr="00274691">
        <w:t xml:space="preserve">DFAT’s </w:t>
      </w:r>
      <w:r w:rsidRPr="00EA0C17">
        <w:rPr>
          <w:i/>
        </w:rPr>
        <w:t xml:space="preserve">Gender </w:t>
      </w:r>
      <w:r>
        <w:rPr>
          <w:i/>
        </w:rPr>
        <w:t>E</w:t>
      </w:r>
      <w:r w:rsidRPr="00EA0C17">
        <w:rPr>
          <w:i/>
        </w:rPr>
        <w:t xml:space="preserve">quality and </w:t>
      </w:r>
      <w:r>
        <w:rPr>
          <w:i/>
        </w:rPr>
        <w:t>W</w:t>
      </w:r>
      <w:r w:rsidRPr="00EA0C17">
        <w:rPr>
          <w:i/>
        </w:rPr>
        <w:t xml:space="preserve">omen’s </w:t>
      </w:r>
      <w:r>
        <w:rPr>
          <w:i/>
        </w:rPr>
        <w:t>E</w:t>
      </w:r>
      <w:r w:rsidRPr="00EA0C17">
        <w:rPr>
          <w:i/>
        </w:rPr>
        <w:t xml:space="preserve">mpowerment </w:t>
      </w:r>
      <w:r>
        <w:rPr>
          <w:i/>
        </w:rPr>
        <w:t>S</w:t>
      </w:r>
      <w:r w:rsidRPr="00EA0C17">
        <w:rPr>
          <w:i/>
        </w:rPr>
        <w:t>trategy</w:t>
      </w:r>
      <w:r w:rsidRPr="00274691">
        <w:t xml:space="preserve"> </w:t>
      </w:r>
      <w:r>
        <w:t>integrates gender equality into Australia’s aid program and requires that at least 80% of development investments effectively address gender equality issues. In addition to the aid program, gender is simultaneously addressed through diplomatic, trade and DFAT internal corporate policy.</w:t>
      </w:r>
    </w:p>
    <w:p w14:paraId="119D0858" w14:textId="77777777" w:rsidR="0095498A" w:rsidRDefault="00410A55" w:rsidP="001E17BC">
      <w:pPr>
        <w:spacing w:after="0"/>
      </w:pPr>
      <w:r w:rsidRPr="00274691">
        <w:rPr>
          <w:i/>
        </w:rPr>
        <w:t>Development for All</w:t>
      </w:r>
      <w:r>
        <w:t xml:space="preserve"> is intended to address barriers that limit the extent to which people with disability can enjoy the benefits of development. The strategy has a twin-track approach which seeks to mainstream the participation of people with disabilities whilst concurrently targeting some initiatives specifically to benefit people with disabilities. Under the strategy, Australia also </w:t>
      </w:r>
      <w:r w:rsidR="004F3CED">
        <w:t>assists beneficiary countries to r</w:t>
      </w:r>
      <w:r>
        <w:t>atify and implement the Convention on the Rights of Persons with Disabilities.</w:t>
      </w:r>
    </w:p>
    <w:p w14:paraId="5055CA05" w14:textId="77777777" w:rsidR="0095498A" w:rsidRPr="0095498A" w:rsidRDefault="0095498A" w:rsidP="001E17BC">
      <w:pPr>
        <w:spacing w:after="0"/>
        <w:rPr>
          <w:lang w:eastAsia="ja-JP"/>
        </w:rPr>
      </w:pPr>
    </w:p>
    <w:p w14:paraId="0634088C" w14:textId="77777777" w:rsidR="0058440E" w:rsidRPr="00C32D4A" w:rsidRDefault="0058440E" w:rsidP="00626A65">
      <w:pPr>
        <w:pStyle w:val="Heading2"/>
        <w:ind w:left="0"/>
        <w:rPr>
          <w:rStyle w:val="Heading2Char"/>
          <w:b/>
        </w:rPr>
      </w:pPr>
      <w:bookmarkStart w:id="12" w:name="_Toc536205430"/>
      <w:r w:rsidRPr="00C32D4A">
        <w:rPr>
          <w:rStyle w:val="Heading2Char"/>
          <w:b/>
        </w:rPr>
        <w:t>Complementary evaluations</w:t>
      </w:r>
      <w:bookmarkEnd w:id="12"/>
    </w:p>
    <w:p w14:paraId="15389776" w14:textId="77777777" w:rsidR="0023242F" w:rsidRPr="008C4A42" w:rsidRDefault="0023242F" w:rsidP="0023242F">
      <w:pPr>
        <w:spacing w:line="276" w:lineRule="auto"/>
      </w:pPr>
      <w:r w:rsidRPr="008C4A42">
        <w:t xml:space="preserve">This THSSP2 </w:t>
      </w:r>
      <w:r>
        <w:t xml:space="preserve">mid-term </w:t>
      </w:r>
      <w:r w:rsidRPr="008C4A42">
        <w:t xml:space="preserve">evaluation </w:t>
      </w:r>
      <w:r>
        <w:t>occurred immediately prior to t</w:t>
      </w:r>
      <w:r w:rsidRPr="008C4A42">
        <w:t xml:space="preserve">he </w:t>
      </w:r>
      <w:r>
        <w:t xml:space="preserve">mid-term evaluation of </w:t>
      </w:r>
      <w:r w:rsidR="00D93892">
        <w:rPr>
          <w:i/>
        </w:rPr>
        <w:t>‘Hala Fo</w:t>
      </w:r>
      <w:r>
        <w:rPr>
          <w:i/>
        </w:rPr>
        <w:t>nonga’</w:t>
      </w:r>
      <w:r>
        <w:t>, the National Strategy for Prevention and Control of Non-Communicable Diseases 2015-2020.</w:t>
      </w:r>
      <w:r w:rsidRPr="008C4A42">
        <w:t xml:space="preserve"> </w:t>
      </w:r>
      <w:r>
        <w:t xml:space="preserve">Although the THSSP2 </w:t>
      </w:r>
      <w:r w:rsidRPr="008C4A42">
        <w:t xml:space="preserve">evaluation team </w:t>
      </w:r>
      <w:r>
        <w:t xml:space="preserve">had expected to be informed by and </w:t>
      </w:r>
      <w:r w:rsidRPr="008C4A42">
        <w:t>coordinate with the NCD strategy review</w:t>
      </w:r>
      <w:r>
        <w:t>,</w:t>
      </w:r>
      <w:r w:rsidRPr="008C4A42">
        <w:t xml:space="preserve"> </w:t>
      </w:r>
      <w:r>
        <w:t xml:space="preserve">no findings were available from </w:t>
      </w:r>
      <w:r w:rsidRPr="008C4A42">
        <w:t>the NCD strategy review</w:t>
      </w:r>
      <w:r>
        <w:t xml:space="preserve"> in time for incorporation in the </w:t>
      </w:r>
      <w:r w:rsidRPr="008C4A42">
        <w:t>THSSP2 evaluation</w:t>
      </w:r>
      <w:r>
        <w:t>.</w:t>
      </w:r>
    </w:p>
    <w:p w14:paraId="371750FA" w14:textId="77777777" w:rsidR="0023242F" w:rsidRDefault="0023242F" w:rsidP="0023242F">
      <w:pPr>
        <w:spacing w:line="276" w:lineRule="auto"/>
      </w:pPr>
      <w:r>
        <w:t>The DFAT</w:t>
      </w:r>
      <w:r w:rsidRPr="00DC5650">
        <w:t xml:space="preserve"> Office of Develop</w:t>
      </w:r>
      <w:r>
        <w:t xml:space="preserve">ment Effectiveness (ODE) is </w:t>
      </w:r>
      <w:r w:rsidRPr="00DC5650">
        <w:t xml:space="preserve">conducting a strategic evaluation of DFAT’s bilateral Pacific health investments over </w:t>
      </w:r>
      <w:r>
        <w:t xml:space="preserve">2008-17. </w:t>
      </w:r>
      <w:r w:rsidRPr="00DC5650">
        <w:t xml:space="preserve">Case studies in Tonga, Fiji and Solomon Islands will investigate factors affecting the effectiveness of health system strengthening investments, with particular attention to the following activities: </w:t>
      </w:r>
    </w:p>
    <w:p w14:paraId="148A48C3" w14:textId="77777777" w:rsidR="0023242F" w:rsidRDefault="0023242F" w:rsidP="00D223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76" w:lineRule="auto"/>
        <w:ind w:left="748" w:right="28" w:hanging="357"/>
        <w:contextualSpacing w:val="0"/>
      </w:pPr>
      <w:r w:rsidRPr="00DC5650">
        <w:t xml:space="preserve">Strengthening </w:t>
      </w:r>
      <w:r>
        <w:t>health information s</w:t>
      </w:r>
      <w:r w:rsidRPr="00DC5650">
        <w:t>ystem</w:t>
      </w:r>
      <w:r>
        <w:t>s</w:t>
      </w:r>
    </w:p>
    <w:p w14:paraId="18160E53" w14:textId="77777777" w:rsidR="0023242F" w:rsidRDefault="0023242F" w:rsidP="00D223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76" w:lineRule="auto"/>
        <w:ind w:left="748" w:right="28" w:hanging="357"/>
        <w:contextualSpacing w:val="0"/>
      </w:pPr>
      <w:r w:rsidRPr="00DC5650">
        <w:t>Strengthening the health workforce to improve access to, and the supply of, health services</w:t>
      </w:r>
    </w:p>
    <w:p w14:paraId="21304372" w14:textId="77777777" w:rsidR="0023242F" w:rsidRPr="00DC5650" w:rsidRDefault="0023242F" w:rsidP="00D223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76" w:lineRule="auto"/>
        <w:ind w:left="748" w:right="28" w:hanging="357"/>
        <w:contextualSpacing w:val="0"/>
      </w:pPr>
      <w:r w:rsidRPr="00DC5650">
        <w:lastRenderedPageBreak/>
        <w:t>Strengthening financial planning and management for health service delivery</w:t>
      </w:r>
    </w:p>
    <w:p w14:paraId="53983638" w14:textId="77777777" w:rsidR="0023242F" w:rsidRPr="00DC5650" w:rsidRDefault="0023242F" w:rsidP="00D223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76" w:lineRule="auto"/>
        <w:ind w:left="748" w:right="28" w:hanging="357"/>
        <w:contextualSpacing w:val="0"/>
      </w:pPr>
      <w:r w:rsidRPr="00DC5650">
        <w:t>Strengthening the management of pharmaceutical supplies</w:t>
      </w:r>
    </w:p>
    <w:p w14:paraId="1164D8F7" w14:textId="77777777" w:rsidR="006A5908" w:rsidRDefault="0023242F" w:rsidP="001E17BC">
      <w:pPr>
        <w:spacing w:after="0" w:line="276" w:lineRule="auto"/>
      </w:pPr>
      <w:r w:rsidRPr="00DC5650">
        <w:t>The entry point for the case studies are activities funded through bilateral investments</w:t>
      </w:r>
      <w:r w:rsidR="00EC4F81">
        <w:t>,</w:t>
      </w:r>
      <w:r w:rsidRPr="00DC5650">
        <w:t xml:space="preserve"> but the </w:t>
      </w:r>
      <w:r>
        <w:t>ODE w</w:t>
      </w:r>
      <w:r w:rsidRPr="00DC5650">
        <w:t xml:space="preserve">ill also examine complementary activities funded through regional programs. The findings and recommendations will not be specific to any investment or country. </w:t>
      </w:r>
      <w:r>
        <w:t>T</w:t>
      </w:r>
      <w:r w:rsidRPr="00DC5650">
        <w:t xml:space="preserve">he </w:t>
      </w:r>
      <w:r>
        <w:t xml:space="preserve">ODE </w:t>
      </w:r>
      <w:r w:rsidRPr="00DC5650">
        <w:t xml:space="preserve">evaluation team </w:t>
      </w:r>
      <w:r>
        <w:t xml:space="preserve">visited </w:t>
      </w:r>
      <w:r w:rsidRPr="00DC5650">
        <w:t xml:space="preserve">Tonga prior to the THSSP2 </w:t>
      </w:r>
      <w:r>
        <w:t xml:space="preserve">mid-term </w:t>
      </w:r>
      <w:r w:rsidRPr="00DC5650">
        <w:t xml:space="preserve">evaluation, and some of </w:t>
      </w:r>
      <w:r>
        <w:t xml:space="preserve">the ODE’s </w:t>
      </w:r>
      <w:r w:rsidRPr="00DC5650">
        <w:t xml:space="preserve">insights </w:t>
      </w:r>
      <w:r>
        <w:t xml:space="preserve">were considered in the THSSP2 </w:t>
      </w:r>
      <w:r w:rsidR="006A5908">
        <w:t>evaluation.</w:t>
      </w:r>
    </w:p>
    <w:p w14:paraId="64E42E4E" w14:textId="77777777" w:rsidR="00F44374" w:rsidRDefault="00F44374" w:rsidP="001E17BC">
      <w:pPr>
        <w:spacing w:after="0" w:line="276" w:lineRule="auto"/>
      </w:pPr>
    </w:p>
    <w:p w14:paraId="20D1577B" w14:textId="77777777" w:rsidR="003726D9" w:rsidRDefault="00022D77" w:rsidP="006A5908">
      <w:pPr>
        <w:pStyle w:val="Heading1"/>
      </w:pPr>
      <w:bookmarkStart w:id="13" w:name="_Toc536205431"/>
      <w:r w:rsidRPr="00022D77">
        <w:t xml:space="preserve">Evaluation </w:t>
      </w:r>
      <w:r w:rsidR="00A540BB">
        <w:t>Methods</w:t>
      </w:r>
      <w:bookmarkEnd w:id="13"/>
    </w:p>
    <w:p w14:paraId="1A15C7CD" w14:textId="77777777" w:rsidR="00024020" w:rsidRPr="00F928C2" w:rsidRDefault="00024020" w:rsidP="00024020">
      <w:pPr>
        <w:spacing w:after="0"/>
        <w:rPr>
          <w:lang w:eastAsia="ja-JP"/>
        </w:rPr>
      </w:pPr>
      <w:bookmarkStart w:id="14" w:name="_Toc536205432"/>
      <w:bookmarkStart w:id="15" w:name="_Toc536205433"/>
      <w:bookmarkEnd w:id="14"/>
    </w:p>
    <w:p w14:paraId="509ECD34" w14:textId="77777777" w:rsidR="00A862EA" w:rsidRPr="00A862EA" w:rsidRDefault="00A862EA" w:rsidP="006719C2">
      <w:pPr>
        <w:pStyle w:val="Level2Heading"/>
        <w:numPr>
          <w:ilvl w:val="1"/>
          <w:numId w:val="57"/>
        </w:numPr>
        <w:ind w:left="0"/>
        <w:rPr>
          <w:rStyle w:val="Heading2Char"/>
          <w:b/>
        </w:rPr>
      </w:pPr>
      <w:r w:rsidRPr="00A862EA">
        <w:rPr>
          <w:rStyle w:val="Heading2Char"/>
          <w:b/>
        </w:rPr>
        <w:t>Evaluation purpose</w:t>
      </w:r>
      <w:bookmarkEnd w:id="15"/>
    </w:p>
    <w:p w14:paraId="77331389" w14:textId="77777777" w:rsidR="003726D9" w:rsidRPr="0097191B" w:rsidRDefault="003726D9" w:rsidP="00AB16A6">
      <w:r w:rsidRPr="0097191B">
        <w:t xml:space="preserve">The purpose of this </w:t>
      </w:r>
      <w:r>
        <w:t>m</w:t>
      </w:r>
      <w:r w:rsidRPr="0097191B">
        <w:t>id</w:t>
      </w:r>
      <w:r>
        <w:t>-</w:t>
      </w:r>
      <w:r w:rsidRPr="0097191B">
        <w:t xml:space="preserve">term </w:t>
      </w:r>
      <w:r>
        <w:t>e</w:t>
      </w:r>
      <w:r w:rsidRPr="0097191B">
        <w:t xml:space="preserve">valuation is to </w:t>
      </w:r>
      <w:r>
        <w:t>obtain</w:t>
      </w:r>
      <w:r w:rsidRPr="0097191B">
        <w:t xml:space="preserve"> information about the implementation of </w:t>
      </w:r>
      <w:r>
        <w:t>Australian-</w:t>
      </w:r>
      <w:r w:rsidRPr="0097191B">
        <w:t xml:space="preserve">funded support to the health sector. This information will be used to improve Australia’s support to the </w:t>
      </w:r>
      <w:r w:rsidR="009E2E05">
        <w:t>MoH</w:t>
      </w:r>
      <w:r w:rsidRPr="0097191B">
        <w:t xml:space="preserve"> </w:t>
      </w:r>
      <w:r>
        <w:t>and Tonga</w:t>
      </w:r>
      <w:r w:rsidRPr="0097191B">
        <w:t>Health and, subsequently, the delivery of Tonga’s National Hea</w:t>
      </w:r>
      <w:r>
        <w:t xml:space="preserve">lth Strategic Plan 2015 – 2020. </w:t>
      </w:r>
      <w:r w:rsidRPr="0097191B">
        <w:t xml:space="preserve">This will be the first </w:t>
      </w:r>
      <w:r>
        <w:t xml:space="preserve">evaluation </w:t>
      </w:r>
      <w:r w:rsidRPr="0097191B">
        <w:t>of THSSP2.</w:t>
      </w:r>
    </w:p>
    <w:p w14:paraId="7D817231" w14:textId="77777777" w:rsidR="003726D9" w:rsidRPr="0097191B" w:rsidRDefault="003726D9" w:rsidP="0037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left="30" w:right="30"/>
      </w:pPr>
      <w:r w:rsidRPr="0097191B">
        <w:t xml:space="preserve">The </w:t>
      </w:r>
      <w:r>
        <w:t xml:space="preserve">specific </w:t>
      </w:r>
      <w:r w:rsidRPr="0097191B">
        <w:t xml:space="preserve">objectives of this </w:t>
      </w:r>
      <w:r>
        <w:t>m</w:t>
      </w:r>
      <w:r w:rsidRPr="0097191B">
        <w:t>id</w:t>
      </w:r>
      <w:r>
        <w:t>-</w:t>
      </w:r>
      <w:r w:rsidRPr="0097191B">
        <w:t xml:space="preserve">term </w:t>
      </w:r>
      <w:r>
        <w:t>e</w:t>
      </w:r>
      <w:r w:rsidRPr="0097191B">
        <w:t>valuation are:</w:t>
      </w:r>
    </w:p>
    <w:p w14:paraId="6A06B2B7" w14:textId="77777777" w:rsidR="003726D9" w:rsidRDefault="003726D9" w:rsidP="00D2231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right="30"/>
      </w:pPr>
      <w:r w:rsidRPr="0097191B">
        <w:t>To review and document the performance of THSSP2 over the period 2015</w:t>
      </w:r>
      <w:r w:rsidR="00A540BB">
        <w:t xml:space="preserve"> – </w:t>
      </w:r>
      <w:r w:rsidRPr="0097191B">
        <w:t>2017, including the program’s achievement against agreed performance benchmarks to inform the 2018</w:t>
      </w:r>
      <w:r>
        <w:t>-</w:t>
      </w:r>
      <w:r w:rsidRPr="0097191B">
        <w:t>19 Performance Based Payment.</w:t>
      </w:r>
      <w:r>
        <w:br/>
      </w:r>
    </w:p>
    <w:p w14:paraId="1E030C7F" w14:textId="77777777" w:rsidR="003726D9" w:rsidRPr="0097191B" w:rsidRDefault="003726D9" w:rsidP="00D2231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right="30"/>
      </w:pPr>
      <w:r w:rsidRPr="0097191B">
        <w:t>Based on the review findings, provide recommendations for improvements that could be made by partners in the remaining implementation period to June 2020.</w:t>
      </w:r>
      <w:r>
        <w:br/>
      </w:r>
    </w:p>
    <w:p w14:paraId="76031AD5" w14:textId="77777777" w:rsidR="003726D9" w:rsidRPr="0097191B" w:rsidRDefault="003726D9" w:rsidP="00D2231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right="30"/>
      </w:pPr>
      <w:r w:rsidRPr="0097191B">
        <w:t>Provide advice on options for future support to the health sector in Tonga beyond June 2020, and in particular if the THSSP2 delivery modality is still appropriate.</w:t>
      </w:r>
      <w:r>
        <w:br/>
      </w:r>
    </w:p>
    <w:p w14:paraId="70294E25" w14:textId="77777777" w:rsidR="003726D9" w:rsidRDefault="003726D9" w:rsidP="00D2231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right="30"/>
      </w:pPr>
      <w:r w:rsidRPr="0097191B">
        <w:t>Make recommendations for analytical products to be commissioned to inform a future health program design.</w:t>
      </w:r>
    </w:p>
    <w:p w14:paraId="7BA7C983" w14:textId="77777777" w:rsidR="00C247DD" w:rsidRDefault="003366DE" w:rsidP="00F92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0" w:line="240" w:lineRule="auto"/>
        <w:ind w:right="30"/>
      </w:pPr>
      <w:r>
        <w:t xml:space="preserve">The full Terms of Reference for the mid-term evaluation are at </w:t>
      </w:r>
      <w:r w:rsidRPr="003366DE">
        <w:rPr>
          <w:b/>
        </w:rPr>
        <w:t>Annex A</w:t>
      </w:r>
      <w:r>
        <w:t>.</w:t>
      </w:r>
    </w:p>
    <w:p w14:paraId="6EEAB254" w14:textId="77777777" w:rsidR="006A5908" w:rsidRPr="0097191B" w:rsidRDefault="006A5908" w:rsidP="00F92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0" w:line="240" w:lineRule="auto"/>
        <w:ind w:right="30"/>
      </w:pPr>
    </w:p>
    <w:p w14:paraId="3CC83794" w14:textId="77777777" w:rsidR="00E97A3B" w:rsidRPr="00002A48" w:rsidRDefault="00592CC9" w:rsidP="006719C2">
      <w:pPr>
        <w:pStyle w:val="Level2Heading"/>
        <w:numPr>
          <w:ilvl w:val="1"/>
          <w:numId w:val="57"/>
        </w:numPr>
        <w:ind w:left="0"/>
        <w:rPr>
          <w:rStyle w:val="Heading2Char"/>
          <w:b/>
        </w:rPr>
      </w:pPr>
      <w:bookmarkStart w:id="16" w:name="_Toc533416414"/>
      <w:bookmarkStart w:id="17" w:name="_Toc533416514"/>
      <w:bookmarkStart w:id="18" w:name="_Toc533416621"/>
      <w:bookmarkStart w:id="19" w:name="_Toc533416711"/>
      <w:bookmarkStart w:id="20" w:name="_Toc533416878"/>
      <w:bookmarkStart w:id="21" w:name="_Toc533418948"/>
      <w:bookmarkStart w:id="22" w:name="_Toc533421346"/>
      <w:bookmarkStart w:id="23" w:name="_Toc533421452"/>
      <w:bookmarkStart w:id="24" w:name="_Toc533421493"/>
      <w:bookmarkStart w:id="25" w:name="_Toc533421541"/>
      <w:bookmarkStart w:id="26" w:name="_Toc536205434"/>
      <w:bookmarkEnd w:id="16"/>
      <w:bookmarkEnd w:id="17"/>
      <w:bookmarkEnd w:id="18"/>
      <w:bookmarkEnd w:id="19"/>
      <w:bookmarkEnd w:id="20"/>
      <w:bookmarkEnd w:id="21"/>
      <w:bookmarkEnd w:id="22"/>
      <w:bookmarkEnd w:id="23"/>
      <w:bookmarkEnd w:id="24"/>
      <w:bookmarkEnd w:id="25"/>
      <w:r>
        <w:rPr>
          <w:rStyle w:val="Heading2Char"/>
          <w:b/>
        </w:rPr>
        <w:t>Evaluation scope and m</w:t>
      </w:r>
      <w:r w:rsidR="00E97A3B">
        <w:rPr>
          <w:rStyle w:val="Heading2Char"/>
          <w:b/>
        </w:rPr>
        <w:t>ethods</w:t>
      </w:r>
      <w:bookmarkEnd w:id="26"/>
    </w:p>
    <w:p w14:paraId="6808F45E" w14:textId="77777777" w:rsidR="00FF1A91" w:rsidRDefault="00022D77" w:rsidP="006A5908">
      <w:r w:rsidRPr="00022D77">
        <w:t xml:space="preserve">The evaluation was </w:t>
      </w:r>
      <w:r w:rsidR="00FF1A91">
        <w:t>undertaken</w:t>
      </w:r>
      <w:r w:rsidRPr="00022D77">
        <w:t xml:space="preserve"> by a </w:t>
      </w:r>
      <w:r w:rsidR="00FF1A91">
        <w:t>three</w:t>
      </w:r>
      <w:r w:rsidR="001F3B1E">
        <w:t>-person team:</w:t>
      </w:r>
      <w:r w:rsidR="001F3B1E">
        <w:rPr>
          <w:lang w:eastAsia="en-AU"/>
        </w:rPr>
        <w:t xml:space="preserve"> a team l</w:t>
      </w:r>
      <w:r w:rsidR="001F3B1E" w:rsidRPr="009D2FD7">
        <w:rPr>
          <w:lang w:eastAsia="en-AU"/>
        </w:rPr>
        <w:t>eader/</w:t>
      </w:r>
      <w:r w:rsidR="001F3B1E">
        <w:rPr>
          <w:lang w:eastAsia="en-AU"/>
        </w:rPr>
        <w:t>evaluation s</w:t>
      </w:r>
      <w:r w:rsidR="001F3B1E" w:rsidRPr="009D2FD7">
        <w:rPr>
          <w:lang w:eastAsia="en-AU"/>
        </w:rPr>
        <w:t>pecialist</w:t>
      </w:r>
      <w:r w:rsidR="001F3B1E">
        <w:rPr>
          <w:lang w:eastAsia="en-AU"/>
        </w:rPr>
        <w:t>, a health financing s</w:t>
      </w:r>
      <w:r w:rsidR="001F3B1E" w:rsidRPr="009D2FD7">
        <w:rPr>
          <w:lang w:eastAsia="en-AU"/>
        </w:rPr>
        <w:t>pecialist</w:t>
      </w:r>
      <w:r w:rsidR="001F3B1E">
        <w:rPr>
          <w:lang w:eastAsia="en-AU"/>
        </w:rPr>
        <w:t xml:space="preserve">, </w:t>
      </w:r>
      <w:r w:rsidR="001F3B1E" w:rsidRPr="009D2FD7">
        <w:rPr>
          <w:lang w:eastAsia="en-AU"/>
        </w:rPr>
        <w:t xml:space="preserve">and </w:t>
      </w:r>
      <w:r w:rsidR="001F3B1E">
        <w:rPr>
          <w:lang w:eastAsia="en-AU"/>
        </w:rPr>
        <w:t>a</w:t>
      </w:r>
      <w:r w:rsidR="001F3B1E" w:rsidRPr="009D2FD7">
        <w:rPr>
          <w:lang w:eastAsia="en-AU"/>
        </w:rPr>
        <w:t>n</w:t>
      </w:r>
      <w:r w:rsidR="001F3B1E">
        <w:rPr>
          <w:lang w:eastAsia="en-AU"/>
        </w:rPr>
        <w:t xml:space="preserve"> NCD service delivery s</w:t>
      </w:r>
      <w:r w:rsidR="001F3B1E" w:rsidRPr="009D2FD7">
        <w:rPr>
          <w:lang w:eastAsia="en-AU"/>
        </w:rPr>
        <w:t>pecialist</w:t>
      </w:r>
      <w:r w:rsidR="001F3B1E">
        <w:rPr>
          <w:lang w:eastAsia="en-AU"/>
        </w:rPr>
        <w:t xml:space="preserve">. </w:t>
      </w:r>
      <w:r w:rsidR="006A5908">
        <w:t>An</w:t>
      </w:r>
      <w:r w:rsidR="00FF1A91">
        <w:t xml:space="preserve"> evaluation </w:t>
      </w:r>
      <w:r w:rsidR="00FF1A91" w:rsidRPr="00022D77">
        <w:t xml:space="preserve">methodology was </w:t>
      </w:r>
      <w:r w:rsidR="00FF1A91">
        <w:t xml:space="preserve">developed by the team in advance and documented in an </w:t>
      </w:r>
      <w:r w:rsidR="00FF1A91" w:rsidRPr="00022D77">
        <w:t xml:space="preserve">Evaluation Plan </w:t>
      </w:r>
      <w:r w:rsidR="0026731A">
        <w:t>that</w:t>
      </w:r>
      <w:r w:rsidR="00FF1A91">
        <w:t xml:space="preserve"> was reviewed and endorsed by the Australian High Commission Nuku’alofa. T</w:t>
      </w:r>
      <w:r w:rsidRPr="00022D77">
        <w:t xml:space="preserve">he </w:t>
      </w:r>
      <w:r w:rsidR="009E723B">
        <w:t>terms of reference (</w:t>
      </w:r>
      <w:r w:rsidR="001F3B1E">
        <w:t>T</w:t>
      </w:r>
      <w:r w:rsidR="009E723B">
        <w:t>o</w:t>
      </w:r>
      <w:r w:rsidR="001F3B1E">
        <w:t>R</w:t>
      </w:r>
      <w:r w:rsidR="009E723B">
        <w:t>)</w:t>
      </w:r>
      <w:r w:rsidR="001F3B1E">
        <w:t xml:space="preserve"> provided for 12 calendar days in Tonga but due to international flight schedules the </w:t>
      </w:r>
      <w:r w:rsidRPr="00022D77">
        <w:t xml:space="preserve">team spent </w:t>
      </w:r>
      <w:r w:rsidR="001F3B1E">
        <w:t xml:space="preserve">only ten calendar days in country (one team member arriving in the afternoon </w:t>
      </w:r>
      <w:r w:rsidR="007712E6">
        <w:t xml:space="preserve">a day before the other two members). </w:t>
      </w:r>
      <w:r w:rsidR="001F3B1E">
        <w:t>S</w:t>
      </w:r>
      <w:r w:rsidR="006A5908">
        <w:t>even</w:t>
      </w:r>
      <w:r w:rsidRPr="00022D77">
        <w:t xml:space="preserve"> </w:t>
      </w:r>
      <w:r w:rsidR="0026731A">
        <w:t xml:space="preserve">working </w:t>
      </w:r>
      <w:r w:rsidRPr="00022D77">
        <w:t xml:space="preserve">days </w:t>
      </w:r>
      <w:r w:rsidR="001F3B1E">
        <w:t>were spent</w:t>
      </w:r>
      <w:r w:rsidR="00FF1A91">
        <w:t xml:space="preserve"> </w:t>
      </w:r>
      <w:r w:rsidRPr="00022D77">
        <w:t>meeting relevant stakeholders</w:t>
      </w:r>
      <w:r w:rsidR="00FF1A91">
        <w:t xml:space="preserve"> and sourcing data for measuring program performance</w:t>
      </w:r>
      <w:r w:rsidR="006A5908">
        <w:t xml:space="preserve">, </w:t>
      </w:r>
      <w:r w:rsidR="007712E6">
        <w:t xml:space="preserve">the weekend was used for analysis, team discussion and preliminary writing, </w:t>
      </w:r>
      <w:r w:rsidR="006A5908">
        <w:t xml:space="preserve">and </w:t>
      </w:r>
      <w:r w:rsidR="007712E6">
        <w:t xml:space="preserve">on </w:t>
      </w:r>
      <w:r w:rsidR="001F3B1E">
        <w:t xml:space="preserve">the </w:t>
      </w:r>
      <w:r w:rsidR="007712E6">
        <w:t>final</w:t>
      </w:r>
      <w:r w:rsidR="001F3B1E">
        <w:t xml:space="preserve"> working day </w:t>
      </w:r>
      <w:r w:rsidR="007712E6">
        <w:t xml:space="preserve">the team </w:t>
      </w:r>
      <w:r w:rsidR="006A5908">
        <w:t>provided a departur</w:t>
      </w:r>
      <w:r w:rsidR="007712E6">
        <w:t>e debriefing for stakeholders</w:t>
      </w:r>
      <w:r w:rsidR="00FF1A91">
        <w:t>.</w:t>
      </w:r>
    </w:p>
    <w:p w14:paraId="3A939E8E" w14:textId="77777777" w:rsidR="00A862EA" w:rsidRDefault="00022D77" w:rsidP="005E311F">
      <w:r w:rsidRPr="00022D77">
        <w:t xml:space="preserve">The evaluation </w:t>
      </w:r>
      <w:r w:rsidR="00FF1A91">
        <w:t xml:space="preserve">approach </w:t>
      </w:r>
      <w:r w:rsidR="00730020">
        <w:t xml:space="preserve">reflected the program design, with five high-level program targets and the intention that progress would be measured using an extensive THSSP2 Monitoring and Evaluation Framework (M&amp;E Framework). The indicators in the M&amp;E Framework are a mixture of qualitative </w:t>
      </w:r>
      <w:r w:rsidR="00730020">
        <w:lastRenderedPageBreak/>
        <w:t xml:space="preserve">and quantitative measures, including some sentinel events. In the program design concept, actual </w:t>
      </w:r>
      <w:r w:rsidR="00AA1B8D">
        <w:t xml:space="preserve">activities </w:t>
      </w:r>
      <w:r w:rsidR="00730020">
        <w:t xml:space="preserve">were intended to be planned annually and not </w:t>
      </w:r>
      <w:r w:rsidR="00AB3EE7">
        <w:t>individually</w:t>
      </w:r>
      <w:r w:rsidR="00730020">
        <w:t xml:space="preserve"> monitored. The evaluation approach therefore </w:t>
      </w:r>
      <w:r w:rsidR="00FF1A91">
        <w:t>relied on obtaining source data for populating the</w:t>
      </w:r>
      <w:r w:rsidR="00730020">
        <w:t xml:space="preserve"> M&amp;E Framework</w:t>
      </w:r>
      <w:r w:rsidR="00FF1A91">
        <w:t>.</w:t>
      </w:r>
      <w:bookmarkStart w:id="27" w:name="_Toc536205435"/>
      <w:bookmarkStart w:id="28" w:name="_Toc536205436"/>
      <w:bookmarkEnd w:id="27"/>
      <w:bookmarkEnd w:id="28"/>
    </w:p>
    <w:p w14:paraId="4C367059" w14:textId="77777777" w:rsidR="00445D92" w:rsidRPr="003320A7" w:rsidRDefault="00022D77" w:rsidP="003320A7">
      <w:pPr>
        <w:pStyle w:val="Heading3"/>
      </w:pPr>
      <w:bookmarkStart w:id="29" w:name="_Toc536205437"/>
      <w:r w:rsidRPr="003320A7">
        <w:t>Document review</w:t>
      </w:r>
      <w:bookmarkEnd w:id="29"/>
    </w:p>
    <w:p w14:paraId="5F80DA1A" w14:textId="77777777" w:rsidR="00445D92" w:rsidRDefault="00022D77" w:rsidP="006A5908">
      <w:r w:rsidRPr="00022D77">
        <w:t xml:space="preserve">A </w:t>
      </w:r>
      <w:r w:rsidR="00445D92">
        <w:t xml:space="preserve">background </w:t>
      </w:r>
      <w:r w:rsidRPr="00022D77">
        <w:t>set of documents relating to THSSP</w:t>
      </w:r>
      <w:r w:rsidR="00445D92">
        <w:t>2</w:t>
      </w:r>
      <w:r w:rsidRPr="00022D77">
        <w:t xml:space="preserve"> was shared with team </w:t>
      </w:r>
      <w:r w:rsidR="00445D92">
        <w:t xml:space="preserve">members </w:t>
      </w:r>
      <w:r w:rsidRPr="00022D77">
        <w:t>in</w:t>
      </w:r>
      <w:r w:rsidR="00445D92">
        <w:t xml:space="preserve"> </w:t>
      </w:r>
      <w:r w:rsidRPr="00022D77">
        <w:t xml:space="preserve">advance of their travel to Tonga. </w:t>
      </w:r>
      <w:r w:rsidR="00445D92">
        <w:t>Documents</w:t>
      </w:r>
      <w:r w:rsidRPr="00022D77">
        <w:t xml:space="preserve"> included relevant GoT plans and strategies,</w:t>
      </w:r>
      <w:r w:rsidR="00445D92">
        <w:t xml:space="preserve"> </w:t>
      </w:r>
      <w:r w:rsidR="009E2E05">
        <w:t>MoH</w:t>
      </w:r>
      <w:r w:rsidR="00445D92">
        <w:t xml:space="preserve"> plans and strategies, and the original program </w:t>
      </w:r>
      <w:r w:rsidRPr="00022D77">
        <w:t>design document</w:t>
      </w:r>
      <w:r w:rsidR="00445D92">
        <w:t xml:space="preserve">. </w:t>
      </w:r>
      <w:r w:rsidR="007712E6">
        <w:t xml:space="preserve">The document review formed the basis of </w:t>
      </w:r>
      <w:r w:rsidR="00E772E9">
        <w:t>pre-travel planning</w:t>
      </w:r>
      <w:r w:rsidR="007712E6">
        <w:t xml:space="preserve">, including a </w:t>
      </w:r>
      <w:r w:rsidR="006F59B9">
        <w:t xml:space="preserve">comprehensive </w:t>
      </w:r>
      <w:r w:rsidR="007712E6">
        <w:t>request</w:t>
      </w:r>
      <w:r w:rsidR="006F59B9">
        <w:t xml:space="preserve"> for</w:t>
      </w:r>
      <w:r w:rsidR="007712E6">
        <w:t xml:space="preserve"> additional documents that was submitted to DFAT</w:t>
      </w:r>
      <w:r w:rsidR="00F565A7">
        <w:t xml:space="preserve"> prior to the country visit</w:t>
      </w:r>
      <w:r w:rsidR="007712E6">
        <w:t xml:space="preserve">. In response to the request, </w:t>
      </w:r>
      <w:r w:rsidR="00445D92">
        <w:t xml:space="preserve">DFAT </w:t>
      </w:r>
      <w:r w:rsidR="007712E6">
        <w:t xml:space="preserve">was able to provide </w:t>
      </w:r>
      <w:r w:rsidR="00445D92">
        <w:t xml:space="preserve">financial reports and acquittals, and DFAT aid quality checks. </w:t>
      </w:r>
      <w:r w:rsidR="006F59B9">
        <w:t xml:space="preserve">However, additional documents that needed to be obtained from </w:t>
      </w:r>
      <w:r w:rsidR="009E2E05">
        <w:t>MoH</w:t>
      </w:r>
      <w:r w:rsidR="006F59B9">
        <w:t xml:space="preserve"> and TongaHealth were </w:t>
      </w:r>
      <w:r w:rsidR="00445D92" w:rsidRPr="00D054DC">
        <w:t>not</w:t>
      </w:r>
      <w:r w:rsidR="00730020">
        <w:t xml:space="preserve"> </w:t>
      </w:r>
      <w:r w:rsidR="006F59B9">
        <w:t>provided prior to the country visit</w:t>
      </w:r>
      <w:r w:rsidRPr="00022D77">
        <w:t>. A full list of documents</w:t>
      </w:r>
      <w:r w:rsidR="00445D92">
        <w:t xml:space="preserve"> </w:t>
      </w:r>
      <w:r w:rsidRPr="00022D77">
        <w:t xml:space="preserve">reviewed can be found </w:t>
      </w:r>
      <w:r w:rsidRPr="00CA6E19">
        <w:t xml:space="preserve">at </w:t>
      </w:r>
      <w:r w:rsidRPr="003366DE">
        <w:rPr>
          <w:b/>
        </w:rPr>
        <w:t xml:space="preserve">Annex </w:t>
      </w:r>
      <w:r w:rsidR="003366DE" w:rsidRPr="003366DE">
        <w:rPr>
          <w:b/>
        </w:rPr>
        <w:t>B</w:t>
      </w:r>
      <w:r w:rsidRPr="00CA6E19">
        <w:t>.</w:t>
      </w:r>
    </w:p>
    <w:p w14:paraId="6D3BF421" w14:textId="77777777" w:rsidR="00445D92" w:rsidRPr="003320A7" w:rsidRDefault="00730020" w:rsidP="003320A7">
      <w:pPr>
        <w:pStyle w:val="Heading3"/>
      </w:pPr>
      <w:bookmarkStart w:id="30" w:name="_Toc536205438"/>
      <w:r w:rsidRPr="003320A7">
        <w:t>Consultations</w:t>
      </w:r>
      <w:bookmarkEnd w:id="30"/>
    </w:p>
    <w:p w14:paraId="30118A47" w14:textId="77777777" w:rsidR="00730020" w:rsidRDefault="00730020" w:rsidP="00730020">
      <w:r>
        <w:t xml:space="preserve">The evaluation team </w:t>
      </w:r>
      <w:r w:rsidR="00C00028">
        <w:t xml:space="preserve">conducted consultations </w:t>
      </w:r>
      <w:r>
        <w:t>us</w:t>
      </w:r>
      <w:r w:rsidR="00C00028">
        <w:t>ing</w:t>
      </w:r>
      <w:r>
        <w:t xml:space="preserve"> a s</w:t>
      </w:r>
      <w:r w:rsidR="00022D77" w:rsidRPr="00022D77">
        <w:t>emi-structured</w:t>
      </w:r>
      <w:r>
        <w:t>, open-ended</w:t>
      </w:r>
      <w:r w:rsidR="00022D77" w:rsidRPr="00022D77">
        <w:t xml:space="preserve"> interview</w:t>
      </w:r>
      <w:r>
        <w:t xml:space="preserve"> technique. This meant that consultations began in a broadly uniform manner and then </w:t>
      </w:r>
      <w:r w:rsidR="00C000E2">
        <w:t>‘</w:t>
      </w:r>
      <w:r>
        <w:t>drilled down</w:t>
      </w:r>
      <w:r w:rsidR="00C000E2">
        <w:t>’</w:t>
      </w:r>
      <w:r>
        <w:t xml:space="preserve"> into the subject material that was relevant </w:t>
      </w:r>
      <w:r w:rsidR="00C00028">
        <w:t>to</w:t>
      </w:r>
      <w:r>
        <w:t xml:space="preserve"> the participants. Consultations were not intended to be the </w:t>
      </w:r>
      <w:r w:rsidR="00C00028">
        <w:t>sole</w:t>
      </w:r>
      <w:r>
        <w:t xml:space="preserve"> data collection approach for the evaluation because, as explained above, the program design concept wa</w:t>
      </w:r>
      <w:r w:rsidR="00022D77" w:rsidRPr="00022D77">
        <w:t xml:space="preserve">s </w:t>
      </w:r>
      <w:r w:rsidR="00C00028">
        <w:t>to</w:t>
      </w:r>
      <w:r>
        <w:t xml:space="preserve"> monitor progress towards five high-level program targets using the M&amp;E Framework.</w:t>
      </w:r>
      <w:r w:rsidR="00C00028">
        <w:t xml:space="preserve"> </w:t>
      </w:r>
      <w:r w:rsidR="00C00028" w:rsidRPr="00022D77">
        <w:t xml:space="preserve">A full list of people consulted is provided at </w:t>
      </w:r>
      <w:r w:rsidR="00C00028" w:rsidRPr="003366DE">
        <w:rPr>
          <w:b/>
        </w:rPr>
        <w:t xml:space="preserve">Annex </w:t>
      </w:r>
      <w:r w:rsidR="003366DE" w:rsidRPr="003366DE">
        <w:rPr>
          <w:b/>
        </w:rPr>
        <w:t>C</w:t>
      </w:r>
      <w:r w:rsidR="006F59B9">
        <w:t>.</w:t>
      </w:r>
    </w:p>
    <w:p w14:paraId="2BF29C09" w14:textId="77777777" w:rsidR="00ED215F" w:rsidRDefault="00ED215F" w:rsidP="00E9504F">
      <w:r>
        <w:t xml:space="preserve">The dominant </w:t>
      </w:r>
      <w:r w:rsidR="00022D77" w:rsidRPr="00022D77">
        <w:t xml:space="preserve">challenge of the review was </w:t>
      </w:r>
      <w:r w:rsidR="00E9504F">
        <w:t xml:space="preserve">the extensive amount of </w:t>
      </w:r>
      <w:r>
        <w:t>source data for the M&amp;E Framework that remained outstanding when the country visit began</w:t>
      </w:r>
      <w:r w:rsidR="00C00028">
        <w:t xml:space="preserve">. There was a </w:t>
      </w:r>
      <w:r w:rsidR="00F928C2">
        <w:t>tension</w:t>
      </w:r>
      <w:r w:rsidR="00C00028">
        <w:t xml:space="preserve"> between </w:t>
      </w:r>
      <w:r>
        <w:t xml:space="preserve">the </w:t>
      </w:r>
      <w:r w:rsidR="00C00028">
        <w:t xml:space="preserve">need to conduct consultations that engaged in discussion at a strategic level, </w:t>
      </w:r>
      <w:r>
        <w:t xml:space="preserve">whilst simultaneously </w:t>
      </w:r>
      <w:r w:rsidR="00C00028">
        <w:t>making arrangements about how to collect</w:t>
      </w:r>
      <w:r>
        <w:t xml:space="preserve"> large amounts of detailed operational-level data.</w:t>
      </w:r>
      <w:r w:rsidR="00236270">
        <w:t xml:space="preserve"> The team members jointly attended meetings of strategic or common relevance, and separately attended meetings relating to their primary areas of professional responsibility as set down in the T</w:t>
      </w:r>
      <w:r w:rsidR="00F44374">
        <w:t>oR.</w:t>
      </w:r>
    </w:p>
    <w:p w14:paraId="1558E1BC" w14:textId="77777777" w:rsidR="004F04ED" w:rsidRDefault="00A74C88" w:rsidP="00C00028">
      <w:r>
        <w:t xml:space="preserve">Each team member was responsible for recording and </w:t>
      </w:r>
      <w:r w:rsidR="00022D77" w:rsidRPr="00022D77">
        <w:t>collating information</w:t>
      </w:r>
      <w:r>
        <w:t xml:space="preserve"> relating to their primary area of professional responsibility</w:t>
      </w:r>
      <w:r w:rsidR="00022D77" w:rsidRPr="00022D77">
        <w:t xml:space="preserve">. </w:t>
      </w:r>
      <w:r>
        <w:t xml:space="preserve">Discussion of each day’s findings took place after office hours and on the weekend. Due to the limited duration of the country visit and </w:t>
      </w:r>
      <w:r w:rsidR="00F928C2">
        <w:t>the</w:t>
      </w:r>
      <w:r>
        <w:t xml:space="preserve"> unavailability of source data, the team was unable to </w:t>
      </w:r>
      <w:r w:rsidR="00440628">
        <w:t xml:space="preserve">complete the </w:t>
      </w:r>
      <w:r w:rsidR="000627FA">
        <w:t xml:space="preserve">full </w:t>
      </w:r>
      <w:r w:rsidR="00440628">
        <w:t>synthesis during the visit</w:t>
      </w:r>
      <w:r w:rsidR="00C000E2">
        <w:t>.</w:t>
      </w:r>
    </w:p>
    <w:p w14:paraId="0DD8A252" w14:textId="77777777" w:rsidR="00440628" w:rsidRPr="003320A7" w:rsidRDefault="00022D77" w:rsidP="003320A7">
      <w:pPr>
        <w:pStyle w:val="Heading3"/>
      </w:pPr>
      <w:bookmarkStart w:id="31" w:name="_Toc536205439"/>
      <w:r w:rsidRPr="003320A7">
        <w:t>Site visits</w:t>
      </w:r>
      <w:bookmarkEnd w:id="31"/>
    </w:p>
    <w:p w14:paraId="4AD7E008" w14:textId="77777777" w:rsidR="004F04ED" w:rsidRDefault="00022D77" w:rsidP="001E17BC">
      <w:pPr>
        <w:spacing w:after="0"/>
      </w:pPr>
      <w:r w:rsidRPr="00022D77">
        <w:t xml:space="preserve">The review team </w:t>
      </w:r>
      <w:r w:rsidR="007C1EFD">
        <w:t xml:space="preserve">met with </w:t>
      </w:r>
      <w:r w:rsidR="009E2E05">
        <w:t>MoH</w:t>
      </w:r>
      <w:r w:rsidR="007C1EFD">
        <w:t xml:space="preserve"> officers in locations including the </w:t>
      </w:r>
      <w:r w:rsidR="009E2E05">
        <w:t>MoH</w:t>
      </w:r>
      <w:r w:rsidR="007C1EFD">
        <w:t xml:space="preserve"> headquarters building, Vaiola Hospital, </w:t>
      </w:r>
      <w:r w:rsidR="00B52791">
        <w:t xml:space="preserve">and </w:t>
      </w:r>
      <w:r w:rsidR="007C1EFD">
        <w:t xml:space="preserve">the Queen Salote </w:t>
      </w:r>
      <w:r w:rsidR="00B52791">
        <w:t>Institute of Nursing and Allied Health</w:t>
      </w:r>
      <w:r w:rsidR="007C1EFD">
        <w:t xml:space="preserve">. </w:t>
      </w:r>
      <w:r w:rsidR="00B52791">
        <w:t xml:space="preserve">Meetings with TongaHealth officers took place in the TongaHealth offices. </w:t>
      </w:r>
      <w:r w:rsidR="007C1EFD">
        <w:t xml:space="preserve">Two members of the team conducted site visits to two </w:t>
      </w:r>
      <w:r w:rsidRPr="00022D77">
        <w:t xml:space="preserve">health </w:t>
      </w:r>
      <w:r w:rsidR="00440628">
        <w:t>facilities</w:t>
      </w:r>
      <w:r w:rsidR="00B52791">
        <w:t>, Niu’ui Hospital and Foa Health C</w:t>
      </w:r>
      <w:r w:rsidR="00B52791" w:rsidRPr="00022D77">
        <w:t>entre</w:t>
      </w:r>
      <w:r w:rsidR="00B52791">
        <w:t>,</w:t>
      </w:r>
      <w:r w:rsidR="00440628">
        <w:t xml:space="preserve"> in Ha’apai district</w:t>
      </w:r>
      <w:r w:rsidR="00B52791">
        <w:t xml:space="preserve"> (an outer island group)</w:t>
      </w:r>
      <w:r w:rsidR="00440628">
        <w:t>.</w:t>
      </w:r>
      <w:r w:rsidR="00B52791">
        <w:t xml:space="preserve"> Consultations with central government agencies, other development partners, non-government organisations, persons with disability groups, technical advisers and DFAT Post took place in a range of locations around Nuku’alofa.</w:t>
      </w:r>
    </w:p>
    <w:p w14:paraId="56BA6E3E" w14:textId="77777777" w:rsidR="00875113" w:rsidRDefault="00875113" w:rsidP="001E17BC">
      <w:pPr>
        <w:spacing w:after="0"/>
      </w:pPr>
    </w:p>
    <w:p w14:paraId="49242A79" w14:textId="77777777" w:rsidR="000E78B9" w:rsidRPr="00E036F4" w:rsidRDefault="00022D77" w:rsidP="006719C2">
      <w:pPr>
        <w:pStyle w:val="Level2Heading"/>
        <w:numPr>
          <w:ilvl w:val="1"/>
          <w:numId w:val="57"/>
        </w:numPr>
        <w:ind w:left="0"/>
        <w:rPr>
          <w:rStyle w:val="Heading2Char"/>
          <w:b/>
        </w:rPr>
      </w:pPr>
      <w:bookmarkStart w:id="32" w:name="_Toc536205440"/>
      <w:r w:rsidRPr="00E036F4">
        <w:rPr>
          <w:rStyle w:val="Heading2Char"/>
          <w:b/>
        </w:rPr>
        <w:t>Limitations</w:t>
      </w:r>
      <w:bookmarkEnd w:id="32"/>
    </w:p>
    <w:p w14:paraId="0B7E37A8" w14:textId="77777777" w:rsidR="00C000E2" w:rsidRDefault="00A51082" w:rsidP="00A51082">
      <w:r>
        <w:t xml:space="preserve">The Evaluation Plan </w:t>
      </w:r>
      <w:r w:rsidRPr="00E61A49">
        <w:rPr>
          <w:noProof/>
        </w:rPr>
        <w:t>was designed</w:t>
      </w:r>
      <w:r>
        <w:t xml:space="preserve"> on the assumption that source data would be available for the indicators in the Program M&amp;E Framework</w:t>
      </w:r>
      <w:r w:rsidR="002F19B4">
        <w:t xml:space="preserve"> and that this would be the principal evidence base for the evaluation</w:t>
      </w:r>
      <w:r>
        <w:t>. A written request</w:t>
      </w:r>
      <w:r w:rsidR="002F19B4" w:rsidRPr="002F19B4">
        <w:t xml:space="preserve"> </w:t>
      </w:r>
      <w:r w:rsidR="002F19B4">
        <w:t>for all of the source documents cited in the M&amp;E Framework</w:t>
      </w:r>
      <w:r>
        <w:t xml:space="preserve"> was submitted through DFAT Post two weeks </w:t>
      </w:r>
      <w:r w:rsidRPr="00E61A49">
        <w:rPr>
          <w:noProof/>
        </w:rPr>
        <w:t>prior to</w:t>
      </w:r>
      <w:r>
        <w:t xml:space="preserve"> the country visit so that these could be made ready </w:t>
      </w:r>
      <w:r>
        <w:lastRenderedPageBreak/>
        <w:t xml:space="preserve">before or during the visit. </w:t>
      </w:r>
      <w:r w:rsidR="002F19B4">
        <w:t xml:space="preserve">On the day of commencement of the country visit, the evaluation team raised the need for M&amp;E Framework source data </w:t>
      </w:r>
      <w:r w:rsidR="00EC6E98">
        <w:t>in person with the MoH</w:t>
      </w:r>
      <w:r w:rsidR="00F44374">
        <w:t xml:space="preserve"> Chief Executive Officer (CEO).</w:t>
      </w:r>
    </w:p>
    <w:p w14:paraId="0429D764" w14:textId="77777777" w:rsidR="00A51082" w:rsidRDefault="00A51082" w:rsidP="00A51082">
      <w:r>
        <w:t xml:space="preserve">During the country visit, the evaluation team found that many of the source documents were not ready and so the team </w:t>
      </w:r>
      <w:r w:rsidR="00EC6E98">
        <w:t xml:space="preserve">made </w:t>
      </w:r>
      <w:r w:rsidR="00EC6E98" w:rsidRPr="00E61A49">
        <w:rPr>
          <w:noProof/>
        </w:rPr>
        <w:t>collection</w:t>
      </w:r>
      <w:r w:rsidR="00EC6E98">
        <w:t xml:space="preserve"> of </w:t>
      </w:r>
      <w:r>
        <w:t xml:space="preserve">M&amp;E indicators </w:t>
      </w:r>
      <w:r w:rsidR="00EC6E98">
        <w:t xml:space="preserve">the focus of </w:t>
      </w:r>
      <w:r>
        <w:t xml:space="preserve">interviews with informants. The team continued to follow-up requests for data by email for two weeks after the country visit. </w:t>
      </w:r>
      <w:r w:rsidR="00EC6E98">
        <w:t xml:space="preserve">At the completion of the evaluation process, a considerable amount of </w:t>
      </w:r>
      <w:r>
        <w:t xml:space="preserve">source data nominated in the M&amp;E Framework remained unavailable, </w:t>
      </w:r>
      <w:r w:rsidR="00EC6E98">
        <w:t xml:space="preserve">as detailed </w:t>
      </w:r>
      <w:r>
        <w:t xml:space="preserve">in </w:t>
      </w:r>
      <w:r>
        <w:rPr>
          <w:b/>
        </w:rPr>
        <w:t xml:space="preserve">Annex D. </w:t>
      </w:r>
      <w:r>
        <w:t>In some instances, the evaluation team reverted to available alternative forms of information to measure program impact and progress.</w:t>
      </w:r>
    </w:p>
    <w:p w14:paraId="5438C303" w14:textId="77777777" w:rsidR="00991A4C" w:rsidRDefault="00F105C5" w:rsidP="00A51082">
      <w:r>
        <w:t>A</w:t>
      </w:r>
      <w:r w:rsidR="00991A4C">
        <w:t>t the time of this report</w:t>
      </w:r>
      <w:r>
        <w:t>, the overall stats of data availability was as follows:</w:t>
      </w:r>
    </w:p>
    <w:p w14:paraId="209E1FF6" w14:textId="77777777" w:rsidR="00991A4C" w:rsidRDefault="00991A4C" w:rsidP="006719C2">
      <w:pPr>
        <w:pStyle w:val="ListParagraph"/>
        <w:numPr>
          <w:ilvl w:val="0"/>
          <w:numId w:val="60"/>
        </w:numPr>
        <w:ind w:left="714" w:hanging="357"/>
        <w:contextualSpacing w:val="0"/>
      </w:pPr>
      <w:r>
        <w:t xml:space="preserve">the majority of financing and PFM indicators had been satisfactorily determined, with data obtained from MoF, MoH and TongaHealth reports and official records (these </w:t>
      </w:r>
      <w:r w:rsidR="00F105C5">
        <w:t xml:space="preserve">data sources </w:t>
      </w:r>
      <w:r>
        <w:t>are subject to audit)</w:t>
      </w:r>
      <w:r w:rsidR="00732E1C">
        <w:t>;</w:t>
      </w:r>
    </w:p>
    <w:p w14:paraId="6D3CD9FC" w14:textId="77777777" w:rsidR="00991A4C" w:rsidRDefault="00991A4C" w:rsidP="006719C2">
      <w:pPr>
        <w:pStyle w:val="ListParagraph"/>
        <w:numPr>
          <w:ilvl w:val="0"/>
          <w:numId w:val="60"/>
        </w:numPr>
        <w:ind w:left="714" w:hanging="357"/>
        <w:contextualSpacing w:val="0"/>
      </w:pPr>
      <w:r>
        <w:t>the majority of population health status indicators had been determined, drawing on MoH annual reports</w:t>
      </w:r>
      <w:r w:rsidR="00732E1C">
        <w:t xml:space="preserve"> although</w:t>
      </w:r>
      <w:r>
        <w:t xml:space="preserve"> without external validation of data</w:t>
      </w:r>
      <w:r w:rsidR="00732E1C">
        <w:t>;</w:t>
      </w:r>
    </w:p>
    <w:p w14:paraId="52838C89" w14:textId="77777777" w:rsidR="00991A4C" w:rsidRDefault="00991A4C" w:rsidP="006719C2">
      <w:pPr>
        <w:pStyle w:val="ListParagraph"/>
        <w:numPr>
          <w:ilvl w:val="0"/>
          <w:numId w:val="60"/>
        </w:numPr>
        <w:ind w:left="714" w:hanging="357"/>
        <w:contextualSpacing w:val="0"/>
      </w:pPr>
      <w:r>
        <w:t>only a relatively small proportion of service delivery-related indicators had been determined, with data obtained from MoH internal operating databases and without external validation</w:t>
      </w:r>
      <w:r w:rsidR="00850B2E">
        <w:t>;</w:t>
      </w:r>
    </w:p>
    <w:p w14:paraId="1BB34481" w14:textId="77777777" w:rsidR="00991A4C" w:rsidRDefault="00991A4C" w:rsidP="006719C2">
      <w:pPr>
        <w:pStyle w:val="ListParagraph"/>
        <w:numPr>
          <w:ilvl w:val="0"/>
          <w:numId w:val="60"/>
        </w:numPr>
      </w:pPr>
      <w:r>
        <w:t xml:space="preserve">the majority of THSSP2 M&amp;E indicators relating to TongaHealth had been provided directly by TongaHealth (these </w:t>
      </w:r>
      <w:r w:rsidR="00F105C5">
        <w:t xml:space="preserve">indicators are subject to review and verification </w:t>
      </w:r>
      <w:r>
        <w:t>by the TongaHealth board).</w:t>
      </w:r>
    </w:p>
    <w:p w14:paraId="4757CF72" w14:textId="77777777" w:rsidR="00A9437D" w:rsidRDefault="00A9437D" w:rsidP="00850B2E">
      <w:pPr>
        <w:spacing w:after="0"/>
      </w:pPr>
    </w:p>
    <w:p w14:paraId="0EBE264D" w14:textId="77777777" w:rsidR="000E78B9" w:rsidRDefault="00022D77" w:rsidP="00C00028">
      <w:pPr>
        <w:pStyle w:val="Heading1"/>
      </w:pPr>
      <w:bookmarkStart w:id="33" w:name="_Toc536205441"/>
      <w:r w:rsidRPr="00022D77">
        <w:t>Evaluation Findings</w:t>
      </w:r>
      <w:bookmarkEnd w:id="33"/>
    </w:p>
    <w:p w14:paraId="2FD0224E" w14:textId="77777777" w:rsidR="00F928C2" w:rsidRPr="00F928C2" w:rsidRDefault="00F928C2" w:rsidP="00F928C2">
      <w:pPr>
        <w:spacing w:after="0"/>
        <w:rPr>
          <w:lang w:eastAsia="ja-JP"/>
        </w:rPr>
      </w:pPr>
    </w:p>
    <w:p w14:paraId="5EC0C501" w14:textId="77777777" w:rsidR="00E97A3B" w:rsidRPr="00002A48" w:rsidRDefault="00C247DD" w:rsidP="00DD0215">
      <w:pPr>
        <w:pStyle w:val="Level2Heading"/>
        <w:numPr>
          <w:ilvl w:val="0"/>
          <w:numId w:val="0"/>
        </w:numPr>
        <w:rPr>
          <w:rStyle w:val="Heading2Char"/>
          <w:b/>
        </w:rPr>
      </w:pPr>
      <w:bookmarkStart w:id="34" w:name="_Toc533416521"/>
      <w:bookmarkStart w:id="35" w:name="_Toc533416628"/>
      <w:bookmarkStart w:id="36" w:name="_Toc533416718"/>
      <w:bookmarkStart w:id="37" w:name="_Toc533416885"/>
      <w:bookmarkStart w:id="38" w:name="_Toc533418955"/>
      <w:bookmarkStart w:id="39" w:name="_Toc533421353"/>
      <w:bookmarkStart w:id="40" w:name="_Toc533421459"/>
      <w:bookmarkStart w:id="41" w:name="_Toc533421500"/>
      <w:bookmarkStart w:id="42" w:name="_Toc533421548"/>
      <w:bookmarkStart w:id="43" w:name="_Toc536205442"/>
      <w:bookmarkEnd w:id="34"/>
      <w:bookmarkEnd w:id="35"/>
      <w:bookmarkEnd w:id="36"/>
      <w:bookmarkEnd w:id="37"/>
      <w:bookmarkEnd w:id="38"/>
      <w:bookmarkEnd w:id="39"/>
      <w:bookmarkEnd w:id="40"/>
      <w:bookmarkEnd w:id="41"/>
      <w:bookmarkEnd w:id="42"/>
      <w:r>
        <w:rPr>
          <w:rStyle w:val="Heading2Char"/>
          <w:b/>
        </w:rPr>
        <w:t>3.1</w:t>
      </w:r>
      <w:r>
        <w:rPr>
          <w:rStyle w:val="Heading2Char"/>
          <w:b/>
        </w:rPr>
        <w:tab/>
      </w:r>
      <w:r w:rsidR="00592CC9">
        <w:rPr>
          <w:rStyle w:val="Heading2Char"/>
          <w:b/>
        </w:rPr>
        <w:t>High-l</w:t>
      </w:r>
      <w:r w:rsidR="00E97A3B">
        <w:rPr>
          <w:rStyle w:val="Heading2Char"/>
          <w:b/>
        </w:rPr>
        <w:t>evel program targets</w:t>
      </w:r>
      <w:bookmarkEnd w:id="43"/>
    </w:p>
    <w:p w14:paraId="245299D2" w14:textId="77777777" w:rsidR="000A4C44" w:rsidRDefault="000A4C44" w:rsidP="000A4C44">
      <w:r>
        <w:t>This section of the report considers signs of early progress towards the high-level program targets and speculates on end-of-phase outcomes.</w:t>
      </w:r>
    </w:p>
    <w:p w14:paraId="0FE3DAB1" w14:textId="77777777" w:rsidR="009515AB" w:rsidRDefault="0083119E" w:rsidP="0083119E">
      <w:r w:rsidRPr="00E61A49">
        <w:rPr>
          <w:noProof/>
        </w:rPr>
        <w:t xml:space="preserve">The THSSP2 Design Document </w:t>
      </w:r>
      <w:r w:rsidR="009515AB" w:rsidRPr="00E61A49">
        <w:rPr>
          <w:noProof/>
        </w:rPr>
        <w:t xml:space="preserve">sets intentionally </w:t>
      </w:r>
      <w:r w:rsidRPr="00E61A49">
        <w:rPr>
          <w:noProof/>
        </w:rPr>
        <w:t xml:space="preserve">ambitious </w:t>
      </w:r>
      <w:r w:rsidR="009515AB" w:rsidRPr="00E61A49">
        <w:rPr>
          <w:noProof/>
        </w:rPr>
        <w:t xml:space="preserve">targets </w:t>
      </w:r>
      <w:r w:rsidRPr="00E61A49">
        <w:rPr>
          <w:noProof/>
        </w:rPr>
        <w:t xml:space="preserve">for a five-year program </w:t>
      </w:r>
      <w:r w:rsidR="009515AB" w:rsidRPr="00E61A49">
        <w:rPr>
          <w:noProof/>
        </w:rPr>
        <w:t xml:space="preserve">(i.e. </w:t>
      </w:r>
      <w:r w:rsidRPr="00E61A49">
        <w:rPr>
          <w:noProof/>
        </w:rPr>
        <w:t>to aim for a downward trend in the rates of premature deaths and preventable disability, and for a decrease in the percentage of population at high risk of developing an NCD</w:t>
      </w:r>
      <w:r w:rsidR="009515AB" w:rsidRPr="00E61A49">
        <w:rPr>
          <w:noProof/>
        </w:rPr>
        <w:t xml:space="preserve">) </w:t>
      </w:r>
      <w:r w:rsidRPr="00E61A49">
        <w:rPr>
          <w:noProof/>
        </w:rPr>
        <w:t xml:space="preserve">because </w:t>
      </w:r>
      <w:r w:rsidR="002836C6" w:rsidRPr="00E61A49">
        <w:rPr>
          <w:noProof/>
        </w:rPr>
        <w:t xml:space="preserve">it describes the </w:t>
      </w:r>
      <w:r w:rsidRPr="00E61A49">
        <w:rPr>
          <w:noProof/>
        </w:rPr>
        <w:t>current</w:t>
      </w:r>
      <w:r w:rsidR="009515AB" w:rsidRPr="00E61A49">
        <w:rPr>
          <w:noProof/>
        </w:rPr>
        <w:t xml:space="preserve"> </w:t>
      </w:r>
      <w:r w:rsidRPr="00E61A49">
        <w:rPr>
          <w:noProof/>
        </w:rPr>
        <w:t xml:space="preserve">population of Tongans </w:t>
      </w:r>
      <w:r w:rsidR="002836C6" w:rsidRPr="00E61A49">
        <w:rPr>
          <w:noProof/>
        </w:rPr>
        <w:t>a</w:t>
      </w:r>
      <w:r w:rsidRPr="00E61A49">
        <w:rPr>
          <w:noProof/>
        </w:rPr>
        <w:t xml:space="preserve">s already </w:t>
      </w:r>
      <w:r w:rsidR="002836C6" w:rsidRPr="00E61A49">
        <w:rPr>
          <w:noProof/>
        </w:rPr>
        <w:t xml:space="preserve">being </w:t>
      </w:r>
      <w:r w:rsidR="0027118B" w:rsidRPr="00E61A49">
        <w:rPr>
          <w:noProof/>
        </w:rPr>
        <w:t xml:space="preserve">a </w:t>
      </w:r>
      <w:r w:rsidR="008272A5" w:rsidRPr="00E61A49">
        <w:rPr>
          <w:noProof/>
        </w:rPr>
        <w:t>‘</w:t>
      </w:r>
      <w:r w:rsidRPr="00E61A49">
        <w:rPr>
          <w:noProof/>
        </w:rPr>
        <w:t>time-bomb</w:t>
      </w:r>
      <w:r w:rsidR="008272A5" w:rsidRPr="00E61A49">
        <w:rPr>
          <w:noProof/>
        </w:rPr>
        <w:t>’</w:t>
      </w:r>
      <w:r w:rsidRPr="00E61A49">
        <w:rPr>
          <w:noProof/>
        </w:rPr>
        <w:t xml:space="preserve"> in terms of having extremely high </w:t>
      </w:r>
      <w:r w:rsidR="009515AB" w:rsidRPr="00E61A49">
        <w:rPr>
          <w:noProof/>
        </w:rPr>
        <w:t>probability</w:t>
      </w:r>
      <w:r w:rsidRPr="00E61A49">
        <w:rPr>
          <w:noProof/>
        </w:rPr>
        <w:t xml:space="preserve"> of</w:t>
      </w:r>
      <w:r w:rsidR="009515AB" w:rsidRPr="00E61A49">
        <w:rPr>
          <w:noProof/>
        </w:rPr>
        <w:t xml:space="preserve"> </w:t>
      </w:r>
      <w:r w:rsidRPr="00E61A49">
        <w:rPr>
          <w:noProof/>
        </w:rPr>
        <w:t>developing NCDs</w:t>
      </w:r>
      <w:r w:rsidR="009515AB" w:rsidRPr="00E61A49">
        <w:rPr>
          <w:noProof/>
        </w:rPr>
        <w:t xml:space="preserve"> and </w:t>
      </w:r>
      <w:r w:rsidR="002836C6" w:rsidRPr="00E61A49">
        <w:rPr>
          <w:noProof/>
        </w:rPr>
        <w:t xml:space="preserve">the urgent need for </w:t>
      </w:r>
      <w:r w:rsidR="009515AB" w:rsidRPr="00E61A49">
        <w:rPr>
          <w:noProof/>
        </w:rPr>
        <w:t xml:space="preserve">a </w:t>
      </w:r>
      <w:r w:rsidR="008272A5" w:rsidRPr="00E61A49">
        <w:rPr>
          <w:noProof/>
        </w:rPr>
        <w:t>‘</w:t>
      </w:r>
      <w:r w:rsidRPr="00E61A49">
        <w:rPr>
          <w:noProof/>
        </w:rPr>
        <w:t>generational shift</w:t>
      </w:r>
      <w:r w:rsidR="008272A5" w:rsidRPr="00E61A49">
        <w:rPr>
          <w:noProof/>
        </w:rPr>
        <w:t>’</w:t>
      </w:r>
      <w:r w:rsidR="000A4C44" w:rsidRPr="00E61A49">
        <w:rPr>
          <w:noProof/>
        </w:rPr>
        <w:t>.</w:t>
      </w:r>
    </w:p>
    <w:p w14:paraId="33498421" w14:textId="77777777" w:rsidR="00C00028" w:rsidRPr="003320A7" w:rsidRDefault="00224A3D" w:rsidP="003320A7">
      <w:pPr>
        <w:pStyle w:val="Heading3"/>
      </w:pPr>
      <w:r w:rsidRPr="003320A7">
        <w:t>Target</w:t>
      </w:r>
      <w:r w:rsidR="00AB7322" w:rsidRPr="003320A7">
        <w:t xml:space="preserve"> </w:t>
      </w:r>
      <w:r w:rsidRPr="003320A7">
        <w:t xml:space="preserve">1: </w:t>
      </w:r>
      <w:r w:rsidR="00C00028" w:rsidRPr="003320A7">
        <w:t>Rate of premature deaths and preventable disability</w:t>
      </w:r>
      <w:r w:rsidR="00FA1353" w:rsidRPr="003320A7">
        <w:t xml:space="preserve"> related to NCDs has not risen</w:t>
      </w:r>
    </w:p>
    <w:p w14:paraId="265EB8F0" w14:textId="77777777" w:rsidR="008209D3" w:rsidRDefault="000B28E7" w:rsidP="008209D3">
      <w:pPr>
        <w:tabs>
          <w:tab w:val="left" w:pos="400"/>
        </w:tabs>
        <w:spacing w:line="268" w:lineRule="auto"/>
        <w:ind w:right="126"/>
      </w:pPr>
      <w:r>
        <w:t>D</w:t>
      </w:r>
      <w:r w:rsidRPr="000B28E7">
        <w:t>ata on NCD</w:t>
      </w:r>
      <w:r>
        <w:t>-</w:t>
      </w:r>
      <w:r w:rsidRPr="000B28E7">
        <w:t xml:space="preserve">related </w:t>
      </w:r>
      <w:r>
        <w:t xml:space="preserve">program </w:t>
      </w:r>
      <w:r w:rsidRPr="000B28E7">
        <w:t xml:space="preserve">impact and outcome measures </w:t>
      </w:r>
      <w:r w:rsidRPr="00E61A49">
        <w:rPr>
          <w:noProof/>
        </w:rPr>
        <w:t>was</w:t>
      </w:r>
      <w:r>
        <w:t xml:space="preserve"> not available from in-country sources. </w:t>
      </w:r>
      <w:r w:rsidR="008209D3" w:rsidRPr="007F61B0">
        <w:t>Global Burden of Disease</w:t>
      </w:r>
      <w:r w:rsidR="008209D3">
        <w:t xml:space="preserve"> (GBD) estimates for 2017 show a </w:t>
      </w:r>
      <w:r w:rsidR="008209D3" w:rsidRPr="007F61B0">
        <w:t xml:space="preserve">reduction </w:t>
      </w:r>
      <w:r w:rsidR="008209D3">
        <w:t xml:space="preserve">in NCD related premature mortality of 2.9% </w:t>
      </w:r>
      <w:r w:rsidR="008209D3" w:rsidRPr="007F61B0">
        <w:t>in comparison to 2010 (536.5 deaths per 100,000</w:t>
      </w:r>
      <w:r w:rsidR="008209D3">
        <w:t xml:space="preserve"> in 2017; </w:t>
      </w:r>
      <w:r w:rsidR="008209D3" w:rsidRPr="007F61B0">
        <w:t>552.5</w:t>
      </w:r>
      <w:r w:rsidR="008209D3">
        <w:t xml:space="preserve"> per 100,000, 2010</w:t>
      </w:r>
      <w:r w:rsidR="008209D3" w:rsidRPr="000B28E7">
        <w:t>).</w:t>
      </w:r>
      <w:r w:rsidRPr="000B28E7">
        <w:t xml:space="preserve"> </w:t>
      </w:r>
      <w:r>
        <w:t>I</w:t>
      </w:r>
      <w:r w:rsidRPr="000B28E7">
        <w:t>sch</w:t>
      </w:r>
      <w:r>
        <w:t>a</w:t>
      </w:r>
      <w:r w:rsidRPr="000B28E7">
        <w:t>emic heart disease, diabetes and stroke remain the leading causes of death.</w:t>
      </w:r>
      <w:r>
        <w:t xml:space="preserve"> </w:t>
      </w:r>
      <w:r w:rsidRPr="000B28E7">
        <w:t xml:space="preserve">GBD estimates are based on modelling and need to </w:t>
      </w:r>
      <w:r w:rsidRPr="00E61A49">
        <w:rPr>
          <w:noProof/>
        </w:rPr>
        <w:t>be interpreted</w:t>
      </w:r>
      <w:r w:rsidRPr="000B28E7">
        <w:t xml:space="preserve"> with caution, particularly in light of the </w:t>
      </w:r>
      <w:r>
        <w:t>known</w:t>
      </w:r>
      <w:r w:rsidRPr="000B28E7">
        <w:t xml:space="preserve"> limitations in </w:t>
      </w:r>
      <w:r w:rsidRPr="00E61A49">
        <w:rPr>
          <w:noProof/>
        </w:rPr>
        <w:t>accuracy</w:t>
      </w:r>
      <w:r w:rsidRPr="000B28E7">
        <w:t xml:space="preserve"> of Tonga’s mortality data</w:t>
      </w:r>
      <w:r w:rsidR="00CC0AE3">
        <w:t xml:space="preserve"> on which</w:t>
      </w:r>
      <w:r w:rsidRPr="000B28E7">
        <w:t xml:space="preserve"> this modelling process </w:t>
      </w:r>
      <w:r w:rsidRPr="00E61A49">
        <w:rPr>
          <w:noProof/>
        </w:rPr>
        <w:t>is based</w:t>
      </w:r>
      <w:r w:rsidRPr="000B28E7">
        <w:t>.</w:t>
      </w:r>
    </w:p>
    <w:p w14:paraId="1AE98597" w14:textId="77777777" w:rsidR="00224A3D" w:rsidRDefault="0033003C" w:rsidP="008209D3">
      <w:r>
        <w:lastRenderedPageBreak/>
        <w:t xml:space="preserve">The </w:t>
      </w:r>
      <w:r w:rsidR="00AB3EE7">
        <w:t xml:space="preserve">THSSP2 </w:t>
      </w:r>
      <w:r>
        <w:t xml:space="preserve">Design Document defines preventable disability as diabetic retinopathy, </w:t>
      </w:r>
      <w:r w:rsidR="00C73218">
        <w:t xml:space="preserve">and diabetes-related </w:t>
      </w:r>
      <w:r>
        <w:t xml:space="preserve">limb amputation and renal failure. </w:t>
      </w:r>
      <w:r w:rsidR="00C73218">
        <w:t xml:space="preserve">Since data on diabetic retinopathy and renal failure </w:t>
      </w:r>
      <w:r w:rsidR="00C73218" w:rsidRPr="00E61A49">
        <w:rPr>
          <w:noProof/>
        </w:rPr>
        <w:t>is not routinely collected</w:t>
      </w:r>
      <w:r w:rsidR="00C73218">
        <w:t xml:space="preserve">, only limb amputation </w:t>
      </w:r>
      <w:r w:rsidR="00C73218" w:rsidRPr="00E61A49">
        <w:rPr>
          <w:noProof/>
        </w:rPr>
        <w:t>is measured</w:t>
      </w:r>
      <w:r w:rsidR="00C73218">
        <w:t xml:space="preserve"> in the M&amp;E Framework.</w:t>
      </w:r>
      <w:r w:rsidR="00C73218" w:rsidDel="0033003C">
        <w:t xml:space="preserve"> </w:t>
      </w:r>
      <w:r w:rsidR="009E2E05">
        <w:t>MoH</w:t>
      </w:r>
      <w:r w:rsidR="008209D3">
        <w:t xml:space="preserve"> annual reports </w:t>
      </w:r>
      <w:r w:rsidR="00224A3D">
        <w:t>indicate that</w:t>
      </w:r>
      <w:r w:rsidR="008209D3">
        <w:t xml:space="preserve"> the </w:t>
      </w:r>
      <w:r w:rsidR="006C14EC">
        <w:t xml:space="preserve">combined </w:t>
      </w:r>
      <w:r w:rsidR="008209D3">
        <w:t xml:space="preserve">number of admissions to the Vaiola Hospital surgical ward for diabetic foot ulcers and cellulitis of the lower limb </w:t>
      </w:r>
      <w:r w:rsidR="00224A3D">
        <w:t>(a proxy measure</w:t>
      </w:r>
      <w:r w:rsidR="008209D3">
        <w:t xml:space="preserve"> of limb amputation</w:t>
      </w:r>
      <w:r w:rsidR="00224A3D">
        <w:t xml:space="preserve">) increased by </w:t>
      </w:r>
      <w:r w:rsidR="00AB7322">
        <w:t xml:space="preserve">only </w:t>
      </w:r>
      <w:r w:rsidR="00224A3D">
        <w:t>1% in 2016 (164 admissions in 2016; 159 admissions in 2015</w:t>
      </w:r>
      <w:r w:rsidR="00AB7322">
        <w:t xml:space="preserve">). Diabetic foot ulcer was the </w:t>
      </w:r>
      <w:r w:rsidR="00AB7322" w:rsidRPr="00E61A49">
        <w:rPr>
          <w:noProof/>
        </w:rPr>
        <w:t>leading single</w:t>
      </w:r>
      <w:r w:rsidR="00AB7322">
        <w:t xml:space="preserve"> cause for admissions to the surgical ward.</w:t>
      </w:r>
    </w:p>
    <w:p w14:paraId="0BB6A064" w14:textId="77777777" w:rsidR="002836C6" w:rsidRDefault="002836C6" w:rsidP="008209D3">
      <w:pPr>
        <w:rPr>
          <w:noProof/>
        </w:rPr>
      </w:pPr>
      <w:r>
        <w:t xml:space="preserve">Overall it appears that target </w:t>
      </w:r>
      <w:r w:rsidRPr="00E61A49">
        <w:rPr>
          <w:noProof/>
        </w:rPr>
        <w:t>1</w:t>
      </w:r>
      <w:r>
        <w:t xml:space="preserve"> may </w:t>
      </w:r>
      <w:r w:rsidRPr="00E61A49">
        <w:rPr>
          <w:noProof/>
        </w:rPr>
        <w:t>be achieved</w:t>
      </w:r>
      <w:r>
        <w:t xml:space="preserve"> </w:t>
      </w:r>
      <w:r w:rsidRPr="00E61A49">
        <w:rPr>
          <w:noProof/>
        </w:rPr>
        <w:t>with respect to</w:t>
      </w:r>
      <w:r>
        <w:t xml:space="preserve"> halting the rise in deaths related to NCDs. </w:t>
      </w:r>
      <w:r w:rsidRPr="00E61A49">
        <w:rPr>
          <w:noProof/>
        </w:rPr>
        <w:t xml:space="preserve">The results for preventable disability are </w:t>
      </w:r>
      <w:r w:rsidR="006C14EC" w:rsidRPr="00E61A49">
        <w:rPr>
          <w:noProof/>
        </w:rPr>
        <w:t xml:space="preserve">less certain </w:t>
      </w:r>
      <w:r w:rsidRPr="00E61A49">
        <w:rPr>
          <w:noProof/>
        </w:rPr>
        <w:t>because at the st</w:t>
      </w:r>
      <w:r w:rsidR="00BB2641" w:rsidRPr="00E61A49">
        <w:rPr>
          <w:noProof/>
        </w:rPr>
        <w:t xml:space="preserve">art of THSSP2 there was </w:t>
      </w:r>
      <w:r w:rsidRPr="00E61A49">
        <w:rPr>
          <w:noProof/>
        </w:rPr>
        <w:t xml:space="preserve">a segment of the population with </w:t>
      </w:r>
      <w:r w:rsidR="00BB2641" w:rsidRPr="00E61A49">
        <w:rPr>
          <w:noProof/>
        </w:rPr>
        <w:t xml:space="preserve">pre-existing </w:t>
      </w:r>
      <w:r w:rsidRPr="00E61A49">
        <w:rPr>
          <w:noProof/>
        </w:rPr>
        <w:t xml:space="preserve">undiagnosed NCDs </w:t>
      </w:r>
      <w:r w:rsidR="00BB2641" w:rsidRPr="00E61A49">
        <w:rPr>
          <w:noProof/>
        </w:rPr>
        <w:t xml:space="preserve">or with imminent </w:t>
      </w:r>
      <w:r w:rsidR="006C14EC" w:rsidRPr="00E61A49">
        <w:rPr>
          <w:noProof/>
        </w:rPr>
        <w:t xml:space="preserve">NCDs </w:t>
      </w:r>
      <w:r w:rsidR="00BB2641" w:rsidRPr="00E61A49">
        <w:rPr>
          <w:noProof/>
        </w:rPr>
        <w:t>because of lifestyle risk factors</w:t>
      </w:r>
      <w:r w:rsidR="006C14EC" w:rsidRPr="00E61A49">
        <w:rPr>
          <w:noProof/>
        </w:rPr>
        <w:t xml:space="preserve"> (hence the </w:t>
      </w:r>
      <w:r w:rsidR="00CC0AE3" w:rsidRPr="00E61A49">
        <w:rPr>
          <w:noProof/>
        </w:rPr>
        <w:t>‘</w:t>
      </w:r>
      <w:r w:rsidR="006C14EC" w:rsidRPr="00E61A49">
        <w:rPr>
          <w:noProof/>
        </w:rPr>
        <w:t>time-bomb</w:t>
      </w:r>
      <w:r w:rsidR="00CC0AE3" w:rsidRPr="00E61A49">
        <w:rPr>
          <w:noProof/>
        </w:rPr>
        <w:t>’</w:t>
      </w:r>
      <w:r w:rsidR="006C14EC" w:rsidRPr="00E61A49">
        <w:rPr>
          <w:noProof/>
        </w:rPr>
        <w:t xml:space="preserve"> reference in the Design Document)</w:t>
      </w:r>
      <w:r w:rsidR="00BB2641" w:rsidRPr="00E61A49">
        <w:rPr>
          <w:noProof/>
        </w:rPr>
        <w:t>.</w:t>
      </w:r>
    </w:p>
    <w:p w14:paraId="7833C815" w14:textId="77777777" w:rsidR="00C00028" w:rsidRPr="003F11F8" w:rsidRDefault="00AB7322" w:rsidP="003F11F8">
      <w:pPr>
        <w:pStyle w:val="Heading3"/>
      </w:pPr>
      <w:r w:rsidRPr="003F11F8">
        <w:t xml:space="preserve">Target 2: </w:t>
      </w:r>
      <w:r w:rsidR="00C00028" w:rsidRPr="003F11F8">
        <w:t xml:space="preserve">Fall in percentages of population </w:t>
      </w:r>
      <w:r w:rsidR="00FA1353" w:rsidRPr="003F11F8">
        <w:t>at high risk of developing NCDs</w:t>
      </w:r>
    </w:p>
    <w:p w14:paraId="758FD0D3" w14:textId="77777777" w:rsidR="00F83F73" w:rsidRDefault="00F83F73" w:rsidP="00F83F73">
      <w:r>
        <w:t>H</w:t>
      </w:r>
      <w:r w:rsidR="008209D3">
        <w:t xml:space="preserve">igh risk of NCDs </w:t>
      </w:r>
      <w:r w:rsidRPr="00E61A49">
        <w:rPr>
          <w:noProof/>
        </w:rPr>
        <w:t>is defined</w:t>
      </w:r>
      <w:r>
        <w:t xml:space="preserve"> as </w:t>
      </w:r>
      <w:r w:rsidR="008209D3">
        <w:t xml:space="preserve">displaying between three and five risk factors (smoking, overweight/obesity, low fruit and vegetable intake, physical inactivity </w:t>
      </w:r>
      <w:r w:rsidR="008209D3" w:rsidRPr="00E61A49">
        <w:rPr>
          <w:noProof/>
        </w:rPr>
        <w:t>and/or</w:t>
      </w:r>
      <w:r w:rsidR="008209D3">
        <w:t xml:space="preserve"> raised blood pressure).</w:t>
      </w:r>
      <w:r>
        <w:t xml:space="preserve"> Adult data from the 2016 STEPS survey was not yet available </w:t>
      </w:r>
      <w:r w:rsidRPr="00E61A49">
        <w:rPr>
          <w:noProof/>
        </w:rPr>
        <w:t>but</w:t>
      </w:r>
      <w:r>
        <w:t xml:space="preserve"> data from the 2017 GSHS showed </w:t>
      </w:r>
      <w:r w:rsidRPr="00FA1353">
        <w:t xml:space="preserve">evidence of a reduction in </w:t>
      </w:r>
      <w:r>
        <w:t xml:space="preserve">some behavioural </w:t>
      </w:r>
      <w:r w:rsidRPr="00FA1353">
        <w:t xml:space="preserve">risk factors </w:t>
      </w:r>
      <w:r>
        <w:t xml:space="preserve">amongst 13- </w:t>
      </w:r>
      <w:r w:rsidR="00E734B8">
        <w:t>15-year-old</w:t>
      </w:r>
      <w:r>
        <w:t xml:space="preserve"> students:</w:t>
      </w:r>
    </w:p>
    <w:p w14:paraId="294B30F4" w14:textId="77777777" w:rsidR="00F83F73" w:rsidRDefault="00F83F73" w:rsidP="00D2231A">
      <w:pPr>
        <w:pStyle w:val="ListParagraph"/>
        <w:numPr>
          <w:ilvl w:val="0"/>
          <w:numId w:val="8"/>
        </w:numPr>
      </w:pPr>
      <w:r>
        <w:t>7% reduction in current smokers (from 21.6% in 2010 to 14.6% in 2017)</w:t>
      </w:r>
    </w:p>
    <w:p w14:paraId="44A1D5AF" w14:textId="77777777" w:rsidR="00F83F73" w:rsidRDefault="00F83F73" w:rsidP="00D2231A">
      <w:pPr>
        <w:pStyle w:val="ListParagraph"/>
        <w:numPr>
          <w:ilvl w:val="0"/>
          <w:numId w:val="8"/>
        </w:numPr>
      </w:pPr>
      <w:r>
        <w:t xml:space="preserve">14.3% reduction in exposure to </w:t>
      </w:r>
      <w:r w:rsidRPr="00E61A49">
        <w:rPr>
          <w:noProof/>
        </w:rPr>
        <w:t>second hand</w:t>
      </w:r>
      <w:r>
        <w:t xml:space="preserve"> smoking (from 65.4% to 51.1%)</w:t>
      </w:r>
    </w:p>
    <w:p w14:paraId="0F8F7AA3" w14:textId="77777777" w:rsidR="00F83F73" w:rsidRDefault="00F83F73" w:rsidP="00D2231A">
      <w:pPr>
        <w:pStyle w:val="ListParagraph"/>
        <w:numPr>
          <w:ilvl w:val="0"/>
          <w:numId w:val="8"/>
        </w:numPr>
      </w:pPr>
      <w:r>
        <w:t>6% reduction in current users of alcohol (from 16.4% to</w:t>
      </w:r>
      <w:r w:rsidRPr="00C57A09">
        <w:rPr>
          <w:b/>
        </w:rPr>
        <w:t xml:space="preserve"> </w:t>
      </w:r>
      <w:r>
        <w:t>10.4%)</w:t>
      </w:r>
    </w:p>
    <w:p w14:paraId="0E606D73" w14:textId="77777777" w:rsidR="00F83F73" w:rsidRDefault="00F83F73" w:rsidP="00F83F73">
      <w:r>
        <w:t xml:space="preserve">The 2017 GSHS also found </w:t>
      </w:r>
      <w:r w:rsidRPr="00FA1353">
        <w:t xml:space="preserve">evidence of </w:t>
      </w:r>
      <w:r>
        <w:t>an increase in physical inactivity and obesity:</w:t>
      </w:r>
    </w:p>
    <w:p w14:paraId="24538B07" w14:textId="77777777" w:rsidR="00F83F73" w:rsidRDefault="00F83F73" w:rsidP="00D2231A">
      <w:pPr>
        <w:pStyle w:val="ListParagraph"/>
        <w:numPr>
          <w:ilvl w:val="0"/>
          <w:numId w:val="9"/>
        </w:numPr>
      </w:pPr>
      <w:r>
        <w:t>6.2% reduction in those meeting the physical activity guidelines (from 25.6% to 19.4%)</w:t>
      </w:r>
    </w:p>
    <w:p w14:paraId="34095280" w14:textId="77777777" w:rsidR="00F83F73" w:rsidRDefault="00F83F73" w:rsidP="00D2231A">
      <w:pPr>
        <w:pStyle w:val="ListParagraph"/>
        <w:numPr>
          <w:ilvl w:val="0"/>
          <w:numId w:val="9"/>
        </w:numPr>
      </w:pPr>
      <w:r>
        <w:t>1.4% reduction in those attending physical education classes on ≥</w:t>
      </w:r>
      <w:r w:rsidRPr="00E61A49">
        <w:rPr>
          <w:noProof/>
        </w:rPr>
        <w:t>3</w:t>
      </w:r>
      <w:r>
        <w:t xml:space="preserve"> days a week (from 24.4% to 23%).</w:t>
      </w:r>
    </w:p>
    <w:p w14:paraId="64AED2DD" w14:textId="77777777" w:rsidR="00F83F73" w:rsidRDefault="000A4C44" w:rsidP="00D2231A">
      <w:pPr>
        <w:pStyle w:val="ListParagraph"/>
        <w:numPr>
          <w:ilvl w:val="0"/>
          <w:numId w:val="9"/>
        </w:numPr>
      </w:pPr>
      <w:r>
        <w:t xml:space="preserve">4.8% reduction in the overall proportion of the population classified as overweight </w:t>
      </w:r>
      <w:r w:rsidRPr="00E61A49">
        <w:rPr>
          <w:noProof/>
        </w:rPr>
        <w:t>and/or</w:t>
      </w:r>
      <w:r>
        <w:t xml:space="preserve"> obese (although within this a </w:t>
      </w:r>
      <w:r w:rsidR="00F83F73">
        <w:t>3.1% increase in obesity</w:t>
      </w:r>
      <w:r>
        <w:t>).</w:t>
      </w:r>
    </w:p>
    <w:p w14:paraId="21DC4460" w14:textId="77777777" w:rsidR="00BB2641" w:rsidRDefault="00BB2641" w:rsidP="00BB2641">
      <w:r>
        <w:t xml:space="preserve">It is difficult to predict changes in risk factors in the adult population based on </w:t>
      </w:r>
      <w:r w:rsidR="006C14EC">
        <w:t>a</w:t>
      </w:r>
      <w:r>
        <w:t xml:space="preserve"> survey of adolescents. </w:t>
      </w:r>
      <w:r w:rsidR="00F47BC1">
        <w:t>The evidence about the impact of health promotion on risk behaviours was an evaluation of the 2016 anti-tobacco campaign which identified a 3.5% reduction in the proportion of adults who were current smokers following the campaign (</w:t>
      </w:r>
      <w:r w:rsidR="004A559A">
        <w:t>University of Sydney, 2016).</w:t>
      </w:r>
      <w:r w:rsidR="00F47BC1">
        <w:t xml:space="preserve"> </w:t>
      </w:r>
      <w:r>
        <w:t xml:space="preserve">The reduction in </w:t>
      </w:r>
      <w:r w:rsidR="006C14EC">
        <w:t>smoking and alcohol</w:t>
      </w:r>
      <w:r>
        <w:t xml:space="preserve"> risk factors for adolescents does appear to reflect positively on past health promotion efforts.</w:t>
      </w:r>
    </w:p>
    <w:p w14:paraId="1A37D36B" w14:textId="77777777" w:rsidR="00C00028" w:rsidRPr="003F11F8" w:rsidRDefault="00F83F73" w:rsidP="003F11F8">
      <w:pPr>
        <w:pStyle w:val="Heading3"/>
      </w:pPr>
      <w:r w:rsidRPr="003F11F8">
        <w:t xml:space="preserve">Target 3: </w:t>
      </w:r>
      <w:r w:rsidR="00C00028" w:rsidRPr="003F11F8">
        <w:t>Develop and implement a plan with strategies to increase NCD management as part of universal health coverage leading to efficiencies and budget c</w:t>
      </w:r>
      <w:r w:rsidR="00EA6139" w:rsidRPr="003F11F8">
        <w:t>ost savings through the program</w:t>
      </w:r>
    </w:p>
    <w:p w14:paraId="6AB680B7" w14:textId="7E4CD70A" w:rsidR="0049688C" w:rsidRDefault="0049688C" w:rsidP="0049688C">
      <w:r>
        <w:t xml:space="preserve">At the time of the mid-term evaluation, the </w:t>
      </w:r>
      <w:r w:rsidR="009E2E05">
        <w:t>MoH</w:t>
      </w:r>
      <w:r>
        <w:t xml:space="preserve"> was </w:t>
      </w:r>
      <w:r w:rsidR="002E288F">
        <w:t>nearing publication of</w:t>
      </w:r>
      <w:r>
        <w:t xml:space="preserve"> the </w:t>
      </w:r>
      <w:r w:rsidRPr="00CC0AE3">
        <w:t xml:space="preserve">Package of </w:t>
      </w:r>
      <w:r w:rsidRPr="00CC0AE3">
        <w:rPr>
          <w:rFonts w:ascii="Calibri" w:hAnsi="Calibri" w:cs="Calibri"/>
          <w:color w:val="000000"/>
        </w:rPr>
        <w:t>Essential Health Services</w:t>
      </w:r>
      <w:r w:rsidR="00CC0AE3">
        <w:rPr>
          <w:rFonts w:ascii="Calibri" w:hAnsi="Calibri" w:cs="Calibri"/>
          <w:i/>
          <w:color w:val="000000"/>
        </w:rPr>
        <w:t xml:space="preserve"> </w:t>
      </w:r>
      <w:r w:rsidRPr="006712A9">
        <w:rPr>
          <w:rFonts w:ascii="Calibri" w:hAnsi="Calibri" w:cs="Calibri"/>
          <w:color w:val="000000"/>
        </w:rPr>
        <w:t>(PEHS)</w:t>
      </w:r>
      <w:r w:rsidR="006712A9">
        <w:rPr>
          <w:rFonts w:ascii="Calibri" w:hAnsi="Calibri" w:cs="Calibri"/>
          <w:color w:val="000000"/>
        </w:rPr>
        <w:t xml:space="preserve">. </w:t>
      </w:r>
      <w:r w:rsidR="006712A9" w:rsidRPr="006712A9">
        <w:rPr>
          <w:rFonts w:ascii="Calibri" w:hAnsi="Calibri" w:cs="Calibri"/>
          <w:color w:val="000000"/>
        </w:rPr>
        <w:t xml:space="preserve">The </w:t>
      </w:r>
      <w:r w:rsidR="006712A9">
        <w:rPr>
          <w:rFonts w:ascii="Calibri" w:hAnsi="Calibri" w:cs="Calibri"/>
          <w:color w:val="000000"/>
        </w:rPr>
        <w:t xml:space="preserve">development of the PEHS </w:t>
      </w:r>
      <w:r w:rsidR="006712A9" w:rsidRPr="006712A9">
        <w:rPr>
          <w:rFonts w:ascii="Calibri" w:hAnsi="Calibri" w:cs="Calibri"/>
          <w:color w:val="000000"/>
        </w:rPr>
        <w:t xml:space="preserve">is a substantial point of progress which should </w:t>
      </w:r>
      <w:r w:rsidR="006712A9" w:rsidRPr="00E61A49">
        <w:rPr>
          <w:rFonts w:ascii="Calibri" w:hAnsi="Calibri" w:cs="Calibri"/>
          <w:noProof/>
          <w:color w:val="000000"/>
        </w:rPr>
        <w:t>be applauded</w:t>
      </w:r>
      <w:r w:rsidR="009E723B">
        <w:rPr>
          <w:rFonts w:ascii="Calibri" w:hAnsi="Calibri" w:cs="Calibri"/>
          <w:color w:val="000000"/>
        </w:rPr>
        <w:t xml:space="preserve">. </w:t>
      </w:r>
      <w:r w:rsidR="000A4C44">
        <w:rPr>
          <w:rFonts w:ascii="Calibri" w:hAnsi="Calibri" w:cs="Calibri"/>
          <w:color w:val="000000"/>
        </w:rPr>
        <w:t>I</w:t>
      </w:r>
      <w:r w:rsidR="006712A9">
        <w:rPr>
          <w:rFonts w:ascii="Calibri" w:hAnsi="Calibri" w:cs="Calibri"/>
          <w:color w:val="000000"/>
        </w:rPr>
        <w:t>t</w:t>
      </w:r>
      <w:r w:rsidRPr="006712A9">
        <w:rPr>
          <w:rFonts w:ascii="Calibri" w:hAnsi="Calibri" w:cs="Calibri"/>
          <w:color w:val="000000"/>
        </w:rPr>
        <w:t xml:space="preserve"> represents</w:t>
      </w:r>
      <w:r w:rsidR="007A18E9" w:rsidRPr="006712A9">
        <w:rPr>
          <w:rFonts w:ascii="Calibri" w:hAnsi="Calibri" w:cs="Calibri"/>
          <w:color w:val="000000"/>
        </w:rPr>
        <w:t>, amongst many things,</w:t>
      </w:r>
      <w:r w:rsidRPr="006712A9">
        <w:rPr>
          <w:rFonts w:ascii="Calibri" w:hAnsi="Calibri" w:cs="Calibri"/>
          <w:color w:val="000000"/>
        </w:rPr>
        <w:t xml:space="preserve"> a policy commitment to mainstream NCD management into primary health care. </w:t>
      </w:r>
      <w:r w:rsidR="006712A9">
        <w:rPr>
          <w:rFonts w:ascii="Calibri" w:hAnsi="Calibri" w:cs="Calibri"/>
          <w:color w:val="000000"/>
        </w:rPr>
        <w:t xml:space="preserve">The PEHS also helps to identify service gaps. </w:t>
      </w:r>
      <w:r w:rsidR="008F08FF">
        <w:t>The baseline survey completed for the PEHS shows that m</w:t>
      </w:r>
      <w:r w:rsidR="00E37B61">
        <w:t xml:space="preserve">ost key heart disease and diabetes management interventions are </w:t>
      </w:r>
      <w:r w:rsidR="00E37B61" w:rsidRPr="00E61A49">
        <w:rPr>
          <w:noProof/>
        </w:rPr>
        <w:t>being delivered</w:t>
      </w:r>
      <w:r w:rsidR="00E37B61">
        <w:t>, though areas such as lifestyle counselling and diabetic foot care require attention</w:t>
      </w:r>
      <w:r w:rsidR="009E723B">
        <w:t>.</w:t>
      </w:r>
      <w:r w:rsidR="000A4C44">
        <w:t xml:space="preserve"> The survey also found </w:t>
      </w:r>
      <w:r>
        <w:t xml:space="preserve">essential services for COPD and cancer management/prevention are not currently present in the majority of primary health care facilities. </w:t>
      </w:r>
      <w:r w:rsidR="00CC04FB">
        <w:t xml:space="preserve">The evaluation team found evidence </w:t>
      </w:r>
      <w:r w:rsidR="00852DEF">
        <w:t>(</w:t>
      </w:r>
      <w:r w:rsidR="009F73CA">
        <w:t xml:space="preserve">i.e. reported by </w:t>
      </w:r>
      <w:r w:rsidR="00852DEF">
        <w:t xml:space="preserve">health workers) </w:t>
      </w:r>
      <w:r w:rsidR="00CC04FB">
        <w:t xml:space="preserve">of improvements in NCD </w:t>
      </w:r>
      <w:r w:rsidR="00CC04FB">
        <w:lastRenderedPageBreak/>
        <w:t xml:space="preserve">management arising from initiatives in THSSP1 that have been </w:t>
      </w:r>
      <w:r w:rsidR="007A18E9">
        <w:t>supported and maintained</w:t>
      </w:r>
      <w:r w:rsidR="00CC04FB">
        <w:t xml:space="preserve"> in THSSP2, notably the Diabetes Centre and NCD Nurses program, both aided by improvements in the availability of essential NCD medicines.</w:t>
      </w:r>
      <w:r w:rsidR="00BB2641">
        <w:t xml:space="preserve"> PEHS is a </w:t>
      </w:r>
      <w:r w:rsidR="005B0621">
        <w:t xml:space="preserve">long-term target </w:t>
      </w:r>
      <w:r w:rsidR="00BB2641">
        <w:t xml:space="preserve">document which </w:t>
      </w:r>
      <w:r w:rsidR="007A18E9">
        <w:t xml:space="preserve">will </w:t>
      </w:r>
      <w:r w:rsidR="00BB2641">
        <w:t xml:space="preserve">not </w:t>
      </w:r>
      <w:r w:rsidR="00BB2641" w:rsidRPr="00E61A49">
        <w:rPr>
          <w:noProof/>
        </w:rPr>
        <w:t>be fully realised</w:t>
      </w:r>
      <w:r w:rsidR="00BB2641">
        <w:t xml:space="preserve"> </w:t>
      </w:r>
      <w:r w:rsidR="007A18E9">
        <w:t xml:space="preserve">for some years to come, </w:t>
      </w:r>
      <w:r w:rsidR="003F2DC7">
        <w:t xml:space="preserve">but ongoing </w:t>
      </w:r>
      <w:r w:rsidR="007A18E9">
        <w:t xml:space="preserve">measurable </w:t>
      </w:r>
      <w:r w:rsidR="00BB2641">
        <w:t xml:space="preserve">progress </w:t>
      </w:r>
      <w:r w:rsidR="003F2DC7">
        <w:t xml:space="preserve">towards PEHS standards </w:t>
      </w:r>
      <w:r w:rsidR="003F2DC7" w:rsidRPr="00E61A49">
        <w:rPr>
          <w:noProof/>
        </w:rPr>
        <w:t>is expected</w:t>
      </w:r>
      <w:r w:rsidR="007A18E9">
        <w:t xml:space="preserve"> during the remainder of THSSP2</w:t>
      </w:r>
      <w:r w:rsidR="003F2DC7">
        <w:t>.</w:t>
      </w:r>
    </w:p>
    <w:p w14:paraId="7674EC4E" w14:textId="77777777" w:rsidR="00C00028" w:rsidRPr="003F11F8" w:rsidRDefault="00CC04FB" w:rsidP="003F11F8">
      <w:pPr>
        <w:pStyle w:val="Heading3"/>
      </w:pPr>
      <w:r w:rsidRPr="003F11F8">
        <w:t xml:space="preserve">Target 4: </w:t>
      </w:r>
      <w:r w:rsidR="00C00028" w:rsidRPr="003F11F8">
        <w:t>Strengthened health system management (including public financial management) of budgeting, planning, reporting, implementation and procurement</w:t>
      </w:r>
    </w:p>
    <w:p w14:paraId="7E9A67E4" w14:textId="77777777" w:rsidR="00B54420" w:rsidRDefault="009603AB" w:rsidP="009603AB">
      <w:r>
        <w:t xml:space="preserve">The </w:t>
      </w:r>
      <w:r w:rsidR="009E2E05">
        <w:t>MoH</w:t>
      </w:r>
      <w:r>
        <w:t xml:space="preserve"> budgets, plans, </w:t>
      </w:r>
      <w:r w:rsidRPr="009603AB">
        <w:t>manage</w:t>
      </w:r>
      <w:r>
        <w:t xml:space="preserve">s and reports on its </w:t>
      </w:r>
      <w:r w:rsidRPr="009603AB">
        <w:t xml:space="preserve">public resources to the extent that </w:t>
      </w:r>
      <w:r>
        <w:t xml:space="preserve">delegations from the </w:t>
      </w:r>
      <w:r w:rsidRPr="009603AB">
        <w:t xml:space="preserve">central </w:t>
      </w:r>
      <w:r>
        <w:t xml:space="preserve">government </w:t>
      </w:r>
      <w:r w:rsidRPr="009603AB">
        <w:t xml:space="preserve">agencies </w:t>
      </w:r>
      <w:r>
        <w:t xml:space="preserve">(National Planning </w:t>
      </w:r>
      <w:r w:rsidR="00B54420">
        <w:t>Office</w:t>
      </w:r>
      <w:r>
        <w:t>, Ministry of F</w:t>
      </w:r>
      <w:r w:rsidRPr="009603AB">
        <w:t>inance</w:t>
      </w:r>
      <w:r>
        <w:t xml:space="preserve">, </w:t>
      </w:r>
      <w:r w:rsidRPr="009603AB">
        <w:t>Public Service Commission</w:t>
      </w:r>
      <w:r>
        <w:t>) allow</w:t>
      </w:r>
      <w:r w:rsidRPr="009603AB">
        <w:t xml:space="preserve">. The </w:t>
      </w:r>
      <w:r w:rsidR="00B33159">
        <w:t xml:space="preserve">centralisation of GoT public administration functions, and </w:t>
      </w:r>
      <w:r w:rsidRPr="009603AB">
        <w:t xml:space="preserve">weaknesses </w:t>
      </w:r>
      <w:r w:rsidR="00B33159">
        <w:t>in</w:t>
      </w:r>
      <w:r w:rsidRPr="009603AB">
        <w:t xml:space="preserve"> the</w:t>
      </w:r>
      <w:r w:rsidR="00B33159">
        <w:t>se</w:t>
      </w:r>
      <w:r w:rsidRPr="009603AB">
        <w:t xml:space="preserve"> core government functions</w:t>
      </w:r>
      <w:r w:rsidR="00B33159">
        <w:t>,</w:t>
      </w:r>
      <w:r w:rsidRPr="009603AB">
        <w:t xml:space="preserve"> </w:t>
      </w:r>
      <w:r w:rsidR="00B54420">
        <w:t>limit</w:t>
      </w:r>
      <w:r w:rsidR="00B33159">
        <w:t>s</w:t>
      </w:r>
      <w:r w:rsidRPr="009603AB">
        <w:t xml:space="preserve"> what can be expected </w:t>
      </w:r>
      <w:r w:rsidRPr="00E61A49">
        <w:rPr>
          <w:noProof/>
        </w:rPr>
        <w:t>in terms of</w:t>
      </w:r>
      <w:r w:rsidRPr="009603AB">
        <w:t xml:space="preserve"> THSSP2 impact</w:t>
      </w:r>
      <w:r w:rsidR="00B33159">
        <w:t xml:space="preserve"> (see later in this report for details)</w:t>
      </w:r>
      <w:r w:rsidR="00B54420">
        <w:t xml:space="preserve">. </w:t>
      </w:r>
      <w:r w:rsidR="00B0230B">
        <w:t xml:space="preserve">The </w:t>
      </w:r>
      <w:r w:rsidR="009E2E05">
        <w:t>MoH</w:t>
      </w:r>
      <w:r w:rsidR="00B0230B">
        <w:t xml:space="preserve"> has strengthened its organisational structure by consolidating administrative support functions into a Corporate Services Division, and this has the potential to strengthen </w:t>
      </w:r>
      <w:r w:rsidR="00CC7E03">
        <w:t xml:space="preserve">health system management </w:t>
      </w:r>
      <w:r w:rsidR="00B0230B">
        <w:t>functionality in the future</w:t>
      </w:r>
      <w:r w:rsidR="00B54420">
        <w:t>.</w:t>
      </w:r>
      <w:r w:rsidR="0020186C">
        <w:t xml:space="preserve"> Prospects for </w:t>
      </w:r>
      <w:r w:rsidR="0020186C" w:rsidRPr="00E61A49">
        <w:rPr>
          <w:noProof/>
        </w:rPr>
        <w:t>strengthening</w:t>
      </w:r>
      <w:r w:rsidR="0020186C">
        <w:t xml:space="preserve"> MoH planning and reporting before end-of-phase are intrinsically linked with THSSP2 implementation issues and are the subject of </w:t>
      </w:r>
      <w:r w:rsidR="003F2DC7">
        <w:t xml:space="preserve">specific </w:t>
      </w:r>
      <w:r w:rsidR="0020186C">
        <w:t xml:space="preserve">recommendations contained </w:t>
      </w:r>
      <w:r w:rsidR="003F2DC7">
        <w:t xml:space="preserve">later </w:t>
      </w:r>
      <w:r w:rsidR="0020186C">
        <w:t>in this report.</w:t>
      </w:r>
    </w:p>
    <w:p w14:paraId="049083E7" w14:textId="77777777" w:rsidR="00C00028" w:rsidRPr="003F11F8" w:rsidRDefault="00B54420" w:rsidP="003F11F8">
      <w:pPr>
        <w:pStyle w:val="Heading3"/>
      </w:pPr>
      <w:r w:rsidRPr="003F11F8">
        <w:t xml:space="preserve">Target 5: </w:t>
      </w:r>
      <w:r w:rsidR="00C00028" w:rsidRPr="003F11F8">
        <w:t xml:space="preserve">Increased equity of access for poor and marginalised groups, including people with disability, to </w:t>
      </w:r>
      <w:r w:rsidR="009E2E05" w:rsidRPr="003F11F8">
        <w:t>MoH</w:t>
      </w:r>
      <w:r w:rsidR="00C00028" w:rsidRPr="003F11F8">
        <w:t xml:space="preserve"> servic</w:t>
      </w:r>
      <w:r w:rsidR="00795B2D" w:rsidRPr="003F11F8">
        <w:t>es and Tonga</w:t>
      </w:r>
      <w:r w:rsidR="00EA6139" w:rsidRPr="003F11F8">
        <w:t>Health activities</w:t>
      </w:r>
    </w:p>
    <w:p w14:paraId="3720E1F3" w14:textId="77777777" w:rsidR="00CC7E03" w:rsidRDefault="00B54420" w:rsidP="00811853">
      <w:pPr>
        <w:spacing w:after="0"/>
      </w:pPr>
      <w:r>
        <w:t xml:space="preserve">Awareness raising initiatives had been delivered under THSSP2 to prepare the </w:t>
      </w:r>
      <w:r w:rsidR="009E2E05">
        <w:t>MoH</w:t>
      </w:r>
      <w:r>
        <w:t xml:space="preserve"> and TongaHealth leadership groups for disability-inclusive </w:t>
      </w:r>
      <w:r w:rsidR="00BF2A18">
        <w:t>health and</w:t>
      </w:r>
      <w:r>
        <w:t xml:space="preserve"> raise the profile of mental health. The draft PEHS is expressly disability-inclusive and establishes a framework for universally available mental health services</w:t>
      </w:r>
      <w:r w:rsidR="00CA31EE">
        <w:t xml:space="preserve"> in the future</w:t>
      </w:r>
      <w:r>
        <w:t xml:space="preserve">. </w:t>
      </w:r>
      <w:r w:rsidR="005E311F">
        <w:t xml:space="preserve"> E</w:t>
      </w:r>
      <w:r w:rsidR="0049688C">
        <w:t xml:space="preserve">vidence </w:t>
      </w:r>
      <w:r w:rsidR="009F73CA">
        <w:t xml:space="preserve">(i.e. reported by health workers) </w:t>
      </w:r>
      <w:r w:rsidR="0049688C">
        <w:t xml:space="preserve">suggested that THSSP2’s continued support for the activities of NCD nurses had </w:t>
      </w:r>
      <w:r w:rsidR="00421C48">
        <w:t xml:space="preserve">maintained an </w:t>
      </w:r>
      <w:r w:rsidR="0049688C">
        <w:t xml:space="preserve">improved </w:t>
      </w:r>
      <w:r w:rsidR="00421C48">
        <w:t xml:space="preserve">level of </w:t>
      </w:r>
      <w:r w:rsidR="0049688C">
        <w:t>access to and quality of NCD services in the outer islands districts where those nurses were posted</w:t>
      </w:r>
      <w:r w:rsidR="00421C48">
        <w:t xml:space="preserve"> (improved access </w:t>
      </w:r>
      <w:r w:rsidR="00421C48" w:rsidRPr="00E61A49">
        <w:rPr>
          <w:noProof/>
        </w:rPr>
        <w:t>was initially evidenced</w:t>
      </w:r>
      <w:r w:rsidR="00421C48">
        <w:t xml:space="preserve"> in a Phase 1 evaluation of the NCD outreach program)</w:t>
      </w:r>
      <w:r w:rsidR="0049688C">
        <w:t xml:space="preserve">. </w:t>
      </w:r>
      <w:r w:rsidR="005E311F">
        <w:t xml:space="preserve"> It was also</w:t>
      </w:r>
      <w:r w:rsidR="009F73CA">
        <w:t xml:space="preserve"> reported by health workers and partially substantiated by </w:t>
      </w:r>
      <w:r w:rsidR="00DA2CF2">
        <w:t>the PEHS baseline survey</w:t>
      </w:r>
      <w:r w:rsidR="005E311F">
        <w:t xml:space="preserve"> </w:t>
      </w:r>
      <w:r w:rsidR="0049688C">
        <w:t>that availability of NCD medications in hospital dispensaries in the outer islands had improved.</w:t>
      </w:r>
      <w:r w:rsidR="00AE47C9">
        <w:t xml:space="preserve"> Overall, it appears likely that THSSP2 will </w:t>
      </w:r>
      <w:r w:rsidR="00240DC3">
        <w:t>contribute towards increased equity of access for disadvantaged groups</w:t>
      </w:r>
      <w:r w:rsidR="00CC0AE3">
        <w:t xml:space="preserve">. </w:t>
      </w:r>
      <w:r w:rsidR="003F2DC7">
        <w:t xml:space="preserve">M&amp;E needs to be strengthened to ensure that </w:t>
      </w:r>
      <w:r w:rsidR="00240DC3">
        <w:t xml:space="preserve">improvements arising from disability-inclusive health activities </w:t>
      </w:r>
      <w:r w:rsidR="003F2DC7">
        <w:t>are</w:t>
      </w:r>
      <w:r w:rsidR="00240DC3">
        <w:t xml:space="preserve"> adequately measured: </w:t>
      </w:r>
      <w:r w:rsidR="003F2DC7">
        <w:t>specific recommendations are contained later in this report</w:t>
      </w:r>
      <w:r w:rsidR="00240DC3">
        <w:t>.</w:t>
      </w:r>
    </w:p>
    <w:p w14:paraId="0389077D" w14:textId="77777777" w:rsidR="00875113" w:rsidRDefault="00875113" w:rsidP="00811853">
      <w:pPr>
        <w:spacing w:after="0"/>
      </w:pPr>
    </w:p>
    <w:p w14:paraId="3AF10294" w14:textId="77777777" w:rsidR="00E97A3B" w:rsidRPr="00002A48" w:rsidRDefault="00C247DD" w:rsidP="00DD0215">
      <w:pPr>
        <w:pStyle w:val="Level2Heading"/>
        <w:numPr>
          <w:ilvl w:val="0"/>
          <w:numId w:val="0"/>
        </w:numPr>
        <w:rPr>
          <w:rStyle w:val="Heading2Char"/>
          <w:b/>
        </w:rPr>
      </w:pPr>
      <w:bookmarkStart w:id="44" w:name="_Toc533416612"/>
      <w:bookmarkStart w:id="45" w:name="_Toc536205443"/>
      <w:r>
        <w:rPr>
          <w:rStyle w:val="Heading2Char"/>
          <w:b/>
        </w:rPr>
        <w:t>3.2</w:t>
      </w:r>
      <w:r>
        <w:rPr>
          <w:rStyle w:val="Heading2Char"/>
          <w:b/>
        </w:rPr>
        <w:tab/>
      </w:r>
      <w:r w:rsidR="00E97A3B">
        <w:rPr>
          <w:rStyle w:val="Heading2Char"/>
          <w:b/>
        </w:rPr>
        <w:t>Progress</w:t>
      </w:r>
      <w:bookmarkEnd w:id="44"/>
      <w:bookmarkEnd w:id="45"/>
    </w:p>
    <w:p w14:paraId="4AFCBC22" w14:textId="77777777" w:rsidR="0049688C" w:rsidRDefault="0049688C" w:rsidP="0049688C">
      <w:r w:rsidRPr="0097191B">
        <w:t xml:space="preserve">The </w:t>
      </w:r>
      <w:r>
        <w:t xml:space="preserve">second component of the evaluation </w:t>
      </w:r>
      <w:r w:rsidR="00040B4D">
        <w:t>examin</w:t>
      </w:r>
      <w:r>
        <w:t xml:space="preserve">es </w:t>
      </w:r>
      <w:r w:rsidR="007F2359">
        <w:t xml:space="preserve">progress </w:t>
      </w:r>
      <w:r w:rsidR="00D91469">
        <w:t>in</w:t>
      </w:r>
      <w:r w:rsidR="007F2359">
        <w:t xml:space="preserve"> </w:t>
      </w:r>
      <w:r w:rsidR="009D7723">
        <w:t>priority or strategic areas. T</w:t>
      </w:r>
      <w:r w:rsidR="007F2359">
        <w:t>he ToR</w:t>
      </w:r>
      <w:r w:rsidR="009D7723">
        <w:t xml:space="preserve"> for the mid-term evaluation </w:t>
      </w:r>
      <w:r w:rsidR="009D7723" w:rsidRPr="00CC0AE3">
        <w:rPr>
          <w:noProof/>
        </w:rPr>
        <w:t>identif</w:t>
      </w:r>
      <w:r w:rsidR="00CC0AE3">
        <w:rPr>
          <w:noProof/>
        </w:rPr>
        <w:t>ies</w:t>
      </w:r>
      <w:r w:rsidR="009D7723">
        <w:t xml:space="preserve"> the following six priorities</w:t>
      </w:r>
      <w:r w:rsidR="007F2359">
        <w:t>:</w:t>
      </w:r>
    </w:p>
    <w:p w14:paraId="5CCA526B" w14:textId="77777777" w:rsidR="008109B1" w:rsidRPr="00D91469" w:rsidRDefault="008109B1" w:rsidP="006719C2">
      <w:pPr>
        <w:pStyle w:val="ListParagraph"/>
        <w:numPr>
          <w:ilvl w:val="0"/>
          <w:numId w:val="19"/>
        </w:numPr>
        <w:spacing w:after="120"/>
        <w:ind w:left="714" w:hanging="357"/>
        <w:contextualSpacing w:val="0"/>
      </w:pPr>
      <w:r>
        <w:t>g</w:t>
      </w:r>
      <w:r w:rsidRPr="00D91469">
        <w:t>overnance, strategic planning, process efficiency, linkages with other donor and DFAT regional programs, and decision making (within both GoT and DFAT systems);</w:t>
      </w:r>
    </w:p>
    <w:p w14:paraId="58C8CC8E" w14:textId="77777777" w:rsidR="007F2359" w:rsidRPr="00D91469" w:rsidRDefault="009D7723" w:rsidP="006719C2">
      <w:pPr>
        <w:pStyle w:val="ListParagraph"/>
        <w:numPr>
          <w:ilvl w:val="0"/>
          <w:numId w:val="19"/>
        </w:numPr>
        <w:spacing w:after="120"/>
        <w:ind w:left="714" w:hanging="357"/>
        <w:contextualSpacing w:val="0"/>
      </w:pPr>
      <w:r>
        <w:t>p</w:t>
      </w:r>
      <w:r w:rsidR="007F2359" w:rsidRPr="00D91469">
        <w:t xml:space="preserve">lanning and budgeting (including </w:t>
      </w:r>
      <w:r w:rsidR="00D91469">
        <w:t>h</w:t>
      </w:r>
      <w:r w:rsidR="007F2359" w:rsidRPr="00D91469">
        <w:t>ealth expenditure policy, finance and accounting processes);</w:t>
      </w:r>
    </w:p>
    <w:p w14:paraId="2A5C3CD4" w14:textId="77777777" w:rsidR="007F2359" w:rsidRPr="00D91469" w:rsidRDefault="009D7723" w:rsidP="006719C2">
      <w:pPr>
        <w:pStyle w:val="ListParagraph"/>
        <w:numPr>
          <w:ilvl w:val="0"/>
          <w:numId w:val="19"/>
        </w:numPr>
        <w:spacing w:after="120"/>
        <w:ind w:left="714" w:hanging="357"/>
        <w:contextualSpacing w:val="0"/>
      </w:pPr>
      <w:r>
        <w:t>p</w:t>
      </w:r>
      <w:r w:rsidR="007F2359" w:rsidRPr="00D91469">
        <w:t>rimary care service delivery including early detection and management of NCDs, procurement and stock/asset management;</w:t>
      </w:r>
    </w:p>
    <w:p w14:paraId="2F96514E" w14:textId="77777777" w:rsidR="007F2359" w:rsidRPr="00D91469" w:rsidRDefault="007F2359" w:rsidP="006719C2">
      <w:pPr>
        <w:pStyle w:val="ListParagraph"/>
        <w:numPr>
          <w:ilvl w:val="0"/>
          <w:numId w:val="19"/>
        </w:numPr>
        <w:spacing w:after="120"/>
        <w:ind w:left="714" w:hanging="357"/>
        <w:contextualSpacing w:val="0"/>
      </w:pPr>
      <w:r w:rsidRPr="00D91469">
        <w:t>NCDs prevention and health promotion activities provided by both MoH and TongaHealth;</w:t>
      </w:r>
    </w:p>
    <w:p w14:paraId="34B9F155" w14:textId="77777777" w:rsidR="007F2359" w:rsidRPr="00D91469" w:rsidRDefault="009D7723" w:rsidP="006719C2">
      <w:pPr>
        <w:pStyle w:val="ListParagraph"/>
        <w:numPr>
          <w:ilvl w:val="0"/>
          <w:numId w:val="19"/>
        </w:numPr>
        <w:spacing w:after="120"/>
        <w:ind w:left="714" w:hanging="357"/>
        <w:contextualSpacing w:val="0"/>
      </w:pPr>
      <w:r>
        <w:t>m</w:t>
      </w:r>
      <w:r w:rsidR="007F2359" w:rsidRPr="00D91469">
        <w:t xml:space="preserve">onitoring including National Health Indicators, </w:t>
      </w:r>
      <w:r w:rsidR="00034996">
        <w:t>m</w:t>
      </w:r>
      <w:r w:rsidR="007F2359" w:rsidRPr="00D91469">
        <w:t xml:space="preserve">onitoring and evaluation framework and </w:t>
      </w:r>
      <w:r w:rsidR="00BF2A18" w:rsidRPr="00D91469">
        <w:t>performance-based</w:t>
      </w:r>
      <w:r w:rsidR="007F2359" w:rsidRPr="00D91469">
        <w:t xml:space="preserve"> funding;</w:t>
      </w:r>
    </w:p>
    <w:p w14:paraId="5C6C151B" w14:textId="77777777" w:rsidR="007F2359" w:rsidRPr="00D91469" w:rsidRDefault="009D7723" w:rsidP="006719C2">
      <w:pPr>
        <w:pStyle w:val="ListParagraph"/>
        <w:numPr>
          <w:ilvl w:val="0"/>
          <w:numId w:val="19"/>
        </w:numPr>
      </w:pPr>
      <w:r>
        <w:lastRenderedPageBreak/>
        <w:t>c</w:t>
      </w:r>
      <w:r w:rsidR="007F2359" w:rsidRPr="00D91469">
        <w:t>apacity development,</w:t>
      </w:r>
      <w:r w:rsidR="00D91469">
        <w:t xml:space="preserve"> including technical assistance.</w:t>
      </w:r>
    </w:p>
    <w:p w14:paraId="397294BC" w14:textId="77777777" w:rsidR="00D91469" w:rsidRDefault="009D7723" w:rsidP="00D91469">
      <w:r>
        <w:t xml:space="preserve">The evaluation team </w:t>
      </w:r>
      <w:r w:rsidR="007A18E9">
        <w:t xml:space="preserve">included </w:t>
      </w:r>
      <w:r>
        <w:t xml:space="preserve">a further </w:t>
      </w:r>
      <w:r w:rsidR="000C3BE0">
        <w:t>four</w:t>
      </w:r>
      <w:r>
        <w:t xml:space="preserve"> strategic issues:</w:t>
      </w:r>
    </w:p>
    <w:p w14:paraId="7BC0C7A9" w14:textId="77777777" w:rsidR="009D7723" w:rsidRDefault="009D7723" w:rsidP="006719C2">
      <w:pPr>
        <w:pStyle w:val="ListParagraph"/>
        <w:numPr>
          <w:ilvl w:val="0"/>
          <w:numId w:val="19"/>
        </w:numPr>
        <w:spacing w:after="120"/>
        <w:ind w:left="714" w:hanging="357"/>
        <w:contextualSpacing w:val="0"/>
      </w:pPr>
      <w:r>
        <w:t>disability</w:t>
      </w:r>
      <w:r w:rsidR="00795F50">
        <w:t>, including mental health</w:t>
      </w:r>
    </w:p>
    <w:p w14:paraId="2DB896A8" w14:textId="77777777" w:rsidR="009D7723" w:rsidRPr="00D91469" w:rsidRDefault="009D7723" w:rsidP="006719C2">
      <w:pPr>
        <w:pStyle w:val="ListParagraph"/>
        <w:numPr>
          <w:ilvl w:val="0"/>
          <w:numId w:val="19"/>
        </w:numPr>
        <w:spacing w:after="120"/>
        <w:ind w:left="714" w:hanging="357"/>
        <w:contextualSpacing w:val="0"/>
      </w:pPr>
      <w:r w:rsidRPr="00E61A49">
        <w:rPr>
          <w:noProof/>
        </w:rPr>
        <w:t>disadvantage</w:t>
      </w:r>
      <w:r>
        <w:t>, including remoteness</w:t>
      </w:r>
    </w:p>
    <w:p w14:paraId="1D78730A" w14:textId="77777777" w:rsidR="000C3BE0" w:rsidRDefault="009D7723" w:rsidP="006719C2">
      <w:pPr>
        <w:pStyle w:val="ListParagraph"/>
        <w:numPr>
          <w:ilvl w:val="0"/>
          <w:numId w:val="19"/>
        </w:numPr>
        <w:spacing w:after="120"/>
        <w:ind w:left="714" w:hanging="357"/>
        <w:contextualSpacing w:val="0"/>
      </w:pPr>
      <w:r>
        <w:t>gender</w:t>
      </w:r>
    </w:p>
    <w:p w14:paraId="30E20F77" w14:textId="77777777" w:rsidR="009D7723" w:rsidRDefault="000C3BE0" w:rsidP="006719C2">
      <w:pPr>
        <w:pStyle w:val="ListParagraph"/>
        <w:numPr>
          <w:ilvl w:val="0"/>
          <w:numId w:val="19"/>
        </w:numPr>
      </w:pPr>
      <w:r>
        <w:t>human resources</w:t>
      </w:r>
      <w:r w:rsidR="009D7723">
        <w:t>.</w:t>
      </w:r>
    </w:p>
    <w:p w14:paraId="6B7810FC" w14:textId="77777777" w:rsidR="008109B1" w:rsidRDefault="002F19B4" w:rsidP="00CF43C9">
      <w:pPr>
        <w:spacing w:after="0" w:line="276" w:lineRule="auto"/>
      </w:pPr>
      <w:r>
        <w:t xml:space="preserve">Table 3 </w:t>
      </w:r>
      <w:r w:rsidR="0027786A">
        <w:t xml:space="preserve">summarises the most significant points of progress identified during the evaluation, </w:t>
      </w:r>
      <w:r w:rsidR="0027786A" w:rsidRPr="00E61A49">
        <w:rPr>
          <w:noProof/>
        </w:rPr>
        <w:t>with reference to</w:t>
      </w:r>
      <w:r w:rsidR="0027786A">
        <w:t xml:space="preserve"> the priority areas listed above</w:t>
      </w:r>
      <w:r>
        <w:t>. T</w:t>
      </w:r>
      <w:r w:rsidR="00C71BD1">
        <w:t xml:space="preserve">able 3 </w:t>
      </w:r>
      <w:r w:rsidR="0027786A">
        <w:t xml:space="preserve">also </w:t>
      </w:r>
      <w:r w:rsidR="00C71BD1">
        <w:t xml:space="preserve">sets out the structure for the remainder of Section 3.2 and is intended to be </w:t>
      </w:r>
      <w:r w:rsidR="004A641A">
        <w:t xml:space="preserve">interpreted </w:t>
      </w:r>
      <w:r w:rsidR="00C71BD1">
        <w:t xml:space="preserve">in conjunction with the </w:t>
      </w:r>
      <w:r>
        <w:t xml:space="preserve">detailed description and discussion on </w:t>
      </w:r>
      <w:r w:rsidRPr="00E61A49">
        <w:rPr>
          <w:noProof/>
        </w:rPr>
        <w:t>progress</w:t>
      </w:r>
      <w:r>
        <w:t xml:space="preserve"> </w:t>
      </w:r>
      <w:r w:rsidR="00C71BD1">
        <w:t xml:space="preserve">that </w:t>
      </w:r>
      <w:r>
        <w:t>follows the table</w:t>
      </w:r>
      <w:r w:rsidR="004A641A">
        <w:t xml:space="preserve">. </w:t>
      </w:r>
      <w:r>
        <w:t>N</w:t>
      </w:r>
      <w:r w:rsidR="0094674D">
        <w:t xml:space="preserve">ote that the discussion in </w:t>
      </w:r>
      <w:r w:rsidR="004A641A">
        <w:t>S</w:t>
      </w:r>
      <w:r w:rsidR="0094674D">
        <w:t>ection</w:t>
      </w:r>
      <w:r w:rsidR="004A641A">
        <w:t xml:space="preserve"> 3.2</w:t>
      </w:r>
      <w:r w:rsidR="0094674D">
        <w:t xml:space="preserve"> refers back to </w:t>
      </w:r>
      <w:r>
        <w:t xml:space="preserve">the </w:t>
      </w:r>
      <w:r w:rsidR="0094674D">
        <w:t xml:space="preserve">program design concept, described in </w:t>
      </w:r>
      <w:r w:rsidR="00BF2A18">
        <w:t xml:space="preserve">Section </w:t>
      </w:r>
      <w:r w:rsidR="0094674D">
        <w:t xml:space="preserve">1, that THSSP2 is designed to be ‘on budget’ and ‘on </w:t>
      </w:r>
      <w:r w:rsidR="0094674D" w:rsidRPr="00E61A49">
        <w:rPr>
          <w:noProof/>
        </w:rPr>
        <w:t>system</w:t>
      </w:r>
      <w:r w:rsidR="0094674D">
        <w:t>’.</w:t>
      </w:r>
    </w:p>
    <w:p w14:paraId="78307BB2" w14:textId="77777777" w:rsidR="00024020" w:rsidRDefault="00024020" w:rsidP="00CF43C9">
      <w:pPr>
        <w:spacing w:after="0" w:line="276" w:lineRule="auto"/>
      </w:pPr>
    </w:p>
    <w:p w14:paraId="77064815" w14:textId="77777777" w:rsidR="002F19B4" w:rsidRPr="007C3594" w:rsidRDefault="002F19B4" w:rsidP="002F19B4">
      <w:pPr>
        <w:pStyle w:val="NormalWeb"/>
        <w:shd w:val="clear" w:color="auto" w:fill="FFFFFF"/>
        <w:spacing w:before="0" w:beforeAutospacing="0" w:after="0" w:afterAutospacing="0" w:line="270" w:lineRule="atLeast"/>
        <w:ind w:right="301"/>
        <w:textAlignment w:val="baseline"/>
        <w:rPr>
          <w:rFonts w:asciiTheme="minorHAnsi" w:eastAsiaTheme="minorHAnsi" w:hAnsiTheme="minorHAnsi" w:cstheme="minorBidi"/>
          <w:b/>
          <w:sz w:val="22"/>
          <w:szCs w:val="22"/>
          <w:lang w:eastAsia="en-US"/>
        </w:rPr>
      </w:pPr>
      <w:r w:rsidRPr="007C3594">
        <w:rPr>
          <w:rFonts w:asciiTheme="minorHAnsi" w:eastAsiaTheme="minorHAnsi" w:hAnsiTheme="minorHAnsi" w:cstheme="minorBidi"/>
          <w:b/>
          <w:sz w:val="22"/>
          <w:szCs w:val="22"/>
          <w:lang w:eastAsia="en-US"/>
        </w:rPr>
        <w:t xml:space="preserve">Table </w:t>
      </w:r>
      <w:r w:rsidR="00EC6E98">
        <w:rPr>
          <w:rFonts w:asciiTheme="minorHAnsi" w:eastAsiaTheme="minorHAnsi" w:hAnsiTheme="minorHAnsi" w:cstheme="minorBidi"/>
          <w:b/>
          <w:sz w:val="22"/>
          <w:szCs w:val="22"/>
          <w:lang w:eastAsia="en-US"/>
        </w:rPr>
        <w:t>3</w:t>
      </w:r>
      <w:r w:rsidRPr="007C3594">
        <w:rPr>
          <w:rFonts w:asciiTheme="minorHAnsi" w:eastAsiaTheme="minorHAnsi" w:hAnsiTheme="minorHAnsi" w:cstheme="minorBidi"/>
          <w:b/>
          <w:sz w:val="22"/>
          <w:szCs w:val="22"/>
          <w:lang w:eastAsia="en-US"/>
        </w:rPr>
        <w:t xml:space="preserve">: </w:t>
      </w:r>
      <w:r w:rsidR="00EC6E98">
        <w:rPr>
          <w:rFonts w:asciiTheme="minorHAnsi" w:eastAsiaTheme="minorHAnsi" w:hAnsiTheme="minorHAnsi" w:cstheme="minorBidi"/>
          <w:b/>
          <w:sz w:val="22"/>
          <w:szCs w:val="22"/>
          <w:lang w:eastAsia="en-US"/>
        </w:rPr>
        <w:t>Overview of Progress in Priority Areas</w:t>
      </w:r>
    </w:p>
    <w:tbl>
      <w:tblPr>
        <w:tblStyle w:val="TableGrid"/>
        <w:tblW w:w="0" w:type="auto"/>
        <w:tblLook w:val="04A0" w:firstRow="1" w:lastRow="0" w:firstColumn="1" w:lastColumn="0" w:noHBand="0" w:noVBand="1"/>
      </w:tblPr>
      <w:tblGrid>
        <w:gridCol w:w="1696"/>
        <w:gridCol w:w="2552"/>
        <w:gridCol w:w="4768"/>
      </w:tblGrid>
      <w:tr w:rsidR="0027786A" w14:paraId="31F0419F" w14:textId="77777777" w:rsidTr="00CE5F3C">
        <w:tc>
          <w:tcPr>
            <w:tcW w:w="1696" w:type="dxa"/>
            <w:shd w:val="clear" w:color="auto" w:fill="D9D9D9" w:themeFill="background1" w:themeFillShade="D9"/>
          </w:tcPr>
          <w:p w14:paraId="4708478A" w14:textId="77777777" w:rsidR="00EC6E98" w:rsidRPr="00550647" w:rsidRDefault="00C71BD1" w:rsidP="002F19B4">
            <w:pPr>
              <w:pStyle w:val="NormalWeb"/>
              <w:spacing w:before="0" w:beforeAutospacing="0" w:after="270" w:afterAutospacing="0" w:line="270" w:lineRule="atLeast"/>
              <w:ind w:right="300"/>
              <w:textAlignment w:val="baseline"/>
              <w:rPr>
                <w:rFonts w:asciiTheme="minorHAnsi" w:eastAsiaTheme="minorHAnsi" w:hAnsiTheme="minorHAnsi" w:cstheme="minorBidi"/>
                <w:b/>
                <w:i/>
                <w:sz w:val="20"/>
                <w:szCs w:val="20"/>
                <w:lang w:eastAsia="en-US"/>
              </w:rPr>
            </w:pPr>
            <w:r>
              <w:rPr>
                <w:rFonts w:asciiTheme="minorHAnsi" w:eastAsiaTheme="minorHAnsi" w:hAnsiTheme="minorHAnsi" w:cstheme="minorBidi"/>
                <w:b/>
                <w:i/>
                <w:sz w:val="20"/>
                <w:szCs w:val="20"/>
                <w:lang w:eastAsia="en-US"/>
              </w:rPr>
              <w:t>Theme Group</w:t>
            </w:r>
          </w:p>
        </w:tc>
        <w:tc>
          <w:tcPr>
            <w:tcW w:w="2552" w:type="dxa"/>
            <w:shd w:val="clear" w:color="auto" w:fill="D9D9D9" w:themeFill="background1" w:themeFillShade="D9"/>
          </w:tcPr>
          <w:p w14:paraId="23AD40FE" w14:textId="77777777" w:rsidR="00EC6E98" w:rsidRPr="00550647" w:rsidRDefault="00C71BD1" w:rsidP="00550647">
            <w:pPr>
              <w:pStyle w:val="NormalWeb"/>
              <w:spacing w:before="0" w:beforeAutospacing="0" w:after="270" w:afterAutospacing="0" w:line="270" w:lineRule="atLeast"/>
              <w:ind w:right="300"/>
              <w:textAlignment w:val="baseline"/>
              <w:rPr>
                <w:rFonts w:cstheme="minorBidi"/>
                <w:b/>
                <w:i/>
                <w:sz w:val="20"/>
                <w:szCs w:val="20"/>
              </w:rPr>
            </w:pPr>
            <w:r w:rsidRPr="00550647">
              <w:rPr>
                <w:rFonts w:asciiTheme="minorHAnsi" w:eastAsiaTheme="minorHAnsi" w:hAnsiTheme="minorHAnsi" w:cstheme="minorBidi"/>
                <w:b/>
                <w:i/>
                <w:sz w:val="20"/>
                <w:szCs w:val="20"/>
                <w:lang w:eastAsia="en-US"/>
              </w:rPr>
              <w:t>Priority Areas</w:t>
            </w:r>
          </w:p>
        </w:tc>
        <w:tc>
          <w:tcPr>
            <w:tcW w:w="4768" w:type="dxa"/>
            <w:shd w:val="clear" w:color="auto" w:fill="D9D9D9" w:themeFill="background1" w:themeFillShade="D9"/>
          </w:tcPr>
          <w:p w14:paraId="48A30B2B" w14:textId="77777777" w:rsidR="00EC6E98" w:rsidRPr="00550647" w:rsidRDefault="008D308F" w:rsidP="00550647">
            <w:pPr>
              <w:pStyle w:val="NormalWeb"/>
              <w:spacing w:before="0" w:beforeAutospacing="0" w:after="270" w:afterAutospacing="0" w:line="270" w:lineRule="atLeast"/>
              <w:ind w:right="300"/>
              <w:textAlignment w:val="baseline"/>
              <w:rPr>
                <w:rFonts w:cstheme="minorBidi"/>
                <w:b/>
                <w:i/>
                <w:sz w:val="20"/>
                <w:szCs w:val="20"/>
              </w:rPr>
            </w:pPr>
            <w:r w:rsidRPr="00550647">
              <w:rPr>
                <w:rFonts w:asciiTheme="minorHAnsi" w:eastAsiaTheme="minorHAnsi" w:hAnsiTheme="minorHAnsi" w:cstheme="minorBidi"/>
                <w:b/>
                <w:i/>
                <w:sz w:val="20"/>
                <w:szCs w:val="20"/>
                <w:lang w:eastAsia="en-US"/>
              </w:rPr>
              <w:t xml:space="preserve">High-level </w:t>
            </w:r>
            <w:r w:rsidR="004A641A" w:rsidRPr="00550647">
              <w:rPr>
                <w:rFonts w:asciiTheme="minorHAnsi" w:eastAsiaTheme="minorHAnsi" w:hAnsiTheme="minorHAnsi" w:cstheme="minorBidi"/>
                <w:b/>
                <w:i/>
                <w:sz w:val="20"/>
                <w:szCs w:val="20"/>
                <w:lang w:eastAsia="en-US"/>
              </w:rPr>
              <w:t>Comment</w:t>
            </w:r>
            <w:r w:rsidR="00C50B7D">
              <w:rPr>
                <w:rFonts w:asciiTheme="minorHAnsi" w:eastAsiaTheme="minorHAnsi" w:hAnsiTheme="minorHAnsi" w:cstheme="minorBidi"/>
                <w:b/>
                <w:i/>
                <w:sz w:val="20"/>
                <w:szCs w:val="20"/>
                <w:lang w:eastAsia="en-US"/>
              </w:rPr>
              <w:t>s</w:t>
            </w:r>
            <w:r w:rsidR="003830A6" w:rsidRPr="00550647">
              <w:rPr>
                <w:rFonts w:asciiTheme="minorHAnsi" w:eastAsiaTheme="minorHAnsi" w:hAnsiTheme="minorHAnsi" w:cstheme="minorBidi"/>
                <w:b/>
                <w:i/>
                <w:sz w:val="20"/>
                <w:szCs w:val="20"/>
                <w:lang w:eastAsia="en-US"/>
              </w:rPr>
              <w:t xml:space="preserve"> [1]</w:t>
            </w:r>
          </w:p>
        </w:tc>
      </w:tr>
      <w:tr w:rsidR="00C71BD1" w14:paraId="7A0D526C" w14:textId="77777777" w:rsidTr="0043433D">
        <w:tc>
          <w:tcPr>
            <w:tcW w:w="9016" w:type="dxa"/>
            <w:gridSpan w:val="3"/>
          </w:tcPr>
          <w:p w14:paraId="691231CC" w14:textId="77777777" w:rsidR="00C71BD1" w:rsidRPr="00550647" w:rsidRDefault="00C71BD1" w:rsidP="002F19B4">
            <w:pPr>
              <w:rPr>
                <w:rFonts w:cstheme="minorHAnsi"/>
                <w:b/>
                <w:i/>
                <w:sz w:val="20"/>
                <w:szCs w:val="20"/>
              </w:rPr>
            </w:pPr>
            <w:r w:rsidRPr="00550647">
              <w:rPr>
                <w:b/>
                <w:i/>
                <w:sz w:val="20"/>
                <w:szCs w:val="20"/>
              </w:rPr>
              <w:t xml:space="preserve">HEALTH SERVICES </w:t>
            </w:r>
            <w:r w:rsidR="00A2708C">
              <w:rPr>
                <w:b/>
                <w:i/>
                <w:sz w:val="20"/>
                <w:szCs w:val="20"/>
              </w:rPr>
              <w:t>THEMES</w:t>
            </w:r>
          </w:p>
        </w:tc>
      </w:tr>
      <w:tr w:rsidR="008D308F" w14:paraId="2BD493BA" w14:textId="77777777" w:rsidTr="0043433D">
        <w:trPr>
          <w:trHeight w:val="810"/>
        </w:trPr>
        <w:tc>
          <w:tcPr>
            <w:tcW w:w="1696" w:type="dxa"/>
          </w:tcPr>
          <w:p w14:paraId="6C1FE7FA" w14:textId="77777777" w:rsidR="008D308F" w:rsidRPr="00F517FD" w:rsidRDefault="008D308F" w:rsidP="002F19B4">
            <w:pPr>
              <w:pStyle w:val="NormalWeb"/>
              <w:spacing w:before="0" w:beforeAutospacing="0" w:after="270" w:afterAutospacing="0" w:line="270" w:lineRule="atLeast"/>
              <w:ind w:right="300"/>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NCD prevention</w:t>
            </w:r>
          </w:p>
        </w:tc>
        <w:tc>
          <w:tcPr>
            <w:tcW w:w="2552" w:type="dxa"/>
          </w:tcPr>
          <w:p w14:paraId="1F134DA5" w14:textId="77777777" w:rsidR="008D308F" w:rsidRPr="00550647" w:rsidRDefault="008D308F" w:rsidP="006719C2">
            <w:pPr>
              <w:pStyle w:val="ListParagraph"/>
              <w:numPr>
                <w:ilvl w:val="0"/>
                <w:numId w:val="50"/>
              </w:numPr>
              <w:rPr>
                <w:rFonts w:cstheme="minorHAnsi"/>
                <w:sz w:val="20"/>
                <w:szCs w:val="20"/>
              </w:rPr>
            </w:pPr>
            <w:r w:rsidRPr="00550647">
              <w:rPr>
                <w:rFonts w:cstheme="minorHAnsi"/>
                <w:sz w:val="20"/>
                <w:szCs w:val="20"/>
              </w:rPr>
              <w:t>Health promotion</w:t>
            </w:r>
          </w:p>
          <w:p w14:paraId="4296751A" w14:textId="77777777" w:rsidR="008D308F" w:rsidRPr="00550647" w:rsidRDefault="008D308F" w:rsidP="006719C2">
            <w:pPr>
              <w:pStyle w:val="ListParagraph"/>
              <w:numPr>
                <w:ilvl w:val="0"/>
                <w:numId w:val="50"/>
              </w:numPr>
              <w:rPr>
                <w:rFonts w:cstheme="minorHAnsi"/>
                <w:sz w:val="20"/>
                <w:szCs w:val="20"/>
              </w:rPr>
            </w:pPr>
            <w:r w:rsidRPr="00550647">
              <w:rPr>
                <w:rFonts w:cstheme="minorHAnsi"/>
                <w:sz w:val="20"/>
                <w:szCs w:val="20"/>
              </w:rPr>
              <w:t>NCD risk factors</w:t>
            </w:r>
          </w:p>
          <w:p w14:paraId="21174F33" w14:textId="77777777" w:rsidR="008D308F" w:rsidRPr="00550647" w:rsidRDefault="00B60E1B" w:rsidP="006719C2">
            <w:pPr>
              <w:pStyle w:val="ListParagraph"/>
              <w:numPr>
                <w:ilvl w:val="0"/>
                <w:numId w:val="50"/>
              </w:numPr>
              <w:rPr>
                <w:rFonts w:cstheme="minorHAnsi"/>
                <w:sz w:val="20"/>
                <w:szCs w:val="20"/>
              </w:rPr>
            </w:pPr>
            <w:r>
              <w:rPr>
                <w:rFonts w:cstheme="minorHAnsi"/>
                <w:sz w:val="20"/>
                <w:szCs w:val="20"/>
              </w:rPr>
              <w:t>C</w:t>
            </w:r>
            <w:r w:rsidR="008D308F">
              <w:rPr>
                <w:rFonts w:cstheme="minorHAnsi"/>
                <w:sz w:val="20"/>
                <w:szCs w:val="20"/>
              </w:rPr>
              <w:t>hallenges</w:t>
            </w:r>
          </w:p>
        </w:tc>
        <w:tc>
          <w:tcPr>
            <w:tcW w:w="4768" w:type="dxa"/>
          </w:tcPr>
          <w:p w14:paraId="16460875" w14:textId="77777777" w:rsidR="00B61478" w:rsidRDefault="00B61478" w:rsidP="00B61478">
            <w:pPr>
              <w:rPr>
                <w:sz w:val="20"/>
                <w:szCs w:val="20"/>
              </w:rPr>
            </w:pPr>
            <w:r>
              <w:rPr>
                <w:sz w:val="20"/>
                <w:szCs w:val="20"/>
              </w:rPr>
              <w:t xml:space="preserve">Tonga’s </w:t>
            </w:r>
            <w:r w:rsidRPr="00550647">
              <w:rPr>
                <w:sz w:val="20"/>
                <w:szCs w:val="20"/>
              </w:rPr>
              <w:t>multi-sector action plan for NCD prevention and control positions Tonga a</w:t>
            </w:r>
            <w:r>
              <w:rPr>
                <w:sz w:val="20"/>
                <w:szCs w:val="20"/>
              </w:rPr>
              <w:t>s a regional leader.</w:t>
            </w:r>
          </w:p>
          <w:p w14:paraId="17BF3B6F" w14:textId="77777777" w:rsidR="00095DDC" w:rsidRDefault="00095DDC" w:rsidP="00B61478">
            <w:pPr>
              <w:rPr>
                <w:sz w:val="20"/>
                <w:szCs w:val="20"/>
              </w:rPr>
            </w:pPr>
          </w:p>
          <w:p w14:paraId="1E57DD61" w14:textId="77777777" w:rsidR="008D308F" w:rsidRPr="00CC0AE3" w:rsidRDefault="00095DDC" w:rsidP="002F19B4">
            <w:pPr>
              <w:rPr>
                <w:sz w:val="20"/>
                <w:szCs w:val="20"/>
              </w:rPr>
            </w:pPr>
            <w:r>
              <w:rPr>
                <w:sz w:val="20"/>
                <w:szCs w:val="20"/>
              </w:rPr>
              <w:t xml:space="preserve">There is promising evidence of early progress in reducing </w:t>
            </w:r>
            <w:r w:rsidR="00B60E1B">
              <w:rPr>
                <w:sz w:val="20"/>
                <w:szCs w:val="20"/>
              </w:rPr>
              <w:t xml:space="preserve">some </w:t>
            </w:r>
            <w:r>
              <w:rPr>
                <w:sz w:val="20"/>
                <w:szCs w:val="20"/>
              </w:rPr>
              <w:t>lifestyle risk factors for NCDs.</w:t>
            </w:r>
          </w:p>
        </w:tc>
      </w:tr>
      <w:tr w:rsidR="0027786A" w14:paraId="678D518D" w14:textId="77777777" w:rsidTr="0043433D">
        <w:trPr>
          <w:trHeight w:val="2197"/>
        </w:trPr>
        <w:tc>
          <w:tcPr>
            <w:tcW w:w="1696" w:type="dxa"/>
          </w:tcPr>
          <w:p w14:paraId="153416F9" w14:textId="77777777" w:rsidR="0027786A" w:rsidRPr="00F517FD" w:rsidRDefault="0027786A" w:rsidP="002F19B4">
            <w:pPr>
              <w:pStyle w:val="NormalWeb"/>
              <w:spacing w:before="0" w:beforeAutospacing="0" w:after="270" w:afterAutospacing="0" w:line="270" w:lineRule="atLeast"/>
              <w:ind w:right="30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0"/>
                <w:szCs w:val="20"/>
                <w:lang w:eastAsia="en-US"/>
              </w:rPr>
              <w:t>Primary health care</w:t>
            </w:r>
          </w:p>
        </w:tc>
        <w:tc>
          <w:tcPr>
            <w:tcW w:w="2552" w:type="dxa"/>
          </w:tcPr>
          <w:p w14:paraId="0A61FE1D" w14:textId="77777777" w:rsidR="0027786A" w:rsidRPr="00F517FD" w:rsidRDefault="0027786A" w:rsidP="006719C2">
            <w:pPr>
              <w:pStyle w:val="ListParagraph"/>
              <w:numPr>
                <w:ilvl w:val="0"/>
                <w:numId w:val="50"/>
              </w:numPr>
              <w:rPr>
                <w:rFonts w:cstheme="minorHAnsi"/>
                <w:sz w:val="20"/>
                <w:szCs w:val="20"/>
              </w:rPr>
            </w:pPr>
            <w:r>
              <w:rPr>
                <w:rFonts w:cstheme="minorHAnsi"/>
                <w:sz w:val="20"/>
                <w:szCs w:val="20"/>
              </w:rPr>
              <w:t>Detection and management of NCDs</w:t>
            </w:r>
          </w:p>
          <w:p w14:paraId="6C5E6617" w14:textId="77777777" w:rsidR="0027786A" w:rsidRPr="00F517FD" w:rsidRDefault="0027786A" w:rsidP="006719C2">
            <w:pPr>
              <w:pStyle w:val="ListParagraph"/>
              <w:numPr>
                <w:ilvl w:val="0"/>
                <w:numId w:val="50"/>
              </w:numPr>
              <w:rPr>
                <w:rFonts w:cstheme="minorHAnsi"/>
                <w:sz w:val="20"/>
                <w:szCs w:val="20"/>
              </w:rPr>
            </w:pPr>
            <w:r>
              <w:rPr>
                <w:rFonts w:cstheme="minorHAnsi"/>
                <w:sz w:val="20"/>
                <w:szCs w:val="20"/>
              </w:rPr>
              <w:t>Package of Essential Health Services</w:t>
            </w:r>
          </w:p>
          <w:p w14:paraId="7C7F6C19" w14:textId="77777777" w:rsidR="0027786A" w:rsidRDefault="0027786A" w:rsidP="006719C2">
            <w:pPr>
              <w:pStyle w:val="ListParagraph"/>
              <w:numPr>
                <w:ilvl w:val="0"/>
                <w:numId w:val="50"/>
              </w:numPr>
              <w:rPr>
                <w:rFonts w:cstheme="minorHAnsi"/>
                <w:sz w:val="20"/>
                <w:szCs w:val="20"/>
              </w:rPr>
            </w:pPr>
            <w:r>
              <w:rPr>
                <w:rFonts w:cstheme="minorHAnsi"/>
                <w:sz w:val="20"/>
                <w:szCs w:val="20"/>
              </w:rPr>
              <w:t>Workforce</w:t>
            </w:r>
          </w:p>
          <w:p w14:paraId="3F630314" w14:textId="77777777" w:rsidR="0027786A" w:rsidRDefault="0027786A" w:rsidP="006719C2">
            <w:pPr>
              <w:pStyle w:val="ListParagraph"/>
              <w:numPr>
                <w:ilvl w:val="0"/>
                <w:numId w:val="50"/>
              </w:numPr>
              <w:rPr>
                <w:rFonts w:cstheme="minorHAnsi"/>
                <w:sz w:val="20"/>
                <w:szCs w:val="20"/>
              </w:rPr>
            </w:pPr>
            <w:r>
              <w:rPr>
                <w:rFonts w:cstheme="minorHAnsi"/>
                <w:sz w:val="20"/>
                <w:szCs w:val="20"/>
              </w:rPr>
              <w:t>Management arrangements for service provision</w:t>
            </w:r>
          </w:p>
          <w:p w14:paraId="5479E3D1" w14:textId="77777777" w:rsidR="0027786A" w:rsidRPr="00F517FD" w:rsidRDefault="0027786A" w:rsidP="006719C2">
            <w:pPr>
              <w:pStyle w:val="ListParagraph"/>
              <w:numPr>
                <w:ilvl w:val="0"/>
                <w:numId w:val="50"/>
              </w:numPr>
              <w:rPr>
                <w:rFonts w:cstheme="minorHAnsi"/>
                <w:sz w:val="20"/>
                <w:szCs w:val="20"/>
              </w:rPr>
            </w:pPr>
            <w:r>
              <w:rPr>
                <w:rFonts w:cstheme="minorHAnsi"/>
                <w:sz w:val="20"/>
                <w:szCs w:val="20"/>
              </w:rPr>
              <w:t>NCD medications availability and provision</w:t>
            </w:r>
          </w:p>
        </w:tc>
        <w:tc>
          <w:tcPr>
            <w:tcW w:w="4768" w:type="dxa"/>
          </w:tcPr>
          <w:p w14:paraId="6325A2B0" w14:textId="77777777" w:rsidR="0027786A" w:rsidRPr="00B61478" w:rsidRDefault="00B61478" w:rsidP="002F19B4">
            <w:pPr>
              <w:rPr>
                <w:rFonts w:cstheme="minorHAnsi"/>
                <w:sz w:val="20"/>
                <w:szCs w:val="20"/>
              </w:rPr>
            </w:pPr>
            <w:r w:rsidRPr="00B61478">
              <w:rPr>
                <w:rFonts w:cstheme="minorHAnsi"/>
                <w:sz w:val="20"/>
                <w:szCs w:val="20"/>
              </w:rPr>
              <w:t>NCD management has continued to improve</w:t>
            </w:r>
            <w:r>
              <w:rPr>
                <w:rFonts w:cstheme="minorHAnsi"/>
                <w:sz w:val="20"/>
                <w:szCs w:val="20"/>
              </w:rPr>
              <w:t xml:space="preserve"> (as a largely vertical program)</w:t>
            </w:r>
            <w:r w:rsidRPr="00B61478">
              <w:rPr>
                <w:rFonts w:cstheme="minorHAnsi"/>
                <w:sz w:val="20"/>
                <w:szCs w:val="20"/>
              </w:rPr>
              <w:t>.</w:t>
            </w:r>
          </w:p>
          <w:p w14:paraId="35DF2B01" w14:textId="77777777" w:rsidR="00B61478" w:rsidRPr="00B61478" w:rsidRDefault="00B61478" w:rsidP="002F19B4">
            <w:pPr>
              <w:rPr>
                <w:rFonts w:cstheme="minorHAnsi"/>
                <w:sz w:val="20"/>
                <w:szCs w:val="20"/>
              </w:rPr>
            </w:pPr>
          </w:p>
          <w:p w14:paraId="4D81A2E0" w14:textId="77777777" w:rsidR="00B61478" w:rsidRDefault="00B61478" w:rsidP="002F19B4">
            <w:pPr>
              <w:rPr>
                <w:sz w:val="20"/>
                <w:szCs w:val="20"/>
              </w:rPr>
            </w:pPr>
            <w:r w:rsidRPr="00550647">
              <w:rPr>
                <w:sz w:val="20"/>
                <w:szCs w:val="20"/>
              </w:rPr>
              <w:t xml:space="preserve">The </w:t>
            </w:r>
            <w:r>
              <w:rPr>
                <w:sz w:val="20"/>
                <w:szCs w:val="20"/>
              </w:rPr>
              <w:t xml:space="preserve">development of the </w:t>
            </w:r>
            <w:r w:rsidRPr="00550647">
              <w:rPr>
                <w:sz w:val="20"/>
                <w:szCs w:val="20"/>
              </w:rPr>
              <w:t xml:space="preserve">PEHS </w:t>
            </w:r>
            <w:r>
              <w:rPr>
                <w:sz w:val="20"/>
                <w:szCs w:val="20"/>
              </w:rPr>
              <w:t xml:space="preserve">is a commendable achievement that provides a vision for the future of the national </w:t>
            </w:r>
            <w:r w:rsidR="00C50B7D">
              <w:rPr>
                <w:sz w:val="20"/>
                <w:szCs w:val="20"/>
              </w:rPr>
              <w:t>service delivery</w:t>
            </w:r>
            <w:r>
              <w:rPr>
                <w:sz w:val="20"/>
                <w:szCs w:val="20"/>
              </w:rPr>
              <w:t xml:space="preserve"> system.</w:t>
            </w:r>
          </w:p>
          <w:p w14:paraId="0152393B" w14:textId="77777777" w:rsidR="00B61478" w:rsidRDefault="00B61478" w:rsidP="002F19B4">
            <w:pPr>
              <w:rPr>
                <w:sz w:val="20"/>
                <w:szCs w:val="20"/>
              </w:rPr>
            </w:pPr>
          </w:p>
          <w:p w14:paraId="4A6A3558" w14:textId="77777777" w:rsidR="00B61478" w:rsidRPr="00B61478" w:rsidRDefault="00B61478">
            <w:pPr>
              <w:rPr>
                <w:rFonts w:cstheme="minorHAnsi"/>
                <w:sz w:val="20"/>
                <w:szCs w:val="20"/>
              </w:rPr>
            </w:pPr>
            <w:r>
              <w:rPr>
                <w:sz w:val="20"/>
                <w:szCs w:val="20"/>
              </w:rPr>
              <w:t xml:space="preserve">The PEHS </w:t>
            </w:r>
            <w:r w:rsidRPr="00550647">
              <w:rPr>
                <w:sz w:val="20"/>
                <w:szCs w:val="20"/>
              </w:rPr>
              <w:t>provides a</w:t>
            </w:r>
            <w:r>
              <w:rPr>
                <w:sz w:val="20"/>
                <w:szCs w:val="20"/>
              </w:rPr>
              <w:t xml:space="preserve"> </w:t>
            </w:r>
            <w:r w:rsidRPr="00550647">
              <w:rPr>
                <w:sz w:val="20"/>
                <w:szCs w:val="20"/>
              </w:rPr>
              <w:t>framework for mainstreaming services such as NCD management and mental health into primary health care.</w:t>
            </w:r>
          </w:p>
        </w:tc>
      </w:tr>
      <w:tr w:rsidR="00C71BD1" w14:paraId="15E922C7" w14:textId="77777777" w:rsidTr="0043433D">
        <w:tc>
          <w:tcPr>
            <w:tcW w:w="9016" w:type="dxa"/>
            <w:gridSpan w:val="3"/>
          </w:tcPr>
          <w:p w14:paraId="337E78B2" w14:textId="77777777" w:rsidR="00C71BD1" w:rsidRPr="00550647" w:rsidRDefault="00C71BD1" w:rsidP="002F19B4">
            <w:pPr>
              <w:rPr>
                <w:rFonts w:cstheme="minorHAnsi"/>
                <w:b/>
                <w:i/>
                <w:sz w:val="20"/>
                <w:szCs w:val="20"/>
              </w:rPr>
            </w:pPr>
            <w:r w:rsidRPr="00550647">
              <w:rPr>
                <w:b/>
                <w:i/>
                <w:sz w:val="20"/>
                <w:szCs w:val="20"/>
              </w:rPr>
              <w:t>HEALTH SYSTEMS STRENGTHENING THEMES</w:t>
            </w:r>
            <w:r w:rsidR="003830A6">
              <w:rPr>
                <w:b/>
                <w:i/>
                <w:sz w:val="20"/>
                <w:szCs w:val="20"/>
              </w:rPr>
              <w:t xml:space="preserve"> [2]</w:t>
            </w:r>
          </w:p>
        </w:tc>
      </w:tr>
      <w:tr w:rsidR="0027786A" w14:paraId="148FAD46" w14:textId="77777777" w:rsidTr="0043433D">
        <w:trPr>
          <w:trHeight w:val="1008"/>
        </w:trPr>
        <w:tc>
          <w:tcPr>
            <w:tcW w:w="1696" w:type="dxa"/>
          </w:tcPr>
          <w:p w14:paraId="2BE7E52A" w14:textId="77777777" w:rsidR="0027786A" w:rsidRPr="00F517FD" w:rsidRDefault="0027786A">
            <w:pPr>
              <w:pStyle w:val="NormalWeb"/>
              <w:spacing w:before="0" w:beforeAutospacing="0" w:after="270" w:afterAutospacing="0" w:line="270" w:lineRule="atLeast"/>
              <w:ind w:right="300"/>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Governance and strategy</w:t>
            </w:r>
          </w:p>
        </w:tc>
        <w:tc>
          <w:tcPr>
            <w:tcW w:w="2552" w:type="dxa"/>
          </w:tcPr>
          <w:p w14:paraId="7A4F50EC" w14:textId="77777777" w:rsidR="0027786A" w:rsidRPr="00550647" w:rsidRDefault="0027786A" w:rsidP="006719C2">
            <w:pPr>
              <w:pStyle w:val="ListParagraph"/>
              <w:numPr>
                <w:ilvl w:val="0"/>
                <w:numId w:val="50"/>
              </w:numPr>
              <w:rPr>
                <w:rFonts w:cstheme="minorHAnsi"/>
                <w:sz w:val="20"/>
                <w:szCs w:val="20"/>
              </w:rPr>
            </w:pPr>
            <w:r w:rsidRPr="00550647">
              <w:rPr>
                <w:rFonts w:cstheme="minorHAnsi"/>
                <w:sz w:val="20"/>
                <w:szCs w:val="20"/>
              </w:rPr>
              <w:t>Governance</w:t>
            </w:r>
          </w:p>
          <w:p w14:paraId="4FE077AD" w14:textId="77777777" w:rsidR="0027786A" w:rsidRPr="00550647" w:rsidRDefault="0027786A" w:rsidP="006719C2">
            <w:pPr>
              <w:pStyle w:val="ListParagraph"/>
              <w:numPr>
                <w:ilvl w:val="0"/>
                <w:numId w:val="50"/>
              </w:numPr>
              <w:rPr>
                <w:rFonts w:cstheme="minorHAnsi"/>
                <w:sz w:val="20"/>
                <w:szCs w:val="20"/>
              </w:rPr>
            </w:pPr>
            <w:r w:rsidRPr="00550647">
              <w:rPr>
                <w:rFonts w:cstheme="minorHAnsi"/>
                <w:sz w:val="20"/>
                <w:szCs w:val="20"/>
              </w:rPr>
              <w:t>Strategic planning</w:t>
            </w:r>
          </w:p>
          <w:p w14:paraId="715C111F" w14:textId="77777777" w:rsidR="0027786A" w:rsidRPr="00550647" w:rsidRDefault="0027786A" w:rsidP="006719C2">
            <w:pPr>
              <w:pStyle w:val="ListParagraph"/>
              <w:numPr>
                <w:ilvl w:val="0"/>
                <w:numId w:val="50"/>
              </w:numPr>
              <w:rPr>
                <w:rFonts w:cstheme="minorHAnsi"/>
                <w:sz w:val="20"/>
                <w:szCs w:val="20"/>
              </w:rPr>
            </w:pPr>
            <w:r w:rsidRPr="00550647">
              <w:rPr>
                <w:rFonts w:cstheme="minorHAnsi"/>
                <w:sz w:val="20"/>
                <w:szCs w:val="20"/>
              </w:rPr>
              <w:t>Development partner coordination</w:t>
            </w:r>
          </w:p>
        </w:tc>
        <w:tc>
          <w:tcPr>
            <w:tcW w:w="4768" w:type="dxa"/>
          </w:tcPr>
          <w:p w14:paraId="7409B3F7" w14:textId="77777777" w:rsidR="0027786A" w:rsidRDefault="00095DDC">
            <w:pPr>
              <w:rPr>
                <w:sz w:val="20"/>
                <w:szCs w:val="20"/>
              </w:rPr>
            </w:pPr>
            <w:r>
              <w:rPr>
                <w:sz w:val="20"/>
                <w:szCs w:val="20"/>
              </w:rPr>
              <w:t xml:space="preserve">Oversight of THSSP2 by the NHDC has not </w:t>
            </w:r>
            <w:r w:rsidRPr="00E61A49">
              <w:rPr>
                <w:noProof/>
                <w:sz w:val="20"/>
                <w:szCs w:val="20"/>
              </w:rPr>
              <w:t>been achieved</w:t>
            </w:r>
            <w:r>
              <w:rPr>
                <w:sz w:val="20"/>
                <w:szCs w:val="20"/>
              </w:rPr>
              <w:t xml:space="preserve"> as intended in the program design.</w:t>
            </w:r>
          </w:p>
          <w:p w14:paraId="334A058A" w14:textId="77777777" w:rsidR="00095DDC" w:rsidRDefault="00095DDC">
            <w:pPr>
              <w:rPr>
                <w:sz w:val="20"/>
                <w:szCs w:val="20"/>
              </w:rPr>
            </w:pPr>
          </w:p>
          <w:p w14:paraId="39C34DE2" w14:textId="77777777" w:rsidR="00095DDC" w:rsidRPr="00550647" w:rsidRDefault="00095DDC">
            <w:pPr>
              <w:rPr>
                <w:sz w:val="20"/>
                <w:szCs w:val="20"/>
              </w:rPr>
            </w:pPr>
            <w:r>
              <w:rPr>
                <w:sz w:val="20"/>
                <w:szCs w:val="20"/>
              </w:rPr>
              <w:t xml:space="preserve">Oversight of the </w:t>
            </w:r>
            <w:r w:rsidRPr="004A7399">
              <w:rPr>
                <w:sz w:val="20"/>
                <w:szCs w:val="20"/>
              </w:rPr>
              <w:t>multi-sector action plan for NCD prevention and control</w:t>
            </w:r>
            <w:r>
              <w:rPr>
                <w:sz w:val="20"/>
                <w:szCs w:val="20"/>
              </w:rPr>
              <w:t xml:space="preserve"> by the NNCDC is not to the standard envisaged in Hala Fononga.</w:t>
            </w:r>
          </w:p>
        </w:tc>
      </w:tr>
      <w:tr w:rsidR="0027786A" w14:paraId="7E6D1E3A" w14:textId="77777777" w:rsidTr="0043433D">
        <w:trPr>
          <w:trHeight w:val="1762"/>
        </w:trPr>
        <w:tc>
          <w:tcPr>
            <w:tcW w:w="1696" w:type="dxa"/>
          </w:tcPr>
          <w:p w14:paraId="66F7058F" w14:textId="77777777" w:rsidR="0027786A" w:rsidRPr="00F517FD" w:rsidRDefault="0027786A" w:rsidP="00550647">
            <w:pPr>
              <w:pStyle w:val="NormalWeb"/>
              <w:spacing w:before="0" w:beforeAutospacing="0" w:after="270" w:afterAutospacing="0" w:line="270" w:lineRule="atLeast"/>
              <w:ind w:right="301"/>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Public financial management</w:t>
            </w:r>
          </w:p>
        </w:tc>
        <w:tc>
          <w:tcPr>
            <w:tcW w:w="2552" w:type="dxa"/>
          </w:tcPr>
          <w:p w14:paraId="2D9D2275" w14:textId="77777777" w:rsidR="0027786A" w:rsidRPr="00550647" w:rsidRDefault="0027786A" w:rsidP="006719C2">
            <w:pPr>
              <w:pStyle w:val="ListParagraph"/>
              <w:numPr>
                <w:ilvl w:val="0"/>
                <w:numId w:val="50"/>
              </w:numPr>
              <w:rPr>
                <w:rFonts w:cstheme="minorHAnsi"/>
                <w:sz w:val="20"/>
                <w:szCs w:val="20"/>
              </w:rPr>
            </w:pPr>
            <w:r w:rsidRPr="00550647">
              <w:rPr>
                <w:rFonts w:cstheme="minorHAnsi"/>
                <w:sz w:val="20"/>
                <w:szCs w:val="20"/>
              </w:rPr>
              <w:t>Health expenditure policy</w:t>
            </w:r>
          </w:p>
          <w:p w14:paraId="003F9E60" w14:textId="77777777" w:rsidR="0027786A" w:rsidRPr="00550647" w:rsidRDefault="0027786A" w:rsidP="006719C2">
            <w:pPr>
              <w:pStyle w:val="ListParagraph"/>
              <w:numPr>
                <w:ilvl w:val="0"/>
                <w:numId w:val="50"/>
              </w:numPr>
              <w:rPr>
                <w:rFonts w:cstheme="minorHAnsi"/>
                <w:sz w:val="20"/>
                <w:szCs w:val="20"/>
              </w:rPr>
            </w:pPr>
            <w:r w:rsidRPr="00550647">
              <w:rPr>
                <w:rFonts w:cstheme="minorHAnsi"/>
                <w:sz w:val="20"/>
                <w:szCs w:val="20"/>
              </w:rPr>
              <w:t>Annual planning</w:t>
            </w:r>
          </w:p>
          <w:p w14:paraId="23AB815F" w14:textId="77777777" w:rsidR="0027786A" w:rsidRPr="00550647" w:rsidRDefault="0027786A" w:rsidP="006719C2">
            <w:pPr>
              <w:pStyle w:val="ListParagraph"/>
              <w:numPr>
                <w:ilvl w:val="0"/>
                <w:numId w:val="50"/>
              </w:numPr>
              <w:rPr>
                <w:rFonts w:cstheme="minorHAnsi"/>
                <w:sz w:val="20"/>
                <w:szCs w:val="20"/>
              </w:rPr>
            </w:pPr>
            <w:r w:rsidRPr="00550647">
              <w:rPr>
                <w:rFonts w:cstheme="minorHAnsi"/>
                <w:sz w:val="20"/>
                <w:szCs w:val="20"/>
              </w:rPr>
              <w:t>Budgeting and accounting</w:t>
            </w:r>
          </w:p>
          <w:p w14:paraId="058EF1B5" w14:textId="77777777" w:rsidR="0027786A" w:rsidRPr="00550647" w:rsidRDefault="0027786A" w:rsidP="006719C2">
            <w:pPr>
              <w:pStyle w:val="ListParagraph"/>
              <w:numPr>
                <w:ilvl w:val="0"/>
                <w:numId w:val="50"/>
              </w:numPr>
              <w:rPr>
                <w:rFonts w:cstheme="minorHAnsi"/>
                <w:sz w:val="20"/>
                <w:szCs w:val="20"/>
              </w:rPr>
            </w:pPr>
            <w:r w:rsidRPr="00550647">
              <w:rPr>
                <w:rFonts w:cstheme="minorHAnsi"/>
                <w:sz w:val="20"/>
                <w:szCs w:val="20"/>
              </w:rPr>
              <w:t>Procurement</w:t>
            </w:r>
          </w:p>
          <w:p w14:paraId="57DB6699" w14:textId="77777777" w:rsidR="0027786A" w:rsidRPr="00550647" w:rsidRDefault="0027786A" w:rsidP="006719C2">
            <w:pPr>
              <w:pStyle w:val="ListParagraph"/>
              <w:numPr>
                <w:ilvl w:val="0"/>
                <w:numId w:val="50"/>
              </w:numPr>
              <w:rPr>
                <w:rFonts w:cstheme="minorHAnsi"/>
                <w:sz w:val="20"/>
                <w:szCs w:val="20"/>
              </w:rPr>
            </w:pPr>
            <w:r w:rsidRPr="00550647">
              <w:rPr>
                <w:rFonts w:cstheme="minorHAnsi"/>
                <w:sz w:val="20"/>
                <w:szCs w:val="20"/>
              </w:rPr>
              <w:t>Audit</w:t>
            </w:r>
          </w:p>
        </w:tc>
        <w:tc>
          <w:tcPr>
            <w:tcW w:w="4768" w:type="dxa"/>
          </w:tcPr>
          <w:p w14:paraId="16FBDE1E" w14:textId="77777777" w:rsidR="00B61478" w:rsidRDefault="00B61478">
            <w:pPr>
              <w:rPr>
                <w:sz w:val="20"/>
                <w:szCs w:val="20"/>
              </w:rPr>
            </w:pPr>
            <w:r w:rsidRPr="00550647">
              <w:rPr>
                <w:sz w:val="20"/>
                <w:szCs w:val="20"/>
              </w:rPr>
              <w:t>GoT</w:t>
            </w:r>
            <w:r>
              <w:rPr>
                <w:sz w:val="20"/>
                <w:szCs w:val="20"/>
              </w:rPr>
              <w:t xml:space="preserve"> has m</w:t>
            </w:r>
            <w:r w:rsidRPr="00550647">
              <w:rPr>
                <w:sz w:val="20"/>
                <w:szCs w:val="20"/>
              </w:rPr>
              <w:t>aintain</w:t>
            </w:r>
            <w:r>
              <w:rPr>
                <w:sz w:val="20"/>
                <w:szCs w:val="20"/>
              </w:rPr>
              <w:t>ed</w:t>
            </w:r>
            <w:r w:rsidRPr="00550647">
              <w:rPr>
                <w:sz w:val="20"/>
                <w:szCs w:val="20"/>
              </w:rPr>
              <w:t xml:space="preserve"> its level of financing for the health sector, and MoH’s budget for the Public Health Division </w:t>
            </w:r>
            <w:r>
              <w:rPr>
                <w:sz w:val="20"/>
                <w:szCs w:val="20"/>
              </w:rPr>
              <w:t>has</w:t>
            </w:r>
            <w:r w:rsidRPr="00550647">
              <w:rPr>
                <w:sz w:val="20"/>
                <w:szCs w:val="20"/>
              </w:rPr>
              <w:t xml:space="preserve"> increase</w:t>
            </w:r>
            <w:r>
              <w:rPr>
                <w:sz w:val="20"/>
                <w:szCs w:val="20"/>
              </w:rPr>
              <w:t>d</w:t>
            </w:r>
            <w:r w:rsidRPr="00550647">
              <w:rPr>
                <w:sz w:val="20"/>
                <w:szCs w:val="20"/>
              </w:rPr>
              <w:t xml:space="preserve"> as a percentage of the total MoH budget</w:t>
            </w:r>
            <w:r>
              <w:rPr>
                <w:sz w:val="20"/>
                <w:szCs w:val="20"/>
              </w:rPr>
              <w:t>.</w:t>
            </w:r>
          </w:p>
          <w:p w14:paraId="5784D2E7" w14:textId="77777777" w:rsidR="00C50B7D" w:rsidRDefault="00C50B7D">
            <w:pPr>
              <w:rPr>
                <w:rFonts w:eastAsia="Times New Roman"/>
                <w:color w:val="222222"/>
                <w:sz w:val="20"/>
                <w:szCs w:val="20"/>
                <w:lang w:val="en-PH"/>
              </w:rPr>
            </w:pPr>
          </w:p>
          <w:p w14:paraId="1D9BD5FD" w14:textId="77777777" w:rsidR="00C50B7D" w:rsidRPr="00CC0AE3" w:rsidRDefault="00B61478">
            <w:pPr>
              <w:rPr>
                <w:rFonts w:eastAsia="Times New Roman"/>
                <w:color w:val="000000"/>
                <w:sz w:val="20"/>
                <w:szCs w:val="20"/>
              </w:rPr>
            </w:pPr>
            <w:r w:rsidRPr="00550647">
              <w:rPr>
                <w:rFonts w:eastAsia="Times New Roman"/>
                <w:color w:val="222222"/>
                <w:sz w:val="20"/>
                <w:szCs w:val="20"/>
                <w:lang w:val="en-PH"/>
              </w:rPr>
              <w:t xml:space="preserve">MoH and TongaHealth have largely </w:t>
            </w:r>
            <w:r w:rsidR="00B05533">
              <w:rPr>
                <w:rFonts w:eastAsia="Times New Roman"/>
                <w:color w:val="222222"/>
                <w:sz w:val="20"/>
                <w:szCs w:val="20"/>
                <w:lang w:val="en-PH"/>
              </w:rPr>
              <w:t>met</w:t>
            </w:r>
            <w:r w:rsidRPr="00550647">
              <w:rPr>
                <w:rFonts w:eastAsia="Times New Roman"/>
                <w:color w:val="222222"/>
                <w:sz w:val="20"/>
                <w:szCs w:val="20"/>
                <w:lang w:val="en-PH"/>
              </w:rPr>
              <w:t xml:space="preserve"> </w:t>
            </w:r>
            <w:r w:rsidR="00B05533">
              <w:rPr>
                <w:rFonts w:eastAsia="Times New Roman"/>
                <w:color w:val="222222"/>
                <w:sz w:val="20"/>
                <w:szCs w:val="20"/>
                <w:lang w:val="en-PH"/>
              </w:rPr>
              <w:t xml:space="preserve">GoT and DFAT </w:t>
            </w:r>
            <w:r w:rsidRPr="00550647">
              <w:rPr>
                <w:rFonts w:eastAsia="Times New Roman"/>
                <w:color w:val="222222"/>
                <w:sz w:val="20"/>
                <w:szCs w:val="20"/>
                <w:lang w:val="en-PH"/>
              </w:rPr>
              <w:t>accountab</w:t>
            </w:r>
            <w:r w:rsidR="00B05533">
              <w:rPr>
                <w:rFonts w:eastAsia="Times New Roman"/>
                <w:color w:val="222222"/>
                <w:sz w:val="20"/>
                <w:szCs w:val="20"/>
                <w:lang w:val="en-PH"/>
              </w:rPr>
              <w:t xml:space="preserve">ility </w:t>
            </w:r>
            <w:r w:rsidRPr="00550647">
              <w:rPr>
                <w:rFonts w:eastAsia="Times New Roman"/>
                <w:color w:val="000000"/>
                <w:sz w:val="20"/>
                <w:szCs w:val="20"/>
              </w:rPr>
              <w:t>requirements</w:t>
            </w:r>
            <w:r>
              <w:rPr>
                <w:rFonts w:eastAsia="Times New Roman"/>
                <w:color w:val="000000"/>
                <w:sz w:val="20"/>
                <w:szCs w:val="20"/>
              </w:rPr>
              <w:t>, except for consistent delays in f</w:t>
            </w:r>
            <w:r w:rsidRPr="00550647">
              <w:rPr>
                <w:rFonts w:eastAsia="Times New Roman"/>
                <w:color w:val="000000"/>
                <w:sz w:val="20"/>
                <w:szCs w:val="20"/>
              </w:rPr>
              <w:t>inancia</w:t>
            </w:r>
            <w:r>
              <w:rPr>
                <w:rFonts w:eastAsia="Times New Roman"/>
                <w:color w:val="000000"/>
                <w:sz w:val="20"/>
                <w:szCs w:val="20"/>
              </w:rPr>
              <w:t>l reporting.</w:t>
            </w:r>
          </w:p>
        </w:tc>
      </w:tr>
      <w:tr w:rsidR="0027786A" w14:paraId="326F8E19" w14:textId="77777777" w:rsidTr="0043433D">
        <w:trPr>
          <w:trHeight w:val="810"/>
        </w:trPr>
        <w:tc>
          <w:tcPr>
            <w:tcW w:w="1696" w:type="dxa"/>
          </w:tcPr>
          <w:p w14:paraId="3B2D96AC" w14:textId="77777777" w:rsidR="0027786A" w:rsidRPr="00F517FD" w:rsidRDefault="0027786A" w:rsidP="00CF43C9">
            <w:pPr>
              <w:pStyle w:val="NormalWeb"/>
              <w:spacing w:before="0" w:beforeAutospacing="0" w:line="270" w:lineRule="atLeast"/>
              <w:ind w:right="301"/>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lastRenderedPageBreak/>
              <w:t>Monitoring and performance</w:t>
            </w:r>
          </w:p>
        </w:tc>
        <w:tc>
          <w:tcPr>
            <w:tcW w:w="2552" w:type="dxa"/>
          </w:tcPr>
          <w:p w14:paraId="5EFA2B36" w14:textId="77777777" w:rsidR="0027786A" w:rsidRPr="00550647" w:rsidRDefault="0027786A" w:rsidP="006719C2">
            <w:pPr>
              <w:pStyle w:val="ListParagraph"/>
              <w:numPr>
                <w:ilvl w:val="0"/>
                <w:numId w:val="51"/>
              </w:numPr>
              <w:rPr>
                <w:rFonts w:cstheme="minorHAnsi"/>
                <w:sz w:val="20"/>
                <w:szCs w:val="20"/>
              </w:rPr>
            </w:pPr>
            <w:r w:rsidRPr="00550647">
              <w:rPr>
                <w:rFonts w:cstheme="minorHAnsi"/>
                <w:sz w:val="20"/>
                <w:szCs w:val="20"/>
              </w:rPr>
              <w:t>Monitoring and evaluation frameworks</w:t>
            </w:r>
          </w:p>
          <w:p w14:paraId="3E589195" w14:textId="77777777" w:rsidR="0027786A" w:rsidRPr="00550647" w:rsidRDefault="0027786A" w:rsidP="006719C2">
            <w:pPr>
              <w:pStyle w:val="ListParagraph"/>
              <w:numPr>
                <w:ilvl w:val="0"/>
                <w:numId w:val="51"/>
              </w:numPr>
              <w:rPr>
                <w:rFonts w:cstheme="minorHAnsi"/>
                <w:sz w:val="20"/>
                <w:szCs w:val="20"/>
              </w:rPr>
            </w:pPr>
            <w:r w:rsidRPr="00550647">
              <w:rPr>
                <w:rFonts w:cstheme="minorHAnsi"/>
                <w:sz w:val="20"/>
                <w:szCs w:val="20"/>
              </w:rPr>
              <w:t>Performance-based aid</w:t>
            </w:r>
          </w:p>
        </w:tc>
        <w:tc>
          <w:tcPr>
            <w:tcW w:w="4768" w:type="dxa"/>
          </w:tcPr>
          <w:p w14:paraId="66D5C83C" w14:textId="64E2A626" w:rsidR="00C50B7D" w:rsidRPr="00F517FD" w:rsidRDefault="00C50B7D">
            <w:pPr>
              <w:rPr>
                <w:rFonts w:cstheme="minorHAnsi"/>
                <w:sz w:val="20"/>
                <w:szCs w:val="20"/>
              </w:rPr>
            </w:pPr>
            <w:r>
              <w:rPr>
                <w:rFonts w:cstheme="minorHAnsi"/>
                <w:sz w:val="20"/>
                <w:szCs w:val="20"/>
              </w:rPr>
              <w:t xml:space="preserve">Monitoring and evaluation in the health sector </w:t>
            </w:r>
            <w:r w:rsidRPr="00E61A49">
              <w:rPr>
                <w:rFonts w:cstheme="minorHAnsi"/>
                <w:noProof/>
                <w:sz w:val="20"/>
                <w:szCs w:val="20"/>
              </w:rPr>
              <w:t>is</w:t>
            </w:r>
            <w:r>
              <w:rPr>
                <w:rFonts w:cstheme="minorHAnsi"/>
                <w:sz w:val="20"/>
                <w:szCs w:val="20"/>
              </w:rPr>
              <w:t xml:space="preserve"> problematic, with an excessive number of indicators that exceeds </w:t>
            </w:r>
            <w:r w:rsidR="005B0621">
              <w:rPr>
                <w:rFonts w:cstheme="minorHAnsi"/>
                <w:sz w:val="20"/>
                <w:szCs w:val="20"/>
              </w:rPr>
              <w:t xml:space="preserve">the availability of MOH data or </w:t>
            </w:r>
            <w:r>
              <w:rPr>
                <w:rFonts w:cstheme="minorHAnsi"/>
                <w:sz w:val="20"/>
                <w:szCs w:val="20"/>
              </w:rPr>
              <w:t>capacity to report</w:t>
            </w:r>
            <w:r w:rsidR="00095DDC">
              <w:rPr>
                <w:rFonts w:cstheme="minorHAnsi"/>
                <w:sz w:val="20"/>
                <w:szCs w:val="20"/>
              </w:rPr>
              <w:t>, and t</w:t>
            </w:r>
            <w:r>
              <w:rPr>
                <w:rFonts w:cstheme="minorHAnsi"/>
                <w:sz w:val="20"/>
                <w:szCs w:val="20"/>
              </w:rPr>
              <w:t>his adversely affects monitoring and evaluation arrangements for THSSP2.</w:t>
            </w:r>
          </w:p>
        </w:tc>
      </w:tr>
      <w:tr w:rsidR="00047D3B" w14:paraId="4D4DEFC0" w14:textId="77777777" w:rsidTr="0043433D">
        <w:tc>
          <w:tcPr>
            <w:tcW w:w="9016" w:type="dxa"/>
            <w:gridSpan w:val="3"/>
          </w:tcPr>
          <w:p w14:paraId="7CAB28EC" w14:textId="77777777" w:rsidR="00047D3B" w:rsidRPr="00F517FD" w:rsidRDefault="00047D3B">
            <w:pPr>
              <w:rPr>
                <w:rFonts w:cstheme="minorHAnsi"/>
                <w:sz w:val="20"/>
                <w:szCs w:val="20"/>
              </w:rPr>
            </w:pPr>
            <w:r>
              <w:rPr>
                <w:b/>
                <w:i/>
                <w:sz w:val="20"/>
                <w:szCs w:val="20"/>
              </w:rPr>
              <w:t xml:space="preserve">GENERAL AND CROSS-CUTTING </w:t>
            </w:r>
            <w:r w:rsidRPr="004A7399">
              <w:rPr>
                <w:b/>
                <w:i/>
                <w:sz w:val="20"/>
                <w:szCs w:val="20"/>
              </w:rPr>
              <w:t>THEMES</w:t>
            </w:r>
          </w:p>
        </w:tc>
      </w:tr>
      <w:tr w:rsidR="0027786A" w14:paraId="54299177" w14:textId="77777777" w:rsidTr="0043433D">
        <w:trPr>
          <w:trHeight w:val="1008"/>
        </w:trPr>
        <w:tc>
          <w:tcPr>
            <w:tcW w:w="1696" w:type="dxa"/>
          </w:tcPr>
          <w:p w14:paraId="41F38911" w14:textId="77777777" w:rsidR="0027786A" w:rsidRPr="00F517FD" w:rsidRDefault="0027786A" w:rsidP="00047D3B">
            <w:pPr>
              <w:pStyle w:val="NormalWeb"/>
              <w:spacing w:before="0" w:beforeAutospacing="0" w:after="270" w:afterAutospacing="0" w:line="270" w:lineRule="atLeast"/>
              <w:ind w:right="300"/>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Capacity development</w:t>
            </w:r>
          </w:p>
        </w:tc>
        <w:tc>
          <w:tcPr>
            <w:tcW w:w="2552" w:type="dxa"/>
          </w:tcPr>
          <w:p w14:paraId="36DE35BB" w14:textId="77777777" w:rsidR="0027786A" w:rsidRPr="00550647" w:rsidRDefault="0027786A" w:rsidP="006719C2">
            <w:pPr>
              <w:pStyle w:val="ListParagraph"/>
              <w:numPr>
                <w:ilvl w:val="0"/>
                <w:numId w:val="51"/>
              </w:numPr>
              <w:rPr>
                <w:rFonts w:cstheme="minorHAnsi"/>
                <w:sz w:val="20"/>
                <w:szCs w:val="20"/>
              </w:rPr>
            </w:pPr>
            <w:r w:rsidRPr="00550647">
              <w:rPr>
                <w:rFonts w:cstheme="minorHAnsi"/>
                <w:sz w:val="20"/>
                <w:szCs w:val="20"/>
              </w:rPr>
              <w:t>GoT central agency support</w:t>
            </w:r>
          </w:p>
          <w:p w14:paraId="05C017A3" w14:textId="77777777" w:rsidR="0027786A" w:rsidRPr="00550647" w:rsidRDefault="0027786A" w:rsidP="006719C2">
            <w:pPr>
              <w:pStyle w:val="ListParagraph"/>
              <w:numPr>
                <w:ilvl w:val="0"/>
                <w:numId w:val="51"/>
              </w:numPr>
              <w:rPr>
                <w:rFonts w:cstheme="minorHAnsi"/>
                <w:sz w:val="20"/>
                <w:szCs w:val="20"/>
              </w:rPr>
            </w:pPr>
            <w:r w:rsidRPr="00550647">
              <w:rPr>
                <w:rFonts w:cstheme="minorHAnsi"/>
                <w:sz w:val="20"/>
                <w:szCs w:val="20"/>
              </w:rPr>
              <w:t>DFAT engagement</w:t>
            </w:r>
          </w:p>
          <w:p w14:paraId="35576D61" w14:textId="77777777" w:rsidR="0027786A" w:rsidRPr="00550647" w:rsidRDefault="0027786A" w:rsidP="006719C2">
            <w:pPr>
              <w:pStyle w:val="ListParagraph"/>
              <w:numPr>
                <w:ilvl w:val="0"/>
                <w:numId w:val="51"/>
              </w:numPr>
              <w:rPr>
                <w:rFonts w:cstheme="minorHAnsi"/>
                <w:sz w:val="20"/>
                <w:szCs w:val="20"/>
              </w:rPr>
            </w:pPr>
            <w:r w:rsidRPr="00550647">
              <w:rPr>
                <w:rFonts w:cstheme="minorHAnsi"/>
                <w:sz w:val="20"/>
                <w:szCs w:val="20"/>
              </w:rPr>
              <w:t>Technical assistance</w:t>
            </w:r>
          </w:p>
        </w:tc>
        <w:tc>
          <w:tcPr>
            <w:tcW w:w="4768" w:type="dxa"/>
          </w:tcPr>
          <w:p w14:paraId="760BFFAC" w14:textId="77777777" w:rsidR="00C50B7D" w:rsidRDefault="00C50B7D">
            <w:pPr>
              <w:rPr>
                <w:sz w:val="20"/>
                <w:szCs w:val="20"/>
                <w:lang w:eastAsia="en-GB"/>
              </w:rPr>
            </w:pPr>
            <w:r w:rsidRPr="00550647">
              <w:rPr>
                <w:sz w:val="20"/>
                <w:szCs w:val="20"/>
                <w:lang w:eastAsia="en-GB"/>
              </w:rPr>
              <w:t xml:space="preserve">THSSP (both phases) has been successful in establishing an agenda for more effective use of GoT health sector resources. </w:t>
            </w:r>
          </w:p>
          <w:p w14:paraId="455C56BB" w14:textId="77777777" w:rsidR="00C50B7D" w:rsidRDefault="00C50B7D">
            <w:pPr>
              <w:rPr>
                <w:sz w:val="20"/>
                <w:szCs w:val="20"/>
                <w:lang w:eastAsia="en-GB"/>
              </w:rPr>
            </w:pPr>
          </w:p>
          <w:p w14:paraId="0278177C" w14:textId="77777777" w:rsidR="00B05533" w:rsidRPr="00CC0AE3" w:rsidRDefault="00C50B7D">
            <w:pPr>
              <w:rPr>
                <w:sz w:val="20"/>
                <w:szCs w:val="20"/>
                <w:lang w:eastAsia="en-GB"/>
              </w:rPr>
            </w:pPr>
            <w:r>
              <w:rPr>
                <w:sz w:val="20"/>
                <w:szCs w:val="20"/>
                <w:lang w:eastAsia="en-GB"/>
              </w:rPr>
              <w:t>T</w:t>
            </w:r>
            <w:r w:rsidRPr="00550647">
              <w:rPr>
                <w:sz w:val="20"/>
                <w:szCs w:val="20"/>
                <w:lang w:eastAsia="en-GB"/>
              </w:rPr>
              <w:t xml:space="preserve">he MoH </w:t>
            </w:r>
            <w:r>
              <w:rPr>
                <w:sz w:val="20"/>
                <w:szCs w:val="20"/>
                <w:lang w:eastAsia="en-GB"/>
              </w:rPr>
              <w:t xml:space="preserve">has taken ownership of </w:t>
            </w:r>
            <w:r w:rsidR="00095DDC">
              <w:rPr>
                <w:sz w:val="20"/>
                <w:szCs w:val="20"/>
                <w:lang w:eastAsia="en-GB"/>
              </w:rPr>
              <w:t xml:space="preserve">key change </w:t>
            </w:r>
            <w:r w:rsidRPr="00550647">
              <w:rPr>
                <w:sz w:val="20"/>
                <w:szCs w:val="20"/>
                <w:lang w:eastAsia="en-GB"/>
              </w:rPr>
              <w:t>agenda</w:t>
            </w:r>
            <w:r>
              <w:rPr>
                <w:sz w:val="20"/>
                <w:szCs w:val="20"/>
                <w:lang w:eastAsia="en-GB"/>
              </w:rPr>
              <w:t>s</w:t>
            </w:r>
            <w:r w:rsidR="00B05533">
              <w:rPr>
                <w:sz w:val="20"/>
                <w:szCs w:val="20"/>
                <w:lang w:eastAsia="en-GB"/>
              </w:rPr>
              <w:t xml:space="preserve"> introduced through THSSP including the PEHS</w:t>
            </w:r>
            <w:r w:rsidR="00CC0AE3">
              <w:rPr>
                <w:sz w:val="20"/>
                <w:szCs w:val="20"/>
                <w:lang w:eastAsia="en-GB"/>
              </w:rPr>
              <w:t>.</w:t>
            </w:r>
            <w:r w:rsidR="00B05533">
              <w:rPr>
                <w:sz w:val="20"/>
                <w:szCs w:val="20"/>
                <w:lang w:eastAsia="en-GB"/>
              </w:rPr>
              <w:t xml:space="preserve"> </w:t>
            </w:r>
          </w:p>
        </w:tc>
      </w:tr>
      <w:tr w:rsidR="007850B0" w:rsidRPr="00F517FD" w14:paraId="5BE3F5C0" w14:textId="77777777" w:rsidTr="00E61A49">
        <w:trPr>
          <w:trHeight w:val="841"/>
        </w:trPr>
        <w:tc>
          <w:tcPr>
            <w:tcW w:w="1696" w:type="dxa"/>
          </w:tcPr>
          <w:p w14:paraId="59BE5C85" w14:textId="77777777" w:rsidR="007850B0" w:rsidRPr="00F517FD" w:rsidRDefault="007850B0" w:rsidP="00550647">
            <w:pPr>
              <w:pStyle w:val="NormalWeb"/>
              <w:spacing w:before="0" w:beforeAutospacing="0" w:after="0" w:afterAutospacing="0" w:line="270" w:lineRule="atLeast"/>
              <w:ind w:right="301"/>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Disability, including mental health</w:t>
            </w:r>
          </w:p>
        </w:tc>
        <w:tc>
          <w:tcPr>
            <w:tcW w:w="2552" w:type="dxa"/>
          </w:tcPr>
          <w:p w14:paraId="76F0466F" w14:textId="77777777" w:rsidR="007850B0" w:rsidRPr="00F517FD" w:rsidRDefault="007850B0" w:rsidP="0043433D">
            <w:pPr>
              <w:rPr>
                <w:rFonts w:cstheme="minorHAnsi"/>
                <w:sz w:val="20"/>
                <w:szCs w:val="20"/>
              </w:rPr>
            </w:pPr>
          </w:p>
        </w:tc>
        <w:tc>
          <w:tcPr>
            <w:tcW w:w="4768" w:type="dxa"/>
          </w:tcPr>
          <w:p w14:paraId="7ACB14A5" w14:textId="77777777" w:rsidR="00095DDC" w:rsidRPr="00F517FD" w:rsidRDefault="00095DDC" w:rsidP="00CC0AE3">
            <w:pPr>
              <w:rPr>
                <w:rFonts w:cstheme="minorHAnsi"/>
                <w:sz w:val="20"/>
                <w:szCs w:val="20"/>
              </w:rPr>
            </w:pPr>
            <w:r>
              <w:rPr>
                <w:rFonts w:cstheme="minorHAnsi"/>
                <w:sz w:val="20"/>
                <w:szCs w:val="20"/>
              </w:rPr>
              <w:t xml:space="preserve">A Tongan national disability-inclusive health oversight mechanism inclusive of persons with disability organisations has successfully </w:t>
            </w:r>
            <w:r w:rsidRPr="00E61A49">
              <w:rPr>
                <w:rFonts w:cstheme="minorHAnsi"/>
                <w:noProof/>
                <w:sz w:val="20"/>
                <w:szCs w:val="20"/>
              </w:rPr>
              <w:t>been established</w:t>
            </w:r>
            <w:r>
              <w:rPr>
                <w:rFonts w:cstheme="minorHAnsi"/>
                <w:sz w:val="20"/>
                <w:szCs w:val="20"/>
              </w:rPr>
              <w:t>.</w:t>
            </w:r>
          </w:p>
        </w:tc>
      </w:tr>
      <w:tr w:rsidR="007850B0" w:rsidRPr="00F517FD" w14:paraId="4CC5C4C8" w14:textId="77777777" w:rsidTr="00E61A49">
        <w:trPr>
          <w:trHeight w:val="885"/>
        </w:trPr>
        <w:tc>
          <w:tcPr>
            <w:tcW w:w="1696" w:type="dxa"/>
          </w:tcPr>
          <w:p w14:paraId="5357B1AC" w14:textId="77777777" w:rsidR="007850B0" w:rsidRPr="00F517FD" w:rsidRDefault="007850B0">
            <w:pPr>
              <w:pStyle w:val="NormalWeb"/>
              <w:spacing w:before="0" w:beforeAutospacing="0" w:after="0" w:afterAutospacing="0" w:line="270" w:lineRule="atLeast"/>
              <w:ind w:right="301"/>
              <w:textAlignment w:val="baseline"/>
              <w:rPr>
                <w:rFonts w:asciiTheme="minorHAnsi" w:eastAsiaTheme="minorHAnsi" w:hAnsiTheme="minorHAnsi" w:cstheme="minorBidi"/>
                <w:sz w:val="20"/>
                <w:szCs w:val="20"/>
                <w:lang w:eastAsia="en-US"/>
              </w:rPr>
            </w:pPr>
            <w:r w:rsidRPr="00E61A49">
              <w:rPr>
                <w:rFonts w:asciiTheme="minorHAnsi" w:eastAsiaTheme="minorHAnsi" w:hAnsiTheme="minorHAnsi" w:cstheme="minorBidi"/>
                <w:noProof/>
                <w:sz w:val="20"/>
                <w:szCs w:val="20"/>
                <w:lang w:eastAsia="en-US"/>
              </w:rPr>
              <w:t>Disadvantage</w:t>
            </w:r>
            <w:r>
              <w:rPr>
                <w:rFonts w:asciiTheme="minorHAnsi" w:eastAsiaTheme="minorHAnsi" w:hAnsiTheme="minorHAnsi" w:cstheme="minorBidi"/>
                <w:sz w:val="20"/>
                <w:szCs w:val="20"/>
                <w:lang w:eastAsia="en-US"/>
              </w:rPr>
              <w:t>, including remoteness</w:t>
            </w:r>
          </w:p>
        </w:tc>
        <w:tc>
          <w:tcPr>
            <w:tcW w:w="2552" w:type="dxa"/>
          </w:tcPr>
          <w:p w14:paraId="6647F50A" w14:textId="77777777" w:rsidR="007850B0" w:rsidRPr="00F517FD" w:rsidRDefault="007850B0" w:rsidP="0043433D">
            <w:pPr>
              <w:rPr>
                <w:rFonts w:cstheme="minorHAnsi"/>
                <w:sz w:val="20"/>
                <w:szCs w:val="20"/>
              </w:rPr>
            </w:pPr>
          </w:p>
        </w:tc>
        <w:tc>
          <w:tcPr>
            <w:tcW w:w="4768" w:type="dxa"/>
          </w:tcPr>
          <w:p w14:paraId="71906D80" w14:textId="77777777" w:rsidR="007850B0" w:rsidRPr="00F517FD" w:rsidRDefault="00EC73C0">
            <w:pPr>
              <w:rPr>
                <w:rFonts w:cstheme="minorHAnsi"/>
                <w:sz w:val="20"/>
                <w:szCs w:val="20"/>
              </w:rPr>
            </w:pPr>
            <w:r>
              <w:rPr>
                <w:sz w:val="20"/>
                <w:szCs w:val="20"/>
              </w:rPr>
              <w:t xml:space="preserve">The PEHS is a </w:t>
            </w:r>
            <w:r w:rsidR="00B60E1B">
              <w:rPr>
                <w:sz w:val="20"/>
                <w:szCs w:val="20"/>
              </w:rPr>
              <w:t xml:space="preserve">formal </w:t>
            </w:r>
            <w:r>
              <w:rPr>
                <w:sz w:val="20"/>
                <w:szCs w:val="20"/>
              </w:rPr>
              <w:t>policy commitment to provide</w:t>
            </w:r>
            <w:r w:rsidRPr="004A7399">
              <w:rPr>
                <w:sz w:val="20"/>
                <w:szCs w:val="20"/>
              </w:rPr>
              <w:t xml:space="preserve"> a</w:t>
            </w:r>
            <w:r>
              <w:rPr>
                <w:sz w:val="20"/>
                <w:szCs w:val="20"/>
              </w:rPr>
              <w:t xml:space="preserve"> consistent range and level of services in all health facilities, including outer islands</w:t>
            </w:r>
            <w:r w:rsidRPr="004A7399">
              <w:rPr>
                <w:sz w:val="20"/>
                <w:szCs w:val="20"/>
              </w:rPr>
              <w:t>.</w:t>
            </w:r>
          </w:p>
        </w:tc>
      </w:tr>
      <w:tr w:rsidR="00B60E1B" w:rsidRPr="00F517FD" w14:paraId="0F24F543" w14:textId="77777777" w:rsidTr="00E61A49">
        <w:trPr>
          <w:trHeight w:val="645"/>
        </w:trPr>
        <w:tc>
          <w:tcPr>
            <w:tcW w:w="1696" w:type="dxa"/>
          </w:tcPr>
          <w:p w14:paraId="5A1AFB1B" w14:textId="77777777" w:rsidR="00B60E1B" w:rsidRPr="00F517FD" w:rsidRDefault="00B60E1B" w:rsidP="00B60E1B">
            <w:pPr>
              <w:pStyle w:val="NormalWeb"/>
              <w:spacing w:before="0" w:beforeAutospacing="0" w:after="0" w:afterAutospacing="0" w:line="270" w:lineRule="atLeast"/>
              <w:ind w:right="301"/>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Gender</w:t>
            </w:r>
          </w:p>
        </w:tc>
        <w:tc>
          <w:tcPr>
            <w:tcW w:w="2552" w:type="dxa"/>
          </w:tcPr>
          <w:p w14:paraId="58201B77" w14:textId="77777777" w:rsidR="00B60E1B" w:rsidRPr="00F517FD" w:rsidRDefault="00B60E1B" w:rsidP="00B60E1B">
            <w:pPr>
              <w:rPr>
                <w:rFonts w:cstheme="minorHAnsi"/>
                <w:sz w:val="20"/>
                <w:szCs w:val="20"/>
              </w:rPr>
            </w:pPr>
          </w:p>
        </w:tc>
        <w:tc>
          <w:tcPr>
            <w:tcW w:w="4768" w:type="dxa"/>
          </w:tcPr>
          <w:p w14:paraId="62CA8A35" w14:textId="77777777" w:rsidR="00B60E1B" w:rsidRPr="00F517FD" w:rsidRDefault="00B60E1B">
            <w:pPr>
              <w:rPr>
                <w:rFonts w:cstheme="minorHAnsi"/>
                <w:sz w:val="20"/>
                <w:szCs w:val="20"/>
              </w:rPr>
            </w:pPr>
            <w:r>
              <w:rPr>
                <w:sz w:val="20"/>
                <w:szCs w:val="20"/>
              </w:rPr>
              <w:t>The PEHS includes a formal policy commitment to progress gender equality.</w:t>
            </w:r>
          </w:p>
        </w:tc>
      </w:tr>
      <w:tr w:rsidR="00B60E1B" w:rsidRPr="00F517FD" w14:paraId="1A5A3A84" w14:textId="77777777" w:rsidTr="00E61A49">
        <w:trPr>
          <w:trHeight w:val="1271"/>
        </w:trPr>
        <w:tc>
          <w:tcPr>
            <w:tcW w:w="1696" w:type="dxa"/>
          </w:tcPr>
          <w:p w14:paraId="17E1D54C" w14:textId="77777777" w:rsidR="00B60E1B" w:rsidRPr="00F517FD" w:rsidRDefault="00B60E1B" w:rsidP="00B60E1B">
            <w:pPr>
              <w:pStyle w:val="NormalWeb"/>
              <w:spacing w:before="0" w:beforeAutospacing="0" w:after="0" w:afterAutospacing="0" w:line="270" w:lineRule="atLeast"/>
              <w:ind w:right="301"/>
              <w:textAlignment w:val="baseline"/>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Human resources</w:t>
            </w:r>
          </w:p>
        </w:tc>
        <w:tc>
          <w:tcPr>
            <w:tcW w:w="2552" w:type="dxa"/>
          </w:tcPr>
          <w:p w14:paraId="4DC082CD" w14:textId="77777777" w:rsidR="00B60E1B" w:rsidRPr="00F517FD" w:rsidRDefault="00B60E1B" w:rsidP="00B60E1B">
            <w:pPr>
              <w:rPr>
                <w:rFonts w:cstheme="minorHAnsi"/>
                <w:sz w:val="20"/>
                <w:szCs w:val="20"/>
              </w:rPr>
            </w:pPr>
          </w:p>
        </w:tc>
        <w:tc>
          <w:tcPr>
            <w:tcW w:w="4768" w:type="dxa"/>
          </w:tcPr>
          <w:p w14:paraId="6D66C32B" w14:textId="77777777" w:rsidR="00B60E1B" w:rsidRPr="00E61A49" w:rsidRDefault="00B60E1B">
            <w:pPr>
              <w:rPr>
                <w:rFonts w:eastAsia="Times New Roman"/>
                <w:color w:val="000000"/>
                <w:sz w:val="20"/>
                <w:szCs w:val="20"/>
              </w:rPr>
            </w:pPr>
            <w:r>
              <w:rPr>
                <w:rFonts w:eastAsia="Times New Roman"/>
                <w:color w:val="000000"/>
                <w:sz w:val="20"/>
                <w:szCs w:val="20"/>
              </w:rPr>
              <w:t xml:space="preserve">THSSP2 funding prioritisation has not </w:t>
            </w:r>
            <w:r w:rsidRPr="00E61A49">
              <w:rPr>
                <w:rFonts w:eastAsia="Times New Roman"/>
                <w:noProof/>
                <w:color w:val="000000"/>
                <w:sz w:val="20"/>
                <w:szCs w:val="20"/>
              </w:rPr>
              <w:t>been achieved</w:t>
            </w:r>
            <w:r>
              <w:rPr>
                <w:rFonts w:eastAsia="Times New Roman"/>
                <w:color w:val="000000"/>
                <w:sz w:val="20"/>
                <w:szCs w:val="20"/>
              </w:rPr>
              <w:t xml:space="preserve"> as intended in the program design, primarily due to historical issues arising from </w:t>
            </w:r>
            <w:r w:rsidRPr="00550647">
              <w:rPr>
                <w:rFonts w:eastAsia="Times New Roman"/>
                <w:color w:val="000000"/>
                <w:sz w:val="20"/>
                <w:szCs w:val="20"/>
              </w:rPr>
              <w:t>the inability of GoT to provide regionally competitive remuneration for highly qualified medical professionals</w:t>
            </w:r>
            <w:r>
              <w:rPr>
                <w:rFonts w:eastAsia="Times New Roman"/>
                <w:color w:val="000000"/>
                <w:sz w:val="20"/>
                <w:szCs w:val="20"/>
              </w:rPr>
              <w:t>.</w:t>
            </w:r>
          </w:p>
        </w:tc>
      </w:tr>
    </w:tbl>
    <w:p w14:paraId="12839107" w14:textId="77777777" w:rsidR="003830A6" w:rsidRPr="00550647" w:rsidRDefault="003830A6" w:rsidP="002F19B4">
      <w:pPr>
        <w:pStyle w:val="NormalWeb"/>
        <w:shd w:val="clear" w:color="auto" w:fill="FFFFFF"/>
        <w:spacing w:before="0" w:beforeAutospacing="0" w:after="0" w:afterAutospacing="0" w:line="270" w:lineRule="atLeast"/>
        <w:ind w:right="300"/>
        <w:textAlignment w:val="baseline"/>
        <w:rPr>
          <w:rFonts w:asciiTheme="minorHAnsi" w:eastAsiaTheme="minorHAnsi" w:hAnsiTheme="minorHAnsi" w:cstheme="minorBidi"/>
          <w:b/>
          <w:i/>
          <w:sz w:val="16"/>
          <w:szCs w:val="16"/>
          <w:lang w:eastAsia="en-US"/>
        </w:rPr>
      </w:pPr>
      <w:r w:rsidRPr="00550647">
        <w:rPr>
          <w:rFonts w:asciiTheme="minorHAnsi" w:eastAsiaTheme="minorHAnsi" w:hAnsiTheme="minorHAnsi" w:cstheme="minorBidi"/>
          <w:b/>
          <w:i/>
          <w:sz w:val="16"/>
          <w:szCs w:val="16"/>
          <w:lang w:eastAsia="en-US"/>
        </w:rPr>
        <w:t>Notes:</w:t>
      </w:r>
    </w:p>
    <w:p w14:paraId="5C5F806C" w14:textId="77777777" w:rsidR="003830A6" w:rsidRDefault="003830A6" w:rsidP="006719C2">
      <w:pPr>
        <w:pStyle w:val="NormalWeb"/>
        <w:numPr>
          <w:ilvl w:val="0"/>
          <w:numId w:val="49"/>
        </w:numPr>
        <w:shd w:val="clear" w:color="auto" w:fill="FFFFFF"/>
        <w:spacing w:before="0" w:beforeAutospacing="0" w:after="0" w:afterAutospacing="0" w:line="270" w:lineRule="atLeast"/>
        <w:ind w:right="300"/>
        <w:textAlignment w:val="baseline"/>
        <w:rPr>
          <w:rFonts w:asciiTheme="minorHAnsi" w:eastAsiaTheme="minorHAnsi" w:hAnsiTheme="minorHAnsi" w:cstheme="minorBidi"/>
          <w:i/>
          <w:sz w:val="16"/>
          <w:szCs w:val="16"/>
          <w:lang w:eastAsia="en-US"/>
        </w:rPr>
      </w:pPr>
      <w:r>
        <w:rPr>
          <w:rFonts w:asciiTheme="minorHAnsi" w:eastAsiaTheme="minorHAnsi" w:hAnsiTheme="minorHAnsi" w:cstheme="minorBidi"/>
          <w:i/>
          <w:sz w:val="16"/>
          <w:szCs w:val="16"/>
          <w:lang w:eastAsia="en-US"/>
        </w:rPr>
        <w:t xml:space="preserve">Due to limited space, abbreviations </w:t>
      </w:r>
      <w:r w:rsidRPr="00E61A49">
        <w:rPr>
          <w:rFonts w:asciiTheme="minorHAnsi" w:eastAsiaTheme="minorHAnsi" w:hAnsiTheme="minorHAnsi" w:cstheme="minorBidi"/>
          <w:i/>
          <w:noProof/>
          <w:sz w:val="16"/>
          <w:szCs w:val="16"/>
          <w:lang w:eastAsia="en-US"/>
        </w:rPr>
        <w:t xml:space="preserve">are </w:t>
      </w:r>
      <w:r w:rsidR="002525E0" w:rsidRPr="00E61A49">
        <w:rPr>
          <w:rFonts w:asciiTheme="minorHAnsi" w:eastAsiaTheme="minorHAnsi" w:hAnsiTheme="minorHAnsi" w:cstheme="minorBidi"/>
          <w:i/>
          <w:noProof/>
          <w:sz w:val="16"/>
          <w:szCs w:val="16"/>
          <w:lang w:eastAsia="en-US"/>
        </w:rPr>
        <w:t>defined</w:t>
      </w:r>
      <w:r w:rsidR="002525E0">
        <w:rPr>
          <w:rFonts w:asciiTheme="minorHAnsi" w:eastAsiaTheme="minorHAnsi" w:hAnsiTheme="minorHAnsi" w:cstheme="minorBidi"/>
          <w:i/>
          <w:sz w:val="16"/>
          <w:szCs w:val="16"/>
          <w:lang w:eastAsia="en-US"/>
        </w:rPr>
        <w:t xml:space="preserve"> in the text that follows and not in the table.</w:t>
      </w:r>
    </w:p>
    <w:p w14:paraId="56CEA8FE" w14:textId="77777777" w:rsidR="002F19B4" w:rsidRPr="00550647" w:rsidRDefault="003830A6" w:rsidP="006719C2">
      <w:pPr>
        <w:pStyle w:val="NormalWeb"/>
        <w:numPr>
          <w:ilvl w:val="0"/>
          <w:numId w:val="49"/>
        </w:numPr>
        <w:shd w:val="clear" w:color="auto" w:fill="FFFFFF"/>
        <w:spacing w:before="0" w:beforeAutospacing="0" w:after="0" w:afterAutospacing="0" w:line="270" w:lineRule="atLeast"/>
        <w:ind w:right="300"/>
        <w:textAlignment w:val="baseline"/>
        <w:rPr>
          <w:rFonts w:asciiTheme="minorHAnsi" w:eastAsiaTheme="minorHAnsi" w:hAnsiTheme="minorHAnsi" w:cstheme="minorBidi"/>
          <w:i/>
          <w:sz w:val="16"/>
          <w:szCs w:val="16"/>
          <w:lang w:eastAsia="en-US"/>
        </w:rPr>
      </w:pPr>
      <w:r>
        <w:rPr>
          <w:rFonts w:asciiTheme="minorHAnsi" w:eastAsiaTheme="minorHAnsi" w:hAnsiTheme="minorHAnsi" w:cstheme="minorBidi"/>
          <w:i/>
          <w:sz w:val="16"/>
          <w:szCs w:val="16"/>
          <w:lang w:eastAsia="en-US"/>
        </w:rPr>
        <w:t>Th</w:t>
      </w:r>
      <w:r w:rsidR="00B057B0" w:rsidRPr="00550647">
        <w:rPr>
          <w:rFonts w:asciiTheme="minorHAnsi" w:eastAsiaTheme="minorHAnsi" w:hAnsiTheme="minorHAnsi" w:cstheme="minorBidi"/>
          <w:i/>
          <w:sz w:val="16"/>
          <w:szCs w:val="16"/>
          <w:lang w:eastAsia="en-US"/>
        </w:rPr>
        <w:t xml:space="preserve">emes that </w:t>
      </w:r>
      <w:r>
        <w:rPr>
          <w:rFonts w:asciiTheme="minorHAnsi" w:eastAsiaTheme="minorHAnsi" w:hAnsiTheme="minorHAnsi" w:cstheme="minorBidi"/>
          <w:i/>
          <w:sz w:val="16"/>
          <w:szCs w:val="16"/>
          <w:lang w:eastAsia="en-US"/>
        </w:rPr>
        <w:t xml:space="preserve">formed part of the evaluation and that </w:t>
      </w:r>
      <w:r w:rsidR="00B057B0" w:rsidRPr="00550647">
        <w:rPr>
          <w:rFonts w:asciiTheme="minorHAnsi" w:eastAsiaTheme="minorHAnsi" w:hAnsiTheme="minorHAnsi" w:cstheme="minorBidi"/>
          <w:i/>
          <w:sz w:val="16"/>
          <w:szCs w:val="16"/>
          <w:lang w:eastAsia="en-US"/>
        </w:rPr>
        <w:t>are categorised as health systems strengthening</w:t>
      </w:r>
      <w:r>
        <w:rPr>
          <w:rFonts w:asciiTheme="minorHAnsi" w:eastAsiaTheme="minorHAnsi" w:hAnsiTheme="minorHAnsi" w:cstheme="minorBidi"/>
          <w:i/>
          <w:sz w:val="16"/>
          <w:szCs w:val="16"/>
          <w:lang w:eastAsia="en-US"/>
        </w:rPr>
        <w:t xml:space="preserve">: these groupings are not intended to represent </w:t>
      </w:r>
      <w:r w:rsidR="00B057B0" w:rsidRPr="00550647">
        <w:rPr>
          <w:rFonts w:asciiTheme="minorHAnsi" w:eastAsiaTheme="minorHAnsi" w:hAnsiTheme="minorHAnsi" w:cstheme="minorBidi"/>
          <w:i/>
          <w:sz w:val="16"/>
          <w:szCs w:val="16"/>
          <w:lang w:eastAsia="en-US"/>
        </w:rPr>
        <w:t xml:space="preserve">the WHO </w:t>
      </w:r>
      <w:r w:rsidR="00760392">
        <w:rPr>
          <w:rFonts w:asciiTheme="minorHAnsi" w:eastAsiaTheme="minorHAnsi" w:hAnsiTheme="minorHAnsi" w:cstheme="minorBidi"/>
          <w:i/>
          <w:sz w:val="16"/>
          <w:szCs w:val="16"/>
          <w:lang w:eastAsia="en-US"/>
        </w:rPr>
        <w:t>‘</w:t>
      </w:r>
      <w:r w:rsidR="00B057B0" w:rsidRPr="00550647">
        <w:rPr>
          <w:rFonts w:asciiTheme="minorHAnsi" w:eastAsiaTheme="minorHAnsi" w:hAnsiTheme="minorHAnsi" w:cstheme="minorBidi"/>
          <w:i/>
          <w:sz w:val="16"/>
          <w:szCs w:val="16"/>
          <w:lang w:eastAsia="en-US"/>
        </w:rPr>
        <w:t>building blocks</w:t>
      </w:r>
      <w:r w:rsidR="00760392">
        <w:rPr>
          <w:rFonts w:asciiTheme="minorHAnsi" w:eastAsiaTheme="minorHAnsi" w:hAnsiTheme="minorHAnsi" w:cstheme="minorBidi"/>
          <w:i/>
          <w:sz w:val="16"/>
          <w:szCs w:val="16"/>
          <w:lang w:eastAsia="en-US"/>
        </w:rPr>
        <w:t>’</w:t>
      </w:r>
      <w:r w:rsidR="00B057B0" w:rsidRPr="00550647">
        <w:rPr>
          <w:rFonts w:asciiTheme="minorHAnsi" w:eastAsiaTheme="minorHAnsi" w:hAnsiTheme="minorHAnsi" w:cstheme="minorBidi"/>
          <w:i/>
          <w:sz w:val="16"/>
          <w:szCs w:val="16"/>
          <w:lang w:eastAsia="en-US"/>
        </w:rPr>
        <w:t xml:space="preserve"> of health systems strengthening.</w:t>
      </w:r>
    </w:p>
    <w:p w14:paraId="5135F87B" w14:textId="77777777" w:rsidR="002F19B4" w:rsidRDefault="002F19B4" w:rsidP="006823DF">
      <w:pPr>
        <w:spacing w:after="0" w:line="276" w:lineRule="auto"/>
      </w:pPr>
    </w:p>
    <w:p w14:paraId="1E8A6937" w14:textId="77777777" w:rsidR="00B60E1B" w:rsidRPr="00345A40" w:rsidRDefault="006823DF" w:rsidP="006823DF">
      <w:pPr>
        <w:pStyle w:val="Heading3"/>
      </w:pPr>
      <w:bookmarkStart w:id="46" w:name="_Toc536205444"/>
      <w:bookmarkStart w:id="47" w:name="_Toc536205448"/>
      <w:bookmarkStart w:id="48" w:name="_Toc536205449"/>
      <w:bookmarkEnd w:id="46"/>
      <w:bookmarkEnd w:id="47"/>
      <w:r>
        <w:t>3.2.1</w:t>
      </w:r>
      <w:r>
        <w:tab/>
      </w:r>
      <w:r w:rsidR="00B60E1B" w:rsidRPr="006823DF">
        <w:t>NCD</w:t>
      </w:r>
      <w:r w:rsidR="00B60E1B" w:rsidRPr="00345A40">
        <w:t xml:space="preserve"> prevention</w:t>
      </w:r>
      <w:bookmarkEnd w:id="48"/>
    </w:p>
    <w:p w14:paraId="3EF3375A" w14:textId="77777777" w:rsidR="00B60E1B" w:rsidRPr="00E61A49" w:rsidRDefault="00B60E1B" w:rsidP="00B60E1B">
      <w:pPr>
        <w:spacing w:after="0"/>
        <w:rPr>
          <w:i/>
        </w:rPr>
      </w:pPr>
      <w:r w:rsidRPr="00E61A49">
        <w:rPr>
          <w:i/>
        </w:rPr>
        <w:t>Health promotion</w:t>
      </w:r>
    </w:p>
    <w:p w14:paraId="139F3F68" w14:textId="77777777" w:rsidR="00B60E1B" w:rsidRDefault="00B60E1B" w:rsidP="00B60E1B">
      <w:r w:rsidRPr="0054501C">
        <w:t xml:space="preserve">Health promotion </w:t>
      </w:r>
      <w:r w:rsidRPr="00E61A49">
        <w:rPr>
          <w:noProof/>
        </w:rPr>
        <w:t>was reported</w:t>
      </w:r>
      <w:r w:rsidRPr="0054501C">
        <w:t xml:space="preserve"> as a key weakness </w:t>
      </w:r>
      <w:r>
        <w:t>in Tonga during THSSP1</w:t>
      </w:r>
      <w:r w:rsidRPr="0054501C">
        <w:t xml:space="preserve">. </w:t>
      </w:r>
      <w:r>
        <w:t xml:space="preserve">The Tonga Health Promotion Foundation (‘TongaHealth’) was established by the </w:t>
      </w:r>
      <w:r w:rsidRPr="007A3161">
        <w:rPr>
          <w:i/>
        </w:rPr>
        <w:t>Tonga Health Promotion Act</w:t>
      </w:r>
      <w:r>
        <w:t xml:space="preserve"> </w:t>
      </w:r>
      <w:r w:rsidR="007C66F3">
        <w:t xml:space="preserve">2007 </w:t>
      </w:r>
      <w:r>
        <w:t xml:space="preserve">to administer the statutory health promotion fund. Under the Act, TongaHealth is responsible for making grants to support health promotion and relevant research, and consultation across government ministries. TongaHealth is neither part of nor responsible to the MoH: it is accountable to the Minister of Health through its </w:t>
      </w:r>
      <w:r w:rsidRPr="00E61A49">
        <w:rPr>
          <w:noProof/>
        </w:rPr>
        <w:t>own</w:t>
      </w:r>
      <w:r>
        <w:t xml:space="preserve"> Board. TongaHealth acts as the secretariat for Hala Fononga (the </w:t>
      </w:r>
      <w:r>
        <w:rPr>
          <w:lang w:eastAsia="ja-JP"/>
        </w:rPr>
        <w:t xml:space="preserve">National Strategy for the Prevention and Control of NCDs 2015-2020). </w:t>
      </w:r>
      <w:r w:rsidRPr="0054501C">
        <w:t xml:space="preserve">THSSP2 </w:t>
      </w:r>
      <w:r>
        <w:t>contributes towards the implementation of Hala Fononga through a funding agreement with TongaHealth. The MoH Health Promotion Unit is one of the grantees of TongaHealth.</w:t>
      </w:r>
    </w:p>
    <w:p w14:paraId="5F5025BD" w14:textId="77777777" w:rsidR="00B60E1B" w:rsidRDefault="00B60E1B" w:rsidP="00B60E1B">
      <w:r>
        <w:t>The evaluation team considered that the statutory health promotion fund provided an effective mechanism for pooling GoT and DFAT (THSSP2) funds in support of Hala Fononga, and for sequestering GoT’s funding commitment for health promotion from the wider health sector budget (and in particular, away from spending on acute clinical services). It was apparent that TongaHealth’s primary role as a grants manager rather than an implementer was widely misunderstood, even amongst key external stakeholders. Within TongaHealth itself, there had been a period of staff turnover preceding the mid-term evaluation and some staff</w:t>
      </w:r>
      <w:r w:rsidRPr="0054501C">
        <w:t xml:space="preserve"> s</w:t>
      </w:r>
      <w:r>
        <w:t>aw</w:t>
      </w:r>
      <w:r w:rsidRPr="0054501C">
        <w:t xml:space="preserve"> their role as a deliverer of traditional health promotion activitie</w:t>
      </w:r>
      <w:r>
        <w:t xml:space="preserve">s such as mass media campaigns. A new CEO with an aid </w:t>
      </w:r>
      <w:r>
        <w:lastRenderedPageBreak/>
        <w:t xml:space="preserve">coordination background had recently </w:t>
      </w:r>
      <w:r w:rsidRPr="00E61A49">
        <w:rPr>
          <w:noProof/>
        </w:rPr>
        <w:t>been appointed</w:t>
      </w:r>
      <w:r w:rsidR="00E61A49" w:rsidRPr="00E61A49">
        <w:rPr>
          <w:noProof/>
        </w:rPr>
        <w:t>,</w:t>
      </w:r>
      <w:r>
        <w:t xml:space="preserve"> </w:t>
      </w:r>
      <w:r w:rsidRPr="00E61A49">
        <w:rPr>
          <w:noProof/>
        </w:rPr>
        <w:t>and</w:t>
      </w:r>
      <w:r>
        <w:t xml:space="preserve"> the organisation was in a ‘catch-up’ phase.</w:t>
      </w:r>
    </w:p>
    <w:p w14:paraId="20C49CE7" w14:textId="77777777" w:rsidR="00B60E1B" w:rsidRDefault="00B60E1B" w:rsidP="00B60E1B">
      <w:r>
        <w:t>In line with Hala Fononga, Tonga</w:t>
      </w:r>
      <w:r w:rsidRPr="0054501C">
        <w:t xml:space="preserve">Health </w:t>
      </w:r>
      <w:r>
        <w:t>co</w:t>
      </w:r>
      <w:r w:rsidRPr="0054501C">
        <w:t>ordinate</w:t>
      </w:r>
      <w:r>
        <w:t xml:space="preserve">s a </w:t>
      </w:r>
      <w:r w:rsidRPr="0054501C">
        <w:t>multi-sector action plan for NCD prevention and control</w:t>
      </w:r>
      <w:r>
        <w:t xml:space="preserve"> (NCD-MAP)</w:t>
      </w:r>
      <w:r w:rsidRPr="0054501C">
        <w:t>. Th</w:t>
      </w:r>
      <w:r>
        <w:t>e</w:t>
      </w:r>
      <w:r w:rsidRPr="0054501C">
        <w:t xml:space="preserve"> </w:t>
      </w:r>
      <w:r>
        <w:t>NCD-</w:t>
      </w:r>
      <w:r w:rsidRPr="0054501C">
        <w:t>MAP recognises that the causes and solutions for the NCD crisis extend well beyond the health sector. By working to bring together other government sectors, NGOs and community groups</w:t>
      </w:r>
      <w:r>
        <w:t>,</w:t>
      </w:r>
      <w:r w:rsidRPr="0054501C">
        <w:t xml:space="preserve"> the </w:t>
      </w:r>
      <w:r>
        <w:t>NCD-</w:t>
      </w:r>
      <w:r w:rsidRPr="0054501C">
        <w:t xml:space="preserve">MAP </w:t>
      </w:r>
      <w:r>
        <w:t xml:space="preserve">endeavours </w:t>
      </w:r>
      <w:r w:rsidRPr="0054501C">
        <w:t>to form a whole</w:t>
      </w:r>
      <w:r>
        <w:t>-</w:t>
      </w:r>
      <w:r w:rsidRPr="0054501C">
        <w:t>of</w:t>
      </w:r>
      <w:r>
        <w:t>-</w:t>
      </w:r>
      <w:r w:rsidRPr="0054501C">
        <w:t xml:space="preserve">society </w:t>
      </w:r>
      <w:r>
        <w:t>response</w:t>
      </w:r>
      <w:r w:rsidRPr="0054501C">
        <w:t xml:space="preserve"> </w:t>
      </w:r>
      <w:r>
        <w:t xml:space="preserve">to </w:t>
      </w:r>
      <w:r w:rsidRPr="0054501C">
        <w:t xml:space="preserve">NCDs. While the concept </w:t>
      </w:r>
      <w:r>
        <w:t xml:space="preserve">of a multi-sectoral approach to NCDs was formally recognised by the world’s health ministers in 2011 (First Global Ministerial Conference on Healthy Lifestyles and Non-communicable Disease Control, Moscow, April 2011), actually implementing a multi-sectoral approach </w:t>
      </w:r>
      <w:r w:rsidRPr="0054501C">
        <w:t xml:space="preserve">is an emerging field </w:t>
      </w:r>
      <w:r>
        <w:t>that</w:t>
      </w:r>
      <w:r w:rsidRPr="0054501C">
        <w:t xml:space="preserve"> has only gained real traction since 2015.</w:t>
      </w:r>
    </w:p>
    <w:p w14:paraId="31C40A35" w14:textId="77777777" w:rsidR="00B60E1B" w:rsidRPr="00152B08" w:rsidRDefault="00B60E1B" w:rsidP="00B60E1B">
      <w:r>
        <w:t>Sitting at the forefront of multi-sectoral approach implementation</w:t>
      </w:r>
      <w:r w:rsidRPr="0054501C">
        <w:t xml:space="preserve"> gives Tonga the chance to be </w:t>
      </w:r>
      <w:r>
        <w:t xml:space="preserve">a </w:t>
      </w:r>
      <w:r w:rsidRPr="0054501C">
        <w:t xml:space="preserve">regional and world leader. </w:t>
      </w:r>
      <w:r w:rsidRPr="00E61A49">
        <w:rPr>
          <w:noProof/>
        </w:rPr>
        <w:t>This</w:t>
      </w:r>
      <w:r>
        <w:t xml:space="preserve"> is strategic for Australia because it is supporting other Pacific countries to respond to similar NCD problems</w:t>
      </w:r>
      <w:r w:rsidRPr="0054501C">
        <w:t xml:space="preserve">. </w:t>
      </w:r>
      <w:r>
        <w:t xml:space="preserve">As a joint funder of the NCD-MAP with GoT, THSSP2 </w:t>
      </w:r>
      <w:r w:rsidRPr="0054501C">
        <w:t xml:space="preserve">has been instrumental in </w:t>
      </w:r>
      <w:r>
        <w:t>enabl</w:t>
      </w:r>
      <w:r w:rsidRPr="0054501C">
        <w:t>ing multi-sector partnerships to gain momentum and initiate actions.</w:t>
      </w:r>
      <w:r w:rsidRPr="00152B08">
        <w:t xml:space="preserve"> Of note are:</w:t>
      </w:r>
    </w:p>
    <w:p w14:paraId="48C86740" w14:textId="77777777" w:rsidR="00B60E1B" w:rsidRPr="00152B08" w:rsidRDefault="00B60E1B" w:rsidP="00B60E1B">
      <w:pPr>
        <w:pStyle w:val="ListParagraph"/>
        <w:numPr>
          <w:ilvl w:val="0"/>
          <w:numId w:val="10"/>
        </w:numPr>
        <w:spacing w:after="120"/>
        <w:ind w:left="714" w:hanging="357"/>
        <w:contextualSpacing w:val="0"/>
      </w:pPr>
      <w:r w:rsidRPr="00152B08">
        <w:t xml:space="preserve">Working relationships </w:t>
      </w:r>
      <w:r>
        <w:t xml:space="preserve">between TongaHealth and </w:t>
      </w:r>
      <w:r w:rsidRPr="00152B08">
        <w:t xml:space="preserve">14 </w:t>
      </w:r>
      <w:r>
        <w:t xml:space="preserve">grantee </w:t>
      </w:r>
      <w:r w:rsidRPr="00152B08">
        <w:t>partners</w:t>
      </w:r>
      <w:r>
        <w:t>,</w:t>
      </w:r>
      <w:r w:rsidRPr="00152B08">
        <w:t xml:space="preserve"> including essential government departments, civil society and church groups</w:t>
      </w:r>
      <w:r>
        <w:t>.</w:t>
      </w:r>
      <w:r w:rsidR="00D11462">
        <w:t xml:space="preserve"> For example, the anti-tobacco campaign included mass media messages, legislative measures and taxation reforms.</w:t>
      </w:r>
    </w:p>
    <w:p w14:paraId="4B2DCD7A" w14:textId="77777777" w:rsidR="00B60E1B" w:rsidRPr="0054501C" w:rsidRDefault="00B60E1B" w:rsidP="00B60E1B">
      <w:pPr>
        <w:pStyle w:val="ListParagraph"/>
        <w:numPr>
          <w:ilvl w:val="0"/>
          <w:numId w:val="10"/>
        </w:numPr>
        <w:spacing w:after="120"/>
        <w:ind w:left="714" w:hanging="357"/>
        <w:contextualSpacing w:val="0"/>
      </w:pPr>
      <w:r>
        <w:t>P</w:t>
      </w:r>
      <w:r w:rsidRPr="0054501C">
        <w:t>artnership with the M</w:t>
      </w:r>
      <w:r>
        <w:t>oH</w:t>
      </w:r>
      <w:r w:rsidRPr="0054501C">
        <w:t xml:space="preserve"> Health Promotion Unit </w:t>
      </w:r>
      <w:r>
        <w:t xml:space="preserve">has resulted in </w:t>
      </w:r>
      <w:r w:rsidRPr="0054501C">
        <w:t xml:space="preserve">effective planning </w:t>
      </w:r>
      <w:r>
        <w:t>and delivery of</w:t>
      </w:r>
      <w:r w:rsidRPr="0054501C">
        <w:t xml:space="preserve"> </w:t>
      </w:r>
      <w:r w:rsidRPr="00E61A49">
        <w:rPr>
          <w:noProof/>
        </w:rPr>
        <w:t>high</w:t>
      </w:r>
      <w:r w:rsidR="00E61A49">
        <w:rPr>
          <w:noProof/>
        </w:rPr>
        <w:t>-</w:t>
      </w:r>
      <w:r w:rsidRPr="00E61A49">
        <w:rPr>
          <w:noProof/>
        </w:rPr>
        <w:t>quality</w:t>
      </w:r>
      <w:r w:rsidRPr="0054501C">
        <w:t xml:space="preserve"> mass media campaigns</w:t>
      </w:r>
      <w:r>
        <w:t xml:space="preserve"> (t</w:t>
      </w:r>
      <w:r w:rsidRPr="0054501C">
        <w:t xml:space="preserve">his was an area of concern within THSSP1 as funding </w:t>
      </w:r>
      <w:r w:rsidRPr="00E61A49">
        <w:rPr>
          <w:noProof/>
        </w:rPr>
        <w:t>was frequently diverted</w:t>
      </w:r>
      <w:r w:rsidRPr="0054501C">
        <w:t xml:space="preserve"> away from health promotion to</w:t>
      </w:r>
      <w:r>
        <w:t>wards</w:t>
      </w:r>
      <w:r w:rsidRPr="0054501C">
        <w:t xml:space="preserve"> clinical </w:t>
      </w:r>
      <w:r>
        <w:t>care).</w:t>
      </w:r>
    </w:p>
    <w:p w14:paraId="3730A93F" w14:textId="77777777" w:rsidR="00B60E1B" w:rsidRPr="0054501C" w:rsidRDefault="00B60E1B" w:rsidP="00B60E1B">
      <w:pPr>
        <w:pStyle w:val="ListParagraph"/>
        <w:numPr>
          <w:ilvl w:val="0"/>
          <w:numId w:val="10"/>
        </w:numPr>
        <w:spacing w:after="120"/>
        <w:ind w:left="714" w:hanging="357"/>
        <w:contextualSpacing w:val="0"/>
      </w:pPr>
      <w:r w:rsidRPr="00E61A49">
        <w:rPr>
          <w:noProof/>
        </w:rPr>
        <w:t xml:space="preserve">Three years of </w:t>
      </w:r>
      <w:r w:rsidR="004A559A">
        <w:rPr>
          <w:noProof/>
        </w:rPr>
        <w:t xml:space="preserve">the national </w:t>
      </w:r>
      <w:r w:rsidRPr="00E61A49">
        <w:rPr>
          <w:noProof/>
        </w:rPr>
        <w:t>anti-tobacco campaign based on local research</w:t>
      </w:r>
      <w:r w:rsidR="00E61A49" w:rsidRPr="00E61A49">
        <w:rPr>
          <w:noProof/>
        </w:rPr>
        <w:t xml:space="preserve"> </w:t>
      </w:r>
      <w:r w:rsidRPr="00E61A49">
        <w:rPr>
          <w:noProof/>
        </w:rPr>
        <w:t xml:space="preserve">included </w:t>
      </w:r>
      <w:r w:rsidR="00E61A49" w:rsidRPr="00E61A49">
        <w:rPr>
          <w:noProof/>
        </w:rPr>
        <w:t xml:space="preserve">a </w:t>
      </w:r>
      <w:r w:rsidRPr="00E61A49">
        <w:rPr>
          <w:noProof/>
        </w:rPr>
        <w:t>high</w:t>
      </w:r>
      <w:r w:rsidR="00E61A49" w:rsidRPr="00E61A49">
        <w:rPr>
          <w:noProof/>
        </w:rPr>
        <w:t>-</w:t>
      </w:r>
      <w:r w:rsidRPr="00E61A49">
        <w:rPr>
          <w:noProof/>
        </w:rPr>
        <w:t xml:space="preserve">quality evaluation </w:t>
      </w:r>
      <w:r w:rsidR="00E61A49" w:rsidRPr="00E61A49">
        <w:rPr>
          <w:noProof/>
        </w:rPr>
        <w:t xml:space="preserve">which showed </w:t>
      </w:r>
      <w:r w:rsidRPr="00E61A49">
        <w:rPr>
          <w:noProof/>
        </w:rPr>
        <w:t>a 3.5% reduction in smoking.</w:t>
      </w:r>
      <w:r w:rsidRPr="00152B08">
        <w:t xml:space="preserve"> </w:t>
      </w:r>
      <w:r w:rsidR="004A559A">
        <w:t>The mass media approach included television, radio and social media, as well as billboards and posters.</w:t>
      </w:r>
    </w:p>
    <w:p w14:paraId="60D9AD40" w14:textId="77777777" w:rsidR="00B60E1B" w:rsidRPr="00152B08" w:rsidRDefault="00B60E1B" w:rsidP="00B60E1B">
      <w:pPr>
        <w:pStyle w:val="ListParagraph"/>
        <w:numPr>
          <w:ilvl w:val="0"/>
          <w:numId w:val="10"/>
        </w:numPr>
        <w:spacing w:after="120"/>
        <w:ind w:left="714" w:hanging="357"/>
        <w:contextualSpacing w:val="0"/>
      </w:pPr>
      <w:r w:rsidRPr="00E61A49">
        <w:rPr>
          <w:noProof/>
        </w:rPr>
        <w:t>A range of physical activity programs at the community and workplace level that have been supported by multi-sector partners and achieved high levels of participation.</w:t>
      </w:r>
    </w:p>
    <w:p w14:paraId="19D86883" w14:textId="77777777" w:rsidR="00B60E1B" w:rsidRPr="00152B08" w:rsidRDefault="00B60E1B" w:rsidP="00B60E1B">
      <w:pPr>
        <w:pStyle w:val="ListParagraph"/>
        <w:numPr>
          <w:ilvl w:val="0"/>
          <w:numId w:val="10"/>
        </w:numPr>
      </w:pPr>
      <w:r w:rsidRPr="0054501C">
        <w:t>The provisi</w:t>
      </w:r>
      <w:r>
        <w:t>on of technical advice to Tonga</w:t>
      </w:r>
      <w:r w:rsidRPr="0054501C">
        <w:t>Health through THSSP2 has assisted in the implementation of high</w:t>
      </w:r>
      <w:r>
        <w:t>-</w:t>
      </w:r>
      <w:r w:rsidRPr="0054501C">
        <w:t>quality interventions – including the recent work with the Ministry of R</w:t>
      </w:r>
      <w:r>
        <w:t xml:space="preserve">evenue &amp; Customs to increase </w:t>
      </w:r>
      <w:r w:rsidRPr="0054501C">
        <w:t>taxatio</w:t>
      </w:r>
      <w:r>
        <w:t>n of sugar-sweetened beverages. The evaluation noted that the focus to date has been on imported rather than domestic products.</w:t>
      </w:r>
    </w:p>
    <w:p w14:paraId="1E2E3186" w14:textId="77777777" w:rsidR="00B60E1B" w:rsidRPr="0054501C" w:rsidRDefault="00B60E1B" w:rsidP="00B60E1B">
      <w:r w:rsidRPr="0054501C">
        <w:t xml:space="preserve">There is </w:t>
      </w:r>
      <w:r>
        <w:t xml:space="preserve">a </w:t>
      </w:r>
      <w:r w:rsidRPr="00E61A49">
        <w:rPr>
          <w:noProof/>
        </w:rPr>
        <w:t>general consensus</w:t>
      </w:r>
      <w:r>
        <w:t xml:space="preserve"> that co</w:t>
      </w:r>
      <w:r w:rsidRPr="0054501C">
        <w:t>ordinated work and consistent focus has turned NCDs into a whole</w:t>
      </w:r>
      <w:r w:rsidR="00E61A49">
        <w:t>-</w:t>
      </w:r>
      <w:r w:rsidRPr="0054501C">
        <w:t>of</w:t>
      </w:r>
      <w:r w:rsidR="00E61A49" w:rsidRPr="00E61A49">
        <w:rPr>
          <w:noProof/>
        </w:rPr>
        <w:t>-</w:t>
      </w:r>
      <w:r w:rsidRPr="00E61A49">
        <w:rPr>
          <w:noProof/>
        </w:rPr>
        <w:t>community</w:t>
      </w:r>
      <w:r w:rsidRPr="0054501C">
        <w:t xml:space="preserve"> issue</w:t>
      </w:r>
      <w:r>
        <w:t>. E</w:t>
      </w:r>
      <w:r w:rsidRPr="0054501C">
        <w:t xml:space="preserve">ven the terminology </w:t>
      </w:r>
      <w:r>
        <w:t xml:space="preserve">has </w:t>
      </w:r>
      <w:r w:rsidRPr="0054501C">
        <w:t>cha</w:t>
      </w:r>
      <w:r>
        <w:t xml:space="preserve">nged from Mahaki </w:t>
      </w:r>
      <w:r w:rsidRPr="00E61A49">
        <w:rPr>
          <w:noProof/>
        </w:rPr>
        <w:t>ikai</w:t>
      </w:r>
      <w:r>
        <w:t xml:space="preserve"> </w:t>
      </w:r>
      <w:r w:rsidRPr="00E61A49">
        <w:rPr>
          <w:noProof/>
        </w:rPr>
        <w:t>pipihi</w:t>
      </w:r>
      <w:r>
        <w:t xml:space="preserve"> (‘d</w:t>
      </w:r>
      <w:r w:rsidRPr="0054501C">
        <w:t>isease no</w:t>
      </w:r>
      <w:r>
        <w:t>t</w:t>
      </w:r>
      <w:r w:rsidRPr="0054501C">
        <w:t xml:space="preserve"> communicable</w:t>
      </w:r>
      <w:r>
        <w:t>’</w:t>
      </w:r>
      <w:r w:rsidRPr="0054501C">
        <w:t>) to Mahaki I ‘</w:t>
      </w:r>
      <w:r w:rsidRPr="00E61A49">
        <w:rPr>
          <w:noProof/>
        </w:rPr>
        <w:t>oe</w:t>
      </w:r>
      <w:r w:rsidRPr="0054501C">
        <w:t xml:space="preserve"> T</w:t>
      </w:r>
      <w:r>
        <w:t xml:space="preserve">o’onga </w:t>
      </w:r>
      <w:r w:rsidRPr="00E61A49">
        <w:rPr>
          <w:noProof/>
        </w:rPr>
        <w:t>moui</w:t>
      </w:r>
      <w:r w:rsidRPr="0054501C">
        <w:t xml:space="preserve"> (</w:t>
      </w:r>
      <w:r>
        <w:t>‘d</w:t>
      </w:r>
      <w:r w:rsidRPr="0054501C">
        <w:t>isease of lifestyle</w:t>
      </w:r>
      <w:r>
        <w:t>’</w:t>
      </w:r>
      <w:r w:rsidRPr="0054501C">
        <w:t>)</w:t>
      </w:r>
      <w:r>
        <w:t>: e</w:t>
      </w:r>
      <w:r w:rsidRPr="0054501C">
        <w:t xml:space="preserve">mphasising that NCDs are linked to behaviours and can </w:t>
      </w:r>
      <w:r w:rsidRPr="00E61A49">
        <w:rPr>
          <w:noProof/>
        </w:rPr>
        <w:t>be prevented</w:t>
      </w:r>
      <w:r w:rsidRPr="0054501C">
        <w:t xml:space="preserve"> through healthy actions. </w:t>
      </w:r>
      <w:r>
        <w:t>A formal independent review of Hala Fononga is scheduled to take place shortly after the THSSP2 mid-term evaluation.</w:t>
      </w:r>
    </w:p>
    <w:p w14:paraId="6D2EA38A" w14:textId="77777777" w:rsidR="00B60E1B" w:rsidRPr="00E61A49" w:rsidRDefault="00B60E1B" w:rsidP="00B60E1B">
      <w:pPr>
        <w:tabs>
          <w:tab w:val="left" w:pos="400"/>
        </w:tabs>
        <w:spacing w:after="0" w:line="277" w:lineRule="auto"/>
        <w:ind w:right="246"/>
        <w:rPr>
          <w:i/>
        </w:rPr>
      </w:pPr>
      <w:r w:rsidRPr="00E61A49">
        <w:rPr>
          <w:i/>
        </w:rPr>
        <w:t>NCD risk factors</w:t>
      </w:r>
    </w:p>
    <w:p w14:paraId="3144D860" w14:textId="77777777" w:rsidR="00B60E1B" w:rsidRDefault="00B60E1B" w:rsidP="00B60E1B">
      <w:pPr>
        <w:tabs>
          <w:tab w:val="left" w:pos="400"/>
        </w:tabs>
        <w:spacing w:line="277" w:lineRule="auto"/>
        <w:ind w:right="246"/>
      </w:pPr>
      <w:r>
        <w:t xml:space="preserve">There are signs of early progress with the NCD-MAP. As reported under ‘High-level program targets’, there is evidence from the GSHS that health promotion activities have contributed to a reduction in smoking and alcohol use amongst adolescents. </w:t>
      </w:r>
      <w:r w:rsidRPr="00E61A49">
        <w:rPr>
          <w:noProof/>
        </w:rPr>
        <w:t>In accordance with</w:t>
      </w:r>
      <w:r>
        <w:t xml:space="preserve"> the multi-sectoral approach, the health promotion interventions to reduce tobacco use included mass media campaigns, legislation to increase taxation (imported tobacco products only), and statistical measures to improve measurement of smoking behaviour (National Statistics Department: 2016 census).</w:t>
      </w:r>
    </w:p>
    <w:p w14:paraId="392D9C70" w14:textId="77777777" w:rsidR="00B60E1B" w:rsidRDefault="00B60E1B" w:rsidP="00B60E1B">
      <w:r>
        <w:lastRenderedPageBreak/>
        <w:t xml:space="preserve">A healthy eating campaign </w:t>
      </w:r>
      <w:r w:rsidRPr="00E61A49">
        <w:rPr>
          <w:noProof/>
        </w:rPr>
        <w:t>is planned</w:t>
      </w:r>
      <w:r>
        <w:t xml:space="preserve"> for 2019 with a focus on sugar, fat and salt. Grant projects have to date tended to focus on promoting fruits and vegetables, which are worthy areas of focus, but when targeted </w:t>
      </w:r>
      <w:r w:rsidRPr="00E61A49">
        <w:rPr>
          <w:noProof/>
        </w:rPr>
        <w:t>in isolation</w:t>
      </w:r>
      <w:r w:rsidR="00E61A49" w:rsidRPr="00E61A49">
        <w:rPr>
          <w:noProof/>
        </w:rPr>
        <w:t>,</w:t>
      </w:r>
      <w:r>
        <w:t xml:space="preserve"> may not be sufficient to shift obesity rates. There is a need for local research to identify the </w:t>
      </w:r>
      <w:r w:rsidRPr="00E61A49">
        <w:rPr>
          <w:noProof/>
        </w:rPr>
        <w:t>priority</w:t>
      </w:r>
      <w:r>
        <w:t xml:space="preserve"> dietary factors that influence obesity and NCDs in Tonga</w:t>
      </w:r>
      <w:r w:rsidR="00E61A49">
        <w:t xml:space="preserve">, such as </w:t>
      </w:r>
      <w:r>
        <w:t xml:space="preserve">excessive consumption, feasting and portion sizes </w:t>
      </w:r>
      <w:r w:rsidR="00E61A49">
        <w:t xml:space="preserve">that </w:t>
      </w:r>
      <w:r>
        <w:t xml:space="preserve">may </w:t>
      </w:r>
      <w:r w:rsidRPr="00E61A49">
        <w:rPr>
          <w:noProof/>
        </w:rPr>
        <w:t>be missed</w:t>
      </w:r>
      <w:r w:rsidR="00E61A49" w:rsidRPr="00E61A49">
        <w:rPr>
          <w:noProof/>
        </w:rPr>
        <w:t xml:space="preserve"> without attention to the cultural context</w:t>
      </w:r>
      <w:r>
        <w:t>.</w:t>
      </w:r>
    </w:p>
    <w:p w14:paraId="25D74C0E" w14:textId="77777777" w:rsidR="00B60E1B" w:rsidRDefault="00B60E1B" w:rsidP="00B60E1B">
      <w:r w:rsidRPr="00153584">
        <w:t xml:space="preserve">Much work has been done to </w:t>
      </w:r>
      <w:r w:rsidRPr="009814E1">
        <w:t>promote physical activity and</w:t>
      </w:r>
      <w:r>
        <w:t xml:space="preserve"> change community perceptions, but </w:t>
      </w:r>
      <w:r w:rsidRPr="00153584">
        <w:t>data is not yet available to demonstrate the impact of this on habitual physical activity</w:t>
      </w:r>
      <w:r>
        <w:t xml:space="preserve">. Programs such as Fiefia Sports are popular in both Tongatapu and </w:t>
      </w:r>
      <w:r w:rsidRPr="00E61A49">
        <w:rPr>
          <w:noProof/>
        </w:rPr>
        <w:t>Ha’apai,</w:t>
      </w:r>
      <w:r>
        <w:t xml:space="preserve"> and have shown consistent gains in attendance numbers. Program focus on physical activity by TongaHealth, MoH and Ministry of Internal Affairs (MIA) has contributed to a changed perception of physical activity in the community with reports </w:t>
      </w:r>
      <w:r w:rsidR="00DA2CF2">
        <w:t xml:space="preserve">(from multiple sources) </w:t>
      </w:r>
      <w:r>
        <w:t xml:space="preserve">suggesting visible changes in the number of people exercising. However, program reports for these activities focus on attendance and have not utilised the opportunity to measure programs’ impact on self-reported physical activity levels. Despite Hala Fononga focusing on increasing the provision of physical activity in schools, it appears that no grants have been commissioned to support </w:t>
      </w:r>
      <w:r w:rsidRPr="00E61A49">
        <w:rPr>
          <w:noProof/>
        </w:rPr>
        <w:t>work</w:t>
      </w:r>
      <w:r>
        <w:t xml:space="preserve"> this area. As previously reported, the GSHS also shows a slight reduction in the proportion of adolescents participating in school physical education activities.</w:t>
      </w:r>
    </w:p>
    <w:p w14:paraId="4F8D86FB" w14:textId="77777777" w:rsidR="00B60E1B" w:rsidRPr="00B716D2" w:rsidRDefault="00B60E1B" w:rsidP="00B60E1B">
      <w:pPr>
        <w:rPr>
          <w:b/>
        </w:rPr>
      </w:pPr>
      <w:r w:rsidRPr="006E6B6F">
        <w:t xml:space="preserve">Though there has been limited work to address alcohol, teenagers have shown a reduction in use. </w:t>
      </w:r>
      <w:r>
        <w:t>The GSHS showed that 14.0% of 13-17 years old currently drink alcohol and 13.2% had</w:t>
      </w:r>
      <w:r w:rsidRPr="00C57A09">
        <w:rPr>
          <w:b/>
        </w:rPr>
        <w:t xml:space="preserve"> </w:t>
      </w:r>
      <w:r>
        <w:t xml:space="preserve">drank to the point of drunkenness (this was </w:t>
      </w:r>
      <w:r w:rsidR="00E61A49">
        <w:t>two</w:t>
      </w:r>
      <w:r>
        <w:t xml:space="preserve"> times higher in males). In comparison to 2010, the proportion of 13-15-year olds who were current drinkers dropped by 6% (from 16.4% to</w:t>
      </w:r>
      <w:r w:rsidRPr="00C57A09">
        <w:rPr>
          <w:b/>
        </w:rPr>
        <w:t xml:space="preserve"> </w:t>
      </w:r>
      <w:r>
        <w:t xml:space="preserve">10.4%). To help address alcohol use TongaHealth has partnered with the Ministry of Police, Tonga National Youth Congress and the Salvation Army. This work has focused on supporting the Liqueur Licensing Act and increasing awareness of alcohol-related harms. Latest reports from TongaHealth’s grant tracker show there have been delays in community collaboration with police to enhance enforcement and raise awareness of alcohol legislation. </w:t>
      </w:r>
      <w:r w:rsidR="00BB6B7F">
        <w:t xml:space="preserve"> R</w:t>
      </w:r>
      <w:r w:rsidR="00DA2CF2">
        <w:t>eport</w:t>
      </w:r>
      <w:r w:rsidR="00BB6B7F">
        <w:t xml:space="preserve">s </w:t>
      </w:r>
      <w:r w:rsidR="00DA2CF2">
        <w:t>by TongaHealth officers</w:t>
      </w:r>
      <w:r w:rsidR="00AD362E">
        <w:t xml:space="preserve"> and Board members</w:t>
      </w:r>
      <w:r w:rsidR="00BB6B7F">
        <w:t xml:space="preserve"> </w:t>
      </w:r>
      <w:r>
        <w:t>suggest an increase in alcohol use following Tropical Cyclone Gita.</w:t>
      </w:r>
    </w:p>
    <w:p w14:paraId="0380397B" w14:textId="77777777" w:rsidR="00B60E1B" w:rsidRPr="00E61A49" w:rsidRDefault="00B60E1B" w:rsidP="00B60E1B">
      <w:pPr>
        <w:spacing w:after="0"/>
        <w:rPr>
          <w:i/>
        </w:rPr>
      </w:pPr>
      <w:r w:rsidRPr="00E61A49">
        <w:rPr>
          <w:i/>
        </w:rPr>
        <w:t>Challenges for Hala Fononga</w:t>
      </w:r>
    </w:p>
    <w:p w14:paraId="6929E58B" w14:textId="77777777" w:rsidR="00B60E1B" w:rsidRDefault="00B60E1B" w:rsidP="00B60E1B">
      <w:r w:rsidRPr="00E61A49">
        <w:rPr>
          <w:noProof/>
        </w:rPr>
        <w:t>To achieve changes in population risk factors</w:t>
      </w:r>
      <w:r>
        <w:t xml:space="preserve">, </w:t>
      </w:r>
      <w:r w:rsidRPr="00A90476">
        <w:t xml:space="preserve">there is a need </w:t>
      </w:r>
      <w:r>
        <w:t>for</w:t>
      </w:r>
      <w:r w:rsidRPr="00A90476">
        <w:t xml:space="preserve"> </w:t>
      </w:r>
      <w:r>
        <w:t xml:space="preserve">strategic prioritisation of areas for </w:t>
      </w:r>
      <w:r w:rsidRPr="00E61A49">
        <w:rPr>
          <w:noProof/>
        </w:rPr>
        <w:t>grant</w:t>
      </w:r>
      <w:r>
        <w:t xml:space="preserve"> application (the current approach is almost </w:t>
      </w:r>
      <w:r w:rsidR="00E61A49">
        <w:rPr>
          <w:lang w:eastAsia="en-GB"/>
        </w:rPr>
        <w:t>‘</w:t>
      </w:r>
      <w:r w:rsidRPr="006D17BE">
        <w:rPr>
          <w:lang w:eastAsia="en-GB"/>
        </w:rPr>
        <w:t>first come</w:t>
      </w:r>
      <w:r>
        <w:rPr>
          <w:lang w:eastAsia="en-GB"/>
        </w:rPr>
        <w:t>,</w:t>
      </w:r>
      <w:r w:rsidRPr="006D17BE">
        <w:rPr>
          <w:lang w:eastAsia="en-GB"/>
        </w:rPr>
        <w:t xml:space="preserve"> first served</w:t>
      </w:r>
      <w:r w:rsidR="00E61A49">
        <w:rPr>
          <w:lang w:eastAsia="en-GB"/>
        </w:rPr>
        <w:t>’</w:t>
      </w:r>
      <w:r>
        <w:rPr>
          <w:lang w:eastAsia="en-GB"/>
        </w:rPr>
        <w:t>,</w:t>
      </w:r>
      <w:r w:rsidRPr="006D17BE">
        <w:rPr>
          <w:lang w:eastAsia="en-GB"/>
        </w:rPr>
        <w:t xml:space="preserve"> so long as it fits within Hala Fononga</w:t>
      </w:r>
      <w:r>
        <w:rPr>
          <w:lang w:eastAsia="en-GB"/>
        </w:rPr>
        <w:t>)</w:t>
      </w:r>
      <w:r w:rsidRPr="006D17BE">
        <w:rPr>
          <w:lang w:eastAsia="en-GB"/>
        </w:rPr>
        <w:t>.</w:t>
      </w:r>
      <w:r>
        <w:rPr>
          <w:lang w:eastAsia="en-GB"/>
        </w:rPr>
        <w:t xml:space="preserve"> </w:t>
      </w:r>
      <w:r>
        <w:t xml:space="preserve">Although there has been encouraging early progress (reported in the previous section), </w:t>
      </w:r>
      <w:r w:rsidRPr="00A90476">
        <w:t>more advanced actions</w:t>
      </w:r>
      <w:r w:rsidRPr="00094638">
        <w:t xml:space="preserve"> </w:t>
      </w:r>
      <w:r w:rsidRPr="00A90476">
        <w:t>are needed to result in a mea</w:t>
      </w:r>
      <w:r>
        <w:t xml:space="preserve">ningful </w:t>
      </w:r>
      <w:r w:rsidRPr="00A90476">
        <w:t xml:space="preserve">reduction in NCD risk factors, particularly in the area of healthy eating. </w:t>
      </w:r>
      <w:r>
        <w:t>Re-establishing</w:t>
      </w:r>
      <w:r w:rsidRPr="00A90476">
        <w:t xml:space="preserve"> activities </w:t>
      </w:r>
      <w:r>
        <w:t xml:space="preserve">proposed </w:t>
      </w:r>
      <w:r w:rsidRPr="00A90476">
        <w:t xml:space="preserve">in </w:t>
      </w:r>
      <w:r>
        <w:t>the THSSP2 D</w:t>
      </w:r>
      <w:r w:rsidRPr="00A90476">
        <w:t xml:space="preserve">esign </w:t>
      </w:r>
      <w:r>
        <w:t>D</w:t>
      </w:r>
      <w:r w:rsidRPr="00A90476">
        <w:t>ocument</w:t>
      </w:r>
      <w:r>
        <w:t>,</w:t>
      </w:r>
      <w:r w:rsidRPr="00A90476">
        <w:t xml:space="preserve"> such as advisory committee meetings to steer high</w:t>
      </w:r>
      <w:r>
        <w:t>-</w:t>
      </w:r>
      <w:r w:rsidRPr="00A90476">
        <w:t>level strategy discussion</w:t>
      </w:r>
      <w:r>
        <w:t>,</w:t>
      </w:r>
      <w:r w:rsidRPr="00A90476">
        <w:t xml:space="preserve"> </w:t>
      </w:r>
      <w:r>
        <w:t>might be effective</w:t>
      </w:r>
      <w:r w:rsidR="00E61A49">
        <w:t>;</w:t>
      </w:r>
      <w:r w:rsidRPr="00A90476">
        <w:t xml:space="preserve"> there are also some practical tools which could help advance action. </w:t>
      </w:r>
      <w:r>
        <w:t xml:space="preserve">The first example is to issue </w:t>
      </w:r>
      <w:r w:rsidRPr="00A90476">
        <w:t xml:space="preserve">guidelines for grant applications which </w:t>
      </w:r>
      <w:r w:rsidRPr="00E61A49">
        <w:rPr>
          <w:noProof/>
        </w:rPr>
        <w:t>clearly</w:t>
      </w:r>
      <w:r>
        <w:t xml:space="preserve"> </w:t>
      </w:r>
      <w:r w:rsidR="00E61A49">
        <w:t xml:space="preserve">state </w:t>
      </w:r>
      <w:r>
        <w:t xml:space="preserve">preferred </w:t>
      </w:r>
      <w:r w:rsidRPr="00A90476">
        <w:t xml:space="preserve">higher </w:t>
      </w:r>
      <w:r>
        <w:t>priority</w:t>
      </w:r>
      <w:r w:rsidRPr="00A90476">
        <w:t xml:space="preserve"> activities (currently </w:t>
      </w:r>
      <w:r>
        <w:t xml:space="preserve">the </w:t>
      </w:r>
      <w:r w:rsidRPr="00A90476">
        <w:t xml:space="preserve">only </w:t>
      </w:r>
      <w:r>
        <w:t xml:space="preserve">guidance given to potential applicants is a draft </w:t>
      </w:r>
      <w:r w:rsidRPr="00A90476">
        <w:t>grant agreement)</w:t>
      </w:r>
      <w:r>
        <w:t>. The second example is to develop</w:t>
      </w:r>
      <w:r w:rsidRPr="00A90476">
        <w:t xml:space="preserve"> </w:t>
      </w:r>
      <w:r>
        <w:t>p</w:t>
      </w:r>
      <w:r w:rsidRPr="00A90476">
        <w:t xml:space="preserve">olicy briefs for individual ministries and NGOs that outline </w:t>
      </w:r>
      <w:r>
        <w:t xml:space="preserve">each </w:t>
      </w:r>
      <w:r w:rsidRPr="00A90476">
        <w:t>organisation</w:t>
      </w:r>
      <w:r>
        <w:t>’</w:t>
      </w:r>
      <w:r w:rsidRPr="00A90476">
        <w:t xml:space="preserve">s </w:t>
      </w:r>
      <w:r>
        <w:t xml:space="preserve">specific </w:t>
      </w:r>
      <w:r w:rsidRPr="00A90476">
        <w:t>role in creating healthy envi</w:t>
      </w:r>
      <w:r>
        <w:t>ronments, overview of progress/</w:t>
      </w:r>
      <w:r w:rsidRPr="00A90476">
        <w:t>activity so far</w:t>
      </w:r>
      <w:r>
        <w:t>,</w:t>
      </w:r>
      <w:r w:rsidRPr="00A90476">
        <w:t xml:space="preserve"> and potential strategies for th</w:t>
      </w:r>
      <w:r>
        <w:t>e future (taken from the Hala Fo</w:t>
      </w:r>
      <w:r w:rsidRPr="00A90476">
        <w:t>nonga activities</w:t>
      </w:r>
      <w:r w:rsidR="007D4AF0">
        <w:t>)</w:t>
      </w:r>
      <w:r w:rsidR="008B0870">
        <w:t>, and providing advice on relevant equity issues</w:t>
      </w:r>
      <w:r>
        <w:t>,</w:t>
      </w:r>
      <w:r w:rsidRPr="00A90476">
        <w:t xml:space="preserve"> thus creating a roadmap for that specific ministry or NGO</w:t>
      </w:r>
      <w:r>
        <w:t>’s activity.</w:t>
      </w:r>
    </w:p>
    <w:p w14:paraId="0757F8BD" w14:textId="77777777" w:rsidR="00B60E1B" w:rsidRDefault="00B60E1B" w:rsidP="00B60E1B">
      <w:r w:rsidRPr="00A90476">
        <w:t xml:space="preserve">Research, innovation and advocacy are needed to ensure sustainable results </w:t>
      </w:r>
      <w:r>
        <w:t>and</w:t>
      </w:r>
      <w:r w:rsidRPr="00A90476">
        <w:t xml:space="preserve"> local relevance. Grant alloca</w:t>
      </w:r>
      <w:r>
        <w:t>tion to fund research</w:t>
      </w:r>
      <w:r w:rsidRPr="00A90476">
        <w:t xml:space="preserve"> that inform</w:t>
      </w:r>
      <w:r>
        <w:t>s</w:t>
      </w:r>
      <w:r w:rsidRPr="00A90476">
        <w:t xml:space="preserve"> healthy eating initiatives </w:t>
      </w:r>
      <w:r>
        <w:t>is</w:t>
      </w:r>
      <w:r w:rsidRPr="00A90476">
        <w:t xml:space="preserve"> encouraged to ensure the priority areas/behaviours and beliefs in Tonga </w:t>
      </w:r>
      <w:r w:rsidRPr="00E61A49">
        <w:rPr>
          <w:noProof/>
        </w:rPr>
        <w:t>are addressed</w:t>
      </w:r>
      <w:r w:rsidRPr="00A90476">
        <w:t xml:space="preserve">. Specific </w:t>
      </w:r>
      <w:r>
        <w:t xml:space="preserve">examples of locally-relevant behaviours </w:t>
      </w:r>
      <w:r w:rsidRPr="00A90476">
        <w:t xml:space="preserve">that arose during the </w:t>
      </w:r>
      <w:r>
        <w:t xml:space="preserve">evaluation </w:t>
      </w:r>
      <w:r w:rsidRPr="00A90476">
        <w:t>included the role of feasting and portion sizes, as well as beliefs around traditional medicines hindering NCD control measures in the outer islands.</w:t>
      </w:r>
    </w:p>
    <w:p w14:paraId="54EE2C12" w14:textId="77777777" w:rsidR="00B60E1B" w:rsidRDefault="00B60E1B" w:rsidP="00B60E1B">
      <w:r w:rsidRPr="00A90476">
        <w:lastRenderedPageBreak/>
        <w:t>The health</w:t>
      </w:r>
      <w:r>
        <w:t>-</w:t>
      </w:r>
      <w:r w:rsidRPr="00A90476">
        <w:t>promoting churches initiative provides an ideal base for both research and message sharing.</w:t>
      </w:r>
      <w:r>
        <w:t xml:space="preserve"> The church is a focal point of Tongan society with the church network reaching over 90% of the population. The health-promoting churches initiative has generated promising initial action and strengthened multi-sector relationships. However, there is a lack of data available from this program to assess progress and strategically advance the initiative.</w:t>
      </w:r>
    </w:p>
    <w:p w14:paraId="501D9E55" w14:textId="77777777" w:rsidR="00B60E1B" w:rsidRPr="00C27097" w:rsidRDefault="00B60E1B" w:rsidP="00B60E1B">
      <w:pPr>
        <w:spacing w:after="120"/>
        <w:rPr>
          <w:rFonts w:eastAsia="Times New Roman" w:cstheme="minorHAnsi"/>
          <w:color w:val="000000"/>
          <w:shd w:val="clear" w:color="auto" w:fill="FFFFFF"/>
          <w:lang w:eastAsia="en-GB"/>
        </w:rPr>
      </w:pPr>
      <w:r w:rsidRPr="00C27097">
        <w:rPr>
          <w:rFonts w:cstheme="minorHAnsi"/>
        </w:rPr>
        <w:t xml:space="preserve">In addition to strategic and technical challenges, the evaluation team observed that </w:t>
      </w:r>
      <w:r w:rsidRPr="00C27097">
        <w:rPr>
          <w:rFonts w:eastAsia="Times New Roman" w:cstheme="minorHAnsi"/>
          <w:color w:val="000000"/>
          <w:shd w:val="clear" w:color="auto" w:fill="FFFFFF"/>
          <w:lang w:eastAsia="en-GB"/>
        </w:rPr>
        <w:t>TongaHealth faces challenges with its grant administration systems. Arrangements that seem practical when there are only two or three grants suddenly become unsustainable when the number of grants increases to the current 18. Challenges include:</w:t>
      </w:r>
    </w:p>
    <w:p w14:paraId="1B4FFD05" w14:textId="77777777" w:rsidR="00B60E1B" w:rsidRPr="00184529" w:rsidRDefault="00B60E1B" w:rsidP="006719C2">
      <w:pPr>
        <w:pStyle w:val="ListParagraph"/>
        <w:numPr>
          <w:ilvl w:val="0"/>
          <w:numId w:val="20"/>
        </w:numPr>
        <w:spacing w:after="120"/>
        <w:ind w:left="714" w:hanging="357"/>
        <w:contextualSpacing w:val="0"/>
        <w:rPr>
          <w:rFonts w:ascii="Segoe UI" w:eastAsia="Times New Roman" w:hAnsi="Segoe UI" w:cs="Segoe UI"/>
          <w:color w:val="000000"/>
          <w:sz w:val="20"/>
          <w:szCs w:val="20"/>
          <w:shd w:val="clear" w:color="auto" w:fill="FFFFFF"/>
          <w:lang w:eastAsia="en-GB"/>
        </w:rPr>
      </w:pPr>
      <w:r>
        <w:t>the grant application process is excessively complex and does not facilitate grant applications (the TongaHealth CEO intends to streamline the process)</w:t>
      </w:r>
    </w:p>
    <w:p w14:paraId="66AA6FFF" w14:textId="77777777" w:rsidR="00B60E1B" w:rsidRPr="00184529" w:rsidRDefault="00B60E1B" w:rsidP="006719C2">
      <w:pPr>
        <w:pStyle w:val="ListParagraph"/>
        <w:numPr>
          <w:ilvl w:val="0"/>
          <w:numId w:val="20"/>
        </w:numPr>
        <w:spacing w:after="120"/>
        <w:ind w:left="714" w:hanging="357"/>
        <w:contextualSpacing w:val="0"/>
        <w:rPr>
          <w:rFonts w:ascii="Segoe UI" w:eastAsia="Times New Roman" w:hAnsi="Segoe UI" w:cs="Segoe UI"/>
          <w:color w:val="000000"/>
          <w:sz w:val="20"/>
          <w:szCs w:val="20"/>
          <w:shd w:val="clear" w:color="auto" w:fill="FFFFFF"/>
          <w:lang w:eastAsia="en-GB"/>
        </w:rPr>
      </w:pPr>
      <w:r>
        <w:t>g</w:t>
      </w:r>
      <w:r>
        <w:rPr>
          <w:lang w:eastAsia="en-GB"/>
        </w:rPr>
        <w:t xml:space="preserve">rant reporting is </w:t>
      </w:r>
      <w:r w:rsidRPr="006D17BE">
        <w:rPr>
          <w:lang w:eastAsia="en-GB"/>
        </w:rPr>
        <w:t xml:space="preserve">too complicated </w:t>
      </w:r>
      <w:r w:rsidRPr="00E61A49">
        <w:rPr>
          <w:noProof/>
          <w:lang w:eastAsia="en-GB"/>
        </w:rPr>
        <w:t>and</w:t>
      </w:r>
      <w:r w:rsidRPr="006D17BE">
        <w:rPr>
          <w:lang w:eastAsia="en-GB"/>
        </w:rPr>
        <w:t xml:space="preserve"> the figures show t</w:t>
      </w:r>
      <w:r>
        <w:rPr>
          <w:lang w:eastAsia="en-GB"/>
        </w:rPr>
        <w:t>imely reporting</w:t>
      </w:r>
      <w:r w:rsidRPr="006D17BE">
        <w:rPr>
          <w:lang w:eastAsia="en-GB"/>
        </w:rPr>
        <w:t xml:space="preserve"> is slipping</w:t>
      </w:r>
      <w:r>
        <w:rPr>
          <w:lang w:eastAsia="en-GB"/>
        </w:rPr>
        <w:t xml:space="preserve"> (this is related to growth in the number of active grants)</w:t>
      </w:r>
    </w:p>
    <w:p w14:paraId="339778E8" w14:textId="77777777" w:rsidR="00B60E1B" w:rsidRPr="006D17BE" w:rsidRDefault="00B60E1B" w:rsidP="00B60E1B">
      <w:pPr>
        <w:pStyle w:val="ListParagraph"/>
        <w:numPr>
          <w:ilvl w:val="0"/>
          <w:numId w:val="11"/>
        </w:numPr>
        <w:spacing w:after="120"/>
        <w:ind w:left="714" w:hanging="357"/>
        <w:contextualSpacing w:val="0"/>
        <w:rPr>
          <w:lang w:eastAsia="en-GB"/>
        </w:rPr>
      </w:pPr>
      <w:r w:rsidRPr="006D17BE">
        <w:rPr>
          <w:lang w:eastAsia="en-GB"/>
        </w:rPr>
        <w:t xml:space="preserve">grantee indicators (reporting and disbursement) were </w:t>
      </w:r>
      <w:r>
        <w:rPr>
          <w:lang w:eastAsia="en-GB"/>
        </w:rPr>
        <w:t xml:space="preserve">not readily available (the evaluation team had </w:t>
      </w:r>
      <w:r w:rsidRPr="006D17BE">
        <w:rPr>
          <w:lang w:eastAsia="en-GB"/>
        </w:rPr>
        <w:t>difficulty collect</w:t>
      </w:r>
      <w:r>
        <w:rPr>
          <w:lang w:eastAsia="en-GB"/>
        </w:rPr>
        <w:t>ing these)</w:t>
      </w:r>
    </w:p>
    <w:p w14:paraId="55062C01" w14:textId="77777777" w:rsidR="00B60E1B" w:rsidRDefault="00B60E1B" w:rsidP="00B60E1B">
      <w:pPr>
        <w:pStyle w:val="ListParagraph"/>
        <w:numPr>
          <w:ilvl w:val="0"/>
          <w:numId w:val="11"/>
        </w:numPr>
        <w:spacing w:after="120"/>
        <w:ind w:left="714" w:hanging="357"/>
        <w:contextualSpacing w:val="0"/>
        <w:rPr>
          <w:lang w:eastAsia="en-GB"/>
        </w:rPr>
      </w:pPr>
      <w:r w:rsidRPr="00A90476">
        <w:t xml:space="preserve">monitoring and evaluation </w:t>
      </w:r>
      <w:r>
        <w:t>efforts have lapsed as the result of staff turnover (hopefully the incoming staff can address this)</w:t>
      </w:r>
    </w:p>
    <w:p w14:paraId="68D30664" w14:textId="77777777" w:rsidR="00B60E1B" w:rsidRPr="006D17BE" w:rsidRDefault="00B60E1B" w:rsidP="00B60E1B">
      <w:pPr>
        <w:pStyle w:val="ListParagraph"/>
        <w:numPr>
          <w:ilvl w:val="0"/>
          <w:numId w:val="11"/>
        </w:numPr>
        <w:rPr>
          <w:lang w:eastAsia="en-GB"/>
        </w:rPr>
      </w:pPr>
      <w:r>
        <w:t xml:space="preserve">data from </w:t>
      </w:r>
      <w:r w:rsidRPr="00A90476">
        <w:t xml:space="preserve">M&amp;E frameworks </w:t>
      </w:r>
      <w:r>
        <w:t xml:space="preserve">that </w:t>
      </w:r>
      <w:r w:rsidRPr="00E61A49">
        <w:rPr>
          <w:noProof/>
        </w:rPr>
        <w:t>were built</w:t>
      </w:r>
      <w:r>
        <w:t xml:space="preserve"> into </w:t>
      </w:r>
      <w:r w:rsidRPr="00A90476">
        <w:t>grant agreements</w:t>
      </w:r>
      <w:r>
        <w:t xml:space="preserve"> </w:t>
      </w:r>
      <w:r w:rsidRPr="00E61A49">
        <w:rPr>
          <w:noProof/>
        </w:rPr>
        <w:t>was</w:t>
      </w:r>
      <w:r>
        <w:t xml:space="preserve"> not available (</w:t>
      </w:r>
      <w:r w:rsidRPr="00A90476">
        <w:t xml:space="preserve">specified pre/post surveys and health measurements that were planned to </w:t>
      </w:r>
      <w:r w:rsidRPr="00E61A49">
        <w:rPr>
          <w:noProof/>
        </w:rPr>
        <w:t>be conducted</w:t>
      </w:r>
      <w:r>
        <w:t xml:space="preserve"> would have been </w:t>
      </w:r>
      <w:r w:rsidRPr="00A90476">
        <w:t>useful</w:t>
      </w:r>
      <w:r>
        <w:t xml:space="preserve"> for the evaluation team)</w:t>
      </w:r>
    </w:p>
    <w:p w14:paraId="02A916FA" w14:textId="77777777" w:rsidR="00B60E1B" w:rsidRDefault="00B60E1B" w:rsidP="00B60E1B">
      <w:r w:rsidRPr="00A90476">
        <w:t xml:space="preserve">There </w:t>
      </w:r>
      <w:r>
        <w:t>is</w:t>
      </w:r>
      <w:r w:rsidRPr="00A90476">
        <w:t xml:space="preserve"> a disconnect between TongaHealth and DFAT</w:t>
      </w:r>
      <w:r>
        <w:t xml:space="preserve"> in </w:t>
      </w:r>
      <w:r w:rsidRPr="00A90476">
        <w:t>reporting requirements for THSSP2 funds</w:t>
      </w:r>
      <w:r>
        <w:t xml:space="preserve">. </w:t>
      </w:r>
      <w:r w:rsidRPr="00A90476">
        <w:t xml:space="preserve">TongaHealth </w:t>
      </w:r>
      <w:r>
        <w:t xml:space="preserve">endeavours to meet </w:t>
      </w:r>
      <w:r w:rsidRPr="00A90476">
        <w:t xml:space="preserve">financial reporting requirements set out </w:t>
      </w:r>
      <w:r>
        <w:t>under</w:t>
      </w:r>
      <w:r w:rsidRPr="00A90476">
        <w:t xml:space="preserve"> previous DFAT agreements </w:t>
      </w:r>
      <w:r>
        <w:t>whereas DFAT is seeking ‘</w:t>
      </w:r>
      <w:r w:rsidRPr="00A90476">
        <w:t>richer</w:t>
      </w:r>
      <w:r>
        <w:t>’</w:t>
      </w:r>
      <w:r w:rsidRPr="00A90476">
        <w:t xml:space="preserve"> data and conceptual details. The grant tracker</w:t>
      </w:r>
      <w:r>
        <w:t>,</w:t>
      </w:r>
      <w:r w:rsidRPr="00A90476">
        <w:t xml:space="preserve"> as well as </w:t>
      </w:r>
      <w:r w:rsidRPr="00E61A49">
        <w:rPr>
          <w:noProof/>
        </w:rPr>
        <w:t>catching-up</w:t>
      </w:r>
      <w:r>
        <w:t xml:space="preserve"> on outstanding </w:t>
      </w:r>
      <w:r w:rsidRPr="00A90476">
        <w:t>annual reports (which are near completion)</w:t>
      </w:r>
      <w:r>
        <w:t>,</w:t>
      </w:r>
      <w:r w:rsidRPr="00A90476">
        <w:t xml:space="preserve"> </w:t>
      </w:r>
      <w:r>
        <w:t>will help. A</w:t>
      </w:r>
      <w:r w:rsidRPr="00A90476">
        <w:t xml:space="preserve"> planning session between the new staff members to clarify needs and capacity </w:t>
      </w:r>
      <w:r w:rsidRPr="00420662">
        <w:rPr>
          <w:noProof/>
        </w:rPr>
        <w:t>is recommended</w:t>
      </w:r>
      <w:r>
        <w:t>.</w:t>
      </w:r>
    </w:p>
    <w:p w14:paraId="2BE336D5" w14:textId="77777777" w:rsidR="00B60E1B" w:rsidRDefault="00B60E1B" w:rsidP="008F25BD">
      <w:pPr>
        <w:pStyle w:val="BodyText"/>
        <w:rPr>
          <w:rFonts w:cstheme="minorHAnsi"/>
          <w:sz w:val="22"/>
          <w:szCs w:val="22"/>
        </w:rPr>
      </w:pPr>
      <w:r w:rsidRPr="008F25BD">
        <w:rPr>
          <w:rFonts w:asciiTheme="minorHAnsi" w:hAnsiTheme="minorHAnsi" w:cstheme="minorHAnsi"/>
          <w:sz w:val="22"/>
          <w:szCs w:val="22"/>
        </w:rPr>
        <w:t xml:space="preserve">For the year 2017/18, </w:t>
      </w:r>
      <w:r w:rsidR="004F3CED" w:rsidRPr="008F25BD">
        <w:rPr>
          <w:rFonts w:asciiTheme="minorHAnsi" w:hAnsiTheme="minorHAnsi" w:cstheme="minorHAnsi"/>
          <w:sz w:val="22"/>
          <w:szCs w:val="22"/>
        </w:rPr>
        <w:t xml:space="preserve">GoT </w:t>
      </w:r>
      <w:r w:rsidRPr="008F25BD">
        <w:rPr>
          <w:rFonts w:asciiTheme="minorHAnsi" w:hAnsiTheme="minorHAnsi" w:cstheme="minorHAnsi"/>
          <w:sz w:val="22"/>
          <w:szCs w:val="22"/>
        </w:rPr>
        <w:t xml:space="preserve">changed </w:t>
      </w:r>
      <w:r w:rsidR="004F3CED" w:rsidRPr="008F25BD">
        <w:rPr>
          <w:rFonts w:asciiTheme="minorHAnsi" w:hAnsiTheme="minorHAnsi" w:cstheme="minorHAnsi"/>
          <w:sz w:val="22"/>
          <w:szCs w:val="22"/>
        </w:rPr>
        <w:t xml:space="preserve">arrangements for how </w:t>
      </w:r>
      <w:r w:rsidRPr="008F25BD">
        <w:rPr>
          <w:rFonts w:asciiTheme="minorHAnsi" w:hAnsiTheme="minorHAnsi" w:cstheme="minorHAnsi"/>
          <w:sz w:val="22"/>
          <w:szCs w:val="22"/>
        </w:rPr>
        <w:t xml:space="preserve">funding </w:t>
      </w:r>
      <w:r w:rsidR="004F3CED" w:rsidRPr="008F25BD">
        <w:rPr>
          <w:rFonts w:asciiTheme="minorHAnsi" w:hAnsiTheme="minorHAnsi" w:cstheme="minorHAnsi"/>
          <w:sz w:val="22"/>
          <w:szCs w:val="22"/>
        </w:rPr>
        <w:t>flow</w:t>
      </w:r>
      <w:r w:rsidR="007D4AF0" w:rsidRPr="008F25BD">
        <w:rPr>
          <w:rFonts w:asciiTheme="minorHAnsi" w:hAnsiTheme="minorHAnsi" w:cstheme="minorHAnsi"/>
          <w:sz w:val="22"/>
          <w:szCs w:val="22"/>
        </w:rPr>
        <w:t>ed</w:t>
      </w:r>
      <w:r w:rsidR="004F3CED" w:rsidRPr="008F25BD">
        <w:rPr>
          <w:rFonts w:asciiTheme="minorHAnsi" w:hAnsiTheme="minorHAnsi" w:cstheme="minorHAnsi"/>
          <w:sz w:val="22"/>
          <w:szCs w:val="22"/>
        </w:rPr>
        <w:t xml:space="preserve"> to TongaHealth</w:t>
      </w:r>
      <w:r w:rsidRPr="008F25BD">
        <w:rPr>
          <w:rFonts w:asciiTheme="minorHAnsi" w:hAnsiTheme="minorHAnsi" w:cstheme="minorHAnsi"/>
          <w:sz w:val="22"/>
          <w:szCs w:val="22"/>
        </w:rPr>
        <w:t xml:space="preserve">. </w:t>
      </w:r>
      <w:r w:rsidR="001B25E3" w:rsidRPr="008F25BD">
        <w:rPr>
          <w:rFonts w:asciiTheme="minorHAnsi" w:hAnsiTheme="minorHAnsi" w:cstheme="minorHAnsi"/>
          <w:sz w:val="22"/>
          <w:szCs w:val="22"/>
        </w:rPr>
        <w:t>Rather than flowing directly to TongaHealth from MoF, funds for</w:t>
      </w:r>
      <w:r w:rsidRPr="008F25BD">
        <w:rPr>
          <w:rFonts w:asciiTheme="minorHAnsi" w:hAnsiTheme="minorHAnsi" w:cstheme="minorHAnsi"/>
          <w:sz w:val="22"/>
          <w:szCs w:val="22"/>
        </w:rPr>
        <w:t xml:space="preserve"> TongaHealth </w:t>
      </w:r>
      <w:r w:rsidR="001B25E3" w:rsidRPr="008F25BD">
        <w:rPr>
          <w:rFonts w:asciiTheme="minorHAnsi" w:hAnsiTheme="minorHAnsi" w:cstheme="minorHAnsi"/>
          <w:sz w:val="22"/>
          <w:szCs w:val="22"/>
        </w:rPr>
        <w:t xml:space="preserve">now pass through the MoH. Since the </w:t>
      </w:r>
      <w:r w:rsidRPr="008F25BD">
        <w:rPr>
          <w:rFonts w:asciiTheme="minorHAnsi" w:hAnsiTheme="minorHAnsi" w:cstheme="minorHAnsi"/>
          <w:sz w:val="22"/>
          <w:szCs w:val="22"/>
        </w:rPr>
        <w:t xml:space="preserve">MoH Health Promotion Unit </w:t>
      </w:r>
      <w:r w:rsidR="001B25E3" w:rsidRPr="008F25BD">
        <w:rPr>
          <w:rFonts w:asciiTheme="minorHAnsi" w:hAnsiTheme="minorHAnsi" w:cstheme="minorHAnsi"/>
          <w:sz w:val="22"/>
          <w:szCs w:val="22"/>
        </w:rPr>
        <w:t xml:space="preserve">is a grantee of TongaHealth, TongaHealth funding that is earmarked for the Health Promotion Unit is retained within the MoH and does not </w:t>
      </w:r>
      <w:r w:rsidRPr="008F25BD">
        <w:rPr>
          <w:rFonts w:asciiTheme="minorHAnsi" w:hAnsiTheme="minorHAnsi" w:cstheme="minorHAnsi"/>
          <w:sz w:val="22"/>
          <w:szCs w:val="22"/>
        </w:rPr>
        <w:t>pass through the TongaHealth mechanism.</w:t>
      </w:r>
      <w:r w:rsidR="001B25E3" w:rsidRPr="008F25BD" w:rsidDel="001B25E3">
        <w:rPr>
          <w:rFonts w:asciiTheme="minorHAnsi" w:hAnsiTheme="minorHAnsi" w:cstheme="minorHAnsi"/>
          <w:sz w:val="22"/>
          <w:szCs w:val="22"/>
        </w:rPr>
        <w:t xml:space="preserve"> </w:t>
      </w:r>
    </w:p>
    <w:p w14:paraId="46BB6432" w14:textId="77777777" w:rsidR="00B60E1B" w:rsidRPr="006F5945" w:rsidRDefault="006823DF" w:rsidP="00345A40">
      <w:pPr>
        <w:pStyle w:val="Heading3"/>
      </w:pPr>
      <w:bookmarkStart w:id="49" w:name="_Toc536205450"/>
      <w:r>
        <w:t>3.2.2</w:t>
      </w:r>
      <w:r>
        <w:tab/>
      </w:r>
      <w:r w:rsidR="00B60E1B" w:rsidRPr="006F5945">
        <w:t>Primary health care</w:t>
      </w:r>
      <w:bookmarkEnd w:id="49"/>
    </w:p>
    <w:p w14:paraId="1DFFA257" w14:textId="77777777" w:rsidR="00B60E1B" w:rsidRPr="00E61A49" w:rsidRDefault="00B60E1B" w:rsidP="00B60E1B">
      <w:pPr>
        <w:spacing w:after="0"/>
        <w:rPr>
          <w:i/>
        </w:rPr>
      </w:pPr>
      <w:r w:rsidRPr="00E61A49">
        <w:rPr>
          <w:i/>
        </w:rPr>
        <w:t>Detection and management of NCDs</w:t>
      </w:r>
    </w:p>
    <w:p w14:paraId="7303A4B7" w14:textId="77777777" w:rsidR="00B60E1B" w:rsidRDefault="00B60E1B" w:rsidP="00B60E1B">
      <w:r>
        <w:t>Positive</w:t>
      </w:r>
      <w:r w:rsidRPr="0054501C">
        <w:t xml:space="preserve"> improvements in NCD care </w:t>
      </w:r>
      <w:r>
        <w:t>we</w:t>
      </w:r>
      <w:r w:rsidRPr="0054501C">
        <w:t>re</w:t>
      </w:r>
      <w:r>
        <w:t xml:space="preserve"> evident and</w:t>
      </w:r>
      <w:r w:rsidRPr="0054501C">
        <w:t xml:space="preserve"> linked to THSSP initiatives</w:t>
      </w:r>
      <w:r>
        <w:t xml:space="preserve"> (phases 1 and 2)</w:t>
      </w:r>
      <w:r w:rsidRPr="0054501C">
        <w:t xml:space="preserve">. </w:t>
      </w:r>
      <w:r>
        <w:t xml:space="preserve">For example, </w:t>
      </w:r>
      <w:r w:rsidR="0080075C">
        <w:t>reports</w:t>
      </w:r>
      <w:r>
        <w:t xml:space="preserve"> from the Vaiola Hospital</w:t>
      </w:r>
      <w:r w:rsidRPr="0054501C">
        <w:t xml:space="preserve"> Diabetes Centre</w:t>
      </w:r>
      <w:r>
        <w:t xml:space="preserve"> indicates that, with THSSP2 support,</w:t>
      </w:r>
      <w:r w:rsidRPr="0054501C">
        <w:t xml:space="preserve"> </w:t>
      </w:r>
      <w:r>
        <w:t xml:space="preserve">the Centre </w:t>
      </w:r>
      <w:r w:rsidRPr="0054501C">
        <w:t xml:space="preserve">has worked to improve </w:t>
      </w:r>
      <w:r w:rsidRPr="00420662">
        <w:rPr>
          <w:noProof/>
        </w:rPr>
        <w:t>patient-centred</w:t>
      </w:r>
      <w:r w:rsidRPr="0054501C">
        <w:t xml:space="preserve"> care to achieve a lower level of defaulters</w:t>
      </w:r>
      <w:r w:rsidR="00C54968">
        <w:t xml:space="preserve"> (i.e. </w:t>
      </w:r>
      <w:r w:rsidR="000A15D4">
        <w:t xml:space="preserve">to </w:t>
      </w:r>
      <w:r w:rsidR="00C54968">
        <w:t xml:space="preserve">reduce the </w:t>
      </w:r>
      <w:r w:rsidR="000A15D4">
        <w:t>number</w:t>
      </w:r>
      <w:r w:rsidR="00C54968">
        <w:t xml:space="preserve"> of </w:t>
      </w:r>
      <w:r w:rsidR="000A15D4">
        <w:t>diabetics</w:t>
      </w:r>
      <w:r w:rsidR="005C5648">
        <w:t xml:space="preserve"> </w:t>
      </w:r>
      <w:r w:rsidR="000A15D4">
        <w:t xml:space="preserve">who cease or skip </w:t>
      </w:r>
      <w:r w:rsidR="00C54968">
        <w:t>treatment)</w:t>
      </w:r>
      <w:r w:rsidRPr="0054501C">
        <w:t xml:space="preserve"> and greatly improved NCD management </w:t>
      </w:r>
      <w:r>
        <w:t>of</w:t>
      </w:r>
      <w:r w:rsidRPr="0054501C">
        <w:t xml:space="preserve"> </w:t>
      </w:r>
      <w:r>
        <w:t xml:space="preserve">diabetic </w:t>
      </w:r>
      <w:r w:rsidRPr="0054501C">
        <w:t>patients. The provision of an HBA1c machine has allowed for assessment of long-term diabetes management</w:t>
      </w:r>
      <w:r w:rsidR="00E61A49">
        <w:t>,</w:t>
      </w:r>
      <w:r w:rsidRPr="0054501C">
        <w:t xml:space="preserve"> </w:t>
      </w:r>
      <w:r w:rsidRPr="00420662">
        <w:rPr>
          <w:noProof/>
        </w:rPr>
        <w:t>and</w:t>
      </w:r>
      <w:r w:rsidRPr="0054501C">
        <w:t xml:space="preserve"> verbal reports suggest the average HBA1c levels of patients has fallen from 11 to 8 mmol/mol. These are substantial improvements</w:t>
      </w:r>
      <w:r w:rsidR="00E61A49">
        <w:t>,</w:t>
      </w:r>
      <w:r w:rsidRPr="0054501C">
        <w:t xml:space="preserve"> </w:t>
      </w:r>
      <w:r w:rsidRPr="00420662">
        <w:rPr>
          <w:noProof/>
        </w:rPr>
        <w:t>and</w:t>
      </w:r>
      <w:r w:rsidRPr="0054501C">
        <w:t xml:space="preserve"> </w:t>
      </w:r>
      <w:r>
        <w:t>the Diabetes Centre</w:t>
      </w:r>
      <w:r w:rsidRPr="0054501C">
        <w:t xml:space="preserve"> is encouraged to publish these reports. It is also advised to apply lessons learned from the </w:t>
      </w:r>
      <w:r>
        <w:t>D</w:t>
      </w:r>
      <w:r w:rsidRPr="0054501C">
        <w:t xml:space="preserve">iabetes </w:t>
      </w:r>
      <w:r>
        <w:t>C</w:t>
      </w:r>
      <w:r w:rsidRPr="0054501C">
        <w:t xml:space="preserve">entre in improving the care of diabetic patients </w:t>
      </w:r>
      <w:r>
        <w:t>to services around the country.</w:t>
      </w:r>
    </w:p>
    <w:p w14:paraId="6DD2FAC3" w14:textId="77777777" w:rsidR="00B60E1B" w:rsidRDefault="00B60E1B" w:rsidP="00B60E1B">
      <w:r>
        <w:t>The evaluation team heard positive reports on the NCD nurses (trained under THSSP1 and further supported under THSSP2)</w:t>
      </w:r>
      <w:r w:rsidRPr="0054501C">
        <w:t xml:space="preserve">. </w:t>
      </w:r>
      <w:r>
        <w:t>Seventeen (</w:t>
      </w:r>
      <w:r w:rsidRPr="0054501C">
        <w:t>1</w:t>
      </w:r>
      <w:r>
        <w:t>7) of the 20 NCD n</w:t>
      </w:r>
      <w:r w:rsidRPr="0054501C">
        <w:t xml:space="preserve">urses </w:t>
      </w:r>
      <w:r>
        <w:t xml:space="preserve">trained </w:t>
      </w:r>
      <w:r w:rsidRPr="0054501C">
        <w:t>re</w:t>
      </w:r>
      <w:r>
        <w:t>main in practic</w:t>
      </w:r>
      <w:r w:rsidRPr="0054501C">
        <w:t xml:space="preserve">e and </w:t>
      </w:r>
      <w:r w:rsidRPr="0054501C">
        <w:lastRenderedPageBreak/>
        <w:t xml:space="preserve">appear to show good leadership in NCD care with patients enjoying smoother care pathways and referrals. </w:t>
      </w:r>
      <w:r>
        <w:t>MoH</w:t>
      </w:r>
      <w:r w:rsidRPr="0054501C">
        <w:t xml:space="preserve"> staff suggest</w:t>
      </w:r>
      <w:r>
        <w:t>ed that</w:t>
      </w:r>
      <w:r w:rsidRPr="0054501C">
        <w:t xml:space="preserve"> this has improved</w:t>
      </w:r>
      <w:r>
        <w:t xml:space="preserve"> reporting of NCD data (not </w:t>
      </w:r>
      <w:r w:rsidRPr="0054501C">
        <w:t>viewed</w:t>
      </w:r>
      <w:r>
        <w:t xml:space="preserve"> by the evaluation team)</w:t>
      </w:r>
      <w:r w:rsidRPr="0054501C">
        <w:t xml:space="preserve"> and there is a w</w:t>
      </w:r>
      <w:r w:rsidRPr="00AF2BF1">
        <w:t xml:space="preserve">idespread desire to expand the NCD nurse program </w:t>
      </w:r>
      <w:r>
        <w:t xml:space="preserve">by repeating the </w:t>
      </w:r>
      <w:r w:rsidRPr="004A7399">
        <w:t xml:space="preserve">course </w:t>
      </w:r>
      <w:r>
        <w:t xml:space="preserve">for new cohorts </w:t>
      </w:r>
      <w:r w:rsidRPr="004A7399">
        <w:t>of NCD nurses, and expand their skills and abilities in conducting research, leadership and prescribing rights.</w:t>
      </w:r>
      <w:r w:rsidRPr="0054501C">
        <w:t xml:space="preserve"> Within the community setting of Ha’apai the benefit of the NCD nurse was very apparent with well-structured clinics and home visits easing the doctors’ workload and providing the NCD nurse with a great sense of pride and responsibility where she would persist with contacting defaulters and motivating patients with poor control as well as running exercise programmes for patients. </w:t>
      </w:r>
      <w:r>
        <w:t xml:space="preserve">There is interest in </w:t>
      </w:r>
      <w:r w:rsidRPr="0054501C">
        <w:t xml:space="preserve">training </w:t>
      </w:r>
      <w:r>
        <w:t xml:space="preserve">more </w:t>
      </w:r>
      <w:r w:rsidRPr="0054501C">
        <w:t>NCD nurse</w:t>
      </w:r>
      <w:r>
        <w:t xml:space="preserve">s with content </w:t>
      </w:r>
      <w:r w:rsidRPr="0054501C">
        <w:t>extending into research, leadership and management.</w:t>
      </w:r>
    </w:p>
    <w:p w14:paraId="51EAF576" w14:textId="77777777" w:rsidR="00B60E1B" w:rsidRPr="00E61A49" w:rsidRDefault="00B60E1B" w:rsidP="00B60E1B">
      <w:pPr>
        <w:spacing w:after="0"/>
        <w:rPr>
          <w:i/>
        </w:rPr>
      </w:pPr>
      <w:r w:rsidRPr="00E61A49">
        <w:rPr>
          <w:i/>
        </w:rPr>
        <w:t>Package of Essential Health Services (PEHS)</w:t>
      </w:r>
    </w:p>
    <w:p w14:paraId="3DD79BFD" w14:textId="77777777" w:rsidR="00B60E1B" w:rsidRDefault="00B60E1B" w:rsidP="00B60E1B">
      <w:r w:rsidRPr="004A7399">
        <w:t>The P</w:t>
      </w:r>
      <w:r>
        <w:t xml:space="preserve">EHS document, at </w:t>
      </w:r>
      <w:r w:rsidRPr="00420662">
        <w:rPr>
          <w:noProof/>
        </w:rPr>
        <w:t>pre-publication</w:t>
      </w:r>
      <w:r>
        <w:t xml:space="preserve"> final draft stage at the time of the midterm evaluation, specifies:</w:t>
      </w:r>
    </w:p>
    <w:p w14:paraId="138816E0" w14:textId="77777777" w:rsidR="00B60E1B" w:rsidRPr="008E3131" w:rsidRDefault="00B60E1B" w:rsidP="006719C2">
      <w:pPr>
        <w:pStyle w:val="ListParagraph"/>
        <w:numPr>
          <w:ilvl w:val="0"/>
          <w:numId w:val="44"/>
        </w:numPr>
        <w:spacing w:after="120"/>
        <w:ind w:left="714" w:hanging="357"/>
        <w:contextualSpacing w:val="0"/>
      </w:pPr>
      <w:r>
        <w:rPr>
          <w:szCs w:val="23"/>
        </w:rPr>
        <w:t xml:space="preserve">the </w:t>
      </w:r>
      <w:r w:rsidRPr="00F646AE">
        <w:rPr>
          <w:szCs w:val="23"/>
        </w:rPr>
        <w:t xml:space="preserve">health </w:t>
      </w:r>
      <w:r>
        <w:rPr>
          <w:szCs w:val="23"/>
        </w:rPr>
        <w:t xml:space="preserve">services that are considered </w:t>
      </w:r>
      <w:r w:rsidR="00760392">
        <w:rPr>
          <w:szCs w:val="23"/>
        </w:rPr>
        <w:t>‘</w:t>
      </w:r>
      <w:r>
        <w:rPr>
          <w:szCs w:val="23"/>
        </w:rPr>
        <w:t>essential</w:t>
      </w:r>
      <w:r w:rsidR="00760392">
        <w:rPr>
          <w:szCs w:val="23"/>
        </w:rPr>
        <w:t>’</w:t>
      </w:r>
      <w:r>
        <w:rPr>
          <w:szCs w:val="23"/>
        </w:rPr>
        <w:t xml:space="preserve"> at each delineation level of the referral system, and</w:t>
      </w:r>
    </w:p>
    <w:p w14:paraId="66E23A4F" w14:textId="77777777" w:rsidR="00B60E1B" w:rsidRDefault="00B60E1B" w:rsidP="006719C2">
      <w:pPr>
        <w:pStyle w:val="ListParagraph"/>
        <w:numPr>
          <w:ilvl w:val="0"/>
          <w:numId w:val="44"/>
        </w:numPr>
      </w:pPr>
      <w:r w:rsidRPr="004A7399">
        <w:t xml:space="preserve">the </w:t>
      </w:r>
      <w:r>
        <w:t>delivery system inputs (infrastructure</w:t>
      </w:r>
      <w:r w:rsidRPr="004A7399">
        <w:t>, drugs and equipment</w:t>
      </w:r>
      <w:r>
        <w:t>)</w:t>
      </w:r>
      <w:r w:rsidRPr="004A7399">
        <w:t xml:space="preserve"> needed to provide these services</w:t>
      </w:r>
      <w:r>
        <w:t>.</w:t>
      </w:r>
    </w:p>
    <w:p w14:paraId="0FE3C59D" w14:textId="77777777" w:rsidR="00B60E1B" w:rsidRPr="008E3131" w:rsidRDefault="00B60E1B" w:rsidP="00B60E1B">
      <w:r>
        <w:t xml:space="preserve">The document includes a description of </w:t>
      </w:r>
      <w:r w:rsidRPr="004A7399">
        <w:t>how services will be made accessible to the most remote island</w:t>
      </w:r>
      <w:r>
        <w:t xml:space="preserve"> </w:t>
      </w:r>
      <w:r w:rsidRPr="004A7399">
        <w:t>communities</w:t>
      </w:r>
      <w:r>
        <w:t xml:space="preserve">, and how gender and disability-inclusion will </w:t>
      </w:r>
      <w:r w:rsidRPr="00420662">
        <w:rPr>
          <w:noProof/>
        </w:rPr>
        <w:t>be mainstreamed</w:t>
      </w:r>
      <w:r>
        <w:t>. The MoH intends to proceed with publication of the PEHS as a formal policy statement</w:t>
      </w:r>
      <w:r w:rsidR="007B7FEE">
        <w:t xml:space="preserve"> in early 2019</w:t>
      </w:r>
      <w:r>
        <w:t>. The development of such a policy document is one of the identified objectives of THSSP2</w:t>
      </w:r>
      <w:r w:rsidR="00420662">
        <w:t>,</w:t>
      </w:r>
      <w:r>
        <w:t xml:space="preserve"> </w:t>
      </w:r>
      <w:r w:rsidRPr="00420662">
        <w:rPr>
          <w:noProof/>
        </w:rPr>
        <w:t>and</w:t>
      </w:r>
      <w:r>
        <w:t xml:space="preserve"> THSSP2 annual funding has supported the consultation processes leading to the current draft document.</w:t>
      </w:r>
    </w:p>
    <w:p w14:paraId="3020D481" w14:textId="77777777" w:rsidR="00B60E1B" w:rsidRDefault="00B60E1B" w:rsidP="00B60E1B">
      <w:r>
        <w:t xml:space="preserve">The PEHS indicates that NCD management will </w:t>
      </w:r>
      <w:r w:rsidRPr="00420662">
        <w:rPr>
          <w:noProof/>
        </w:rPr>
        <w:t>be mainstreamed</w:t>
      </w:r>
      <w:r>
        <w:t xml:space="preserve"> into primary health care. The PEHS incorporates the core interventions in the WHO Package of Essential NCD Interventions (PEN) and ‘best buy’ </w:t>
      </w:r>
      <w:r w:rsidRPr="00420662">
        <w:rPr>
          <w:noProof/>
        </w:rPr>
        <w:t>cost</w:t>
      </w:r>
      <w:r w:rsidR="00420662" w:rsidRPr="00420662">
        <w:rPr>
          <w:noProof/>
        </w:rPr>
        <w:t>-</w:t>
      </w:r>
      <w:r w:rsidRPr="00420662">
        <w:rPr>
          <w:noProof/>
        </w:rPr>
        <w:t>effective</w:t>
      </w:r>
      <w:r>
        <w:t xml:space="preserve"> interventions for NCD control. The PEHS provides direction to broaden</w:t>
      </w:r>
      <w:r w:rsidRPr="0054501C">
        <w:t xml:space="preserve"> services from the sole focus on </w:t>
      </w:r>
      <w:r>
        <w:t>diabetes (T2DM)</w:t>
      </w:r>
      <w:r w:rsidRPr="0054501C">
        <w:t xml:space="preserve"> and heart disease to include cancer and COPD</w:t>
      </w:r>
      <w:r>
        <w:t>.</w:t>
      </w:r>
      <w:r w:rsidRPr="0054501C">
        <w:t xml:space="preserve"> </w:t>
      </w:r>
      <w:r w:rsidRPr="00420662">
        <w:rPr>
          <w:noProof/>
        </w:rPr>
        <w:t>This</w:t>
      </w:r>
      <w:r w:rsidRPr="0054501C">
        <w:t xml:space="preserve"> aligns to international guidelines and the </w:t>
      </w:r>
      <w:r>
        <w:t>Sustainable Development Goals (</w:t>
      </w:r>
      <w:r w:rsidRPr="0054501C">
        <w:t>SDGs</w:t>
      </w:r>
      <w:r>
        <w:t>)</w:t>
      </w:r>
      <w:r w:rsidRPr="0054501C">
        <w:t xml:space="preserve">. </w:t>
      </w:r>
      <w:r w:rsidRPr="00420662">
        <w:rPr>
          <w:noProof/>
        </w:rPr>
        <w:t>This</w:t>
      </w:r>
      <w:r w:rsidRPr="0054501C">
        <w:t xml:space="preserve"> is a positive move for Tonga where COPD</w:t>
      </w:r>
      <w:r w:rsidR="00420662">
        <w:t>,</w:t>
      </w:r>
      <w:r w:rsidRPr="0054501C">
        <w:t xml:space="preserve"> </w:t>
      </w:r>
      <w:r w:rsidRPr="00420662">
        <w:rPr>
          <w:noProof/>
        </w:rPr>
        <w:t>in particular</w:t>
      </w:r>
      <w:r w:rsidR="00420662" w:rsidRPr="00420662">
        <w:rPr>
          <w:noProof/>
        </w:rPr>
        <w:t>,</w:t>
      </w:r>
      <w:r w:rsidRPr="0054501C">
        <w:t xml:space="preserve"> has a substantial impact on premature death and disability. It has also raised the profile of mental </w:t>
      </w:r>
      <w:r w:rsidRPr="00420662">
        <w:rPr>
          <w:noProof/>
        </w:rPr>
        <w:t>health</w:t>
      </w:r>
      <w:r w:rsidRPr="0054501C">
        <w:t xml:space="preserve"> and promotes a lifecycle approach to NCD prevention via the inclusion of ‘First 1000 days’ components. For the control of diabetes and heart disease</w:t>
      </w:r>
      <w:r>
        <w:t>, the PEHS</w:t>
      </w:r>
      <w:r w:rsidRPr="0054501C">
        <w:t xml:space="preserve"> and </w:t>
      </w:r>
      <w:r>
        <w:t xml:space="preserve">a </w:t>
      </w:r>
      <w:r w:rsidRPr="0054501C">
        <w:t>revision of the essential drugs list (EDL), promote consistent service provision and reduce the likelihood of medication shortages</w:t>
      </w:r>
      <w:r>
        <w:t xml:space="preserve">. The PEHS provides a framework for improving NCD management by informing planning, financing and monitoring. </w:t>
      </w:r>
      <w:r w:rsidRPr="0054501C">
        <w:t xml:space="preserve">The impact of PEHS now depends on </w:t>
      </w:r>
      <w:r>
        <w:t>official publication and an</w:t>
      </w:r>
      <w:r w:rsidRPr="0054501C">
        <w:t xml:space="preserve"> effective</w:t>
      </w:r>
      <w:r>
        <w:t xml:space="preserve"> rollout strategy. THSSP2 funding has been instrumental in supporting the PEHS development.</w:t>
      </w:r>
    </w:p>
    <w:p w14:paraId="768522BD" w14:textId="77777777" w:rsidR="00B60E1B" w:rsidRDefault="00B60E1B" w:rsidP="00B60E1B">
      <w:r>
        <w:t>Although THSSP2</w:t>
      </w:r>
      <w:r w:rsidRPr="0054501C">
        <w:t xml:space="preserve"> </w:t>
      </w:r>
      <w:r>
        <w:t xml:space="preserve">M&amp;E Framework </w:t>
      </w:r>
      <w:r w:rsidRPr="0054501C">
        <w:t xml:space="preserve">data on current NCD management (including the number of health centres screening for NCDs plus new cases of </w:t>
      </w:r>
      <w:r>
        <w:t>diabetes (</w:t>
      </w:r>
      <w:r w:rsidRPr="0054501C">
        <w:t>T2DM</w:t>
      </w:r>
      <w:r>
        <w:t>)</w:t>
      </w:r>
      <w:r w:rsidRPr="0054501C">
        <w:t xml:space="preserve"> and hypertension) w</w:t>
      </w:r>
      <w:r>
        <w:t>ere</w:t>
      </w:r>
      <w:r w:rsidRPr="0054501C">
        <w:t xml:space="preserve"> not available, the </w:t>
      </w:r>
      <w:r>
        <w:t xml:space="preserve">PEHS </w:t>
      </w:r>
      <w:r w:rsidRPr="0054501C">
        <w:t>baseline survey provides a snapshot of service availability and gaps for all NCDs.</w:t>
      </w:r>
      <w:r>
        <w:t xml:space="preserve"> The baseline survey shows that essential services for COPD and cancer management/prevention are not currently present in the majority of primary health care facilities. Most key heart disease and diabetes management interventions are </w:t>
      </w:r>
      <w:r w:rsidRPr="00420662">
        <w:rPr>
          <w:noProof/>
        </w:rPr>
        <w:t>being delivered</w:t>
      </w:r>
      <w:r>
        <w:t>, though areas such as lifestyle counselling and diabetic foot care require urgent attention in all health facilities.</w:t>
      </w:r>
    </w:p>
    <w:p w14:paraId="6C92B09B" w14:textId="17485222" w:rsidR="00B60E1B" w:rsidRDefault="00B60E1B" w:rsidP="00B60E1B">
      <w:r>
        <w:t xml:space="preserve">Full achievement of the standards in the PEHS has </w:t>
      </w:r>
      <w:r w:rsidRPr="00420662">
        <w:rPr>
          <w:noProof/>
        </w:rPr>
        <w:t>significant</w:t>
      </w:r>
      <w:r>
        <w:t xml:space="preserve"> workforce, infrastructure, equipment, </w:t>
      </w:r>
      <w:r w:rsidRPr="0054501C">
        <w:t>training</w:t>
      </w:r>
      <w:r>
        <w:t>, and supervision costs</w:t>
      </w:r>
      <w:r w:rsidRPr="0054501C">
        <w:t xml:space="preserve"> </w:t>
      </w:r>
      <w:r>
        <w:t xml:space="preserve">that are as yet unknown. In 2019 the World Bank will commence a </w:t>
      </w:r>
      <w:r w:rsidR="005B0621">
        <w:lastRenderedPageBreak/>
        <w:t xml:space="preserve">facilities </w:t>
      </w:r>
      <w:r>
        <w:t xml:space="preserve">costing exercise that is expected to provide financing guidelines by 2020-21. Sources of </w:t>
      </w:r>
      <w:r w:rsidRPr="005511D5">
        <w:t xml:space="preserve">finance have not </w:t>
      </w:r>
      <w:r w:rsidRPr="00420662">
        <w:rPr>
          <w:noProof/>
        </w:rPr>
        <w:t>been identified</w:t>
      </w:r>
      <w:r w:rsidRPr="005511D5">
        <w:t xml:space="preserve">. Given </w:t>
      </w:r>
      <w:r>
        <w:t xml:space="preserve">that the PEHS is the vehicle for </w:t>
      </w:r>
      <w:r w:rsidRPr="00420662">
        <w:rPr>
          <w:noProof/>
        </w:rPr>
        <w:t>ach</w:t>
      </w:r>
      <w:r w:rsidRPr="005511D5">
        <w:t xml:space="preserve">ievement of the THSSP2 </w:t>
      </w:r>
      <w:r>
        <w:t xml:space="preserve">high-level target </w:t>
      </w:r>
      <w:r w:rsidRPr="00480A33">
        <w:rPr>
          <w:i/>
        </w:rPr>
        <w:t>‘develop and implement a plan with strategies to increase NCD management as part of universal health coverage leading to efficiencies and budget cost savings through the program’</w:t>
      </w:r>
      <w:r>
        <w:t>, financing of the PEHS has become a strategic concern for THSSP2.</w:t>
      </w:r>
    </w:p>
    <w:p w14:paraId="528E2591" w14:textId="77777777" w:rsidR="00B60E1B" w:rsidRPr="00420662" w:rsidRDefault="00B60E1B" w:rsidP="00B60E1B">
      <w:pPr>
        <w:spacing w:after="0"/>
        <w:rPr>
          <w:i/>
        </w:rPr>
      </w:pPr>
      <w:r w:rsidRPr="00420662">
        <w:rPr>
          <w:i/>
        </w:rPr>
        <w:t>Workforce</w:t>
      </w:r>
    </w:p>
    <w:p w14:paraId="3243FDE0" w14:textId="77777777" w:rsidR="00B60E1B" w:rsidRDefault="00B60E1B" w:rsidP="00B60E1B">
      <w:r>
        <w:t xml:space="preserve">Although Tonga enjoys a relatively higher workforce density of doctors and nurses in comparison to other Pacific Island countries, the allied health workforce </w:t>
      </w:r>
      <w:r w:rsidRPr="00420662">
        <w:rPr>
          <w:noProof/>
        </w:rPr>
        <w:t>is limited</w:t>
      </w:r>
      <w:r>
        <w:t xml:space="preserve"> with only one physiotherapist and three nutritionists/dietitians providing secondary health care services at Vaiola Hospital. Capacity for the provision of specialised ‘healthy lifestyle’ interventions and NCD-related rehabilitation services in primary health care is therefore limited and relies heavily on the nursing workforce. The PEHS signals that strengthening of NCD services (including counselling on healthy lifestyles for primary prevention) will be effectively ‘mainstreamed’ into universal health coverage but the</w:t>
      </w:r>
      <w:r w:rsidRPr="0054501C">
        <w:t xml:space="preserve"> capacity </w:t>
      </w:r>
      <w:r>
        <w:t xml:space="preserve">of the nursing workforce </w:t>
      </w:r>
      <w:r w:rsidRPr="0054501C">
        <w:t xml:space="preserve">to deliver </w:t>
      </w:r>
      <w:r>
        <w:t xml:space="preserve">these specialised lifestyle interventions and rehabilitation </w:t>
      </w:r>
      <w:r w:rsidRPr="0054501C">
        <w:t xml:space="preserve">elements of the PEHS </w:t>
      </w:r>
      <w:r>
        <w:t>is uncertain</w:t>
      </w:r>
      <w:r w:rsidRPr="0054501C">
        <w:t>. The</w:t>
      </w:r>
      <w:r w:rsidR="00480E2F">
        <w:t xml:space="preserve"> e</w:t>
      </w:r>
      <w:r w:rsidR="009551DB">
        <w:t xml:space="preserve">valuation </w:t>
      </w:r>
      <w:r w:rsidR="00480E2F">
        <w:t>t</w:t>
      </w:r>
      <w:r w:rsidR="009551DB">
        <w:t xml:space="preserve">eam concurred with </w:t>
      </w:r>
      <w:r w:rsidR="00B62E26">
        <w:t>various parties (including nurses) who</w:t>
      </w:r>
      <w:r w:rsidR="008662FF">
        <w:t xml:space="preserve"> expressed </w:t>
      </w:r>
      <w:r w:rsidRPr="0054501C">
        <w:t xml:space="preserve">concern that </w:t>
      </w:r>
      <w:r>
        <w:t>nurses</w:t>
      </w:r>
      <w:r w:rsidRPr="0054501C">
        <w:t xml:space="preserve"> will be </w:t>
      </w:r>
      <w:r w:rsidR="008662FF">
        <w:t xml:space="preserve">potentially </w:t>
      </w:r>
      <w:r w:rsidRPr="0054501C">
        <w:t>overburdened with counselling requirements to cover NCDs, gender-based violence and mental health.</w:t>
      </w:r>
    </w:p>
    <w:p w14:paraId="756F37D0" w14:textId="77777777" w:rsidR="00B60E1B" w:rsidRPr="0054501C" w:rsidRDefault="00B60E1B" w:rsidP="00B60E1B">
      <w:r>
        <w:t>The PEHS b</w:t>
      </w:r>
      <w:r w:rsidRPr="0054501C">
        <w:t xml:space="preserve">aseline </w:t>
      </w:r>
      <w:r>
        <w:t>survey</w:t>
      </w:r>
      <w:r w:rsidRPr="0054501C">
        <w:t xml:space="preserve"> and interviews with nurses indicate </w:t>
      </w:r>
      <w:r>
        <w:t>that</w:t>
      </w:r>
      <w:r w:rsidRPr="0054501C">
        <w:t xml:space="preserve"> </w:t>
      </w:r>
      <w:r>
        <w:t xml:space="preserve">further </w:t>
      </w:r>
      <w:r w:rsidRPr="0054501C">
        <w:t xml:space="preserve">training </w:t>
      </w:r>
      <w:r>
        <w:t xml:space="preserve">of nurses </w:t>
      </w:r>
      <w:r w:rsidRPr="00420662">
        <w:rPr>
          <w:noProof/>
        </w:rPr>
        <w:t>is needed</w:t>
      </w:r>
      <w:r>
        <w:t xml:space="preserve"> </w:t>
      </w:r>
      <w:r w:rsidRPr="00420662">
        <w:rPr>
          <w:noProof/>
        </w:rPr>
        <w:t>in order to</w:t>
      </w:r>
      <w:r>
        <w:t xml:space="preserve"> develop </w:t>
      </w:r>
      <w:r w:rsidRPr="00420662">
        <w:rPr>
          <w:noProof/>
        </w:rPr>
        <w:t>capacity</w:t>
      </w:r>
      <w:r>
        <w:t xml:space="preserve"> to deliver the services indicated in the </w:t>
      </w:r>
      <w:r w:rsidRPr="0054501C">
        <w:t xml:space="preserve">PEHS. Key areas linked to the quality of NCD management include the delivery of behaviour change interventions for reducing </w:t>
      </w:r>
      <w:r w:rsidRPr="00420662">
        <w:rPr>
          <w:noProof/>
        </w:rPr>
        <w:t>risk</w:t>
      </w:r>
      <w:r w:rsidRPr="0054501C">
        <w:t xml:space="preserve"> of NCDs and improving management. Options such as motivational interviewing and behavioural activation should </w:t>
      </w:r>
      <w:r w:rsidRPr="00420662">
        <w:rPr>
          <w:noProof/>
        </w:rPr>
        <w:t>be explored</w:t>
      </w:r>
      <w:r w:rsidRPr="0054501C">
        <w:t xml:space="preserve">, as well as the availability of regional tools for patient counselling </w:t>
      </w:r>
      <w:r>
        <w:t xml:space="preserve">such as those produced by The Pacific Community (SPC). </w:t>
      </w:r>
      <w:r w:rsidRPr="0054501C">
        <w:t xml:space="preserve">Training also needs to ensure local relevance </w:t>
      </w:r>
      <w:r w:rsidRPr="00420662">
        <w:rPr>
          <w:noProof/>
        </w:rPr>
        <w:t>in relation to</w:t>
      </w:r>
      <w:r w:rsidRPr="0054501C">
        <w:t xml:space="preserve"> both lifestyle factors and medication use. A key factor to address is the influence of traditional medicine on adherence to recommended drug therapy. </w:t>
      </w:r>
      <w:r w:rsidRPr="00420662">
        <w:rPr>
          <w:noProof/>
        </w:rPr>
        <w:t>This</w:t>
      </w:r>
      <w:r w:rsidRPr="0054501C">
        <w:t xml:space="preserve"> was </w:t>
      </w:r>
      <w:r>
        <w:t>considered by informants at Niu’ui Hospital to be</w:t>
      </w:r>
      <w:r w:rsidRPr="0054501C">
        <w:t xml:space="preserve"> a determinant of poor NCD control in up to 40% of NCD cases in Ha’apai and </w:t>
      </w:r>
      <w:r>
        <w:t>w</w:t>
      </w:r>
      <w:r w:rsidRPr="0054501C">
        <w:t>as identi</w:t>
      </w:r>
      <w:r>
        <w:t>fied by the 2015 Health System Review as a core source of out-of-</w:t>
      </w:r>
      <w:r w:rsidRPr="0054501C">
        <w:t xml:space="preserve">pocket expenses. Improvement in diabetic foot care </w:t>
      </w:r>
      <w:r w:rsidRPr="00420662">
        <w:rPr>
          <w:noProof/>
        </w:rPr>
        <w:t>in order to</w:t>
      </w:r>
      <w:r w:rsidRPr="0054501C">
        <w:t xml:space="preserve"> prevent disability is also a priority area, nurses in more remote settings highlighted that this training needs to account for different resource availability for procedures, and patient circumstances in areas away from Nuku</w:t>
      </w:r>
      <w:r>
        <w:t>’alofa.</w:t>
      </w:r>
    </w:p>
    <w:p w14:paraId="46BD24AB" w14:textId="77777777" w:rsidR="00B60E1B" w:rsidRPr="0054501C" w:rsidRDefault="005C5648" w:rsidP="00B60E1B">
      <w:pPr>
        <w:spacing w:after="200" w:line="276" w:lineRule="auto"/>
      </w:pPr>
      <w:r>
        <w:t>R</w:t>
      </w:r>
      <w:r w:rsidR="00B60E1B" w:rsidRPr="0054501C">
        <w:t>eports</w:t>
      </w:r>
      <w:r>
        <w:t xml:space="preserve"> </w:t>
      </w:r>
      <w:r w:rsidR="00DA2CF2">
        <w:t>from nurses and development practitioners</w:t>
      </w:r>
      <w:r>
        <w:t xml:space="preserve"> </w:t>
      </w:r>
      <w:r w:rsidR="00B60E1B" w:rsidRPr="0054501C">
        <w:t xml:space="preserve">suggest the nursing workforce has </w:t>
      </w:r>
      <w:r w:rsidR="00B60E1B">
        <w:t>been very prompt with reporting</w:t>
      </w:r>
      <w:r w:rsidR="00B60E1B" w:rsidRPr="0054501C">
        <w:t xml:space="preserve"> and taking up new technologies in their reporting</w:t>
      </w:r>
      <w:r w:rsidR="00B60E1B">
        <w:t>,</w:t>
      </w:r>
      <w:r w:rsidR="00B60E1B" w:rsidRPr="0054501C">
        <w:t xml:space="preserve"> no data on this was available for the review team to assess this</w:t>
      </w:r>
      <w:r w:rsidR="00B60E1B">
        <w:t>,</w:t>
      </w:r>
      <w:r w:rsidR="00B60E1B" w:rsidRPr="0054501C">
        <w:t xml:space="preserve"> suggesting a gap in </w:t>
      </w:r>
      <w:r w:rsidR="00B60E1B">
        <w:t>the</w:t>
      </w:r>
      <w:r w:rsidR="00B60E1B" w:rsidRPr="0054501C">
        <w:t xml:space="preserve"> central collation of this data.</w:t>
      </w:r>
    </w:p>
    <w:p w14:paraId="61348292" w14:textId="77777777" w:rsidR="00B60E1B" w:rsidRPr="00420662" w:rsidRDefault="00B60E1B" w:rsidP="00B60E1B">
      <w:pPr>
        <w:spacing w:after="0"/>
        <w:rPr>
          <w:i/>
        </w:rPr>
      </w:pPr>
      <w:r w:rsidRPr="00420662">
        <w:rPr>
          <w:i/>
        </w:rPr>
        <w:t>Management arrangements for service provision</w:t>
      </w:r>
    </w:p>
    <w:p w14:paraId="3681FBB3" w14:textId="77777777" w:rsidR="00B60E1B" w:rsidRDefault="00B60E1B" w:rsidP="00B60E1B">
      <w:r w:rsidRPr="0054501C">
        <w:t xml:space="preserve">Outreach </w:t>
      </w:r>
      <w:r>
        <w:t xml:space="preserve">services for the proactive management of </w:t>
      </w:r>
      <w:r w:rsidRPr="0054501C">
        <w:t>NCD</w:t>
      </w:r>
      <w:r>
        <w:t>s</w:t>
      </w:r>
      <w:r w:rsidRPr="0054501C">
        <w:t xml:space="preserve"> </w:t>
      </w:r>
      <w:r>
        <w:t xml:space="preserve">are key </w:t>
      </w:r>
      <w:r w:rsidRPr="0054501C">
        <w:t>to improv</w:t>
      </w:r>
      <w:r>
        <w:t>ing</w:t>
      </w:r>
      <w:r w:rsidRPr="0054501C">
        <w:t xml:space="preserve"> health outcomes. </w:t>
      </w:r>
      <w:r>
        <w:t xml:space="preserve">Without outreach, there was potential for NCD patients to delay travel to health facilities for wound examinations or to obtain medication refills. </w:t>
      </w:r>
      <w:r w:rsidRPr="0054501C">
        <w:t xml:space="preserve">The </w:t>
      </w:r>
      <w:r>
        <w:t>ability</w:t>
      </w:r>
      <w:r w:rsidRPr="0054501C">
        <w:t xml:space="preserve"> of nurses </w:t>
      </w:r>
      <w:r>
        <w:t>to effectively deliver</w:t>
      </w:r>
      <w:r w:rsidRPr="0054501C">
        <w:t xml:space="preserve"> community outreach services is a </w:t>
      </w:r>
      <w:r>
        <w:t xml:space="preserve">concern </w:t>
      </w:r>
      <w:r w:rsidRPr="0054501C">
        <w:t xml:space="preserve">as </w:t>
      </w:r>
      <w:r>
        <w:t xml:space="preserve">the current model of supervision means that </w:t>
      </w:r>
      <w:r w:rsidRPr="0054501C">
        <w:t xml:space="preserve">nurses </w:t>
      </w:r>
      <w:r>
        <w:t xml:space="preserve">who work in the community </w:t>
      </w:r>
      <w:r w:rsidRPr="00420662">
        <w:rPr>
          <w:noProof/>
        </w:rPr>
        <w:t>are supervised</w:t>
      </w:r>
      <w:r>
        <w:t xml:space="preserve"> by hospitals and community health centres and are </w:t>
      </w:r>
      <w:r w:rsidRPr="0054501C">
        <w:t xml:space="preserve">frequently </w:t>
      </w:r>
      <w:r w:rsidR="00420662">
        <w:t>‘</w:t>
      </w:r>
      <w:r w:rsidRPr="0054501C">
        <w:t>pulled back</w:t>
      </w:r>
      <w:r w:rsidR="00420662">
        <w:t>’</w:t>
      </w:r>
      <w:r w:rsidRPr="0054501C">
        <w:t xml:space="preserve"> to </w:t>
      </w:r>
      <w:r>
        <w:t>the health facilities</w:t>
      </w:r>
      <w:r w:rsidRPr="0054501C">
        <w:t xml:space="preserve">. </w:t>
      </w:r>
      <w:r w:rsidRPr="00420662">
        <w:rPr>
          <w:noProof/>
        </w:rPr>
        <w:t>This</w:t>
      </w:r>
      <w:r w:rsidRPr="0054501C">
        <w:t xml:space="preserve"> </w:t>
      </w:r>
      <w:r>
        <w:t>undermines universal health coverage</w:t>
      </w:r>
      <w:r w:rsidRPr="0054501C">
        <w:t xml:space="preserve"> </w:t>
      </w:r>
      <w:r>
        <w:t xml:space="preserve">(and the THSSP2 high-level target of reducing health system costs) </w:t>
      </w:r>
      <w:r w:rsidRPr="0054501C">
        <w:t>and contribute</w:t>
      </w:r>
      <w:r>
        <w:t>s</w:t>
      </w:r>
      <w:r w:rsidRPr="0054501C">
        <w:t xml:space="preserve"> to </w:t>
      </w:r>
      <w:r>
        <w:t>patient</w:t>
      </w:r>
      <w:r w:rsidRPr="0054501C">
        <w:t xml:space="preserve"> preferences to </w:t>
      </w:r>
      <w:r>
        <w:t xml:space="preserve">bypass community facilities and go </w:t>
      </w:r>
      <w:r w:rsidRPr="00420662">
        <w:rPr>
          <w:noProof/>
        </w:rPr>
        <w:t>direct</w:t>
      </w:r>
      <w:r w:rsidRPr="0054501C">
        <w:t xml:space="preserve"> to hospitals</w:t>
      </w:r>
      <w:r>
        <w:t xml:space="preserve">. The evaluation team noted that the THSSP2 M&amp;E Framework has no indicators that reflect on the numbers of NCD patients who </w:t>
      </w:r>
      <w:r w:rsidRPr="00420662">
        <w:rPr>
          <w:noProof/>
        </w:rPr>
        <w:t>are managed</w:t>
      </w:r>
      <w:r>
        <w:t xml:space="preserve"> in the community, rather than attending a health centre or hospital.</w:t>
      </w:r>
    </w:p>
    <w:p w14:paraId="33A1C1A4" w14:textId="77777777" w:rsidR="00B60E1B" w:rsidRPr="0054501C" w:rsidRDefault="00B60E1B" w:rsidP="00B60E1B">
      <w:r>
        <w:lastRenderedPageBreak/>
        <w:t xml:space="preserve">During the visit, nurses voiced </w:t>
      </w:r>
      <w:r w:rsidRPr="0054501C">
        <w:t>concerns that the recent restructuring (which places nurses under the direction of medical officers) mean</w:t>
      </w:r>
      <w:r>
        <w:t>t</w:t>
      </w:r>
      <w:r w:rsidRPr="0054501C">
        <w:t xml:space="preserve"> there is no nursing authority to advocate for the needs and concerns of nurses. </w:t>
      </w:r>
      <w:r>
        <w:t>Nurses</w:t>
      </w:r>
      <w:r w:rsidRPr="0054501C">
        <w:t xml:space="preserve"> felt that having a head nurse would increase nurses</w:t>
      </w:r>
      <w:r>
        <w:t>’</w:t>
      </w:r>
      <w:r w:rsidRPr="0054501C">
        <w:t xml:space="preserve"> power to </w:t>
      </w:r>
      <w:r w:rsidR="00420662">
        <w:t>‘</w:t>
      </w:r>
      <w:r w:rsidRPr="0054501C">
        <w:t>push back</w:t>
      </w:r>
      <w:r w:rsidR="00420662">
        <w:t>’</w:t>
      </w:r>
      <w:r w:rsidRPr="0054501C">
        <w:t xml:space="preserve"> against request</w:t>
      </w:r>
      <w:r>
        <w:t>s</w:t>
      </w:r>
      <w:r w:rsidRPr="0054501C">
        <w:t xml:space="preserve"> to </w:t>
      </w:r>
      <w:r>
        <w:t>re</w:t>
      </w:r>
      <w:r w:rsidRPr="0054501C">
        <w:t xml:space="preserve">vert to </w:t>
      </w:r>
      <w:r>
        <w:t xml:space="preserve">facility-based care. Also, the creation of a new cadre of NCD nurses under THSSP1, and a recent MoH restructure which divided the nursing workforce </w:t>
      </w:r>
      <w:r w:rsidR="00480E2F">
        <w:t xml:space="preserve">within </w:t>
      </w:r>
      <w:r>
        <w:t xml:space="preserve">the Public Health Division </w:t>
      </w:r>
      <w:r w:rsidR="00480E2F">
        <w:t xml:space="preserve">by establishing a </w:t>
      </w:r>
      <w:r>
        <w:t xml:space="preserve">new Community Health </w:t>
      </w:r>
      <w:r w:rsidR="00480E2F">
        <w:t xml:space="preserve">Section </w:t>
      </w:r>
      <w:r>
        <w:t xml:space="preserve">had resulted in a </w:t>
      </w:r>
      <w:r w:rsidRPr="0054501C">
        <w:t xml:space="preserve">divide between </w:t>
      </w:r>
      <w:r>
        <w:t>reproductive health</w:t>
      </w:r>
      <w:r w:rsidRPr="0054501C">
        <w:t>, NCD and general nurses</w:t>
      </w:r>
      <w:r>
        <w:t>,</w:t>
      </w:r>
      <w:r w:rsidRPr="0054501C">
        <w:t xml:space="preserve"> who had previously worked </w:t>
      </w:r>
      <w:r>
        <w:t>together harmoniously.</w:t>
      </w:r>
    </w:p>
    <w:p w14:paraId="5F8E9295" w14:textId="77777777" w:rsidR="00B60E1B" w:rsidRPr="0054501C" w:rsidRDefault="00B60E1B" w:rsidP="00B60E1B">
      <w:r w:rsidRPr="00420662">
        <w:rPr>
          <w:noProof/>
        </w:rPr>
        <w:t>Delivery of effective community outreach services is further complicated by the limited prescribing privileges of nurses</w:t>
      </w:r>
      <w:r>
        <w:t xml:space="preserve">. NCD patients may receive nursing services in their homes but be required to attend hospitals to obtain </w:t>
      </w:r>
      <w:r w:rsidRPr="0054501C">
        <w:t>prescription</w:t>
      </w:r>
      <w:r>
        <w:t>-only medications</w:t>
      </w:r>
      <w:r w:rsidRPr="0054501C">
        <w:t xml:space="preserve">. Prescribing limitations </w:t>
      </w:r>
      <w:r>
        <w:t>further contribute</w:t>
      </w:r>
      <w:r w:rsidRPr="0054501C">
        <w:t xml:space="preserve"> </w:t>
      </w:r>
      <w:r>
        <w:t>to patient</w:t>
      </w:r>
      <w:r w:rsidRPr="0054501C">
        <w:t xml:space="preserve"> preference</w:t>
      </w:r>
      <w:r>
        <w:t>s</w:t>
      </w:r>
      <w:r w:rsidRPr="0054501C">
        <w:t xml:space="preserve"> to go directly to hospi</w:t>
      </w:r>
      <w:r>
        <w:t>tals and larger health centres.</w:t>
      </w:r>
      <w:r w:rsidR="00480E2F">
        <w:t xml:space="preserve"> MoH has indicated its intention to review prescribing arrangements in 2019.</w:t>
      </w:r>
    </w:p>
    <w:p w14:paraId="7B9A4E71" w14:textId="77777777" w:rsidR="00B60E1B" w:rsidRPr="00420662" w:rsidRDefault="00B60E1B" w:rsidP="00B60E1B">
      <w:pPr>
        <w:spacing w:after="0"/>
        <w:rPr>
          <w:i/>
        </w:rPr>
      </w:pPr>
      <w:r w:rsidRPr="00420662">
        <w:rPr>
          <w:i/>
        </w:rPr>
        <w:t>NCD medications availability and provision</w:t>
      </w:r>
    </w:p>
    <w:p w14:paraId="69C04FF7" w14:textId="77777777" w:rsidR="00B60E1B" w:rsidRDefault="00B60E1B" w:rsidP="00B60E1B">
      <w:r>
        <w:t>F</w:t>
      </w:r>
      <w:r w:rsidRPr="0054501C">
        <w:t>eedback from pharmacy staff and nurses suggest</w:t>
      </w:r>
      <w:r>
        <w:t xml:space="preserve">s improvements in </w:t>
      </w:r>
      <w:r w:rsidRPr="00420662">
        <w:rPr>
          <w:noProof/>
        </w:rPr>
        <w:t>availability</w:t>
      </w:r>
      <w:r>
        <w:t xml:space="preserve"> </w:t>
      </w:r>
      <w:r w:rsidRPr="0054501C">
        <w:t xml:space="preserve">of essential NCD medicines between 2016 and 2018. </w:t>
      </w:r>
      <w:r w:rsidRPr="00420662">
        <w:rPr>
          <w:noProof/>
        </w:rPr>
        <w:t>Specifically</w:t>
      </w:r>
      <w:r w:rsidR="00420662" w:rsidRPr="00420662">
        <w:rPr>
          <w:noProof/>
        </w:rPr>
        <w:t>,</w:t>
      </w:r>
      <w:r w:rsidRPr="0054501C">
        <w:t xml:space="preserve"> there were no reports of stock outs in the previous year. While the review team was not able to meet key the chief pharmacist, the 2017 and 2018 stock reports from Vaiola Outpatient Dispensary support this </w:t>
      </w:r>
      <w:r>
        <w:t xml:space="preserve">finding of no stock outs, </w:t>
      </w:r>
      <w:r w:rsidRPr="0054501C">
        <w:t>with all essential NCD medications in good supply.</w:t>
      </w:r>
    </w:p>
    <w:p w14:paraId="11C8ADF2" w14:textId="77777777" w:rsidR="00B60E1B" w:rsidRDefault="00B60E1B" w:rsidP="00B60E1B">
      <w:r>
        <w:t>I</w:t>
      </w:r>
      <w:r w:rsidRPr="0054501C">
        <w:t>nformation on the rates of NCD patient defaulters was not available</w:t>
      </w:r>
      <w:r>
        <w:t>. F</w:t>
      </w:r>
      <w:r w:rsidRPr="0054501C">
        <w:t>eedback suggest</w:t>
      </w:r>
      <w:r>
        <w:t>ed</w:t>
      </w:r>
      <w:r w:rsidRPr="0054501C">
        <w:t xml:space="preserve"> </w:t>
      </w:r>
      <w:r>
        <w:t xml:space="preserve">that </w:t>
      </w:r>
      <w:r w:rsidRPr="0054501C">
        <w:t>waiting times for prescription refills was an influence on both def</w:t>
      </w:r>
      <w:r>
        <w:t>aulters and non-</w:t>
      </w:r>
      <w:r w:rsidRPr="0054501C">
        <w:t>compliance</w:t>
      </w:r>
      <w:r>
        <w:t xml:space="preserve"> </w:t>
      </w:r>
      <w:r w:rsidRPr="0054501C">
        <w:t xml:space="preserve">with medications. Suggestions to </w:t>
      </w:r>
      <w:r>
        <w:t>improve</w:t>
      </w:r>
      <w:r w:rsidRPr="0054501C">
        <w:t xml:space="preserve"> this include</w:t>
      </w:r>
      <w:r>
        <w:t xml:space="preserve"> (i) </w:t>
      </w:r>
      <w:r w:rsidRPr="0054501C">
        <w:t xml:space="preserve">separation </w:t>
      </w:r>
      <w:r>
        <w:t xml:space="preserve">at hospitals of </w:t>
      </w:r>
      <w:r w:rsidRPr="0054501C">
        <w:t xml:space="preserve">patients waiting for consultations and </w:t>
      </w:r>
      <w:r>
        <w:t xml:space="preserve">those simply seeking repeat </w:t>
      </w:r>
      <w:r w:rsidRPr="0054501C">
        <w:t xml:space="preserve">medications, </w:t>
      </w:r>
      <w:r>
        <w:t xml:space="preserve">(ii) </w:t>
      </w:r>
      <w:r w:rsidRPr="0054501C">
        <w:t xml:space="preserve">increased prescribing </w:t>
      </w:r>
      <w:r>
        <w:t>privileges</w:t>
      </w:r>
      <w:r w:rsidRPr="0054501C">
        <w:t xml:space="preserve"> of nurses, and </w:t>
      </w:r>
      <w:r>
        <w:t>(iii) co</w:t>
      </w:r>
      <w:r w:rsidRPr="0054501C">
        <w:t>ordinat</w:t>
      </w:r>
      <w:r>
        <w:t>ed</w:t>
      </w:r>
      <w:r w:rsidRPr="0054501C">
        <w:t xml:space="preserve"> prescription times for NCD related medicines (metformin reportedly runs on month</w:t>
      </w:r>
      <w:r>
        <w:t>ly</w:t>
      </w:r>
      <w:r w:rsidRPr="0054501C">
        <w:t xml:space="preserve"> prescriptions, while statins run on fortnightly prescriptions). The </w:t>
      </w:r>
      <w:r>
        <w:t>MoH</w:t>
      </w:r>
      <w:r w:rsidRPr="0054501C">
        <w:t xml:space="preserve"> indicated </w:t>
      </w:r>
      <w:r>
        <w:t xml:space="preserve">that </w:t>
      </w:r>
      <w:r w:rsidRPr="0054501C">
        <w:t>a review of prescribing rights and needs is due for 2019 and hope</w:t>
      </w:r>
      <w:r w:rsidR="00420662">
        <w:t>s</w:t>
      </w:r>
      <w:r w:rsidRPr="0054501C">
        <w:t xml:space="preserve"> to investigate these issues further.</w:t>
      </w:r>
    </w:p>
    <w:p w14:paraId="5AC5D004" w14:textId="77777777" w:rsidR="00B60E1B" w:rsidRDefault="00B60E1B" w:rsidP="00B60E1B">
      <w:r w:rsidRPr="0054501C">
        <w:t xml:space="preserve">The tracer drug checklist </w:t>
      </w:r>
      <w:r>
        <w:t>that</w:t>
      </w:r>
      <w:r w:rsidRPr="0054501C">
        <w:t xml:space="preserve"> measures </w:t>
      </w:r>
      <w:r w:rsidRPr="000763F8">
        <w:rPr>
          <w:noProof/>
        </w:rPr>
        <w:t>availability</w:t>
      </w:r>
      <w:r w:rsidRPr="0054501C">
        <w:t xml:space="preserve"> of essential non-expired medicines shows good availability of oral hypoglycaemic agents and metformin for </w:t>
      </w:r>
      <w:r>
        <w:t>diabetes (</w:t>
      </w:r>
      <w:r w:rsidRPr="0054501C">
        <w:t>T2DM</w:t>
      </w:r>
      <w:r>
        <w:t>)</w:t>
      </w:r>
      <w:r w:rsidRPr="0054501C">
        <w:t xml:space="preserve"> management. For management of heart disease, </w:t>
      </w:r>
      <w:r>
        <w:t xml:space="preserve">angiotensin-converting </w:t>
      </w:r>
      <w:r w:rsidRPr="00E81DE5">
        <w:t>enzyme</w:t>
      </w:r>
      <w:r>
        <w:t xml:space="preserve"> (</w:t>
      </w:r>
      <w:r w:rsidRPr="0054501C">
        <w:t>ACE</w:t>
      </w:r>
      <w:r>
        <w:t xml:space="preserve">) </w:t>
      </w:r>
      <w:r w:rsidRPr="0054501C">
        <w:t xml:space="preserve">inhibitors and atenolol show </w:t>
      </w:r>
      <w:r>
        <w:t xml:space="preserve">generally </w:t>
      </w:r>
      <w:r w:rsidRPr="0054501C">
        <w:t xml:space="preserve">good coverage though </w:t>
      </w:r>
      <w:r>
        <w:t xml:space="preserve">both drugs </w:t>
      </w:r>
      <w:r w:rsidRPr="0054501C">
        <w:t xml:space="preserve">are absent </w:t>
      </w:r>
      <w:r>
        <w:t>in</w:t>
      </w:r>
      <w:r w:rsidRPr="0054501C">
        <w:t xml:space="preserve"> </w:t>
      </w:r>
      <w:r>
        <w:t xml:space="preserve">the </w:t>
      </w:r>
      <w:r w:rsidRPr="0054501C">
        <w:t>Niuas</w:t>
      </w:r>
      <w:r>
        <w:t xml:space="preserve"> (outer islands) health centre</w:t>
      </w:r>
      <w:r w:rsidRPr="0054501C">
        <w:t>. Data on insulin appears to be missing</w:t>
      </w:r>
      <w:r>
        <w:t xml:space="preserve"> from the tracer drug checklist</w:t>
      </w:r>
      <w:r w:rsidRPr="0054501C">
        <w:t xml:space="preserve">. Captopril </w:t>
      </w:r>
      <w:r>
        <w:t xml:space="preserve">(for hypertension) </w:t>
      </w:r>
      <w:r w:rsidRPr="0054501C">
        <w:t xml:space="preserve">should be in all health settings </w:t>
      </w:r>
      <w:r w:rsidRPr="000763F8">
        <w:rPr>
          <w:noProof/>
        </w:rPr>
        <w:t>though</w:t>
      </w:r>
      <w:r w:rsidRPr="0054501C">
        <w:t xml:space="preserve"> some gaps </w:t>
      </w:r>
      <w:r>
        <w:t xml:space="preserve">are </w:t>
      </w:r>
      <w:r w:rsidRPr="0054501C">
        <w:t>evident.</w:t>
      </w:r>
    </w:p>
    <w:p w14:paraId="71C9FEA5" w14:textId="77777777" w:rsidR="00B60E1B" w:rsidRDefault="00B60E1B" w:rsidP="00B60E1B">
      <w:r>
        <w:t xml:space="preserve">The evaluation team was unaware if reviews or audits had </w:t>
      </w:r>
      <w:r w:rsidRPr="000763F8">
        <w:rPr>
          <w:noProof/>
        </w:rPr>
        <w:t>been undertaken</w:t>
      </w:r>
      <w:r>
        <w:t xml:space="preserve"> into the appropriateness of prescribing practices. At a policy level, the Essential Drug List and the PEHS reflect best practice in the use of NCD medications.</w:t>
      </w:r>
    </w:p>
    <w:p w14:paraId="6D3AEDEF" w14:textId="77777777" w:rsidR="008109B1" w:rsidRDefault="006823DF" w:rsidP="00BA6AEF">
      <w:pPr>
        <w:pStyle w:val="Heading3"/>
      </w:pPr>
      <w:bookmarkStart w:id="50" w:name="_Toc536205451"/>
      <w:r>
        <w:t>3.2.3</w:t>
      </w:r>
      <w:r>
        <w:tab/>
      </w:r>
      <w:r w:rsidR="008109B1">
        <w:t>Governance and strateg</w:t>
      </w:r>
      <w:r w:rsidR="00CD5B7A">
        <w:t>y</w:t>
      </w:r>
      <w:bookmarkEnd w:id="50"/>
    </w:p>
    <w:p w14:paraId="08C6DC8B" w14:textId="77777777" w:rsidR="008109B1" w:rsidRPr="00420662" w:rsidRDefault="008109B1" w:rsidP="00BF2A18">
      <w:pPr>
        <w:spacing w:after="0"/>
        <w:rPr>
          <w:i/>
        </w:rPr>
      </w:pPr>
      <w:r w:rsidRPr="00420662">
        <w:rPr>
          <w:i/>
        </w:rPr>
        <w:t>Governance</w:t>
      </w:r>
    </w:p>
    <w:p w14:paraId="50077791" w14:textId="77777777" w:rsidR="008109B1" w:rsidRDefault="007424A9" w:rsidP="008109B1">
      <w:pPr>
        <w:rPr>
          <w:lang w:val="en-AU"/>
        </w:rPr>
      </w:pPr>
      <w:r>
        <w:rPr>
          <w:lang w:val="en-AU"/>
        </w:rPr>
        <w:t>T</w:t>
      </w:r>
      <w:r w:rsidR="008109B1" w:rsidRPr="00CB3E09">
        <w:rPr>
          <w:lang w:val="en-AU"/>
        </w:rPr>
        <w:t xml:space="preserve">he </w:t>
      </w:r>
      <w:r w:rsidR="008109B1">
        <w:rPr>
          <w:lang w:val="en-AU"/>
        </w:rPr>
        <w:t xml:space="preserve">THHSP2 Design Document intended </w:t>
      </w:r>
      <w:r w:rsidR="00B33159">
        <w:rPr>
          <w:lang w:val="en-AU"/>
        </w:rPr>
        <w:t>that</w:t>
      </w:r>
      <w:r w:rsidR="008109B1">
        <w:rPr>
          <w:lang w:val="en-AU"/>
        </w:rPr>
        <w:t xml:space="preserve"> </w:t>
      </w:r>
      <w:r w:rsidR="00633877">
        <w:rPr>
          <w:lang w:val="en-AU"/>
        </w:rPr>
        <w:t xml:space="preserve">program governance would </w:t>
      </w:r>
      <w:r w:rsidR="00633877" w:rsidRPr="000763F8">
        <w:rPr>
          <w:noProof/>
          <w:lang w:val="en-AU"/>
        </w:rPr>
        <w:t>be incorporated</w:t>
      </w:r>
      <w:r w:rsidR="00633877">
        <w:rPr>
          <w:lang w:val="en-AU"/>
        </w:rPr>
        <w:t xml:space="preserve"> into </w:t>
      </w:r>
      <w:r w:rsidR="00B33159">
        <w:rPr>
          <w:lang w:val="en-AU"/>
        </w:rPr>
        <w:t>GoT health sector governance arrangements.</w:t>
      </w:r>
      <w:r w:rsidR="008109B1">
        <w:rPr>
          <w:lang w:val="en-AU"/>
        </w:rPr>
        <w:t xml:space="preserve"> </w:t>
      </w:r>
      <w:r w:rsidR="00633877">
        <w:rPr>
          <w:lang w:val="en-AU"/>
        </w:rPr>
        <w:t>As explained in</w:t>
      </w:r>
      <w:r w:rsidR="00420662">
        <w:rPr>
          <w:lang w:val="en-AU"/>
        </w:rPr>
        <w:t xml:space="preserve"> Section </w:t>
      </w:r>
      <w:r w:rsidR="00633877">
        <w:rPr>
          <w:lang w:val="en-AU"/>
        </w:rPr>
        <w:t xml:space="preserve">1, </w:t>
      </w:r>
      <w:r w:rsidR="00633877">
        <w:t xml:space="preserve">the NHDC was to be the peak governance body for the overall program: approving annual work plans of program-funded activities and monitoring quarterly reports. DFAT was to be included in </w:t>
      </w:r>
      <w:r w:rsidR="00633877" w:rsidRPr="000763F8">
        <w:rPr>
          <w:noProof/>
        </w:rPr>
        <w:t>dialog</w:t>
      </w:r>
      <w:r w:rsidR="00420662" w:rsidRPr="00420662">
        <w:rPr>
          <w:noProof/>
        </w:rPr>
        <w:t>ue</w:t>
      </w:r>
      <w:r w:rsidR="00633877">
        <w:t xml:space="preserve"> around the work plans and would have final approval regarding activities to </w:t>
      </w:r>
      <w:r w:rsidR="00633877" w:rsidRPr="000763F8">
        <w:rPr>
          <w:noProof/>
        </w:rPr>
        <w:t>be funded</w:t>
      </w:r>
      <w:r w:rsidR="00633877">
        <w:t>.</w:t>
      </w:r>
      <w:r w:rsidR="008109B1">
        <w:rPr>
          <w:lang w:val="en-AU"/>
        </w:rPr>
        <w:t xml:space="preserve"> For various reasons, the NHDC has not met regularly and has not performed the program oversight function envisaged in the program design. At the time of the mid-term evaluation, the NHDC had met only once or twice in the previous </w:t>
      </w:r>
      <w:r w:rsidR="008109B1">
        <w:rPr>
          <w:lang w:val="en-AU"/>
        </w:rPr>
        <w:lastRenderedPageBreak/>
        <w:t>12 months, and it had not discussed THSSP2 at its meetings. The current Minister for Health holds two ministerial portfolios concurrently</w:t>
      </w:r>
      <w:r w:rsidR="00420662">
        <w:rPr>
          <w:lang w:val="en-AU"/>
        </w:rPr>
        <w:t>,</w:t>
      </w:r>
      <w:r w:rsidR="008109B1">
        <w:rPr>
          <w:lang w:val="en-AU"/>
        </w:rPr>
        <w:t xml:space="preserve"> </w:t>
      </w:r>
      <w:r w:rsidR="008109B1" w:rsidRPr="000763F8">
        <w:rPr>
          <w:noProof/>
          <w:lang w:val="en-AU"/>
        </w:rPr>
        <w:t>and</w:t>
      </w:r>
      <w:r w:rsidR="008109B1">
        <w:rPr>
          <w:lang w:val="en-AU"/>
        </w:rPr>
        <w:t xml:space="preserve"> it appears that there is little likelihood of re-establishing regular NHDC meetings.</w:t>
      </w:r>
    </w:p>
    <w:p w14:paraId="4982E2EC" w14:textId="77777777" w:rsidR="000763F8" w:rsidRDefault="008109B1" w:rsidP="008109B1">
      <w:pPr>
        <w:rPr>
          <w:lang w:val="en-AU"/>
        </w:rPr>
      </w:pPr>
      <w:r w:rsidRPr="00CB3E09">
        <w:rPr>
          <w:lang w:val="en-AU"/>
        </w:rPr>
        <w:t xml:space="preserve">The TongaHealth Board </w:t>
      </w:r>
      <w:r>
        <w:rPr>
          <w:lang w:val="en-AU"/>
        </w:rPr>
        <w:t xml:space="preserve">(appointed by the Minister) </w:t>
      </w:r>
      <w:r w:rsidRPr="00CB3E09">
        <w:rPr>
          <w:lang w:val="en-AU"/>
        </w:rPr>
        <w:t xml:space="preserve">has provided regular oversight to the operations and finances of TongaHealth. However, the National NCD Committee </w:t>
      </w:r>
      <w:r w:rsidR="007D4A15">
        <w:rPr>
          <w:lang w:val="en-AU"/>
        </w:rPr>
        <w:t xml:space="preserve">(NNCDC) </w:t>
      </w:r>
      <w:r w:rsidRPr="00CB3E09">
        <w:rPr>
          <w:lang w:val="en-AU"/>
        </w:rPr>
        <w:t xml:space="preserve">and the various cross-sector and other committees engaged in NCD prevention have not met </w:t>
      </w:r>
      <w:r w:rsidRPr="000763F8">
        <w:rPr>
          <w:noProof/>
          <w:lang w:val="en-AU"/>
        </w:rPr>
        <w:t>regularly</w:t>
      </w:r>
      <w:r w:rsidRPr="00CB3E09">
        <w:rPr>
          <w:lang w:val="en-AU"/>
        </w:rPr>
        <w:t xml:space="preserve"> as planned. </w:t>
      </w:r>
    </w:p>
    <w:p w14:paraId="3D484B21" w14:textId="77777777" w:rsidR="008109B1" w:rsidRDefault="008109B1" w:rsidP="008109B1">
      <w:r>
        <w:rPr>
          <w:lang w:val="en-AU"/>
        </w:rPr>
        <w:t>GoT ministries</w:t>
      </w:r>
      <w:r w:rsidR="000763F8">
        <w:rPr>
          <w:lang w:val="en-AU"/>
        </w:rPr>
        <w:t>,</w:t>
      </w:r>
      <w:r>
        <w:rPr>
          <w:lang w:val="en-AU"/>
        </w:rPr>
        <w:t xml:space="preserve"> </w:t>
      </w:r>
      <w:r w:rsidR="003934AF" w:rsidRPr="000763F8">
        <w:rPr>
          <w:noProof/>
          <w:lang w:val="en-AU"/>
        </w:rPr>
        <w:t>in general</w:t>
      </w:r>
      <w:r w:rsidR="000763F8" w:rsidRPr="000763F8">
        <w:rPr>
          <w:noProof/>
          <w:lang w:val="en-AU"/>
        </w:rPr>
        <w:t>,</w:t>
      </w:r>
      <w:r w:rsidR="003934AF">
        <w:rPr>
          <w:lang w:val="en-AU"/>
        </w:rPr>
        <w:t xml:space="preserve"> </w:t>
      </w:r>
      <w:r w:rsidRPr="00CB3E09">
        <w:rPr>
          <w:lang w:val="en-AU"/>
        </w:rPr>
        <w:t xml:space="preserve">do not meet on a regular basis </w:t>
      </w:r>
      <w:r>
        <w:rPr>
          <w:lang w:val="en-AU"/>
        </w:rPr>
        <w:t xml:space="preserve">(at CEO level or officer level) </w:t>
      </w:r>
      <w:r w:rsidRPr="00CB3E09">
        <w:rPr>
          <w:lang w:val="en-AU"/>
        </w:rPr>
        <w:t>to coordinate the executive management of government, consider new policy and s</w:t>
      </w:r>
      <w:r>
        <w:rPr>
          <w:lang w:val="en-AU"/>
        </w:rPr>
        <w:t>upport Cabinet decision-making.</w:t>
      </w:r>
      <w:r w:rsidR="000763F8">
        <w:rPr>
          <w:lang w:val="en-AU"/>
        </w:rPr>
        <w:t xml:space="preserve"> </w:t>
      </w:r>
      <w:r>
        <w:t xml:space="preserve">The MoH budgets, plans, </w:t>
      </w:r>
      <w:r w:rsidRPr="009603AB">
        <w:t>manage</w:t>
      </w:r>
      <w:r>
        <w:t xml:space="preserve">s and reports on its </w:t>
      </w:r>
      <w:r w:rsidRPr="009603AB">
        <w:t xml:space="preserve">public resources to the extent that </w:t>
      </w:r>
      <w:r>
        <w:t xml:space="preserve">delegations from the </w:t>
      </w:r>
      <w:r w:rsidRPr="009603AB">
        <w:t xml:space="preserve">central </w:t>
      </w:r>
      <w:r>
        <w:t xml:space="preserve">government </w:t>
      </w:r>
      <w:r w:rsidRPr="009603AB">
        <w:t xml:space="preserve">agencies </w:t>
      </w:r>
      <w:r>
        <w:t xml:space="preserve">(National Planning </w:t>
      </w:r>
      <w:r w:rsidR="009E723B">
        <w:t>Office</w:t>
      </w:r>
      <w:r>
        <w:t>, Ministry of F</w:t>
      </w:r>
      <w:r w:rsidRPr="009603AB">
        <w:t>inance</w:t>
      </w:r>
      <w:r>
        <w:t xml:space="preserve">, </w:t>
      </w:r>
      <w:r w:rsidRPr="009603AB">
        <w:t>Public Service Commission</w:t>
      </w:r>
      <w:r>
        <w:t>) allow</w:t>
      </w:r>
      <w:r w:rsidRPr="009603AB">
        <w:t xml:space="preserve">. The Joint Policy Reform Program of economic and public sector reform that is funded by DFAT, the ADB, EU and World Bank aims to strengthen the management of public finances, policy formulation and coordination, and other public sector management. </w:t>
      </w:r>
      <w:r w:rsidRPr="000763F8">
        <w:rPr>
          <w:noProof/>
        </w:rPr>
        <w:t>This</w:t>
      </w:r>
      <w:r w:rsidRPr="009603AB">
        <w:t xml:space="preserve"> will </w:t>
      </w:r>
      <w:r>
        <w:t xml:space="preserve">eventually </w:t>
      </w:r>
      <w:r w:rsidRPr="009603AB">
        <w:t xml:space="preserve">benefit the </w:t>
      </w:r>
      <w:r>
        <w:t xml:space="preserve">MoH but progress will be slow </w:t>
      </w:r>
      <w:r w:rsidRPr="000763F8">
        <w:rPr>
          <w:noProof/>
        </w:rPr>
        <w:t>and</w:t>
      </w:r>
      <w:r>
        <w:t xml:space="preserve"> results are unlikely in the short term</w:t>
      </w:r>
      <w:r w:rsidR="00847A62">
        <w:t xml:space="preserve"> (ADB, 2017)</w:t>
      </w:r>
      <w:r>
        <w:t>.</w:t>
      </w:r>
    </w:p>
    <w:p w14:paraId="19771133" w14:textId="77777777" w:rsidR="00890B67" w:rsidRDefault="00600F31" w:rsidP="008109B1">
      <w:r>
        <w:t>W</w:t>
      </w:r>
      <w:r w:rsidR="008109B1" w:rsidRPr="009603AB">
        <w:t>eaknesses of the core gov</w:t>
      </w:r>
      <w:r>
        <w:t xml:space="preserve">ernment </w:t>
      </w:r>
      <w:r w:rsidRPr="000763F8">
        <w:rPr>
          <w:noProof/>
        </w:rPr>
        <w:t>functions</w:t>
      </w:r>
      <w:r>
        <w:t xml:space="preserve"> greatly limit</w:t>
      </w:r>
      <w:r w:rsidR="008109B1" w:rsidRPr="009603AB">
        <w:t xml:space="preserve"> what can </w:t>
      </w:r>
      <w:r w:rsidR="008109B1" w:rsidRPr="000763F8">
        <w:rPr>
          <w:noProof/>
        </w:rPr>
        <w:t>be expected</w:t>
      </w:r>
      <w:r w:rsidR="008109B1" w:rsidRPr="009603AB">
        <w:t xml:space="preserve"> </w:t>
      </w:r>
      <w:r w:rsidR="008109B1" w:rsidRPr="000763F8">
        <w:rPr>
          <w:noProof/>
        </w:rPr>
        <w:t>in terms of</w:t>
      </w:r>
      <w:r w:rsidR="005439B2">
        <w:t xml:space="preserve"> MoH</w:t>
      </w:r>
      <w:r>
        <w:t>,</w:t>
      </w:r>
      <w:r w:rsidR="005439B2">
        <w:t xml:space="preserve"> and by extension</w:t>
      </w:r>
      <w:r w:rsidR="008109B1" w:rsidRPr="009603AB">
        <w:t xml:space="preserve"> THSSP2</w:t>
      </w:r>
      <w:r>
        <w:t>,</w:t>
      </w:r>
      <w:r w:rsidR="008109B1" w:rsidRPr="009603AB">
        <w:t xml:space="preserve"> </w:t>
      </w:r>
      <w:r w:rsidR="005439B2">
        <w:t>performance</w:t>
      </w:r>
      <w:r w:rsidR="008109B1" w:rsidRPr="009603AB">
        <w:t xml:space="preserve"> in the form of strengthened health system management, including planning, financial management, implementation, monitoring, health information, procurement and human resources. </w:t>
      </w:r>
      <w:r w:rsidR="008109B1">
        <w:t>The MoH has very recently strengthened its organisational structure by consolidating administrative support functions into a Corporate Services Division, and this has the potential to strengthen health system management functionality in the future. Given that the new Corporate Services Division is yet to have an impact</w:t>
      </w:r>
      <w:r w:rsidR="00AE2C8E">
        <w:t xml:space="preserve"> (the evaluation team did not encounter any claims or evidence of improved performance</w:t>
      </w:r>
      <w:r w:rsidR="00BC066D">
        <w:t xml:space="preserve"> arising from the restructure</w:t>
      </w:r>
      <w:r w:rsidR="00AE2C8E">
        <w:t>)</w:t>
      </w:r>
      <w:r w:rsidR="008109B1">
        <w:t>, governance</w:t>
      </w:r>
      <w:r w:rsidR="008109B1" w:rsidRPr="009603AB">
        <w:t xml:space="preserve"> is </w:t>
      </w:r>
      <w:r w:rsidR="008109B1">
        <w:t>consider</w:t>
      </w:r>
      <w:r w:rsidR="008109B1" w:rsidRPr="009603AB">
        <w:t>ed to be in much the same stat</w:t>
      </w:r>
      <w:r w:rsidR="008109B1">
        <w:t>e</w:t>
      </w:r>
      <w:r w:rsidR="008109B1" w:rsidRPr="009603AB">
        <w:t xml:space="preserve"> at the time of the mid-term </w:t>
      </w:r>
      <w:r w:rsidR="008109B1">
        <w:t>evaluation</w:t>
      </w:r>
      <w:r w:rsidR="008109B1" w:rsidRPr="009603AB">
        <w:t xml:space="preserve"> as it was at the beginning of </w:t>
      </w:r>
      <w:r w:rsidR="008109B1">
        <w:t>THSSP2</w:t>
      </w:r>
      <w:r w:rsidR="008109B1" w:rsidRPr="009603AB">
        <w:t>.</w:t>
      </w:r>
    </w:p>
    <w:p w14:paraId="07DB8DB3" w14:textId="77777777" w:rsidR="00890B67" w:rsidRDefault="00890B67" w:rsidP="008109B1">
      <w:r>
        <w:t>In Section 2.3, the evaluation team observed that a significant proportion of the measures in the THSSP2 M&amp;E Framework could not be obtained or were not readily accessible</w:t>
      </w:r>
      <w:r w:rsidR="00DB30F0">
        <w:t xml:space="preserve"> (i.e. the raw data exists in patient </w:t>
      </w:r>
      <w:r w:rsidR="008F25BD">
        <w:t>databases,</w:t>
      </w:r>
      <w:r w:rsidR="00DB30F0">
        <w:t xml:space="preserve"> but the summary level indicators are not on hand)</w:t>
      </w:r>
      <w:r>
        <w:t xml:space="preserve">. This indicates that executive-level decision making is currently not well supported by formal information sources (although it may be using informal sources). THSSP2 is predicated upon a model of efficient use of health sector resources informed by evidence in a transparent process. </w:t>
      </w:r>
      <w:r w:rsidR="008F25BD">
        <w:t>Therefore,</w:t>
      </w:r>
      <w:r>
        <w:t xml:space="preserve"> the absence of information support </w:t>
      </w:r>
      <w:r w:rsidR="004F5023">
        <w:t>contributes to weakness in governance at the operational ministry level.</w:t>
      </w:r>
    </w:p>
    <w:p w14:paraId="0CD7BA09" w14:textId="77777777" w:rsidR="008109B1" w:rsidRPr="000763F8" w:rsidRDefault="008109B1" w:rsidP="00BF2A18">
      <w:pPr>
        <w:spacing w:after="0"/>
        <w:rPr>
          <w:i/>
          <w:color w:val="262626"/>
        </w:rPr>
      </w:pPr>
      <w:r w:rsidRPr="000763F8">
        <w:rPr>
          <w:i/>
          <w:color w:val="262626"/>
        </w:rPr>
        <w:t>Strategic planning</w:t>
      </w:r>
    </w:p>
    <w:p w14:paraId="4B08B2FA" w14:textId="77777777" w:rsidR="008109B1" w:rsidRPr="00CB3E09" w:rsidRDefault="007078E8" w:rsidP="008109B1">
      <w:pPr>
        <w:rPr>
          <w:color w:val="000000"/>
        </w:rPr>
      </w:pPr>
      <w:r>
        <w:rPr>
          <w:color w:val="262626"/>
          <w:u w:color="FB0007"/>
        </w:rPr>
        <w:t>T</w:t>
      </w:r>
      <w:r w:rsidR="008109B1" w:rsidRPr="00CB3E09">
        <w:rPr>
          <w:color w:val="262626"/>
          <w:u w:color="FB0007"/>
        </w:rPr>
        <w:t xml:space="preserve">he </w:t>
      </w:r>
      <w:r w:rsidR="008109B1">
        <w:rPr>
          <w:color w:val="262626"/>
          <w:u w:color="FB0007"/>
        </w:rPr>
        <w:t>National Planning Office (</w:t>
      </w:r>
      <w:r w:rsidR="008109B1" w:rsidRPr="00CB3E09">
        <w:rPr>
          <w:color w:val="262626"/>
          <w:u w:color="FB0007"/>
        </w:rPr>
        <w:t>NPO</w:t>
      </w:r>
      <w:r w:rsidR="008109B1">
        <w:rPr>
          <w:color w:val="262626"/>
          <w:u w:color="FB0007"/>
        </w:rPr>
        <w:t>)</w:t>
      </w:r>
      <w:r w:rsidR="008109B1" w:rsidRPr="00CB3E09">
        <w:rPr>
          <w:color w:val="262626"/>
          <w:u w:color="FB0007"/>
        </w:rPr>
        <w:t xml:space="preserve"> assists the Prime Minister’s Office to</w:t>
      </w:r>
      <w:r w:rsidR="008109B1">
        <w:rPr>
          <w:color w:val="262626"/>
          <w:u w:color="FB0007"/>
        </w:rPr>
        <w:t xml:space="preserve"> provide</w:t>
      </w:r>
      <w:r w:rsidR="008109B1" w:rsidRPr="00CB3E09">
        <w:rPr>
          <w:lang w:val="en-PH"/>
        </w:rPr>
        <w:t xml:space="preserve"> leadership and direction in whole</w:t>
      </w:r>
      <w:r w:rsidR="008109B1">
        <w:rPr>
          <w:lang w:val="en-PH"/>
        </w:rPr>
        <w:t>-</w:t>
      </w:r>
      <w:r w:rsidR="008109B1" w:rsidRPr="00CB3E09">
        <w:rPr>
          <w:lang w:val="en-PH"/>
        </w:rPr>
        <w:t>of</w:t>
      </w:r>
      <w:r w:rsidR="008109B1">
        <w:rPr>
          <w:lang w:val="en-PH"/>
        </w:rPr>
        <w:t>-g</w:t>
      </w:r>
      <w:r w:rsidR="008109B1" w:rsidRPr="00CB3E09">
        <w:rPr>
          <w:lang w:val="en-PH"/>
        </w:rPr>
        <w:t xml:space="preserve">overnment policy </w:t>
      </w:r>
      <w:r w:rsidR="008109B1" w:rsidRPr="000763F8">
        <w:rPr>
          <w:noProof/>
          <w:lang w:val="en-PH"/>
        </w:rPr>
        <w:t>development,</w:t>
      </w:r>
      <w:r w:rsidR="008109B1" w:rsidRPr="00CB3E09">
        <w:rPr>
          <w:lang w:val="en-PH"/>
        </w:rPr>
        <w:t xml:space="preserve"> and to facilitate </w:t>
      </w:r>
      <w:r w:rsidR="008109B1" w:rsidRPr="000763F8">
        <w:rPr>
          <w:noProof/>
          <w:lang w:val="en-PH"/>
        </w:rPr>
        <w:t>implementation</w:t>
      </w:r>
      <w:r w:rsidR="008109B1" w:rsidRPr="00CB3E09">
        <w:rPr>
          <w:lang w:val="en-PH"/>
        </w:rPr>
        <w:t xml:space="preserve"> of </w:t>
      </w:r>
      <w:r w:rsidR="008109B1">
        <w:rPr>
          <w:lang w:val="en-PH"/>
        </w:rPr>
        <w:t>g</w:t>
      </w:r>
      <w:r w:rsidR="008109B1" w:rsidRPr="00CB3E09">
        <w:rPr>
          <w:lang w:val="en-PH"/>
        </w:rPr>
        <w:t>overnment priorities and projects.</w:t>
      </w:r>
      <w:r w:rsidR="008109B1" w:rsidRPr="00CB3E09">
        <w:rPr>
          <w:color w:val="262626"/>
          <w:u w:color="FB0007"/>
        </w:rPr>
        <w:t xml:space="preserve"> </w:t>
      </w:r>
      <w:r w:rsidR="008109B1" w:rsidRPr="00CB3E09">
        <w:rPr>
          <w:color w:val="000000"/>
        </w:rPr>
        <w:t xml:space="preserve">Recent reforms have increased the </w:t>
      </w:r>
      <w:r w:rsidR="00183979">
        <w:rPr>
          <w:color w:val="000000"/>
        </w:rPr>
        <w:t xml:space="preserve">NPO’s </w:t>
      </w:r>
      <w:r w:rsidR="008109B1" w:rsidRPr="00CB3E09">
        <w:rPr>
          <w:color w:val="000000"/>
        </w:rPr>
        <w:t>level of consultation with line ministries regarding budget formulation and corporate planning and monitoring, supporting more credible annual budget formulation.</w:t>
      </w:r>
    </w:p>
    <w:p w14:paraId="27C6F424" w14:textId="77777777" w:rsidR="008109B1" w:rsidRPr="00CB3E09" w:rsidRDefault="008109B1" w:rsidP="008109B1">
      <w:pPr>
        <w:rPr>
          <w:color w:val="000000"/>
        </w:rPr>
      </w:pPr>
      <w:r w:rsidRPr="00CB3E09">
        <w:rPr>
          <w:color w:val="000000"/>
        </w:rPr>
        <w:t xml:space="preserve">Although the NPO is assigned a most important task in support of improved public service performance and social and economic growth and development, it has </w:t>
      </w:r>
      <w:r w:rsidRPr="000763F8">
        <w:rPr>
          <w:noProof/>
          <w:color w:val="000000"/>
        </w:rPr>
        <w:t>few staff</w:t>
      </w:r>
      <w:r w:rsidRPr="00CB3E09">
        <w:rPr>
          <w:color w:val="000000"/>
        </w:rPr>
        <w:t xml:space="preserve"> and </w:t>
      </w:r>
      <w:r w:rsidRPr="000763F8">
        <w:rPr>
          <w:noProof/>
          <w:color w:val="000000"/>
        </w:rPr>
        <w:t>is not supported</w:t>
      </w:r>
      <w:r w:rsidRPr="00CB3E09">
        <w:rPr>
          <w:color w:val="000000"/>
        </w:rPr>
        <w:t xml:space="preserve"> by any cross-</w:t>
      </w:r>
      <w:r>
        <w:rPr>
          <w:color w:val="000000"/>
        </w:rPr>
        <w:t>ministry</w:t>
      </w:r>
      <w:r w:rsidRPr="00CB3E09">
        <w:rPr>
          <w:color w:val="000000"/>
        </w:rPr>
        <w:t xml:space="preserve"> policy coordination and policy advisory committee. Cabinet does not appear to be supported by any CEO level publi</w:t>
      </w:r>
      <w:r w:rsidR="00EE0087">
        <w:rPr>
          <w:color w:val="000000"/>
        </w:rPr>
        <w:t>c service management committee.</w:t>
      </w:r>
    </w:p>
    <w:p w14:paraId="1690E252" w14:textId="77777777" w:rsidR="008109B1" w:rsidRPr="00CB3E09" w:rsidRDefault="008109B1" w:rsidP="008109B1">
      <w:r w:rsidRPr="00CB3E09">
        <w:t xml:space="preserve">Government policies and priorities are explicit and </w:t>
      </w:r>
      <w:r w:rsidRPr="000763F8">
        <w:rPr>
          <w:noProof/>
        </w:rPr>
        <w:t>are broadly reflected</w:t>
      </w:r>
      <w:r w:rsidRPr="00CB3E09">
        <w:t xml:space="preserve"> in the budget. Policy priorities </w:t>
      </w:r>
      <w:r w:rsidRPr="000763F8">
        <w:rPr>
          <w:noProof/>
        </w:rPr>
        <w:t>are established</w:t>
      </w:r>
      <w:r w:rsidRPr="00CB3E09">
        <w:t xml:space="preserve"> in the TSDF</w:t>
      </w:r>
      <w:r>
        <w:t xml:space="preserve"> II</w:t>
      </w:r>
      <w:r w:rsidRPr="00CB3E09">
        <w:t xml:space="preserve">. The allocations in the national budget </w:t>
      </w:r>
      <w:r w:rsidRPr="000763F8">
        <w:rPr>
          <w:noProof/>
        </w:rPr>
        <w:t xml:space="preserve">are reasonably well </w:t>
      </w:r>
      <w:r w:rsidRPr="000763F8">
        <w:rPr>
          <w:noProof/>
        </w:rPr>
        <w:lastRenderedPageBreak/>
        <w:t>aligned</w:t>
      </w:r>
      <w:r w:rsidRPr="00CB3E09">
        <w:t xml:space="preserve"> with the priorities set out in the TSDF</w:t>
      </w:r>
      <w:r>
        <w:t xml:space="preserve"> II</w:t>
      </w:r>
      <w:r w:rsidRPr="00CB3E09">
        <w:t xml:space="preserve">. </w:t>
      </w:r>
      <w:r>
        <w:t>A</w:t>
      </w:r>
      <w:r w:rsidRPr="00CB3E09">
        <w:t xml:space="preserve"> </w:t>
      </w:r>
      <w:r>
        <w:t>g</w:t>
      </w:r>
      <w:r w:rsidRPr="00CB3E09">
        <w:t xml:space="preserve">overnment-wide national corporate planning exercise that commenced 2014/15 is still </w:t>
      </w:r>
      <w:r w:rsidRPr="000763F8">
        <w:rPr>
          <w:noProof/>
        </w:rPr>
        <w:t>being developed</w:t>
      </w:r>
      <w:r w:rsidRPr="00CB3E09">
        <w:t xml:space="preserve">. Higher-level impact and sector outcome statements have been established but are yet to be fully translated into </w:t>
      </w:r>
      <w:r>
        <w:t>ministry/agency</w:t>
      </w:r>
      <w:r w:rsidRPr="00CB3E09">
        <w:t xml:space="preserve"> outputs and activities and linked to inputs. Ongoing inputs and activities do not</w:t>
      </w:r>
      <w:r w:rsidR="000763F8">
        <w:t>,</w:t>
      </w:r>
      <w:r w:rsidRPr="00CB3E09">
        <w:t xml:space="preserve"> </w:t>
      </w:r>
      <w:r w:rsidRPr="000763F8">
        <w:rPr>
          <w:noProof/>
        </w:rPr>
        <w:t>therefore</w:t>
      </w:r>
      <w:r w:rsidR="000763F8" w:rsidRPr="000763F8">
        <w:rPr>
          <w:noProof/>
        </w:rPr>
        <w:t>,</w:t>
      </w:r>
      <w:r w:rsidRPr="00CB3E09">
        <w:t xml:space="preserve"> have a framework for </w:t>
      </w:r>
      <w:r w:rsidRPr="000763F8">
        <w:rPr>
          <w:noProof/>
        </w:rPr>
        <w:t>prioriti</w:t>
      </w:r>
      <w:r w:rsidR="000763F8" w:rsidRPr="000763F8">
        <w:rPr>
          <w:noProof/>
        </w:rPr>
        <w:t>s</w:t>
      </w:r>
      <w:r w:rsidRPr="000763F8">
        <w:rPr>
          <w:noProof/>
        </w:rPr>
        <w:t>ation</w:t>
      </w:r>
      <w:r w:rsidR="000763F8" w:rsidRPr="000763F8">
        <w:rPr>
          <w:noProof/>
        </w:rPr>
        <w:t>,</w:t>
      </w:r>
      <w:r w:rsidRPr="00CB3E09">
        <w:t xml:space="preserve"> </w:t>
      </w:r>
      <w:r w:rsidRPr="000763F8">
        <w:rPr>
          <w:noProof/>
        </w:rPr>
        <w:t>and</w:t>
      </w:r>
      <w:r w:rsidRPr="00CB3E09">
        <w:t xml:space="preserve"> resultant M&amp;E indicators can be too numerous to measure. The generation of national and sector statistics is also poorly developed, in part because there is minimal policy demand for such information. According to the </w:t>
      </w:r>
      <w:r>
        <w:t>Asian Development Bank (</w:t>
      </w:r>
      <w:r w:rsidRPr="00CB3E09">
        <w:t>ADB</w:t>
      </w:r>
      <w:r>
        <w:t>)</w:t>
      </w:r>
      <w:r w:rsidRPr="00CB3E09">
        <w:t>, corporate plans are also not costed nor are they linked to budgets</w:t>
      </w:r>
      <w:r w:rsidR="00183979">
        <w:t xml:space="preserve"> (the MoH has records of </w:t>
      </w:r>
      <w:r w:rsidR="00183979" w:rsidRPr="000763F8">
        <w:rPr>
          <w:noProof/>
        </w:rPr>
        <w:t>historical recurrent</w:t>
      </w:r>
      <w:r w:rsidR="00183979">
        <w:t xml:space="preserve"> expenditure </w:t>
      </w:r>
      <w:r w:rsidR="00183979" w:rsidRPr="000763F8">
        <w:rPr>
          <w:noProof/>
        </w:rPr>
        <w:t>but</w:t>
      </w:r>
      <w:r w:rsidR="00183979">
        <w:t xml:space="preserve"> these records are not used to develop forward estimates). </w:t>
      </w:r>
      <w:r w:rsidRPr="00CB3E09">
        <w:t>It is unclear whether outer island and national programs develop costed annual operatio</w:t>
      </w:r>
      <w:r w:rsidR="00EE0087">
        <w:t>nal plans to inform the budget.</w:t>
      </w:r>
    </w:p>
    <w:p w14:paraId="4F472414" w14:textId="6BB0DB4A" w:rsidR="008109B1" w:rsidRPr="00CB3E09" w:rsidRDefault="008109B1" w:rsidP="008109B1">
      <w:r w:rsidRPr="00CB3E09">
        <w:t>There is no regular or systemic review of health system performance</w:t>
      </w:r>
      <w:r>
        <w:t xml:space="preserve"> by GoT:</w:t>
      </w:r>
      <w:r w:rsidRPr="00CB3E09">
        <w:t xml:space="preserve"> </w:t>
      </w:r>
      <w:r>
        <w:t>t</w:t>
      </w:r>
      <w:r w:rsidRPr="00CB3E09">
        <w:t xml:space="preserve">he legislature and senior executive do not demand reports. </w:t>
      </w:r>
      <w:r>
        <w:t>MoH</w:t>
      </w:r>
      <w:r w:rsidRPr="00CB3E09">
        <w:t xml:space="preserve"> Annual Reports are infrequent</w:t>
      </w:r>
      <w:r w:rsidR="00183979">
        <w:t xml:space="preserve"> (reports for 2015 and 2016 were shared with the evaluation team but are yet to </w:t>
      </w:r>
      <w:r w:rsidR="00183979" w:rsidRPr="000763F8">
        <w:rPr>
          <w:noProof/>
        </w:rPr>
        <w:t>be published</w:t>
      </w:r>
      <w:r w:rsidR="00183979">
        <w:t xml:space="preserve">, and reports for 2017 and 2018 have not </w:t>
      </w:r>
      <w:r w:rsidR="00183979" w:rsidRPr="000763F8">
        <w:rPr>
          <w:noProof/>
        </w:rPr>
        <w:t>been prepared</w:t>
      </w:r>
      <w:r w:rsidR="00183979">
        <w:t>)</w:t>
      </w:r>
      <w:r w:rsidRPr="00CB3E09">
        <w:t xml:space="preserve">. </w:t>
      </w:r>
      <w:r>
        <w:t>MoH</w:t>
      </w:r>
      <w:r w:rsidRPr="00CB3E09">
        <w:t xml:space="preserve"> management meetings are also irregular</w:t>
      </w:r>
      <w:r w:rsidR="005B0621">
        <w:t xml:space="preserve"> and there is no demand for information for governance</w:t>
      </w:r>
      <w:r w:rsidRPr="00CB3E09">
        <w:t xml:space="preserve">. </w:t>
      </w:r>
      <w:r w:rsidR="005B0621">
        <w:t>There are no regular reviews of health sector performance by the health sector stakeholders (including Development Partners). In addition, t</w:t>
      </w:r>
      <w:r w:rsidRPr="00CB3E09">
        <w:t xml:space="preserve">here has previously been very limited information for </w:t>
      </w:r>
      <w:r>
        <w:t>MoH</w:t>
      </w:r>
      <w:r w:rsidRPr="00CB3E09">
        <w:t xml:space="preserve"> management </w:t>
      </w:r>
      <w:r w:rsidR="005B0621">
        <w:t>from t</w:t>
      </w:r>
      <w:r>
        <w:t xml:space="preserve">he centralised GoT financial management information system (FMIS) </w:t>
      </w:r>
      <w:r w:rsidR="001078DB">
        <w:t>with very l</w:t>
      </w:r>
      <w:r w:rsidR="00C27097">
        <w:t xml:space="preserve">ittle access </w:t>
      </w:r>
      <w:r w:rsidR="001078DB">
        <w:t>for operational ministries</w:t>
      </w:r>
      <w:r w:rsidR="008F7E46">
        <w:t xml:space="preserve"> (see section 3.1, target #4)</w:t>
      </w:r>
      <w:r w:rsidRPr="00CB3E09">
        <w:t xml:space="preserve">. </w:t>
      </w:r>
      <w:r>
        <w:t xml:space="preserve">The </w:t>
      </w:r>
      <w:r>
        <w:rPr>
          <w:lang w:val="en-AU"/>
        </w:rPr>
        <w:t xml:space="preserve">WHO reports that </w:t>
      </w:r>
      <w:r w:rsidR="000763F8">
        <w:rPr>
          <w:lang w:val="en-AU"/>
        </w:rPr>
        <w:t>‘</w:t>
      </w:r>
      <w:r>
        <w:rPr>
          <w:lang w:val="en-AU"/>
        </w:rPr>
        <w:t>t</w:t>
      </w:r>
      <w:r w:rsidRPr="00CB3E09">
        <w:rPr>
          <w:lang w:val="en-AU"/>
        </w:rPr>
        <w:t>he current method of resource allocation and purchasing is not conducive to improving efficiency and better data is required to assess the levels of efficiency in service provision and resource allocation in Tonga.</w:t>
      </w:r>
      <w:r w:rsidR="000763F8">
        <w:rPr>
          <w:lang w:val="en-AU"/>
        </w:rPr>
        <w:t>’</w:t>
      </w:r>
      <w:r w:rsidRPr="00CB3E09">
        <w:rPr>
          <w:lang w:val="en-AU"/>
        </w:rPr>
        <w:t xml:space="preserve"> </w:t>
      </w:r>
      <w:r w:rsidRPr="00CB3E09">
        <w:t xml:space="preserve">ADB has prepared a project to support the </w:t>
      </w:r>
      <w:r>
        <w:t>MoH</w:t>
      </w:r>
      <w:r w:rsidRPr="00CB3E09">
        <w:t xml:space="preserve"> design and implementation of a </w:t>
      </w:r>
      <w:r w:rsidR="00823912">
        <w:t>hospital</w:t>
      </w:r>
      <w:r w:rsidRPr="00CB3E09">
        <w:t xml:space="preserve"> </w:t>
      </w:r>
      <w:r w:rsidR="00823912">
        <w:t>HIS, while DFAT’s Innovation Exchange is supporting a public health HIS</w:t>
      </w:r>
      <w:r w:rsidRPr="00CB3E09">
        <w:t>.</w:t>
      </w:r>
    </w:p>
    <w:p w14:paraId="773FE742" w14:textId="77777777" w:rsidR="008109B1" w:rsidRDefault="008109B1" w:rsidP="008109B1">
      <w:r>
        <w:t xml:space="preserve">The THSSP2 M&amp;E Framework (indicator 5.7) measures MoH corporate planning performance </w:t>
      </w:r>
      <w:r w:rsidRPr="000763F8">
        <w:rPr>
          <w:noProof/>
        </w:rPr>
        <w:t>in terms of</w:t>
      </w:r>
      <w:r>
        <w:t xml:space="preserve"> ratings given by MoF: these were ‘red’ 2016/17, ‘green’ 2017/18 and ‘green’ 2018/19. Therefore</w:t>
      </w:r>
      <w:r w:rsidR="00997717">
        <w:t xml:space="preserve">, </w:t>
      </w:r>
      <w:r>
        <w:t xml:space="preserve">the </w:t>
      </w:r>
      <w:r w:rsidR="00997717">
        <w:t xml:space="preserve">official </w:t>
      </w:r>
      <w:r w:rsidR="00600F31">
        <w:t xml:space="preserve">program </w:t>
      </w:r>
      <w:r>
        <w:t>M&amp;E indicator</w:t>
      </w:r>
      <w:r w:rsidR="00997717">
        <w:t xml:space="preserve"> would suggest that</w:t>
      </w:r>
      <w:r>
        <w:t xml:space="preserve"> </w:t>
      </w:r>
      <w:r w:rsidR="00997717">
        <w:t xml:space="preserve">MoH </w:t>
      </w:r>
      <w:r>
        <w:t xml:space="preserve">planning capacity </w:t>
      </w:r>
      <w:r w:rsidRPr="00CB3E09">
        <w:t>has improved significantly.</w:t>
      </w:r>
      <w:r w:rsidR="00B2274D">
        <w:t xml:space="preserve"> The </w:t>
      </w:r>
      <w:r w:rsidR="004E3597">
        <w:t xml:space="preserve">then </w:t>
      </w:r>
      <w:r w:rsidR="00B2274D">
        <w:t xml:space="preserve">MoF rating scale (which has recently been abandoned by MoF) </w:t>
      </w:r>
      <w:r w:rsidR="004E3597">
        <w:t xml:space="preserve">was based on </w:t>
      </w:r>
      <w:r w:rsidR="00B2274D">
        <w:t>characteristics such as correct categorisation of outputs and activities, measurable indicators and linkage with the TSDF II. The definition of a ‘green’</w:t>
      </w:r>
      <w:r w:rsidR="00B2274D" w:rsidRPr="00B2274D">
        <w:t xml:space="preserve"> rating is “</w:t>
      </w:r>
      <w:r w:rsidR="00B2274D" w:rsidRPr="009E5C99">
        <w:t>more than adequate, you might provide a comment on how it could be further improved, but for now it is sufficient”.</w:t>
      </w:r>
      <w:r w:rsidRPr="00B2274D">
        <w:t xml:space="preserve"> </w:t>
      </w:r>
      <w:r w:rsidR="00997717">
        <w:t>Given the discussion</w:t>
      </w:r>
      <w:r w:rsidR="00B2274D">
        <w:t xml:space="preserve"> in the preceding paragraphs</w:t>
      </w:r>
      <w:r w:rsidR="00997717">
        <w:t xml:space="preserve">, the evaluation </w:t>
      </w:r>
      <w:r w:rsidR="00AB3EE7">
        <w:t xml:space="preserve">team </w:t>
      </w:r>
      <w:r w:rsidR="00BF2A18">
        <w:t>questions th</w:t>
      </w:r>
      <w:r w:rsidR="008F7E46">
        <w:t xml:space="preserve">e </w:t>
      </w:r>
      <w:r w:rsidR="004E3597">
        <w:t>meaningfulness</w:t>
      </w:r>
      <w:r w:rsidR="00B2274D">
        <w:t xml:space="preserve"> of the </w:t>
      </w:r>
      <w:r w:rsidR="008F7E46">
        <w:t>MoF rating</w:t>
      </w:r>
      <w:r w:rsidR="004E3597">
        <w:t xml:space="preserve">s </w:t>
      </w:r>
      <w:r w:rsidR="007F1C8E">
        <w:t>awarded</w:t>
      </w:r>
      <w:r w:rsidR="004E3597">
        <w:t xml:space="preserve"> to MoH,</w:t>
      </w:r>
      <w:r w:rsidR="008F7E46">
        <w:t xml:space="preserve"> considering the low utility of the corporate planning currently undertaken by MoH</w:t>
      </w:r>
      <w:r w:rsidRPr="00CB3E09">
        <w:t>.</w:t>
      </w:r>
    </w:p>
    <w:p w14:paraId="6997C091" w14:textId="77777777" w:rsidR="007F1C8E" w:rsidRDefault="007D4A15" w:rsidP="008109B1">
      <w:r>
        <w:t xml:space="preserve">The </w:t>
      </w:r>
      <w:r w:rsidR="00CB183B">
        <w:t>evaluation team wa</w:t>
      </w:r>
      <w:r>
        <w:t xml:space="preserve">s also concerned about the </w:t>
      </w:r>
      <w:r w:rsidR="00CB183B">
        <w:t xml:space="preserve">apparent lack of </w:t>
      </w:r>
      <w:r>
        <w:t>cross</w:t>
      </w:r>
      <w:r w:rsidR="00CB183B">
        <w:t xml:space="preserve">-linkage between the MoH corporate plan and the </w:t>
      </w:r>
      <w:r w:rsidR="004E3597">
        <w:t xml:space="preserve">National </w:t>
      </w:r>
      <w:r w:rsidR="00CB183B">
        <w:t>Health Strategic Plan 2015-2020 (</w:t>
      </w:r>
      <w:r w:rsidR="004E3597">
        <w:t>NHSP 2015-20</w:t>
      </w:r>
      <w:r w:rsidR="00CB183B">
        <w:t xml:space="preserve">), and the budgeting process. </w:t>
      </w:r>
      <w:r w:rsidR="004E3597">
        <w:t xml:space="preserve">The key result areas of the NHSP 2015-20 were provided in section 1.2.1. (Table 1). The NHSP 2015-20 </w:t>
      </w:r>
      <w:r w:rsidR="007F1C8E">
        <w:t xml:space="preserve">states in its title that its goal is to achieve universal coverage but within the document there is not </w:t>
      </w:r>
      <w:r w:rsidR="004E3597">
        <w:t xml:space="preserve">a comprehensive, holistic vision of </w:t>
      </w:r>
      <w:r w:rsidR="009C6EF0">
        <w:t xml:space="preserve">what this will look like. The main </w:t>
      </w:r>
      <w:r w:rsidR="004E3597">
        <w:t>future</w:t>
      </w:r>
      <w:r w:rsidR="008F25BD">
        <w:t>-</w:t>
      </w:r>
      <w:r w:rsidR="004E3597">
        <w:t>oriented statements are contained within each individual key result area</w:t>
      </w:r>
      <w:r w:rsidR="00E84724">
        <w:t xml:space="preserve">. The NHSP includes relatively detailed indicators and outputs (labelled as “targets” in the document) for each key result area, on the understanding that these will inform the MoH Annual Management Plans (annual budget process). Since operationalisation of the NHSP is not explained within the NHSP itself, this partly explains the subsequent lack of cross-linkage with the MoH corporate plan and the annual budgeting process. </w:t>
      </w:r>
      <w:r w:rsidR="009C6EF0">
        <w:t>Most significantly, the NHSP does not indicate how outputs will be financed.</w:t>
      </w:r>
    </w:p>
    <w:p w14:paraId="7DC36299" w14:textId="77777777" w:rsidR="007D4A15" w:rsidRDefault="00E84724" w:rsidP="008109B1">
      <w:r>
        <w:t xml:space="preserve">Overall, it was evident that MoH had invested </w:t>
      </w:r>
      <w:r w:rsidR="00BA0A88">
        <w:t xml:space="preserve">considerable resources and effort over recent years in developing the NHSP and the corporate plans, but the evaluation team had concerns about </w:t>
      </w:r>
      <w:r w:rsidR="00BA0A88">
        <w:lastRenderedPageBreak/>
        <w:t xml:space="preserve">excessive complexity of the documents, thereby reducing “user friendliness”, and the extent to which the plans reflected actual capacity to implement. This is a thorny issue in development practice because nations have an understandable desire to aspire to rapid development, but the members of the evaluation team felt personally that setting </w:t>
      </w:r>
      <w:r w:rsidR="00460C29">
        <w:t>overly ambitious</w:t>
      </w:r>
      <w:r w:rsidR="00BA0A88">
        <w:t xml:space="preserve"> goals contributes to a sense of under achievement </w:t>
      </w:r>
      <w:r w:rsidR="00997BBA">
        <w:t>and undermines staff confidence</w:t>
      </w:r>
      <w:r w:rsidR="00BA0A88">
        <w:t>.</w:t>
      </w:r>
      <w:r w:rsidR="009C6EF0">
        <w:t xml:space="preserve"> Both the NHSP and the PEHS signal the desire of the MoH to strengthen the health system at the primary health care level, but (from the documents) it was unclear to the evaluation team how this would be progressed.</w:t>
      </w:r>
    </w:p>
    <w:p w14:paraId="4BAA8550" w14:textId="77777777" w:rsidR="008109B1" w:rsidRPr="000763F8" w:rsidRDefault="008109B1" w:rsidP="00BF2A18">
      <w:pPr>
        <w:spacing w:after="0"/>
        <w:rPr>
          <w:i/>
        </w:rPr>
      </w:pPr>
      <w:r w:rsidRPr="000763F8">
        <w:rPr>
          <w:i/>
        </w:rPr>
        <w:t>Development partner coordination</w:t>
      </w:r>
    </w:p>
    <w:p w14:paraId="67C9201B" w14:textId="7AD9905A" w:rsidR="008109B1" w:rsidRDefault="008109B1" w:rsidP="008109B1">
      <w:pPr>
        <w:rPr>
          <w:szCs w:val="23"/>
        </w:rPr>
      </w:pPr>
      <w:r>
        <w:rPr>
          <w:szCs w:val="23"/>
        </w:rPr>
        <w:t xml:space="preserve">DFAT is by far the largest bilateral donor in the health sector. The UN system development partners active in the health sector </w:t>
      </w:r>
      <w:r w:rsidR="00823912">
        <w:rPr>
          <w:szCs w:val="23"/>
        </w:rPr>
        <w:t>(</w:t>
      </w:r>
      <w:r>
        <w:rPr>
          <w:szCs w:val="23"/>
        </w:rPr>
        <w:t>WHO, UNFPA</w:t>
      </w:r>
      <w:r w:rsidR="00823912">
        <w:rPr>
          <w:szCs w:val="23"/>
        </w:rPr>
        <w:t>, UNICEF)</w:t>
      </w:r>
      <w:r>
        <w:rPr>
          <w:szCs w:val="23"/>
        </w:rPr>
        <w:t xml:space="preserve"> and World Bank</w:t>
      </w:r>
      <w:r w:rsidR="00823912">
        <w:rPr>
          <w:szCs w:val="23"/>
        </w:rPr>
        <w:t>, ADB and SPC</w:t>
      </w:r>
      <w:r>
        <w:rPr>
          <w:szCs w:val="23"/>
        </w:rPr>
        <w:t>, are managed regionally (WHO and UNFPA have in-country offices). The evaluation team met with the New Zealand Deputy High Commissioner</w:t>
      </w:r>
      <w:r w:rsidR="001223F0">
        <w:rPr>
          <w:szCs w:val="23"/>
        </w:rPr>
        <w:t>,</w:t>
      </w:r>
      <w:r>
        <w:rPr>
          <w:szCs w:val="23"/>
        </w:rPr>
        <w:t xml:space="preserve"> who expressed New Zealand’s interest in supporting activities in the health sector</w:t>
      </w:r>
      <w:r w:rsidR="001223F0">
        <w:rPr>
          <w:szCs w:val="23"/>
        </w:rPr>
        <w:t>, the WHO resident technical officer, and the UNFPA resident officer</w:t>
      </w:r>
      <w:r>
        <w:rPr>
          <w:szCs w:val="23"/>
        </w:rPr>
        <w:t xml:space="preserve">. </w:t>
      </w:r>
      <w:r w:rsidR="001223F0">
        <w:rPr>
          <w:szCs w:val="23"/>
        </w:rPr>
        <w:t xml:space="preserve">The World Bank was consulted remotely following the country visit (details of the World Bank Pacific Health Analytical and Advisory Services </w:t>
      </w:r>
      <w:r w:rsidR="003F427B">
        <w:rPr>
          <w:szCs w:val="23"/>
        </w:rPr>
        <w:t xml:space="preserve">(PASA) </w:t>
      </w:r>
      <w:r w:rsidR="001223F0">
        <w:rPr>
          <w:szCs w:val="23"/>
        </w:rPr>
        <w:t xml:space="preserve">program are provided </w:t>
      </w:r>
      <w:r w:rsidR="008A0A04">
        <w:rPr>
          <w:szCs w:val="23"/>
        </w:rPr>
        <w:t>later</w:t>
      </w:r>
      <w:r w:rsidR="001223F0">
        <w:rPr>
          <w:szCs w:val="23"/>
        </w:rPr>
        <w:t xml:space="preserve"> in this report). </w:t>
      </w:r>
      <w:r>
        <w:rPr>
          <w:szCs w:val="23"/>
        </w:rPr>
        <w:t xml:space="preserve">The evaluation team did not meet with </w:t>
      </w:r>
      <w:r w:rsidR="00B31AE0">
        <w:rPr>
          <w:szCs w:val="23"/>
        </w:rPr>
        <w:t xml:space="preserve">any </w:t>
      </w:r>
      <w:r>
        <w:rPr>
          <w:szCs w:val="23"/>
        </w:rPr>
        <w:t xml:space="preserve">other development partners but did note that the ADB is about to commence an </w:t>
      </w:r>
      <w:r w:rsidRPr="0003499A">
        <w:rPr>
          <w:noProof/>
          <w:szCs w:val="23"/>
        </w:rPr>
        <w:t>ehealth</w:t>
      </w:r>
      <w:r>
        <w:rPr>
          <w:szCs w:val="23"/>
        </w:rPr>
        <w:t xml:space="preserve"> project</w:t>
      </w:r>
      <w:r w:rsidR="00823912">
        <w:rPr>
          <w:szCs w:val="23"/>
        </w:rPr>
        <w:t xml:space="preserve"> and an immunisation project,</w:t>
      </w:r>
      <w:r w:rsidR="005A51DE">
        <w:rPr>
          <w:szCs w:val="23"/>
        </w:rPr>
        <w:t xml:space="preserve"> </w:t>
      </w:r>
      <w:r w:rsidR="005A51DE" w:rsidRPr="0003499A">
        <w:rPr>
          <w:noProof/>
          <w:szCs w:val="23"/>
        </w:rPr>
        <w:t>and</w:t>
      </w:r>
      <w:r w:rsidR="005A51DE">
        <w:rPr>
          <w:szCs w:val="23"/>
        </w:rPr>
        <w:t xml:space="preserve"> JICA has donated medical equipment</w:t>
      </w:r>
      <w:r>
        <w:rPr>
          <w:szCs w:val="23"/>
        </w:rPr>
        <w:t>.</w:t>
      </w:r>
    </w:p>
    <w:p w14:paraId="29E1A80B" w14:textId="0242F294" w:rsidR="009D7723" w:rsidRPr="00BF2A18" w:rsidRDefault="008109B1" w:rsidP="00D91469">
      <w:pPr>
        <w:rPr>
          <w:szCs w:val="23"/>
        </w:rPr>
      </w:pPr>
      <w:r>
        <w:rPr>
          <w:szCs w:val="23"/>
        </w:rPr>
        <w:t xml:space="preserve">In some other Pacific </w:t>
      </w:r>
      <w:r w:rsidR="00B31AE0">
        <w:rPr>
          <w:szCs w:val="23"/>
        </w:rPr>
        <w:t xml:space="preserve">Island </w:t>
      </w:r>
      <w:r>
        <w:rPr>
          <w:szCs w:val="23"/>
        </w:rPr>
        <w:t xml:space="preserve">countries, peak sectoral coordination forums have had some success in aligning host government and development partners in working towards an agreed sectoral strategy. The World Bank </w:t>
      </w:r>
      <w:r w:rsidR="00B31AE0">
        <w:rPr>
          <w:szCs w:val="23"/>
        </w:rPr>
        <w:t xml:space="preserve">is </w:t>
      </w:r>
      <w:r>
        <w:rPr>
          <w:szCs w:val="23"/>
        </w:rPr>
        <w:t>familiar with and supportive of sector-wide coordination models</w:t>
      </w:r>
      <w:r w:rsidR="00515E82">
        <w:rPr>
          <w:szCs w:val="23"/>
        </w:rPr>
        <w:t>, and</w:t>
      </w:r>
      <w:r w:rsidR="00823912">
        <w:rPr>
          <w:szCs w:val="23"/>
        </w:rPr>
        <w:t xml:space="preserve"> is playing a key role in supporting</w:t>
      </w:r>
      <w:r w:rsidR="00515E82">
        <w:rPr>
          <w:szCs w:val="23"/>
        </w:rPr>
        <w:t xml:space="preserve"> better oversight over development partner contributions </w:t>
      </w:r>
      <w:r w:rsidR="00823912">
        <w:rPr>
          <w:szCs w:val="23"/>
        </w:rPr>
        <w:t>under the</w:t>
      </w:r>
      <w:r w:rsidR="00515E82">
        <w:rPr>
          <w:szCs w:val="23"/>
        </w:rPr>
        <w:t xml:space="preserve"> PASA work plan</w:t>
      </w:r>
      <w:r>
        <w:rPr>
          <w:szCs w:val="23"/>
        </w:rPr>
        <w:t>. A previous WHO country representative did organise regular development partner meetings</w:t>
      </w:r>
      <w:r w:rsidR="000763F8">
        <w:rPr>
          <w:szCs w:val="23"/>
        </w:rPr>
        <w:t>,</w:t>
      </w:r>
      <w:r>
        <w:rPr>
          <w:szCs w:val="23"/>
        </w:rPr>
        <w:t xml:space="preserve"> </w:t>
      </w:r>
      <w:r w:rsidRPr="0003499A">
        <w:rPr>
          <w:noProof/>
          <w:szCs w:val="23"/>
        </w:rPr>
        <w:t>but</w:t>
      </w:r>
      <w:r>
        <w:rPr>
          <w:szCs w:val="23"/>
        </w:rPr>
        <w:t xml:space="preserve"> the arrangement lapsed when that person </w:t>
      </w:r>
      <w:r w:rsidRPr="0003499A">
        <w:rPr>
          <w:noProof/>
          <w:szCs w:val="23"/>
        </w:rPr>
        <w:t>was posted</w:t>
      </w:r>
      <w:r>
        <w:rPr>
          <w:szCs w:val="23"/>
        </w:rPr>
        <w:t xml:space="preserve"> elsewhere. Since Tonga has only DFAT as a major bilateral partner, the MoH may not perceive potential benefits in improving donor coordination. The smaller donors may be satisfied to identify niche roles for themselves and have little to gain from sector coordination.</w:t>
      </w:r>
      <w:r w:rsidR="00823912">
        <w:rPr>
          <w:szCs w:val="23"/>
        </w:rPr>
        <w:t xml:space="preserve"> Given the number of partners working vertically in the sector, better coordination could only serve to improve management and use of all resources available to the health sector.</w:t>
      </w:r>
      <w:r>
        <w:rPr>
          <w:szCs w:val="23"/>
        </w:rPr>
        <w:t xml:space="preserve"> </w:t>
      </w:r>
      <w:r w:rsidR="00823912">
        <w:rPr>
          <w:szCs w:val="23"/>
        </w:rPr>
        <w:t>However</w:t>
      </w:r>
      <w:r w:rsidR="006B1FCD">
        <w:rPr>
          <w:szCs w:val="23"/>
        </w:rPr>
        <w:t xml:space="preserve">, </w:t>
      </w:r>
      <w:r>
        <w:rPr>
          <w:szCs w:val="23"/>
        </w:rPr>
        <w:t xml:space="preserve">DFAT </w:t>
      </w:r>
      <w:r w:rsidR="00823912">
        <w:rPr>
          <w:szCs w:val="23"/>
        </w:rPr>
        <w:t>has a particular interest as a</w:t>
      </w:r>
      <w:r>
        <w:rPr>
          <w:szCs w:val="23"/>
        </w:rPr>
        <w:t xml:space="preserve"> major donor needing clarity about the medium</w:t>
      </w:r>
      <w:r w:rsidR="00C32C63">
        <w:rPr>
          <w:szCs w:val="23"/>
        </w:rPr>
        <w:t>-</w:t>
      </w:r>
      <w:r>
        <w:rPr>
          <w:szCs w:val="23"/>
        </w:rPr>
        <w:t xml:space="preserve">term strategic direction of the sector </w:t>
      </w:r>
      <w:r w:rsidRPr="0003499A">
        <w:rPr>
          <w:noProof/>
          <w:szCs w:val="23"/>
        </w:rPr>
        <w:t>in order to</w:t>
      </w:r>
      <w:r>
        <w:rPr>
          <w:szCs w:val="23"/>
        </w:rPr>
        <w:t xml:space="preserve"> optimise the strategic impact of its investments.</w:t>
      </w:r>
    </w:p>
    <w:p w14:paraId="50F8679E" w14:textId="77777777" w:rsidR="007F2359" w:rsidRDefault="006823DF" w:rsidP="00BA6AEF">
      <w:pPr>
        <w:pStyle w:val="Heading3"/>
      </w:pPr>
      <w:bookmarkStart w:id="51" w:name="_Toc536205452"/>
      <w:r>
        <w:t>3.2.4</w:t>
      </w:r>
      <w:r>
        <w:tab/>
      </w:r>
      <w:r w:rsidR="00D91469" w:rsidRPr="00D91469">
        <w:t>P</w:t>
      </w:r>
      <w:r w:rsidR="00CD5B7A">
        <w:t>ublic financial management</w:t>
      </w:r>
      <w:bookmarkEnd w:id="51"/>
    </w:p>
    <w:p w14:paraId="64ABE606" w14:textId="77777777" w:rsidR="000F1389" w:rsidRPr="000763F8" w:rsidRDefault="000F1389" w:rsidP="00BF2A18">
      <w:pPr>
        <w:spacing w:after="0"/>
        <w:rPr>
          <w:i/>
        </w:rPr>
      </w:pPr>
      <w:r w:rsidRPr="000763F8">
        <w:rPr>
          <w:i/>
        </w:rPr>
        <w:t>Health expenditure policy</w:t>
      </w:r>
    </w:p>
    <w:p w14:paraId="31A454EA" w14:textId="77777777" w:rsidR="006857B7" w:rsidRDefault="000F1389" w:rsidP="000F1389">
      <w:r w:rsidRPr="00CB3E09">
        <w:t xml:space="preserve">The </w:t>
      </w:r>
      <w:r>
        <w:t xml:space="preserve">THSSP2 </w:t>
      </w:r>
      <w:r w:rsidRPr="00CB3E09">
        <w:t>Design Document was particularly concerned that G</w:t>
      </w:r>
      <w:r>
        <w:t>o</w:t>
      </w:r>
      <w:r w:rsidRPr="00CB3E09">
        <w:t xml:space="preserve">T maintain its </w:t>
      </w:r>
      <w:r>
        <w:t xml:space="preserve">level of </w:t>
      </w:r>
      <w:r w:rsidRPr="00CB3E09">
        <w:t>financi</w:t>
      </w:r>
      <w:r>
        <w:t>ng</w:t>
      </w:r>
      <w:r w:rsidRPr="00CB3E09">
        <w:t xml:space="preserve"> </w:t>
      </w:r>
      <w:r>
        <w:t>for</w:t>
      </w:r>
      <w:r w:rsidRPr="00CB3E09">
        <w:t xml:space="preserve"> </w:t>
      </w:r>
      <w:r>
        <w:t>the health sector,</w:t>
      </w:r>
      <w:r w:rsidRPr="00CB3E09">
        <w:t xml:space="preserve"> and that </w:t>
      </w:r>
      <w:r>
        <w:t>MoH</w:t>
      </w:r>
      <w:r w:rsidRPr="00CB3E09">
        <w:t xml:space="preserve">’s budget for the Public Health Division (excluding donor funds) increases as a percentage of the total </w:t>
      </w:r>
      <w:r>
        <w:t>MoH</w:t>
      </w:r>
      <w:r w:rsidRPr="00CB3E09">
        <w:t xml:space="preserve"> budget. These two criti</w:t>
      </w:r>
      <w:r w:rsidR="006857B7">
        <w:t>cal commitments have been met</w:t>
      </w:r>
      <w:r w:rsidR="007A5FFC">
        <w:t xml:space="preserve">: MoH’s share of the total </w:t>
      </w:r>
      <w:r w:rsidR="00575997">
        <w:t xml:space="preserve">GoT budget </w:t>
      </w:r>
      <w:r w:rsidR="007A5FFC">
        <w:t xml:space="preserve">increased from </w:t>
      </w:r>
      <w:r w:rsidR="00575997">
        <w:t>12.9</w:t>
      </w:r>
      <w:r w:rsidR="00695247">
        <w:t xml:space="preserve">% in 2015-16 to 13.2% in 2017-18, and </w:t>
      </w:r>
      <w:r w:rsidR="00575997">
        <w:t>the MoH budget allocation for the Public Health Division increased from 8.3% in 2015-16 to 12.8% in 2017-18</w:t>
      </w:r>
      <w:r w:rsidR="007078E8">
        <w:t xml:space="preserve"> (refer </w:t>
      </w:r>
      <w:r w:rsidR="007078E8" w:rsidRPr="000217BE">
        <w:rPr>
          <w:b/>
        </w:rPr>
        <w:t>Annex D</w:t>
      </w:r>
      <w:r w:rsidR="007078E8">
        <w:t xml:space="preserve"> </w:t>
      </w:r>
      <w:r w:rsidR="00CD0CB6">
        <w:t xml:space="preserve">for </w:t>
      </w:r>
      <w:r w:rsidR="00575997">
        <w:t xml:space="preserve">detailed </w:t>
      </w:r>
      <w:r w:rsidR="000217BE">
        <w:t xml:space="preserve">financial </w:t>
      </w:r>
      <w:r w:rsidR="00575997">
        <w:t>performance measures</w:t>
      </w:r>
      <w:r w:rsidR="00CD0CB6">
        <w:t>)</w:t>
      </w:r>
      <w:r w:rsidR="006857B7">
        <w:t>.</w:t>
      </w:r>
    </w:p>
    <w:p w14:paraId="085A5B98" w14:textId="77777777" w:rsidR="000F1389" w:rsidRDefault="007A18E9" w:rsidP="000F1389">
      <w:r>
        <w:t xml:space="preserve">Other health sector financing targets (i.e. </w:t>
      </w:r>
      <w:r w:rsidRPr="00CB3E09">
        <w:t>commitment of public finances</w:t>
      </w:r>
      <w:r>
        <w:t xml:space="preserve">) in </w:t>
      </w:r>
      <w:r w:rsidR="000F1389" w:rsidRPr="00CB3E09">
        <w:t xml:space="preserve">the THSSP2 </w:t>
      </w:r>
      <w:r w:rsidR="006857B7">
        <w:t>M&amp;E Framework</w:t>
      </w:r>
      <w:r>
        <w:t xml:space="preserve"> have </w:t>
      </w:r>
      <w:r w:rsidR="00DE4226">
        <w:t xml:space="preserve">mostly </w:t>
      </w:r>
      <w:r w:rsidR="00DE4226" w:rsidRPr="0003499A">
        <w:rPr>
          <w:noProof/>
        </w:rPr>
        <w:t>been met</w:t>
      </w:r>
      <w:r w:rsidR="00DE4226">
        <w:t>. See the following:</w:t>
      </w:r>
    </w:p>
    <w:p w14:paraId="0D788DBE" w14:textId="77777777" w:rsidR="00DE4226" w:rsidRPr="00CB3E09" w:rsidRDefault="00DE4226" w:rsidP="00BF2A18">
      <w:pPr>
        <w:spacing w:after="120"/>
      </w:pPr>
      <w:r>
        <w:t xml:space="preserve">Targets </w:t>
      </w:r>
      <w:r w:rsidR="00E734B8">
        <w:t>fully</w:t>
      </w:r>
      <w:r>
        <w:t xml:space="preserve"> met:</w:t>
      </w:r>
    </w:p>
    <w:p w14:paraId="64E27C5A" w14:textId="77777777" w:rsidR="000F1389" w:rsidRPr="00E971FA" w:rsidRDefault="000F1389" w:rsidP="00D2231A">
      <w:pPr>
        <w:pStyle w:val="ListParagraph"/>
        <w:numPr>
          <w:ilvl w:val="0"/>
          <w:numId w:val="12"/>
        </w:numPr>
        <w:spacing w:after="120"/>
        <w:ind w:left="714" w:hanging="357"/>
        <w:contextualSpacing w:val="0"/>
        <w:rPr>
          <w:shd w:val="clear" w:color="auto" w:fill="FFFFFF"/>
        </w:rPr>
      </w:pPr>
      <w:r w:rsidRPr="00E971FA">
        <w:rPr>
          <w:shd w:val="clear" w:color="auto" w:fill="FFFFFF"/>
        </w:rPr>
        <w:t xml:space="preserve">Funding has </w:t>
      </w:r>
      <w:r w:rsidRPr="0003499A">
        <w:rPr>
          <w:noProof/>
          <w:shd w:val="clear" w:color="auto" w:fill="FFFFFF"/>
        </w:rPr>
        <w:t>been channelled</w:t>
      </w:r>
      <w:r w:rsidRPr="00E971FA">
        <w:rPr>
          <w:shd w:val="clear" w:color="auto" w:fill="FFFFFF"/>
        </w:rPr>
        <w:t xml:space="preserve"> through existing </w:t>
      </w:r>
      <w:r>
        <w:rPr>
          <w:shd w:val="clear" w:color="auto" w:fill="FFFFFF"/>
        </w:rPr>
        <w:t>MoH</w:t>
      </w:r>
      <w:r w:rsidRPr="00E971FA">
        <w:rPr>
          <w:shd w:val="clear" w:color="auto" w:fill="FFFFFF"/>
        </w:rPr>
        <w:t xml:space="preserve"> financial processes</w:t>
      </w:r>
      <w:r w:rsidR="007A18E9">
        <w:rPr>
          <w:shd w:val="clear" w:color="auto" w:fill="FFFFFF"/>
        </w:rPr>
        <w:t xml:space="preserve"> (see </w:t>
      </w:r>
      <w:r w:rsidRPr="00E971FA">
        <w:rPr>
          <w:shd w:val="clear" w:color="auto" w:fill="FFFFFF"/>
        </w:rPr>
        <w:t>comment</w:t>
      </w:r>
      <w:r w:rsidR="007A18E9">
        <w:rPr>
          <w:shd w:val="clear" w:color="auto" w:fill="FFFFFF"/>
        </w:rPr>
        <w:t>s</w:t>
      </w:r>
      <w:r w:rsidRPr="00E971FA">
        <w:rPr>
          <w:shd w:val="clear" w:color="auto" w:fill="FFFFFF"/>
        </w:rPr>
        <w:t xml:space="preserve"> on accountability below</w:t>
      </w:r>
      <w:r w:rsidR="007A18E9">
        <w:rPr>
          <w:shd w:val="clear" w:color="auto" w:fill="FFFFFF"/>
        </w:rPr>
        <w:t>)</w:t>
      </w:r>
      <w:r w:rsidRPr="00E971FA">
        <w:rPr>
          <w:shd w:val="clear" w:color="auto" w:fill="FFFFFF"/>
        </w:rPr>
        <w:t>.</w:t>
      </w:r>
    </w:p>
    <w:p w14:paraId="5FC969BA" w14:textId="67FBB3D7" w:rsidR="000F1389" w:rsidRPr="00CB3E09" w:rsidRDefault="006B1FCD" w:rsidP="00D2231A">
      <w:pPr>
        <w:pStyle w:val="ListParagraph"/>
        <w:numPr>
          <w:ilvl w:val="0"/>
          <w:numId w:val="12"/>
        </w:numPr>
        <w:spacing w:after="120"/>
        <w:ind w:left="714" w:hanging="357"/>
        <w:contextualSpacing w:val="0"/>
      </w:pPr>
      <w:r>
        <w:lastRenderedPageBreak/>
        <w:t xml:space="preserve">Each year </w:t>
      </w:r>
      <w:r w:rsidR="00C54106">
        <w:t>MOH has expensed more than 70% of its budget</w:t>
      </w:r>
      <w:r>
        <w:t xml:space="preserve">, </w:t>
      </w:r>
      <w:r w:rsidR="00C54106">
        <w:t>however actual expenditure has exceeded budget by at least 9% each year,</w:t>
      </w:r>
      <w:r>
        <w:t xml:space="preserve"> possibly</w:t>
      </w:r>
      <w:r w:rsidR="00C54106">
        <w:t xml:space="preserve"> indicating poor alignment of planning and financial management</w:t>
      </w:r>
      <w:r>
        <w:t>.</w:t>
      </w:r>
    </w:p>
    <w:p w14:paraId="4CE9E707" w14:textId="77777777" w:rsidR="00DE4226" w:rsidRPr="00CB3E09" w:rsidRDefault="00DE4226" w:rsidP="00D2231A">
      <w:pPr>
        <w:pStyle w:val="ListParagraph"/>
        <w:numPr>
          <w:ilvl w:val="0"/>
          <w:numId w:val="12"/>
        </w:numPr>
        <w:spacing w:after="120"/>
        <w:ind w:left="714" w:hanging="357"/>
        <w:contextualSpacing w:val="0"/>
      </w:pPr>
      <w:r w:rsidRPr="00CB3E09">
        <w:t xml:space="preserve">TongaHealth disbursed 73% of </w:t>
      </w:r>
      <w:r w:rsidR="00823912">
        <w:t xml:space="preserve">DFAT </w:t>
      </w:r>
      <w:r w:rsidRPr="00CB3E09">
        <w:t>grant funds on time over FY 15/16 and FY 16/17.</w:t>
      </w:r>
    </w:p>
    <w:p w14:paraId="4450C4F2" w14:textId="77777777" w:rsidR="00DE4226" w:rsidRPr="00CB3E09" w:rsidRDefault="00DE4226" w:rsidP="00D2231A">
      <w:pPr>
        <w:pStyle w:val="ListParagraph"/>
        <w:numPr>
          <w:ilvl w:val="0"/>
          <w:numId w:val="12"/>
        </w:numPr>
        <w:spacing w:after="120"/>
        <w:ind w:left="714" w:hanging="357"/>
        <w:contextualSpacing w:val="0"/>
      </w:pPr>
      <w:r w:rsidRPr="00CB3E09">
        <w:t xml:space="preserve">Total </w:t>
      </w:r>
      <w:r>
        <w:t xml:space="preserve">funding sources and </w:t>
      </w:r>
      <w:r w:rsidRPr="00CB3E09">
        <w:t>funding available for NCD prevention and control have increased.</w:t>
      </w:r>
    </w:p>
    <w:p w14:paraId="69A043BD" w14:textId="77777777" w:rsidR="00DE4226" w:rsidRPr="00CB3E09" w:rsidRDefault="00DE4226" w:rsidP="00D2231A">
      <w:pPr>
        <w:pStyle w:val="ListParagraph"/>
        <w:numPr>
          <w:ilvl w:val="0"/>
          <w:numId w:val="12"/>
        </w:numPr>
      </w:pPr>
      <w:r w:rsidRPr="00CB3E09">
        <w:t xml:space="preserve">The percentage of overall health budget allocated to Health Planning and Information Services has </w:t>
      </w:r>
      <w:r w:rsidRPr="0003499A">
        <w:rPr>
          <w:noProof/>
        </w:rPr>
        <w:t>been maintained</w:t>
      </w:r>
      <w:r w:rsidRPr="00CB3E09">
        <w:t xml:space="preserve"> but significantly increased in absolute terms.</w:t>
      </w:r>
    </w:p>
    <w:p w14:paraId="4453A2F8" w14:textId="77777777" w:rsidR="00DE4226" w:rsidRPr="00CB3E09" w:rsidRDefault="00DE4226" w:rsidP="00BF2A18">
      <w:pPr>
        <w:spacing w:after="120"/>
      </w:pPr>
      <w:r>
        <w:t>Targets partially met:</w:t>
      </w:r>
    </w:p>
    <w:p w14:paraId="579FE0DB" w14:textId="77777777" w:rsidR="000F1389" w:rsidRPr="00CB3E09" w:rsidRDefault="000F1389" w:rsidP="00D2231A">
      <w:pPr>
        <w:pStyle w:val="ListParagraph"/>
        <w:numPr>
          <w:ilvl w:val="0"/>
          <w:numId w:val="12"/>
        </w:numPr>
        <w:spacing w:after="120"/>
        <w:ind w:left="714" w:hanging="357"/>
        <w:contextualSpacing w:val="0"/>
      </w:pPr>
      <w:r w:rsidRPr="00CB3E09">
        <w:t xml:space="preserve">TongaHealth administrative costs as a percentage of DFAT grant funds have decreased although an increase </w:t>
      </w:r>
      <w:r w:rsidRPr="0003499A">
        <w:rPr>
          <w:noProof/>
        </w:rPr>
        <w:t>is budgeted</w:t>
      </w:r>
      <w:r w:rsidRPr="00CB3E09">
        <w:t xml:space="preserve"> for the current fiscal year (FY).</w:t>
      </w:r>
    </w:p>
    <w:p w14:paraId="2B820674" w14:textId="77777777" w:rsidR="00DE4226" w:rsidRPr="00CB3E09" w:rsidRDefault="00DE4226" w:rsidP="00D2231A">
      <w:pPr>
        <w:pStyle w:val="ListParagraph"/>
        <w:numPr>
          <w:ilvl w:val="0"/>
          <w:numId w:val="12"/>
        </w:numPr>
      </w:pPr>
      <w:r w:rsidRPr="00CB3E09">
        <w:t xml:space="preserve">Percentage of total budget allocated for strategic priority areas has varied by allocation and year but has </w:t>
      </w:r>
      <w:r w:rsidRPr="0003499A">
        <w:rPr>
          <w:noProof/>
        </w:rPr>
        <w:t>been maintained</w:t>
      </w:r>
      <w:r w:rsidRPr="00CB3E09">
        <w:t xml:space="preserve"> overall.</w:t>
      </w:r>
    </w:p>
    <w:p w14:paraId="363E6243" w14:textId="77777777" w:rsidR="00DE4226" w:rsidRPr="00CB3E09" w:rsidRDefault="00DE4226" w:rsidP="00BF2A18">
      <w:pPr>
        <w:spacing w:after="120"/>
      </w:pPr>
      <w:r>
        <w:t>Targets not met or unknown:</w:t>
      </w:r>
    </w:p>
    <w:p w14:paraId="124C812E" w14:textId="77777777" w:rsidR="000F1389" w:rsidRPr="00CB3E09" w:rsidRDefault="00374DDB" w:rsidP="00D2231A">
      <w:pPr>
        <w:pStyle w:val="ListParagraph"/>
        <w:numPr>
          <w:ilvl w:val="0"/>
          <w:numId w:val="12"/>
        </w:numPr>
        <w:spacing w:after="120"/>
        <w:ind w:left="714" w:hanging="357"/>
        <w:contextualSpacing w:val="0"/>
      </w:pPr>
      <w:r>
        <w:t>MoH e</w:t>
      </w:r>
      <w:r w:rsidR="000F1389" w:rsidRPr="00CB3E09">
        <w:t xml:space="preserve">xpenditure on innovation and young people has not </w:t>
      </w:r>
      <w:r w:rsidR="000F1389" w:rsidRPr="0003499A">
        <w:rPr>
          <w:noProof/>
        </w:rPr>
        <w:t xml:space="preserve">been </w:t>
      </w:r>
      <w:r w:rsidR="001C43E5" w:rsidRPr="0003499A">
        <w:rPr>
          <w:noProof/>
        </w:rPr>
        <w:t xml:space="preserve">adequately </w:t>
      </w:r>
      <w:r w:rsidR="000F1389" w:rsidRPr="0003499A">
        <w:rPr>
          <w:noProof/>
        </w:rPr>
        <w:t>defined</w:t>
      </w:r>
      <w:r w:rsidR="001C43E5">
        <w:t xml:space="preserve"> for measurement as an indicator</w:t>
      </w:r>
      <w:r w:rsidR="000F1389" w:rsidRPr="00CB3E09">
        <w:t>.</w:t>
      </w:r>
    </w:p>
    <w:p w14:paraId="1C047736" w14:textId="77777777" w:rsidR="000F1389" w:rsidRPr="00CB3E09" w:rsidRDefault="000F1389" w:rsidP="00D2231A">
      <w:pPr>
        <w:pStyle w:val="ListParagraph"/>
        <w:numPr>
          <w:ilvl w:val="0"/>
          <w:numId w:val="12"/>
        </w:numPr>
      </w:pPr>
      <w:r w:rsidRPr="00CB3E09">
        <w:t>The reporting and timely acqui</w:t>
      </w:r>
      <w:r w:rsidR="006857B7">
        <w:t xml:space="preserve">tting of </w:t>
      </w:r>
      <w:r w:rsidR="00374DDB">
        <w:t xml:space="preserve">TongaHealth </w:t>
      </w:r>
      <w:r w:rsidR="006857B7">
        <w:t>National NCD Strategy g</w:t>
      </w:r>
      <w:r w:rsidRPr="00CB3E09">
        <w:t xml:space="preserve">rantees has worsened over the past </w:t>
      </w:r>
      <w:r w:rsidR="000763F8" w:rsidRPr="000763F8">
        <w:rPr>
          <w:noProof/>
        </w:rPr>
        <w:t>three</w:t>
      </w:r>
      <w:r w:rsidRPr="00CB3E09">
        <w:t xml:space="preserve"> years.</w:t>
      </w:r>
    </w:p>
    <w:p w14:paraId="725E209D" w14:textId="77777777" w:rsidR="00695247" w:rsidRDefault="00695247" w:rsidP="000F1389">
      <w:r>
        <w:t xml:space="preserve">Refer to </w:t>
      </w:r>
      <w:r w:rsidRPr="00AD46A6">
        <w:rPr>
          <w:b/>
        </w:rPr>
        <w:t>Annex D</w:t>
      </w:r>
      <w:r>
        <w:t xml:space="preserve"> for full details of health sector financing performance measures and relevant data issues.</w:t>
      </w:r>
    </w:p>
    <w:p w14:paraId="20162A9D" w14:textId="77777777" w:rsidR="0014042C" w:rsidRDefault="000F1389" w:rsidP="000F1389">
      <w:pPr>
        <w:rPr>
          <w:rFonts w:eastAsia="Times New Roman"/>
          <w:color w:val="000000"/>
        </w:rPr>
      </w:pPr>
      <w:r w:rsidRPr="00CB3E09">
        <w:t xml:space="preserve">The issue of accountability has to </w:t>
      </w:r>
      <w:r w:rsidRPr="0003499A">
        <w:rPr>
          <w:noProof/>
        </w:rPr>
        <w:t>be viewed</w:t>
      </w:r>
      <w:r w:rsidRPr="00CB3E09">
        <w:t xml:space="preserve"> at </w:t>
      </w:r>
      <w:r w:rsidRPr="0003499A">
        <w:rPr>
          <w:noProof/>
        </w:rPr>
        <w:t>a number of</w:t>
      </w:r>
      <w:r w:rsidRPr="00CB3E09">
        <w:t xml:space="preserve"> levels. </w:t>
      </w:r>
      <w:r w:rsidR="006857B7">
        <w:t xml:space="preserve">The </w:t>
      </w:r>
      <w:r w:rsidRPr="00CB3E09">
        <w:t xml:space="preserve">THSSP2 </w:t>
      </w:r>
      <w:r w:rsidRPr="000F1389">
        <w:rPr>
          <w:rFonts w:eastAsia="Times New Roman"/>
          <w:color w:val="222222"/>
          <w:lang w:val="en-PH"/>
        </w:rPr>
        <w:t>triggers of G</w:t>
      </w:r>
      <w:r>
        <w:rPr>
          <w:rFonts w:eastAsia="Times New Roman"/>
          <w:color w:val="222222"/>
          <w:lang w:val="en-PH"/>
        </w:rPr>
        <w:t>o</w:t>
      </w:r>
      <w:r w:rsidRPr="000F1389">
        <w:rPr>
          <w:rFonts w:eastAsia="Times New Roman"/>
          <w:color w:val="222222"/>
          <w:lang w:val="en-PH"/>
        </w:rPr>
        <w:t xml:space="preserve">T expenditure on </w:t>
      </w:r>
      <w:r w:rsidR="006857B7">
        <w:rPr>
          <w:rFonts w:eastAsia="Times New Roman"/>
          <w:color w:val="222222"/>
          <w:lang w:val="en-PH"/>
        </w:rPr>
        <w:t>the h</w:t>
      </w:r>
      <w:r w:rsidRPr="000F1389">
        <w:rPr>
          <w:rFonts w:eastAsia="Times New Roman"/>
          <w:color w:val="222222"/>
          <w:lang w:val="en-PH"/>
        </w:rPr>
        <w:t xml:space="preserve">ealth </w:t>
      </w:r>
      <w:r w:rsidR="006857B7">
        <w:rPr>
          <w:rFonts w:eastAsia="Times New Roman"/>
          <w:color w:val="222222"/>
          <w:lang w:val="en-PH"/>
        </w:rPr>
        <w:t xml:space="preserve">sector </w:t>
      </w:r>
      <w:r w:rsidRPr="000F1389">
        <w:rPr>
          <w:rFonts w:eastAsia="Times New Roman"/>
          <w:color w:val="222222"/>
          <w:lang w:val="en-PH"/>
        </w:rPr>
        <w:t xml:space="preserve">and </w:t>
      </w:r>
      <w:r w:rsidR="006857B7">
        <w:rPr>
          <w:rFonts w:eastAsia="Times New Roman"/>
          <w:color w:val="222222"/>
          <w:lang w:val="en-PH"/>
        </w:rPr>
        <w:t xml:space="preserve">MoH expenditure on </w:t>
      </w:r>
      <w:r w:rsidRPr="000F1389">
        <w:rPr>
          <w:rFonts w:eastAsia="Times New Roman"/>
          <w:color w:val="222222"/>
          <w:lang w:val="en-PH"/>
        </w:rPr>
        <w:t xml:space="preserve">the Public Health Division </w:t>
      </w:r>
      <w:r w:rsidR="006857B7">
        <w:rPr>
          <w:rFonts w:eastAsia="Times New Roman"/>
          <w:color w:val="222222"/>
          <w:lang w:val="en-PH"/>
        </w:rPr>
        <w:t xml:space="preserve">have </w:t>
      </w:r>
      <w:r w:rsidR="006857B7" w:rsidRPr="0003499A">
        <w:rPr>
          <w:rFonts w:eastAsia="Times New Roman"/>
          <w:noProof/>
          <w:color w:val="222222"/>
          <w:lang w:val="en-PH"/>
        </w:rPr>
        <w:t>been met</w:t>
      </w:r>
      <w:r w:rsidRPr="000F1389">
        <w:rPr>
          <w:rFonts w:eastAsia="Times New Roman"/>
          <w:color w:val="222222"/>
          <w:lang w:val="en-PH"/>
        </w:rPr>
        <w:t xml:space="preserve">. </w:t>
      </w:r>
      <w:r w:rsidR="006857B7">
        <w:rPr>
          <w:rFonts w:eastAsia="Times New Roman"/>
          <w:color w:val="222222"/>
          <w:lang w:val="en-PH"/>
        </w:rPr>
        <w:t xml:space="preserve">MoH and TongaHealth </w:t>
      </w:r>
      <w:r w:rsidRPr="000F1389">
        <w:rPr>
          <w:rFonts w:eastAsia="Times New Roman"/>
          <w:color w:val="222222"/>
          <w:lang w:val="en-PH"/>
        </w:rPr>
        <w:t>have also largely been accountable as far as</w:t>
      </w:r>
      <w:r w:rsidRPr="000F1389">
        <w:rPr>
          <w:rFonts w:eastAsia="Times New Roman"/>
          <w:bCs/>
          <w:color w:val="222222"/>
          <w:lang w:val="en-PH"/>
        </w:rPr>
        <w:t xml:space="preserve"> this can </w:t>
      </w:r>
      <w:r w:rsidRPr="0003499A">
        <w:rPr>
          <w:rFonts w:eastAsia="Times New Roman"/>
          <w:bCs/>
          <w:noProof/>
          <w:color w:val="222222"/>
          <w:lang w:val="en-PH"/>
        </w:rPr>
        <w:t xml:space="preserve">be </w:t>
      </w:r>
      <w:r w:rsidRPr="0003499A">
        <w:rPr>
          <w:rFonts w:eastAsia="Times New Roman"/>
          <w:noProof/>
          <w:color w:val="000000"/>
        </w:rPr>
        <w:t>assessed</w:t>
      </w:r>
      <w:r w:rsidRPr="000F1389">
        <w:rPr>
          <w:rFonts w:eastAsia="Times New Roman"/>
          <w:color w:val="000000"/>
        </w:rPr>
        <w:t xml:space="preserve"> against the other indicators laid down </w:t>
      </w:r>
      <w:r w:rsidR="006857B7">
        <w:rPr>
          <w:rFonts w:eastAsia="Times New Roman"/>
          <w:color w:val="000000"/>
        </w:rPr>
        <w:t>in</w:t>
      </w:r>
      <w:r w:rsidRPr="000F1389">
        <w:rPr>
          <w:rFonts w:eastAsia="Times New Roman"/>
          <w:color w:val="000000"/>
        </w:rPr>
        <w:t xml:space="preserve"> the THSSP2 </w:t>
      </w:r>
      <w:r w:rsidR="006857B7">
        <w:rPr>
          <w:rFonts w:eastAsia="Times New Roman"/>
          <w:color w:val="000000"/>
        </w:rPr>
        <w:t>M&amp;E Framework</w:t>
      </w:r>
      <w:r w:rsidRPr="000F1389">
        <w:rPr>
          <w:rFonts w:eastAsia="Times New Roman"/>
          <w:color w:val="000000"/>
        </w:rPr>
        <w:t xml:space="preserve"> </w:t>
      </w:r>
      <w:r w:rsidR="000763F8" w:rsidRPr="0003499A">
        <w:rPr>
          <w:rFonts w:eastAsia="Times New Roman"/>
          <w:noProof/>
          <w:color w:val="000000"/>
        </w:rPr>
        <w:t xml:space="preserve">concerning </w:t>
      </w:r>
      <w:r w:rsidRPr="000F1389">
        <w:rPr>
          <w:rFonts w:eastAsia="Times New Roman"/>
          <w:color w:val="000000"/>
        </w:rPr>
        <w:t>other commitment</w:t>
      </w:r>
      <w:r w:rsidR="000763F8">
        <w:rPr>
          <w:rFonts w:eastAsia="Times New Roman"/>
          <w:color w:val="000000"/>
        </w:rPr>
        <w:t>s</w:t>
      </w:r>
      <w:r w:rsidR="00EE0087">
        <w:rPr>
          <w:rFonts w:eastAsia="Times New Roman"/>
          <w:color w:val="000000"/>
        </w:rPr>
        <w:t xml:space="preserve"> of public funds.</w:t>
      </w:r>
    </w:p>
    <w:p w14:paraId="0D6D7B04" w14:textId="77777777" w:rsidR="000F1389" w:rsidRDefault="00374DDB" w:rsidP="000F1389">
      <w:pPr>
        <w:rPr>
          <w:rFonts w:eastAsia="Times New Roman"/>
          <w:color w:val="000000"/>
          <w:lang w:val="en-PH"/>
        </w:rPr>
      </w:pPr>
      <w:r>
        <w:rPr>
          <w:rFonts w:eastAsia="Times New Roman"/>
          <w:color w:val="000000"/>
          <w:lang w:val="en-PH"/>
        </w:rPr>
        <w:t xml:space="preserve">The area where </w:t>
      </w:r>
      <w:r w:rsidR="003572FA">
        <w:rPr>
          <w:rFonts w:eastAsia="Times New Roman"/>
          <w:color w:val="000000"/>
          <w:lang w:val="en-PH"/>
        </w:rPr>
        <w:t xml:space="preserve">THSSP2 has not achieved the desired level of accountability </w:t>
      </w:r>
      <w:r>
        <w:rPr>
          <w:rFonts w:eastAsia="Times New Roman"/>
          <w:color w:val="000000"/>
          <w:lang w:val="en-PH"/>
        </w:rPr>
        <w:t xml:space="preserve">is in meeting timelines for </w:t>
      </w:r>
      <w:r w:rsidR="003572FA" w:rsidRPr="000F1389">
        <w:rPr>
          <w:rFonts w:eastAsia="Times New Roman"/>
          <w:color w:val="000000"/>
          <w:lang w:val="en-PH"/>
        </w:rPr>
        <w:t>the submission of published accounts</w:t>
      </w:r>
      <w:r w:rsidR="000763F8">
        <w:rPr>
          <w:rFonts w:eastAsia="Times New Roman"/>
          <w:color w:val="000000"/>
          <w:lang w:val="en-PH"/>
        </w:rPr>
        <w:t xml:space="preserve">; </w:t>
      </w:r>
      <w:r>
        <w:rPr>
          <w:rFonts w:eastAsia="Times New Roman"/>
          <w:color w:val="000000"/>
          <w:lang w:val="en-PH"/>
        </w:rPr>
        <w:t xml:space="preserve">these </w:t>
      </w:r>
      <w:r w:rsidRPr="0003499A">
        <w:rPr>
          <w:rFonts w:eastAsia="Times New Roman"/>
          <w:noProof/>
          <w:color w:val="000000"/>
          <w:lang w:val="en-PH"/>
        </w:rPr>
        <w:t xml:space="preserve">are </w:t>
      </w:r>
      <w:r w:rsidR="003572FA" w:rsidRPr="0003499A">
        <w:rPr>
          <w:rFonts w:eastAsia="Times New Roman"/>
          <w:noProof/>
          <w:color w:val="000000"/>
          <w:lang w:val="en-PH"/>
        </w:rPr>
        <w:t>commonly delayed</w:t>
      </w:r>
      <w:r w:rsidR="003572FA" w:rsidRPr="000F1389">
        <w:rPr>
          <w:rFonts w:eastAsia="Times New Roman"/>
          <w:color w:val="000000"/>
          <w:lang w:val="en-PH"/>
        </w:rPr>
        <w:t xml:space="preserve">. </w:t>
      </w:r>
      <w:r w:rsidR="000F1389" w:rsidRPr="000F1389">
        <w:rPr>
          <w:rFonts w:eastAsia="Times New Roman"/>
          <w:color w:val="000000"/>
        </w:rPr>
        <w:t xml:space="preserve">The MoH is accountable </w:t>
      </w:r>
      <w:r w:rsidR="0014042C">
        <w:rPr>
          <w:rFonts w:eastAsia="Times New Roman"/>
          <w:color w:val="000000"/>
        </w:rPr>
        <w:t xml:space="preserve">to GoT </w:t>
      </w:r>
      <w:r w:rsidR="000F1389" w:rsidRPr="0003499A">
        <w:rPr>
          <w:rFonts w:eastAsia="Times New Roman"/>
          <w:noProof/>
          <w:color w:val="000000"/>
        </w:rPr>
        <w:t>in terms of</w:t>
      </w:r>
      <w:r w:rsidR="000F1389" w:rsidRPr="000F1389">
        <w:rPr>
          <w:rFonts w:eastAsia="Times New Roman"/>
          <w:color w:val="000000"/>
        </w:rPr>
        <w:t xml:space="preserve"> the requirement </w:t>
      </w:r>
      <w:r w:rsidR="000F1389" w:rsidRPr="000F1389">
        <w:rPr>
          <w:rFonts w:eastAsia="Times New Roman"/>
          <w:color w:val="000000"/>
          <w:lang w:val="en-PH"/>
        </w:rPr>
        <w:t xml:space="preserve">to follow the policies, guidelines and procedures laid down under the </w:t>
      </w:r>
      <w:r w:rsidR="000F1389" w:rsidRPr="0014042C">
        <w:rPr>
          <w:rFonts w:eastAsia="Times New Roman"/>
          <w:i/>
          <w:color w:val="000000"/>
          <w:lang w:val="en-PH"/>
        </w:rPr>
        <w:t>Public Finance Management Act</w:t>
      </w:r>
      <w:r w:rsidR="000F1389" w:rsidRPr="000F1389">
        <w:rPr>
          <w:rFonts w:eastAsia="Times New Roman"/>
          <w:color w:val="000000"/>
          <w:lang w:val="en-PH"/>
        </w:rPr>
        <w:t>, 2002. MoH and TongaHealth accounts may be late</w:t>
      </w:r>
      <w:r w:rsidR="000763F8">
        <w:rPr>
          <w:rFonts w:eastAsia="Times New Roman"/>
          <w:color w:val="000000"/>
          <w:lang w:val="en-PH"/>
        </w:rPr>
        <w:t>,</w:t>
      </w:r>
      <w:r w:rsidR="000F1389" w:rsidRPr="000F1389">
        <w:rPr>
          <w:rFonts w:eastAsia="Times New Roman"/>
          <w:color w:val="000000"/>
          <w:lang w:val="en-PH"/>
        </w:rPr>
        <w:t xml:space="preserve"> </w:t>
      </w:r>
      <w:r w:rsidR="000F1389" w:rsidRPr="0003499A">
        <w:rPr>
          <w:rFonts w:eastAsia="Times New Roman"/>
          <w:noProof/>
          <w:color w:val="000000"/>
          <w:lang w:val="en-PH"/>
        </w:rPr>
        <w:t>and</w:t>
      </w:r>
      <w:r w:rsidR="000F1389" w:rsidRPr="000F1389">
        <w:rPr>
          <w:rFonts w:eastAsia="Times New Roman"/>
          <w:color w:val="000000"/>
          <w:lang w:val="en-PH"/>
        </w:rPr>
        <w:t xml:space="preserve"> they may require extra time in reconciliation, but this is typical of</w:t>
      </w:r>
      <w:r w:rsidR="001C43E5">
        <w:rPr>
          <w:rFonts w:eastAsia="Times New Roman"/>
          <w:color w:val="000000"/>
          <w:lang w:val="en-PH"/>
        </w:rPr>
        <w:t xml:space="preserve"> the rest of government and</w:t>
      </w:r>
      <w:r w:rsidR="000F1389" w:rsidRPr="000F1389">
        <w:rPr>
          <w:rFonts w:eastAsia="Times New Roman"/>
          <w:color w:val="000000"/>
          <w:lang w:val="en-PH"/>
        </w:rPr>
        <w:t xml:space="preserve"> is not the sole responsibility of MoH or TongaHealth. Delays in submitting accounts are also due to delays in (i) annual reporting by MoH and TongaHealth senior management, (ii) sign off of the accounts by the Minister of Health and the TongaHealth Board, (iii) the Auditor</w:t>
      </w:r>
      <w:r w:rsidR="001C43E5">
        <w:rPr>
          <w:rFonts w:eastAsia="Times New Roman"/>
          <w:color w:val="000000"/>
          <w:lang w:val="en-PH"/>
        </w:rPr>
        <w:t>-</w:t>
      </w:r>
      <w:r w:rsidR="000F1389" w:rsidRPr="000F1389">
        <w:rPr>
          <w:rFonts w:eastAsia="Times New Roman"/>
          <w:color w:val="000000"/>
          <w:lang w:val="en-PH"/>
        </w:rPr>
        <w:t>General's audits.</w:t>
      </w:r>
    </w:p>
    <w:p w14:paraId="3C1501D9" w14:textId="77777777" w:rsidR="005439B2" w:rsidRPr="000763F8" w:rsidRDefault="00CD0CB6" w:rsidP="00BF2A18">
      <w:pPr>
        <w:spacing w:after="0"/>
        <w:rPr>
          <w:i/>
        </w:rPr>
      </w:pPr>
      <w:r w:rsidRPr="000763F8">
        <w:rPr>
          <w:i/>
        </w:rPr>
        <w:t>A</w:t>
      </w:r>
      <w:r w:rsidR="002C1788" w:rsidRPr="000763F8">
        <w:rPr>
          <w:i/>
        </w:rPr>
        <w:t>nnual</w:t>
      </w:r>
      <w:r w:rsidRPr="000763F8">
        <w:rPr>
          <w:i/>
        </w:rPr>
        <w:t xml:space="preserve"> p</w:t>
      </w:r>
      <w:r w:rsidR="005439B2" w:rsidRPr="000763F8">
        <w:rPr>
          <w:i/>
        </w:rPr>
        <w:t>lanning</w:t>
      </w:r>
    </w:p>
    <w:p w14:paraId="0CF4C0EB" w14:textId="77777777" w:rsidR="004F7D2E" w:rsidRDefault="0099710D" w:rsidP="0099710D">
      <w:r w:rsidRPr="004F7D2E">
        <w:t xml:space="preserve">The THSSP2 Design Document states that program delivery </w:t>
      </w:r>
      <w:r w:rsidR="00760392">
        <w:rPr>
          <w:i/>
        </w:rPr>
        <w:t>‘</w:t>
      </w:r>
      <w:r w:rsidRPr="004F7D2E">
        <w:rPr>
          <w:i/>
        </w:rPr>
        <w:t xml:space="preserve">will be organised around the funding of the annual work-plans of the Ministry of Health and TongaHealth… with involvement from DFAT in </w:t>
      </w:r>
      <w:r w:rsidRPr="0003499A">
        <w:rPr>
          <w:i/>
          <w:noProof/>
        </w:rPr>
        <w:t>agreeing</w:t>
      </w:r>
      <w:r w:rsidRPr="00AB3EE7">
        <w:rPr>
          <w:i/>
        </w:rPr>
        <w:t xml:space="preserve"> areas for funding</w:t>
      </w:r>
      <w:r w:rsidR="00760392">
        <w:t>’</w:t>
      </w:r>
      <w:r w:rsidRPr="004F7D2E">
        <w:t>.</w:t>
      </w:r>
      <w:r w:rsidR="000763F8">
        <w:t xml:space="preserve"> Regarding the </w:t>
      </w:r>
      <w:r w:rsidR="004F7D2E" w:rsidRPr="004F7D2E">
        <w:t xml:space="preserve">annual work plans, the Design Document states that plans are </w:t>
      </w:r>
      <w:r w:rsidR="00760392">
        <w:t>‘</w:t>
      </w:r>
      <w:r w:rsidR="004F7D2E" w:rsidRPr="004F7D2E">
        <w:t xml:space="preserve">developed by sections within the MoH’ and </w:t>
      </w:r>
      <w:r w:rsidR="00760392">
        <w:rPr>
          <w:i/>
        </w:rPr>
        <w:t>‘</w:t>
      </w:r>
      <w:r w:rsidR="004F7D2E" w:rsidRPr="004F7D2E">
        <w:rPr>
          <w:i/>
        </w:rPr>
        <w:t>the allocation decisions are made by the NHDC for the MOH funds and by the TongaHealth Board for TongaHealth’s funds, with DFAT present at both meetings for the relevant agenda items</w:t>
      </w:r>
      <w:r w:rsidR="00760392">
        <w:rPr>
          <w:i/>
        </w:rPr>
        <w:t>’</w:t>
      </w:r>
      <w:r w:rsidR="004F7D2E" w:rsidRPr="004F7D2E">
        <w:t>.</w:t>
      </w:r>
    </w:p>
    <w:p w14:paraId="2499BE1B" w14:textId="77777777" w:rsidR="0053058C" w:rsidRDefault="004F7D2E" w:rsidP="0099710D">
      <w:r>
        <w:t xml:space="preserve">The Health Planning Unit within the MoH is responsible for coordinating the preparation of the </w:t>
      </w:r>
      <w:r w:rsidRPr="0003499A">
        <w:rPr>
          <w:noProof/>
        </w:rPr>
        <w:t>divisional annual</w:t>
      </w:r>
      <w:r>
        <w:t xml:space="preserve"> plans, which form the basis of the annual MoH budget submission to MoF. Sections </w:t>
      </w:r>
      <w:r>
        <w:lastRenderedPageBreak/>
        <w:t xml:space="preserve">are required to develop annual plans (‘annual management plans’) </w:t>
      </w:r>
      <w:r w:rsidRPr="0003499A">
        <w:rPr>
          <w:noProof/>
        </w:rPr>
        <w:t>with reference to</w:t>
      </w:r>
      <w:r>
        <w:t xml:space="preserve"> the </w:t>
      </w:r>
      <w:r w:rsidR="00BF2A18">
        <w:t>five-year</w:t>
      </w:r>
      <w:r>
        <w:t xml:space="preserve"> National Health Strategic Plan and the three</w:t>
      </w:r>
      <w:r w:rsidR="003572FA">
        <w:t>-</w:t>
      </w:r>
      <w:r>
        <w:t>year MoH Corporate Strategic</w:t>
      </w:r>
      <w:r w:rsidR="0053058C">
        <w:t xml:space="preserve"> Plan. </w:t>
      </w:r>
      <w:r w:rsidR="007B7FEE">
        <w:t>I</w:t>
      </w:r>
      <w:r>
        <w:t xml:space="preserve">n practice, the majority of the GoT budget for health </w:t>
      </w:r>
      <w:r w:rsidRPr="0003499A">
        <w:rPr>
          <w:noProof/>
        </w:rPr>
        <w:t>is expended</w:t>
      </w:r>
      <w:r>
        <w:t xml:space="preserve"> on salaries and wages, and funds for operating expenses are limited. Th</w:t>
      </w:r>
      <w:r w:rsidR="0053058C">
        <w:t xml:space="preserve">is scenario, common in other Pacific </w:t>
      </w:r>
      <w:r w:rsidR="00374DDB">
        <w:t xml:space="preserve">Island </w:t>
      </w:r>
      <w:r w:rsidR="0053058C">
        <w:t xml:space="preserve">countries, curtails the service delivery capacity of the ministry. </w:t>
      </w:r>
      <w:r w:rsidR="007B7FEE">
        <w:t>In addition, d</w:t>
      </w:r>
      <w:r w:rsidR="0053058C">
        <w:t>ivisional budgets usually exceed the overall MoH financing envelope and there is considerable compromise exercised</w:t>
      </w:r>
      <w:r w:rsidR="00374DDB">
        <w:t xml:space="preserve"> between MoH and </w:t>
      </w:r>
      <w:r w:rsidR="00374DDB" w:rsidRPr="0003499A">
        <w:rPr>
          <w:noProof/>
        </w:rPr>
        <w:t>MoF</w:t>
      </w:r>
      <w:r w:rsidR="0053058C" w:rsidRPr="0003499A">
        <w:rPr>
          <w:noProof/>
        </w:rPr>
        <w:t xml:space="preserve"> in</w:t>
      </w:r>
      <w:r w:rsidR="0053058C">
        <w:t xml:space="preserve"> the final budget submission to MoF.</w:t>
      </w:r>
    </w:p>
    <w:p w14:paraId="391ED745" w14:textId="77777777" w:rsidR="004F7D2E" w:rsidRDefault="0053058C" w:rsidP="0099710D">
      <w:r>
        <w:t xml:space="preserve">MoH annual planning capacity at the time of the design of THSSP2 </w:t>
      </w:r>
      <w:r w:rsidRPr="0003499A">
        <w:rPr>
          <w:noProof/>
        </w:rPr>
        <w:t>is not documented</w:t>
      </w:r>
      <w:r>
        <w:t>, but it appears that th</w:t>
      </w:r>
      <w:r w:rsidR="004F7D2E">
        <w:t xml:space="preserve">e </w:t>
      </w:r>
      <w:r>
        <w:t xml:space="preserve">transition from Phase 1 (‘off budget, off system’) to Phase 2 (‘on budget, on system’) was not well managed, and early attempts to </w:t>
      </w:r>
      <w:r w:rsidR="0023751D">
        <w:t xml:space="preserve">integrate THSSP2 annual planning with MoH planning were unsatisfactory. The evaluation team </w:t>
      </w:r>
      <w:r w:rsidR="0023751D" w:rsidRPr="0003499A">
        <w:rPr>
          <w:noProof/>
        </w:rPr>
        <w:t>was told</w:t>
      </w:r>
      <w:r w:rsidR="0023751D">
        <w:t xml:space="preserve"> that the MoH was unable to demonstrate that proposed program expenditure was consistent with the five high-level program targets of THSSP2. Overall, it appears that the MoH made final budget allocation decisions to balance the competing priorities of divisions and prominent individuals, rather than to reflect priorities expressed in printed documents.</w:t>
      </w:r>
      <w:r w:rsidR="004F7D2E">
        <w:t xml:space="preserve"> </w:t>
      </w:r>
      <w:r w:rsidR="00B74E52">
        <w:t xml:space="preserve">The MoH Executive group </w:t>
      </w:r>
      <w:r w:rsidR="00B74E52" w:rsidRPr="0003499A">
        <w:rPr>
          <w:noProof/>
        </w:rPr>
        <w:t>was not regarded</w:t>
      </w:r>
      <w:r w:rsidR="00B74E52">
        <w:t xml:space="preserve"> as making strong</w:t>
      </w:r>
      <w:r w:rsidR="00A91206">
        <w:t>, strategic decisions in the budget process.</w:t>
      </w:r>
      <w:r w:rsidR="00B74E52">
        <w:t xml:space="preserve"> </w:t>
      </w:r>
      <w:r w:rsidR="0023751D">
        <w:t xml:space="preserve">The evaluation team is </w:t>
      </w:r>
      <w:r w:rsidR="00E734B8">
        <w:t>mindful this</w:t>
      </w:r>
      <w:r w:rsidR="00BF2A18">
        <w:t xml:space="preserve"> situation is not unusual in </w:t>
      </w:r>
      <w:r w:rsidR="0023751D">
        <w:t>small</w:t>
      </w:r>
      <w:r w:rsidR="00BF2A18">
        <w:t xml:space="preserve"> countries.</w:t>
      </w:r>
    </w:p>
    <w:p w14:paraId="6F353427" w14:textId="77777777" w:rsidR="006B296D" w:rsidRDefault="00B74E52" w:rsidP="0099710D">
      <w:r>
        <w:t xml:space="preserve">In response to what DFAT regarded as </w:t>
      </w:r>
      <w:r w:rsidR="006022FF">
        <w:t>inadequate MoH planning capacity</w:t>
      </w:r>
      <w:r>
        <w:t xml:space="preserve">, a parallel annual planning process </w:t>
      </w:r>
      <w:r w:rsidRPr="0003499A">
        <w:rPr>
          <w:noProof/>
        </w:rPr>
        <w:t>was instituted</w:t>
      </w:r>
      <w:r>
        <w:t xml:space="preserve"> by DFAT</w:t>
      </w:r>
      <w:r w:rsidR="006022FF">
        <w:t xml:space="preserve"> and the </w:t>
      </w:r>
      <w:r>
        <w:t>THSSP2 MoH health planning technical adviser</w:t>
      </w:r>
      <w:r w:rsidR="006022FF">
        <w:t xml:space="preserve"> was required to administer the process</w:t>
      </w:r>
      <w:r>
        <w:t>.</w:t>
      </w:r>
      <w:r w:rsidR="006B296D">
        <w:t xml:space="preserve"> MOH does not, either as a whole or by division, undertake a planning exercise to the level necessary to properly inform service implementation, address priorities, or coordinate with donors, other ministries, or sector stakeholders. Planning is conducted without consultation of MOH divisions or outer islands management. Planning is not well connected to budget, which is developed based on historical budget allocations and similarly without consultation.</w:t>
      </w:r>
    </w:p>
    <w:p w14:paraId="671E9DF3" w14:textId="78F7DE76" w:rsidR="00B74E52" w:rsidRDefault="00B74E52" w:rsidP="0099710D">
      <w:r>
        <w:t xml:space="preserve">At the time of the mid-term evaluation, the </w:t>
      </w:r>
      <w:r w:rsidR="00985BF2">
        <w:t xml:space="preserve">THSSP2 budgeting </w:t>
      </w:r>
      <w:r>
        <w:t>process required that MoH sections seeking DFAT funding were required to make a</w:t>
      </w:r>
      <w:r w:rsidR="00985BF2">
        <w:t xml:space="preserve"> writte</w:t>
      </w:r>
      <w:r>
        <w:t xml:space="preserve">n application, and these applications </w:t>
      </w:r>
      <w:r w:rsidRPr="0003499A">
        <w:rPr>
          <w:noProof/>
        </w:rPr>
        <w:t>were subsequently screened</w:t>
      </w:r>
      <w:r>
        <w:t xml:space="preserve"> by the adviser for consistency with the high-level program targets of THSSP2 and strategic</w:t>
      </w:r>
      <w:r w:rsidR="000763F8">
        <w:t xml:space="preserve"> and </w:t>
      </w:r>
      <w:r>
        <w:t xml:space="preserve">technical merit. The </w:t>
      </w:r>
      <w:r w:rsidR="009943AB">
        <w:t xml:space="preserve">MoH endorses </w:t>
      </w:r>
      <w:r w:rsidR="009943AB" w:rsidRPr="0003499A">
        <w:rPr>
          <w:noProof/>
        </w:rPr>
        <w:t xml:space="preserve">applications and the </w:t>
      </w:r>
      <w:r w:rsidRPr="0003499A">
        <w:rPr>
          <w:noProof/>
        </w:rPr>
        <w:t>final decision on funding is made by DFAT Post</w:t>
      </w:r>
      <w:r>
        <w:t xml:space="preserve">. This </w:t>
      </w:r>
      <w:r w:rsidR="00A91206">
        <w:t xml:space="preserve">parallel </w:t>
      </w:r>
      <w:r>
        <w:t xml:space="preserve">arrangement </w:t>
      </w:r>
      <w:r w:rsidR="00A91206">
        <w:t>means that</w:t>
      </w:r>
      <w:r w:rsidR="00C560E1">
        <w:t xml:space="preserve"> </w:t>
      </w:r>
      <w:r w:rsidR="00C560E1" w:rsidRPr="0003499A">
        <w:rPr>
          <w:noProof/>
        </w:rPr>
        <w:t>whilst</w:t>
      </w:r>
      <w:r w:rsidR="00A91206">
        <w:t xml:space="preserve"> THSSP2</w:t>
      </w:r>
      <w:r w:rsidR="00C560E1">
        <w:t xml:space="preserve"> funds are ‘on </w:t>
      </w:r>
      <w:r w:rsidR="00C560E1" w:rsidRPr="0003499A">
        <w:rPr>
          <w:noProof/>
        </w:rPr>
        <w:t>system</w:t>
      </w:r>
      <w:r w:rsidR="00C560E1">
        <w:t>’,</w:t>
      </w:r>
      <w:r w:rsidR="006B296D">
        <w:t xml:space="preserve"> and ‘on budget’</w:t>
      </w:r>
      <w:r w:rsidR="00EE4698">
        <w:t xml:space="preserve"> (reflected in budget books)</w:t>
      </w:r>
      <w:r w:rsidR="006B296D">
        <w:t>,</w:t>
      </w:r>
      <w:r w:rsidR="00C560E1">
        <w:t xml:space="preserve"> they </w:t>
      </w:r>
      <w:r w:rsidR="00D06FB0">
        <w:t>are ‘</w:t>
      </w:r>
      <w:r w:rsidR="006022FF">
        <w:t>off plan</w:t>
      </w:r>
      <w:r w:rsidR="00C560E1">
        <w:t>’</w:t>
      </w:r>
      <w:r w:rsidR="000763F8">
        <w:t>,</w:t>
      </w:r>
      <w:r w:rsidR="00A91206">
        <w:t xml:space="preserve"> resembling a project delivery approach.</w:t>
      </w:r>
    </w:p>
    <w:p w14:paraId="1C9E4EC4" w14:textId="77777777" w:rsidR="00A91206" w:rsidRDefault="00A91206" w:rsidP="0099710D">
      <w:r w:rsidRPr="00D243AF">
        <w:t xml:space="preserve">DFAT’s decision </w:t>
      </w:r>
      <w:r w:rsidR="00D243AF">
        <w:t xml:space="preserve">to plan activities parallel to the MoH budget </w:t>
      </w:r>
      <w:r w:rsidR="00985BF2" w:rsidRPr="00D243AF">
        <w:t xml:space="preserve">was a risk management response to reduce the </w:t>
      </w:r>
      <w:r w:rsidR="00D243AF">
        <w:t xml:space="preserve">perceived </w:t>
      </w:r>
      <w:r w:rsidR="00985BF2" w:rsidRPr="00D243AF">
        <w:t>possibility of program investment in</w:t>
      </w:r>
      <w:r w:rsidR="00985BF2">
        <w:t xml:space="preserve"> areas not consistent with the high-level program targets </w:t>
      </w:r>
      <w:r w:rsidR="00985BF2" w:rsidRPr="0003499A">
        <w:rPr>
          <w:noProof/>
        </w:rPr>
        <w:t>and</w:t>
      </w:r>
      <w:r w:rsidR="00985BF2">
        <w:t xml:space="preserve"> investment in activities of </w:t>
      </w:r>
      <w:r w:rsidR="00422C1F">
        <w:t>‘l</w:t>
      </w:r>
      <w:r w:rsidR="00985BF2">
        <w:t>ow yield</w:t>
      </w:r>
      <w:r w:rsidR="00422C1F">
        <w:t>’</w:t>
      </w:r>
      <w:r w:rsidR="00985BF2">
        <w:t xml:space="preserve">. </w:t>
      </w:r>
      <w:r w:rsidR="00FF253B">
        <w:t>By instituting an application-driven process</w:t>
      </w:r>
      <w:r w:rsidR="00C76D16">
        <w:t xml:space="preserve"> for MoH funding</w:t>
      </w:r>
      <w:r w:rsidR="00FF253B">
        <w:t xml:space="preserve">, </w:t>
      </w:r>
      <w:r w:rsidR="00D243AF">
        <w:t xml:space="preserve">DFAT </w:t>
      </w:r>
      <w:r w:rsidR="00FF253B">
        <w:t>inadvertently</w:t>
      </w:r>
      <w:r w:rsidR="00D243AF">
        <w:t xml:space="preserve"> duplicat</w:t>
      </w:r>
      <w:r w:rsidR="00FF253B">
        <w:t>ed</w:t>
      </w:r>
      <w:r w:rsidR="00D243AF">
        <w:t xml:space="preserve"> the </w:t>
      </w:r>
      <w:r w:rsidR="00FF253B">
        <w:t>weakness</w:t>
      </w:r>
      <w:r w:rsidR="00D243AF">
        <w:t xml:space="preserve"> that </w:t>
      </w:r>
      <w:r w:rsidR="00FF253B">
        <w:t xml:space="preserve">already </w:t>
      </w:r>
      <w:r w:rsidR="00D243AF">
        <w:t>exist</w:t>
      </w:r>
      <w:r w:rsidR="00FF253B">
        <w:t>ed</w:t>
      </w:r>
      <w:r w:rsidR="00D243AF">
        <w:t xml:space="preserve"> in the TongaHealth grant-making process, in that the funder is passively</w:t>
      </w:r>
      <w:r w:rsidR="00FF253B">
        <w:t xml:space="preserve"> funding applications without giving a</w:t>
      </w:r>
      <w:r w:rsidR="00D243AF">
        <w:t xml:space="preserve"> clear message to </w:t>
      </w:r>
      <w:r w:rsidR="00FF253B">
        <w:t>applicants about where the funder’s preferred priorities (other than the very generalised direction of the five high-level program targets). Furthermore, in</w:t>
      </w:r>
      <w:r w:rsidR="00D243AF">
        <w:t xml:space="preserve"> the absence of a clear strategic plan for the heal</w:t>
      </w:r>
      <w:r w:rsidR="00FF253B">
        <w:t xml:space="preserve">th sector, DFAT has very few points of reference by which to determine and evaluate priorities. </w:t>
      </w:r>
      <w:r w:rsidR="00D06FB0">
        <w:t xml:space="preserve">It is important to note </w:t>
      </w:r>
      <w:r w:rsidR="00FF253B">
        <w:t xml:space="preserve">this process was underway at a point in the program when the NHDC oversight </w:t>
      </w:r>
      <w:r w:rsidR="00D06FB0">
        <w:t xml:space="preserve">was not operational </w:t>
      </w:r>
      <w:r w:rsidR="00FF253B" w:rsidRPr="0003499A">
        <w:rPr>
          <w:noProof/>
        </w:rPr>
        <w:t>and</w:t>
      </w:r>
      <w:r w:rsidR="00FF253B">
        <w:t xml:space="preserve"> MoH-DFAT strategic </w:t>
      </w:r>
      <w:r w:rsidR="00FF253B" w:rsidRPr="0003499A">
        <w:rPr>
          <w:noProof/>
        </w:rPr>
        <w:t>dialog</w:t>
      </w:r>
      <w:r w:rsidR="000763F8" w:rsidRPr="000763F8">
        <w:rPr>
          <w:noProof/>
        </w:rPr>
        <w:t>ue</w:t>
      </w:r>
      <w:r w:rsidR="00FF253B">
        <w:t xml:space="preserve"> was not optimal. The mid-term evaluation </w:t>
      </w:r>
      <w:r w:rsidR="009C2B07">
        <w:t>observed that the</w:t>
      </w:r>
      <w:r w:rsidR="00FF253B">
        <w:t xml:space="preserve"> program activities </w:t>
      </w:r>
      <w:r w:rsidR="009C2B07">
        <w:t xml:space="preserve">selected through this process had </w:t>
      </w:r>
      <w:r w:rsidR="009C2B07" w:rsidRPr="0003499A">
        <w:rPr>
          <w:noProof/>
        </w:rPr>
        <w:t>been carefully considered</w:t>
      </w:r>
      <w:r w:rsidR="009C2B07">
        <w:t>.</w:t>
      </w:r>
      <w:r w:rsidR="00FF253B">
        <w:t xml:space="preserve"> </w:t>
      </w:r>
      <w:r w:rsidR="009C2B07">
        <w:t xml:space="preserve">However, </w:t>
      </w:r>
      <w:r w:rsidR="00FF253B">
        <w:t xml:space="preserve">the parallel planning process </w:t>
      </w:r>
      <w:r w:rsidR="009C2B07">
        <w:t>did serve to accentuate</w:t>
      </w:r>
      <w:r w:rsidR="00FF253B">
        <w:t xml:space="preserve"> the strategic </w:t>
      </w:r>
      <w:r w:rsidR="00D06FB0">
        <w:t>difference between the design of THSSP</w:t>
      </w:r>
      <w:r w:rsidR="00E734B8">
        <w:t>2 and</w:t>
      </w:r>
      <w:r w:rsidR="00D06FB0">
        <w:t xml:space="preserve"> its implementation</w:t>
      </w:r>
      <w:r w:rsidR="00FF253B">
        <w:t>.</w:t>
      </w:r>
    </w:p>
    <w:p w14:paraId="004086BB" w14:textId="77777777" w:rsidR="00A805E5" w:rsidRDefault="009C2B07" w:rsidP="0099710D">
      <w:r>
        <w:t>DFAT has accepted responsibility for the strategic identification of THSSP2 activities</w:t>
      </w:r>
      <w:r w:rsidR="000763F8">
        <w:t>,</w:t>
      </w:r>
      <w:r>
        <w:t xml:space="preserve"> </w:t>
      </w:r>
      <w:r w:rsidRPr="0003499A">
        <w:rPr>
          <w:noProof/>
        </w:rPr>
        <w:t>but</w:t>
      </w:r>
      <w:r>
        <w:t xml:space="preserve"> these </w:t>
      </w:r>
      <w:r w:rsidRPr="0003499A">
        <w:rPr>
          <w:noProof/>
        </w:rPr>
        <w:t>are delivered</w:t>
      </w:r>
      <w:r>
        <w:t xml:space="preserve"> through the MoH with little DFAT control over the quality of implementation. </w:t>
      </w:r>
      <w:r w:rsidR="006022FF">
        <w:t xml:space="preserve">From the perspective of risk, the parallel process </w:t>
      </w:r>
      <w:r>
        <w:t xml:space="preserve">has averted the risk of poorly considered program activities </w:t>
      </w:r>
      <w:r>
        <w:lastRenderedPageBreak/>
        <w:t xml:space="preserve">(due to </w:t>
      </w:r>
      <w:r w:rsidR="00C32C63">
        <w:t xml:space="preserve">limited </w:t>
      </w:r>
      <w:r>
        <w:t xml:space="preserve">MoH planning capacity) </w:t>
      </w:r>
      <w:r w:rsidRPr="0003499A">
        <w:rPr>
          <w:noProof/>
        </w:rPr>
        <w:t>but</w:t>
      </w:r>
      <w:r>
        <w:t xml:space="preserve"> it has achieved this by </w:t>
      </w:r>
      <w:r w:rsidR="00A805E5">
        <w:t>transferring the risk to itself. The THSSP2 Design Document states that</w:t>
      </w:r>
      <w:r w:rsidR="00A805E5" w:rsidRPr="00B84FF0">
        <w:t xml:space="preserve"> </w:t>
      </w:r>
      <w:r w:rsidR="00760392">
        <w:t>‘</w:t>
      </w:r>
      <w:r w:rsidR="00A805E5" w:rsidRPr="00B84FF0">
        <w:t xml:space="preserve">responsibility for achieving the THSSP2 targets </w:t>
      </w:r>
      <w:r w:rsidR="00A805E5" w:rsidRPr="0003499A">
        <w:rPr>
          <w:noProof/>
        </w:rPr>
        <w:t>is shared</w:t>
      </w:r>
      <w:r w:rsidR="00A805E5" w:rsidRPr="00B84FF0">
        <w:t xml:space="preserve"> amongst the M</w:t>
      </w:r>
      <w:r w:rsidR="00A805E5">
        <w:t>oH</w:t>
      </w:r>
      <w:r w:rsidR="00A805E5" w:rsidRPr="00B84FF0">
        <w:t>, TongaHealth, DFAT and (to a lesser extent) many other stakeholders in Tonga</w:t>
      </w:r>
      <w:r w:rsidR="00760392">
        <w:t>’</w:t>
      </w:r>
      <w:r w:rsidR="00A805E5" w:rsidRPr="00B84FF0">
        <w:t xml:space="preserve"> </w:t>
      </w:r>
      <w:r w:rsidR="00A805E5">
        <w:t xml:space="preserve">but the parallel arrangement tends to undermine this sharing of responsibility. </w:t>
      </w:r>
      <w:r w:rsidR="009943AB">
        <w:t xml:space="preserve">Annual program activities are not </w:t>
      </w:r>
      <w:r w:rsidR="000763F8">
        <w:t xml:space="preserve">based on </w:t>
      </w:r>
      <w:r w:rsidR="009943AB">
        <w:t xml:space="preserve">the </w:t>
      </w:r>
      <w:r w:rsidR="000763F8">
        <w:t>‘</w:t>
      </w:r>
      <w:r w:rsidR="009943AB">
        <w:t>quality annual plans</w:t>
      </w:r>
      <w:r w:rsidR="000763F8">
        <w:t>’</w:t>
      </w:r>
      <w:r w:rsidR="009943AB">
        <w:t xml:space="preserve"> envisaged in the program design</w:t>
      </w:r>
      <w:r w:rsidR="000763F8">
        <w:t>,</w:t>
      </w:r>
      <w:r w:rsidR="004D1A51">
        <w:t xml:space="preserve"> but discrete funding applications. </w:t>
      </w:r>
      <w:r w:rsidR="00A805E5">
        <w:t>DFAT has little in the way of a strategic framework by which to assess funding applications other than the five high-level program targets and the professional judgement of the adviser and Post.</w:t>
      </w:r>
    </w:p>
    <w:p w14:paraId="467D5906" w14:textId="77777777" w:rsidR="006022FF" w:rsidRPr="004F7D2E" w:rsidRDefault="009943AB" w:rsidP="0099710D">
      <w:r>
        <w:t xml:space="preserve">DFAT </w:t>
      </w:r>
      <w:r w:rsidR="00A805E5">
        <w:t xml:space="preserve">Post </w:t>
      </w:r>
      <w:r>
        <w:t>is also scrutinising activity</w:t>
      </w:r>
      <w:r w:rsidR="00693E66">
        <w:t>-level</w:t>
      </w:r>
      <w:r>
        <w:t xml:space="preserve"> records</w:t>
      </w:r>
      <w:r w:rsidR="00693E66">
        <w:t>, acquittals</w:t>
      </w:r>
      <w:r>
        <w:t xml:space="preserve"> and reports </w:t>
      </w:r>
      <w:r w:rsidRPr="009943AB">
        <w:rPr>
          <w:i/>
        </w:rPr>
        <w:t>post hoc</w:t>
      </w:r>
      <w:r>
        <w:t xml:space="preserve">, which ensures good financial compliance but doesn’t </w:t>
      </w:r>
      <w:r w:rsidR="00A805E5">
        <w:t>contribute proactively to good planning or good program monitoring</w:t>
      </w:r>
      <w:r>
        <w:t>.</w:t>
      </w:r>
      <w:r w:rsidR="00B84FF0">
        <w:t xml:space="preserve"> </w:t>
      </w:r>
      <w:r w:rsidR="00A805E5">
        <w:t xml:space="preserve">Given that the previous </w:t>
      </w:r>
      <w:r w:rsidR="00C93C88">
        <w:t>DFAT Assessment of National Systems (</w:t>
      </w:r>
      <w:r w:rsidR="00A805E5">
        <w:t>ANS</w:t>
      </w:r>
      <w:r w:rsidR="00C93C88">
        <w:t>)</w:t>
      </w:r>
      <w:r w:rsidR="00A805E5">
        <w:t xml:space="preserve"> assessment determined that financial governance was adequate for an ‘on system’ approach, it would be a better use of DFAT resources to rely on GoT acquittal processes and periodic audit, so that more attention could </w:t>
      </w:r>
      <w:r w:rsidR="00A805E5" w:rsidRPr="0003499A">
        <w:rPr>
          <w:noProof/>
        </w:rPr>
        <w:t>be given</w:t>
      </w:r>
      <w:r w:rsidR="00A805E5">
        <w:t xml:space="preserve"> to monitoring at the program</w:t>
      </w:r>
      <w:r w:rsidR="006406CA">
        <w:t xml:space="preserve"> and outcome</w:t>
      </w:r>
      <w:r w:rsidR="00A805E5">
        <w:t xml:space="preserve"> level.</w:t>
      </w:r>
    </w:p>
    <w:p w14:paraId="51CD11A6" w14:textId="77777777" w:rsidR="00DE3AE8" w:rsidRPr="000763F8" w:rsidRDefault="00B81850" w:rsidP="006406CA">
      <w:pPr>
        <w:spacing w:after="0"/>
        <w:rPr>
          <w:i/>
          <w:szCs w:val="23"/>
        </w:rPr>
      </w:pPr>
      <w:r w:rsidRPr="000763F8">
        <w:rPr>
          <w:i/>
        </w:rPr>
        <w:t xml:space="preserve">Budgeting </w:t>
      </w:r>
      <w:r w:rsidR="00DE3AE8" w:rsidRPr="000763F8">
        <w:rPr>
          <w:i/>
        </w:rPr>
        <w:t>and accounting</w:t>
      </w:r>
    </w:p>
    <w:p w14:paraId="432AE6B2" w14:textId="112194E2" w:rsidR="00921540" w:rsidRDefault="00921540" w:rsidP="00921540">
      <w:pPr>
        <w:rPr>
          <w:lang w:val="en-AU"/>
        </w:rPr>
      </w:pPr>
      <w:r w:rsidRPr="00D33888">
        <w:rPr>
          <w:rFonts w:eastAsia="Times New Roman" w:cstheme="minorHAnsi"/>
          <w:color w:val="000000"/>
          <w:lang w:eastAsia="en-GB"/>
        </w:rPr>
        <w:t xml:space="preserve">THSSP2 </w:t>
      </w:r>
      <w:r w:rsidRPr="0003499A">
        <w:rPr>
          <w:rFonts w:eastAsia="Times New Roman" w:cstheme="minorHAnsi"/>
          <w:noProof/>
          <w:color w:val="000000"/>
          <w:lang w:eastAsia="en-GB"/>
        </w:rPr>
        <w:t>was designed</w:t>
      </w:r>
      <w:r w:rsidRPr="00D33888">
        <w:rPr>
          <w:rFonts w:eastAsia="Times New Roman" w:cstheme="minorHAnsi"/>
          <w:color w:val="000000"/>
          <w:lang w:eastAsia="en-GB"/>
        </w:rPr>
        <w:t xml:space="preserve"> with a clear intention to</w:t>
      </w:r>
      <w:r w:rsidR="00F42C0D">
        <w:rPr>
          <w:rFonts w:eastAsia="Times New Roman" w:cstheme="minorHAnsi"/>
          <w:color w:val="000000"/>
          <w:lang w:eastAsia="en-GB"/>
        </w:rPr>
        <w:t xml:space="preserve"> be o</w:t>
      </w:r>
      <w:r w:rsidR="008E3131">
        <w:rPr>
          <w:rFonts w:eastAsia="Times New Roman" w:cstheme="minorHAnsi"/>
          <w:color w:val="000000"/>
          <w:lang w:eastAsia="en-GB"/>
        </w:rPr>
        <w:t xml:space="preserve">n ‘on budget’ and ‘on </w:t>
      </w:r>
      <w:r w:rsidR="008E3131" w:rsidRPr="0003499A">
        <w:rPr>
          <w:rFonts w:eastAsia="Times New Roman" w:cstheme="minorHAnsi"/>
          <w:noProof/>
          <w:color w:val="000000"/>
          <w:lang w:eastAsia="en-GB"/>
        </w:rPr>
        <w:t>system</w:t>
      </w:r>
      <w:r w:rsidR="008E3131">
        <w:rPr>
          <w:rFonts w:eastAsia="Times New Roman" w:cstheme="minorHAnsi"/>
          <w:color w:val="000000"/>
          <w:lang w:eastAsia="en-GB"/>
        </w:rPr>
        <w:t xml:space="preserve">’. </w:t>
      </w:r>
      <w:r w:rsidR="00BF2D4E">
        <w:rPr>
          <w:rFonts w:eastAsia="Times New Roman" w:cstheme="minorHAnsi"/>
          <w:color w:val="000000"/>
          <w:lang w:eastAsia="en-GB"/>
        </w:rPr>
        <w:t xml:space="preserve">The program </w:t>
      </w:r>
      <w:r w:rsidR="00F42C0D">
        <w:rPr>
          <w:rFonts w:eastAsia="Times New Roman" w:cstheme="minorHAnsi"/>
          <w:color w:val="000000"/>
          <w:lang w:eastAsia="en-GB"/>
        </w:rPr>
        <w:t xml:space="preserve">has been </w:t>
      </w:r>
      <w:r w:rsidRPr="00D33888">
        <w:rPr>
          <w:rFonts w:eastAsia="Times New Roman" w:cstheme="minorHAnsi"/>
          <w:color w:val="000000"/>
          <w:lang w:eastAsia="en-GB"/>
        </w:rPr>
        <w:t>succe</w:t>
      </w:r>
      <w:r w:rsidR="00FE4243">
        <w:rPr>
          <w:rFonts w:eastAsia="Times New Roman" w:cstheme="minorHAnsi"/>
          <w:color w:val="000000"/>
          <w:lang w:eastAsia="en-GB"/>
        </w:rPr>
        <w:t>ssful in getting program funds ‘</w:t>
      </w:r>
      <w:r w:rsidRPr="00D33888">
        <w:rPr>
          <w:rFonts w:eastAsia="Times New Roman" w:cstheme="minorHAnsi"/>
          <w:color w:val="000000"/>
          <w:lang w:eastAsia="en-GB"/>
        </w:rPr>
        <w:t xml:space="preserve">on </w:t>
      </w:r>
      <w:r w:rsidRPr="0003499A">
        <w:rPr>
          <w:rFonts w:eastAsia="Times New Roman" w:cstheme="minorHAnsi"/>
          <w:noProof/>
          <w:color w:val="000000"/>
          <w:lang w:eastAsia="en-GB"/>
        </w:rPr>
        <w:t>system</w:t>
      </w:r>
      <w:r w:rsidR="00FE4243">
        <w:rPr>
          <w:rFonts w:eastAsia="Times New Roman" w:cstheme="minorHAnsi"/>
          <w:color w:val="000000"/>
          <w:lang w:eastAsia="en-GB"/>
        </w:rPr>
        <w:t>’</w:t>
      </w:r>
      <w:r w:rsidR="000763F8">
        <w:rPr>
          <w:rFonts w:eastAsia="Times New Roman" w:cstheme="minorHAnsi"/>
          <w:color w:val="000000"/>
          <w:lang w:eastAsia="en-GB"/>
        </w:rPr>
        <w:t>,</w:t>
      </w:r>
      <w:r w:rsidR="00C931C9">
        <w:rPr>
          <w:rFonts w:eastAsia="Times New Roman" w:cstheme="minorHAnsi"/>
          <w:color w:val="000000"/>
          <w:lang w:eastAsia="en-GB"/>
        </w:rPr>
        <w:t xml:space="preserve"> i.e.</w:t>
      </w:r>
      <w:r w:rsidR="00BB2625">
        <w:rPr>
          <w:rFonts w:eastAsia="Times New Roman" w:cstheme="minorHAnsi"/>
          <w:color w:val="000000"/>
          <w:lang w:eastAsia="en-GB"/>
        </w:rPr>
        <w:t xml:space="preserve"> </w:t>
      </w:r>
      <w:r w:rsidR="00BB2625" w:rsidRPr="00CB3E09">
        <w:rPr>
          <w:lang w:val="en-AU"/>
        </w:rPr>
        <w:t>program</w:t>
      </w:r>
      <w:r w:rsidRPr="00CB3E09">
        <w:rPr>
          <w:lang w:val="en-AU"/>
        </w:rPr>
        <w:t xml:space="preserve"> activities have been successfully funded and implemented through G</w:t>
      </w:r>
      <w:r>
        <w:rPr>
          <w:lang w:val="en-AU"/>
        </w:rPr>
        <w:t>o</w:t>
      </w:r>
      <w:r w:rsidRPr="00CB3E09">
        <w:rPr>
          <w:lang w:val="en-AU"/>
        </w:rPr>
        <w:t>T systems</w:t>
      </w:r>
      <w:r w:rsidR="000763F8">
        <w:rPr>
          <w:lang w:val="en-AU"/>
        </w:rPr>
        <w:t>.</w:t>
      </w:r>
      <w:r w:rsidRPr="00CB3E09">
        <w:rPr>
          <w:lang w:val="en-AU"/>
        </w:rPr>
        <w:t xml:space="preserve"> THSSP2 procurement (goods and services, infrastructure) also occurs through G</w:t>
      </w:r>
      <w:r>
        <w:rPr>
          <w:lang w:val="en-AU"/>
        </w:rPr>
        <w:t>o</w:t>
      </w:r>
      <w:r w:rsidRPr="00CB3E09">
        <w:rPr>
          <w:lang w:val="en-AU"/>
        </w:rPr>
        <w:t>T systems.</w:t>
      </w:r>
      <w:r w:rsidR="00BF2D4E">
        <w:rPr>
          <w:lang w:val="en-AU"/>
        </w:rPr>
        <w:t xml:space="preserve"> </w:t>
      </w:r>
      <w:r w:rsidR="006406CA">
        <w:rPr>
          <w:lang w:val="en-AU"/>
        </w:rPr>
        <w:t>However,</w:t>
      </w:r>
      <w:r w:rsidRPr="00CB3E09">
        <w:rPr>
          <w:lang w:val="en-AU"/>
        </w:rPr>
        <w:t xml:space="preserve"> </w:t>
      </w:r>
      <w:r w:rsidR="00720FD0">
        <w:rPr>
          <w:lang w:val="en-AU"/>
        </w:rPr>
        <w:t xml:space="preserve">while </w:t>
      </w:r>
      <w:r w:rsidR="00C931C9">
        <w:rPr>
          <w:lang w:val="en-AU"/>
        </w:rPr>
        <w:t>THSSP2</w:t>
      </w:r>
      <w:r w:rsidR="00BF2D4E">
        <w:rPr>
          <w:lang w:val="en-AU"/>
        </w:rPr>
        <w:t xml:space="preserve"> </w:t>
      </w:r>
      <w:r w:rsidR="00720FD0">
        <w:rPr>
          <w:lang w:val="en-AU"/>
        </w:rPr>
        <w:t>is</w:t>
      </w:r>
      <w:r w:rsidR="00BF2D4E">
        <w:rPr>
          <w:lang w:val="en-AU"/>
        </w:rPr>
        <w:t xml:space="preserve"> ‘on budget’ with</w:t>
      </w:r>
      <w:r w:rsidR="00C931C9">
        <w:rPr>
          <w:lang w:val="en-AU"/>
        </w:rPr>
        <w:t xml:space="preserve"> funds appear</w:t>
      </w:r>
      <w:r w:rsidR="00BF2D4E">
        <w:rPr>
          <w:lang w:val="en-AU"/>
        </w:rPr>
        <w:t xml:space="preserve">ing </w:t>
      </w:r>
      <w:r w:rsidR="00C931C9">
        <w:rPr>
          <w:lang w:val="en-AU"/>
        </w:rPr>
        <w:t>in GoT budget records</w:t>
      </w:r>
      <w:r w:rsidR="00720FD0">
        <w:rPr>
          <w:lang w:val="en-AU"/>
        </w:rPr>
        <w:t>,</w:t>
      </w:r>
      <w:r w:rsidR="00EE4698">
        <w:rPr>
          <w:lang w:val="en-AU"/>
        </w:rPr>
        <w:t xml:space="preserve"> as per above</w:t>
      </w:r>
      <w:r w:rsidR="00720FD0">
        <w:rPr>
          <w:lang w:val="en-AU"/>
        </w:rPr>
        <w:t xml:space="preserve"> it is not ‘on plan</w:t>
      </w:r>
      <w:r w:rsidR="00EE4698">
        <w:rPr>
          <w:lang w:val="en-AU"/>
        </w:rPr>
        <w:t>.</w:t>
      </w:r>
    </w:p>
    <w:p w14:paraId="5FE108E3" w14:textId="77777777" w:rsidR="00DE3AE8" w:rsidRPr="00CB3E09" w:rsidRDefault="00DE3AE8" w:rsidP="00DE3AE8">
      <w:r w:rsidRPr="0003499A">
        <w:rPr>
          <w:noProof/>
        </w:rPr>
        <w:t xml:space="preserve">It was anticipated under THSSP2 that: (i) </w:t>
      </w:r>
      <w:r w:rsidR="00C931C9" w:rsidRPr="0003499A">
        <w:rPr>
          <w:noProof/>
        </w:rPr>
        <w:t>a</w:t>
      </w:r>
      <w:r w:rsidRPr="0003499A">
        <w:rPr>
          <w:noProof/>
        </w:rPr>
        <w:t xml:space="preserve"> new </w:t>
      </w:r>
      <w:r w:rsidR="00C931C9" w:rsidRPr="0003499A">
        <w:rPr>
          <w:noProof/>
        </w:rPr>
        <w:t xml:space="preserve">MoH </w:t>
      </w:r>
      <w:r w:rsidRPr="0003499A">
        <w:rPr>
          <w:noProof/>
        </w:rPr>
        <w:t>budget structure would reflect the programs/sub-programs of the M</w:t>
      </w:r>
      <w:r w:rsidR="00A0443B" w:rsidRPr="0003499A">
        <w:rPr>
          <w:noProof/>
        </w:rPr>
        <w:t>oH</w:t>
      </w:r>
      <w:r w:rsidRPr="0003499A">
        <w:rPr>
          <w:noProof/>
        </w:rPr>
        <w:t xml:space="preserve"> linking plans to budget</w:t>
      </w:r>
      <w:r w:rsidR="00A0443B" w:rsidRPr="0003499A">
        <w:rPr>
          <w:noProof/>
        </w:rPr>
        <w:t>s; (ii) The SunSystems FMIS</w:t>
      </w:r>
      <w:r w:rsidRPr="0003499A">
        <w:rPr>
          <w:noProof/>
        </w:rPr>
        <w:t xml:space="preserve"> would enable full program and sub-program analysis, linking GoT local funds (recurrent) and donor expenditure; (iii) a new financial procedures manual would be developed; and (iv) the SunSystems FMIS would be fully functional and used by MoH.</w:t>
      </w:r>
    </w:p>
    <w:p w14:paraId="571EDE94" w14:textId="42AE803F" w:rsidR="00DE3AE8" w:rsidRPr="00F403E7" w:rsidRDefault="00DE3AE8" w:rsidP="00DE3AE8">
      <w:r w:rsidRPr="00CB3E09">
        <w:t>T</w:t>
      </w:r>
      <w:r w:rsidR="00A0443B">
        <w:t xml:space="preserve">o </w:t>
      </w:r>
      <w:r w:rsidR="00A0443B" w:rsidRPr="0003499A">
        <w:rPr>
          <w:noProof/>
        </w:rPr>
        <w:t>date</w:t>
      </w:r>
      <w:r w:rsidR="000763F8" w:rsidRPr="000763F8">
        <w:rPr>
          <w:noProof/>
        </w:rPr>
        <w:t>,</w:t>
      </w:r>
      <w:r w:rsidR="00A0443B">
        <w:t xml:space="preserve"> there has been little progress towards the</w:t>
      </w:r>
      <w:r w:rsidR="00C931C9">
        <w:t>se</w:t>
      </w:r>
      <w:r w:rsidR="00A0443B">
        <w:t xml:space="preserve"> </w:t>
      </w:r>
      <w:r w:rsidR="00921540">
        <w:t xml:space="preserve">budget </w:t>
      </w:r>
      <w:r w:rsidR="00C931C9">
        <w:t xml:space="preserve">and FMIS </w:t>
      </w:r>
      <w:r w:rsidR="00921540">
        <w:t>reform</w:t>
      </w:r>
      <w:r w:rsidR="00A0443B">
        <w:t xml:space="preserve"> </w:t>
      </w:r>
      <w:r w:rsidRPr="00CB3E09">
        <w:t>objectives</w:t>
      </w:r>
      <w:r w:rsidR="00C931C9">
        <w:t>,</w:t>
      </w:r>
      <w:r w:rsidRPr="00CB3E09">
        <w:t xml:space="preserve"> and </w:t>
      </w:r>
      <w:r w:rsidR="00A0443B">
        <w:t>MoH</w:t>
      </w:r>
      <w:r w:rsidRPr="00CB3E09">
        <w:t xml:space="preserve"> finances remain as difficult to manage today as at the time of THSSP2 design. While there have been some changes to the budget structure and improvements in corporate planning, </w:t>
      </w:r>
      <w:r>
        <w:t>MoH</w:t>
      </w:r>
      <w:r w:rsidRPr="00CB3E09">
        <w:t xml:space="preserve"> plans remain insufficiently linked to the budget. The SunSystems FMIS</w:t>
      </w:r>
      <w:r w:rsidR="00A0443B">
        <w:t xml:space="preserve">, including recently added </w:t>
      </w:r>
      <w:r w:rsidR="00A0443B" w:rsidRPr="00CB3E09">
        <w:t>Vision reporting software</w:t>
      </w:r>
      <w:r w:rsidR="00A0443B">
        <w:t xml:space="preserve">, is hosted and managed by MoF. </w:t>
      </w:r>
      <w:r w:rsidR="009111FD">
        <w:t xml:space="preserve">Operational ministries, including </w:t>
      </w:r>
      <w:r>
        <w:t>MoH</w:t>
      </w:r>
      <w:r w:rsidRPr="00CB3E09">
        <w:t>, ha</w:t>
      </w:r>
      <w:r w:rsidR="009111FD">
        <w:t>ve</w:t>
      </w:r>
      <w:r w:rsidRPr="00CB3E09">
        <w:t xml:space="preserve"> limited access to SunSystems and cannot access Vision reporting</w:t>
      </w:r>
      <w:r w:rsidR="00C931C9">
        <w:t xml:space="preserve">, which has resulted in </w:t>
      </w:r>
      <w:r w:rsidR="009111FD">
        <w:t>MoH</w:t>
      </w:r>
      <w:r w:rsidRPr="00CB3E09">
        <w:t xml:space="preserve"> supplement</w:t>
      </w:r>
      <w:r w:rsidR="00C931C9">
        <w:t>ing</w:t>
      </w:r>
      <w:r w:rsidRPr="00CB3E09">
        <w:t xml:space="preserve"> SunSystems with Quickbooks </w:t>
      </w:r>
      <w:r w:rsidR="00C931C9">
        <w:t xml:space="preserve">(accounting software) </w:t>
      </w:r>
      <w:r w:rsidRPr="00CB3E09">
        <w:t xml:space="preserve">and Excel spreadsheets. </w:t>
      </w:r>
      <w:r>
        <w:t>MoH</w:t>
      </w:r>
      <w:r w:rsidRPr="00CB3E09">
        <w:t xml:space="preserve"> has found it difficult to meet </w:t>
      </w:r>
      <w:r w:rsidR="0020605F">
        <w:t xml:space="preserve">GoT and </w:t>
      </w:r>
      <w:r w:rsidRPr="00CB3E09">
        <w:t>DFAT deadlines</w:t>
      </w:r>
      <w:r w:rsidR="0020605F">
        <w:t>,</w:t>
      </w:r>
      <w:r w:rsidRPr="00CB3E09">
        <w:t xml:space="preserve"> and the limited transport and telecommunications with the outer islands reportedly </w:t>
      </w:r>
      <w:r w:rsidRPr="0003499A">
        <w:rPr>
          <w:noProof/>
        </w:rPr>
        <w:t>continues</w:t>
      </w:r>
      <w:r w:rsidRPr="00CB3E09">
        <w:t xml:space="preserve"> to delay internal accounting. SunSystems was not operational for much of 2017. The new financial procedures manual has also not yet </w:t>
      </w:r>
      <w:r w:rsidRPr="0003499A">
        <w:rPr>
          <w:noProof/>
        </w:rPr>
        <w:t>been developed</w:t>
      </w:r>
      <w:r w:rsidRPr="00CB3E09">
        <w:t xml:space="preserve">. </w:t>
      </w:r>
      <w:r w:rsidR="00720FD0">
        <w:t xml:space="preserve">MOH and </w:t>
      </w:r>
      <w:r w:rsidRPr="00CB3E09">
        <w:t>World Bank</w:t>
      </w:r>
      <w:r w:rsidR="00720FD0">
        <w:t xml:space="preserve"> agree that</w:t>
      </w:r>
      <w:r w:rsidRPr="00CB3E09">
        <w:t xml:space="preserve"> </w:t>
      </w:r>
      <w:r w:rsidR="00171596">
        <w:t>(2018)</w:t>
      </w:r>
      <w:r w:rsidRPr="00CB3E09">
        <w:t xml:space="preserve">: </w:t>
      </w:r>
      <w:r w:rsidR="0022081E">
        <w:rPr>
          <w:i/>
        </w:rPr>
        <w:t>‘</w:t>
      </w:r>
      <w:r w:rsidRPr="00C247DD">
        <w:rPr>
          <w:i/>
        </w:rPr>
        <w:t>Current systems, processes, and arrangements related to the M</w:t>
      </w:r>
      <w:r w:rsidR="00C931C9" w:rsidRPr="00C247DD">
        <w:rPr>
          <w:i/>
        </w:rPr>
        <w:t>oF</w:t>
      </w:r>
      <w:r w:rsidRPr="00C247DD">
        <w:rPr>
          <w:i/>
        </w:rPr>
        <w:t xml:space="preserve"> </w:t>
      </w:r>
      <w:r w:rsidR="00C931C9" w:rsidRPr="00C247DD">
        <w:rPr>
          <w:i/>
        </w:rPr>
        <w:t xml:space="preserve">… </w:t>
      </w:r>
      <w:r w:rsidRPr="00C247DD">
        <w:rPr>
          <w:i/>
        </w:rPr>
        <w:t>and MoH FMIS hamper MoH’s ability to produce regular, timely and quality financing reports to inform resource allocation.</w:t>
      </w:r>
      <w:r w:rsidR="0022081E">
        <w:rPr>
          <w:i/>
        </w:rPr>
        <w:t>’</w:t>
      </w:r>
    </w:p>
    <w:p w14:paraId="564DC61B" w14:textId="77777777" w:rsidR="008A0A04" w:rsidRDefault="00DE3AE8" w:rsidP="00DE3AE8">
      <w:r w:rsidRPr="00CB3E09">
        <w:t xml:space="preserve">The transition from THSSP1 to THSSP2 was reportedly difficult for </w:t>
      </w:r>
      <w:r>
        <w:t>MoH</w:t>
      </w:r>
      <w:r w:rsidRPr="00CB3E09">
        <w:t xml:space="preserve"> as TH</w:t>
      </w:r>
      <w:r w:rsidRPr="009111FD">
        <w:t xml:space="preserve">SSP1 Project Management Unit staff </w:t>
      </w:r>
      <w:r w:rsidR="00C47E6B">
        <w:t xml:space="preserve">did not pass on </w:t>
      </w:r>
      <w:r w:rsidRPr="009111FD">
        <w:t>systems knowledge</w:t>
      </w:r>
      <w:r w:rsidR="00C47E6B">
        <w:t xml:space="preserve"> to MoH staff before leaving</w:t>
      </w:r>
      <w:r w:rsidRPr="009111FD">
        <w:t xml:space="preserve">. Essential financial documents also went missing. Additional ongoing PFM system problems </w:t>
      </w:r>
      <w:r w:rsidRPr="0003499A">
        <w:rPr>
          <w:noProof/>
        </w:rPr>
        <w:t>are in compliance</w:t>
      </w:r>
      <w:r w:rsidRPr="009111FD">
        <w:t>, overly complicated and unnecessary signature processes, the ad hoc manual delivery of records to M</w:t>
      </w:r>
      <w:r w:rsidR="000F1389">
        <w:t>o</w:t>
      </w:r>
      <w:r w:rsidRPr="009111FD">
        <w:t xml:space="preserve">F, duplication of data, and shortage of qualified accounts staff. The payroll continues to be managed by </w:t>
      </w:r>
      <w:r w:rsidRPr="0003499A">
        <w:rPr>
          <w:noProof/>
        </w:rPr>
        <w:t>spreadsheet</w:t>
      </w:r>
      <w:r w:rsidRPr="009111FD">
        <w:t xml:space="preserve">. The MoH </w:t>
      </w:r>
      <w:r w:rsidR="00C47E6B">
        <w:t>Director</w:t>
      </w:r>
      <w:r w:rsidRPr="009111FD">
        <w:t xml:space="preserve"> of </w:t>
      </w:r>
      <w:r w:rsidR="00C47E6B">
        <w:t>C</w:t>
      </w:r>
      <w:r w:rsidRPr="009111FD">
        <w:t xml:space="preserve">orporate </w:t>
      </w:r>
      <w:r w:rsidR="00C47E6B">
        <w:t>S</w:t>
      </w:r>
      <w:r w:rsidRPr="009111FD">
        <w:t xml:space="preserve">ervices has only recently </w:t>
      </w:r>
      <w:r w:rsidRPr="0003499A">
        <w:rPr>
          <w:noProof/>
        </w:rPr>
        <w:t>been appointed</w:t>
      </w:r>
      <w:r w:rsidRPr="009111FD">
        <w:t>.</w:t>
      </w:r>
    </w:p>
    <w:p w14:paraId="00B5DAB2" w14:textId="71CB6736" w:rsidR="00DE3AE8" w:rsidRDefault="00DE3AE8" w:rsidP="00DE3AE8">
      <w:pPr>
        <w:rPr>
          <w:szCs w:val="23"/>
        </w:rPr>
      </w:pPr>
      <w:r w:rsidRPr="009111FD">
        <w:lastRenderedPageBreak/>
        <w:t>As noted, the MoH is receiving assistance from the World Bank to help strengthen</w:t>
      </w:r>
      <w:r w:rsidR="00720FD0">
        <w:t xml:space="preserve"> health financing, including</w:t>
      </w:r>
      <w:r w:rsidRPr="009111FD">
        <w:t xml:space="preserve"> PFM.</w:t>
      </w:r>
      <w:r w:rsidR="008A0A04">
        <w:t xml:space="preserve"> The World Bank </w:t>
      </w:r>
      <w:r w:rsidR="00515E82">
        <w:rPr>
          <w:szCs w:val="23"/>
        </w:rPr>
        <w:t>PASA</w:t>
      </w:r>
      <w:r w:rsidR="00F646AE">
        <w:rPr>
          <w:szCs w:val="23"/>
        </w:rPr>
        <w:t xml:space="preserve"> </w:t>
      </w:r>
      <w:r w:rsidR="008A0A04">
        <w:rPr>
          <w:szCs w:val="23"/>
        </w:rPr>
        <w:t xml:space="preserve">2018-2022 program is a multi-year regional activity (across five Pacific Island countries) </w:t>
      </w:r>
      <w:r w:rsidR="008A0A04" w:rsidRPr="0003499A">
        <w:rPr>
          <w:noProof/>
          <w:szCs w:val="23"/>
        </w:rPr>
        <w:t>and</w:t>
      </w:r>
      <w:r w:rsidR="008A0A04">
        <w:rPr>
          <w:szCs w:val="23"/>
        </w:rPr>
        <w:t xml:space="preserve"> </w:t>
      </w:r>
      <w:r w:rsidR="008A0A04" w:rsidRPr="0003499A">
        <w:rPr>
          <w:noProof/>
          <w:szCs w:val="23"/>
        </w:rPr>
        <w:t xml:space="preserve">the PFM/health financing components </w:t>
      </w:r>
      <w:r w:rsidR="00515E82" w:rsidRPr="0003499A">
        <w:rPr>
          <w:noProof/>
          <w:szCs w:val="23"/>
        </w:rPr>
        <w:t xml:space="preserve">of </w:t>
      </w:r>
      <w:r w:rsidR="008E3131" w:rsidRPr="0003499A">
        <w:rPr>
          <w:noProof/>
          <w:szCs w:val="23"/>
        </w:rPr>
        <w:t xml:space="preserve">the </w:t>
      </w:r>
      <w:r w:rsidR="00515E82" w:rsidRPr="0003499A">
        <w:rPr>
          <w:noProof/>
          <w:szCs w:val="23"/>
        </w:rPr>
        <w:t xml:space="preserve">PASA </w:t>
      </w:r>
      <w:r w:rsidR="008E3131" w:rsidRPr="0003499A">
        <w:rPr>
          <w:noProof/>
          <w:szCs w:val="23"/>
        </w:rPr>
        <w:t xml:space="preserve">Tonga work program </w:t>
      </w:r>
      <w:r w:rsidR="008A0A04" w:rsidRPr="0003499A">
        <w:rPr>
          <w:noProof/>
          <w:szCs w:val="23"/>
        </w:rPr>
        <w:t>are funded by DFAT</w:t>
      </w:r>
      <w:r w:rsidR="008A0A04">
        <w:rPr>
          <w:szCs w:val="23"/>
        </w:rPr>
        <w:t xml:space="preserve">. </w:t>
      </w:r>
      <w:r w:rsidR="00F646AE">
        <w:rPr>
          <w:szCs w:val="23"/>
        </w:rPr>
        <w:t xml:space="preserve">The PASA work program for Tonga has </w:t>
      </w:r>
      <w:r w:rsidR="00720FD0">
        <w:rPr>
          <w:szCs w:val="23"/>
        </w:rPr>
        <w:t>two main</w:t>
      </w:r>
      <w:r w:rsidR="00F646AE">
        <w:rPr>
          <w:szCs w:val="23"/>
        </w:rPr>
        <w:t xml:space="preserve"> foci</w:t>
      </w:r>
      <w:r w:rsidR="00720FD0">
        <w:rPr>
          <w:szCs w:val="23"/>
        </w:rPr>
        <w:t>, related to providing technical and analytical assistance to</w:t>
      </w:r>
      <w:r w:rsidR="00F646AE">
        <w:rPr>
          <w:szCs w:val="23"/>
        </w:rPr>
        <w:t>:</w:t>
      </w:r>
    </w:p>
    <w:p w14:paraId="56EB8C5E" w14:textId="0CB924C1" w:rsidR="00F646AE" w:rsidRPr="00383397" w:rsidRDefault="00720FD0" w:rsidP="00EE4698">
      <w:pPr>
        <w:pStyle w:val="ListParagraph"/>
        <w:numPr>
          <w:ilvl w:val="0"/>
          <w:numId w:val="44"/>
        </w:numPr>
        <w:spacing w:after="120"/>
        <w:ind w:left="714" w:hanging="357"/>
        <w:contextualSpacing w:val="0"/>
      </w:pPr>
      <w:r>
        <w:rPr>
          <w:szCs w:val="23"/>
        </w:rPr>
        <w:t>help MOH in its tracking and managing of health financing pressures to the health sector (this includes conducting a health facility costing and benchmarking exercise to help inform the phased implementation of the PEHS); and</w:t>
      </w:r>
    </w:p>
    <w:p w14:paraId="2574C41F" w14:textId="77777777" w:rsidR="00720FD0" w:rsidRPr="008E3131" w:rsidRDefault="00720FD0" w:rsidP="00EE4698">
      <w:pPr>
        <w:pStyle w:val="ListParagraph"/>
        <w:numPr>
          <w:ilvl w:val="0"/>
          <w:numId w:val="44"/>
        </w:numPr>
      </w:pPr>
      <w:r>
        <w:rPr>
          <w:szCs w:val="23"/>
        </w:rPr>
        <w:t>assist MOH monitor activity and budget implementation.</w:t>
      </w:r>
    </w:p>
    <w:p w14:paraId="0B94A82A" w14:textId="57D0FF3B" w:rsidR="00F646AE" w:rsidRPr="008E3131" w:rsidRDefault="00F646AE">
      <w:r>
        <w:t xml:space="preserve">The emphasis of PASA’s </w:t>
      </w:r>
      <w:r w:rsidRPr="00C46938">
        <w:rPr>
          <w:szCs w:val="23"/>
        </w:rPr>
        <w:t xml:space="preserve">health </w:t>
      </w:r>
      <w:r>
        <w:rPr>
          <w:szCs w:val="23"/>
        </w:rPr>
        <w:t>e</w:t>
      </w:r>
      <w:r w:rsidRPr="00C46938">
        <w:rPr>
          <w:szCs w:val="23"/>
        </w:rPr>
        <w:t xml:space="preserve">xpenditure </w:t>
      </w:r>
      <w:r>
        <w:rPr>
          <w:szCs w:val="23"/>
        </w:rPr>
        <w:t>t</w:t>
      </w:r>
      <w:r w:rsidRPr="00C46938">
        <w:rPr>
          <w:szCs w:val="23"/>
        </w:rPr>
        <w:t xml:space="preserve">rend </w:t>
      </w:r>
      <w:r>
        <w:rPr>
          <w:szCs w:val="23"/>
        </w:rPr>
        <w:t>a</w:t>
      </w:r>
      <w:r w:rsidRPr="00C46938">
        <w:rPr>
          <w:szCs w:val="23"/>
        </w:rPr>
        <w:t>nalysis</w:t>
      </w:r>
      <w:r>
        <w:rPr>
          <w:szCs w:val="23"/>
        </w:rPr>
        <w:t xml:space="preserve"> is to </w:t>
      </w:r>
      <w:r w:rsidR="007936C1">
        <w:rPr>
          <w:szCs w:val="23"/>
        </w:rPr>
        <w:t>assist MoH</w:t>
      </w:r>
      <w:r w:rsidR="00720FD0">
        <w:rPr>
          <w:szCs w:val="23"/>
        </w:rPr>
        <w:t>, MOF and other relevant ministries</w:t>
      </w:r>
      <w:r w:rsidR="007936C1">
        <w:rPr>
          <w:szCs w:val="23"/>
        </w:rPr>
        <w:t xml:space="preserve"> to</w:t>
      </w:r>
      <w:r w:rsidR="00720FD0">
        <w:rPr>
          <w:szCs w:val="23"/>
        </w:rPr>
        <w:t xml:space="preserve"> have access to the best possible information to make decisions on, and monitor, resource allocation and use through the annual planning and budgeting process. This includes supporting MoH to track</w:t>
      </w:r>
      <w:r>
        <w:rPr>
          <w:szCs w:val="23"/>
        </w:rPr>
        <w:t xml:space="preserve"> </w:t>
      </w:r>
      <w:r w:rsidR="007936C1">
        <w:rPr>
          <w:szCs w:val="23"/>
        </w:rPr>
        <w:t xml:space="preserve">medium-term </w:t>
      </w:r>
      <w:r>
        <w:rPr>
          <w:szCs w:val="23"/>
        </w:rPr>
        <w:t xml:space="preserve">health financing pressures arising from </w:t>
      </w:r>
      <w:r w:rsidR="007936C1">
        <w:rPr>
          <w:szCs w:val="23"/>
        </w:rPr>
        <w:t xml:space="preserve">the </w:t>
      </w:r>
      <w:r w:rsidR="00720FD0">
        <w:rPr>
          <w:szCs w:val="23"/>
        </w:rPr>
        <w:t xml:space="preserve">transitions from </w:t>
      </w:r>
      <w:r>
        <w:rPr>
          <w:szCs w:val="23"/>
        </w:rPr>
        <w:t xml:space="preserve">donor funding support for tuberculosis, human immunodeficiency virus (HIV) and immunisation programs, and to inform the budget process accordingly. The </w:t>
      </w:r>
      <w:r w:rsidR="00720FD0">
        <w:rPr>
          <w:szCs w:val="23"/>
        </w:rPr>
        <w:t xml:space="preserve">health facility </w:t>
      </w:r>
      <w:r>
        <w:rPr>
          <w:szCs w:val="23"/>
        </w:rPr>
        <w:t xml:space="preserve">costing </w:t>
      </w:r>
      <w:r w:rsidR="00720FD0">
        <w:rPr>
          <w:szCs w:val="23"/>
        </w:rPr>
        <w:t>and benchmarking exercise</w:t>
      </w:r>
      <w:r>
        <w:rPr>
          <w:szCs w:val="23"/>
        </w:rPr>
        <w:t xml:space="preserve"> is expected to </w:t>
      </w:r>
      <w:r w:rsidR="007936C1">
        <w:rPr>
          <w:szCs w:val="23"/>
        </w:rPr>
        <w:t xml:space="preserve">be completed in time to </w:t>
      </w:r>
      <w:r>
        <w:rPr>
          <w:szCs w:val="23"/>
        </w:rPr>
        <w:t>inform the 2020</w:t>
      </w:r>
      <w:r w:rsidR="00720FD0">
        <w:rPr>
          <w:szCs w:val="23"/>
        </w:rPr>
        <w:t>-21</w:t>
      </w:r>
      <w:r>
        <w:rPr>
          <w:szCs w:val="23"/>
        </w:rPr>
        <w:t xml:space="preserve"> MoH annual budget submission.</w:t>
      </w:r>
    </w:p>
    <w:p w14:paraId="610410FF" w14:textId="07DC50FB" w:rsidR="00DE3AE8" w:rsidRDefault="00F646AE" w:rsidP="00DE3AE8">
      <w:r w:rsidRPr="0003499A">
        <w:rPr>
          <w:noProof/>
        </w:rPr>
        <w:t>In relation to</w:t>
      </w:r>
      <w:r>
        <w:t xml:space="preserve"> </w:t>
      </w:r>
      <w:r w:rsidR="007936C1">
        <w:t xml:space="preserve">administrative and </w:t>
      </w:r>
      <w:r>
        <w:t xml:space="preserve">operational aspects of </w:t>
      </w:r>
      <w:r w:rsidR="007936C1">
        <w:t>MoH PFM capacity, t</w:t>
      </w:r>
      <w:r w:rsidR="00DE3AE8" w:rsidRPr="00CB3E09">
        <w:t>he M</w:t>
      </w:r>
      <w:r w:rsidR="000F1389">
        <w:t>o</w:t>
      </w:r>
      <w:r w:rsidR="00DE3AE8" w:rsidRPr="00CB3E09">
        <w:t xml:space="preserve">F </w:t>
      </w:r>
      <w:r w:rsidR="007936C1">
        <w:t>is</w:t>
      </w:r>
      <w:r w:rsidR="00DE3AE8" w:rsidRPr="00CB3E09">
        <w:t xml:space="preserve"> concerned that </w:t>
      </w:r>
      <w:r w:rsidR="00DE3AE8">
        <w:t>MoH</w:t>
      </w:r>
      <w:r w:rsidR="00DE3AE8" w:rsidRPr="00CB3E09">
        <w:t xml:space="preserve"> lacks internal PFM controls, accounts reconciliation </w:t>
      </w:r>
      <w:r w:rsidR="00DE3AE8" w:rsidRPr="0003499A">
        <w:rPr>
          <w:noProof/>
        </w:rPr>
        <w:t>is delayed</w:t>
      </w:r>
      <w:r w:rsidR="00DE3AE8" w:rsidRPr="00CB3E09">
        <w:t xml:space="preserve">, hiring and rehiring of staff is often late, and there is excessive expenditure on overtime. While these accounting issues </w:t>
      </w:r>
      <w:r w:rsidR="00DE3AE8" w:rsidRPr="0003499A">
        <w:rPr>
          <w:noProof/>
        </w:rPr>
        <w:t>are experienced</w:t>
      </w:r>
      <w:r w:rsidR="00DE3AE8" w:rsidRPr="00CB3E09">
        <w:t xml:space="preserve"> across the whole of government</w:t>
      </w:r>
      <w:r w:rsidR="007936C1">
        <w:t>,</w:t>
      </w:r>
      <w:r w:rsidR="00DE3AE8" w:rsidRPr="00CB3E09">
        <w:t xml:space="preserve"> </w:t>
      </w:r>
      <w:r w:rsidR="00DE3AE8">
        <w:t>MoH</w:t>
      </w:r>
      <w:r w:rsidR="00DE3AE8" w:rsidRPr="00CB3E09">
        <w:t xml:space="preserve"> PFM issues are more </w:t>
      </w:r>
      <w:r w:rsidR="00720FD0">
        <w:t>visible</w:t>
      </w:r>
      <w:r w:rsidR="00720FD0" w:rsidRPr="00CB3E09">
        <w:t xml:space="preserve"> </w:t>
      </w:r>
      <w:r w:rsidR="00DE3AE8" w:rsidRPr="00CB3E09">
        <w:t xml:space="preserve">because of the size and nature of the work of the </w:t>
      </w:r>
      <w:r w:rsidR="007936C1">
        <w:t>m</w:t>
      </w:r>
      <w:r w:rsidR="007936C1" w:rsidRPr="00CB3E09">
        <w:t>inistry</w:t>
      </w:r>
      <w:r w:rsidR="00DE3AE8" w:rsidRPr="00CB3E09">
        <w:t>.</w:t>
      </w:r>
    </w:p>
    <w:p w14:paraId="740CFA40" w14:textId="77777777" w:rsidR="008E3131" w:rsidRPr="00CB3E09" w:rsidRDefault="008E3131" w:rsidP="008E3131">
      <w:pPr>
        <w:rPr>
          <w:rFonts w:eastAsia="Times New Roman"/>
          <w:color w:val="222222"/>
          <w:lang w:val="en-PH"/>
        </w:rPr>
      </w:pPr>
      <w:r w:rsidRPr="0003499A">
        <w:rPr>
          <w:noProof/>
        </w:rPr>
        <w:t>Despite the fact that</w:t>
      </w:r>
      <w:r>
        <w:t xml:space="preserve"> </w:t>
      </w:r>
      <w:r w:rsidR="00C75F97">
        <w:t xml:space="preserve">to date </w:t>
      </w:r>
      <w:r>
        <w:t xml:space="preserve">it </w:t>
      </w:r>
      <w:r w:rsidR="00C75F97">
        <w:t xml:space="preserve">has </w:t>
      </w:r>
      <w:r>
        <w:t xml:space="preserve">proved </w:t>
      </w:r>
      <w:r w:rsidRPr="0003499A">
        <w:rPr>
          <w:noProof/>
        </w:rPr>
        <w:t>to not be</w:t>
      </w:r>
      <w:r>
        <w:t xml:space="preserve"> possible </w:t>
      </w:r>
      <w:r w:rsidRPr="0003499A">
        <w:rPr>
          <w:noProof/>
        </w:rPr>
        <w:t xml:space="preserve">to fully integrate THSSP </w:t>
      </w:r>
      <w:r w:rsidR="00720FD0">
        <w:rPr>
          <w:noProof/>
        </w:rPr>
        <w:t xml:space="preserve">planning and </w:t>
      </w:r>
      <w:r w:rsidRPr="0003499A">
        <w:rPr>
          <w:noProof/>
        </w:rPr>
        <w:t xml:space="preserve">budgeting with the MoH </w:t>
      </w:r>
      <w:r w:rsidR="00720FD0">
        <w:rPr>
          <w:noProof/>
        </w:rPr>
        <w:t xml:space="preserve">plan and </w:t>
      </w:r>
      <w:r w:rsidRPr="0003499A">
        <w:rPr>
          <w:noProof/>
        </w:rPr>
        <w:t>budget process</w:t>
      </w:r>
      <w:r>
        <w:t xml:space="preserve">, this remains a desirable objective in the interests of health sector capacity building, donor coordination and sustainability. </w:t>
      </w:r>
      <w:r w:rsidR="0093705A">
        <w:t>The evaluation considers that future health sector support should continue to work towards budget integration</w:t>
      </w:r>
      <w:r w:rsidR="0007130E">
        <w:t xml:space="preserve"> </w:t>
      </w:r>
      <w:r w:rsidR="0093705A">
        <w:t xml:space="preserve">but with </w:t>
      </w:r>
      <w:r w:rsidR="0007130E">
        <w:t xml:space="preserve">more </w:t>
      </w:r>
      <w:r w:rsidR="0093705A">
        <w:t>realistic expect</w:t>
      </w:r>
      <w:r w:rsidR="0007130E">
        <w:t>ations about the pace of change</w:t>
      </w:r>
      <w:r w:rsidR="0093705A">
        <w:t>.</w:t>
      </w:r>
      <w:r w:rsidR="0007130E">
        <w:t xml:space="preserve"> Full integration is not achievable during Phase 2.</w:t>
      </w:r>
    </w:p>
    <w:p w14:paraId="30E94D81" w14:textId="77777777" w:rsidR="00153D28" w:rsidRPr="000763F8" w:rsidRDefault="00153D28" w:rsidP="006406CA">
      <w:pPr>
        <w:spacing w:after="0"/>
        <w:rPr>
          <w:i/>
        </w:rPr>
      </w:pPr>
      <w:r w:rsidRPr="000763F8">
        <w:rPr>
          <w:i/>
        </w:rPr>
        <w:t>Procurement</w:t>
      </w:r>
    </w:p>
    <w:p w14:paraId="014F2934" w14:textId="77777777" w:rsidR="00153D28" w:rsidRDefault="00153D28" w:rsidP="00153D28">
      <w:pPr>
        <w:rPr>
          <w:rFonts w:eastAsia="Times New Roman"/>
        </w:rPr>
      </w:pPr>
      <w:r>
        <w:t xml:space="preserve">There were central government reforms of public procurement immediately </w:t>
      </w:r>
      <w:r w:rsidR="0022081E" w:rsidRPr="0003499A">
        <w:rPr>
          <w:noProof/>
        </w:rPr>
        <w:t xml:space="preserve">before </w:t>
      </w:r>
      <w:r>
        <w:t xml:space="preserve">the commencement of THSSP2 including </w:t>
      </w:r>
      <w:r w:rsidRPr="00CB3E09">
        <w:t>revised Procurement Regulations,</w:t>
      </w:r>
      <w:r w:rsidRPr="00CB3E09">
        <w:rPr>
          <w:i/>
        </w:rPr>
        <w:t xml:space="preserve"> </w:t>
      </w:r>
      <w:r w:rsidRPr="0003499A">
        <w:rPr>
          <w:noProof/>
        </w:rPr>
        <w:t>establishment</w:t>
      </w:r>
      <w:r>
        <w:t xml:space="preserve"> of</w:t>
      </w:r>
      <w:r w:rsidRPr="00CB3E09">
        <w:t xml:space="preserve"> </w:t>
      </w:r>
      <w:r>
        <w:t xml:space="preserve">a </w:t>
      </w:r>
      <w:r w:rsidRPr="00CB3E09">
        <w:t xml:space="preserve">Central Procurement Unit (CPU) </w:t>
      </w:r>
      <w:r>
        <w:t xml:space="preserve">within MoF, and </w:t>
      </w:r>
      <w:r w:rsidRPr="00CB3E09">
        <w:t xml:space="preserve">strengthened </w:t>
      </w:r>
      <w:r>
        <w:t xml:space="preserve">enforcement. </w:t>
      </w:r>
      <w:r w:rsidRPr="00CB3E09">
        <w:t xml:space="preserve">Despite these improvements, </w:t>
      </w:r>
      <w:r>
        <w:t>GoT</w:t>
      </w:r>
      <w:r w:rsidRPr="00CB3E09">
        <w:t xml:space="preserve"> procurement continues to be confronted by many difficulties. </w:t>
      </w:r>
      <w:r w:rsidR="00663427" w:rsidRPr="00CB3E09">
        <w:rPr>
          <w:rFonts w:eastAsia="Times New Roman"/>
        </w:rPr>
        <w:t xml:space="preserve">Controls on procurement </w:t>
      </w:r>
      <w:r w:rsidR="00663427">
        <w:rPr>
          <w:rFonts w:eastAsia="Times New Roman"/>
        </w:rPr>
        <w:t>are relatively</w:t>
      </w:r>
      <w:r w:rsidR="00663427" w:rsidRPr="00CB3E09">
        <w:rPr>
          <w:rFonts w:eastAsia="Times New Roman"/>
        </w:rPr>
        <w:t xml:space="preserve"> restrictive</w:t>
      </w:r>
      <w:r w:rsidR="00663427">
        <w:rPr>
          <w:rFonts w:eastAsia="Times New Roman"/>
        </w:rPr>
        <w:t xml:space="preserve"> (the threshold for independent procurement at </w:t>
      </w:r>
      <w:r w:rsidR="00663427" w:rsidRPr="0003499A">
        <w:rPr>
          <w:rFonts w:eastAsia="Times New Roman"/>
          <w:noProof/>
        </w:rPr>
        <w:t>agency</w:t>
      </w:r>
      <w:r w:rsidR="00663427">
        <w:rPr>
          <w:rFonts w:eastAsia="Times New Roman"/>
        </w:rPr>
        <w:t xml:space="preserve"> level is very small)</w:t>
      </w:r>
      <w:r w:rsidR="00663427" w:rsidRPr="00CB3E09">
        <w:rPr>
          <w:rFonts w:eastAsia="Times New Roman"/>
        </w:rPr>
        <w:t>, contri</w:t>
      </w:r>
      <w:r w:rsidR="00663427">
        <w:rPr>
          <w:rFonts w:eastAsia="Times New Roman"/>
        </w:rPr>
        <w:t xml:space="preserve">buting to a lack of compliance, which </w:t>
      </w:r>
      <w:r w:rsidRPr="0003499A">
        <w:rPr>
          <w:noProof/>
        </w:rPr>
        <w:t>is seldom penalized</w:t>
      </w:r>
      <w:r w:rsidR="00663427">
        <w:t>. However</w:t>
      </w:r>
      <w:r w:rsidRPr="00CB3E09">
        <w:t xml:space="preserve">, </w:t>
      </w:r>
      <w:r w:rsidR="00663427">
        <w:t>b</w:t>
      </w:r>
      <w:r w:rsidRPr="00CB3E09">
        <w:t xml:space="preserve">ribery and collusion between bidders </w:t>
      </w:r>
      <w:r w:rsidRPr="0003499A">
        <w:rPr>
          <w:noProof/>
        </w:rPr>
        <w:t>is</w:t>
      </w:r>
      <w:r w:rsidRPr="00CB3E09">
        <w:t xml:space="preserve"> believed to be scarce </w:t>
      </w:r>
      <w:r w:rsidRPr="0003499A">
        <w:rPr>
          <w:noProof/>
        </w:rPr>
        <w:t>and</w:t>
      </w:r>
      <w:r w:rsidRPr="00CB3E09">
        <w:t xml:space="preserve"> incidences of major c</w:t>
      </w:r>
      <w:r w:rsidR="00A86B02">
        <w:t>orruption are rare.</w:t>
      </w:r>
    </w:p>
    <w:p w14:paraId="54EC737A" w14:textId="77777777" w:rsidR="000C3BE0" w:rsidRPr="00663427" w:rsidRDefault="000C3BE0" w:rsidP="000C3BE0">
      <w:pPr>
        <w:rPr>
          <w:color w:val="262626"/>
          <w:u w:color="FB0007"/>
        </w:rPr>
      </w:pPr>
      <w:r w:rsidRPr="00663427">
        <w:t xml:space="preserve">The THSSP2 Design Document envisaged participation by MoH procurement staff in relevant training under the Economic and Public Sector Reform (EPSR) Program. DFAT is supporting technical assistance within </w:t>
      </w:r>
      <w:r w:rsidR="00171819">
        <w:t>CPU</w:t>
      </w:r>
      <w:r w:rsidRPr="00663427">
        <w:t xml:space="preserve"> and, under </w:t>
      </w:r>
      <w:r w:rsidR="00971EB3">
        <w:t>DFAT’s economic governance program,</w:t>
      </w:r>
      <w:r w:rsidRPr="00663427">
        <w:t xml:space="preserve"> a long</w:t>
      </w:r>
      <w:r w:rsidR="00382691">
        <w:t>-</w:t>
      </w:r>
      <w:r w:rsidRPr="00663427">
        <w:t xml:space="preserve">term procurement and contracts adviser has </w:t>
      </w:r>
      <w:r w:rsidRPr="0003499A">
        <w:rPr>
          <w:noProof/>
        </w:rPr>
        <w:t>been deployed</w:t>
      </w:r>
      <w:r w:rsidRPr="00663427">
        <w:t xml:space="preserve"> within the MoH procurement unit. </w:t>
      </w:r>
      <w:r w:rsidR="00663427">
        <w:t xml:space="preserve">From the MoH perspective, </w:t>
      </w:r>
      <w:r w:rsidRPr="00663427">
        <w:t xml:space="preserve">procurement </w:t>
      </w:r>
      <w:r w:rsidR="00663427">
        <w:t xml:space="preserve">remains highly </w:t>
      </w:r>
      <w:r w:rsidRPr="00663427">
        <w:t>problematic</w:t>
      </w:r>
      <w:r w:rsidR="00663427">
        <w:t xml:space="preserve"> because of extensive delays at CPU in processing procurement requests. The evaluation team </w:t>
      </w:r>
      <w:r w:rsidR="00663427" w:rsidRPr="0003499A">
        <w:rPr>
          <w:noProof/>
        </w:rPr>
        <w:t>was shown</w:t>
      </w:r>
      <w:r w:rsidR="00663427">
        <w:t xml:space="preserve"> examples including the annual bulk drug order which had been waiting six months at CPU without action</w:t>
      </w:r>
      <w:r w:rsidRPr="00663427">
        <w:t>.</w:t>
      </w:r>
      <w:r w:rsidR="00663427">
        <w:t xml:space="preserve"> </w:t>
      </w:r>
      <w:r w:rsidR="00663427" w:rsidRPr="0003499A">
        <w:rPr>
          <w:noProof/>
        </w:rPr>
        <w:t>This</w:t>
      </w:r>
      <w:r w:rsidR="00663427">
        <w:t xml:space="preserve"> is sensitive for THS</w:t>
      </w:r>
      <w:r w:rsidR="00BF2D4E">
        <w:t>S</w:t>
      </w:r>
      <w:r w:rsidR="00663427">
        <w:t xml:space="preserve">P2 because stock-outs in drugs and medical supplies had occurred </w:t>
      </w:r>
      <w:r w:rsidR="00663427" w:rsidRPr="0003499A">
        <w:rPr>
          <w:noProof/>
        </w:rPr>
        <w:t>prior to</w:t>
      </w:r>
      <w:r w:rsidR="00663427">
        <w:t xml:space="preserve"> THSSP2 and improving access to NCD drugs is a priority.</w:t>
      </w:r>
    </w:p>
    <w:p w14:paraId="0E16E305" w14:textId="2A1B58CB" w:rsidR="00153D28" w:rsidRDefault="000C3BE0" w:rsidP="00153D28">
      <w:pPr>
        <w:rPr>
          <w:color w:val="262626"/>
          <w:u w:color="FB0007"/>
        </w:rPr>
      </w:pPr>
      <w:r w:rsidRPr="00663427">
        <w:rPr>
          <w:color w:val="262626"/>
          <w:u w:color="FB0007"/>
        </w:rPr>
        <w:lastRenderedPageBreak/>
        <w:t xml:space="preserve">From the perspective of the </w:t>
      </w:r>
      <w:r w:rsidR="00153D28" w:rsidRPr="00663427">
        <w:rPr>
          <w:color w:val="262626"/>
          <w:u w:color="FB0007"/>
        </w:rPr>
        <w:t>CPU</w:t>
      </w:r>
      <w:r w:rsidRPr="00663427">
        <w:rPr>
          <w:color w:val="262626"/>
          <w:u w:color="FB0007"/>
        </w:rPr>
        <w:t xml:space="preserve">, operational ministries </w:t>
      </w:r>
      <w:r w:rsidR="00153D28" w:rsidRPr="00663427">
        <w:rPr>
          <w:color w:val="262626"/>
          <w:u w:color="FB0007"/>
        </w:rPr>
        <w:t xml:space="preserve">are not </w:t>
      </w:r>
      <w:r w:rsidR="00663427">
        <w:rPr>
          <w:color w:val="262626"/>
          <w:u w:color="FB0007"/>
        </w:rPr>
        <w:t xml:space="preserve">adequately </w:t>
      </w:r>
      <w:r w:rsidR="00153D28" w:rsidRPr="00663427">
        <w:rPr>
          <w:color w:val="262626"/>
          <w:u w:color="FB0007"/>
        </w:rPr>
        <w:t>planning procurement</w:t>
      </w:r>
      <w:r w:rsidR="0003499A">
        <w:rPr>
          <w:color w:val="262626"/>
          <w:u w:color="FB0007"/>
        </w:rPr>
        <w:t>,</w:t>
      </w:r>
      <w:r w:rsidR="00663427">
        <w:rPr>
          <w:color w:val="262626"/>
          <w:u w:color="FB0007"/>
        </w:rPr>
        <w:t xml:space="preserve"> </w:t>
      </w:r>
      <w:r w:rsidR="00663427" w:rsidRPr="0003499A">
        <w:rPr>
          <w:noProof/>
          <w:color w:val="262626"/>
        </w:rPr>
        <w:t>and</w:t>
      </w:r>
      <w:r w:rsidR="00663427">
        <w:rPr>
          <w:color w:val="262626"/>
          <w:u w:color="FB0007"/>
        </w:rPr>
        <w:t xml:space="preserve"> </w:t>
      </w:r>
      <w:r w:rsidR="00153D28" w:rsidRPr="00663427">
        <w:rPr>
          <w:color w:val="262626"/>
          <w:u w:color="FB0007"/>
        </w:rPr>
        <w:t>there is a lack of internal and inter-</w:t>
      </w:r>
      <w:r w:rsidR="00663427">
        <w:rPr>
          <w:color w:val="262626"/>
          <w:u w:color="FB0007"/>
        </w:rPr>
        <w:t>agency</w:t>
      </w:r>
      <w:r w:rsidR="00153D28" w:rsidRPr="00663427">
        <w:rPr>
          <w:color w:val="262626"/>
          <w:u w:color="FB0007"/>
        </w:rPr>
        <w:t xml:space="preserve"> coordination of procurement</w:t>
      </w:r>
      <w:r w:rsidR="00663427">
        <w:rPr>
          <w:color w:val="262626"/>
          <w:u w:color="FB0007"/>
        </w:rPr>
        <w:t>. These capacity gaps result in late ordering</w:t>
      </w:r>
      <w:r w:rsidR="00153D28" w:rsidRPr="00663427">
        <w:rPr>
          <w:color w:val="262626"/>
          <w:u w:color="FB0007"/>
        </w:rPr>
        <w:t xml:space="preserve"> and </w:t>
      </w:r>
      <w:r w:rsidR="00663427">
        <w:rPr>
          <w:color w:val="262626"/>
          <w:u w:color="FB0007"/>
        </w:rPr>
        <w:t>breaches of</w:t>
      </w:r>
      <w:r w:rsidR="00153D28" w:rsidRPr="00663427">
        <w:rPr>
          <w:color w:val="262626"/>
          <w:u w:color="FB0007"/>
        </w:rPr>
        <w:t xml:space="preserve"> procedures and regulations. </w:t>
      </w:r>
      <w:r w:rsidR="00153D28" w:rsidRPr="00663427">
        <w:t xml:space="preserve">A review of procurement notes that, in most cases, divergence from regulations is thought to have reflected inadequate capacity rather than fraud or misappropriation. </w:t>
      </w:r>
    </w:p>
    <w:p w14:paraId="1F0FF1A3" w14:textId="77777777" w:rsidR="00663427" w:rsidRDefault="00171819" w:rsidP="00153D28">
      <w:pPr>
        <w:rPr>
          <w:color w:val="262626"/>
          <w:u w:color="FB0007"/>
        </w:rPr>
      </w:pPr>
      <w:r>
        <w:rPr>
          <w:color w:val="262626"/>
          <w:u w:color="FB0007"/>
        </w:rPr>
        <w:t xml:space="preserve">DFAT expects that its funded advisers cooperate to expedite procurements that are DFAT-funded or otherwise strategic to DFAT. The head of CPU reported that the DFAT CPU adviser also provides </w:t>
      </w:r>
      <w:r w:rsidRPr="0003499A">
        <w:rPr>
          <w:noProof/>
          <w:color w:val="262626"/>
        </w:rPr>
        <w:t>general</w:t>
      </w:r>
      <w:r>
        <w:rPr>
          <w:color w:val="262626"/>
          <w:u w:color="FB0007"/>
        </w:rPr>
        <w:t xml:space="preserve"> capacity building which benefits all procurement indirectly. The evaluation team understands the short-term practicality of requiring DFAT advisers to expedite DFAT-related procurement, but it probably reduces sustainable capacity development in the longer term.</w:t>
      </w:r>
    </w:p>
    <w:p w14:paraId="41B5C43F" w14:textId="77777777" w:rsidR="00BF2A18" w:rsidRPr="000763F8" w:rsidRDefault="00B3775E" w:rsidP="006406CA">
      <w:pPr>
        <w:spacing w:after="0"/>
        <w:rPr>
          <w:i/>
        </w:rPr>
      </w:pPr>
      <w:r>
        <w:rPr>
          <w:i/>
        </w:rPr>
        <w:t xml:space="preserve">Financial </w:t>
      </w:r>
      <w:r w:rsidR="00BF2A18" w:rsidRPr="000763F8">
        <w:rPr>
          <w:i/>
        </w:rPr>
        <w:t>Audit</w:t>
      </w:r>
    </w:p>
    <w:p w14:paraId="75366A0B" w14:textId="77777777" w:rsidR="00BF2A18" w:rsidRDefault="00BF2A18" w:rsidP="00BF2A18">
      <w:r>
        <w:t xml:space="preserve">A </w:t>
      </w:r>
      <w:r w:rsidRPr="009D1EDC">
        <w:t>DFAT Assessment of National Systems (ANS) update review</w:t>
      </w:r>
      <w:r>
        <w:t xml:space="preserve"> was undertaken in March 2015 to prepare for THSSP2 to be delivered using an </w:t>
      </w:r>
      <w:r w:rsidR="00760392">
        <w:t>‘</w:t>
      </w:r>
      <w:r>
        <w:t>on system</w:t>
      </w:r>
      <w:r w:rsidR="00760392">
        <w:t>’</w:t>
      </w:r>
      <w:r>
        <w:t xml:space="preserve"> approach.</w:t>
      </w:r>
    </w:p>
    <w:p w14:paraId="438F1AF0" w14:textId="77777777" w:rsidR="00BF2A18" w:rsidRPr="00CB3E09" w:rsidRDefault="00BF2A18" w:rsidP="00BF2A18">
      <w:r w:rsidRPr="00CB3E09">
        <w:t>As assessed under the THSSP2 M&amp;E Framework</w:t>
      </w:r>
      <w:r>
        <w:t xml:space="preserve">, </w:t>
      </w:r>
      <w:r w:rsidRPr="00CB3E09">
        <w:t xml:space="preserve">auditing </w:t>
      </w:r>
      <w:r>
        <w:t xml:space="preserve">indicators are </w:t>
      </w:r>
      <w:r w:rsidRPr="00CB3E09">
        <w:t>problem</w:t>
      </w:r>
      <w:r>
        <w:t>atic</w:t>
      </w:r>
      <w:r w:rsidRPr="00CB3E09">
        <w:t xml:space="preserve"> for </w:t>
      </w:r>
      <w:r>
        <w:t>MoH and TongaHealth</w:t>
      </w:r>
      <w:r w:rsidRPr="00CB3E09">
        <w:t xml:space="preserve">. The </w:t>
      </w:r>
      <w:r>
        <w:t xml:space="preserve">THSSP2 </w:t>
      </w:r>
      <w:r w:rsidRPr="00CB3E09">
        <w:t xml:space="preserve">Design Document envisaged that </w:t>
      </w:r>
      <w:r>
        <w:t>program funds expended through MoH systems</w:t>
      </w:r>
      <w:r w:rsidRPr="00CB3E09">
        <w:t xml:space="preserve"> would </w:t>
      </w:r>
      <w:r w:rsidRPr="0003499A">
        <w:rPr>
          <w:noProof/>
        </w:rPr>
        <w:t>be audited</w:t>
      </w:r>
      <w:r w:rsidRPr="00CB3E09">
        <w:t xml:space="preserve"> as part of the annual audit of </w:t>
      </w:r>
      <w:r>
        <w:t>MoH</w:t>
      </w:r>
      <w:r w:rsidRPr="00CB3E09">
        <w:t xml:space="preserve"> undertaken by the Audit</w:t>
      </w:r>
      <w:r>
        <w:t>or-</w:t>
      </w:r>
      <w:r w:rsidRPr="00CB3E09">
        <w:t xml:space="preserve">General’s Office (AGO). However, it </w:t>
      </w:r>
      <w:r w:rsidRPr="0003499A">
        <w:rPr>
          <w:noProof/>
        </w:rPr>
        <w:t>was acknowledged</w:t>
      </w:r>
      <w:r w:rsidRPr="00CB3E09">
        <w:t xml:space="preserve"> that the AGO had capacity constraints that would be assisted by broader programs such as from the Pacific Association of Supreme Audit Institutions. </w:t>
      </w:r>
      <w:r w:rsidRPr="00CB3E09">
        <w:rPr>
          <w:rFonts w:eastAsia="Times New Roman"/>
        </w:rPr>
        <w:t>The AGO does not publish specific audits, only its Annual report, the most recent of which was 2015/16. There is no effective mechanism to ensure follow up on audit issues relating to specific ministries.</w:t>
      </w:r>
    </w:p>
    <w:p w14:paraId="6409353D" w14:textId="77777777" w:rsidR="00BF2A18" w:rsidRPr="00CB3E09" w:rsidRDefault="00BF2A18" w:rsidP="00BF2A18">
      <w:r w:rsidRPr="00CB3E09">
        <w:t xml:space="preserve">According to the Design </w:t>
      </w:r>
      <w:r w:rsidRPr="0003499A">
        <w:rPr>
          <w:noProof/>
        </w:rPr>
        <w:t>Document</w:t>
      </w:r>
      <w:r w:rsidR="0003499A" w:rsidRPr="0003499A">
        <w:rPr>
          <w:noProof/>
        </w:rPr>
        <w:t>,</w:t>
      </w:r>
      <w:r w:rsidRPr="00CB3E09">
        <w:t xml:space="preserve"> there were insufficient funds for audit under THSSP1 and funding for </w:t>
      </w:r>
      <w:r w:rsidRPr="00715D15">
        <w:rPr>
          <w:noProof/>
        </w:rPr>
        <w:t>annual</w:t>
      </w:r>
      <w:r w:rsidRPr="00CB3E09">
        <w:t xml:space="preserve"> external audit was to be top-sliced from the THSSP2 budget, thus protecting the funds from other </w:t>
      </w:r>
      <w:r w:rsidRPr="00715D15">
        <w:rPr>
          <w:noProof/>
        </w:rPr>
        <w:t>uses</w:t>
      </w:r>
      <w:r w:rsidRPr="00CB3E09">
        <w:t xml:space="preserve">. </w:t>
      </w:r>
    </w:p>
    <w:p w14:paraId="504C4D03" w14:textId="77777777" w:rsidR="00751000" w:rsidRDefault="00BF2A18" w:rsidP="00613977">
      <w:r w:rsidRPr="00CB3E09">
        <w:rPr>
          <w:lang w:eastAsia="zh-CN"/>
        </w:rPr>
        <w:t xml:space="preserve">There has only been one audit of THSSP2 accounts to date; that is for the period 1 January 2015 to 31 December 2015. </w:t>
      </w:r>
      <w:r w:rsidRPr="00715D15">
        <w:rPr>
          <w:noProof/>
          <w:lang w:eastAsia="zh-CN"/>
        </w:rPr>
        <w:t xml:space="preserve">The auditors recorded that: </w:t>
      </w:r>
      <w:r w:rsidR="0003499A" w:rsidRPr="00715D15">
        <w:rPr>
          <w:i/>
          <w:noProof/>
          <w:lang w:eastAsia="zh-CN"/>
        </w:rPr>
        <w:t>‘</w:t>
      </w:r>
      <w:r w:rsidRPr="00715D15">
        <w:rPr>
          <w:i/>
          <w:noProof/>
          <w:lang w:eastAsia="zh-CN"/>
        </w:rPr>
        <w:t>(i) the financial assistance to MoH and THSSP acquittal report was not accurate, valid and complete; (ii) the financial assistance to MoH and THSSP grant has not been managed in accordance with the terms and conditions of the agreement; (iii) the systems and processes used for procuring services and goods with program financial management procedures, procurement processes and relevant legislation were not managed properly as the amount of transactions without procurement documents is material; and (iv) the general management of the funds was not effective</w:t>
      </w:r>
      <w:r w:rsidR="0003499A" w:rsidRPr="0003499A">
        <w:rPr>
          <w:i/>
          <w:noProof/>
          <w:lang w:eastAsia="zh-CN"/>
        </w:rPr>
        <w:t xml:space="preserve">.’ </w:t>
      </w:r>
      <w:r>
        <w:rPr>
          <w:lang w:eastAsia="zh-CN"/>
        </w:rPr>
        <w:t>Further, a</w:t>
      </w:r>
      <w:r w:rsidRPr="00CB3E09">
        <w:t xml:space="preserve">lthough the budget and statement of corporate intent have </w:t>
      </w:r>
      <w:r w:rsidRPr="00715D15">
        <w:rPr>
          <w:noProof/>
        </w:rPr>
        <w:t>been submitted</w:t>
      </w:r>
      <w:r w:rsidRPr="00CB3E09">
        <w:t xml:space="preserve"> on time over the past </w:t>
      </w:r>
      <w:r w:rsidR="0003499A">
        <w:t>four</w:t>
      </w:r>
      <w:r w:rsidRPr="00CB3E09">
        <w:t xml:space="preserve"> FYs, the annual reports and audits of account have been late.</w:t>
      </w:r>
      <w:r>
        <w:t xml:space="preserve"> </w:t>
      </w:r>
      <w:r w:rsidRPr="00CB3E09">
        <w:t xml:space="preserve">Non-compliance with </w:t>
      </w:r>
      <w:r>
        <w:t>financial policies is not known</w:t>
      </w:r>
      <w:r w:rsidR="00080F39">
        <w:t>,</w:t>
      </w:r>
      <w:r w:rsidRPr="00CB3E09">
        <w:t xml:space="preserve"> as the audits have not </w:t>
      </w:r>
      <w:r w:rsidRPr="00715D15">
        <w:rPr>
          <w:noProof/>
        </w:rPr>
        <w:t>been published</w:t>
      </w:r>
      <w:r w:rsidRPr="00CB3E09">
        <w:t xml:space="preserve"> for the past </w:t>
      </w:r>
      <w:r w:rsidR="0003499A">
        <w:t>three</w:t>
      </w:r>
      <w:r w:rsidRPr="00CB3E09">
        <w:t xml:space="preserve"> FYs.</w:t>
      </w:r>
    </w:p>
    <w:p w14:paraId="1A333C7E" w14:textId="77777777" w:rsidR="00613977" w:rsidRDefault="006823DF" w:rsidP="0049337F">
      <w:pPr>
        <w:pStyle w:val="Heading3"/>
      </w:pPr>
      <w:bookmarkStart w:id="52" w:name="page8"/>
      <w:bookmarkStart w:id="53" w:name="_Toc536205453"/>
      <w:bookmarkEnd w:id="52"/>
      <w:r>
        <w:t>3.2.5</w:t>
      </w:r>
      <w:r>
        <w:tab/>
      </w:r>
      <w:r w:rsidR="004C08ED" w:rsidRPr="00D91469">
        <w:t>Monitoring and performance</w:t>
      </w:r>
      <w:bookmarkEnd w:id="53"/>
    </w:p>
    <w:p w14:paraId="3AA45D6E" w14:textId="77777777" w:rsidR="005D5D06" w:rsidRPr="0003499A" w:rsidRDefault="00145594" w:rsidP="005D5D06">
      <w:pPr>
        <w:spacing w:after="0"/>
        <w:rPr>
          <w:i/>
        </w:rPr>
      </w:pPr>
      <w:r w:rsidRPr="0003499A">
        <w:rPr>
          <w:i/>
        </w:rPr>
        <w:t>Monitoring and evaluation f</w:t>
      </w:r>
      <w:r w:rsidR="005D5D06" w:rsidRPr="0003499A">
        <w:rPr>
          <w:i/>
        </w:rPr>
        <w:t>ramework</w:t>
      </w:r>
      <w:r w:rsidRPr="0003499A">
        <w:rPr>
          <w:i/>
        </w:rPr>
        <w:t>s</w:t>
      </w:r>
    </w:p>
    <w:p w14:paraId="4EA10C84" w14:textId="77777777" w:rsidR="00F96AF3" w:rsidRDefault="00E96054" w:rsidP="00835571">
      <w:pPr>
        <w:rPr>
          <w:lang w:eastAsia="en-GB"/>
        </w:rPr>
      </w:pPr>
      <w:r>
        <w:rPr>
          <w:lang w:eastAsia="en-GB"/>
        </w:rPr>
        <w:t xml:space="preserve">Tonga had 18 national health indicators for 2011-2015 (as reported in the MoH Annual </w:t>
      </w:r>
      <w:r w:rsidR="008019B2">
        <w:rPr>
          <w:lang w:eastAsia="en-GB"/>
        </w:rPr>
        <w:t>Report</w:t>
      </w:r>
      <w:r>
        <w:rPr>
          <w:lang w:eastAsia="en-GB"/>
        </w:rPr>
        <w:t xml:space="preserve"> 2015). For the subsequent </w:t>
      </w:r>
      <w:r w:rsidR="005615FD">
        <w:rPr>
          <w:lang w:eastAsia="en-GB"/>
        </w:rPr>
        <w:t>five-year</w:t>
      </w:r>
      <w:r>
        <w:rPr>
          <w:lang w:eastAsia="en-GB"/>
        </w:rPr>
        <w:t xml:space="preserve"> period, t</w:t>
      </w:r>
      <w:r w:rsidR="006F54C6">
        <w:rPr>
          <w:lang w:eastAsia="en-GB"/>
        </w:rPr>
        <w:t xml:space="preserve">he National Health Strategic Plan 2015-2020 </w:t>
      </w:r>
      <w:r>
        <w:rPr>
          <w:lang w:eastAsia="en-GB"/>
        </w:rPr>
        <w:t xml:space="preserve">sets out </w:t>
      </w:r>
      <w:r w:rsidR="00AD3EE4">
        <w:rPr>
          <w:lang w:eastAsia="en-GB"/>
        </w:rPr>
        <w:t>over 200 key performance indicators (KPIs) and an M&amp;E Framework contain</w:t>
      </w:r>
      <w:r>
        <w:rPr>
          <w:lang w:eastAsia="en-GB"/>
        </w:rPr>
        <w:t xml:space="preserve">ing </w:t>
      </w:r>
      <w:r w:rsidR="00AD3EE4">
        <w:rPr>
          <w:lang w:eastAsia="en-GB"/>
        </w:rPr>
        <w:t>38 national health indicators</w:t>
      </w:r>
      <w:r w:rsidR="000D651C">
        <w:rPr>
          <w:lang w:eastAsia="en-GB"/>
        </w:rPr>
        <w:t>.</w:t>
      </w:r>
      <w:r w:rsidR="00AD3EE4" w:rsidRPr="009C2350">
        <w:rPr>
          <w:lang w:eastAsia="en-GB"/>
        </w:rPr>
        <w:t xml:space="preserve"> </w:t>
      </w:r>
      <w:r w:rsidR="009C2350" w:rsidRPr="009C2350">
        <w:rPr>
          <w:lang w:eastAsia="en-GB"/>
        </w:rPr>
        <w:t xml:space="preserve">The </w:t>
      </w:r>
      <w:r w:rsidR="009C2350">
        <w:rPr>
          <w:lang w:eastAsia="en-GB"/>
        </w:rPr>
        <w:t xml:space="preserve">MoH Corporate Plan 2016/17 – 18/19 </w:t>
      </w:r>
      <w:r w:rsidR="008019B2">
        <w:rPr>
          <w:lang w:eastAsia="en-GB"/>
        </w:rPr>
        <w:t xml:space="preserve">uses the same 38 national health indicators as the National Health Strategic Plan. </w:t>
      </w:r>
      <w:r w:rsidR="008019B2" w:rsidRPr="009C2350">
        <w:rPr>
          <w:lang w:eastAsia="en-GB"/>
        </w:rPr>
        <w:t xml:space="preserve">The </w:t>
      </w:r>
      <w:r w:rsidR="008019B2">
        <w:rPr>
          <w:lang w:eastAsia="en-GB"/>
        </w:rPr>
        <w:t>MoH Corporate Plan</w:t>
      </w:r>
      <w:r>
        <w:rPr>
          <w:lang w:eastAsia="en-GB"/>
        </w:rPr>
        <w:t xml:space="preserve"> 2017/18 – 19/20 </w:t>
      </w:r>
      <w:r w:rsidR="005D5D06">
        <w:rPr>
          <w:lang w:eastAsia="en-GB"/>
        </w:rPr>
        <w:t>does not use the</w:t>
      </w:r>
      <w:r w:rsidR="008019B2">
        <w:rPr>
          <w:lang w:eastAsia="en-GB"/>
        </w:rPr>
        <w:t xml:space="preserve"> 38 national health indicators and reverts to KPIs. </w:t>
      </w:r>
      <w:r>
        <w:rPr>
          <w:lang w:eastAsia="en-GB"/>
        </w:rPr>
        <w:t>The MoH Annual Report</w:t>
      </w:r>
      <w:r w:rsidR="008019B2">
        <w:rPr>
          <w:lang w:eastAsia="en-GB"/>
        </w:rPr>
        <w:t xml:space="preserve"> </w:t>
      </w:r>
      <w:r w:rsidR="00BB0572">
        <w:rPr>
          <w:lang w:eastAsia="en-GB"/>
        </w:rPr>
        <w:t xml:space="preserve">2016 </w:t>
      </w:r>
      <w:r w:rsidR="008019B2">
        <w:rPr>
          <w:lang w:eastAsia="en-GB"/>
        </w:rPr>
        <w:t xml:space="preserve">uses neither national health indicators nor KPIs and instead </w:t>
      </w:r>
      <w:r w:rsidR="00BB0572">
        <w:rPr>
          <w:lang w:eastAsia="en-GB"/>
        </w:rPr>
        <w:t>report</w:t>
      </w:r>
      <w:r>
        <w:rPr>
          <w:lang w:eastAsia="en-GB"/>
        </w:rPr>
        <w:t>s</w:t>
      </w:r>
      <w:r w:rsidR="00BB0572">
        <w:rPr>
          <w:lang w:eastAsia="en-GB"/>
        </w:rPr>
        <w:t xml:space="preserve"> against </w:t>
      </w:r>
      <w:r w:rsidR="0017102C">
        <w:rPr>
          <w:lang w:eastAsia="en-GB"/>
        </w:rPr>
        <w:t xml:space="preserve">a </w:t>
      </w:r>
      <w:r w:rsidR="0017102C" w:rsidRPr="00715D15">
        <w:rPr>
          <w:noProof/>
          <w:lang w:eastAsia="en-GB"/>
        </w:rPr>
        <w:t>sub-set</w:t>
      </w:r>
      <w:r w:rsidR="0017102C">
        <w:rPr>
          <w:lang w:eastAsia="en-GB"/>
        </w:rPr>
        <w:t xml:space="preserve"> of </w:t>
      </w:r>
      <w:r w:rsidR="00BB0572">
        <w:rPr>
          <w:lang w:eastAsia="en-GB"/>
        </w:rPr>
        <w:t>the SDGs and the Health</w:t>
      </w:r>
      <w:r w:rsidR="0092021F">
        <w:rPr>
          <w:lang w:eastAsia="en-GB"/>
        </w:rPr>
        <w:t>y</w:t>
      </w:r>
      <w:r w:rsidR="00BB0572">
        <w:rPr>
          <w:lang w:eastAsia="en-GB"/>
        </w:rPr>
        <w:t xml:space="preserve"> Islands </w:t>
      </w:r>
      <w:r w:rsidR="00BB0572">
        <w:rPr>
          <w:lang w:eastAsia="en-GB"/>
        </w:rPr>
        <w:lastRenderedPageBreak/>
        <w:t>Indicators.</w:t>
      </w:r>
      <w:r w:rsidR="00F96AF3">
        <w:rPr>
          <w:lang w:eastAsia="en-GB"/>
        </w:rPr>
        <w:t xml:space="preserve"> There is also a separate </w:t>
      </w:r>
      <w:r w:rsidR="005615FD">
        <w:rPr>
          <w:lang w:eastAsia="en-GB"/>
        </w:rPr>
        <w:t>higher-level</w:t>
      </w:r>
      <w:r w:rsidR="00F96AF3">
        <w:rPr>
          <w:lang w:eastAsia="en-GB"/>
        </w:rPr>
        <w:t xml:space="preserve"> corporate planning M&amp;E Framework at the GoT level.</w:t>
      </w:r>
    </w:p>
    <w:p w14:paraId="136A0FB4" w14:textId="77777777" w:rsidR="00BB0572" w:rsidRPr="009C2350" w:rsidRDefault="00BB0572" w:rsidP="00835571">
      <w:pPr>
        <w:rPr>
          <w:lang w:eastAsia="en-GB"/>
        </w:rPr>
      </w:pPr>
      <w:r w:rsidRPr="00715D15">
        <w:rPr>
          <w:noProof/>
          <w:lang w:eastAsia="en-GB"/>
        </w:rPr>
        <w:t>This</w:t>
      </w:r>
      <w:r>
        <w:rPr>
          <w:lang w:eastAsia="en-GB"/>
        </w:rPr>
        <w:t xml:space="preserve"> is </w:t>
      </w:r>
      <w:r w:rsidR="000D651C">
        <w:rPr>
          <w:lang w:eastAsia="en-GB"/>
        </w:rPr>
        <w:t>an indicator-dense context, especially so given the population size of Tonga</w:t>
      </w:r>
      <w:r w:rsidR="00BB2625">
        <w:rPr>
          <w:lang w:eastAsia="en-GB"/>
        </w:rPr>
        <w:t xml:space="preserve">. </w:t>
      </w:r>
      <w:r w:rsidR="005615FD">
        <w:rPr>
          <w:lang w:eastAsia="en-GB"/>
        </w:rPr>
        <w:t>T</w:t>
      </w:r>
      <w:r w:rsidR="008019B2">
        <w:rPr>
          <w:lang w:eastAsia="en-GB"/>
        </w:rPr>
        <w:t>he THSSP2 M&amp;E Framework contributes a further 76 indicators.</w:t>
      </w:r>
      <w:r w:rsidR="00C179B5">
        <w:rPr>
          <w:lang w:eastAsia="en-GB"/>
        </w:rPr>
        <w:t xml:space="preserve"> There is some commonality between the THSSP2 M&amp;E Framework, national health indicators and the MoH KPIs but they </w:t>
      </w:r>
      <w:r w:rsidR="00C179B5" w:rsidRPr="00715D15">
        <w:rPr>
          <w:noProof/>
          <w:lang w:eastAsia="en-GB"/>
        </w:rPr>
        <w:t>are not harmonised</w:t>
      </w:r>
      <w:r w:rsidR="00C179B5">
        <w:rPr>
          <w:lang w:eastAsia="en-GB"/>
        </w:rPr>
        <w:t>.</w:t>
      </w:r>
      <w:r w:rsidR="00F96AF3">
        <w:rPr>
          <w:lang w:eastAsia="en-GB"/>
        </w:rPr>
        <w:t xml:space="preserve"> </w:t>
      </w:r>
      <w:r w:rsidR="00173F04">
        <w:rPr>
          <w:lang w:eastAsia="en-GB"/>
        </w:rPr>
        <w:t xml:space="preserve">The </w:t>
      </w:r>
      <w:r w:rsidR="00C179B5">
        <w:rPr>
          <w:lang w:eastAsia="en-GB"/>
        </w:rPr>
        <w:t>THSSP2 M&amp;E F</w:t>
      </w:r>
      <w:r w:rsidR="00173F04">
        <w:rPr>
          <w:lang w:eastAsia="en-GB"/>
        </w:rPr>
        <w:t xml:space="preserve">ramework </w:t>
      </w:r>
      <w:r w:rsidR="00173F04" w:rsidRPr="00715D15">
        <w:rPr>
          <w:noProof/>
          <w:lang w:eastAsia="en-GB"/>
        </w:rPr>
        <w:t>is divided</w:t>
      </w:r>
      <w:r w:rsidR="00173F04">
        <w:rPr>
          <w:lang w:eastAsia="en-GB"/>
        </w:rPr>
        <w:t xml:space="preserve"> into two components: one part monitors the program overall </w:t>
      </w:r>
      <w:r w:rsidR="00173F04" w:rsidRPr="00715D15">
        <w:rPr>
          <w:noProof/>
          <w:lang w:eastAsia="en-GB"/>
        </w:rPr>
        <w:t>and</w:t>
      </w:r>
      <w:r w:rsidR="00173F04">
        <w:rPr>
          <w:lang w:eastAsia="en-GB"/>
        </w:rPr>
        <w:t xml:space="preserve"> the other part monitors TongaHealth. </w:t>
      </w:r>
      <w:r w:rsidR="00F96AF3">
        <w:rPr>
          <w:lang w:eastAsia="en-GB"/>
        </w:rPr>
        <w:t>Since THSSP2 activit</w:t>
      </w:r>
      <w:r w:rsidR="00173F04">
        <w:rPr>
          <w:lang w:eastAsia="en-GB"/>
        </w:rPr>
        <w:t xml:space="preserve">ies </w:t>
      </w:r>
      <w:r w:rsidR="00173F04" w:rsidRPr="00715D15">
        <w:rPr>
          <w:noProof/>
          <w:lang w:eastAsia="en-GB"/>
        </w:rPr>
        <w:t>are planned</w:t>
      </w:r>
      <w:r w:rsidR="00173F04">
        <w:rPr>
          <w:lang w:eastAsia="en-GB"/>
        </w:rPr>
        <w:t xml:space="preserve"> annually, </w:t>
      </w:r>
      <w:r w:rsidR="00215501">
        <w:rPr>
          <w:lang w:eastAsia="en-GB"/>
        </w:rPr>
        <w:t xml:space="preserve">activities </w:t>
      </w:r>
      <w:r w:rsidR="00F96AF3" w:rsidRPr="00715D15">
        <w:rPr>
          <w:noProof/>
          <w:lang w:eastAsia="en-GB"/>
        </w:rPr>
        <w:t>are not directly tracked</w:t>
      </w:r>
      <w:r w:rsidR="00F96AF3">
        <w:rPr>
          <w:lang w:eastAsia="en-GB"/>
        </w:rPr>
        <w:t xml:space="preserve"> because the </w:t>
      </w:r>
      <w:r w:rsidR="00F96AF3" w:rsidRPr="00E0392D">
        <w:rPr>
          <w:lang w:eastAsia="en-GB"/>
        </w:rPr>
        <w:t>program design envisaged that annual program-funded activities would be consistently and strategically related to the five program outcome targets.</w:t>
      </w:r>
    </w:p>
    <w:p w14:paraId="66E92782" w14:textId="77777777" w:rsidR="003F1D8C" w:rsidRDefault="00215501" w:rsidP="00215501">
      <w:pPr>
        <w:rPr>
          <w:lang w:val="en-AU"/>
        </w:rPr>
      </w:pPr>
      <w:r w:rsidRPr="00CB3E09">
        <w:rPr>
          <w:lang w:val="en-AU"/>
        </w:rPr>
        <w:t xml:space="preserve">The </w:t>
      </w:r>
      <w:r>
        <w:rPr>
          <w:lang w:val="en-AU"/>
        </w:rPr>
        <w:t xml:space="preserve">THSSP2 </w:t>
      </w:r>
      <w:r w:rsidRPr="00CB3E09">
        <w:rPr>
          <w:lang w:val="en-AU"/>
        </w:rPr>
        <w:t xml:space="preserve">M&amp;E Framework does not </w:t>
      </w:r>
      <w:r>
        <w:rPr>
          <w:lang w:val="en-AU"/>
        </w:rPr>
        <w:t xml:space="preserve">demonstrate a </w:t>
      </w:r>
      <w:r w:rsidRPr="00CB3E09">
        <w:rPr>
          <w:lang w:val="en-AU"/>
        </w:rPr>
        <w:t xml:space="preserve">theory of change. This lack of a vertical examination of the logical relationship (between inputs and activities – outputs – outcomes – impact) constrains the </w:t>
      </w:r>
      <w:r w:rsidR="003F1D8C">
        <w:rPr>
          <w:lang w:val="en-AU"/>
        </w:rPr>
        <w:t xml:space="preserve">use of the framework for </w:t>
      </w:r>
      <w:r w:rsidRPr="00CB3E09">
        <w:rPr>
          <w:lang w:val="en-AU"/>
        </w:rPr>
        <w:t xml:space="preserve">evaluation </w:t>
      </w:r>
      <w:r w:rsidR="003F1D8C">
        <w:rPr>
          <w:lang w:val="en-AU"/>
        </w:rPr>
        <w:t xml:space="preserve">purposes. </w:t>
      </w:r>
      <w:r w:rsidR="00173F04">
        <w:rPr>
          <w:lang w:val="en-AU"/>
        </w:rPr>
        <w:t>The framework focuses heavily on NCDs but th</w:t>
      </w:r>
      <w:r w:rsidR="00173F04" w:rsidRPr="00173F04">
        <w:rPr>
          <w:lang w:val="en-AU"/>
        </w:rPr>
        <w:t xml:space="preserve">e program objective of contributing to a </w:t>
      </w:r>
      <w:r w:rsidR="0003499A">
        <w:rPr>
          <w:lang w:val="en-AU"/>
        </w:rPr>
        <w:t>‘</w:t>
      </w:r>
      <w:r w:rsidR="00173F04" w:rsidRPr="00173F04">
        <w:rPr>
          <w:lang w:val="en-AU"/>
        </w:rPr>
        <w:t xml:space="preserve">more </w:t>
      </w:r>
      <w:r w:rsidR="00173F04" w:rsidRPr="00173F04">
        <w:rPr>
          <w:bCs/>
          <w:lang w:eastAsia="en-GB"/>
        </w:rPr>
        <w:t>effective, efficient and equitable health system</w:t>
      </w:r>
      <w:r w:rsidR="0003499A">
        <w:rPr>
          <w:bCs/>
          <w:lang w:eastAsia="en-GB"/>
        </w:rPr>
        <w:t>’</w:t>
      </w:r>
      <w:r w:rsidR="00173F04" w:rsidRPr="00173F04">
        <w:rPr>
          <w:bCs/>
          <w:lang w:eastAsia="en-GB"/>
        </w:rPr>
        <w:t xml:space="preserve"> is largely unmeasured.</w:t>
      </w:r>
      <w:r w:rsidR="00173F04" w:rsidRPr="00173F04">
        <w:rPr>
          <w:lang w:val="en-AU"/>
        </w:rPr>
        <w:t xml:space="preserve"> </w:t>
      </w:r>
      <w:r w:rsidR="003F1D8C" w:rsidRPr="00173F04">
        <w:rPr>
          <w:lang w:val="en-AU"/>
        </w:rPr>
        <w:t>Fu</w:t>
      </w:r>
      <w:r w:rsidR="003F1D8C">
        <w:rPr>
          <w:lang w:val="en-AU"/>
        </w:rPr>
        <w:t xml:space="preserve">rthermore, </w:t>
      </w:r>
      <w:r w:rsidRPr="00CB3E09">
        <w:rPr>
          <w:lang w:val="en-AU"/>
        </w:rPr>
        <w:t xml:space="preserve">many of </w:t>
      </w:r>
      <w:r w:rsidR="003F1D8C">
        <w:rPr>
          <w:lang w:val="en-AU"/>
        </w:rPr>
        <w:t xml:space="preserve">the indicators </w:t>
      </w:r>
      <w:r w:rsidRPr="00715D15">
        <w:rPr>
          <w:noProof/>
          <w:lang w:val="en-AU"/>
        </w:rPr>
        <w:t>are not routinely collected</w:t>
      </w:r>
      <w:r w:rsidRPr="00CB3E09">
        <w:rPr>
          <w:lang w:val="en-AU"/>
        </w:rPr>
        <w:t xml:space="preserve"> and require interrogation of health information systems and administrative records. </w:t>
      </w:r>
      <w:r w:rsidR="003F1D8C">
        <w:rPr>
          <w:lang w:val="en-AU"/>
        </w:rPr>
        <w:t xml:space="preserve">The evaluation team spent a considerable part of the country visit </w:t>
      </w:r>
      <w:r w:rsidR="00173F04">
        <w:rPr>
          <w:lang w:val="en-AU"/>
        </w:rPr>
        <w:t>work</w:t>
      </w:r>
      <w:r w:rsidR="003F1D8C">
        <w:rPr>
          <w:lang w:val="en-AU"/>
        </w:rPr>
        <w:t xml:space="preserve">ing with MoH and TongaHealth staff to manually </w:t>
      </w:r>
      <w:r w:rsidR="00173F04">
        <w:rPr>
          <w:lang w:val="en-AU"/>
        </w:rPr>
        <w:t>examine administrative records to collect indicators.</w:t>
      </w:r>
    </w:p>
    <w:p w14:paraId="199D8C22" w14:textId="77777777" w:rsidR="003F1D8C" w:rsidRDefault="00F75217" w:rsidP="00215501">
      <w:pPr>
        <w:rPr>
          <w:lang w:eastAsia="en-GB"/>
        </w:rPr>
      </w:pPr>
      <w:r w:rsidRPr="00715D15">
        <w:rPr>
          <w:noProof/>
          <w:lang w:eastAsia="en-GB"/>
        </w:rPr>
        <w:t>One</w:t>
      </w:r>
      <w:r w:rsidR="0003499A" w:rsidRPr="00715D15">
        <w:rPr>
          <w:noProof/>
          <w:lang w:eastAsia="en-GB"/>
        </w:rPr>
        <w:t>-</w:t>
      </w:r>
      <w:r w:rsidRPr="00715D15">
        <w:rPr>
          <w:noProof/>
          <w:lang w:eastAsia="en-GB"/>
        </w:rPr>
        <w:t>tenth</w:t>
      </w:r>
      <w:r w:rsidR="003F1D8C">
        <w:rPr>
          <w:lang w:eastAsia="en-GB"/>
        </w:rPr>
        <w:t xml:space="preserve"> of the </w:t>
      </w:r>
      <w:r w:rsidR="00173F04">
        <w:rPr>
          <w:lang w:eastAsia="en-GB"/>
        </w:rPr>
        <w:t xml:space="preserve">THSSP2 M&amp;E </w:t>
      </w:r>
      <w:r w:rsidR="003F1D8C">
        <w:rPr>
          <w:lang w:eastAsia="en-GB"/>
        </w:rPr>
        <w:t xml:space="preserve">indicators </w:t>
      </w:r>
      <w:r w:rsidRPr="00715D15">
        <w:rPr>
          <w:noProof/>
          <w:lang w:eastAsia="en-GB"/>
        </w:rPr>
        <w:t>are</w:t>
      </w:r>
      <w:r>
        <w:rPr>
          <w:lang w:eastAsia="en-GB"/>
        </w:rPr>
        <w:t xml:space="preserve"> sourced from the </w:t>
      </w:r>
      <w:r w:rsidR="003F1D8C">
        <w:rPr>
          <w:lang w:eastAsia="en-GB"/>
        </w:rPr>
        <w:t xml:space="preserve">4-yearly STEPS survey. Results of these surveys are published by WHO two to three years after data collection, with the 2016 survey results expected in 2019, </w:t>
      </w:r>
      <w:r w:rsidR="005D4873">
        <w:rPr>
          <w:lang w:eastAsia="en-GB"/>
        </w:rPr>
        <w:t>and</w:t>
      </w:r>
      <w:r w:rsidR="00C179B5">
        <w:rPr>
          <w:lang w:eastAsia="en-GB"/>
        </w:rPr>
        <w:t xml:space="preserve"> the next </w:t>
      </w:r>
      <w:r w:rsidR="003F1D8C">
        <w:rPr>
          <w:lang w:eastAsia="en-GB"/>
        </w:rPr>
        <w:t xml:space="preserve">survey </w:t>
      </w:r>
      <w:r w:rsidR="00C179B5">
        <w:rPr>
          <w:lang w:eastAsia="en-GB"/>
        </w:rPr>
        <w:t xml:space="preserve">due </w:t>
      </w:r>
      <w:r w:rsidR="003F1D8C">
        <w:rPr>
          <w:lang w:eastAsia="en-GB"/>
        </w:rPr>
        <w:t>in 2020. STEPS is highly relevant to THSSP2</w:t>
      </w:r>
      <w:r w:rsidR="0003499A">
        <w:rPr>
          <w:lang w:eastAsia="en-GB"/>
        </w:rPr>
        <w:t>,</w:t>
      </w:r>
      <w:r w:rsidR="003F1D8C">
        <w:rPr>
          <w:lang w:eastAsia="en-GB"/>
        </w:rPr>
        <w:t xml:space="preserve"> </w:t>
      </w:r>
      <w:r w:rsidR="003F1D8C" w:rsidRPr="00715D15">
        <w:rPr>
          <w:noProof/>
          <w:lang w:eastAsia="en-GB"/>
        </w:rPr>
        <w:t>but</w:t>
      </w:r>
      <w:r w:rsidR="003F1D8C">
        <w:rPr>
          <w:lang w:eastAsia="en-GB"/>
        </w:rPr>
        <w:t xml:space="preserve"> because of the time </w:t>
      </w:r>
      <w:r w:rsidR="003F1D8C" w:rsidRPr="00715D15">
        <w:rPr>
          <w:noProof/>
          <w:lang w:eastAsia="en-GB"/>
        </w:rPr>
        <w:t>delay</w:t>
      </w:r>
      <w:r w:rsidR="0003499A" w:rsidRPr="0003499A">
        <w:rPr>
          <w:noProof/>
          <w:lang w:eastAsia="en-GB"/>
        </w:rPr>
        <w:t>,</w:t>
      </w:r>
      <w:r w:rsidR="003F1D8C">
        <w:rPr>
          <w:lang w:eastAsia="en-GB"/>
        </w:rPr>
        <w:t xml:space="preserve"> it is i</w:t>
      </w:r>
      <w:r>
        <w:rPr>
          <w:lang w:eastAsia="en-GB"/>
        </w:rPr>
        <w:t>mpractical</w:t>
      </w:r>
      <w:r w:rsidR="003F1D8C">
        <w:rPr>
          <w:lang w:eastAsia="en-GB"/>
        </w:rPr>
        <w:t xml:space="preserve"> for M&amp;E purposes for a </w:t>
      </w:r>
      <w:r w:rsidR="003F4192">
        <w:rPr>
          <w:lang w:eastAsia="en-GB"/>
        </w:rPr>
        <w:t>five-year</w:t>
      </w:r>
      <w:r w:rsidR="003F1D8C">
        <w:rPr>
          <w:lang w:eastAsia="en-GB"/>
        </w:rPr>
        <w:t xml:space="preserve"> program. Only the 2016 survey results (reflecting the first year of THSSP2) will be available during the life of the program. The 2020 survey (reflecting four years of THSSP2</w:t>
      </w:r>
      <w:r w:rsidR="00C179B5">
        <w:rPr>
          <w:lang w:eastAsia="en-GB"/>
        </w:rPr>
        <w:t xml:space="preserve"> implementation</w:t>
      </w:r>
      <w:r w:rsidR="003F1D8C">
        <w:rPr>
          <w:lang w:eastAsia="en-GB"/>
        </w:rPr>
        <w:t xml:space="preserve">) will not become available until two to three years after </w:t>
      </w:r>
      <w:r w:rsidR="00173F04">
        <w:rPr>
          <w:lang w:eastAsia="en-GB"/>
        </w:rPr>
        <w:t>THSSP2</w:t>
      </w:r>
      <w:r w:rsidR="003F1D8C">
        <w:rPr>
          <w:lang w:eastAsia="en-GB"/>
        </w:rPr>
        <w:t xml:space="preserve"> ends.</w:t>
      </w:r>
    </w:p>
    <w:p w14:paraId="4C15A907" w14:textId="77777777" w:rsidR="00D21FF2" w:rsidRDefault="00D21FF2" w:rsidP="00215501">
      <w:pPr>
        <w:rPr>
          <w:lang w:eastAsia="en-GB"/>
        </w:rPr>
      </w:pPr>
      <w:r>
        <w:rPr>
          <w:lang w:eastAsia="en-GB"/>
        </w:rPr>
        <w:t xml:space="preserve">Some of the THSSP2 M&amp;E indicators draw on hospital activity data. The MoH advised that the quality of ICD10 coding for Vaiola Hospital is doubtful for earlier years, and for procedures and comorbidities (the focus of coding is to record the reason for admission). It </w:t>
      </w:r>
      <w:r w:rsidRPr="00715D15">
        <w:rPr>
          <w:noProof/>
          <w:lang w:eastAsia="en-GB"/>
        </w:rPr>
        <w:t>is understood</w:t>
      </w:r>
      <w:r>
        <w:rPr>
          <w:lang w:eastAsia="en-GB"/>
        </w:rPr>
        <w:t xml:space="preserve"> that there is little capture of activity data for district hospitals. There are initiatives underway</w:t>
      </w:r>
      <w:r w:rsidR="00BB2625">
        <w:rPr>
          <w:lang w:eastAsia="en-GB"/>
        </w:rPr>
        <w:t xml:space="preserve">, the ADB </w:t>
      </w:r>
      <w:r w:rsidR="00BB2625" w:rsidRPr="00715D15">
        <w:rPr>
          <w:noProof/>
          <w:lang w:eastAsia="en-GB"/>
        </w:rPr>
        <w:t>eh</w:t>
      </w:r>
      <w:r w:rsidR="00153D28" w:rsidRPr="00715D15">
        <w:rPr>
          <w:noProof/>
          <w:lang w:eastAsia="en-GB"/>
        </w:rPr>
        <w:t>ealth</w:t>
      </w:r>
      <w:r w:rsidR="00153D28">
        <w:rPr>
          <w:lang w:eastAsia="en-GB"/>
        </w:rPr>
        <w:t xml:space="preserve"> project on hospital activity data and the DFAT </w:t>
      </w:r>
      <w:r w:rsidR="00C828AF">
        <w:rPr>
          <w:lang w:eastAsia="en-GB"/>
        </w:rPr>
        <w:t xml:space="preserve">Innovation Exchange-funded </w:t>
      </w:r>
      <w:r w:rsidR="00153D28" w:rsidRPr="00153D28">
        <w:rPr>
          <w:i/>
          <w:szCs w:val="23"/>
        </w:rPr>
        <w:t>Fanafana Ola</w:t>
      </w:r>
      <w:r>
        <w:rPr>
          <w:lang w:eastAsia="en-GB"/>
        </w:rPr>
        <w:t xml:space="preserve"> </w:t>
      </w:r>
      <w:r w:rsidR="00153D28">
        <w:rPr>
          <w:lang w:eastAsia="en-GB"/>
        </w:rPr>
        <w:t xml:space="preserve">project on DHIS2, </w:t>
      </w:r>
      <w:r>
        <w:rPr>
          <w:lang w:eastAsia="en-GB"/>
        </w:rPr>
        <w:t xml:space="preserve">that will improve data quality and ease of access to data in the future, but for the time </w:t>
      </w:r>
      <w:r w:rsidRPr="00715D15">
        <w:rPr>
          <w:noProof/>
          <w:lang w:eastAsia="en-GB"/>
        </w:rPr>
        <w:t>being</w:t>
      </w:r>
      <w:r>
        <w:rPr>
          <w:lang w:eastAsia="en-GB"/>
        </w:rPr>
        <w:t xml:space="preserve"> </w:t>
      </w:r>
      <w:r w:rsidR="00315C56">
        <w:rPr>
          <w:lang w:eastAsia="en-GB"/>
        </w:rPr>
        <w:t>the value of these indicators is questionable.</w:t>
      </w:r>
    </w:p>
    <w:p w14:paraId="76023F9E" w14:textId="77777777" w:rsidR="004501B1" w:rsidRDefault="004501B1" w:rsidP="004501B1">
      <w:pPr>
        <w:rPr>
          <w:lang w:eastAsia="en-GB"/>
        </w:rPr>
      </w:pPr>
      <w:r>
        <w:t xml:space="preserve">The TongaHealth section of the M&amp;E Framework </w:t>
      </w:r>
      <w:r w:rsidR="0017102C">
        <w:t xml:space="preserve">replicates TongaHealth’s </w:t>
      </w:r>
      <w:r w:rsidR="0017102C" w:rsidRPr="00715D15">
        <w:rPr>
          <w:noProof/>
        </w:rPr>
        <w:t>own</w:t>
      </w:r>
      <w:r w:rsidR="0017102C">
        <w:t xml:space="preserve"> corporate M&amp;E Framework, and it </w:t>
      </w:r>
      <w:r>
        <w:t xml:space="preserve">contains some institutional performance measures (e.g. </w:t>
      </w:r>
      <w:r w:rsidRPr="00715D15">
        <w:rPr>
          <w:noProof/>
        </w:rPr>
        <w:t>number</w:t>
      </w:r>
      <w:r>
        <w:t xml:space="preserve"> of staff undergoing staff appraisal) that provide evidence about the quality of internal corporate functions of TongaHealth. The measures have meaning </w:t>
      </w:r>
      <w:r w:rsidR="0017102C">
        <w:t>for TongaHealth</w:t>
      </w:r>
      <w:r w:rsidR="0003499A">
        <w:t>,</w:t>
      </w:r>
      <w:r w:rsidR="0017102C">
        <w:t xml:space="preserve"> </w:t>
      </w:r>
      <w:r w:rsidRPr="00715D15">
        <w:rPr>
          <w:noProof/>
        </w:rPr>
        <w:t>but</w:t>
      </w:r>
      <w:r>
        <w:t xml:space="preserve"> they have no direct relationship with DFAT’s investments. There is an implied logic that if TongaHealth is a robust corporate entity, then it will competently perform its role as a funds manager and grant administrator. The evaluation team agrees that indicators do reflect a desired corporate behaviour, but the indicators do not belong in the program M&amp;E Framework.</w:t>
      </w:r>
    </w:p>
    <w:p w14:paraId="4F4F7494" w14:textId="77777777" w:rsidR="00324F62" w:rsidRDefault="00173F04" w:rsidP="00215501">
      <w:pPr>
        <w:rPr>
          <w:lang w:val="en-AU"/>
        </w:rPr>
      </w:pPr>
      <w:r>
        <w:rPr>
          <w:lang w:val="en-AU"/>
        </w:rPr>
        <w:t xml:space="preserve">The full THSSP2 M&amp;E Framework containing indicators collected for or during the mid-term evaluation is at </w:t>
      </w:r>
      <w:r w:rsidRPr="005D5D06">
        <w:rPr>
          <w:b/>
          <w:lang w:val="en-AU"/>
        </w:rPr>
        <w:t xml:space="preserve">Annex </w:t>
      </w:r>
      <w:r w:rsidR="005D5D06" w:rsidRPr="005D5D06">
        <w:rPr>
          <w:b/>
          <w:lang w:val="en-AU"/>
        </w:rPr>
        <w:t>D</w:t>
      </w:r>
      <w:r>
        <w:rPr>
          <w:lang w:val="en-AU"/>
        </w:rPr>
        <w:t>. Overall, the</w:t>
      </w:r>
      <w:r w:rsidR="00215501" w:rsidRPr="00CB3E09">
        <w:rPr>
          <w:lang w:val="en-AU"/>
        </w:rPr>
        <w:t xml:space="preserve"> size and complexity of the </w:t>
      </w:r>
      <w:r>
        <w:rPr>
          <w:lang w:val="en-AU"/>
        </w:rPr>
        <w:t xml:space="preserve">THSSP2 M&amp;E </w:t>
      </w:r>
      <w:r w:rsidR="00215501" w:rsidRPr="00CB3E09">
        <w:rPr>
          <w:lang w:val="en-AU"/>
        </w:rPr>
        <w:t>Framework defeat</w:t>
      </w:r>
      <w:r>
        <w:rPr>
          <w:lang w:val="en-AU"/>
        </w:rPr>
        <w:t>ed</w:t>
      </w:r>
      <w:r w:rsidR="00215501" w:rsidRPr="00CB3E09">
        <w:rPr>
          <w:lang w:val="en-AU"/>
        </w:rPr>
        <w:t xml:space="preserve"> </w:t>
      </w:r>
      <w:r w:rsidR="00C179B5">
        <w:rPr>
          <w:lang w:val="en-AU"/>
        </w:rPr>
        <w:t>collection</w:t>
      </w:r>
      <w:r w:rsidR="00215501" w:rsidRPr="00CB3E09">
        <w:rPr>
          <w:lang w:val="en-AU"/>
        </w:rPr>
        <w:t xml:space="preserve"> </w:t>
      </w:r>
      <w:r>
        <w:rPr>
          <w:lang w:val="en-AU"/>
        </w:rPr>
        <w:t>given</w:t>
      </w:r>
      <w:r w:rsidR="00215501" w:rsidRPr="00CB3E09">
        <w:rPr>
          <w:lang w:val="en-AU"/>
        </w:rPr>
        <w:t xml:space="preserve"> the limited capacit</w:t>
      </w:r>
      <w:r>
        <w:rPr>
          <w:lang w:val="en-AU"/>
        </w:rPr>
        <w:t>y available</w:t>
      </w:r>
      <w:r w:rsidR="00215501" w:rsidRPr="00CB3E09">
        <w:rPr>
          <w:lang w:val="en-AU"/>
        </w:rPr>
        <w:t xml:space="preserve">. </w:t>
      </w:r>
      <w:r w:rsidR="0061162C">
        <w:rPr>
          <w:lang w:val="en-AU"/>
        </w:rPr>
        <w:t xml:space="preserve">The evaluation team discussed the matter frankly with the MoH CEO </w:t>
      </w:r>
      <w:r w:rsidR="00C179B5">
        <w:rPr>
          <w:lang w:val="en-AU"/>
        </w:rPr>
        <w:t xml:space="preserve">who said that the many indicators all appeared to be relevant. </w:t>
      </w:r>
      <w:r w:rsidR="00324F62">
        <w:rPr>
          <w:lang w:val="en-AU"/>
        </w:rPr>
        <w:t xml:space="preserve">It is true that each of </w:t>
      </w:r>
      <w:r w:rsidR="00324F62">
        <w:rPr>
          <w:lang w:val="en-AU"/>
        </w:rPr>
        <w:lastRenderedPageBreak/>
        <w:t xml:space="preserve">the indicators from the various frameworks reflects some interesting aspect of the health sector, but </w:t>
      </w:r>
      <w:r w:rsidR="00324F62" w:rsidRPr="00715D15">
        <w:rPr>
          <w:noProof/>
          <w:lang w:val="en-AU"/>
        </w:rPr>
        <w:t>clearly</w:t>
      </w:r>
      <w:r w:rsidR="00324F62">
        <w:rPr>
          <w:lang w:val="en-AU"/>
        </w:rPr>
        <w:t xml:space="preserve"> no</w:t>
      </w:r>
      <w:r w:rsidR="00A86B02">
        <w:rPr>
          <w:lang w:val="en-AU"/>
        </w:rPr>
        <w:t>t all indicators are strategic.</w:t>
      </w:r>
    </w:p>
    <w:p w14:paraId="36382610" w14:textId="77777777" w:rsidR="003F1D8C" w:rsidRDefault="00C179B5" w:rsidP="00215501">
      <w:pPr>
        <w:rPr>
          <w:lang w:val="en-AU"/>
        </w:rPr>
      </w:pPr>
      <w:r>
        <w:rPr>
          <w:lang w:val="en-AU"/>
        </w:rPr>
        <w:t xml:space="preserve">Given that a majority of the indicators from the many frameworks described in this section are not available </w:t>
      </w:r>
      <w:r w:rsidRPr="00715D15">
        <w:rPr>
          <w:noProof/>
          <w:lang w:val="en-AU"/>
        </w:rPr>
        <w:t>in a timely manner</w:t>
      </w:r>
      <w:r>
        <w:rPr>
          <w:lang w:val="en-AU"/>
        </w:rPr>
        <w:t xml:space="preserve">, this is </w:t>
      </w:r>
      <w:r w:rsidRPr="00C179B5">
        <w:rPr>
          <w:i/>
          <w:lang w:val="en-AU"/>
        </w:rPr>
        <w:t>de facto</w:t>
      </w:r>
      <w:r>
        <w:rPr>
          <w:lang w:val="en-AU"/>
        </w:rPr>
        <w:t xml:space="preserve"> proof that MoH, TongaHealth and DFAT are </w:t>
      </w:r>
      <w:r w:rsidR="00D21FF2">
        <w:rPr>
          <w:lang w:val="en-AU"/>
        </w:rPr>
        <w:t xml:space="preserve">making </w:t>
      </w:r>
      <w:r w:rsidR="009D7723">
        <w:rPr>
          <w:lang w:val="en-AU"/>
        </w:rPr>
        <w:t>management</w:t>
      </w:r>
      <w:r>
        <w:rPr>
          <w:lang w:val="en-AU"/>
        </w:rPr>
        <w:t xml:space="preserve"> decision</w:t>
      </w:r>
      <w:r w:rsidR="00D21FF2">
        <w:rPr>
          <w:lang w:val="en-AU"/>
        </w:rPr>
        <w:t>s without reference to these indicators</w:t>
      </w:r>
      <w:r>
        <w:rPr>
          <w:lang w:val="en-AU"/>
        </w:rPr>
        <w:t xml:space="preserve">. </w:t>
      </w:r>
      <w:r w:rsidR="004F5023">
        <w:rPr>
          <w:lang w:val="en-AU"/>
        </w:rPr>
        <w:t xml:space="preserve">The lack of an evidence base contributes to a weakness in governance (although the use of informal information channels cannot be discounted). </w:t>
      </w:r>
      <w:r>
        <w:rPr>
          <w:lang w:val="en-AU"/>
        </w:rPr>
        <w:t>In the opinion of the evaluation team, there is a gulf between contemporary best practice in ma</w:t>
      </w:r>
      <w:r w:rsidR="00324F62">
        <w:rPr>
          <w:lang w:val="en-AU"/>
        </w:rPr>
        <w:t xml:space="preserve">nagement </w:t>
      </w:r>
      <w:r>
        <w:rPr>
          <w:lang w:val="en-AU"/>
        </w:rPr>
        <w:t xml:space="preserve">where </w:t>
      </w:r>
      <w:r w:rsidR="0093160D">
        <w:rPr>
          <w:lang w:val="en-AU"/>
        </w:rPr>
        <w:t xml:space="preserve">a </w:t>
      </w:r>
      <w:r w:rsidR="00760392">
        <w:rPr>
          <w:lang w:val="en-AU"/>
        </w:rPr>
        <w:t>‘</w:t>
      </w:r>
      <w:r>
        <w:rPr>
          <w:lang w:val="en-AU"/>
        </w:rPr>
        <w:t>dashboard</w:t>
      </w:r>
      <w:r w:rsidR="00760392">
        <w:rPr>
          <w:lang w:val="en-AU"/>
        </w:rPr>
        <w:t>’</w:t>
      </w:r>
      <w:r w:rsidR="00324F62">
        <w:rPr>
          <w:lang w:val="en-AU"/>
        </w:rPr>
        <w:t xml:space="preserve"> (</w:t>
      </w:r>
      <w:r>
        <w:rPr>
          <w:lang w:val="en-AU"/>
        </w:rPr>
        <w:t>a motor vehicle metaphor</w:t>
      </w:r>
      <w:r w:rsidR="00324F62">
        <w:rPr>
          <w:lang w:val="en-AU"/>
        </w:rPr>
        <w:t>)</w:t>
      </w:r>
      <w:r>
        <w:rPr>
          <w:lang w:val="en-AU"/>
        </w:rPr>
        <w:t xml:space="preserve"> provide</w:t>
      </w:r>
      <w:r w:rsidR="0093160D">
        <w:rPr>
          <w:lang w:val="en-AU"/>
        </w:rPr>
        <w:t>s</w:t>
      </w:r>
      <w:r>
        <w:rPr>
          <w:lang w:val="en-AU"/>
        </w:rPr>
        <w:t xml:space="preserve"> top management with the essential few indicators</w:t>
      </w:r>
      <w:r w:rsidR="00D21FF2">
        <w:rPr>
          <w:lang w:val="en-AU"/>
        </w:rPr>
        <w:t xml:space="preserve">, and international development, </w:t>
      </w:r>
      <w:r w:rsidR="0093160D">
        <w:rPr>
          <w:lang w:val="en-AU"/>
        </w:rPr>
        <w:t xml:space="preserve">where comprehensive indicator sets </w:t>
      </w:r>
      <w:r w:rsidR="00D21FF2">
        <w:rPr>
          <w:lang w:val="en-AU"/>
        </w:rPr>
        <w:t>are the norm</w:t>
      </w:r>
      <w:r w:rsidR="0093160D">
        <w:rPr>
          <w:lang w:val="en-AU"/>
        </w:rPr>
        <w:t xml:space="preserve"> </w:t>
      </w:r>
      <w:r w:rsidR="00D21FF2">
        <w:rPr>
          <w:lang w:val="en-AU"/>
        </w:rPr>
        <w:t>(</w:t>
      </w:r>
      <w:r w:rsidR="0093160D">
        <w:rPr>
          <w:lang w:val="en-AU"/>
        </w:rPr>
        <w:t xml:space="preserve">metaphorically closer to the cockpit instrumentation of a jumbo jet). </w:t>
      </w:r>
      <w:r w:rsidR="00315C56">
        <w:rPr>
          <w:lang w:val="en-AU"/>
        </w:rPr>
        <w:t>The</w:t>
      </w:r>
      <w:r w:rsidR="003A5BA4">
        <w:rPr>
          <w:lang w:val="en-AU"/>
        </w:rPr>
        <w:t xml:space="preserve"> evaluation considers that there has been a failure to separate large, comprehensive data sets which </w:t>
      </w:r>
      <w:r w:rsidR="003A5BA4" w:rsidRPr="00715D15">
        <w:rPr>
          <w:noProof/>
          <w:lang w:val="en-AU"/>
        </w:rPr>
        <w:t>are used</w:t>
      </w:r>
      <w:r w:rsidR="003A5BA4">
        <w:rPr>
          <w:lang w:val="en-AU"/>
        </w:rPr>
        <w:t xml:space="preserve"> for post hoc </w:t>
      </w:r>
      <w:r w:rsidR="009D7723">
        <w:rPr>
          <w:lang w:val="en-AU"/>
        </w:rPr>
        <w:t xml:space="preserve">technical </w:t>
      </w:r>
      <w:r w:rsidR="003A5BA4">
        <w:rPr>
          <w:lang w:val="en-AU"/>
        </w:rPr>
        <w:t>analysis of health systems from practical, strategic information for management.</w:t>
      </w:r>
    </w:p>
    <w:p w14:paraId="2318F48D" w14:textId="77777777" w:rsidR="00715D15" w:rsidRDefault="00312A1D" w:rsidP="00215501">
      <w:pPr>
        <w:rPr>
          <w:lang w:val="en-AU"/>
        </w:rPr>
      </w:pPr>
      <w:r w:rsidRPr="00AD46A6">
        <w:rPr>
          <w:lang w:eastAsia="en-GB"/>
        </w:rPr>
        <w:t xml:space="preserve">The </w:t>
      </w:r>
      <w:r w:rsidRPr="00EA0C17">
        <w:rPr>
          <w:i/>
          <w:lang w:eastAsia="en-GB"/>
        </w:rPr>
        <w:t xml:space="preserve">Fanafana Ola </w:t>
      </w:r>
      <w:r>
        <w:t>project arose from a THSSP2-supported MoH pilot project in 2016-17. The pilot project worked with the MoH reproductive health program to test the possibility of rolling out DHIS2 as a public health information system. The success of the pilot allowed DFAT Tonga to bid internally for Innovative Exchange support for the full DHIS2 roll out. This achievement is described under Monitoring and Evaluation because it was a “work in progress” at the time of the evaluation. Assuming that future use of DHIS2 is good and that this information helps to inform future decision-making, this has the potential to be a significant health systems strengthening result for THSSP2.</w:t>
      </w:r>
    </w:p>
    <w:p w14:paraId="0F6A9CAB" w14:textId="77777777" w:rsidR="005D5D06" w:rsidRPr="00715D15" w:rsidRDefault="005D5D06" w:rsidP="005D5D06">
      <w:pPr>
        <w:spacing w:after="0"/>
        <w:rPr>
          <w:i/>
        </w:rPr>
      </w:pPr>
      <w:r w:rsidRPr="00715D15">
        <w:rPr>
          <w:i/>
        </w:rPr>
        <w:t>Performance</w:t>
      </w:r>
      <w:r w:rsidR="00145594" w:rsidRPr="00715D15">
        <w:rPr>
          <w:i/>
        </w:rPr>
        <w:t>-b</w:t>
      </w:r>
      <w:r w:rsidRPr="00715D15">
        <w:rPr>
          <w:i/>
        </w:rPr>
        <w:t xml:space="preserve">ased </w:t>
      </w:r>
      <w:r w:rsidR="00145594" w:rsidRPr="00715D15">
        <w:rPr>
          <w:i/>
        </w:rPr>
        <w:t>aid</w:t>
      </w:r>
    </w:p>
    <w:p w14:paraId="0808FEA0" w14:textId="77777777" w:rsidR="00D12F81" w:rsidRDefault="003A5BA4" w:rsidP="0059616B">
      <w:pPr>
        <w:spacing w:after="120"/>
        <w:rPr>
          <w:lang w:eastAsia="ja-JP"/>
        </w:rPr>
      </w:pPr>
      <w:r>
        <w:t xml:space="preserve">Independently of </w:t>
      </w:r>
      <w:r w:rsidR="00D12F81">
        <w:t>o</w:t>
      </w:r>
      <w:r>
        <w:t>the</w:t>
      </w:r>
      <w:r w:rsidR="00D12F81">
        <w:t>r</w:t>
      </w:r>
      <w:r>
        <w:t xml:space="preserve"> </w:t>
      </w:r>
      <w:r w:rsidR="00D12F81">
        <w:t xml:space="preserve">components of the program, the </w:t>
      </w:r>
      <w:r>
        <w:t>THSSP2 D</w:t>
      </w:r>
      <w:r w:rsidR="00C6520A">
        <w:t xml:space="preserve">esign </w:t>
      </w:r>
      <w:r w:rsidR="00D12F81">
        <w:t>D</w:t>
      </w:r>
      <w:r w:rsidR="00C6520A">
        <w:t xml:space="preserve">ocument </w:t>
      </w:r>
      <w:r w:rsidR="00D12F81">
        <w:t xml:space="preserve">reserves </w:t>
      </w:r>
      <w:r w:rsidR="00750831">
        <w:rPr>
          <w:lang w:eastAsia="ja-JP"/>
        </w:rPr>
        <w:t>$</w:t>
      </w:r>
      <w:r w:rsidR="00D12F81">
        <w:rPr>
          <w:lang w:eastAsia="ja-JP"/>
        </w:rPr>
        <w:t xml:space="preserve">1.0 million </w:t>
      </w:r>
      <w:r w:rsidR="00D12F81" w:rsidRPr="00B86F2D">
        <w:rPr>
          <w:lang w:eastAsia="ja-JP"/>
        </w:rPr>
        <w:t>over the five years</w:t>
      </w:r>
      <w:r w:rsidR="00D12F81">
        <w:rPr>
          <w:lang w:eastAsia="ja-JP"/>
        </w:rPr>
        <w:t xml:space="preserve"> of the program </w:t>
      </w:r>
      <w:r w:rsidR="00D12F81" w:rsidRPr="00B86F2D">
        <w:rPr>
          <w:lang w:eastAsia="ja-JP"/>
        </w:rPr>
        <w:t>for performance</w:t>
      </w:r>
      <w:r w:rsidR="00D12F81">
        <w:rPr>
          <w:lang w:eastAsia="ja-JP"/>
        </w:rPr>
        <w:t>-</w:t>
      </w:r>
      <w:r w:rsidR="00D12F81" w:rsidRPr="00B86F2D">
        <w:rPr>
          <w:lang w:eastAsia="ja-JP"/>
        </w:rPr>
        <w:t>based payments to the M</w:t>
      </w:r>
      <w:r w:rsidR="00D12F81">
        <w:rPr>
          <w:lang w:eastAsia="ja-JP"/>
        </w:rPr>
        <w:t xml:space="preserve">oH. </w:t>
      </w:r>
      <w:r w:rsidR="004A3C20">
        <w:rPr>
          <w:lang w:eastAsia="ja-JP"/>
        </w:rPr>
        <w:t>T</w:t>
      </w:r>
      <w:r w:rsidR="004A3C20" w:rsidRPr="00B86F2D">
        <w:rPr>
          <w:lang w:eastAsia="ja-JP"/>
        </w:rPr>
        <w:t xml:space="preserve">he </w:t>
      </w:r>
      <w:r w:rsidR="004A3C20">
        <w:rPr>
          <w:lang w:eastAsia="ja-JP"/>
        </w:rPr>
        <w:t xml:space="preserve">Design Document establishes that the </w:t>
      </w:r>
      <w:r w:rsidR="004A3C20" w:rsidRPr="00B86F2D">
        <w:rPr>
          <w:lang w:eastAsia="ja-JP"/>
        </w:rPr>
        <w:t>N</w:t>
      </w:r>
      <w:r w:rsidR="004A3C20">
        <w:rPr>
          <w:lang w:eastAsia="ja-JP"/>
        </w:rPr>
        <w:t xml:space="preserve">HDC will oversight the </w:t>
      </w:r>
      <w:r w:rsidR="004A3C20" w:rsidRPr="00B86F2D">
        <w:rPr>
          <w:lang w:eastAsia="ja-JP"/>
        </w:rPr>
        <w:t xml:space="preserve">performance-based </w:t>
      </w:r>
      <w:r w:rsidR="004A3C20">
        <w:rPr>
          <w:lang w:eastAsia="ja-JP"/>
        </w:rPr>
        <w:t>payments arrangement</w:t>
      </w:r>
      <w:r w:rsidR="004A3C20" w:rsidRPr="00B86F2D">
        <w:rPr>
          <w:lang w:eastAsia="ja-JP"/>
        </w:rPr>
        <w:t>.</w:t>
      </w:r>
      <w:r w:rsidR="004A3C20">
        <w:rPr>
          <w:lang w:eastAsia="ja-JP"/>
        </w:rPr>
        <w:t xml:space="preserve"> P</w:t>
      </w:r>
      <w:r w:rsidR="00D12F81">
        <w:rPr>
          <w:lang w:eastAsia="ja-JP"/>
        </w:rPr>
        <w:t xml:space="preserve">erformance-based payments are to </w:t>
      </w:r>
      <w:r w:rsidR="00D12F81" w:rsidRPr="00715D15">
        <w:rPr>
          <w:noProof/>
          <w:lang w:eastAsia="ja-JP"/>
        </w:rPr>
        <w:t>be allocated</w:t>
      </w:r>
      <w:r w:rsidR="00D12F81" w:rsidRPr="00B86F2D">
        <w:rPr>
          <w:lang w:eastAsia="ja-JP"/>
        </w:rPr>
        <w:t xml:space="preserve"> in two ways:</w:t>
      </w:r>
    </w:p>
    <w:p w14:paraId="5C1D03EF" w14:textId="77777777" w:rsidR="00D12F81" w:rsidRPr="00B86F2D" w:rsidRDefault="00D12F81" w:rsidP="00896F52">
      <w:pPr>
        <w:pStyle w:val="ListParagraph"/>
        <w:numPr>
          <w:ilvl w:val="0"/>
          <w:numId w:val="21"/>
        </w:numPr>
        <w:spacing w:after="120"/>
        <w:ind w:left="714" w:hanging="357"/>
        <w:contextualSpacing w:val="0"/>
        <w:rPr>
          <w:lang w:eastAsia="ja-JP"/>
        </w:rPr>
      </w:pPr>
      <w:r w:rsidRPr="00B86F2D">
        <w:rPr>
          <w:lang w:eastAsia="ja-JP"/>
        </w:rPr>
        <w:t xml:space="preserve">Up to </w:t>
      </w:r>
      <w:r w:rsidR="00750831">
        <w:rPr>
          <w:lang w:eastAsia="ja-JP"/>
        </w:rPr>
        <w:t>$</w:t>
      </w:r>
      <w:r w:rsidRPr="00B86F2D">
        <w:rPr>
          <w:lang w:eastAsia="ja-JP"/>
        </w:rPr>
        <w:t>600,000 allocated by a sma</w:t>
      </w:r>
      <w:r>
        <w:rPr>
          <w:lang w:eastAsia="ja-JP"/>
        </w:rPr>
        <w:t xml:space="preserve">ll team of </w:t>
      </w:r>
      <w:r w:rsidR="009505C2">
        <w:rPr>
          <w:lang w:eastAsia="ja-JP"/>
        </w:rPr>
        <w:t xml:space="preserve">three to four </w:t>
      </w:r>
      <w:r>
        <w:rPr>
          <w:lang w:eastAsia="ja-JP"/>
        </w:rPr>
        <w:t xml:space="preserve">senior managers </w:t>
      </w:r>
      <w:r w:rsidRPr="00B86F2D">
        <w:rPr>
          <w:lang w:eastAsia="ja-JP"/>
        </w:rPr>
        <w:t>including DFAT representation</w:t>
      </w:r>
      <w:r>
        <w:rPr>
          <w:lang w:eastAsia="ja-JP"/>
        </w:rPr>
        <w:t>,</w:t>
      </w:r>
      <w:r w:rsidRPr="00B86F2D">
        <w:rPr>
          <w:lang w:eastAsia="ja-JP"/>
        </w:rPr>
        <w:t xml:space="preserve"> meeting annually in April, based on the </w:t>
      </w:r>
      <w:r>
        <w:rPr>
          <w:lang w:eastAsia="ja-JP"/>
        </w:rPr>
        <w:t xml:space="preserve">MoH </w:t>
      </w:r>
      <w:r w:rsidRPr="00B86F2D">
        <w:rPr>
          <w:lang w:eastAsia="ja-JP"/>
        </w:rPr>
        <w:t>Annual Management Plans and quarterly monitoring reports.</w:t>
      </w:r>
    </w:p>
    <w:p w14:paraId="602CD06C" w14:textId="77777777" w:rsidR="004A3C20" w:rsidRDefault="00D12F81" w:rsidP="00896F52">
      <w:pPr>
        <w:pStyle w:val="ListParagraph"/>
        <w:numPr>
          <w:ilvl w:val="0"/>
          <w:numId w:val="21"/>
        </w:numPr>
        <w:rPr>
          <w:lang w:eastAsia="ja-JP"/>
        </w:rPr>
      </w:pPr>
      <w:r w:rsidRPr="00B86F2D">
        <w:rPr>
          <w:lang w:eastAsia="ja-JP"/>
        </w:rPr>
        <w:t xml:space="preserve">Up to </w:t>
      </w:r>
      <w:r w:rsidR="00750831">
        <w:rPr>
          <w:lang w:eastAsia="ja-JP"/>
        </w:rPr>
        <w:t>$</w:t>
      </w:r>
      <w:r w:rsidRPr="00B86F2D">
        <w:rPr>
          <w:lang w:eastAsia="ja-JP"/>
        </w:rPr>
        <w:t>400,00</w:t>
      </w:r>
      <w:r>
        <w:rPr>
          <w:lang w:eastAsia="ja-JP"/>
        </w:rPr>
        <w:t>0 based on the findings of the mid-term evaluation and the end-of-program evaluation</w:t>
      </w:r>
      <w:r w:rsidR="00E9434E">
        <w:rPr>
          <w:lang w:eastAsia="ja-JP"/>
        </w:rPr>
        <w:t xml:space="preserve">. </w:t>
      </w:r>
      <w:r w:rsidR="00E9434E" w:rsidRPr="00B86F2D">
        <w:rPr>
          <w:lang w:eastAsia="ja-JP"/>
        </w:rPr>
        <w:t>The process for awarding th</w:t>
      </w:r>
      <w:r w:rsidR="00E9434E">
        <w:rPr>
          <w:lang w:eastAsia="ja-JP"/>
        </w:rPr>
        <w:t>e</w:t>
      </w:r>
      <w:r w:rsidR="00E9434E" w:rsidRPr="00B86F2D">
        <w:rPr>
          <w:lang w:eastAsia="ja-JP"/>
        </w:rPr>
        <w:t xml:space="preserve"> $400,000</w:t>
      </w:r>
      <w:r w:rsidR="009505C2">
        <w:rPr>
          <w:lang w:eastAsia="ja-JP"/>
        </w:rPr>
        <w:t xml:space="preserve"> </w:t>
      </w:r>
      <w:r w:rsidR="004A3C20">
        <w:rPr>
          <w:lang w:eastAsia="ja-JP"/>
        </w:rPr>
        <w:t xml:space="preserve">to be agreed in advance of the mid-term evaluation by a panel chaired by the </w:t>
      </w:r>
      <w:r w:rsidR="00E9434E" w:rsidRPr="00B86F2D">
        <w:rPr>
          <w:lang w:eastAsia="ja-JP"/>
        </w:rPr>
        <w:t>Minister of Health</w:t>
      </w:r>
      <w:r w:rsidR="004A3C20">
        <w:rPr>
          <w:lang w:eastAsia="ja-JP"/>
        </w:rPr>
        <w:t>.</w:t>
      </w:r>
    </w:p>
    <w:p w14:paraId="3244AEF4" w14:textId="77777777" w:rsidR="005A035A" w:rsidRDefault="004A3C20" w:rsidP="00D12F81">
      <w:pPr>
        <w:rPr>
          <w:lang w:eastAsia="ja-JP"/>
        </w:rPr>
      </w:pPr>
      <w:r>
        <w:rPr>
          <w:lang w:eastAsia="ja-JP"/>
        </w:rPr>
        <w:t xml:space="preserve">The Design Document sets out eight indicators for the mid-term payment, which are </w:t>
      </w:r>
      <w:r w:rsidR="009D7723">
        <w:rPr>
          <w:lang w:eastAsia="ja-JP"/>
        </w:rPr>
        <w:t xml:space="preserve">additional to and </w:t>
      </w:r>
      <w:r>
        <w:rPr>
          <w:lang w:eastAsia="ja-JP"/>
        </w:rPr>
        <w:t xml:space="preserve">independent of the </w:t>
      </w:r>
      <w:r w:rsidR="00921540">
        <w:rPr>
          <w:lang w:eastAsia="ja-JP"/>
        </w:rPr>
        <w:t xml:space="preserve">76 </w:t>
      </w:r>
      <w:r>
        <w:rPr>
          <w:lang w:eastAsia="ja-JP"/>
        </w:rPr>
        <w:t xml:space="preserve">THSSP2 M&amp;E Framework </w:t>
      </w:r>
      <w:r w:rsidR="009D7723">
        <w:rPr>
          <w:lang w:eastAsia="ja-JP"/>
        </w:rPr>
        <w:t>indicators</w:t>
      </w:r>
      <w:r w:rsidR="00921540">
        <w:rPr>
          <w:lang w:eastAsia="ja-JP"/>
        </w:rPr>
        <w:t>, 200+ National Health Strategic Plan KPIs, and 38 national health indicators</w:t>
      </w:r>
      <w:r>
        <w:rPr>
          <w:lang w:eastAsia="ja-JP"/>
        </w:rPr>
        <w:t xml:space="preserve">. The indicators for the mid-term payment are not defined using explicit language, </w:t>
      </w:r>
      <w:r w:rsidR="009D7723">
        <w:rPr>
          <w:lang w:eastAsia="ja-JP"/>
        </w:rPr>
        <w:t xml:space="preserve">and so it appears that the Design Document anticipated that any subjectivity would </w:t>
      </w:r>
      <w:r w:rsidR="009D7723" w:rsidRPr="00715D15">
        <w:rPr>
          <w:noProof/>
          <w:lang w:eastAsia="ja-JP"/>
        </w:rPr>
        <w:t xml:space="preserve">be </w:t>
      </w:r>
      <w:r w:rsidR="009505C2" w:rsidRPr="00715D15">
        <w:rPr>
          <w:noProof/>
          <w:lang w:eastAsia="ja-JP"/>
        </w:rPr>
        <w:t>managed</w:t>
      </w:r>
      <w:r w:rsidR="009505C2">
        <w:rPr>
          <w:lang w:eastAsia="ja-JP"/>
        </w:rPr>
        <w:t xml:space="preserve"> through </w:t>
      </w:r>
      <w:r w:rsidR="009D7723">
        <w:rPr>
          <w:lang w:eastAsia="ja-JP"/>
        </w:rPr>
        <w:t xml:space="preserve">NHDC dialogue. </w:t>
      </w:r>
      <w:r w:rsidR="005A035A">
        <w:rPr>
          <w:lang w:eastAsia="ja-JP"/>
        </w:rPr>
        <w:t>The indicators reflect managerial processes such as regular meetings, production of reports, production of THSSP2 M&amp;E data, and progress in areas such as disability and GESI.</w:t>
      </w:r>
    </w:p>
    <w:p w14:paraId="0FF899D0" w14:textId="77777777" w:rsidR="00110E80" w:rsidRDefault="005A035A" w:rsidP="004A3C20">
      <w:r>
        <w:rPr>
          <w:lang w:eastAsia="ja-JP"/>
        </w:rPr>
        <w:t xml:space="preserve">In practice, the NHDC has not provided program oversight </w:t>
      </w:r>
      <w:r w:rsidRPr="00715D15">
        <w:rPr>
          <w:noProof/>
          <w:lang w:eastAsia="ja-JP"/>
        </w:rPr>
        <w:t>and</w:t>
      </w:r>
      <w:r>
        <w:rPr>
          <w:lang w:eastAsia="ja-JP"/>
        </w:rPr>
        <w:t xml:space="preserve"> there has not been </w:t>
      </w:r>
      <w:r w:rsidRPr="00715D15">
        <w:rPr>
          <w:noProof/>
          <w:lang w:eastAsia="ja-JP"/>
        </w:rPr>
        <w:t>committee</w:t>
      </w:r>
      <w:r>
        <w:rPr>
          <w:lang w:eastAsia="ja-JP"/>
        </w:rPr>
        <w:t xml:space="preserve"> or panel discussion</w:t>
      </w:r>
      <w:r w:rsidR="00715D15">
        <w:rPr>
          <w:lang w:eastAsia="ja-JP"/>
        </w:rPr>
        <w:t>s</w:t>
      </w:r>
      <w:r>
        <w:rPr>
          <w:lang w:eastAsia="ja-JP"/>
        </w:rPr>
        <w:t xml:space="preserve"> on the mid-term payment. It appears that t</w:t>
      </w:r>
      <w:r w:rsidR="00C6520A">
        <w:t xml:space="preserve">he process by which the MoH and DFAT were intended to discuss the payment was probably as critical to </w:t>
      </w:r>
      <w:r w:rsidR="00715D15">
        <w:t>‘</w:t>
      </w:r>
      <w:r w:rsidR="00C6520A">
        <w:t>incentivisation</w:t>
      </w:r>
      <w:r w:rsidR="00715D15">
        <w:t>’</w:t>
      </w:r>
      <w:r w:rsidR="00C6520A">
        <w:t xml:space="preserve"> as the payment itself.</w:t>
      </w:r>
      <w:r>
        <w:t xml:space="preserve"> The evaluation team considered that there was no evidence of </w:t>
      </w:r>
      <w:r w:rsidR="00715D15">
        <w:t>‘</w:t>
      </w:r>
      <w:r>
        <w:t>incentivisation</w:t>
      </w:r>
      <w:r w:rsidR="00715D15">
        <w:t>’</w:t>
      </w:r>
      <w:r>
        <w:t xml:space="preserve"> having occurred</w:t>
      </w:r>
      <w:r w:rsidR="00110E80">
        <w:t>, most likely due to:</w:t>
      </w:r>
    </w:p>
    <w:p w14:paraId="4F318BDD" w14:textId="77777777" w:rsidR="00C6520A" w:rsidRDefault="00110E80" w:rsidP="00896F52">
      <w:pPr>
        <w:pStyle w:val="ListParagraph"/>
        <w:numPr>
          <w:ilvl w:val="0"/>
          <w:numId w:val="22"/>
        </w:numPr>
        <w:spacing w:after="120"/>
        <w:ind w:left="714" w:hanging="357"/>
        <w:contextualSpacing w:val="0"/>
      </w:pPr>
      <w:r>
        <w:lastRenderedPageBreak/>
        <w:t xml:space="preserve">the confounding and counterproductive effect of having far too many indicators </w:t>
      </w:r>
      <w:r w:rsidR="00200E03">
        <w:t xml:space="preserve">to measure </w:t>
      </w:r>
      <w:r>
        <w:t>sector</w:t>
      </w:r>
      <w:r w:rsidR="00200E03">
        <w:t xml:space="preserve"> performance</w:t>
      </w:r>
      <w:r w:rsidR="007E02FF">
        <w:t xml:space="preserve"> (see </w:t>
      </w:r>
      <w:r w:rsidR="007E02FF" w:rsidRPr="00AD46A6">
        <w:rPr>
          <w:b/>
        </w:rPr>
        <w:t>Annex</w:t>
      </w:r>
      <w:r w:rsidR="00E652E3" w:rsidRPr="00AD46A6">
        <w:rPr>
          <w:b/>
        </w:rPr>
        <w:t xml:space="preserve"> D</w:t>
      </w:r>
      <w:r w:rsidR="007E02FF">
        <w:t>)</w:t>
      </w:r>
    </w:p>
    <w:p w14:paraId="3ACF8C2E" w14:textId="77777777" w:rsidR="00110E80" w:rsidRDefault="00110E80" w:rsidP="00896F52">
      <w:pPr>
        <w:pStyle w:val="ListParagraph"/>
        <w:numPr>
          <w:ilvl w:val="0"/>
          <w:numId w:val="22"/>
        </w:numPr>
        <w:spacing w:after="120"/>
        <w:ind w:left="714" w:hanging="357"/>
        <w:contextualSpacing w:val="0"/>
      </w:pPr>
      <w:r>
        <w:t>a lack of dialogue between MoH and DFAT on performance and performance-based payments, and</w:t>
      </w:r>
    </w:p>
    <w:p w14:paraId="474193F5" w14:textId="77777777" w:rsidR="00D47CB8" w:rsidRDefault="00110E80" w:rsidP="00896F52">
      <w:pPr>
        <w:pStyle w:val="ListParagraph"/>
        <w:numPr>
          <w:ilvl w:val="0"/>
          <w:numId w:val="22"/>
        </w:numPr>
      </w:pPr>
      <w:r>
        <w:t>the general failure of THSSP2, in design and implementation, to reflect available capacity</w:t>
      </w:r>
      <w:r w:rsidR="00305CC0">
        <w:t xml:space="preserve"> (as detailed under ‘Strategic planning’ and </w:t>
      </w:r>
      <w:r w:rsidR="00760392">
        <w:t>‘</w:t>
      </w:r>
      <w:r w:rsidR="00305CC0">
        <w:t>Annual planning’)</w:t>
      </w:r>
      <w:r>
        <w:t>.</w:t>
      </w:r>
    </w:p>
    <w:p w14:paraId="39D5F047" w14:textId="77777777" w:rsidR="00110E80" w:rsidRPr="00D91469" w:rsidRDefault="006823DF" w:rsidP="0049337F">
      <w:pPr>
        <w:pStyle w:val="Heading3"/>
      </w:pPr>
      <w:bookmarkStart w:id="54" w:name="_Toc536205454"/>
      <w:r>
        <w:t>3.2.6</w:t>
      </w:r>
      <w:r>
        <w:tab/>
      </w:r>
      <w:r w:rsidR="00110E80">
        <w:t>C</w:t>
      </w:r>
      <w:r w:rsidR="00110E80" w:rsidRPr="00D91469">
        <w:t>apacity development</w:t>
      </w:r>
      <w:bookmarkEnd w:id="54"/>
    </w:p>
    <w:p w14:paraId="5F6F9833" w14:textId="77777777" w:rsidR="008E10E1" w:rsidRDefault="008E10E1" w:rsidP="008E10E1">
      <w:pPr>
        <w:rPr>
          <w:lang w:eastAsia="en-GB"/>
        </w:rPr>
      </w:pPr>
      <w:r w:rsidRPr="00030F47">
        <w:rPr>
          <w:lang w:eastAsia="en-GB"/>
        </w:rPr>
        <w:t xml:space="preserve">The THSSP2 Design Document </w:t>
      </w:r>
      <w:r>
        <w:rPr>
          <w:lang w:eastAsia="en-GB"/>
        </w:rPr>
        <w:t>implies health sector capacity development under the program will occur through three mechanisms – GoT central agency support; direct DFAT engagement; and technical assistance.</w:t>
      </w:r>
    </w:p>
    <w:p w14:paraId="572ED682" w14:textId="77777777" w:rsidR="008E10E1" w:rsidRPr="00715D15" w:rsidRDefault="008E10E1" w:rsidP="008E10E1">
      <w:pPr>
        <w:spacing w:after="0"/>
        <w:rPr>
          <w:i/>
          <w:lang w:eastAsia="en-GB"/>
        </w:rPr>
      </w:pPr>
      <w:r w:rsidRPr="00715D15">
        <w:rPr>
          <w:i/>
          <w:lang w:eastAsia="en-GB"/>
        </w:rPr>
        <w:t xml:space="preserve">GoT </w:t>
      </w:r>
      <w:r w:rsidR="00CA1876" w:rsidRPr="00715D15">
        <w:rPr>
          <w:i/>
          <w:lang w:eastAsia="en-GB"/>
        </w:rPr>
        <w:t>c</w:t>
      </w:r>
      <w:r w:rsidRPr="00715D15">
        <w:rPr>
          <w:i/>
          <w:lang w:eastAsia="en-GB"/>
        </w:rPr>
        <w:t xml:space="preserve">entral </w:t>
      </w:r>
      <w:r w:rsidR="00535E4C" w:rsidRPr="00715D15">
        <w:rPr>
          <w:i/>
          <w:lang w:eastAsia="en-GB"/>
        </w:rPr>
        <w:t>agency support</w:t>
      </w:r>
    </w:p>
    <w:p w14:paraId="3AE82E57" w14:textId="77777777" w:rsidR="008E10E1" w:rsidRDefault="008E10E1" w:rsidP="008E10E1">
      <w:r w:rsidRPr="00EF199E">
        <w:rPr>
          <w:noProof/>
        </w:rPr>
        <w:t>In relation to</w:t>
      </w:r>
      <w:r>
        <w:t xml:space="preserve"> health systems strengthening, the</w:t>
      </w:r>
      <w:r w:rsidRPr="005B570F">
        <w:t xml:space="preserve"> THSSP2 </w:t>
      </w:r>
      <w:r>
        <w:t xml:space="preserve">program </w:t>
      </w:r>
      <w:r w:rsidRPr="005B570F">
        <w:t xml:space="preserve">design </w:t>
      </w:r>
      <w:r>
        <w:t xml:space="preserve">is only able </w:t>
      </w:r>
      <w:r w:rsidRPr="00EF199E">
        <w:rPr>
          <w:noProof/>
        </w:rPr>
        <w:t>to directly address the capacity of individuals within MoH and TongaHealth</w:t>
      </w:r>
      <w:r>
        <w:t xml:space="preserve">. </w:t>
      </w:r>
      <w:r w:rsidRPr="00EF199E">
        <w:rPr>
          <w:noProof/>
        </w:rPr>
        <w:t xml:space="preserve">In the context of a centralised system of government, the institutional capacities of MoH and TongaHealth </w:t>
      </w:r>
      <w:r w:rsidR="00C244F9" w:rsidRPr="00EF199E">
        <w:rPr>
          <w:noProof/>
        </w:rPr>
        <w:t xml:space="preserve">(to a lesser extent because it is not a line ministry, but it is subject to the same public accountability requirements and it exists within the public sector culture) </w:t>
      </w:r>
      <w:r w:rsidRPr="00EF199E">
        <w:rPr>
          <w:noProof/>
        </w:rPr>
        <w:t>are dependent on the central agencies (MOF, NPO, and PSC), as described earlier in this report.</w:t>
      </w:r>
      <w:r>
        <w:t xml:space="preserve"> </w:t>
      </w:r>
      <w:r w:rsidR="00200E03">
        <w:t xml:space="preserve">The THSSP2 Design Document </w:t>
      </w:r>
      <w:r>
        <w:t>acknowledge</w:t>
      </w:r>
      <w:r w:rsidR="00200E03">
        <w:t>s</w:t>
      </w:r>
      <w:r>
        <w:t xml:space="preserve"> that </w:t>
      </w:r>
      <w:r w:rsidR="00760392">
        <w:t>‘</w:t>
      </w:r>
      <w:r>
        <w:t>f</w:t>
      </w:r>
      <w:r w:rsidRPr="00FF6679">
        <w:t>or systems to improve in the M</w:t>
      </w:r>
      <w:r>
        <w:t>o</w:t>
      </w:r>
      <w:r w:rsidRPr="00FF6679">
        <w:t>H improvements also need to be made in other ministries and agencies, notably the Ministry of Finance</w:t>
      </w:r>
      <w:r>
        <w:t>.</w:t>
      </w:r>
      <w:r w:rsidR="00760392">
        <w:t>’</w:t>
      </w:r>
      <w:r w:rsidRPr="00FF6679">
        <w:t xml:space="preserve"> </w:t>
      </w:r>
      <w:r w:rsidRPr="00EF199E">
        <w:rPr>
          <w:noProof/>
        </w:rPr>
        <w:t>With regard to</w:t>
      </w:r>
      <w:r w:rsidRPr="005B570F">
        <w:t xml:space="preserve"> institutional capacities, for whatever </w:t>
      </w:r>
      <w:r>
        <w:t xml:space="preserve">historical, </w:t>
      </w:r>
      <w:r w:rsidRPr="005B570F">
        <w:t>political</w:t>
      </w:r>
      <w:r>
        <w:t xml:space="preserve">, </w:t>
      </w:r>
      <w:r w:rsidRPr="005B570F">
        <w:t xml:space="preserve">social, </w:t>
      </w:r>
      <w:r>
        <w:t xml:space="preserve">and </w:t>
      </w:r>
      <w:r w:rsidRPr="005B570F">
        <w:t>cultural reasons</w:t>
      </w:r>
      <w:r>
        <w:t>,</w:t>
      </w:r>
      <w:r w:rsidRPr="005B570F">
        <w:t xml:space="preserve"> </w:t>
      </w:r>
      <w:r>
        <w:t xml:space="preserve">there is not a </w:t>
      </w:r>
      <w:r w:rsidRPr="005B570F">
        <w:t>strong culture of inter-</w:t>
      </w:r>
      <w:r>
        <w:t>ministry working</w:t>
      </w:r>
      <w:r w:rsidRPr="005B570F">
        <w:t xml:space="preserve">. </w:t>
      </w:r>
      <w:r>
        <w:t>Discussions between DFAT and the evaluation team have recognised these system constraints and the potential contribution of DFAT’s general government activities such as the Joint Policy Reform Program – but this will take time to show benefits.</w:t>
      </w:r>
    </w:p>
    <w:p w14:paraId="784695C5" w14:textId="77777777" w:rsidR="008E10E1" w:rsidRPr="00EF199E" w:rsidRDefault="008E10E1" w:rsidP="008E10E1">
      <w:pPr>
        <w:spacing w:after="0"/>
        <w:rPr>
          <w:i/>
          <w:lang w:eastAsia="en-GB"/>
        </w:rPr>
      </w:pPr>
      <w:r w:rsidRPr="00EF199E">
        <w:rPr>
          <w:i/>
          <w:lang w:eastAsia="en-GB"/>
        </w:rPr>
        <w:t xml:space="preserve">DFAT </w:t>
      </w:r>
      <w:r w:rsidR="00CA1876" w:rsidRPr="00EF199E">
        <w:rPr>
          <w:i/>
          <w:lang w:eastAsia="en-GB"/>
        </w:rPr>
        <w:t>e</w:t>
      </w:r>
      <w:r w:rsidRPr="00EF199E">
        <w:rPr>
          <w:i/>
          <w:lang w:eastAsia="en-GB"/>
        </w:rPr>
        <w:t>ngagement</w:t>
      </w:r>
    </w:p>
    <w:p w14:paraId="46ECA26C" w14:textId="77777777" w:rsidR="008E10E1" w:rsidRDefault="008E10E1" w:rsidP="008E10E1">
      <w:r>
        <w:t>The THSSP2 design appears to intend that DFAT is central to the capacity building process. The design states:</w:t>
      </w:r>
    </w:p>
    <w:p w14:paraId="7F1FECD0" w14:textId="77777777" w:rsidR="008E10E1" w:rsidRPr="00153D28" w:rsidRDefault="00760392" w:rsidP="008E10E1">
      <w:pPr>
        <w:ind w:left="720"/>
        <w:rPr>
          <w:i/>
          <w:lang w:eastAsia="en-GB"/>
        </w:rPr>
      </w:pPr>
      <w:r>
        <w:rPr>
          <w:i/>
        </w:rPr>
        <w:t>‘</w:t>
      </w:r>
      <w:r w:rsidR="008E10E1" w:rsidRPr="00153D28">
        <w:rPr>
          <w:i/>
        </w:rPr>
        <w:t xml:space="preserve">THSSP2 aims to reform and strengthen critical functions related to the governance and management of the health sector, i.e., planning, budgeting and monitoring. As such, it will require sustained engagement from </w:t>
      </w:r>
      <w:r w:rsidR="008E10E1" w:rsidRPr="00EF199E">
        <w:rPr>
          <w:i/>
          <w:noProof/>
        </w:rPr>
        <w:t>a number of</w:t>
      </w:r>
      <w:r w:rsidR="008E10E1" w:rsidRPr="00153D28">
        <w:rPr>
          <w:i/>
        </w:rPr>
        <w:t xml:space="preserve"> people in the DFAT post. DFAT interlocutors will need the capacity and authority to discuss strategic issues with members of the MOH executive; to sustain a policy </w:t>
      </w:r>
      <w:r w:rsidR="008E10E1" w:rsidRPr="00EF199E">
        <w:rPr>
          <w:i/>
          <w:noProof/>
        </w:rPr>
        <w:t>dialog</w:t>
      </w:r>
      <w:r w:rsidR="008E10E1" w:rsidRPr="00153D28">
        <w:rPr>
          <w:i/>
        </w:rPr>
        <w:t xml:space="preserve"> about priorities, equity and the quality of management; and to review progress and work through the inevitable challenges as they arise. DFAT will regularly attend meetings of both the National Health Development Committee and the TongaHealth Board and will contribute to discussions about the direction of the work-plans and specific funding requests.</w:t>
      </w:r>
      <w:r>
        <w:rPr>
          <w:i/>
        </w:rPr>
        <w:t>’</w:t>
      </w:r>
    </w:p>
    <w:p w14:paraId="06CCD0C4" w14:textId="77777777" w:rsidR="008E10E1" w:rsidRDefault="008E10E1" w:rsidP="008E10E1">
      <w:pPr>
        <w:rPr>
          <w:lang w:eastAsia="en-GB"/>
        </w:rPr>
      </w:pPr>
      <w:r>
        <w:rPr>
          <w:lang w:eastAsia="en-GB"/>
        </w:rPr>
        <w:t>As argued above, the limited functioning of the NHDC in a program governance role has limited the degree to which this form of cap</w:t>
      </w:r>
      <w:r w:rsidR="00200E03">
        <w:rPr>
          <w:lang w:eastAsia="en-GB"/>
        </w:rPr>
        <w:t xml:space="preserve">acity </w:t>
      </w:r>
      <w:r w:rsidR="00417D80">
        <w:rPr>
          <w:lang w:eastAsia="en-GB"/>
        </w:rPr>
        <w:t xml:space="preserve">building </w:t>
      </w:r>
      <w:r w:rsidR="00200E03">
        <w:rPr>
          <w:lang w:eastAsia="en-GB"/>
        </w:rPr>
        <w:t>engagement has occurred</w:t>
      </w:r>
      <w:r w:rsidR="00F565A7">
        <w:rPr>
          <w:lang w:eastAsia="en-GB"/>
        </w:rPr>
        <w:t xml:space="preserve"> directly</w:t>
      </w:r>
      <w:r w:rsidR="00200E03">
        <w:rPr>
          <w:lang w:eastAsia="en-GB"/>
        </w:rPr>
        <w:t xml:space="preserve">. </w:t>
      </w:r>
      <w:r>
        <w:rPr>
          <w:lang w:eastAsia="en-GB"/>
        </w:rPr>
        <w:t>Similarly, the lack of a</w:t>
      </w:r>
      <w:r w:rsidR="00DB30F0">
        <w:rPr>
          <w:lang w:eastAsia="en-GB"/>
        </w:rPr>
        <w:t xml:space="preserve"> clear</w:t>
      </w:r>
      <w:r w:rsidR="00460C29">
        <w:rPr>
          <w:lang w:eastAsia="en-GB"/>
        </w:rPr>
        <w:t xml:space="preserve"> link between the </w:t>
      </w:r>
      <w:r>
        <w:rPr>
          <w:lang w:eastAsia="en-GB"/>
        </w:rPr>
        <w:t>sector strategic plan</w:t>
      </w:r>
      <w:r w:rsidR="00460C29">
        <w:rPr>
          <w:lang w:eastAsia="en-GB"/>
        </w:rPr>
        <w:t xml:space="preserve"> and budgeting,</w:t>
      </w:r>
      <w:r>
        <w:rPr>
          <w:lang w:eastAsia="en-GB"/>
        </w:rPr>
        <w:t xml:space="preserve"> and the development of a parallel annual planning process for THSSP2 funds has limited the ability of DFAT staff </w:t>
      </w:r>
      <w:r w:rsidRPr="00EF199E">
        <w:rPr>
          <w:noProof/>
          <w:lang w:eastAsia="en-GB"/>
        </w:rPr>
        <w:t xml:space="preserve">to </w:t>
      </w:r>
      <w:r w:rsidR="00F565A7" w:rsidRPr="00EF199E">
        <w:rPr>
          <w:noProof/>
          <w:lang w:eastAsia="en-GB"/>
        </w:rPr>
        <w:t xml:space="preserve">directly </w:t>
      </w:r>
      <w:r w:rsidRPr="00EF199E">
        <w:rPr>
          <w:noProof/>
          <w:lang w:eastAsia="en-GB"/>
        </w:rPr>
        <w:t>engage with</w:t>
      </w:r>
      <w:r>
        <w:rPr>
          <w:lang w:eastAsia="en-GB"/>
        </w:rPr>
        <w:t xml:space="preserve"> and influence the direction and use </w:t>
      </w:r>
      <w:r w:rsidR="00200E03">
        <w:rPr>
          <w:lang w:eastAsia="en-GB"/>
        </w:rPr>
        <w:t>of GoT health sector resources.</w:t>
      </w:r>
      <w:r w:rsidR="00F565A7" w:rsidRPr="00EF199E">
        <w:rPr>
          <w:noProof/>
          <w:lang w:eastAsia="en-GB"/>
        </w:rPr>
        <w:t>Despite the fact that</w:t>
      </w:r>
      <w:r w:rsidR="00F565A7">
        <w:rPr>
          <w:lang w:eastAsia="en-GB"/>
        </w:rPr>
        <w:t xml:space="preserve"> </w:t>
      </w:r>
      <w:r w:rsidR="00417D80">
        <w:rPr>
          <w:lang w:eastAsia="en-GB"/>
        </w:rPr>
        <w:t xml:space="preserve">DFAT’s engagement has </w:t>
      </w:r>
      <w:r w:rsidR="00F565A7">
        <w:rPr>
          <w:lang w:eastAsia="en-GB"/>
        </w:rPr>
        <w:t xml:space="preserve">not been possible in the manner envisaged in the original </w:t>
      </w:r>
      <w:r w:rsidR="003D6E08">
        <w:rPr>
          <w:lang w:eastAsia="en-GB"/>
        </w:rPr>
        <w:t>Design Document, there is</w:t>
      </w:r>
      <w:r w:rsidR="00F565A7">
        <w:rPr>
          <w:lang w:eastAsia="en-GB"/>
        </w:rPr>
        <w:t xml:space="preserve"> evidence of a positive impact of Australian aid through both phases of THSSP on improving how health sector resources </w:t>
      </w:r>
      <w:r w:rsidR="00F565A7" w:rsidRPr="00EF199E">
        <w:rPr>
          <w:noProof/>
          <w:lang w:eastAsia="en-GB"/>
        </w:rPr>
        <w:t>are deployed</w:t>
      </w:r>
      <w:r w:rsidR="00417D80">
        <w:rPr>
          <w:lang w:eastAsia="en-GB"/>
        </w:rPr>
        <w:t>:</w:t>
      </w:r>
    </w:p>
    <w:p w14:paraId="7A71A393" w14:textId="77777777" w:rsidR="00417D80" w:rsidRDefault="00417D80" w:rsidP="00896F52">
      <w:pPr>
        <w:pStyle w:val="ListParagraph"/>
        <w:numPr>
          <w:ilvl w:val="0"/>
          <w:numId w:val="43"/>
        </w:numPr>
        <w:spacing w:after="120"/>
        <w:ind w:left="714" w:hanging="357"/>
        <w:contextualSpacing w:val="0"/>
        <w:rPr>
          <w:lang w:eastAsia="en-GB"/>
        </w:rPr>
      </w:pPr>
      <w:r>
        <w:rPr>
          <w:lang w:eastAsia="en-GB"/>
        </w:rPr>
        <w:lastRenderedPageBreak/>
        <w:t xml:space="preserve">MoH has sustained and increased </w:t>
      </w:r>
      <w:r w:rsidR="0093705A">
        <w:rPr>
          <w:lang w:eastAsia="en-GB"/>
        </w:rPr>
        <w:t xml:space="preserve">GoT-financed </w:t>
      </w:r>
      <w:r>
        <w:rPr>
          <w:lang w:eastAsia="en-GB"/>
        </w:rPr>
        <w:t>budget allocations for the Public Health Division</w:t>
      </w:r>
      <w:r w:rsidR="00E42377">
        <w:rPr>
          <w:lang w:eastAsia="en-GB"/>
        </w:rPr>
        <w:t xml:space="preserve"> </w:t>
      </w:r>
      <w:r w:rsidR="00E42377" w:rsidRPr="00EF199E">
        <w:rPr>
          <w:noProof/>
          <w:lang w:eastAsia="en-GB"/>
        </w:rPr>
        <w:t xml:space="preserve">over the </w:t>
      </w:r>
      <w:r w:rsidR="0093705A" w:rsidRPr="00EF199E">
        <w:rPr>
          <w:noProof/>
          <w:lang w:eastAsia="en-GB"/>
        </w:rPr>
        <w:t>duration of</w:t>
      </w:r>
      <w:r w:rsidR="0093705A">
        <w:rPr>
          <w:lang w:eastAsia="en-GB"/>
        </w:rPr>
        <w:t xml:space="preserve"> </w:t>
      </w:r>
      <w:r w:rsidR="00E42377">
        <w:rPr>
          <w:lang w:eastAsia="en-GB"/>
        </w:rPr>
        <w:t>THSSP2 to date</w:t>
      </w:r>
    </w:p>
    <w:p w14:paraId="749D3D54" w14:textId="77777777" w:rsidR="00417D80" w:rsidRDefault="00417D80" w:rsidP="00896F52">
      <w:pPr>
        <w:pStyle w:val="ListParagraph"/>
        <w:numPr>
          <w:ilvl w:val="0"/>
          <w:numId w:val="43"/>
        </w:numPr>
        <w:spacing w:after="120"/>
        <w:ind w:left="714" w:hanging="357"/>
        <w:contextualSpacing w:val="0"/>
        <w:rPr>
          <w:lang w:eastAsia="en-GB"/>
        </w:rPr>
      </w:pPr>
      <w:r>
        <w:rPr>
          <w:lang w:eastAsia="en-GB"/>
        </w:rPr>
        <w:t xml:space="preserve">key decision-makers in the health sector have actively engaged in </w:t>
      </w:r>
      <w:r w:rsidRPr="00EF199E">
        <w:rPr>
          <w:noProof/>
          <w:lang w:eastAsia="en-GB"/>
        </w:rPr>
        <w:t>discussion</w:t>
      </w:r>
      <w:r>
        <w:rPr>
          <w:lang w:eastAsia="en-GB"/>
        </w:rPr>
        <w:t xml:space="preserve"> on THSSP2 priorities such as strengthening </w:t>
      </w:r>
      <w:r w:rsidR="00E42377">
        <w:rPr>
          <w:lang w:eastAsia="en-GB"/>
        </w:rPr>
        <w:t>the referral system and improving NCD management, and</w:t>
      </w:r>
    </w:p>
    <w:p w14:paraId="4F46B454" w14:textId="77777777" w:rsidR="00417D80" w:rsidRDefault="00417D80" w:rsidP="00896F52">
      <w:pPr>
        <w:pStyle w:val="ListParagraph"/>
        <w:numPr>
          <w:ilvl w:val="0"/>
          <w:numId w:val="43"/>
        </w:numPr>
        <w:rPr>
          <w:lang w:eastAsia="en-GB"/>
        </w:rPr>
      </w:pPr>
      <w:r>
        <w:rPr>
          <w:lang w:eastAsia="en-GB"/>
        </w:rPr>
        <w:t xml:space="preserve">the MoH has developed the PEHS, which represents </w:t>
      </w:r>
      <w:r w:rsidR="00E42377">
        <w:rPr>
          <w:lang w:eastAsia="en-GB"/>
        </w:rPr>
        <w:t xml:space="preserve">the </w:t>
      </w:r>
      <w:r>
        <w:rPr>
          <w:lang w:eastAsia="en-GB"/>
        </w:rPr>
        <w:t xml:space="preserve">formal policy adoption of </w:t>
      </w:r>
      <w:r w:rsidR="00E42377">
        <w:rPr>
          <w:lang w:eastAsia="en-GB"/>
        </w:rPr>
        <w:t>many of the key</w:t>
      </w:r>
      <w:r>
        <w:rPr>
          <w:lang w:eastAsia="en-GB"/>
        </w:rPr>
        <w:t xml:space="preserve"> priorities</w:t>
      </w:r>
      <w:r w:rsidR="00E42377">
        <w:rPr>
          <w:lang w:eastAsia="en-GB"/>
        </w:rPr>
        <w:t xml:space="preserve"> of THSSP2</w:t>
      </w:r>
      <w:r>
        <w:rPr>
          <w:lang w:eastAsia="en-GB"/>
        </w:rPr>
        <w:t>.</w:t>
      </w:r>
    </w:p>
    <w:p w14:paraId="6680DB3F" w14:textId="77777777" w:rsidR="00CF5645" w:rsidRDefault="00417D80" w:rsidP="008E10E1">
      <w:pPr>
        <w:rPr>
          <w:lang w:eastAsia="en-GB"/>
        </w:rPr>
      </w:pPr>
      <w:r>
        <w:rPr>
          <w:lang w:eastAsia="en-GB"/>
        </w:rPr>
        <w:t>In the absence of dialogue at the NHDC level, it must be assumed that</w:t>
      </w:r>
      <w:r w:rsidR="00E42377">
        <w:rPr>
          <w:lang w:eastAsia="en-GB"/>
        </w:rPr>
        <w:t xml:space="preserve"> this positive impact is the result of </w:t>
      </w:r>
      <w:r w:rsidR="00B0049E">
        <w:rPr>
          <w:lang w:eastAsia="en-GB"/>
        </w:rPr>
        <w:t xml:space="preserve">multiple concurrent </w:t>
      </w:r>
      <w:r w:rsidR="00E42377">
        <w:rPr>
          <w:lang w:eastAsia="en-GB"/>
        </w:rPr>
        <w:t xml:space="preserve">leverage points including the </w:t>
      </w:r>
      <w:r w:rsidR="00715D15">
        <w:rPr>
          <w:lang w:eastAsia="en-GB"/>
        </w:rPr>
        <w:t>‘</w:t>
      </w:r>
      <w:r w:rsidR="00E42377">
        <w:rPr>
          <w:lang w:eastAsia="en-GB"/>
        </w:rPr>
        <w:t>demonstration effect</w:t>
      </w:r>
      <w:r w:rsidR="00E652E3">
        <w:rPr>
          <w:lang w:eastAsia="en-GB"/>
        </w:rPr>
        <w:t>’</w:t>
      </w:r>
      <w:r w:rsidR="00E42377">
        <w:rPr>
          <w:lang w:eastAsia="en-GB"/>
        </w:rPr>
        <w:t xml:space="preserve"> of program funding support</w:t>
      </w:r>
      <w:r w:rsidR="00A40AF6">
        <w:rPr>
          <w:lang w:eastAsia="en-GB"/>
        </w:rPr>
        <w:t xml:space="preserve"> (which gives the MoH decision-makers the opportunity to see for themselves the benefits of some novel service initiatives)</w:t>
      </w:r>
      <w:r w:rsidR="00E42377">
        <w:rPr>
          <w:lang w:eastAsia="en-GB"/>
        </w:rPr>
        <w:t xml:space="preserve">, the work of embedded technical advisers, and ongoing informal dialogue between MoH and DFAT. </w:t>
      </w:r>
      <w:r w:rsidR="008E10E1">
        <w:rPr>
          <w:lang w:eastAsia="en-GB"/>
        </w:rPr>
        <w:t xml:space="preserve">The role of program-funded annually planned activities on </w:t>
      </w:r>
      <w:r w:rsidR="00B0049E">
        <w:rPr>
          <w:lang w:eastAsia="en-GB"/>
        </w:rPr>
        <w:t xml:space="preserve">strengthening </w:t>
      </w:r>
      <w:r w:rsidR="008E10E1">
        <w:rPr>
          <w:lang w:eastAsia="en-GB"/>
        </w:rPr>
        <w:t>health sector capacity is unclear</w:t>
      </w:r>
      <w:r w:rsidR="00B0049E">
        <w:rPr>
          <w:lang w:eastAsia="en-GB"/>
        </w:rPr>
        <w:t xml:space="preserve"> in the design</w:t>
      </w:r>
      <w:r w:rsidR="008E10E1">
        <w:rPr>
          <w:lang w:eastAsia="en-GB"/>
        </w:rPr>
        <w:t xml:space="preserve">: do these activities </w:t>
      </w:r>
      <w:r w:rsidR="008E10E1" w:rsidRPr="00EF199E">
        <w:rPr>
          <w:noProof/>
          <w:lang w:eastAsia="en-GB"/>
        </w:rPr>
        <w:t>simply</w:t>
      </w:r>
      <w:r w:rsidR="008E10E1">
        <w:rPr>
          <w:lang w:eastAsia="en-GB"/>
        </w:rPr>
        <w:t xml:space="preserve"> increase service delivery capacity by increasing available finance or are they intended to have a </w:t>
      </w:r>
      <w:r w:rsidR="008E10E1" w:rsidRPr="00EF199E">
        <w:rPr>
          <w:noProof/>
          <w:lang w:eastAsia="en-GB"/>
        </w:rPr>
        <w:t>sustainable</w:t>
      </w:r>
      <w:r w:rsidR="00A86B02">
        <w:rPr>
          <w:lang w:eastAsia="en-GB"/>
        </w:rPr>
        <w:t xml:space="preserve"> transformative impact?</w:t>
      </w:r>
    </w:p>
    <w:p w14:paraId="7867ECD4" w14:textId="77777777" w:rsidR="004F6A8F" w:rsidRDefault="00CF5645" w:rsidP="008E10E1">
      <w:pPr>
        <w:rPr>
          <w:lang w:eastAsia="en-GB"/>
        </w:rPr>
      </w:pPr>
      <w:r>
        <w:rPr>
          <w:lang w:eastAsia="en-GB"/>
        </w:rPr>
        <w:t>The evaluation team found that p</w:t>
      </w:r>
      <w:r w:rsidR="00B0049E">
        <w:rPr>
          <w:lang w:eastAsia="en-GB"/>
        </w:rPr>
        <w:t xml:space="preserve">rogram funding (both phases) has been instrumental in strengthening services for the management of diabetes and this has had a demonstration (or </w:t>
      </w:r>
      <w:r w:rsidR="00715D15">
        <w:rPr>
          <w:lang w:eastAsia="en-GB"/>
        </w:rPr>
        <w:t>‘</w:t>
      </w:r>
      <w:r w:rsidR="00B0049E">
        <w:rPr>
          <w:lang w:eastAsia="en-GB"/>
        </w:rPr>
        <w:t xml:space="preserve">proof of concept) effect, in so far as the developments have </w:t>
      </w:r>
      <w:r w:rsidR="00B0049E" w:rsidRPr="00EF199E">
        <w:rPr>
          <w:noProof/>
          <w:lang w:eastAsia="en-GB"/>
        </w:rPr>
        <w:t>been widely acknowledged</w:t>
      </w:r>
      <w:r w:rsidR="00B0049E">
        <w:rPr>
          <w:lang w:eastAsia="en-GB"/>
        </w:rPr>
        <w:t xml:space="preserve"> within the sector as being successful. S</w:t>
      </w:r>
      <w:r w:rsidR="008E10E1">
        <w:rPr>
          <w:lang w:eastAsia="en-GB"/>
        </w:rPr>
        <w:t xml:space="preserve">ome </w:t>
      </w:r>
      <w:r w:rsidR="00B0049E">
        <w:rPr>
          <w:lang w:eastAsia="en-GB"/>
        </w:rPr>
        <w:t xml:space="preserve">other </w:t>
      </w:r>
      <w:r w:rsidR="008E10E1">
        <w:rPr>
          <w:lang w:eastAsia="en-GB"/>
        </w:rPr>
        <w:t xml:space="preserve">program initiatives have provided ‘seed funding’ for strategic </w:t>
      </w:r>
      <w:r w:rsidR="004F6A8F">
        <w:rPr>
          <w:lang w:eastAsia="en-GB"/>
        </w:rPr>
        <w:t xml:space="preserve">developments that </w:t>
      </w:r>
      <w:r w:rsidR="008E10E1">
        <w:rPr>
          <w:lang w:eastAsia="en-GB"/>
        </w:rPr>
        <w:t xml:space="preserve">may be sustainable </w:t>
      </w:r>
      <w:r w:rsidR="00B0049E">
        <w:rPr>
          <w:lang w:eastAsia="en-GB"/>
        </w:rPr>
        <w:t xml:space="preserve">in the future </w:t>
      </w:r>
      <w:r w:rsidR="008E10E1">
        <w:rPr>
          <w:lang w:eastAsia="en-GB"/>
        </w:rPr>
        <w:t xml:space="preserve">under GoT funding (for example, the costs of developing the PEHS document under Phase 2, and training of the first cohort of NCD nurses under Phase 1). These ‘transformative’ investments can </w:t>
      </w:r>
      <w:r w:rsidR="008E10E1" w:rsidRPr="00EF199E">
        <w:rPr>
          <w:noProof/>
          <w:lang w:eastAsia="en-GB"/>
        </w:rPr>
        <w:t>be contrasted</w:t>
      </w:r>
      <w:r w:rsidR="008E10E1">
        <w:rPr>
          <w:lang w:eastAsia="en-GB"/>
        </w:rPr>
        <w:t xml:space="preserve"> with program-fund</w:t>
      </w:r>
      <w:r w:rsidR="00200E03">
        <w:rPr>
          <w:lang w:eastAsia="en-GB"/>
        </w:rPr>
        <w:t>ing</w:t>
      </w:r>
      <w:r w:rsidR="008E10E1">
        <w:rPr>
          <w:lang w:eastAsia="en-GB"/>
        </w:rPr>
        <w:t xml:space="preserve"> that </w:t>
      </w:r>
      <w:r w:rsidR="008E10E1" w:rsidRPr="00EF199E">
        <w:rPr>
          <w:noProof/>
          <w:lang w:eastAsia="en-GB"/>
        </w:rPr>
        <w:t>simply</w:t>
      </w:r>
      <w:r w:rsidR="008E10E1">
        <w:rPr>
          <w:lang w:eastAsia="en-GB"/>
        </w:rPr>
        <w:t xml:space="preserve"> </w:t>
      </w:r>
      <w:r w:rsidR="00B0049E">
        <w:rPr>
          <w:lang w:eastAsia="en-GB"/>
        </w:rPr>
        <w:t xml:space="preserve">supplements </w:t>
      </w:r>
      <w:r w:rsidR="008E10E1">
        <w:rPr>
          <w:lang w:eastAsia="en-GB"/>
        </w:rPr>
        <w:t xml:space="preserve">GoT funding for ordinary </w:t>
      </w:r>
      <w:r w:rsidR="00200E03">
        <w:rPr>
          <w:lang w:eastAsia="en-GB"/>
        </w:rPr>
        <w:t xml:space="preserve">operational </w:t>
      </w:r>
      <w:r w:rsidR="008E10E1">
        <w:rPr>
          <w:lang w:eastAsia="en-GB"/>
        </w:rPr>
        <w:t>service delivery, for example, paying for specialist outreach travel to outer islands, or salary supplementation.</w:t>
      </w:r>
    </w:p>
    <w:p w14:paraId="45F58544" w14:textId="77777777" w:rsidR="008E10E1" w:rsidRDefault="004F6A8F" w:rsidP="008E10E1">
      <w:pPr>
        <w:rPr>
          <w:lang w:eastAsia="en-GB"/>
        </w:rPr>
      </w:pPr>
      <w:r>
        <w:rPr>
          <w:lang w:eastAsia="en-GB"/>
        </w:rPr>
        <w:t xml:space="preserve">The conclusion is that there is evidence that </w:t>
      </w:r>
      <w:r w:rsidR="003D6E08">
        <w:rPr>
          <w:lang w:eastAsia="en-GB"/>
        </w:rPr>
        <w:t>Australian aid has had a positive impact in the health sector generally</w:t>
      </w:r>
      <w:r w:rsidR="00715D15">
        <w:rPr>
          <w:lang w:eastAsia="en-GB"/>
        </w:rPr>
        <w:t>,</w:t>
      </w:r>
      <w:r w:rsidR="003D6E08">
        <w:rPr>
          <w:lang w:eastAsia="en-GB"/>
        </w:rPr>
        <w:t xml:space="preserve"> </w:t>
      </w:r>
      <w:r w:rsidR="003D6E08" w:rsidRPr="00EF199E">
        <w:rPr>
          <w:noProof/>
          <w:lang w:eastAsia="en-GB"/>
        </w:rPr>
        <w:t>but</w:t>
      </w:r>
      <w:r w:rsidR="003D6E08">
        <w:rPr>
          <w:lang w:eastAsia="en-GB"/>
        </w:rPr>
        <w:t xml:space="preserve"> the </w:t>
      </w:r>
      <w:r>
        <w:rPr>
          <w:lang w:eastAsia="en-GB"/>
        </w:rPr>
        <w:t xml:space="preserve">midterm evaluation was not </w:t>
      </w:r>
      <w:r w:rsidR="003D6E08">
        <w:rPr>
          <w:lang w:eastAsia="en-GB"/>
        </w:rPr>
        <w:t>design</w:t>
      </w:r>
      <w:r>
        <w:rPr>
          <w:lang w:eastAsia="en-GB"/>
        </w:rPr>
        <w:t xml:space="preserve">ed to determine the extent to which </w:t>
      </w:r>
      <w:r w:rsidR="003D6E08" w:rsidRPr="00EF199E">
        <w:rPr>
          <w:noProof/>
          <w:lang w:eastAsia="en-GB"/>
        </w:rPr>
        <w:t>each individual</w:t>
      </w:r>
      <w:r w:rsidR="003D6E08">
        <w:rPr>
          <w:lang w:eastAsia="en-GB"/>
        </w:rPr>
        <w:t xml:space="preserve"> </w:t>
      </w:r>
      <w:r w:rsidR="009B7019">
        <w:rPr>
          <w:lang w:eastAsia="en-GB"/>
        </w:rPr>
        <w:t xml:space="preserve">annually-planned </w:t>
      </w:r>
      <w:r w:rsidR="003D6E08">
        <w:rPr>
          <w:lang w:eastAsia="en-GB"/>
        </w:rPr>
        <w:t>program-funded activity has contributed to capacity development</w:t>
      </w:r>
      <w:r>
        <w:rPr>
          <w:lang w:eastAsia="en-GB"/>
        </w:rPr>
        <w:t xml:space="preserve">. Some of the implementation </w:t>
      </w:r>
      <w:r w:rsidR="003D6E08">
        <w:rPr>
          <w:lang w:eastAsia="en-GB"/>
        </w:rPr>
        <w:t>issu</w:t>
      </w:r>
      <w:r>
        <w:rPr>
          <w:lang w:eastAsia="en-GB"/>
        </w:rPr>
        <w:t xml:space="preserve">es </w:t>
      </w:r>
      <w:r w:rsidR="003D6E08">
        <w:rPr>
          <w:lang w:eastAsia="en-GB"/>
        </w:rPr>
        <w:t xml:space="preserve">in program funding </w:t>
      </w:r>
      <w:r w:rsidRPr="00EF199E">
        <w:rPr>
          <w:noProof/>
          <w:lang w:eastAsia="en-GB"/>
        </w:rPr>
        <w:t>are described</w:t>
      </w:r>
      <w:r>
        <w:rPr>
          <w:lang w:eastAsia="en-GB"/>
        </w:rPr>
        <w:t xml:space="preserve"> in the next section (subchapter 3.3).</w:t>
      </w:r>
      <w:r w:rsidR="0007130E">
        <w:rPr>
          <w:lang w:eastAsia="en-GB"/>
        </w:rPr>
        <w:t xml:space="preserve"> The </w:t>
      </w:r>
      <w:r w:rsidR="00C01098">
        <w:rPr>
          <w:lang w:eastAsia="en-GB"/>
        </w:rPr>
        <w:t>arrangement</w:t>
      </w:r>
      <w:r w:rsidR="0007130E">
        <w:rPr>
          <w:lang w:eastAsia="en-GB"/>
        </w:rPr>
        <w:t xml:space="preserve"> set out in the THSSP2 Design Document</w:t>
      </w:r>
      <w:r w:rsidR="00C01098">
        <w:rPr>
          <w:lang w:eastAsia="en-GB"/>
        </w:rPr>
        <w:t>,</w:t>
      </w:r>
      <w:r w:rsidR="0007130E">
        <w:rPr>
          <w:lang w:eastAsia="en-GB"/>
        </w:rPr>
        <w:t xml:space="preserve"> of integrated MoH and THSSP planning and budgeting, with </w:t>
      </w:r>
      <w:r w:rsidR="00C01098">
        <w:rPr>
          <w:lang w:eastAsia="en-GB"/>
        </w:rPr>
        <w:t xml:space="preserve">DFAT </w:t>
      </w:r>
      <w:r w:rsidR="0007130E">
        <w:rPr>
          <w:lang w:eastAsia="en-GB"/>
        </w:rPr>
        <w:t>dia</w:t>
      </w:r>
      <w:r w:rsidR="00C01098">
        <w:rPr>
          <w:lang w:eastAsia="en-GB"/>
        </w:rPr>
        <w:t xml:space="preserve">logue at the NHDC level, remains an attractive concept that is simply not achievable </w:t>
      </w:r>
      <w:r w:rsidR="00C01098" w:rsidRPr="00EF199E">
        <w:rPr>
          <w:noProof/>
          <w:lang w:eastAsia="en-GB"/>
        </w:rPr>
        <w:t>at this point</w:t>
      </w:r>
      <w:r w:rsidR="00715D15" w:rsidRPr="00EF199E">
        <w:rPr>
          <w:noProof/>
          <w:lang w:eastAsia="en-GB"/>
        </w:rPr>
        <w:t>.</w:t>
      </w:r>
    </w:p>
    <w:p w14:paraId="77064C1B" w14:textId="77777777" w:rsidR="008E10E1" w:rsidRPr="00715D15" w:rsidRDefault="008E10E1" w:rsidP="008E10E1">
      <w:pPr>
        <w:spacing w:after="0"/>
        <w:rPr>
          <w:i/>
          <w:lang w:eastAsia="en-GB"/>
        </w:rPr>
      </w:pPr>
      <w:r w:rsidRPr="00715D15">
        <w:rPr>
          <w:i/>
          <w:lang w:eastAsia="en-GB"/>
        </w:rPr>
        <w:t xml:space="preserve">Technical </w:t>
      </w:r>
      <w:r w:rsidR="00CA1876" w:rsidRPr="00715D15">
        <w:rPr>
          <w:i/>
          <w:lang w:eastAsia="en-GB"/>
        </w:rPr>
        <w:t>a</w:t>
      </w:r>
      <w:r w:rsidRPr="00715D15">
        <w:rPr>
          <w:i/>
          <w:lang w:eastAsia="en-GB"/>
        </w:rPr>
        <w:t>ssistance</w:t>
      </w:r>
    </w:p>
    <w:p w14:paraId="47A28FCF" w14:textId="77777777" w:rsidR="00715D15" w:rsidRDefault="008E10E1" w:rsidP="008E10E1">
      <w:pPr>
        <w:rPr>
          <w:lang w:eastAsia="en-GB"/>
        </w:rPr>
      </w:pPr>
      <w:r>
        <w:rPr>
          <w:lang w:eastAsia="en-GB"/>
        </w:rPr>
        <w:t xml:space="preserve">The THSSP2 design establishes two central </w:t>
      </w:r>
      <w:r w:rsidR="00200E03">
        <w:rPr>
          <w:lang w:eastAsia="en-GB"/>
        </w:rPr>
        <w:t xml:space="preserve">long-term </w:t>
      </w:r>
      <w:r>
        <w:rPr>
          <w:lang w:eastAsia="en-GB"/>
        </w:rPr>
        <w:t xml:space="preserve">advisory roles: a MoH health planner and </w:t>
      </w:r>
      <w:r w:rsidRPr="00EF199E">
        <w:rPr>
          <w:noProof/>
          <w:lang w:eastAsia="en-GB"/>
        </w:rPr>
        <w:t>a TongaHealth</w:t>
      </w:r>
      <w:r>
        <w:rPr>
          <w:lang w:eastAsia="en-GB"/>
        </w:rPr>
        <w:t xml:space="preserve"> health promotio</w:t>
      </w:r>
      <w:r w:rsidR="00200E03">
        <w:rPr>
          <w:lang w:eastAsia="en-GB"/>
        </w:rPr>
        <w:t xml:space="preserve">n and NCD strategy specialist. </w:t>
      </w:r>
      <w:r>
        <w:rPr>
          <w:lang w:eastAsia="en-GB"/>
        </w:rPr>
        <w:t>Short term technical advisory roles are contemplated but not specified</w:t>
      </w:r>
      <w:r w:rsidR="00971EB3">
        <w:rPr>
          <w:lang w:eastAsia="en-GB"/>
        </w:rPr>
        <w:t xml:space="preserve"> in the design</w:t>
      </w:r>
      <w:r>
        <w:rPr>
          <w:lang w:eastAsia="en-GB"/>
        </w:rPr>
        <w:t>. At the time of the mid-term evaluation, th</w:t>
      </w:r>
      <w:r w:rsidR="002C44C5">
        <w:rPr>
          <w:lang w:eastAsia="en-GB"/>
        </w:rPr>
        <w:t>ere was also a DFAT-funded</w:t>
      </w:r>
      <w:r>
        <w:rPr>
          <w:lang w:eastAsia="en-GB"/>
        </w:rPr>
        <w:t xml:space="preserve"> long-term </w:t>
      </w:r>
      <w:r w:rsidR="00200E03">
        <w:rPr>
          <w:lang w:eastAsia="en-GB"/>
        </w:rPr>
        <w:t>procurement and contracts</w:t>
      </w:r>
      <w:r w:rsidR="002C44C5">
        <w:rPr>
          <w:lang w:eastAsia="en-GB"/>
        </w:rPr>
        <w:t xml:space="preserve"> adviser supporting the MoH</w:t>
      </w:r>
      <w:r w:rsidR="00296EFE">
        <w:rPr>
          <w:lang w:eastAsia="en-GB"/>
        </w:rPr>
        <w:t xml:space="preserve">, under DFAT’s </w:t>
      </w:r>
      <w:r w:rsidR="00A60365">
        <w:rPr>
          <w:lang w:eastAsia="en-GB"/>
        </w:rPr>
        <w:t>economic governance program</w:t>
      </w:r>
      <w:r w:rsidR="00200E03">
        <w:rPr>
          <w:lang w:eastAsia="en-GB"/>
        </w:rPr>
        <w:t xml:space="preserve">. </w:t>
      </w:r>
      <w:r w:rsidR="00A60365">
        <w:rPr>
          <w:lang w:eastAsia="en-GB"/>
        </w:rPr>
        <w:t xml:space="preserve">The health planner adviser </w:t>
      </w:r>
      <w:r w:rsidR="00A60365" w:rsidRPr="00EF199E">
        <w:rPr>
          <w:noProof/>
          <w:lang w:eastAsia="en-GB"/>
        </w:rPr>
        <w:t xml:space="preserve">is </w:t>
      </w:r>
      <w:r w:rsidRPr="00EF199E">
        <w:rPr>
          <w:noProof/>
          <w:lang w:eastAsia="en-GB"/>
        </w:rPr>
        <w:t>engaged</w:t>
      </w:r>
      <w:r>
        <w:rPr>
          <w:lang w:eastAsia="en-GB"/>
        </w:rPr>
        <w:t xml:space="preserve"> through the Pacific Technical Advisory Mechanism Phase 2 (PACTAM2) and </w:t>
      </w:r>
      <w:r w:rsidR="00A60365">
        <w:rPr>
          <w:lang w:eastAsia="en-GB"/>
        </w:rPr>
        <w:t>the NCD strategy specialist</w:t>
      </w:r>
      <w:r w:rsidR="00CF5602">
        <w:rPr>
          <w:lang w:eastAsia="en-GB"/>
        </w:rPr>
        <w:t>,</w:t>
      </w:r>
      <w:r w:rsidR="00A60365">
        <w:rPr>
          <w:lang w:eastAsia="en-GB"/>
        </w:rPr>
        <w:t xml:space="preserve"> currently engaged through the Specialist Health Service (SHS)</w:t>
      </w:r>
      <w:r w:rsidR="00CF5602">
        <w:rPr>
          <w:lang w:eastAsia="en-GB"/>
        </w:rPr>
        <w:t>,</w:t>
      </w:r>
      <w:r w:rsidR="00A60365">
        <w:rPr>
          <w:lang w:eastAsia="en-GB"/>
        </w:rPr>
        <w:t xml:space="preserve"> will tra</w:t>
      </w:r>
      <w:r w:rsidR="00A86B02">
        <w:rPr>
          <w:lang w:eastAsia="en-GB"/>
        </w:rPr>
        <w:t>nsfer to PACTAM2 later in 2019.</w:t>
      </w:r>
    </w:p>
    <w:p w14:paraId="4273D689" w14:textId="77777777" w:rsidR="008E10E1" w:rsidRDefault="00A60365" w:rsidP="008E10E1">
      <w:pPr>
        <w:rPr>
          <w:lang w:eastAsia="en-GB"/>
        </w:rPr>
      </w:pPr>
      <w:r>
        <w:rPr>
          <w:lang w:eastAsia="en-GB"/>
        </w:rPr>
        <w:t xml:space="preserve">All </w:t>
      </w:r>
      <w:r w:rsidR="008E10E1">
        <w:rPr>
          <w:lang w:eastAsia="en-GB"/>
        </w:rPr>
        <w:t>roles have a capacity building requirement</w:t>
      </w:r>
      <w:r w:rsidRPr="00EF199E">
        <w:rPr>
          <w:noProof/>
          <w:lang w:eastAsia="en-GB"/>
        </w:rPr>
        <w:t>, however</w:t>
      </w:r>
      <w:r>
        <w:rPr>
          <w:lang w:eastAsia="en-GB"/>
        </w:rPr>
        <w:t xml:space="preserve"> </w:t>
      </w:r>
      <w:r w:rsidR="008E10E1">
        <w:rPr>
          <w:lang w:eastAsia="en-GB"/>
        </w:rPr>
        <w:t>the capacity development potential of the health planner has been diminished by the requirement for that person to administer the parallel THSSP2 annual planning process.</w:t>
      </w:r>
      <w:r w:rsidR="00F42EE5">
        <w:rPr>
          <w:lang w:eastAsia="en-GB"/>
        </w:rPr>
        <w:t xml:space="preserve"> This oversight role of the THSSP2 program has become embedded in the adviser’s role particularly due to an extensive period of working in the in-line role as head of corporate services.</w:t>
      </w:r>
      <w:r w:rsidR="008E10E1">
        <w:rPr>
          <w:lang w:eastAsia="en-GB"/>
        </w:rPr>
        <w:t xml:space="preserve"> The evaluation team understood that due to the period of high staff turnover within TongaHealth, the capacity development potential of the TongaHealth adviser has </w:t>
      </w:r>
      <w:r w:rsidR="00200E03">
        <w:rPr>
          <w:lang w:eastAsia="en-GB"/>
        </w:rPr>
        <w:t xml:space="preserve">also </w:t>
      </w:r>
      <w:r w:rsidR="008E10E1" w:rsidRPr="00EF199E">
        <w:rPr>
          <w:noProof/>
          <w:lang w:eastAsia="en-GB"/>
        </w:rPr>
        <w:t xml:space="preserve">been </w:t>
      </w:r>
      <w:r w:rsidR="008E10E1" w:rsidRPr="00EF199E">
        <w:rPr>
          <w:noProof/>
          <w:lang w:eastAsia="en-GB"/>
        </w:rPr>
        <w:lastRenderedPageBreak/>
        <w:t>diminished</w:t>
      </w:r>
      <w:r w:rsidR="008E10E1">
        <w:rPr>
          <w:lang w:eastAsia="en-GB"/>
        </w:rPr>
        <w:t xml:space="preserve"> by the necessity of performing in-line roles (the adviser acted as CEO during a period when the CEO role was vacant). The evaluation team was not in a position to directly evaluate the capacity building achievements of the individuals who hold the advisory roles.</w:t>
      </w:r>
    </w:p>
    <w:p w14:paraId="70FA138B" w14:textId="77777777" w:rsidR="00F717BF" w:rsidRDefault="006823DF" w:rsidP="0049337F">
      <w:pPr>
        <w:pStyle w:val="Heading3"/>
      </w:pPr>
      <w:bookmarkStart w:id="55" w:name="_Toc536205455"/>
      <w:r>
        <w:t>3.2.7</w:t>
      </w:r>
      <w:r>
        <w:tab/>
      </w:r>
      <w:r w:rsidR="00F717BF">
        <w:t>Disability</w:t>
      </w:r>
      <w:r w:rsidR="00795F50">
        <w:t xml:space="preserve">, including </w:t>
      </w:r>
      <w:r w:rsidR="00F717BF">
        <w:t>mental health</w:t>
      </w:r>
      <w:bookmarkEnd w:id="55"/>
    </w:p>
    <w:p w14:paraId="44CCAA2A" w14:textId="77777777" w:rsidR="00513CCC" w:rsidRDefault="00923C44" w:rsidP="00513CCC">
      <w:r>
        <w:t xml:space="preserve">The original THSSP2 design addressed disability only as a cross-cutting issue, but the Design Document does acknowledge </w:t>
      </w:r>
      <w:r w:rsidR="0004082E">
        <w:t xml:space="preserve">enthusiasm (at that time) to progress disability issues. </w:t>
      </w:r>
      <w:r w:rsidR="0004082E" w:rsidRPr="00EF199E">
        <w:rPr>
          <w:noProof/>
        </w:rPr>
        <w:t>Subsequent to</w:t>
      </w:r>
      <w:r w:rsidR="0004082E">
        <w:t xml:space="preserve"> the original design, </w:t>
      </w:r>
      <w:r w:rsidR="009149F3">
        <w:t xml:space="preserve">DFAT and MoH successfully bid for </w:t>
      </w:r>
      <w:r w:rsidR="0004082E">
        <w:t xml:space="preserve">an additional </w:t>
      </w:r>
      <w:r w:rsidR="00750831">
        <w:t>$</w:t>
      </w:r>
      <w:r w:rsidR="0004082E">
        <w:t xml:space="preserve">3.3 million </w:t>
      </w:r>
      <w:r w:rsidR="009149F3">
        <w:t>from</w:t>
      </w:r>
      <w:r w:rsidR="0004082E">
        <w:t xml:space="preserve"> the DFAT regional Disability-inclusive </w:t>
      </w:r>
      <w:r w:rsidR="009707D7">
        <w:t xml:space="preserve">Development </w:t>
      </w:r>
      <w:r w:rsidR="0004082E">
        <w:t xml:space="preserve">(DID) initiative </w:t>
      </w:r>
      <w:r w:rsidR="00255BE1">
        <w:t xml:space="preserve">for a disability-inclusive health component within THSSP2. This component is separate </w:t>
      </w:r>
      <w:r w:rsidR="00255BE1" w:rsidRPr="00EF199E">
        <w:rPr>
          <w:noProof/>
        </w:rPr>
        <w:t>to</w:t>
      </w:r>
      <w:r w:rsidR="00255BE1">
        <w:t xml:space="preserve"> other THSSP2 activities </w:t>
      </w:r>
      <w:r w:rsidR="00255BE1" w:rsidRPr="00EF199E">
        <w:rPr>
          <w:noProof/>
        </w:rPr>
        <w:t>and</w:t>
      </w:r>
      <w:r w:rsidR="00255BE1">
        <w:t xml:space="preserve"> is </w:t>
      </w:r>
      <w:r w:rsidR="00A11C27">
        <w:t>overseen by a steering committee led by the MoH and including representatives from the Ministry of Internal Affairs (which has the portfolio responsibility for disability), disabled persons’ organisations, and the WHO</w:t>
      </w:r>
      <w:r w:rsidR="00255BE1">
        <w:t xml:space="preserve">. Activities for the </w:t>
      </w:r>
      <w:r w:rsidR="00200E03">
        <w:t xml:space="preserve">full </w:t>
      </w:r>
      <w:r w:rsidR="00255BE1">
        <w:t xml:space="preserve">duration </w:t>
      </w:r>
      <w:r w:rsidR="00200E03">
        <w:t xml:space="preserve">of THSSP2 </w:t>
      </w:r>
      <w:r w:rsidR="00255BE1">
        <w:t xml:space="preserve">have </w:t>
      </w:r>
      <w:r w:rsidR="00255BE1" w:rsidRPr="00EF199E">
        <w:rPr>
          <w:noProof/>
        </w:rPr>
        <w:t>been planned</w:t>
      </w:r>
      <w:r w:rsidR="00255BE1">
        <w:t xml:space="preserve"> </w:t>
      </w:r>
      <w:r w:rsidR="00255BE1" w:rsidRPr="00EF199E">
        <w:rPr>
          <w:noProof/>
        </w:rPr>
        <w:t>in advance</w:t>
      </w:r>
      <w:r w:rsidR="00255BE1">
        <w:t xml:space="preserve"> under a separate process</w:t>
      </w:r>
      <w:r w:rsidR="00480868">
        <w:t xml:space="preserve"> involving </w:t>
      </w:r>
      <w:r w:rsidR="00EF199E">
        <w:t xml:space="preserve">disabled </w:t>
      </w:r>
      <w:r w:rsidR="00480868">
        <w:t>persons organisations</w:t>
      </w:r>
      <w:r w:rsidR="00255BE1">
        <w:t>, with technical assistance support.</w:t>
      </w:r>
      <w:r w:rsidR="00513CCC">
        <w:t xml:space="preserve"> The evaluation was limited in its enquiries into the disability-inclusive health component because attempts to meet with MIA were unsuccessful</w:t>
      </w:r>
      <w:r w:rsidR="00460C29">
        <w:t xml:space="preserve">. </w:t>
      </w:r>
      <w:r w:rsidR="00513CCC">
        <w:t xml:space="preserve"> Persons with disability organisations gave their time enthusiastically for which the evaluation team is grateful.</w:t>
      </w:r>
    </w:p>
    <w:p w14:paraId="7AA8F208" w14:textId="77777777" w:rsidR="002B1B44" w:rsidRDefault="00801547" w:rsidP="00B54420">
      <w:r>
        <w:t xml:space="preserve">The disability-inclusive health component of THSSP2 </w:t>
      </w:r>
      <w:r w:rsidR="00CF5602">
        <w:t xml:space="preserve">has a </w:t>
      </w:r>
      <w:r w:rsidR="00EF199E">
        <w:t>‘</w:t>
      </w:r>
      <w:r w:rsidR="00CF5602">
        <w:t>twin tracks</w:t>
      </w:r>
      <w:r w:rsidR="00EF199E">
        <w:t>’</w:t>
      </w:r>
      <w:r w:rsidR="00CF5602">
        <w:t xml:space="preserve"> approach, with one stream of activities intended to build awareness and transform the health system over time</w:t>
      </w:r>
      <w:r w:rsidR="00EF199E">
        <w:t xml:space="preserve"> to become disability inclusive</w:t>
      </w:r>
      <w:r w:rsidR="00CF5602">
        <w:t xml:space="preserve">, and a separate stream of activities designed to </w:t>
      </w:r>
      <w:r w:rsidR="00A40AF6">
        <w:t xml:space="preserve">target </w:t>
      </w:r>
      <w:r w:rsidR="00CF5602">
        <w:t xml:space="preserve">rapid improvements in </w:t>
      </w:r>
      <w:r w:rsidR="00EF199E">
        <w:t xml:space="preserve">disability-specific </w:t>
      </w:r>
      <w:r w:rsidR="00CF5602">
        <w:t xml:space="preserve">services, for example, mental health disability and </w:t>
      </w:r>
      <w:r w:rsidR="00A86B02">
        <w:t>community-based rehabilitation.</w:t>
      </w:r>
    </w:p>
    <w:p w14:paraId="3E5A28DF" w14:textId="77777777" w:rsidR="00C27400" w:rsidRDefault="002B1B44" w:rsidP="00B54420">
      <w:r>
        <w:t>A</w:t>
      </w:r>
      <w:r w:rsidR="0004082E">
        <w:t xml:space="preserve">wareness raising </w:t>
      </w:r>
      <w:r w:rsidR="00025353">
        <w:t>work</w:t>
      </w:r>
      <w:r w:rsidR="0091109E">
        <w:t xml:space="preserve">shops have been conducted for the </w:t>
      </w:r>
      <w:r w:rsidR="0004082E">
        <w:t xml:space="preserve">MoH and TongaHealth leadership groups </w:t>
      </w:r>
      <w:r w:rsidR="0091109E">
        <w:t xml:space="preserve">to prepare for subsequent activities, including the mainstreaming of disability into regular health worker practice. As a policy development, the draft PEHS, which is expressly disability-inclusive and establishes a framework for universally available mental health services in the future, is the </w:t>
      </w:r>
      <w:r w:rsidR="00EF199E">
        <w:t>‘</w:t>
      </w:r>
      <w:r w:rsidR="0091109E">
        <w:t>crowning achievement</w:t>
      </w:r>
      <w:r w:rsidR="00EF199E">
        <w:t>’</w:t>
      </w:r>
      <w:r w:rsidR="0091109E">
        <w:t xml:space="preserve"> </w:t>
      </w:r>
      <w:r w:rsidR="00536F62">
        <w:t xml:space="preserve">in disability-inclusive health </w:t>
      </w:r>
      <w:r w:rsidR="0091109E">
        <w:t xml:space="preserve">to date. </w:t>
      </w:r>
      <w:r w:rsidR="00C27400">
        <w:t xml:space="preserve">At the time of the mid-term evaluation, the NGO Motivation Australia </w:t>
      </w:r>
      <w:r w:rsidR="00A40AF6">
        <w:t>was</w:t>
      </w:r>
      <w:r w:rsidR="002C35AD">
        <w:t xml:space="preserve"> supporting MoH to </w:t>
      </w:r>
      <w:r w:rsidR="00C27400">
        <w:t>establish</w:t>
      </w:r>
      <w:r w:rsidR="002C35AD">
        <w:t xml:space="preserve"> an expanded rehabilitation department</w:t>
      </w:r>
      <w:r w:rsidR="00C27400">
        <w:t xml:space="preserve"> at Vaiola Hospital.</w:t>
      </w:r>
      <w:r w:rsidR="00A75A77">
        <w:t xml:space="preserve"> </w:t>
      </w:r>
      <w:r w:rsidR="002C35AD">
        <w:t xml:space="preserve">This is a 3-year project to renovate a service and workshop </w:t>
      </w:r>
      <w:r w:rsidR="00513CCC">
        <w:t>building and</w:t>
      </w:r>
      <w:r w:rsidR="002C35AD">
        <w:t xml:space="preserve"> establish an expanded rehabilitation and mobility device service. </w:t>
      </w:r>
      <w:r w:rsidR="00A75A77">
        <w:t>Th</w:t>
      </w:r>
      <w:r w:rsidR="009745A0">
        <w:t>is</w:t>
      </w:r>
      <w:r w:rsidR="00A75A77">
        <w:t xml:space="preserve"> component is also improving the collection of information on disability.</w:t>
      </w:r>
    </w:p>
    <w:p w14:paraId="23DED88B" w14:textId="77777777" w:rsidR="00C258D0" w:rsidRDefault="009707D7" w:rsidP="00B54420">
      <w:r>
        <w:t>Given that the disability-inclusive health component began a year later than THSSP2</w:t>
      </w:r>
      <w:r w:rsidR="002B1B44">
        <w:t xml:space="preserve">, </w:t>
      </w:r>
      <w:r w:rsidR="00F50991">
        <w:t xml:space="preserve">at the time of the mid-term evaluation there had been relatively little time </w:t>
      </w:r>
      <w:r w:rsidR="00A40AF6">
        <w:t>to complete</w:t>
      </w:r>
      <w:r w:rsidR="00F50991">
        <w:t xml:space="preserve"> </w:t>
      </w:r>
      <w:r w:rsidR="00A40AF6">
        <w:t xml:space="preserve">targeted </w:t>
      </w:r>
      <w:r w:rsidR="00F50991">
        <w:t>disability-specific service</w:t>
      </w:r>
      <w:r w:rsidR="00024020">
        <w:t xml:space="preserve"> </w:t>
      </w:r>
      <w:r w:rsidR="00C27400">
        <w:t>initiatives</w:t>
      </w:r>
      <w:r w:rsidR="00F50991">
        <w:t xml:space="preserve">. Initiatives undertaken to date include </w:t>
      </w:r>
      <w:r w:rsidR="00C27400">
        <w:t>improving physical access to some health facilities and the procurement of a wheelchair-accessible vehicle for Vaiola Hospital</w:t>
      </w:r>
      <w:r w:rsidR="00F41522">
        <w:t>. A pilot program of community-based rehabilitation (CBR) was underway</w:t>
      </w:r>
      <w:r w:rsidR="00EF199E">
        <w:t>,</w:t>
      </w:r>
      <w:r w:rsidR="00F41522">
        <w:t xml:space="preserve"> </w:t>
      </w:r>
      <w:r w:rsidR="00F41522" w:rsidRPr="00EF199E">
        <w:rPr>
          <w:noProof/>
        </w:rPr>
        <w:t>but</w:t>
      </w:r>
      <w:r w:rsidR="00F41522">
        <w:t xml:space="preserve"> the evaluation team was unable to meet with the MIA officer coordinating the pilot</w:t>
      </w:r>
      <w:r w:rsidR="00A86B02">
        <w:t>.</w:t>
      </w:r>
    </w:p>
    <w:p w14:paraId="372604B1" w14:textId="77777777" w:rsidR="00795F50" w:rsidRDefault="00C258D0" w:rsidP="00B54420">
      <w:r>
        <w:t>M</w:t>
      </w:r>
      <w:r w:rsidR="0004082E">
        <w:t>ental health</w:t>
      </w:r>
      <w:r>
        <w:t xml:space="preserve"> services are a priority of the disability-inclusive health component</w:t>
      </w:r>
      <w:r w:rsidR="0004082E">
        <w:t xml:space="preserve">. </w:t>
      </w:r>
      <w:r>
        <w:t xml:space="preserve">A national mental health conference </w:t>
      </w:r>
      <w:r w:rsidRPr="00EF199E">
        <w:rPr>
          <w:noProof/>
        </w:rPr>
        <w:t>was held</w:t>
      </w:r>
      <w:r w:rsidR="00A75A77">
        <w:t xml:space="preserve">, legislation </w:t>
      </w:r>
      <w:r w:rsidR="00A75A77" w:rsidRPr="00EF199E">
        <w:rPr>
          <w:noProof/>
        </w:rPr>
        <w:t>was reviewed</w:t>
      </w:r>
      <w:r w:rsidR="00A75A77">
        <w:t>,</w:t>
      </w:r>
      <w:r>
        <w:t xml:space="preserve"> and a mental health strategy was drafted (which remains only at </w:t>
      </w:r>
      <w:r w:rsidRPr="00EF199E">
        <w:rPr>
          <w:noProof/>
        </w:rPr>
        <w:t>draft</w:t>
      </w:r>
      <w:r>
        <w:t xml:space="preserve"> stage at this time). The key development was intended to be the refurbishment of the national psychiatric inpatient facility (ward) at Vaiola Hospital, but </w:t>
      </w:r>
      <w:r w:rsidR="00D9271C">
        <w:t xml:space="preserve">at DFAT’s request </w:t>
      </w:r>
      <w:r>
        <w:t xml:space="preserve">this has </w:t>
      </w:r>
      <w:r w:rsidRPr="00EF199E">
        <w:rPr>
          <w:noProof/>
        </w:rPr>
        <w:t>been delayed</w:t>
      </w:r>
      <w:r w:rsidR="00D9271C">
        <w:rPr>
          <w:noProof/>
        </w:rPr>
        <w:t xml:space="preserve"> </w:t>
      </w:r>
      <w:r w:rsidR="00D9271C">
        <w:t>by around 18 months due to DFAT’s engagement of an architect to quality assure the proposed design.</w:t>
      </w:r>
    </w:p>
    <w:p w14:paraId="488EDCFB" w14:textId="77777777" w:rsidR="0004082E" w:rsidRDefault="0004082E" w:rsidP="00B54420">
      <w:r>
        <w:t xml:space="preserve">It </w:t>
      </w:r>
      <w:r w:rsidRPr="00EF199E">
        <w:rPr>
          <w:noProof/>
        </w:rPr>
        <w:t>was reported</w:t>
      </w:r>
      <w:r>
        <w:t xml:space="preserve"> to the evaluation team that </w:t>
      </w:r>
      <w:r w:rsidRPr="00EF199E">
        <w:rPr>
          <w:noProof/>
        </w:rPr>
        <w:t>there are no other major development partners working</w:t>
      </w:r>
      <w:r>
        <w:t xml:space="preserve"> in the disability sphere and GoT services for the disabled are not very advanced. Therefore, persons </w:t>
      </w:r>
      <w:r>
        <w:lastRenderedPageBreak/>
        <w:t xml:space="preserve">with disability in Tonga have relatively few </w:t>
      </w:r>
      <w:r w:rsidRPr="00EF199E">
        <w:rPr>
          <w:noProof/>
        </w:rPr>
        <w:t>community</w:t>
      </w:r>
      <w:r>
        <w:t xml:space="preserve"> and social support services, and they have priorities in </w:t>
      </w:r>
      <w:r w:rsidR="0093705A">
        <w:t xml:space="preserve">their </w:t>
      </w:r>
      <w:r>
        <w:t xml:space="preserve">daily living needs that are beyond the scope of </w:t>
      </w:r>
      <w:r w:rsidR="009707D7">
        <w:t xml:space="preserve">the </w:t>
      </w:r>
      <w:r w:rsidR="0093705A">
        <w:t xml:space="preserve">THSSP2 </w:t>
      </w:r>
      <w:r>
        <w:t>disability-inclusive health</w:t>
      </w:r>
      <w:r w:rsidR="009707D7">
        <w:t xml:space="preserve"> component</w:t>
      </w:r>
      <w:r>
        <w:t xml:space="preserve">. </w:t>
      </w:r>
      <w:r w:rsidR="0093705A" w:rsidRPr="00EF199E">
        <w:rPr>
          <w:noProof/>
        </w:rPr>
        <w:t>Th</w:t>
      </w:r>
      <w:r w:rsidR="002A5B30" w:rsidRPr="00EF199E">
        <w:rPr>
          <w:noProof/>
        </w:rPr>
        <w:t>is</w:t>
      </w:r>
      <w:r w:rsidR="0093705A">
        <w:t xml:space="preserve"> </w:t>
      </w:r>
      <w:r w:rsidR="002A5B30">
        <w:t>was</w:t>
      </w:r>
      <w:r w:rsidR="0093705A">
        <w:t xml:space="preserve"> </w:t>
      </w:r>
      <w:r w:rsidR="002A5B30">
        <w:t xml:space="preserve">a </w:t>
      </w:r>
      <w:r w:rsidR="0093705A">
        <w:t xml:space="preserve">contextual factor that influenced how </w:t>
      </w:r>
      <w:r w:rsidR="00A40AF6">
        <w:t xml:space="preserve">people </w:t>
      </w:r>
      <w:r w:rsidR="0093705A">
        <w:t>with disability responded to the evaluation team during discussion</w:t>
      </w:r>
      <w:r w:rsidR="002A5B30">
        <w:t>s</w:t>
      </w:r>
      <w:r w:rsidR="0093705A">
        <w:t xml:space="preserve"> on disability-inclusive health</w:t>
      </w:r>
      <w:r w:rsidR="002A5B30">
        <w:t>. R</w:t>
      </w:r>
      <w:r w:rsidR="00255BE1">
        <w:t>epresentatives of persons with disability organisations reported that they considered that some of DFAT’s initiatives had been of relatively low priority.</w:t>
      </w:r>
      <w:r w:rsidR="0072216F">
        <w:t xml:space="preserve"> An example </w:t>
      </w:r>
      <w:r w:rsidR="002A5B30">
        <w:t xml:space="preserve">given </w:t>
      </w:r>
      <w:r w:rsidR="0072216F">
        <w:t xml:space="preserve">of a simple, </w:t>
      </w:r>
      <w:r w:rsidR="0072216F" w:rsidRPr="00EF199E">
        <w:rPr>
          <w:noProof/>
        </w:rPr>
        <w:t>practical</w:t>
      </w:r>
      <w:r w:rsidR="0072216F">
        <w:t xml:space="preserve"> </w:t>
      </w:r>
      <w:r w:rsidR="002A5B30">
        <w:t>immediate priority</w:t>
      </w:r>
      <w:r w:rsidR="0072216F">
        <w:t xml:space="preserve"> for persons with sight impairment </w:t>
      </w:r>
      <w:r w:rsidR="002A5B30">
        <w:t xml:space="preserve">was </w:t>
      </w:r>
      <w:r w:rsidR="0072216F">
        <w:t xml:space="preserve">the </w:t>
      </w:r>
      <w:r w:rsidR="002A5B30">
        <w:t>need for</w:t>
      </w:r>
      <w:r w:rsidR="0072216F">
        <w:t xml:space="preserve"> Braille labelling of medicines.</w:t>
      </w:r>
    </w:p>
    <w:p w14:paraId="2BC06B7E" w14:textId="77777777" w:rsidR="0072216F" w:rsidRDefault="00CE365E" w:rsidP="00B54420">
      <w:r>
        <w:t xml:space="preserve">Persons with </w:t>
      </w:r>
      <w:r w:rsidRPr="00EF199E">
        <w:rPr>
          <w:noProof/>
        </w:rPr>
        <w:t>disability</w:t>
      </w:r>
      <w:r>
        <w:t xml:space="preserve"> reported to the evaluation team that they often found it difficult to effectively participate in</w:t>
      </w:r>
      <w:r w:rsidR="00A11C27">
        <w:t xml:space="preserve"> steering</w:t>
      </w:r>
      <w:r>
        <w:t xml:space="preserve"> committee processes because they felt under-informed relative to the GoT officials who organised the committees. There was a clear willingness to participate </w:t>
      </w:r>
      <w:r w:rsidRPr="00EF199E">
        <w:rPr>
          <w:noProof/>
        </w:rPr>
        <w:t>and</w:t>
      </w:r>
      <w:r>
        <w:t xml:space="preserve"> the evaluation team concluded that future committee and consultation processes would benefit from taking care to make the discussion accessible to lay people.</w:t>
      </w:r>
    </w:p>
    <w:p w14:paraId="0FE8803E" w14:textId="77777777" w:rsidR="00255BE1" w:rsidRDefault="00255BE1" w:rsidP="00B54420">
      <w:r>
        <w:t>Despite the excess of M&amp;E elsewhere in the health sector, the evaluation team was concerned to note that the disability-inclusive health component is virtually unmeasured. It understood that the steering committee was responsible for developing an M&amp;E framework</w:t>
      </w:r>
      <w:r w:rsidR="00EF199E">
        <w:t>,</w:t>
      </w:r>
      <w:r>
        <w:t xml:space="preserve"> </w:t>
      </w:r>
      <w:r w:rsidRPr="00EF199E">
        <w:rPr>
          <w:noProof/>
        </w:rPr>
        <w:t>but</w:t>
      </w:r>
      <w:r>
        <w:t xml:space="preserve"> </w:t>
      </w:r>
      <w:r w:rsidR="00145594">
        <w:t>at the time of the mid-term evaluation a framework was not in place</w:t>
      </w:r>
      <w:r>
        <w:t>.</w:t>
      </w:r>
    </w:p>
    <w:p w14:paraId="658C783A" w14:textId="77777777" w:rsidR="00C559F5" w:rsidRDefault="00795F50" w:rsidP="00B54420">
      <w:r w:rsidRPr="00A75A77">
        <w:t xml:space="preserve">Overall, there was clear evidence that </w:t>
      </w:r>
      <w:r w:rsidR="00A75A77">
        <w:t>THSSP2</w:t>
      </w:r>
      <w:r w:rsidRPr="00A75A77">
        <w:t xml:space="preserve"> had </w:t>
      </w:r>
      <w:r w:rsidR="00A75A77">
        <w:t xml:space="preserve">supported </w:t>
      </w:r>
      <w:r w:rsidRPr="00A75A77">
        <w:t>advoca</w:t>
      </w:r>
      <w:r w:rsidR="00A75A77">
        <w:t xml:space="preserve">cy </w:t>
      </w:r>
      <w:r w:rsidRPr="00A75A77">
        <w:t xml:space="preserve">for </w:t>
      </w:r>
      <w:r w:rsidR="00A75A77">
        <w:t xml:space="preserve">persons with </w:t>
      </w:r>
      <w:r w:rsidRPr="00A75A77">
        <w:t>disability</w:t>
      </w:r>
      <w:r w:rsidR="00A75A77">
        <w:t>, and that strategic work in legislation, policy and information was underway</w:t>
      </w:r>
      <w:r w:rsidRPr="00A75A77">
        <w:t>. The</w:t>
      </w:r>
      <w:r w:rsidR="00A75A77">
        <w:t xml:space="preserve"> greatest risk for DFAT is that of poor visibility of its efforts due to an almost complete absence of outcome measurement.</w:t>
      </w:r>
      <w:r w:rsidR="00484D86">
        <w:t xml:space="preserve"> The “twin tracks” approach appeared to the evaluation team to be appropriate to the context, and the team did not have sufficient knowledge of other country examples to make a comparison. The evaluation team was advised of tensions between MoH and MIA in oversight of the disability-inclusive health component, but was unable to explore this further due to the lack of </w:t>
      </w:r>
      <w:r w:rsidR="00A40AF6">
        <w:t>discussion with</w:t>
      </w:r>
      <w:r w:rsidR="00484D86">
        <w:t xml:space="preserve"> MIA. The evaluation team did note that having the disability-inclusive health component activities fully planned in advance seemed to be at odds with the THSSP2 principle of flexible annual planning, but had no means by which to determine the merits or otherwise of this arrangement.</w:t>
      </w:r>
    </w:p>
    <w:p w14:paraId="58ED41A1" w14:textId="77777777" w:rsidR="00C559F5" w:rsidRDefault="006823DF" w:rsidP="0049337F">
      <w:pPr>
        <w:pStyle w:val="Heading3"/>
      </w:pPr>
      <w:bookmarkStart w:id="56" w:name="_Toc536205456"/>
      <w:r>
        <w:t>3.2.8</w:t>
      </w:r>
      <w:r>
        <w:tab/>
      </w:r>
      <w:r w:rsidR="00C559F5" w:rsidRPr="00EF199E">
        <w:t>Disadvantage</w:t>
      </w:r>
      <w:r w:rsidR="00C559F5">
        <w:t>, including remoteness</w:t>
      </w:r>
      <w:bookmarkEnd w:id="56"/>
    </w:p>
    <w:p w14:paraId="20FBA14C" w14:textId="77777777" w:rsidR="00C559F5" w:rsidRPr="0019561B" w:rsidRDefault="000E7802" w:rsidP="000E7802">
      <w:r w:rsidRPr="0019561B">
        <w:t xml:space="preserve">By regional standards, </w:t>
      </w:r>
      <w:r w:rsidR="00C559F5" w:rsidRPr="0019561B">
        <w:t xml:space="preserve">Tonga has achieved good </w:t>
      </w:r>
      <w:r w:rsidRPr="0019561B">
        <w:t xml:space="preserve">population </w:t>
      </w:r>
      <w:r w:rsidR="00C559F5" w:rsidRPr="0019561B">
        <w:t xml:space="preserve">coverage with 95% of the population within </w:t>
      </w:r>
      <w:r w:rsidRPr="0019561B">
        <w:t xml:space="preserve">a </w:t>
      </w:r>
      <w:r w:rsidR="00C559F5" w:rsidRPr="0019561B">
        <w:t xml:space="preserve">one hour walk of a health </w:t>
      </w:r>
      <w:r w:rsidRPr="0019561B">
        <w:t xml:space="preserve">facility. </w:t>
      </w:r>
      <w:r w:rsidR="00692D02" w:rsidRPr="00EF199E">
        <w:rPr>
          <w:noProof/>
        </w:rPr>
        <w:t>However</w:t>
      </w:r>
      <w:r w:rsidR="00EF199E" w:rsidRPr="00EF199E">
        <w:rPr>
          <w:noProof/>
        </w:rPr>
        <w:t>,</w:t>
      </w:r>
      <w:r w:rsidR="00692D02">
        <w:t xml:space="preserve"> t</w:t>
      </w:r>
      <w:r w:rsidRPr="0019561B">
        <w:t xml:space="preserve">his measure of proximity is an incomplete measure of access because the availability of qualified health workers, drugs and other medical supplies and equipment may be a problem in remote areas. With 75% of the national population on Tongatapu, Tonga has less of a challenge </w:t>
      </w:r>
      <w:r w:rsidR="006C6F2E" w:rsidRPr="0019561B">
        <w:t xml:space="preserve">in providing universal health coverage than other Pacific </w:t>
      </w:r>
      <w:r w:rsidR="009745A0">
        <w:t xml:space="preserve">Island </w:t>
      </w:r>
      <w:r w:rsidR="006C6F2E" w:rsidRPr="0019561B">
        <w:t xml:space="preserve">countries, but the evaluation team did find some evidence of ongoing disadvantage in remote areas (for example, some NCD medications were not available in the Niuas). The evaluation team was unable to obtain </w:t>
      </w:r>
      <w:r w:rsidR="00C559F5" w:rsidRPr="0019561B">
        <w:t xml:space="preserve">information on the resourcing of remote health centres </w:t>
      </w:r>
      <w:r w:rsidR="006C6F2E" w:rsidRPr="0019561B">
        <w:t xml:space="preserve">or </w:t>
      </w:r>
      <w:r w:rsidR="00C559F5" w:rsidRPr="0019561B">
        <w:t xml:space="preserve">indicators that demonstrate </w:t>
      </w:r>
      <w:r w:rsidR="006C6F2E" w:rsidRPr="0019561B">
        <w:t>differences in quality of care.</w:t>
      </w:r>
    </w:p>
    <w:p w14:paraId="706791FC" w14:textId="77777777" w:rsidR="00CE35D2" w:rsidRPr="0019561B" w:rsidRDefault="00C559F5" w:rsidP="000E7802">
      <w:r w:rsidRPr="0019561B">
        <w:t xml:space="preserve">Tonga has made excellent progress since 2010 in reducing out-of-pocket </w:t>
      </w:r>
      <w:r w:rsidRPr="00EF199E">
        <w:rPr>
          <w:noProof/>
        </w:rPr>
        <w:t>expenditure</w:t>
      </w:r>
      <w:r w:rsidRPr="0019561B">
        <w:t xml:space="preserve"> for health care, though </w:t>
      </w:r>
      <w:r w:rsidR="000E7681">
        <w:t xml:space="preserve">users continue to bear </w:t>
      </w:r>
      <w:r w:rsidRPr="0019561B">
        <w:t xml:space="preserve">indirect costs </w:t>
      </w:r>
      <w:r w:rsidR="000E7681">
        <w:t xml:space="preserve">such as </w:t>
      </w:r>
      <w:r w:rsidRPr="0019561B">
        <w:t>transport and time away from employment</w:t>
      </w:r>
      <w:r w:rsidR="00631786">
        <w:t xml:space="preserve"> (Rodney et al, 2015; </w:t>
      </w:r>
      <w:r w:rsidR="00F046F2">
        <w:t>Levisay, 2014)</w:t>
      </w:r>
      <w:r w:rsidR="006C6F2E" w:rsidRPr="0019561B">
        <w:t xml:space="preserve">. </w:t>
      </w:r>
      <w:r w:rsidR="00624BD3">
        <w:t xml:space="preserve">By supporting strengthening of service provision in rural and remote areas, and thereby reducing the need for patients to travel to Nuku’alofa, it is likely that THSSP </w:t>
      </w:r>
      <w:r w:rsidR="00A40AF6">
        <w:t xml:space="preserve">(Phases 1 and 2) </w:t>
      </w:r>
      <w:r w:rsidR="00624BD3">
        <w:t xml:space="preserve">has indirectly helped to minimise patient out-of-pocket expenditure on transport but there was no </w:t>
      </w:r>
      <w:r w:rsidR="00A40AF6">
        <w:t xml:space="preserve">data by which to </w:t>
      </w:r>
      <w:r w:rsidR="00B42805">
        <w:t>confirm</w:t>
      </w:r>
      <w:r w:rsidR="00A40AF6">
        <w:t xml:space="preserve"> this</w:t>
      </w:r>
      <w:r w:rsidR="00624BD3">
        <w:t xml:space="preserve">. </w:t>
      </w:r>
      <w:r w:rsidR="006C6F2E" w:rsidRPr="0019561B">
        <w:t>The evaluation team met with staff at Niu’ui Hospital (Ha’apai District</w:t>
      </w:r>
      <w:r w:rsidRPr="0019561B">
        <w:t xml:space="preserve">) </w:t>
      </w:r>
      <w:r w:rsidR="00101857" w:rsidRPr="0019561B">
        <w:t xml:space="preserve">and </w:t>
      </w:r>
      <w:r w:rsidR="00101857" w:rsidRPr="00EF199E">
        <w:rPr>
          <w:noProof/>
        </w:rPr>
        <w:t>was advised</w:t>
      </w:r>
      <w:r w:rsidR="00101857" w:rsidRPr="0019561B">
        <w:t xml:space="preserve"> about the eligibility criteria for GoT-funded patient transport to Nuku’alofa for pregnant women </w:t>
      </w:r>
      <w:r w:rsidR="00101857" w:rsidRPr="00EF199E">
        <w:rPr>
          <w:noProof/>
        </w:rPr>
        <w:t>at</w:t>
      </w:r>
      <w:r w:rsidR="00EF199E" w:rsidRPr="00EF199E">
        <w:rPr>
          <w:noProof/>
        </w:rPr>
        <w:t xml:space="preserve"> </w:t>
      </w:r>
      <w:r w:rsidR="00101857" w:rsidRPr="00EF199E">
        <w:rPr>
          <w:noProof/>
        </w:rPr>
        <w:t>risk</w:t>
      </w:r>
      <w:r w:rsidRPr="0019561B">
        <w:t>.</w:t>
      </w:r>
      <w:r w:rsidR="004F2E9B">
        <w:t xml:space="preserve"> </w:t>
      </w:r>
      <w:r w:rsidR="00954EAE">
        <w:t xml:space="preserve">During the Niu’ui Hospital visit, the evaluation </w:t>
      </w:r>
      <w:r w:rsidR="00954EAE">
        <w:lastRenderedPageBreak/>
        <w:t xml:space="preserve">team also learnt that </w:t>
      </w:r>
      <w:r w:rsidR="00954EAE" w:rsidRPr="0054501C">
        <w:t xml:space="preserve">the influence of traditional medicine </w:t>
      </w:r>
      <w:r w:rsidR="00954EAE">
        <w:t>is a factor in poor</w:t>
      </w:r>
      <w:r w:rsidR="00954EAE" w:rsidRPr="0054501C">
        <w:t xml:space="preserve"> adherence to recommended drug therapy</w:t>
      </w:r>
      <w:r w:rsidR="00954EAE">
        <w:t xml:space="preserve"> and a cause of out-of-</w:t>
      </w:r>
      <w:r w:rsidR="00954EAE" w:rsidRPr="0054501C">
        <w:t>pocket expenses</w:t>
      </w:r>
      <w:r w:rsidR="002B1B44">
        <w:t xml:space="preserve"> (a claim supported by the 2015 Health System Review and nurses on Tongatapu)</w:t>
      </w:r>
      <w:r w:rsidR="00954EAE" w:rsidRPr="0054501C">
        <w:t>.</w:t>
      </w:r>
      <w:r w:rsidR="00954EAE">
        <w:t xml:space="preserve"> The evaluation team did not have any available evidence to determine if traditional medicine is also an issue in other outer islands or </w:t>
      </w:r>
      <w:r w:rsidR="00954EAE" w:rsidRPr="00EF199E">
        <w:rPr>
          <w:noProof/>
        </w:rPr>
        <w:t>in</w:t>
      </w:r>
      <w:r w:rsidR="00954EAE">
        <w:t xml:space="preserve"> urban areas.</w:t>
      </w:r>
    </w:p>
    <w:p w14:paraId="50586549" w14:textId="77777777" w:rsidR="00C559F5" w:rsidRPr="0019561B" w:rsidRDefault="00CE35D2" w:rsidP="000E7802">
      <w:r w:rsidRPr="0019561B">
        <w:t xml:space="preserve">The draft PEHS is the main development supported under THSSP2 that potentially addresses disadvantage due to remoteness. Given that PEHS is a policy document only, </w:t>
      </w:r>
      <w:r w:rsidR="000F0317" w:rsidRPr="0019561B">
        <w:t xml:space="preserve">an option is for DFAT to expedite the practical impact of the PEHS in outer islands by using THSSP2 funds to address gaps in medical/clinic equipment in remote areas. The risk of this approach is that medical/clinic equipment will not directly lead to improved services unless there is adequate staffing, managerial and clinical supervision, and adequate drugs and other medical supplies. In locations where an NCD nurse </w:t>
      </w:r>
      <w:r w:rsidR="000F0317" w:rsidRPr="00EF199E">
        <w:rPr>
          <w:noProof/>
        </w:rPr>
        <w:t>is posted</w:t>
      </w:r>
      <w:r w:rsidR="000F0317" w:rsidRPr="0019561B">
        <w:t>, this option is attractive because the deployment of NCD nurses has already been shown to improve NCD services.</w:t>
      </w:r>
    </w:p>
    <w:p w14:paraId="6A327B5B" w14:textId="77777777" w:rsidR="00C559F5" w:rsidRDefault="003F5DF7" w:rsidP="00B54420">
      <w:r w:rsidRPr="0019561B">
        <w:t xml:space="preserve">During consultations, several different informants independently suggested to the evaluation team that </w:t>
      </w:r>
      <w:r w:rsidR="00EC7328" w:rsidRPr="0019561B">
        <w:t xml:space="preserve">there may be </w:t>
      </w:r>
      <w:r w:rsidR="00EC7328" w:rsidRPr="00EF199E">
        <w:rPr>
          <w:noProof/>
        </w:rPr>
        <w:t>unrecognised</w:t>
      </w:r>
      <w:r w:rsidR="00EC7328" w:rsidRPr="0019561B">
        <w:t xml:space="preserve"> disadvantage in </w:t>
      </w:r>
      <w:r w:rsidRPr="0019561B">
        <w:t xml:space="preserve">communities with relatively low </w:t>
      </w:r>
      <w:r w:rsidRPr="00EF199E">
        <w:rPr>
          <w:noProof/>
        </w:rPr>
        <w:t>socio-economic</w:t>
      </w:r>
      <w:r w:rsidRPr="0019561B">
        <w:t xml:space="preserve"> status </w:t>
      </w:r>
      <w:r w:rsidR="00EC7328" w:rsidRPr="0019561B">
        <w:t xml:space="preserve">on Tongatapu. The evaluation team was unable to investigate this </w:t>
      </w:r>
      <w:r w:rsidR="00B42805" w:rsidRPr="0019561B">
        <w:t>further,</w:t>
      </w:r>
      <w:r w:rsidR="00EC7328" w:rsidRPr="0019561B">
        <w:t xml:space="preserve"> </w:t>
      </w:r>
      <w:r w:rsidR="00EC7328" w:rsidRPr="00672333">
        <w:rPr>
          <w:noProof/>
        </w:rPr>
        <w:t>but</w:t>
      </w:r>
      <w:r w:rsidR="00EC7328" w:rsidRPr="0019561B">
        <w:t xml:space="preserve"> it is a reasonable possibility. It is therefore important that THSSP2 does not overlook urban and peri-urban communities.</w:t>
      </w:r>
    </w:p>
    <w:p w14:paraId="2DB34A18" w14:textId="77777777" w:rsidR="00C559F5" w:rsidRDefault="006823DF" w:rsidP="0049337F">
      <w:pPr>
        <w:pStyle w:val="Heading3"/>
      </w:pPr>
      <w:bookmarkStart w:id="57" w:name="_Toc536205457"/>
      <w:r>
        <w:t>3.2.9</w:t>
      </w:r>
      <w:r>
        <w:tab/>
      </w:r>
      <w:r w:rsidR="00C559F5">
        <w:t>Gender</w:t>
      </w:r>
      <w:bookmarkEnd w:id="57"/>
    </w:p>
    <w:p w14:paraId="522E541B" w14:textId="77777777" w:rsidR="0019561B" w:rsidRDefault="00D542CF" w:rsidP="00D542CF">
      <w:r>
        <w:t>National outcome C</w:t>
      </w:r>
      <w:r w:rsidR="003B363F">
        <w:t xml:space="preserve"> of the TSDF II</w:t>
      </w:r>
      <w:r>
        <w:t xml:space="preserve"> is ‘human development with gender equality’</w:t>
      </w:r>
      <w:r w:rsidR="003B363F">
        <w:t>.</w:t>
      </w:r>
      <w:r>
        <w:t xml:space="preserve"> The evaluation team observed indications of equal </w:t>
      </w:r>
      <w:r w:rsidR="00910D99">
        <w:t xml:space="preserve">employment </w:t>
      </w:r>
      <w:r>
        <w:t>opportunity in the Tongan public service with female chief executives in at l</w:t>
      </w:r>
      <w:r w:rsidR="00EF199E">
        <w:t>e</w:t>
      </w:r>
      <w:r>
        <w:t xml:space="preserve">ast two of the ministries/agencies consulted, and </w:t>
      </w:r>
      <w:r w:rsidRPr="00672333">
        <w:rPr>
          <w:noProof/>
        </w:rPr>
        <w:t>many</w:t>
      </w:r>
      <w:r>
        <w:t xml:space="preserve"> </w:t>
      </w:r>
      <w:r w:rsidR="00EF199E">
        <w:t xml:space="preserve">sections and units headed by </w:t>
      </w:r>
      <w:r>
        <w:t>female staff</w:t>
      </w:r>
      <w:r w:rsidR="00EF199E">
        <w:t>.</w:t>
      </w:r>
      <w:r>
        <w:t xml:space="preserve"> The MoH and TongaHealth have majority female workforces</w:t>
      </w:r>
      <w:r w:rsidR="00DE73EC">
        <w:t xml:space="preserve"> typical of the health sector: 674 out of a total of 987 MoH staff members were female</w:t>
      </w:r>
      <w:r>
        <w:t xml:space="preserve"> (</w:t>
      </w:r>
      <w:r w:rsidR="00DE73EC">
        <w:t>2016</w:t>
      </w:r>
      <w:r>
        <w:t>)</w:t>
      </w:r>
      <w:r w:rsidR="00DE73EC">
        <w:t xml:space="preserve">. The </w:t>
      </w:r>
      <w:r>
        <w:t>number of female senior managers</w:t>
      </w:r>
      <w:r w:rsidR="00DE73EC">
        <w:t xml:space="preserve"> is a better indicator of equal employment practices: at the time of the evaluation two of the six </w:t>
      </w:r>
      <w:r w:rsidR="00B71E4C">
        <w:t xml:space="preserve">MoH </w:t>
      </w:r>
      <w:r w:rsidR="00DE73EC">
        <w:t>divisions were headed by women</w:t>
      </w:r>
      <w:r>
        <w:t xml:space="preserve">. The evaluation team found that availability of </w:t>
      </w:r>
      <w:r w:rsidRPr="00672333">
        <w:rPr>
          <w:noProof/>
        </w:rPr>
        <w:t>gender</w:t>
      </w:r>
      <w:r w:rsidR="00EF199E" w:rsidRPr="00672333">
        <w:rPr>
          <w:noProof/>
        </w:rPr>
        <w:t>-</w:t>
      </w:r>
      <w:r w:rsidRPr="00672333">
        <w:rPr>
          <w:noProof/>
        </w:rPr>
        <w:t>disaggregated</w:t>
      </w:r>
      <w:r w:rsidRPr="00D542CF">
        <w:t xml:space="preserve"> health and disability information is generally good</w:t>
      </w:r>
      <w:r w:rsidR="00A40AF6">
        <w:t xml:space="preserve">: data in the main MoH databases is gender-disaggregated and the formal MoH reports presented to the team </w:t>
      </w:r>
      <w:r w:rsidR="000472F1">
        <w:t>indicated gender where appropriate</w:t>
      </w:r>
      <w:r w:rsidRPr="00D542CF">
        <w:t>. The two main sources of information on NCDs, the STEPS and the GSHS, are fully disaggregated by gender and age.</w:t>
      </w:r>
    </w:p>
    <w:p w14:paraId="565D8465" w14:textId="77777777" w:rsidR="00D542CF" w:rsidRDefault="00D542CF" w:rsidP="00D542CF">
      <w:r>
        <w:t xml:space="preserve">Considerations of gender </w:t>
      </w:r>
      <w:r w:rsidRPr="00672333">
        <w:rPr>
          <w:noProof/>
        </w:rPr>
        <w:t>are mainstreamed</w:t>
      </w:r>
      <w:r>
        <w:t xml:space="preserve"> into the design of THSSP2. The mechanism for this mainstreaming </w:t>
      </w:r>
      <w:r w:rsidR="009D7DA1">
        <w:t xml:space="preserve">is to require that annual funded activities have </w:t>
      </w:r>
      <w:r>
        <w:t xml:space="preserve">gender aspects. The </w:t>
      </w:r>
      <w:r w:rsidR="009D7DA1">
        <w:t>evaluation team felt that this approach was broad without necessarily being strategic: simply counting the number of plans with gender aspects (as required under the THSSP2 M&amp;E Framework) doesn’t reflect the substance or the impact of the activities.</w:t>
      </w:r>
      <w:r w:rsidR="00686923">
        <w:t xml:space="preserve"> Although TSDF II represents </w:t>
      </w:r>
      <w:r w:rsidR="00910D99">
        <w:t>a</w:t>
      </w:r>
      <w:r w:rsidR="00686923">
        <w:t xml:space="preserve"> formal GoT commitment to gender equality, the evaluation team </w:t>
      </w:r>
      <w:r w:rsidR="00910D99">
        <w:t>considers that cross-cultural promotion of gender equality is a complex area.</w:t>
      </w:r>
    </w:p>
    <w:p w14:paraId="5CAD08CE" w14:textId="77777777" w:rsidR="00433EC5" w:rsidRDefault="00D2433C" w:rsidP="0019561B">
      <w:r>
        <w:t xml:space="preserve">The THSSP2 Design Document recognises that </w:t>
      </w:r>
      <w:r w:rsidR="0019561B">
        <w:t xml:space="preserve">NCDs </w:t>
      </w:r>
      <w:r>
        <w:t>affect</w:t>
      </w:r>
      <w:r w:rsidR="0019561B">
        <w:t xml:space="preserve"> females and males differently</w:t>
      </w:r>
      <w:r>
        <w:t xml:space="preserve"> (both directly and indirectly)</w:t>
      </w:r>
      <w:r w:rsidR="0019561B">
        <w:t xml:space="preserve">. </w:t>
      </w:r>
      <w:r w:rsidR="00AB3449">
        <w:t xml:space="preserve">Care-seeking behaviour is known to be different between the genders </w:t>
      </w:r>
      <w:r w:rsidR="00AB3449" w:rsidRPr="00672333">
        <w:rPr>
          <w:noProof/>
        </w:rPr>
        <w:t>and</w:t>
      </w:r>
      <w:r w:rsidR="00AB3449">
        <w:t xml:space="preserve"> this will affect outcomes. NCD-related disability amongst male income earners will have </w:t>
      </w:r>
      <w:r w:rsidR="00AB3449" w:rsidRPr="00672333">
        <w:rPr>
          <w:noProof/>
        </w:rPr>
        <w:t>economic</w:t>
      </w:r>
      <w:r w:rsidR="00AB3449">
        <w:t xml:space="preserve"> and social impact </w:t>
      </w:r>
      <w:r w:rsidR="00AB3449" w:rsidRPr="00672333">
        <w:rPr>
          <w:noProof/>
        </w:rPr>
        <w:t>upon</w:t>
      </w:r>
      <w:r w:rsidR="00AB3449">
        <w:t xml:space="preserve"> women and children. </w:t>
      </w:r>
      <w:r w:rsidR="0019561B">
        <w:t>T</w:t>
      </w:r>
      <w:r w:rsidR="00AB3449">
        <w:t xml:space="preserve">HSSP2 support for early detection and management of </w:t>
      </w:r>
      <w:r w:rsidR="0019561B">
        <w:t xml:space="preserve">NCDs </w:t>
      </w:r>
      <w:r w:rsidR="00AB3449" w:rsidRPr="00672333">
        <w:rPr>
          <w:noProof/>
        </w:rPr>
        <w:t>therefore</w:t>
      </w:r>
      <w:r w:rsidR="00AB3449">
        <w:t xml:space="preserve"> </w:t>
      </w:r>
      <w:r w:rsidR="007F24D7" w:rsidRPr="00672333">
        <w:rPr>
          <w:noProof/>
        </w:rPr>
        <w:t>may</w:t>
      </w:r>
      <w:r w:rsidR="007F24D7">
        <w:t xml:space="preserve"> </w:t>
      </w:r>
      <w:r w:rsidR="00AB3449">
        <w:t xml:space="preserve">have indirect gender benefits. </w:t>
      </w:r>
      <w:r w:rsidR="00AB3449" w:rsidRPr="00672333">
        <w:rPr>
          <w:noProof/>
        </w:rPr>
        <w:t>With the exception of</w:t>
      </w:r>
      <w:r w:rsidR="00AB3449">
        <w:t xml:space="preserve"> gestational diabetes, the evaluation team did not find evidence </w:t>
      </w:r>
      <w:r w:rsidR="00AD1B8E">
        <w:t xml:space="preserve">that </w:t>
      </w:r>
      <w:r w:rsidR="00E642C7">
        <w:t xml:space="preserve">NCD </w:t>
      </w:r>
      <w:r w:rsidR="007F24D7">
        <w:t xml:space="preserve">management </w:t>
      </w:r>
      <w:r w:rsidR="00AD1B8E">
        <w:t xml:space="preserve">activities supported by THSSP2 have reached the level of refinement that </w:t>
      </w:r>
      <w:r w:rsidR="00433EC5">
        <w:t>is differentiating</w:t>
      </w:r>
      <w:r w:rsidR="00D069A5">
        <w:t xml:space="preserve"> </w:t>
      </w:r>
      <w:r w:rsidR="00471F15">
        <w:t>interventions by gender.</w:t>
      </w:r>
    </w:p>
    <w:p w14:paraId="7537B92C" w14:textId="77777777" w:rsidR="00433EC5" w:rsidRDefault="00433EC5" w:rsidP="0019561B">
      <w:r w:rsidRPr="00433EC5">
        <w:lastRenderedPageBreak/>
        <w:t>Health promotion on NCD risk factors has to date</w:t>
      </w:r>
      <w:r w:rsidR="00B9590F">
        <w:t xml:space="preserve"> </w:t>
      </w:r>
      <w:r w:rsidR="00B9590F" w:rsidRPr="00672333">
        <w:rPr>
          <w:noProof/>
        </w:rPr>
        <w:t>been limited</w:t>
      </w:r>
      <w:r w:rsidR="00B9590F">
        <w:t xml:space="preserve"> in addressing gender differences. </w:t>
      </w:r>
      <w:r w:rsidRPr="00433EC5">
        <w:t>While there is no information available on the number of female participants in the Fiefia sports program</w:t>
      </w:r>
      <w:r w:rsidR="00B9590F">
        <w:t xml:space="preserve">, </w:t>
      </w:r>
      <w:r w:rsidRPr="00433EC5">
        <w:t xml:space="preserve">it is evident that gender has been a large consideration with inclusive sports activities and female/male role models elected. </w:t>
      </w:r>
      <w:r w:rsidR="00B9590F" w:rsidRPr="00672333">
        <w:rPr>
          <w:noProof/>
        </w:rPr>
        <w:t>Implementation of Hala Fononga is jointly funded by GoT and DFAT</w:t>
      </w:r>
      <w:r w:rsidR="00B9590F">
        <w:t xml:space="preserve">, and </w:t>
      </w:r>
      <w:r w:rsidR="00B9590F" w:rsidRPr="00672333">
        <w:rPr>
          <w:noProof/>
        </w:rPr>
        <w:t>to simpl</w:t>
      </w:r>
      <w:r w:rsidR="00D069A5" w:rsidRPr="00672333">
        <w:rPr>
          <w:noProof/>
        </w:rPr>
        <w:t>if</w:t>
      </w:r>
      <w:r w:rsidR="00B9590F" w:rsidRPr="00672333">
        <w:rPr>
          <w:noProof/>
        </w:rPr>
        <w:t>y the different accountability requirements</w:t>
      </w:r>
      <w:r w:rsidR="00B9590F">
        <w:t xml:space="preserve">, TongaHealth funds support for community groups (including female sports clubs) from the GoT side of its budget. </w:t>
      </w:r>
      <w:r w:rsidRPr="00433EC5">
        <w:t xml:space="preserve">In light of the high prevalence of obesity seen in Tongan women, specialised health promotion activities </w:t>
      </w:r>
      <w:r w:rsidR="00B9590F">
        <w:t>would</w:t>
      </w:r>
      <w:r w:rsidRPr="00433EC5">
        <w:t xml:space="preserve"> be </w:t>
      </w:r>
      <w:r w:rsidR="00B9590F">
        <w:t>strategic</w:t>
      </w:r>
      <w:r w:rsidRPr="00433EC5">
        <w:t>.</w:t>
      </w:r>
      <w:r w:rsidR="00B9590F">
        <w:t xml:space="preserve"> Given the dramatically higher rates of smoking amongst males, mass media anti-tobacco campaigns are probably benefitting males.</w:t>
      </w:r>
    </w:p>
    <w:p w14:paraId="75C7D43A" w14:textId="77777777" w:rsidR="00B9590F" w:rsidRDefault="00B9590F" w:rsidP="0019561B">
      <w:r>
        <w:t xml:space="preserve">In addition to improvement of services on gestational diabetes under THSSP2, DFAT regional support </w:t>
      </w:r>
      <w:r w:rsidR="00523BBC">
        <w:t>will soon be strengthening sexual and reproductive health through the UNFPA ‘</w:t>
      </w:r>
      <w:r w:rsidR="00BB2625">
        <w:t>Transformative</w:t>
      </w:r>
      <w:r w:rsidR="00523BBC">
        <w:t xml:space="preserve"> Agenda’. DFAT regional support to the International Planned Parenthood Federation is already resulting in training for</w:t>
      </w:r>
      <w:r w:rsidR="00981FBB">
        <w:t xml:space="preserve"> MOH</w:t>
      </w:r>
      <w:r w:rsidR="00523BBC">
        <w:t xml:space="preserve"> health workers on gender-based violence.</w:t>
      </w:r>
    </w:p>
    <w:p w14:paraId="0E25B008" w14:textId="77777777" w:rsidR="00523BBC" w:rsidRDefault="00523BBC" w:rsidP="0019561B">
      <w:r>
        <w:t xml:space="preserve">As has been repeated at length throughout this report, the draft PEHS is prominent because it makes a policy commitment on and sets standards for reproductive health and gender-based violence services. However, the PEHS baseline survey indicates that access to gender-based violence services is currently poor to non-existent in the public system. The Tonga Family </w:t>
      </w:r>
      <w:r w:rsidR="005D219D">
        <w:t xml:space="preserve">Health </w:t>
      </w:r>
      <w:r>
        <w:t xml:space="preserve">Association </w:t>
      </w:r>
      <w:r w:rsidR="000472F1">
        <w:t xml:space="preserve">and several other agencies </w:t>
      </w:r>
      <w:r>
        <w:t>provide gender-based violence support in Nuku’alofa.</w:t>
      </w:r>
    </w:p>
    <w:p w14:paraId="56DED93A" w14:textId="77777777" w:rsidR="00C559F5" w:rsidRPr="00692D02" w:rsidRDefault="00523BBC" w:rsidP="00C559F5">
      <w:r>
        <w:t xml:space="preserve">Overall, DFAT advocacy on gender (through THSSP2) was </w:t>
      </w:r>
      <w:r w:rsidRPr="00672333">
        <w:rPr>
          <w:noProof/>
        </w:rPr>
        <w:t>clearly</w:t>
      </w:r>
      <w:r>
        <w:t xml:space="preserve"> evident. Actual improvements in services were in a few niche areas such as gestational diabetes, and the most significant development, the PEHS, will not have a practical effect for some time to come. The evaluation team considered that </w:t>
      </w:r>
      <w:r w:rsidR="00B96CD8">
        <w:t xml:space="preserve">the </w:t>
      </w:r>
      <w:r w:rsidR="00B96CD8" w:rsidRPr="00672333">
        <w:rPr>
          <w:noProof/>
        </w:rPr>
        <w:t>evidence</w:t>
      </w:r>
      <w:r w:rsidR="007270BC" w:rsidRPr="00672333">
        <w:rPr>
          <w:noProof/>
        </w:rPr>
        <w:t xml:space="preserve"> in</w:t>
      </w:r>
      <w:r w:rsidR="007270BC">
        <w:t xml:space="preserve"> Tonga </w:t>
      </w:r>
      <w:r w:rsidR="00B96CD8">
        <w:t>of gender differences in NCD</w:t>
      </w:r>
      <w:r w:rsidR="007F24D7">
        <w:t xml:space="preserve"> presentations and risk factor</w:t>
      </w:r>
      <w:r w:rsidR="00B96CD8">
        <w:t xml:space="preserve">s means that it is appropriate to develop some gender-differentiated interventions </w:t>
      </w:r>
      <w:r>
        <w:t xml:space="preserve">in </w:t>
      </w:r>
      <w:r w:rsidR="00B96CD8">
        <w:t>NCD prevention and control</w:t>
      </w:r>
      <w:r>
        <w:t>.</w:t>
      </w:r>
    </w:p>
    <w:p w14:paraId="3E407A5C" w14:textId="77777777" w:rsidR="00217B45" w:rsidRPr="00672333" w:rsidRDefault="006823DF" w:rsidP="006823DF">
      <w:pPr>
        <w:pStyle w:val="Heading3"/>
      </w:pPr>
      <w:bookmarkStart w:id="58" w:name="_Toc536205458"/>
      <w:r>
        <w:t>3.2.10</w:t>
      </w:r>
      <w:r>
        <w:tab/>
      </w:r>
      <w:r w:rsidR="008B66AE" w:rsidRPr="00672333">
        <w:t>Human resources</w:t>
      </w:r>
      <w:bookmarkEnd w:id="58"/>
    </w:p>
    <w:p w14:paraId="4AA2F1AA" w14:textId="77777777" w:rsidR="000B6345" w:rsidRDefault="00217B45" w:rsidP="008B66AE">
      <w:pPr>
        <w:rPr>
          <w:u w:color="FB0007"/>
        </w:rPr>
      </w:pPr>
      <w:r w:rsidRPr="00A75A77">
        <w:rPr>
          <w:u w:color="FB0007"/>
        </w:rPr>
        <w:t xml:space="preserve">The </w:t>
      </w:r>
      <w:r w:rsidR="00A75A77">
        <w:rPr>
          <w:u w:color="FB0007"/>
        </w:rPr>
        <w:t xml:space="preserve">THSSP2 </w:t>
      </w:r>
      <w:r w:rsidRPr="00A75A77">
        <w:rPr>
          <w:u w:color="FB0007"/>
        </w:rPr>
        <w:t xml:space="preserve">Design Document </w:t>
      </w:r>
      <w:r w:rsidR="00A75A77">
        <w:rPr>
          <w:u w:color="FB0007"/>
        </w:rPr>
        <w:t xml:space="preserve">states that </w:t>
      </w:r>
      <w:r w:rsidRPr="00A75A77">
        <w:rPr>
          <w:u w:color="FB0007"/>
        </w:rPr>
        <w:t>g</w:t>
      </w:r>
      <w:r w:rsidRPr="00A75A77">
        <w:rPr>
          <w:color w:val="000000"/>
        </w:rPr>
        <w:t xml:space="preserve">ood systems for human resources (HR) would contribute greatly to the success of </w:t>
      </w:r>
      <w:r w:rsidR="00A75A77">
        <w:rPr>
          <w:color w:val="000000"/>
        </w:rPr>
        <w:t xml:space="preserve">the program, but otherwise is silent on HR issues. </w:t>
      </w:r>
      <w:r w:rsidRPr="00A75A77">
        <w:rPr>
          <w:rFonts w:eastAsia="Times New Roman"/>
          <w:color w:val="000000"/>
        </w:rPr>
        <w:t>The management of public service personnel is centrali</w:t>
      </w:r>
      <w:r w:rsidR="000B6345">
        <w:rPr>
          <w:rFonts w:eastAsia="Times New Roman"/>
          <w:color w:val="000000"/>
        </w:rPr>
        <w:t>s</w:t>
      </w:r>
      <w:r w:rsidRPr="00A75A77">
        <w:rPr>
          <w:rFonts w:eastAsia="Times New Roman"/>
          <w:color w:val="000000"/>
        </w:rPr>
        <w:t xml:space="preserve">ed under the control of the </w:t>
      </w:r>
      <w:r w:rsidR="000C3BE0" w:rsidRPr="00A75A77">
        <w:rPr>
          <w:rFonts w:eastAsia="Times New Roman"/>
          <w:color w:val="000000"/>
        </w:rPr>
        <w:t>Public Service Commission (</w:t>
      </w:r>
      <w:r w:rsidRPr="00A75A77">
        <w:rPr>
          <w:rFonts w:eastAsia="Times New Roman"/>
          <w:color w:val="000000"/>
        </w:rPr>
        <w:t>PSC</w:t>
      </w:r>
      <w:r w:rsidR="000C3BE0" w:rsidRPr="00A75A77">
        <w:rPr>
          <w:rFonts w:eastAsia="Times New Roman"/>
          <w:color w:val="000000"/>
        </w:rPr>
        <w:t>)</w:t>
      </w:r>
      <w:r w:rsidR="00A75A77">
        <w:rPr>
          <w:rFonts w:eastAsia="Times New Roman"/>
          <w:color w:val="000000"/>
        </w:rPr>
        <w:t>, including p</w:t>
      </w:r>
      <w:r w:rsidRPr="00A75A77">
        <w:rPr>
          <w:rFonts w:eastAsia="Times New Roman"/>
          <w:color w:val="000000"/>
        </w:rPr>
        <w:t>ub</w:t>
      </w:r>
      <w:r w:rsidR="000C3BE0" w:rsidRPr="00A75A77">
        <w:rPr>
          <w:rFonts w:eastAsia="Times New Roman"/>
          <w:color w:val="000000"/>
        </w:rPr>
        <w:t>lic sector remuneration</w:t>
      </w:r>
      <w:r w:rsidR="00A75A77">
        <w:rPr>
          <w:rFonts w:eastAsia="Times New Roman"/>
          <w:color w:val="000000"/>
        </w:rPr>
        <w:t xml:space="preserve">. </w:t>
      </w:r>
      <w:r w:rsidRPr="00A75A77">
        <w:rPr>
          <w:u w:color="FB0007"/>
        </w:rPr>
        <w:t>T</w:t>
      </w:r>
      <w:r w:rsidR="000C3BE0" w:rsidRPr="00A75A77">
        <w:rPr>
          <w:u w:color="FB0007"/>
        </w:rPr>
        <w:t>he centralis</w:t>
      </w:r>
      <w:r w:rsidRPr="00A75A77">
        <w:rPr>
          <w:u w:color="FB0007"/>
        </w:rPr>
        <w:t xml:space="preserve">ed system of personnel management leaves little room for </w:t>
      </w:r>
      <w:r w:rsidR="000B6345">
        <w:rPr>
          <w:u w:color="FB0007"/>
        </w:rPr>
        <w:t xml:space="preserve">operational </w:t>
      </w:r>
      <w:r w:rsidR="000C3BE0" w:rsidRPr="00A75A77">
        <w:rPr>
          <w:u w:color="FB0007"/>
        </w:rPr>
        <w:t xml:space="preserve">ministries such as MoH </w:t>
      </w:r>
      <w:r w:rsidRPr="00A75A77">
        <w:rPr>
          <w:u w:color="FB0007"/>
        </w:rPr>
        <w:t xml:space="preserve">to manage personnel for the particular needs of </w:t>
      </w:r>
      <w:r w:rsidR="000C3BE0" w:rsidRPr="00A75A77">
        <w:rPr>
          <w:u w:color="FB0007"/>
        </w:rPr>
        <w:t>their</w:t>
      </w:r>
      <w:r w:rsidRPr="00A75A77">
        <w:rPr>
          <w:u w:color="FB0007"/>
        </w:rPr>
        <w:t xml:space="preserve"> sector</w:t>
      </w:r>
      <w:r w:rsidR="000C3BE0" w:rsidRPr="00A75A77">
        <w:rPr>
          <w:u w:color="FB0007"/>
        </w:rPr>
        <w:t>s</w:t>
      </w:r>
      <w:r w:rsidR="00A86B02">
        <w:rPr>
          <w:u w:color="FB0007"/>
        </w:rPr>
        <w:t>.</w:t>
      </w:r>
    </w:p>
    <w:p w14:paraId="681DE338" w14:textId="77777777" w:rsidR="000B6345" w:rsidRDefault="00A75A77" w:rsidP="008B66AE">
      <w:pPr>
        <w:rPr>
          <w:rFonts w:eastAsia="Times New Roman"/>
          <w:color w:val="000000"/>
        </w:rPr>
      </w:pPr>
      <w:r>
        <w:rPr>
          <w:u w:color="FB0007"/>
        </w:rPr>
        <w:t xml:space="preserve">A </w:t>
      </w:r>
      <w:r>
        <w:rPr>
          <w:rFonts w:eastAsia="Times New Roman"/>
          <w:color w:val="000000"/>
        </w:rPr>
        <w:t>m</w:t>
      </w:r>
      <w:r w:rsidR="00217B45" w:rsidRPr="00A75A77">
        <w:rPr>
          <w:rFonts w:eastAsia="Times New Roman"/>
          <w:color w:val="000000"/>
        </w:rPr>
        <w:t xml:space="preserve">ajor </w:t>
      </w:r>
      <w:r>
        <w:rPr>
          <w:rFonts w:eastAsia="Times New Roman"/>
          <w:color w:val="000000"/>
        </w:rPr>
        <w:t xml:space="preserve">issue for the </w:t>
      </w:r>
      <w:r w:rsidR="007D7EFF" w:rsidRPr="00A75A77">
        <w:rPr>
          <w:rFonts w:eastAsia="Times New Roman"/>
          <w:color w:val="000000"/>
        </w:rPr>
        <w:t>MoH</w:t>
      </w:r>
      <w:r w:rsidR="00217B45" w:rsidRPr="00A75A77">
        <w:rPr>
          <w:rFonts w:eastAsia="Times New Roman"/>
          <w:color w:val="000000"/>
        </w:rPr>
        <w:t xml:space="preserve"> </w:t>
      </w:r>
      <w:r>
        <w:rPr>
          <w:rFonts w:eastAsia="Times New Roman"/>
          <w:color w:val="000000"/>
        </w:rPr>
        <w:t xml:space="preserve">and DFAT throughout both phases of THSSP has been </w:t>
      </w:r>
      <w:r w:rsidR="00217B45" w:rsidRPr="00A75A77">
        <w:rPr>
          <w:rFonts w:eastAsia="Times New Roman"/>
          <w:color w:val="000000"/>
        </w:rPr>
        <w:t xml:space="preserve">the inability </w:t>
      </w:r>
      <w:r>
        <w:rPr>
          <w:rFonts w:eastAsia="Times New Roman"/>
          <w:color w:val="000000"/>
        </w:rPr>
        <w:t xml:space="preserve">of GoT </w:t>
      </w:r>
      <w:r w:rsidR="00217B45" w:rsidRPr="0019561B">
        <w:rPr>
          <w:rFonts w:eastAsia="Times New Roman"/>
          <w:color w:val="000000"/>
        </w:rPr>
        <w:t xml:space="preserve">to provide </w:t>
      </w:r>
      <w:r w:rsidR="000B6345" w:rsidRPr="0019561B">
        <w:rPr>
          <w:rFonts w:eastAsia="Times New Roman"/>
          <w:color w:val="000000"/>
        </w:rPr>
        <w:t xml:space="preserve">regionally </w:t>
      </w:r>
      <w:r w:rsidR="00217B45" w:rsidRPr="0019561B">
        <w:rPr>
          <w:rFonts w:eastAsia="Times New Roman"/>
          <w:color w:val="000000"/>
        </w:rPr>
        <w:t>competitive remuneration for highly qualified medical professionals</w:t>
      </w:r>
      <w:r w:rsidR="000B6345" w:rsidRPr="0019561B">
        <w:rPr>
          <w:rFonts w:eastAsia="Times New Roman"/>
          <w:color w:val="000000"/>
        </w:rPr>
        <w:t xml:space="preserve">, </w:t>
      </w:r>
      <w:r w:rsidR="00217B45" w:rsidRPr="0019561B">
        <w:rPr>
          <w:rFonts w:eastAsia="Times New Roman"/>
          <w:color w:val="000000"/>
        </w:rPr>
        <w:t xml:space="preserve">leading to topping up of salaries by </w:t>
      </w:r>
      <w:r w:rsidRPr="0019561B">
        <w:rPr>
          <w:rFonts w:eastAsia="Times New Roman"/>
          <w:color w:val="000000"/>
        </w:rPr>
        <w:t xml:space="preserve">DFAT. </w:t>
      </w:r>
      <w:r w:rsidR="000B6345" w:rsidRPr="0019561B">
        <w:rPr>
          <w:rFonts w:eastAsia="Times New Roman"/>
          <w:color w:val="000000"/>
        </w:rPr>
        <w:t xml:space="preserve">The evaluation team understood that during THSSP1, DFAT </w:t>
      </w:r>
      <w:r w:rsidR="00B4266F" w:rsidRPr="0019561B">
        <w:rPr>
          <w:rFonts w:eastAsia="Times New Roman"/>
          <w:color w:val="000000"/>
        </w:rPr>
        <w:t xml:space="preserve">budget support </w:t>
      </w:r>
      <w:r w:rsidR="000B6345" w:rsidRPr="0019561B">
        <w:rPr>
          <w:rFonts w:eastAsia="Times New Roman"/>
          <w:color w:val="000000"/>
        </w:rPr>
        <w:t>had funded salary supplements for identified posi</w:t>
      </w:r>
      <w:r w:rsidR="00B4266F" w:rsidRPr="0019561B">
        <w:rPr>
          <w:rFonts w:eastAsia="Times New Roman"/>
          <w:color w:val="000000"/>
        </w:rPr>
        <w:t xml:space="preserve">tions of critical </w:t>
      </w:r>
      <w:r w:rsidR="00B4266F" w:rsidRPr="00672333">
        <w:rPr>
          <w:rFonts w:eastAsia="Times New Roman"/>
          <w:noProof/>
          <w:color w:val="000000"/>
        </w:rPr>
        <w:t>shortage</w:t>
      </w:r>
      <w:r w:rsidR="000B6345" w:rsidRPr="00672333">
        <w:rPr>
          <w:rFonts w:eastAsia="Times New Roman"/>
          <w:noProof/>
          <w:color w:val="000000"/>
        </w:rPr>
        <w:t>,</w:t>
      </w:r>
      <w:r w:rsidR="000B6345" w:rsidRPr="0019561B">
        <w:rPr>
          <w:rFonts w:eastAsia="Times New Roman"/>
          <w:color w:val="000000"/>
        </w:rPr>
        <w:t xml:space="preserve"> and that this was a </w:t>
      </w:r>
      <w:r w:rsidR="00672333">
        <w:rPr>
          <w:rFonts w:eastAsia="Times New Roman"/>
          <w:color w:val="000000"/>
        </w:rPr>
        <w:t>‘</w:t>
      </w:r>
      <w:r w:rsidR="000B6345" w:rsidRPr="0019561B">
        <w:rPr>
          <w:rFonts w:eastAsia="Times New Roman"/>
          <w:color w:val="000000"/>
        </w:rPr>
        <w:t>legacy investment</w:t>
      </w:r>
      <w:r w:rsidR="00672333">
        <w:rPr>
          <w:rFonts w:eastAsia="Times New Roman"/>
          <w:color w:val="000000"/>
        </w:rPr>
        <w:t>’</w:t>
      </w:r>
      <w:r w:rsidR="000B6345" w:rsidRPr="0019561B">
        <w:rPr>
          <w:rFonts w:eastAsia="Times New Roman"/>
          <w:color w:val="000000"/>
        </w:rPr>
        <w:t xml:space="preserve"> that pre-dated THSSP. The arrangement was carried over into</w:t>
      </w:r>
      <w:r w:rsidR="000B6345">
        <w:rPr>
          <w:rFonts w:eastAsia="Times New Roman"/>
          <w:color w:val="000000"/>
        </w:rPr>
        <w:t xml:space="preserve"> THSSP2 </w:t>
      </w:r>
      <w:r w:rsidR="000B6345" w:rsidRPr="00672333">
        <w:rPr>
          <w:rFonts w:eastAsia="Times New Roman"/>
          <w:noProof/>
          <w:color w:val="000000"/>
        </w:rPr>
        <w:t>despite the fact that</w:t>
      </w:r>
      <w:r w:rsidR="000B6345">
        <w:rPr>
          <w:rFonts w:eastAsia="Times New Roman"/>
          <w:color w:val="000000"/>
        </w:rPr>
        <w:t xml:space="preserve"> the medical specialist positions </w:t>
      </w:r>
      <w:r w:rsidR="000B6345" w:rsidRPr="00672333">
        <w:rPr>
          <w:rFonts w:eastAsia="Times New Roman"/>
          <w:noProof/>
          <w:color w:val="000000"/>
        </w:rPr>
        <w:t>being supported</w:t>
      </w:r>
      <w:r w:rsidR="000B6345">
        <w:rPr>
          <w:rFonts w:eastAsia="Times New Roman"/>
          <w:color w:val="000000"/>
        </w:rPr>
        <w:t xml:space="preserve"> are in acute clinical care and not directly related to the high-level targets of THSSP2. There is no simple </w:t>
      </w:r>
      <w:r w:rsidR="00672333">
        <w:rPr>
          <w:rFonts w:eastAsia="Times New Roman"/>
          <w:color w:val="000000"/>
        </w:rPr>
        <w:t xml:space="preserve">resolution. Medical specialists are internationally mobile </w:t>
      </w:r>
      <w:r w:rsidR="00F12A69">
        <w:rPr>
          <w:rFonts w:eastAsia="Times New Roman"/>
          <w:color w:val="000000"/>
        </w:rPr>
        <w:t>and the small population size of Tonga means that some medical specialists are sole provider</w:t>
      </w:r>
      <w:r w:rsidR="00F938B2">
        <w:rPr>
          <w:rFonts w:eastAsia="Times New Roman"/>
          <w:color w:val="000000"/>
        </w:rPr>
        <w:t>s</w:t>
      </w:r>
      <w:r w:rsidR="00F12A69">
        <w:rPr>
          <w:rFonts w:eastAsia="Times New Roman"/>
          <w:color w:val="000000"/>
        </w:rPr>
        <w:t xml:space="preserve"> in thei</w:t>
      </w:r>
      <w:r w:rsidR="00F938B2">
        <w:rPr>
          <w:rFonts w:eastAsia="Times New Roman"/>
          <w:color w:val="000000"/>
        </w:rPr>
        <w:t xml:space="preserve">r specialty. DFAT is conscious of the sensitivity of the situation and has worked directly with the PSC to ensure that GoT mechanisms for supplementing positions of critical shortage </w:t>
      </w:r>
      <w:r w:rsidR="00F938B2" w:rsidRPr="00A318B9">
        <w:rPr>
          <w:rFonts w:eastAsia="Times New Roman"/>
          <w:noProof/>
          <w:color w:val="000000"/>
        </w:rPr>
        <w:t>are fully exploited</w:t>
      </w:r>
      <w:r w:rsidR="00F938B2">
        <w:rPr>
          <w:rFonts w:eastAsia="Times New Roman"/>
          <w:color w:val="000000"/>
        </w:rPr>
        <w:t xml:space="preserve">. DFAT advised the evaluation team that it had a strategy to phase out support for medical specialist remuneration by the end of THSSP2. The evaluation team is mindful that DFAT Post will remain exposed to lobbying and it may be helpful to preclude this type </w:t>
      </w:r>
      <w:r w:rsidR="00F938B2">
        <w:rPr>
          <w:rFonts w:eastAsia="Times New Roman"/>
          <w:color w:val="000000"/>
        </w:rPr>
        <w:lastRenderedPageBreak/>
        <w:t>of expenditure in future health program designs</w:t>
      </w:r>
      <w:r w:rsidR="00162433">
        <w:rPr>
          <w:rFonts w:eastAsia="Times New Roman"/>
          <w:color w:val="000000"/>
        </w:rPr>
        <w:t xml:space="preserve"> (assuming a continuing focus on </w:t>
      </w:r>
      <w:r w:rsidR="007F24D7">
        <w:rPr>
          <w:rFonts w:eastAsia="Times New Roman"/>
          <w:color w:val="000000"/>
        </w:rPr>
        <w:t>NCD prevention</w:t>
      </w:r>
      <w:r w:rsidR="00162433">
        <w:rPr>
          <w:rFonts w:eastAsia="Times New Roman"/>
          <w:color w:val="000000"/>
        </w:rPr>
        <w:t xml:space="preserve"> and </w:t>
      </w:r>
      <w:r w:rsidR="007F24D7">
        <w:rPr>
          <w:rFonts w:eastAsia="Times New Roman"/>
          <w:color w:val="000000"/>
        </w:rPr>
        <w:t>management in primary health care</w:t>
      </w:r>
      <w:r w:rsidR="00162433">
        <w:rPr>
          <w:rFonts w:eastAsia="Times New Roman"/>
          <w:color w:val="000000"/>
        </w:rPr>
        <w:t>)</w:t>
      </w:r>
      <w:r w:rsidR="00F938B2">
        <w:rPr>
          <w:rFonts w:eastAsia="Times New Roman"/>
          <w:color w:val="000000"/>
        </w:rPr>
        <w:t>.</w:t>
      </w:r>
    </w:p>
    <w:p w14:paraId="5DA2BABA" w14:textId="77777777" w:rsidR="00217B45" w:rsidRDefault="00A75A77" w:rsidP="008B66AE">
      <w:r>
        <w:rPr>
          <w:rFonts w:eastAsia="Times New Roman"/>
          <w:color w:val="000000"/>
        </w:rPr>
        <w:t xml:space="preserve">Another unaddressed but strategic issue has been </w:t>
      </w:r>
      <w:r w:rsidR="00217B45" w:rsidRPr="00A75A77">
        <w:rPr>
          <w:rFonts w:eastAsia="Times New Roman"/>
          <w:color w:val="000000"/>
        </w:rPr>
        <w:t>the excessive use of overtime</w:t>
      </w:r>
      <w:r>
        <w:rPr>
          <w:rFonts w:eastAsia="Times New Roman"/>
          <w:color w:val="000000"/>
        </w:rPr>
        <w:t xml:space="preserve"> in the MoH</w:t>
      </w:r>
      <w:r w:rsidR="00217B45" w:rsidRPr="00A75A77">
        <w:rPr>
          <w:rFonts w:eastAsia="Times New Roman"/>
          <w:color w:val="000000"/>
        </w:rPr>
        <w:t xml:space="preserve">, </w:t>
      </w:r>
      <w:r>
        <w:rPr>
          <w:rFonts w:eastAsia="Times New Roman"/>
          <w:color w:val="000000"/>
        </w:rPr>
        <w:t xml:space="preserve">which may mask </w:t>
      </w:r>
      <w:r w:rsidR="00F938B2">
        <w:rPr>
          <w:rFonts w:eastAsia="Times New Roman"/>
          <w:color w:val="000000"/>
        </w:rPr>
        <w:t xml:space="preserve">underlying </w:t>
      </w:r>
      <w:r>
        <w:rPr>
          <w:rFonts w:eastAsia="Times New Roman"/>
          <w:color w:val="000000"/>
        </w:rPr>
        <w:t xml:space="preserve">workforce shortages, or it may be a </w:t>
      </w:r>
      <w:r w:rsidRPr="000B6345">
        <w:rPr>
          <w:rFonts w:eastAsia="Times New Roman"/>
          <w:i/>
          <w:color w:val="000000"/>
        </w:rPr>
        <w:t>de facto</w:t>
      </w:r>
      <w:r>
        <w:rPr>
          <w:rFonts w:eastAsia="Times New Roman"/>
          <w:color w:val="000000"/>
        </w:rPr>
        <w:t xml:space="preserve"> device for health workers to </w:t>
      </w:r>
      <w:r w:rsidR="000B6345">
        <w:rPr>
          <w:rFonts w:eastAsia="Times New Roman"/>
          <w:color w:val="000000"/>
        </w:rPr>
        <w:t xml:space="preserve">supplement their base salaries. Excessive overtime reduces the </w:t>
      </w:r>
      <w:r w:rsidR="000B6345" w:rsidRPr="00A318B9">
        <w:rPr>
          <w:rFonts w:eastAsia="Times New Roman"/>
          <w:noProof/>
          <w:color w:val="000000"/>
        </w:rPr>
        <w:t>amount</w:t>
      </w:r>
      <w:r w:rsidR="000B6345">
        <w:rPr>
          <w:rFonts w:eastAsia="Times New Roman"/>
          <w:color w:val="000000"/>
        </w:rPr>
        <w:t xml:space="preserve"> of funds available to support MoH operations, and yet it is not acknowledged in the planning and budgeting that is central to the design of THSSP2. </w:t>
      </w:r>
      <w:r w:rsidR="00A445D7">
        <w:t xml:space="preserve">The MoH has a draft </w:t>
      </w:r>
      <w:r w:rsidR="00A445D7">
        <w:rPr>
          <w:noProof/>
        </w:rPr>
        <w:t xml:space="preserve">Health Workforce Strategic Plan 2016-2020 that contains some useful actions to improve staff supervision and performance management. </w:t>
      </w:r>
      <w:r w:rsidR="000B6345">
        <w:t>In the longer term, the PSC is considering decentralis</w:t>
      </w:r>
      <w:r w:rsidR="00217B45" w:rsidRPr="00A75A77">
        <w:t xml:space="preserve">ing </w:t>
      </w:r>
      <w:r w:rsidR="000B6345">
        <w:t xml:space="preserve">personnel </w:t>
      </w:r>
      <w:r w:rsidR="00217B45" w:rsidRPr="00A75A77">
        <w:t>management</w:t>
      </w:r>
      <w:r w:rsidR="000B6345">
        <w:t xml:space="preserve"> which might lead to useful flexibility at operational ministry level, but MoH has not demonstrated the ability to link strateg</w:t>
      </w:r>
      <w:r w:rsidR="00F938B2">
        <w:t>ic planning to budgeting</w:t>
      </w:r>
      <w:r w:rsidR="00F938B2" w:rsidRPr="00A318B9">
        <w:rPr>
          <w:noProof/>
        </w:rPr>
        <w:t>, therefore</w:t>
      </w:r>
      <w:r w:rsidR="00F938B2">
        <w:t xml:space="preserve"> it seems unlikely to address the overtime issue.</w:t>
      </w:r>
    </w:p>
    <w:p w14:paraId="46E2542D" w14:textId="77777777" w:rsidR="008B66AE" w:rsidRDefault="00F938B2" w:rsidP="0012268D">
      <w:pPr>
        <w:spacing w:after="0"/>
        <w:rPr>
          <w:szCs w:val="23"/>
        </w:rPr>
      </w:pPr>
      <w:r>
        <w:rPr>
          <w:szCs w:val="23"/>
        </w:rPr>
        <w:t>In the experience of the evaluation team, the</w:t>
      </w:r>
      <w:r w:rsidR="004B1B1A">
        <w:rPr>
          <w:szCs w:val="23"/>
        </w:rPr>
        <w:t xml:space="preserve">re are other workplace practices and behaviours that may </w:t>
      </w:r>
      <w:r w:rsidR="004B1B1A" w:rsidRPr="00A318B9">
        <w:rPr>
          <w:noProof/>
          <w:szCs w:val="23"/>
        </w:rPr>
        <w:t>be overlooked</w:t>
      </w:r>
      <w:r w:rsidR="004B1B1A">
        <w:rPr>
          <w:szCs w:val="23"/>
        </w:rPr>
        <w:t xml:space="preserve">. </w:t>
      </w:r>
      <w:r w:rsidR="004E6917">
        <w:rPr>
          <w:szCs w:val="23"/>
        </w:rPr>
        <w:t>Excessive overtime is already an issue</w:t>
      </w:r>
      <w:r w:rsidR="00672333">
        <w:rPr>
          <w:szCs w:val="23"/>
        </w:rPr>
        <w:t>;</w:t>
      </w:r>
      <w:r w:rsidR="004E6917">
        <w:rPr>
          <w:szCs w:val="23"/>
        </w:rPr>
        <w:t xml:space="preserve"> the accompanying issue is excessive absenteeism (whether due to formal sick leave or unexplained absence). </w:t>
      </w:r>
      <w:r w:rsidR="004E6917" w:rsidRPr="00A318B9">
        <w:rPr>
          <w:noProof/>
          <w:szCs w:val="23"/>
        </w:rPr>
        <w:t xml:space="preserve">Supervision practices in </w:t>
      </w:r>
      <w:r w:rsidRPr="00A318B9">
        <w:rPr>
          <w:noProof/>
          <w:szCs w:val="23"/>
        </w:rPr>
        <w:t xml:space="preserve">hierarchical societies </w:t>
      </w:r>
      <w:r w:rsidR="00B51609" w:rsidRPr="00A318B9">
        <w:rPr>
          <w:noProof/>
          <w:szCs w:val="23"/>
        </w:rPr>
        <w:t xml:space="preserve">are </w:t>
      </w:r>
      <w:r w:rsidRPr="00A318B9">
        <w:rPr>
          <w:noProof/>
          <w:szCs w:val="23"/>
        </w:rPr>
        <w:t xml:space="preserve">not </w:t>
      </w:r>
      <w:r w:rsidR="00B51609" w:rsidRPr="00A318B9">
        <w:rPr>
          <w:noProof/>
          <w:szCs w:val="23"/>
        </w:rPr>
        <w:t xml:space="preserve">well </w:t>
      </w:r>
      <w:r w:rsidRPr="00A318B9">
        <w:rPr>
          <w:noProof/>
          <w:szCs w:val="23"/>
        </w:rPr>
        <w:t>unders</w:t>
      </w:r>
      <w:r w:rsidR="0024017D" w:rsidRPr="00A318B9">
        <w:rPr>
          <w:noProof/>
          <w:szCs w:val="23"/>
        </w:rPr>
        <w:t>tood by people from other cultures</w:t>
      </w:r>
      <w:r w:rsidRPr="00A75A77">
        <w:rPr>
          <w:szCs w:val="23"/>
        </w:rPr>
        <w:t>.</w:t>
      </w:r>
      <w:r w:rsidR="0024017D">
        <w:rPr>
          <w:szCs w:val="23"/>
        </w:rPr>
        <w:t xml:space="preserve"> These issues are well beyond the remit of THSSP2 to address, but they do actively affect the ability of THSSP2 to achieve its stated objectives.</w:t>
      </w:r>
    </w:p>
    <w:p w14:paraId="73C41DAF" w14:textId="77777777" w:rsidR="00875113" w:rsidRPr="00692D02" w:rsidRDefault="00875113" w:rsidP="0012268D">
      <w:pPr>
        <w:spacing w:after="0"/>
        <w:rPr>
          <w:rFonts w:eastAsia="Times New Roman"/>
          <w:color w:val="000000"/>
        </w:rPr>
      </w:pPr>
    </w:p>
    <w:p w14:paraId="45B3AC86" w14:textId="77777777" w:rsidR="00E97A3B" w:rsidRPr="00002A48" w:rsidRDefault="00C247DD" w:rsidP="00DD0215">
      <w:pPr>
        <w:pStyle w:val="Level2Heading"/>
        <w:numPr>
          <w:ilvl w:val="0"/>
          <w:numId w:val="0"/>
        </w:numPr>
        <w:rPr>
          <w:rStyle w:val="Heading2Char"/>
          <w:b/>
        </w:rPr>
      </w:pPr>
      <w:bookmarkStart w:id="59" w:name="_Toc536205459"/>
      <w:r>
        <w:rPr>
          <w:rStyle w:val="Heading2Char"/>
          <w:b/>
        </w:rPr>
        <w:t>3.3</w:t>
      </w:r>
      <w:r>
        <w:rPr>
          <w:rStyle w:val="Heading2Char"/>
          <w:b/>
        </w:rPr>
        <w:tab/>
      </w:r>
      <w:r w:rsidR="00E97A3B">
        <w:rPr>
          <w:rStyle w:val="Heading2Char"/>
          <w:b/>
        </w:rPr>
        <w:t>Program implementation issues</w:t>
      </w:r>
      <w:bookmarkEnd w:id="59"/>
    </w:p>
    <w:p w14:paraId="18EE6487" w14:textId="77777777" w:rsidR="00EC419B" w:rsidRDefault="00143078" w:rsidP="00692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left="30" w:right="30"/>
      </w:pPr>
      <w:r w:rsidRPr="0097191B">
        <w:t xml:space="preserve">The </w:t>
      </w:r>
      <w:r>
        <w:t>third co</w:t>
      </w:r>
      <w:r w:rsidR="00827444">
        <w:t>mponent of the evaluation</w:t>
      </w:r>
      <w:r w:rsidR="00692D02">
        <w:t xml:space="preserve"> considers the performance of THSSP2 performance through the lens of how THSSP2 has </w:t>
      </w:r>
      <w:r w:rsidR="00692D02" w:rsidRPr="00A318B9">
        <w:rPr>
          <w:noProof/>
        </w:rPr>
        <w:t>been implemented</w:t>
      </w:r>
      <w:r w:rsidR="00692D02">
        <w:t xml:space="preserve"> to date.</w:t>
      </w:r>
    </w:p>
    <w:p w14:paraId="0C934C56" w14:textId="77777777" w:rsidR="00143078" w:rsidRDefault="006823DF" w:rsidP="006823DF">
      <w:pPr>
        <w:pStyle w:val="Heading3"/>
      </w:pPr>
      <w:bookmarkStart w:id="60" w:name="_Toc536205460"/>
      <w:bookmarkStart w:id="61" w:name="_Toc536205461"/>
      <w:bookmarkEnd w:id="60"/>
      <w:r>
        <w:t>3.3.1</w:t>
      </w:r>
      <w:r>
        <w:tab/>
      </w:r>
      <w:r w:rsidR="00827444">
        <w:t>Program activities and investments</w:t>
      </w:r>
      <w:bookmarkEnd w:id="61"/>
    </w:p>
    <w:p w14:paraId="09E4490D" w14:textId="77777777" w:rsidR="00827444" w:rsidRDefault="005A1708" w:rsidP="00E07E05">
      <w:pPr>
        <w:rPr>
          <w:rFonts w:eastAsia="Times New Roman" w:cstheme="minorHAnsi"/>
          <w:color w:val="000000"/>
          <w:lang w:eastAsia="en-GB"/>
        </w:rPr>
      </w:pPr>
      <w:r>
        <w:rPr>
          <w:rFonts w:eastAsia="Times New Roman" w:cstheme="minorHAnsi"/>
          <w:color w:val="000000"/>
          <w:lang w:eastAsia="en-GB"/>
        </w:rPr>
        <w:t>As per the ‘annual planning’ section in 3.2 above, d</w:t>
      </w:r>
      <w:r w:rsidR="00E07E05" w:rsidRPr="00827444">
        <w:rPr>
          <w:rFonts w:eastAsia="Times New Roman" w:cstheme="minorHAnsi"/>
          <w:color w:val="000000"/>
          <w:lang w:eastAsia="en-GB"/>
        </w:rPr>
        <w:t xml:space="preserve">espite the </w:t>
      </w:r>
      <w:r w:rsidR="00827444">
        <w:rPr>
          <w:rFonts w:eastAsia="Times New Roman" w:cstheme="minorHAnsi"/>
          <w:color w:val="000000"/>
          <w:lang w:eastAsia="en-GB"/>
        </w:rPr>
        <w:t>intention</w:t>
      </w:r>
      <w:r w:rsidR="00E07E05" w:rsidRPr="00827444">
        <w:rPr>
          <w:rFonts w:eastAsia="Times New Roman" w:cstheme="minorHAnsi"/>
          <w:color w:val="000000"/>
          <w:lang w:eastAsia="en-GB"/>
        </w:rPr>
        <w:t xml:space="preserve"> of the THSSP2 program design to integrate into </w:t>
      </w:r>
      <w:r w:rsidR="00827444">
        <w:rPr>
          <w:rFonts w:eastAsia="Times New Roman" w:cstheme="minorHAnsi"/>
          <w:color w:val="000000"/>
          <w:lang w:eastAsia="en-GB"/>
        </w:rPr>
        <w:t xml:space="preserve">MoH’s </w:t>
      </w:r>
      <w:r w:rsidR="00827444" w:rsidRPr="00A318B9">
        <w:rPr>
          <w:rFonts w:eastAsia="Times New Roman" w:cstheme="minorHAnsi"/>
          <w:noProof/>
          <w:color w:val="000000"/>
          <w:lang w:eastAsia="en-GB"/>
        </w:rPr>
        <w:t>own</w:t>
      </w:r>
      <w:r w:rsidR="00827444">
        <w:rPr>
          <w:rFonts w:eastAsia="Times New Roman" w:cstheme="minorHAnsi"/>
          <w:color w:val="000000"/>
          <w:lang w:eastAsia="en-GB"/>
        </w:rPr>
        <w:t xml:space="preserve"> annual planning process, this w</w:t>
      </w:r>
      <w:r w:rsidR="00E07E05" w:rsidRPr="00827444">
        <w:rPr>
          <w:rFonts w:eastAsia="Times New Roman" w:cstheme="minorHAnsi"/>
          <w:color w:val="000000"/>
          <w:lang w:eastAsia="en-GB"/>
        </w:rPr>
        <w:t xml:space="preserve">as not </w:t>
      </w:r>
      <w:r w:rsidR="00827444">
        <w:rPr>
          <w:rFonts w:eastAsia="Times New Roman" w:cstheme="minorHAnsi"/>
          <w:color w:val="000000"/>
          <w:lang w:eastAsia="en-GB"/>
        </w:rPr>
        <w:t>achieved</w:t>
      </w:r>
      <w:r w:rsidR="008834E5">
        <w:rPr>
          <w:rFonts w:eastAsia="Times New Roman" w:cstheme="minorHAnsi"/>
          <w:color w:val="000000"/>
          <w:lang w:eastAsia="en-GB"/>
        </w:rPr>
        <w:t>,</w:t>
      </w:r>
      <w:r w:rsidR="00827444">
        <w:rPr>
          <w:rFonts w:eastAsia="Times New Roman" w:cstheme="minorHAnsi"/>
          <w:color w:val="000000"/>
          <w:lang w:eastAsia="en-GB"/>
        </w:rPr>
        <w:t xml:space="preserve"> </w:t>
      </w:r>
      <w:r w:rsidR="00827444" w:rsidRPr="00A318B9">
        <w:rPr>
          <w:rFonts w:eastAsia="Times New Roman" w:cstheme="minorHAnsi"/>
          <w:noProof/>
          <w:color w:val="000000"/>
          <w:lang w:eastAsia="en-GB"/>
        </w:rPr>
        <w:t>and</w:t>
      </w:r>
      <w:r w:rsidR="00827444">
        <w:rPr>
          <w:rFonts w:eastAsia="Times New Roman" w:cstheme="minorHAnsi"/>
          <w:color w:val="000000"/>
          <w:lang w:eastAsia="en-GB"/>
        </w:rPr>
        <w:t xml:space="preserve"> the project-like planning arrangement persists. Also, as explained under ‘Human Resources’, THSSP2 inherited legacy investments that are not necessarily consistent with the five high-level program targets.</w:t>
      </w:r>
      <w:r w:rsidR="0056309C">
        <w:rPr>
          <w:rFonts w:eastAsia="Times New Roman" w:cstheme="minorHAnsi"/>
          <w:color w:val="000000"/>
          <w:lang w:eastAsia="en-GB"/>
        </w:rPr>
        <w:t xml:space="preserve"> Table </w:t>
      </w:r>
      <w:r w:rsidR="00EC6E98">
        <w:rPr>
          <w:rFonts w:eastAsia="Times New Roman" w:cstheme="minorHAnsi"/>
          <w:color w:val="000000"/>
          <w:lang w:eastAsia="en-GB"/>
        </w:rPr>
        <w:t xml:space="preserve">4 </w:t>
      </w:r>
      <w:r w:rsidR="0056309C">
        <w:rPr>
          <w:rFonts w:eastAsia="Times New Roman" w:cstheme="minorHAnsi"/>
          <w:color w:val="000000"/>
          <w:lang w:eastAsia="en-GB"/>
        </w:rPr>
        <w:t xml:space="preserve">shows </w:t>
      </w:r>
      <w:r w:rsidR="0056309C" w:rsidRPr="00A318B9">
        <w:rPr>
          <w:rFonts w:eastAsia="Times New Roman" w:cstheme="minorHAnsi"/>
          <w:noProof/>
          <w:color w:val="000000"/>
          <w:lang w:eastAsia="en-GB"/>
        </w:rPr>
        <w:t>actual</w:t>
      </w:r>
      <w:r w:rsidR="0056309C">
        <w:rPr>
          <w:rFonts w:eastAsia="Times New Roman" w:cstheme="minorHAnsi"/>
          <w:color w:val="000000"/>
          <w:lang w:eastAsia="en-GB"/>
        </w:rPr>
        <w:t xml:space="preserve"> program expenditure to date</w:t>
      </w:r>
      <w:r w:rsidR="003B6D75">
        <w:rPr>
          <w:rFonts w:eastAsia="Times New Roman" w:cstheme="minorHAnsi"/>
          <w:color w:val="000000"/>
          <w:lang w:eastAsia="en-GB"/>
        </w:rPr>
        <w:t>, examples of types of activities and approximate allocations by MoH division</w:t>
      </w:r>
      <w:r w:rsidR="0056309C">
        <w:rPr>
          <w:rFonts w:eastAsia="Times New Roman" w:cstheme="minorHAnsi"/>
          <w:color w:val="000000"/>
          <w:lang w:eastAsia="en-GB"/>
        </w:rPr>
        <w:t>.</w:t>
      </w:r>
    </w:p>
    <w:p w14:paraId="15D327FB" w14:textId="77777777" w:rsidR="0056309C" w:rsidRPr="0056309C" w:rsidRDefault="0056309C" w:rsidP="0056309C">
      <w:pPr>
        <w:spacing w:after="0"/>
        <w:rPr>
          <w:rFonts w:eastAsia="Times New Roman" w:cstheme="minorHAnsi"/>
          <w:b/>
          <w:color w:val="000000"/>
          <w:lang w:eastAsia="en-GB"/>
        </w:rPr>
      </w:pPr>
      <w:r w:rsidRPr="0056309C">
        <w:rPr>
          <w:rFonts w:eastAsia="Times New Roman" w:cstheme="minorHAnsi"/>
          <w:b/>
          <w:color w:val="000000"/>
          <w:lang w:eastAsia="en-GB"/>
        </w:rPr>
        <w:t xml:space="preserve">Table </w:t>
      </w:r>
      <w:r w:rsidR="00EC6E98">
        <w:rPr>
          <w:rFonts w:eastAsia="Times New Roman" w:cstheme="minorHAnsi"/>
          <w:b/>
          <w:color w:val="000000"/>
          <w:lang w:eastAsia="en-GB"/>
        </w:rPr>
        <w:t>4</w:t>
      </w:r>
      <w:r w:rsidRPr="0056309C">
        <w:rPr>
          <w:rFonts w:eastAsia="Times New Roman" w:cstheme="minorHAnsi"/>
          <w:b/>
          <w:color w:val="000000"/>
          <w:lang w:eastAsia="en-GB"/>
        </w:rPr>
        <w:t>: THSSP2</w:t>
      </w:r>
      <w:r w:rsidR="00AD0168">
        <w:rPr>
          <w:rFonts w:eastAsia="Times New Roman" w:cstheme="minorHAnsi"/>
          <w:b/>
          <w:color w:val="000000"/>
          <w:lang w:eastAsia="en-GB"/>
        </w:rPr>
        <w:t>-</w:t>
      </w:r>
      <w:r w:rsidRPr="0056309C">
        <w:rPr>
          <w:rFonts w:eastAsia="Times New Roman" w:cstheme="minorHAnsi"/>
          <w:b/>
          <w:color w:val="000000"/>
          <w:lang w:eastAsia="en-GB"/>
        </w:rPr>
        <w:t xml:space="preserve">funded </w:t>
      </w:r>
      <w:r w:rsidR="00AD0168">
        <w:rPr>
          <w:rFonts w:eastAsia="Times New Roman" w:cstheme="minorHAnsi"/>
          <w:b/>
          <w:color w:val="000000"/>
          <w:lang w:eastAsia="en-GB"/>
        </w:rPr>
        <w:t xml:space="preserve">MoH </w:t>
      </w:r>
      <w:r w:rsidRPr="0056309C">
        <w:rPr>
          <w:rFonts w:eastAsia="Times New Roman" w:cstheme="minorHAnsi"/>
          <w:b/>
          <w:color w:val="000000"/>
          <w:lang w:eastAsia="en-GB"/>
        </w:rPr>
        <w:t>activities, 2015/16-2017/18</w:t>
      </w:r>
      <w:r w:rsidR="008834E5">
        <w:rPr>
          <w:rFonts w:eastAsia="Times New Roman" w:cstheme="minorHAnsi"/>
          <w:b/>
          <w:color w:val="000000"/>
          <w:lang w:eastAsia="en-GB"/>
        </w:rPr>
        <w:t xml:space="preserve"> in </w:t>
      </w:r>
      <w:r w:rsidR="008834E5" w:rsidRPr="008834E5">
        <w:rPr>
          <w:b/>
          <w:lang w:eastAsia="ja-JP"/>
        </w:rPr>
        <w:t>Tongan Pa’anga (TOP) currency</w:t>
      </w:r>
    </w:p>
    <w:tbl>
      <w:tblPr>
        <w:tblStyle w:val="TableGrid"/>
        <w:tblW w:w="0" w:type="auto"/>
        <w:tblLook w:val="04A0" w:firstRow="1" w:lastRow="0" w:firstColumn="1" w:lastColumn="0" w:noHBand="0" w:noVBand="1"/>
      </w:tblPr>
      <w:tblGrid>
        <w:gridCol w:w="1857"/>
        <w:gridCol w:w="3586"/>
        <w:gridCol w:w="1191"/>
        <w:gridCol w:w="1191"/>
        <w:gridCol w:w="1191"/>
      </w:tblGrid>
      <w:tr w:rsidR="00A94109" w:rsidRPr="005C62D6" w14:paraId="498E6996" w14:textId="77777777" w:rsidTr="005C62D6">
        <w:tc>
          <w:tcPr>
            <w:tcW w:w="0" w:type="auto"/>
            <w:shd w:val="clear" w:color="auto" w:fill="D9D9D9" w:themeFill="background1" w:themeFillShade="D9"/>
          </w:tcPr>
          <w:p w14:paraId="60B17AC2" w14:textId="77777777" w:rsidR="00747B67" w:rsidRPr="005C62D6" w:rsidRDefault="00A94109" w:rsidP="00E07E05">
            <w:pPr>
              <w:rPr>
                <w:rFonts w:eastAsia="Times New Roman" w:cstheme="minorHAnsi"/>
                <w:b/>
                <w:i/>
                <w:color w:val="000000"/>
                <w:sz w:val="20"/>
                <w:szCs w:val="20"/>
                <w:lang w:eastAsia="en-GB"/>
              </w:rPr>
            </w:pPr>
            <w:r>
              <w:rPr>
                <w:rFonts w:eastAsia="Times New Roman" w:cstheme="minorHAnsi"/>
                <w:b/>
                <w:i/>
                <w:color w:val="000000"/>
                <w:sz w:val="20"/>
                <w:szCs w:val="20"/>
                <w:lang w:eastAsia="en-GB"/>
              </w:rPr>
              <w:t>Division</w:t>
            </w:r>
          </w:p>
        </w:tc>
        <w:tc>
          <w:tcPr>
            <w:tcW w:w="0" w:type="auto"/>
            <w:shd w:val="clear" w:color="auto" w:fill="D9D9D9" w:themeFill="background1" w:themeFillShade="D9"/>
          </w:tcPr>
          <w:p w14:paraId="13BF559F" w14:textId="77777777" w:rsidR="00747B67" w:rsidRPr="005C62D6" w:rsidRDefault="00747B67" w:rsidP="00E07E05">
            <w:pPr>
              <w:rPr>
                <w:rFonts w:eastAsia="Times New Roman" w:cstheme="minorHAnsi"/>
                <w:b/>
                <w:i/>
                <w:color w:val="000000"/>
                <w:sz w:val="20"/>
                <w:szCs w:val="20"/>
                <w:lang w:eastAsia="en-GB"/>
              </w:rPr>
            </w:pPr>
            <w:r w:rsidRPr="005C62D6">
              <w:rPr>
                <w:rFonts w:eastAsia="Times New Roman" w:cstheme="minorHAnsi"/>
                <w:b/>
                <w:i/>
                <w:color w:val="000000"/>
                <w:sz w:val="20"/>
                <w:szCs w:val="20"/>
                <w:lang w:eastAsia="en-GB"/>
              </w:rPr>
              <w:t>Examples of activities</w:t>
            </w:r>
            <w:r w:rsidR="00A94109">
              <w:rPr>
                <w:rFonts w:eastAsia="Times New Roman" w:cstheme="minorHAnsi"/>
                <w:b/>
                <w:i/>
                <w:color w:val="000000"/>
                <w:sz w:val="20"/>
                <w:szCs w:val="20"/>
                <w:lang w:eastAsia="en-GB"/>
              </w:rPr>
              <w:t xml:space="preserve"> supported</w:t>
            </w:r>
          </w:p>
        </w:tc>
        <w:tc>
          <w:tcPr>
            <w:tcW w:w="0" w:type="auto"/>
            <w:shd w:val="clear" w:color="auto" w:fill="D9D9D9" w:themeFill="background1" w:themeFillShade="D9"/>
            <w:tcMar>
              <w:right w:w="170" w:type="dxa"/>
            </w:tcMar>
          </w:tcPr>
          <w:p w14:paraId="2E4472E1" w14:textId="77777777" w:rsidR="00747B67" w:rsidRPr="005C62D6" w:rsidRDefault="00747B67" w:rsidP="00747B67">
            <w:pPr>
              <w:jc w:val="right"/>
              <w:rPr>
                <w:rFonts w:eastAsia="Times New Roman" w:cstheme="minorHAnsi"/>
                <w:b/>
                <w:i/>
                <w:color w:val="000000"/>
                <w:sz w:val="20"/>
                <w:szCs w:val="20"/>
                <w:lang w:eastAsia="en-GB"/>
              </w:rPr>
            </w:pPr>
            <w:r w:rsidRPr="005C62D6">
              <w:rPr>
                <w:rFonts w:eastAsia="Times New Roman" w:cstheme="minorHAnsi"/>
                <w:b/>
                <w:i/>
                <w:color w:val="000000"/>
                <w:sz w:val="20"/>
                <w:szCs w:val="20"/>
                <w:lang w:eastAsia="en-GB"/>
              </w:rPr>
              <w:t>2015/16 (TOP)</w:t>
            </w:r>
          </w:p>
        </w:tc>
        <w:tc>
          <w:tcPr>
            <w:tcW w:w="0" w:type="auto"/>
            <w:shd w:val="clear" w:color="auto" w:fill="D9D9D9" w:themeFill="background1" w:themeFillShade="D9"/>
            <w:tcMar>
              <w:right w:w="170" w:type="dxa"/>
            </w:tcMar>
          </w:tcPr>
          <w:p w14:paraId="12F7EB79" w14:textId="77777777" w:rsidR="00747B67" w:rsidRPr="005C62D6" w:rsidRDefault="00747B67" w:rsidP="00747B67">
            <w:pPr>
              <w:jc w:val="right"/>
              <w:rPr>
                <w:rFonts w:eastAsia="Times New Roman" w:cstheme="minorHAnsi"/>
                <w:b/>
                <w:i/>
                <w:color w:val="000000"/>
                <w:sz w:val="20"/>
                <w:szCs w:val="20"/>
                <w:lang w:eastAsia="en-GB"/>
              </w:rPr>
            </w:pPr>
            <w:r w:rsidRPr="005C62D6">
              <w:rPr>
                <w:rFonts w:eastAsia="Times New Roman" w:cstheme="minorHAnsi"/>
                <w:b/>
                <w:i/>
                <w:color w:val="000000"/>
                <w:sz w:val="20"/>
                <w:szCs w:val="20"/>
                <w:lang w:eastAsia="en-GB"/>
              </w:rPr>
              <w:t>2016/17 (TOP)</w:t>
            </w:r>
          </w:p>
        </w:tc>
        <w:tc>
          <w:tcPr>
            <w:tcW w:w="0" w:type="auto"/>
            <w:shd w:val="clear" w:color="auto" w:fill="D9D9D9" w:themeFill="background1" w:themeFillShade="D9"/>
            <w:tcMar>
              <w:right w:w="170" w:type="dxa"/>
            </w:tcMar>
          </w:tcPr>
          <w:p w14:paraId="4C112A3E" w14:textId="77777777" w:rsidR="00747B67" w:rsidRPr="005C62D6" w:rsidRDefault="00747B67" w:rsidP="00747B67">
            <w:pPr>
              <w:jc w:val="right"/>
              <w:rPr>
                <w:rFonts w:eastAsia="Times New Roman" w:cstheme="minorHAnsi"/>
                <w:b/>
                <w:i/>
                <w:color w:val="000000"/>
                <w:sz w:val="20"/>
                <w:szCs w:val="20"/>
                <w:lang w:eastAsia="en-GB"/>
              </w:rPr>
            </w:pPr>
            <w:r w:rsidRPr="005C62D6">
              <w:rPr>
                <w:rFonts w:eastAsia="Times New Roman" w:cstheme="minorHAnsi"/>
                <w:b/>
                <w:i/>
                <w:color w:val="000000"/>
                <w:sz w:val="20"/>
                <w:szCs w:val="20"/>
                <w:lang w:eastAsia="en-GB"/>
              </w:rPr>
              <w:t>2017/18</w:t>
            </w:r>
            <w:r w:rsidR="00A94109">
              <w:rPr>
                <w:rFonts w:eastAsia="Times New Roman" w:cstheme="minorHAnsi"/>
                <w:b/>
                <w:i/>
                <w:color w:val="000000"/>
                <w:sz w:val="20"/>
                <w:szCs w:val="20"/>
                <w:lang w:eastAsia="en-GB"/>
              </w:rPr>
              <w:t xml:space="preserve"> (TOP)</w:t>
            </w:r>
          </w:p>
        </w:tc>
      </w:tr>
      <w:tr w:rsidR="00F216F2" w:rsidRPr="008F2855" w14:paraId="547E236F" w14:textId="77777777" w:rsidTr="00022CDD">
        <w:tc>
          <w:tcPr>
            <w:tcW w:w="0" w:type="auto"/>
            <w:vAlign w:val="center"/>
          </w:tcPr>
          <w:p w14:paraId="777569E5" w14:textId="77777777" w:rsidR="00747B67" w:rsidRPr="008F2855" w:rsidRDefault="00747B67" w:rsidP="00022CDD">
            <w:pPr>
              <w:rPr>
                <w:rFonts w:eastAsia="Times New Roman" w:cstheme="minorHAnsi"/>
                <w:color w:val="000000"/>
                <w:sz w:val="20"/>
                <w:szCs w:val="20"/>
                <w:lang w:eastAsia="en-GB"/>
              </w:rPr>
            </w:pPr>
            <w:r>
              <w:rPr>
                <w:rFonts w:eastAsia="Times New Roman" w:cstheme="minorHAnsi"/>
                <w:color w:val="000000"/>
                <w:sz w:val="20"/>
                <w:szCs w:val="20"/>
                <w:lang w:eastAsia="en-GB"/>
              </w:rPr>
              <w:t>Clinical services</w:t>
            </w:r>
          </w:p>
        </w:tc>
        <w:tc>
          <w:tcPr>
            <w:tcW w:w="0" w:type="auto"/>
          </w:tcPr>
          <w:p w14:paraId="6E6C5E30" w14:textId="77777777" w:rsidR="00747B67" w:rsidRPr="004372E2" w:rsidRDefault="00747B67" w:rsidP="00C427E0">
            <w:pPr>
              <w:rPr>
                <w:rFonts w:eastAsia="Times New Roman" w:cstheme="minorHAnsi"/>
                <w:color w:val="000000"/>
                <w:sz w:val="20"/>
                <w:szCs w:val="20"/>
                <w:lang w:eastAsia="en-GB"/>
              </w:rPr>
            </w:pPr>
            <w:r w:rsidRPr="00550647">
              <w:rPr>
                <w:rFonts w:eastAsia="Times New Roman" w:cstheme="minorHAnsi"/>
                <w:color w:val="000000"/>
                <w:sz w:val="20"/>
                <w:szCs w:val="20"/>
                <w:lang w:eastAsia="en-GB"/>
              </w:rPr>
              <w:t xml:space="preserve">Clinical medical specialists, biomedical engineering, </w:t>
            </w:r>
            <w:r w:rsidR="00A94109" w:rsidRPr="00550647">
              <w:rPr>
                <w:rFonts w:eastAsia="Times New Roman" w:cstheme="minorHAnsi"/>
                <w:color w:val="000000"/>
                <w:sz w:val="20"/>
                <w:szCs w:val="20"/>
                <w:lang w:eastAsia="en-GB"/>
              </w:rPr>
              <w:t xml:space="preserve">hospital </w:t>
            </w:r>
            <w:r w:rsidRPr="00550647">
              <w:rPr>
                <w:rFonts w:eastAsia="Times New Roman" w:cstheme="minorHAnsi"/>
                <w:color w:val="000000"/>
                <w:sz w:val="20"/>
                <w:szCs w:val="20"/>
                <w:lang w:eastAsia="en-GB"/>
              </w:rPr>
              <w:t>twinning programs, digital radiography</w:t>
            </w:r>
            <w:r w:rsidR="004372E2">
              <w:rPr>
                <w:rFonts w:eastAsia="Times New Roman" w:cstheme="minorHAnsi"/>
                <w:color w:val="000000"/>
                <w:sz w:val="20"/>
                <w:szCs w:val="20"/>
                <w:lang w:eastAsia="en-GB"/>
              </w:rPr>
              <w:t>, medical equipment</w:t>
            </w:r>
          </w:p>
        </w:tc>
        <w:tc>
          <w:tcPr>
            <w:tcW w:w="0" w:type="auto"/>
            <w:tcMar>
              <w:right w:w="170" w:type="dxa"/>
            </w:tcMar>
            <w:vAlign w:val="center"/>
          </w:tcPr>
          <w:p w14:paraId="4E665C23" w14:textId="77777777" w:rsidR="00747B67" w:rsidRPr="00747B67" w:rsidRDefault="00747B67" w:rsidP="00022CDD">
            <w:pPr>
              <w:jc w:val="center"/>
              <w:rPr>
                <w:rFonts w:eastAsia="Times New Roman" w:cstheme="minorHAnsi"/>
                <w:color w:val="000000"/>
                <w:sz w:val="20"/>
                <w:szCs w:val="20"/>
                <w:lang w:eastAsia="en-GB"/>
              </w:rPr>
            </w:pPr>
            <w:r w:rsidRPr="00747B67">
              <w:rPr>
                <w:rFonts w:eastAsia="Times New Roman" w:cstheme="minorHAnsi"/>
                <w:color w:val="000000"/>
                <w:sz w:val="20"/>
                <w:szCs w:val="20"/>
                <w:lang w:eastAsia="en-GB"/>
              </w:rPr>
              <w:t>1,386,688</w:t>
            </w:r>
          </w:p>
          <w:p w14:paraId="47E97891" w14:textId="77777777" w:rsidR="00747B67" w:rsidRPr="00747B67" w:rsidRDefault="00747B67" w:rsidP="00022CDD">
            <w:pPr>
              <w:jc w:val="center"/>
              <w:rPr>
                <w:rFonts w:eastAsia="Times New Roman" w:cstheme="minorHAnsi"/>
                <w:color w:val="000000"/>
                <w:sz w:val="20"/>
                <w:szCs w:val="20"/>
                <w:lang w:eastAsia="en-GB"/>
              </w:rPr>
            </w:pPr>
          </w:p>
        </w:tc>
        <w:tc>
          <w:tcPr>
            <w:tcW w:w="0" w:type="auto"/>
            <w:tcMar>
              <w:right w:w="170" w:type="dxa"/>
            </w:tcMar>
            <w:vAlign w:val="center"/>
          </w:tcPr>
          <w:p w14:paraId="62C321F3" w14:textId="77777777" w:rsidR="00747B67" w:rsidRPr="00747B67" w:rsidRDefault="00747B67" w:rsidP="00022CDD">
            <w:pPr>
              <w:jc w:val="center"/>
              <w:rPr>
                <w:rFonts w:eastAsia="Times New Roman" w:cstheme="minorHAnsi"/>
                <w:color w:val="000000"/>
                <w:sz w:val="20"/>
                <w:szCs w:val="20"/>
                <w:lang w:eastAsia="en-GB"/>
              </w:rPr>
            </w:pPr>
            <w:r w:rsidRPr="00747B67">
              <w:rPr>
                <w:rFonts w:eastAsia="Times New Roman" w:cstheme="minorHAnsi"/>
                <w:color w:val="000000"/>
                <w:sz w:val="20"/>
                <w:szCs w:val="20"/>
                <w:lang w:eastAsia="en-GB"/>
              </w:rPr>
              <w:t>1,5</w:t>
            </w:r>
            <w:r w:rsidR="00033DD0">
              <w:rPr>
                <w:rFonts w:eastAsia="Times New Roman" w:cstheme="minorHAnsi"/>
                <w:color w:val="000000"/>
                <w:sz w:val="20"/>
                <w:szCs w:val="20"/>
                <w:lang w:eastAsia="en-GB"/>
              </w:rPr>
              <w:t>6</w:t>
            </w:r>
            <w:r w:rsidRPr="00747B67">
              <w:rPr>
                <w:rFonts w:eastAsia="Times New Roman" w:cstheme="minorHAnsi"/>
                <w:color w:val="000000"/>
                <w:sz w:val="20"/>
                <w:szCs w:val="20"/>
                <w:lang w:eastAsia="en-GB"/>
              </w:rPr>
              <w:t>1,</w:t>
            </w:r>
            <w:r w:rsidR="00033DD0">
              <w:rPr>
                <w:rFonts w:eastAsia="Times New Roman" w:cstheme="minorHAnsi"/>
                <w:color w:val="000000"/>
                <w:sz w:val="20"/>
                <w:szCs w:val="20"/>
                <w:lang w:eastAsia="en-GB"/>
              </w:rPr>
              <w:t>000</w:t>
            </w:r>
          </w:p>
          <w:p w14:paraId="72FA47DB" w14:textId="77777777" w:rsidR="00747B67" w:rsidRPr="00747B67" w:rsidRDefault="00747B67" w:rsidP="00022CDD">
            <w:pPr>
              <w:jc w:val="center"/>
              <w:rPr>
                <w:rFonts w:eastAsia="Times New Roman" w:cstheme="minorHAnsi"/>
                <w:color w:val="000000"/>
                <w:sz w:val="20"/>
                <w:szCs w:val="20"/>
                <w:lang w:eastAsia="en-GB"/>
              </w:rPr>
            </w:pPr>
          </w:p>
        </w:tc>
        <w:tc>
          <w:tcPr>
            <w:tcW w:w="0" w:type="auto"/>
            <w:tcMar>
              <w:right w:w="170" w:type="dxa"/>
            </w:tcMar>
            <w:vAlign w:val="center"/>
          </w:tcPr>
          <w:p w14:paraId="06A3A1EF" w14:textId="77777777" w:rsidR="00747B67" w:rsidRDefault="00A94109" w:rsidP="00022CDD">
            <w:pPr>
              <w:jc w:val="center"/>
              <w:rPr>
                <w:rFonts w:eastAsia="Times New Roman" w:cstheme="minorHAnsi"/>
                <w:color w:val="000000"/>
                <w:sz w:val="20"/>
                <w:szCs w:val="20"/>
                <w:lang w:eastAsia="en-GB"/>
              </w:rPr>
            </w:pPr>
            <w:r>
              <w:rPr>
                <w:rFonts w:eastAsia="Times New Roman" w:cstheme="minorHAnsi"/>
                <w:color w:val="000000"/>
                <w:sz w:val="20"/>
                <w:szCs w:val="20"/>
                <w:lang w:eastAsia="en-GB"/>
              </w:rPr>
              <w:t>1,416,000</w:t>
            </w:r>
          </w:p>
          <w:p w14:paraId="4E880D96" w14:textId="77777777" w:rsidR="00A94109" w:rsidRPr="00747B67" w:rsidRDefault="00A94109" w:rsidP="00022CDD">
            <w:pPr>
              <w:jc w:val="center"/>
              <w:rPr>
                <w:rFonts w:eastAsia="Times New Roman" w:cstheme="minorHAnsi"/>
                <w:color w:val="000000"/>
                <w:sz w:val="20"/>
                <w:szCs w:val="20"/>
                <w:lang w:eastAsia="en-GB"/>
              </w:rPr>
            </w:pPr>
          </w:p>
        </w:tc>
      </w:tr>
      <w:tr w:rsidR="00F216F2" w:rsidRPr="008F2855" w14:paraId="43503D01" w14:textId="77777777" w:rsidTr="00022CDD">
        <w:tc>
          <w:tcPr>
            <w:tcW w:w="0" w:type="auto"/>
            <w:vAlign w:val="center"/>
          </w:tcPr>
          <w:p w14:paraId="06224167" w14:textId="77777777" w:rsidR="00747B67" w:rsidRPr="008F2855" w:rsidRDefault="005C62D6" w:rsidP="00022CDD">
            <w:pPr>
              <w:rPr>
                <w:rFonts w:eastAsia="Times New Roman" w:cstheme="minorHAnsi"/>
                <w:color w:val="000000"/>
                <w:sz w:val="20"/>
                <w:szCs w:val="20"/>
                <w:lang w:eastAsia="en-GB"/>
              </w:rPr>
            </w:pPr>
            <w:r>
              <w:rPr>
                <w:rFonts w:eastAsia="Times New Roman" w:cstheme="minorHAnsi"/>
                <w:color w:val="000000"/>
                <w:sz w:val="20"/>
                <w:szCs w:val="20"/>
                <w:lang w:eastAsia="en-GB"/>
              </w:rPr>
              <w:t>Community health</w:t>
            </w:r>
            <w:r w:rsidR="00C9022E">
              <w:rPr>
                <w:rFonts w:eastAsia="Times New Roman" w:cstheme="minorHAnsi"/>
                <w:color w:val="000000"/>
                <w:sz w:val="20"/>
                <w:szCs w:val="20"/>
                <w:lang w:eastAsia="en-GB"/>
              </w:rPr>
              <w:t xml:space="preserve"> (part of Public Health)</w:t>
            </w:r>
          </w:p>
        </w:tc>
        <w:tc>
          <w:tcPr>
            <w:tcW w:w="0" w:type="auto"/>
          </w:tcPr>
          <w:p w14:paraId="6B33CB5B" w14:textId="77777777" w:rsidR="00747B67" w:rsidRPr="004372E2" w:rsidRDefault="005C62D6" w:rsidP="005C62D6">
            <w:pPr>
              <w:rPr>
                <w:rFonts w:eastAsia="Times New Roman" w:cstheme="minorHAnsi"/>
                <w:color w:val="000000"/>
                <w:sz w:val="20"/>
                <w:szCs w:val="20"/>
                <w:lang w:eastAsia="en-GB"/>
              </w:rPr>
            </w:pPr>
            <w:r w:rsidRPr="00550647">
              <w:rPr>
                <w:rFonts w:eastAsia="Times New Roman" w:cstheme="minorHAnsi"/>
                <w:color w:val="000000"/>
                <w:sz w:val="20"/>
                <w:szCs w:val="20"/>
                <w:lang w:eastAsia="en-GB"/>
              </w:rPr>
              <w:t>Primary health care, i</w:t>
            </w:r>
            <w:r w:rsidR="00747B67" w:rsidRPr="00550647">
              <w:rPr>
                <w:rFonts w:eastAsia="Times New Roman" w:cstheme="minorHAnsi"/>
                <w:color w:val="000000"/>
                <w:sz w:val="20"/>
                <w:szCs w:val="20"/>
                <w:lang w:eastAsia="en-GB"/>
              </w:rPr>
              <w:t>nfrastructure, diabetes services</w:t>
            </w:r>
            <w:r w:rsidRPr="00550647">
              <w:rPr>
                <w:rFonts w:eastAsia="Times New Roman" w:cstheme="minorHAnsi"/>
                <w:color w:val="000000"/>
                <w:sz w:val="20"/>
                <w:szCs w:val="20"/>
                <w:lang w:eastAsia="en-GB"/>
              </w:rPr>
              <w:t xml:space="preserve"> including outreach, NCD nurses, transport assets</w:t>
            </w:r>
          </w:p>
        </w:tc>
        <w:tc>
          <w:tcPr>
            <w:tcW w:w="0" w:type="auto"/>
            <w:tcMar>
              <w:right w:w="170" w:type="dxa"/>
            </w:tcMar>
            <w:vAlign w:val="center"/>
          </w:tcPr>
          <w:p w14:paraId="3D0D5214" w14:textId="77777777" w:rsidR="00747B67" w:rsidRPr="00747B67" w:rsidRDefault="00747B67" w:rsidP="00022CDD">
            <w:pPr>
              <w:jc w:val="center"/>
              <w:rPr>
                <w:rFonts w:eastAsia="Times New Roman" w:cstheme="minorHAnsi"/>
                <w:color w:val="000000"/>
                <w:sz w:val="20"/>
                <w:szCs w:val="20"/>
                <w:lang w:eastAsia="en-GB"/>
              </w:rPr>
            </w:pPr>
            <w:r w:rsidRPr="00747B67">
              <w:rPr>
                <w:rFonts w:eastAsia="Times New Roman" w:cstheme="minorHAnsi"/>
                <w:color w:val="000000"/>
                <w:sz w:val="20"/>
                <w:szCs w:val="20"/>
                <w:lang w:eastAsia="en-GB"/>
              </w:rPr>
              <w:t>677,200</w:t>
            </w:r>
          </w:p>
        </w:tc>
        <w:tc>
          <w:tcPr>
            <w:tcW w:w="0" w:type="auto"/>
            <w:tcMar>
              <w:right w:w="170" w:type="dxa"/>
            </w:tcMar>
            <w:vAlign w:val="center"/>
          </w:tcPr>
          <w:p w14:paraId="43129205" w14:textId="77777777" w:rsidR="00747B67" w:rsidRPr="00747B67" w:rsidRDefault="00033DD0" w:rsidP="00022CDD">
            <w:pPr>
              <w:jc w:val="center"/>
              <w:rPr>
                <w:rFonts w:eastAsia="Times New Roman" w:cstheme="minorHAnsi"/>
                <w:color w:val="000000"/>
                <w:sz w:val="20"/>
                <w:szCs w:val="20"/>
                <w:lang w:eastAsia="en-GB"/>
              </w:rPr>
            </w:pPr>
            <w:r>
              <w:rPr>
                <w:rFonts w:eastAsia="Times New Roman" w:cstheme="minorHAnsi"/>
                <w:color w:val="000000"/>
                <w:sz w:val="20"/>
                <w:szCs w:val="20"/>
                <w:lang w:eastAsia="en-GB"/>
              </w:rPr>
              <w:t>203</w:t>
            </w:r>
            <w:r w:rsidR="00747B67" w:rsidRPr="00747B67">
              <w:rPr>
                <w:rFonts w:eastAsia="Times New Roman" w:cstheme="minorHAnsi"/>
                <w:color w:val="000000"/>
                <w:sz w:val="20"/>
                <w:szCs w:val="20"/>
                <w:lang w:eastAsia="en-GB"/>
              </w:rPr>
              <w:t>,000</w:t>
            </w:r>
          </w:p>
        </w:tc>
        <w:tc>
          <w:tcPr>
            <w:tcW w:w="0" w:type="auto"/>
            <w:tcMar>
              <w:right w:w="170" w:type="dxa"/>
            </w:tcMar>
            <w:vAlign w:val="center"/>
          </w:tcPr>
          <w:p w14:paraId="3A78B1F8" w14:textId="77777777" w:rsidR="00747B67" w:rsidRPr="00747B67" w:rsidRDefault="00F216F2" w:rsidP="00022CDD">
            <w:pPr>
              <w:jc w:val="center"/>
              <w:rPr>
                <w:rFonts w:eastAsia="Times New Roman" w:cstheme="minorHAnsi"/>
                <w:color w:val="000000"/>
                <w:sz w:val="20"/>
                <w:szCs w:val="20"/>
                <w:lang w:eastAsia="en-GB"/>
              </w:rPr>
            </w:pPr>
            <w:r>
              <w:rPr>
                <w:rFonts w:eastAsia="Times New Roman" w:cstheme="minorHAnsi"/>
                <w:color w:val="000000"/>
                <w:sz w:val="20"/>
                <w:szCs w:val="20"/>
                <w:lang w:eastAsia="en-GB"/>
              </w:rPr>
              <w:t>40,000</w:t>
            </w:r>
          </w:p>
        </w:tc>
      </w:tr>
      <w:tr w:rsidR="00407A6F" w:rsidRPr="008F2855" w14:paraId="0E9B30BF" w14:textId="77777777" w:rsidTr="00022CDD">
        <w:tc>
          <w:tcPr>
            <w:tcW w:w="0" w:type="auto"/>
            <w:vAlign w:val="center"/>
          </w:tcPr>
          <w:p w14:paraId="784114E5" w14:textId="77777777" w:rsidR="003B6D75" w:rsidRPr="008F2855" w:rsidRDefault="003B6D75" w:rsidP="00022CDD">
            <w:pPr>
              <w:rPr>
                <w:rFonts w:eastAsia="Times New Roman" w:cstheme="minorHAnsi"/>
                <w:color w:val="000000"/>
                <w:sz w:val="20"/>
                <w:szCs w:val="20"/>
                <w:lang w:eastAsia="en-GB"/>
              </w:rPr>
            </w:pPr>
            <w:r>
              <w:rPr>
                <w:rFonts w:eastAsia="Times New Roman" w:cstheme="minorHAnsi"/>
                <w:color w:val="000000"/>
                <w:sz w:val="20"/>
                <w:szCs w:val="20"/>
                <w:lang w:eastAsia="en-GB"/>
              </w:rPr>
              <w:t>Public health</w:t>
            </w:r>
            <w:r w:rsidR="00C9022E">
              <w:rPr>
                <w:rFonts w:eastAsia="Times New Roman" w:cstheme="minorHAnsi"/>
                <w:color w:val="000000"/>
                <w:sz w:val="20"/>
                <w:szCs w:val="20"/>
                <w:lang w:eastAsia="en-GB"/>
              </w:rPr>
              <w:t xml:space="preserve"> (other than Community Health)</w:t>
            </w:r>
          </w:p>
        </w:tc>
        <w:tc>
          <w:tcPr>
            <w:tcW w:w="0" w:type="auto"/>
          </w:tcPr>
          <w:p w14:paraId="73CB849B" w14:textId="77777777" w:rsidR="003B6D75" w:rsidRPr="00550647" w:rsidRDefault="003B6D75" w:rsidP="003B6D75">
            <w:pPr>
              <w:rPr>
                <w:rFonts w:eastAsia="Times New Roman" w:cstheme="minorHAnsi"/>
                <w:color w:val="000000"/>
                <w:sz w:val="20"/>
                <w:szCs w:val="20"/>
                <w:lang w:eastAsia="en-GB"/>
              </w:rPr>
            </w:pPr>
            <w:r w:rsidRPr="00550647">
              <w:rPr>
                <w:rFonts w:eastAsia="Times New Roman" w:cstheme="minorHAnsi"/>
                <w:color w:val="000000"/>
                <w:sz w:val="20"/>
                <w:szCs w:val="20"/>
                <w:lang w:eastAsia="en-GB"/>
              </w:rPr>
              <w:t>Infrastructure, health promotion</w:t>
            </w:r>
            <w:r w:rsidR="00A94109" w:rsidRPr="00550647">
              <w:rPr>
                <w:rFonts w:eastAsia="Times New Roman" w:cstheme="minorHAnsi"/>
                <w:color w:val="000000"/>
                <w:sz w:val="20"/>
                <w:szCs w:val="20"/>
                <w:lang w:eastAsia="en-GB"/>
              </w:rPr>
              <w:t>, technical assistance</w:t>
            </w:r>
          </w:p>
        </w:tc>
        <w:tc>
          <w:tcPr>
            <w:tcW w:w="0" w:type="auto"/>
            <w:tcMar>
              <w:right w:w="170" w:type="dxa"/>
            </w:tcMar>
            <w:vAlign w:val="center"/>
          </w:tcPr>
          <w:p w14:paraId="61AB3268" w14:textId="77777777" w:rsidR="003B6D75" w:rsidRPr="00747B67" w:rsidRDefault="003B6D75" w:rsidP="00022CDD">
            <w:pPr>
              <w:jc w:val="center"/>
              <w:rPr>
                <w:rFonts w:eastAsia="Times New Roman" w:cstheme="minorHAnsi"/>
                <w:color w:val="000000"/>
                <w:sz w:val="20"/>
                <w:szCs w:val="20"/>
                <w:lang w:eastAsia="en-GB"/>
              </w:rPr>
            </w:pPr>
            <w:r w:rsidRPr="00747B67">
              <w:rPr>
                <w:rFonts w:eastAsia="Times New Roman" w:cstheme="minorHAnsi"/>
                <w:color w:val="000000"/>
                <w:sz w:val="20"/>
                <w:szCs w:val="20"/>
                <w:lang w:eastAsia="en-GB"/>
              </w:rPr>
              <w:t>393,368</w:t>
            </w:r>
          </w:p>
        </w:tc>
        <w:tc>
          <w:tcPr>
            <w:tcW w:w="0" w:type="auto"/>
            <w:tcMar>
              <w:right w:w="170" w:type="dxa"/>
            </w:tcMar>
            <w:vAlign w:val="center"/>
          </w:tcPr>
          <w:p w14:paraId="7FB9A29C" w14:textId="77777777" w:rsidR="003B6D75" w:rsidRPr="00747B67" w:rsidRDefault="003B6D75" w:rsidP="00022CDD">
            <w:pPr>
              <w:jc w:val="center"/>
              <w:rPr>
                <w:rFonts w:eastAsia="Times New Roman" w:cstheme="minorHAnsi"/>
                <w:color w:val="000000"/>
                <w:sz w:val="20"/>
                <w:szCs w:val="20"/>
                <w:lang w:eastAsia="en-GB"/>
              </w:rPr>
            </w:pPr>
            <w:r w:rsidRPr="00747B67">
              <w:rPr>
                <w:rFonts w:eastAsia="Times New Roman" w:cstheme="minorHAnsi"/>
                <w:color w:val="000000"/>
                <w:sz w:val="20"/>
                <w:szCs w:val="20"/>
                <w:lang w:eastAsia="en-GB"/>
              </w:rPr>
              <w:t>187,000</w:t>
            </w:r>
          </w:p>
        </w:tc>
        <w:tc>
          <w:tcPr>
            <w:tcW w:w="0" w:type="auto"/>
            <w:tcMar>
              <w:right w:w="170" w:type="dxa"/>
            </w:tcMar>
            <w:vAlign w:val="center"/>
          </w:tcPr>
          <w:p w14:paraId="0FA02AEB" w14:textId="77777777" w:rsidR="003B6D75" w:rsidRPr="00747B67" w:rsidRDefault="00A94109" w:rsidP="00022CDD">
            <w:pPr>
              <w:jc w:val="center"/>
              <w:rPr>
                <w:rFonts w:eastAsia="Times New Roman" w:cstheme="minorHAnsi"/>
                <w:color w:val="000000"/>
                <w:sz w:val="20"/>
                <w:szCs w:val="20"/>
                <w:lang w:eastAsia="en-GB"/>
              </w:rPr>
            </w:pPr>
            <w:r>
              <w:rPr>
                <w:rFonts w:eastAsia="Times New Roman" w:cstheme="minorHAnsi"/>
                <w:color w:val="000000"/>
                <w:sz w:val="20"/>
                <w:szCs w:val="20"/>
                <w:lang w:eastAsia="en-GB"/>
              </w:rPr>
              <w:t>881,000</w:t>
            </w:r>
          </w:p>
        </w:tc>
      </w:tr>
      <w:tr w:rsidR="00F216F2" w:rsidRPr="008F2855" w14:paraId="2BCFD8A9" w14:textId="77777777" w:rsidTr="00022CDD">
        <w:tc>
          <w:tcPr>
            <w:tcW w:w="0" w:type="auto"/>
            <w:vAlign w:val="center"/>
          </w:tcPr>
          <w:p w14:paraId="72A9CBC7" w14:textId="77777777" w:rsidR="00747B67" w:rsidRPr="008F2855" w:rsidRDefault="00747B67" w:rsidP="00022CDD">
            <w:pPr>
              <w:rPr>
                <w:rFonts w:eastAsia="Times New Roman" w:cstheme="minorHAnsi"/>
                <w:color w:val="000000"/>
                <w:sz w:val="20"/>
                <w:szCs w:val="20"/>
                <w:lang w:eastAsia="en-GB"/>
              </w:rPr>
            </w:pPr>
            <w:r>
              <w:rPr>
                <w:rFonts w:eastAsia="Times New Roman" w:cstheme="minorHAnsi"/>
                <w:color w:val="000000"/>
                <w:sz w:val="20"/>
                <w:szCs w:val="20"/>
                <w:lang w:eastAsia="en-GB"/>
              </w:rPr>
              <w:t>Corporate services</w:t>
            </w:r>
          </w:p>
        </w:tc>
        <w:tc>
          <w:tcPr>
            <w:tcW w:w="0" w:type="auto"/>
          </w:tcPr>
          <w:p w14:paraId="76FB7A90" w14:textId="77777777" w:rsidR="00747B67" w:rsidRPr="004372E2" w:rsidRDefault="00747B67" w:rsidP="00E07E05">
            <w:pPr>
              <w:rPr>
                <w:rFonts w:eastAsia="Times New Roman" w:cstheme="minorHAnsi"/>
                <w:color w:val="000000"/>
                <w:sz w:val="20"/>
                <w:szCs w:val="20"/>
                <w:lang w:eastAsia="en-GB"/>
              </w:rPr>
            </w:pPr>
            <w:r w:rsidRPr="00550647">
              <w:rPr>
                <w:rFonts w:eastAsia="Times New Roman" w:cstheme="minorHAnsi"/>
                <w:color w:val="000000"/>
                <w:sz w:val="20"/>
                <w:szCs w:val="20"/>
                <w:lang w:eastAsia="en-GB"/>
              </w:rPr>
              <w:t>Planning, health information systems, training</w:t>
            </w:r>
            <w:r w:rsidR="00F216F2" w:rsidRPr="00550647">
              <w:rPr>
                <w:rFonts w:eastAsia="Times New Roman" w:cstheme="minorHAnsi"/>
                <w:color w:val="000000"/>
                <w:sz w:val="20"/>
                <w:szCs w:val="20"/>
                <w:lang w:eastAsia="en-GB"/>
              </w:rPr>
              <w:t>, workforce planning</w:t>
            </w:r>
          </w:p>
        </w:tc>
        <w:tc>
          <w:tcPr>
            <w:tcW w:w="0" w:type="auto"/>
            <w:tcMar>
              <w:right w:w="170" w:type="dxa"/>
            </w:tcMar>
            <w:vAlign w:val="center"/>
          </w:tcPr>
          <w:p w14:paraId="2899EE75" w14:textId="77777777" w:rsidR="00747B67" w:rsidRPr="00747B67" w:rsidRDefault="00747B67" w:rsidP="00022CDD">
            <w:pPr>
              <w:jc w:val="center"/>
              <w:rPr>
                <w:rFonts w:eastAsia="Times New Roman" w:cstheme="minorHAnsi"/>
                <w:color w:val="000000"/>
                <w:sz w:val="20"/>
                <w:szCs w:val="20"/>
                <w:lang w:eastAsia="en-GB"/>
              </w:rPr>
            </w:pPr>
            <w:r w:rsidRPr="00747B67">
              <w:rPr>
                <w:rFonts w:eastAsia="Times New Roman" w:cstheme="minorHAnsi"/>
                <w:color w:val="000000"/>
                <w:sz w:val="20"/>
                <w:szCs w:val="20"/>
                <w:lang w:eastAsia="en-GB"/>
              </w:rPr>
              <w:t>275,000</w:t>
            </w:r>
          </w:p>
          <w:p w14:paraId="345DD9FE" w14:textId="77777777" w:rsidR="00747B67" w:rsidRPr="00747B67" w:rsidRDefault="00747B67" w:rsidP="00022CDD">
            <w:pPr>
              <w:jc w:val="center"/>
              <w:rPr>
                <w:rFonts w:eastAsia="Times New Roman" w:cstheme="minorHAnsi"/>
                <w:color w:val="000000"/>
                <w:sz w:val="20"/>
                <w:szCs w:val="20"/>
                <w:lang w:eastAsia="en-GB"/>
              </w:rPr>
            </w:pPr>
          </w:p>
        </w:tc>
        <w:tc>
          <w:tcPr>
            <w:tcW w:w="0" w:type="auto"/>
            <w:tcMar>
              <w:right w:w="170" w:type="dxa"/>
            </w:tcMar>
            <w:vAlign w:val="center"/>
          </w:tcPr>
          <w:p w14:paraId="0F80B6CC" w14:textId="77777777" w:rsidR="00747B67" w:rsidRPr="00747B67" w:rsidRDefault="00747B67" w:rsidP="00022CDD">
            <w:pPr>
              <w:jc w:val="center"/>
              <w:rPr>
                <w:rFonts w:eastAsia="Times New Roman" w:cstheme="minorHAnsi"/>
                <w:color w:val="000000"/>
                <w:sz w:val="20"/>
                <w:szCs w:val="20"/>
                <w:lang w:eastAsia="en-GB"/>
              </w:rPr>
            </w:pPr>
            <w:r w:rsidRPr="00747B67">
              <w:rPr>
                <w:rFonts w:eastAsia="Times New Roman" w:cstheme="minorHAnsi"/>
                <w:color w:val="000000"/>
                <w:sz w:val="20"/>
                <w:szCs w:val="20"/>
                <w:lang w:eastAsia="en-GB"/>
              </w:rPr>
              <w:t>168,122</w:t>
            </w:r>
          </w:p>
          <w:p w14:paraId="57F17B90" w14:textId="77777777" w:rsidR="00747B67" w:rsidRPr="00747B67" w:rsidRDefault="00747B67" w:rsidP="00022CDD">
            <w:pPr>
              <w:jc w:val="center"/>
              <w:rPr>
                <w:rFonts w:eastAsia="Times New Roman" w:cstheme="minorHAnsi"/>
                <w:color w:val="000000"/>
                <w:sz w:val="20"/>
                <w:szCs w:val="20"/>
                <w:lang w:eastAsia="en-GB"/>
              </w:rPr>
            </w:pPr>
          </w:p>
        </w:tc>
        <w:tc>
          <w:tcPr>
            <w:tcW w:w="0" w:type="auto"/>
            <w:tcMar>
              <w:right w:w="170" w:type="dxa"/>
            </w:tcMar>
            <w:vAlign w:val="center"/>
          </w:tcPr>
          <w:p w14:paraId="661E19C7" w14:textId="77777777" w:rsidR="00747B67" w:rsidRPr="00747B67" w:rsidRDefault="00F216F2" w:rsidP="00022CDD">
            <w:pPr>
              <w:jc w:val="center"/>
              <w:rPr>
                <w:rFonts w:eastAsia="Times New Roman" w:cstheme="minorHAnsi"/>
                <w:color w:val="000000"/>
                <w:sz w:val="20"/>
                <w:szCs w:val="20"/>
                <w:lang w:eastAsia="en-GB"/>
              </w:rPr>
            </w:pPr>
            <w:r>
              <w:rPr>
                <w:rFonts w:eastAsia="Times New Roman" w:cstheme="minorHAnsi"/>
                <w:color w:val="000000"/>
                <w:sz w:val="20"/>
                <w:szCs w:val="20"/>
                <w:lang w:eastAsia="en-GB"/>
              </w:rPr>
              <w:t>42</w:t>
            </w:r>
            <w:r w:rsidR="00A94109">
              <w:rPr>
                <w:rFonts w:eastAsia="Times New Roman" w:cstheme="minorHAnsi"/>
                <w:color w:val="000000"/>
                <w:sz w:val="20"/>
                <w:szCs w:val="20"/>
                <w:lang w:eastAsia="en-GB"/>
              </w:rPr>
              <w:t>6,000</w:t>
            </w:r>
          </w:p>
        </w:tc>
      </w:tr>
      <w:tr w:rsidR="00407A6F" w:rsidRPr="00BF146C" w14:paraId="26263512" w14:textId="77777777" w:rsidTr="00022CDD">
        <w:tc>
          <w:tcPr>
            <w:tcW w:w="0" w:type="auto"/>
            <w:vAlign w:val="center"/>
          </w:tcPr>
          <w:p w14:paraId="5FB79E6A" w14:textId="77777777" w:rsidR="00407A6F" w:rsidRPr="00BF146C" w:rsidRDefault="00407A6F" w:rsidP="00022CDD">
            <w:pPr>
              <w:jc w:val="right"/>
              <w:rPr>
                <w:rFonts w:eastAsia="Times New Roman" w:cstheme="minorHAnsi"/>
                <w:b/>
                <w:i/>
                <w:color w:val="000000"/>
                <w:sz w:val="20"/>
                <w:szCs w:val="20"/>
                <w:lang w:eastAsia="en-GB"/>
              </w:rPr>
            </w:pPr>
            <w:r w:rsidRPr="00BF146C">
              <w:rPr>
                <w:rFonts w:eastAsia="Times New Roman" w:cstheme="minorHAnsi"/>
                <w:b/>
                <w:i/>
                <w:color w:val="000000"/>
                <w:sz w:val="20"/>
                <w:szCs w:val="20"/>
                <w:lang w:eastAsia="en-GB"/>
              </w:rPr>
              <w:t>Sub-total</w:t>
            </w:r>
          </w:p>
        </w:tc>
        <w:tc>
          <w:tcPr>
            <w:tcW w:w="0" w:type="auto"/>
          </w:tcPr>
          <w:p w14:paraId="22452C3D" w14:textId="77777777" w:rsidR="00407A6F" w:rsidRPr="00BF146C" w:rsidRDefault="00BC12F5" w:rsidP="00E07E05">
            <w:pPr>
              <w:rPr>
                <w:rFonts w:eastAsia="Times New Roman" w:cstheme="minorHAnsi"/>
                <w:b/>
                <w:color w:val="000000"/>
                <w:sz w:val="20"/>
                <w:szCs w:val="20"/>
                <w:lang w:eastAsia="en-GB"/>
              </w:rPr>
            </w:pPr>
            <w:r>
              <w:rPr>
                <w:rFonts w:eastAsia="Times New Roman" w:cstheme="minorHAnsi"/>
                <w:b/>
                <w:color w:val="000000"/>
                <w:sz w:val="20"/>
                <w:szCs w:val="20"/>
                <w:lang w:eastAsia="en-GB"/>
              </w:rPr>
              <w:br/>
            </w:r>
          </w:p>
        </w:tc>
        <w:tc>
          <w:tcPr>
            <w:tcW w:w="0" w:type="auto"/>
            <w:tcMar>
              <w:right w:w="170" w:type="dxa"/>
            </w:tcMar>
            <w:vAlign w:val="center"/>
          </w:tcPr>
          <w:p w14:paraId="52BEF0EF" w14:textId="77777777" w:rsidR="00407A6F" w:rsidRPr="00BF146C" w:rsidRDefault="00F216F2" w:rsidP="00022CDD">
            <w:pPr>
              <w:jc w:val="center"/>
              <w:rPr>
                <w:rFonts w:eastAsia="Times New Roman" w:cstheme="minorHAnsi"/>
                <w:b/>
                <w:color w:val="000000"/>
                <w:sz w:val="20"/>
                <w:szCs w:val="20"/>
                <w:lang w:eastAsia="en-GB"/>
              </w:rPr>
            </w:pPr>
            <w:r w:rsidRPr="00BF146C">
              <w:rPr>
                <w:rFonts w:eastAsia="Times New Roman" w:cstheme="minorHAnsi"/>
                <w:b/>
                <w:color w:val="000000"/>
                <w:sz w:val="20"/>
                <w:szCs w:val="20"/>
                <w:lang w:eastAsia="en-GB"/>
              </w:rPr>
              <w:fldChar w:fldCharType="begin"/>
            </w:r>
            <w:r w:rsidRPr="00BF146C">
              <w:rPr>
                <w:rFonts w:eastAsia="Times New Roman" w:cstheme="minorHAnsi"/>
                <w:b/>
                <w:color w:val="000000"/>
                <w:sz w:val="20"/>
                <w:szCs w:val="20"/>
                <w:lang w:eastAsia="en-GB"/>
              </w:rPr>
              <w:instrText xml:space="preserve"> =SUM(ABOVE) </w:instrText>
            </w:r>
            <w:r w:rsidRPr="00BF146C">
              <w:rPr>
                <w:rFonts w:eastAsia="Times New Roman" w:cstheme="minorHAnsi"/>
                <w:b/>
                <w:color w:val="000000"/>
                <w:sz w:val="20"/>
                <w:szCs w:val="20"/>
                <w:lang w:eastAsia="en-GB"/>
              </w:rPr>
              <w:fldChar w:fldCharType="separate"/>
            </w:r>
            <w:r w:rsidRPr="00BF146C">
              <w:rPr>
                <w:rFonts w:eastAsia="Times New Roman" w:cstheme="minorHAnsi"/>
                <w:b/>
                <w:noProof/>
                <w:color w:val="000000"/>
                <w:sz w:val="20"/>
                <w:szCs w:val="20"/>
                <w:lang w:eastAsia="en-GB"/>
              </w:rPr>
              <w:t>2,732,256</w:t>
            </w:r>
            <w:r w:rsidRPr="00BF146C">
              <w:rPr>
                <w:rFonts w:eastAsia="Times New Roman" w:cstheme="minorHAnsi"/>
                <w:b/>
                <w:color w:val="000000"/>
                <w:sz w:val="20"/>
                <w:szCs w:val="20"/>
                <w:lang w:eastAsia="en-GB"/>
              </w:rPr>
              <w:fldChar w:fldCharType="end"/>
            </w:r>
          </w:p>
        </w:tc>
        <w:tc>
          <w:tcPr>
            <w:tcW w:w="0" w:type="auto"/>
            <w:tcMar>
              <w:right w:w="170" w:type="dxa"/>
            </w:tcMar>
            <w:vAlign w:val="center"/>
          </w:tcPr>
          <w:p w14:paraId="022DD353" w14:textId="77777777" w:rsidR="00407A6F" w:rsidRPr="00BF146C" w:rsidRDefault="00F216F2" w:rsidP="00022CDD">
            <w:pPr>
              <w:jc w:val="center"/>
              <w:rPr>
                <w:rFonts w:eastAsia="Times New Roman" w:cstheme="minorHAnsi"/>
                <w:b/>
                <w:color w:val="000000"/>
                <w:sz w:val="20"/>
                <w:szCs w:val="20"/>
                <w:lang w:eastAsia="en-GB"/>
              </w:rPr>
            </w:pPr>
            <w:r w:rsidRPr="00BF146C">
              <w:rPr>
                <w:rFonts w:eastAsia="Times New Roman" w:cstheme="minorHAnsi"/>
                <w:b/>
                <w:color w:val="000000"/>
                <w:sz w:val="20"/>
                <w:szCs w:val="20"/>
                <w:lang w:eastAsia="en-GB"/>
              </w:rPr>
              <w:fldChar w:fldCharType="begin"/>
            </w:r>
            <w:r w:rsidRPr="00BF146C">
              <w:rPr>
                <w:rFonts w:eastAsia="Times New Roman" w:cstheme="minorHAnsi"/>
                <w:b/>
                <w:color w:val="000000"/>
                <w:sz w:val="20"/>
                <w:szCs w:val="20"/>
                <w:lang w:eastAsia="en-GB"/>
              </w:rPr>
              <w:instrText xml:space="preserve"> =SUM(ABOVE) </w:instrText>
            </w:r>
            <w:r w:rsidRPr="00BF146C">
              <w:rPr>
                <w:rFonts w:eastAsia="Times New Roman" w:cstheme="minorHAnsi"/>
                <w:b/>
                <w:color w:val="000000"/>
                <w:sz w:val="20"/>
                <w:szCs w:val="20"/>
                <w:lang w:eastAsia="en-GB"/>
              </w:rPr>
              <w:fldChar w:fldCharType="separate"/>
            </w:r>
            <w:r w:rsidRPr="00BF146C">
              <w:rPr>
                <w:rFonts w:eastAsia="Times New Roman" w:cstheme="minorHAnsi"/>
                <w:b/>
                <w:noProof/>
                <w:color w:val="000000"/>
                <w:sz w:val="20"/>
                <w:szCs w:val="20"/>
                <w:lang w:eastAsia="en-GB"/>
              </w:rPr>
              <w:t>2,119,122</w:t>
            </w:r>
            <w:r w:rsidRPr="00BF146C">
              <w:rPr>
                <w:rFonts w:eastAsia="Times New Roman" w:cstheme="minorHAnsi"/>
                <w:b/>
                <w:color w:val="000000"/>
                <w:sz w:val="20"/>
                <w:szCs w:val="20"/>
                <w:lang w:eastAsia="en-GB"/>
              </w:rPr>
              <w:fldChar w:fldCharType="end"/>
            </w:r>
          </w:p>
        </w:tc>
        <w:tc>
          <w:tcPr>
            <w:tcW w:w="0" w:type="auto"/>
            <w:tcMar>
              <w:right w:w="170" w:type="dxa"/>
            </w:tcMar>
            <w:vAlign w:val="center"/>
          </w:tcPr>
          <w:p w14:paraId="3310CA1B" w14:textId="77777777" w:rsidR="00407A6F" w:rsidRPr="00BF146C" w:rsidRDefault="00F216F2" w:rsidP="00022CDD">
            <w:pPr>
              <w:jc w:val="center"/>
              <w:rPr>
                <w:rFonts w:eastAsia="Times New Roman" w:cstheme="minorHAnsi"/>
                <w:b/>
                <w:color w:val="000000"/>
                <w:sz w:val="20"/>
                <w:szCs w:val="20"/>
                <w:lang w:eastAsia="en-GB"/>
              </w:rPr>
            </w:pPr>
            <w:r w:rsidRPr="00BF146C">
              <w:rPr>
                <w:rFonts w:eastAsia="Times New Roman" w:cstheme="minorHAnsi"/>
                <w:b/>
                <w:color w:val="000000"/>
                <w:sz w:val="20"/>
                <w:szCs w:val="20"/>
                <w:lang w:eastAsia="en-GB"/>
              </w:rPr>
              <w:fldChar w:fldCharType="begin"/>
            </w:r>
            <w:r w:rsidRPr="00BF146C">
              <w:rPr>
                <w:rFonts w:eastAsia="Times New Roman" w:cstheme="minorHAnsi"/>
                <w:b/>
                <w:color w:val="000000"/>
                <w:sz w:val="20"/>
                <w:szCs w:val="20"/>
                <w:lang w:eastAsia="en-GB"/>
              </w:rPr>
              <w:instrText xml:space="preserve"> =SUM(ABOVE) </w:instrText>
            </w:r>
            <w:r w:rsidRPr="00BF146C">
              <w:rPr>
                <w:rFonts w:eastAsia="Times New Roman" w:cstheme="minorHAnsi"/>
                <w:b/>
                <w:color w:val="000000"/>
                <w:sz w:val="20"/>
                <w:szCs w:val="20"/>
                <w:lang w:eastAsia="en-GB"/>
              </w:rPr>
              <w:fldChar w:fldCharType="separate"/>
            </w:r>
            <w:r w:rsidRPr="00BF146C">
              <w:rPr>
                <w:rFonts w:eastAsia="Times New Roman" w:cstheme="minorHAnsi"/>
                <w:b/>
                <w:noProof/>
                <w:color w:val="000000"/>
                <w:sz w:val="20"/>
                <w:szCs w:val="20"/>
                <w:lang w:eastAsia="en-GB"/>
              </w:rPr>
              <w:t>2,763,000</w:t>
            </w:r>
            <w:r w:rsidRPr="00BF146C">
              <w:rPr>
                <w:rFonts w:eastAsia="Times New Roman" w:cstheme="minorHAnsi"/>
                <w:b/>
                <w:color w:val="000000"/>
                <w:sz w:val="20"/>
                <w:szCs w:val="20"/>
                <w:lang w:eastAsia="en-GB"/>
              </w:rPr>
              <w:fldChar w:fldCharType="end"/>
            </w:r>
          </w:p>
        </w:tc>
      </w:tr>
      <w:tr w:rsidR="00F216F2" w:rsidRPr="008F2855" w14:paraId="05D36753" w14:textId="77777777" w:rsidTr="00022CDD">
        <w:tc>
          <w:tcPr>
            <w:tcW w:w="0" w:type="auto"/>
          </w:tcPr>
          <w:p w14:paraId="22CEB40E" w14:textId="77777777" w:rsidR="00033DD0" w:rsidRDefault="00033DD0" w:rsidP="00E07E05">
            <w:pPr>
              <w:rPr>
                <w:rFonts w:eastAsia="Times New Roman" w:cstheme="minorHAnsi"/>
                <w:color w:val="000000"/>
                <w:sz w:val="20"/>
                <w:szCs w:val="20"/>
                <w:lang w:eastAsia="en-GB"/>
              </w:rPr>
            </w:pPr>
            <w:r>
              <w:rPr>
                <w:rFonts w:eastAsia="Times New Roman" w:cstheme="minorHAnsi"/>
                <w:color w:val="000000"/>
                <w:sz w:val="20"/>
                <w:szCs w:val="20"/>
                <w:lang w:eastAsia="en-GB"/>
              </w:rPr>
              <w:t>Disability-inclusive health</w:t>
            </w:r>
          </w:p>
        </w:tc>
        <w:tc>
          <w:tcPr>
            <w:tcW w:w="0" w:type="auto"/>
          </w:tcPr>
          <w:p w14:paraId="6EDE3F9F" w14:textId="77777777" w:rsidR="00033DD0" w:rsidRDefault="00033DD0" w:rsidP="00E07E05">
            <w:pPr>
              <w:rPr>
                <w:rFonts w:eastAsia="Times New Roman" w:cstheme="minorHAnsi"/>
                <w:color w:val="000000"/>
                <w:sz w:val="20"/>
                <w:szCs w:val="20"/>
                <w:lang w:eastAsia="en-GB"/>
              </w:rPr>
            </w:pPr>
          </w:p>
        </w:tc>
        <w:tc>
          <w:tcPr>
            <w:tcW w:w="0" w:type="auto"/>
            <w:tcMar>
              <w:right w:w="170" w:type="dxa"/>
            </w:tcMar>
            <w:vAlign w:val="center"/>
          </w:tcPr>
          <w:p w14:paraId="5F3B9BFD" w14:textId="77777777" w:rsidR="00033DD0" w:rsidRPr="00747B67" w:rsidRDefault="00033DD0" w:rsidP="00022CDD">
            <w:pPr>
              <w:jc w:val="center"/>
              <w:rPr>
                <w:rFonts w:eastAsia="Times New Roman" w:cstheme="minorHAnsi"/>
                <w:color w:val="000000"/>
                <w:sz w:val="20"/>
                <w:szCs w:val="20"/>
                <w:lang w:eastAsia="en-GB"/>
              </w:rPr>
            </w:pPr>
            <w:r>
              <w:rPr>
                <w:rFonts w:eastAsia="Times New Roman" w:cstheme="minorHAnsi"/>
                <w:color w:val="000000"/>
                <w:sz w:val="20"/>
                <w:szCs w:val="20"/>
                <w:lang w:eastAsia="en-GB"/>
              </w:rPr>
              <w:t>-</w:t>
            </w:r>
          </w:p>
        </w:tc>
        <w:tc>
          <w:tcPr>
            <w:tcW w:w="0" w:type="auto"/>
            <w:tcMar>
              <w:right w:w="170" w:type="dxa"/>
            </w:tcMar>
            <w:vAlign w:val="center"/>
          </w:tcPr>
          <w:p w14:paraId="0CDC220A" w14:textId="77777777" w:rsidR="00033DD0" w:rsidRDefault="00033DD0" w:rsidP="00022CDD">
            <w:pPr>
              <w:jc w:val="center"/>
              <w:rPr>
                <w:rFonts w:eastAsia="Times New Roman" w:cstheme="minorHAnsi"/>
                <w:color w:val="000000"/>
                <w:sz w:val="20"/>
                <w:szCs w:val="20"/>
                <w:lang w:eastAsia="en-GB"/>
              </w:rPr>
            </w:pPr>
            <w:r>
              <w:rPr>
                <w:rFonts w:eastAsia="Times New Roman" w:cstheme="minorHAnsi"/>
                <w:color w:val="000000"/>
                <w:sz w:val="20"/>
                <w:szCs w:val="20"/>
                <w:lang w:eastAsia="en-GB"/>
              </w:rPr>
              <w:t>1,050,000</w:t>
            </w:r>
          </w:p>
        </w:tc>
        <w:tc>
          <w:tcPr>
            <w:tcW w:w="0" w:type="auto"/>
            <w:tcMar>
              <w:right w:w="170" w:type="dxa"/>
            </w:tcMar>
            <w:vAlign w:val="center"/>
          </w:tcPr>
          <w:p w14:paraId="74128709" w14:textId="77777777" w:rsidR="00033DD0" w:rsidRPr="00747B67" w:rsidRDefault="00407A6F" w:rsidP="00022CDD">
            <w:pPr>
              <w:jc w:val="center"/>
              <w:rPr>
                <w:rFonts w:eastAsia="Times New Roman" w:cstheme="minorHAnsi"/>
                <w:color w:val="000000"/>
                <w:sz w:val="20"/>
                <w:szCs w:val="20"/>
                <w:lang w:eastAsia="en-GB"/>
              </w:rPr>
            </w:pPr>
            <w:r>
              <w:rPr>
                <w:rFonts w:eastAsia="Times New Roman" w:cstheme="minorHAnsi"/>
                <w:color w:val="000000"/>
                <w:sz w:val="20"/>
                <w:szCs w:val="20"/>
                <w:lang w:eastAsia="en-GB"/>
              </w:rPr>
              <w:t>1,691,500</w:t>
            </w:r>
          </w:p>
        </w:tc>
      </w:tr>
    </w:tbl>
    <w:p w14:paraId="1A2F82CB" w14:textId="77777777" w:rsidR="00827444" w:rsidRPr="00B84FF0" w:rsidRDefault="003B6D75" w:rsidP="0012268D">
      <w:pPr>
        <w:spacing w:after="0"/>
        <w:rPr>
          <w:rFonts w:eastAsia="Times New Roman" w:cstheme="minorHAnsi"/>
          <w:i/>
          <w:color w:val="000000"/>
          <w:sz w:val="16"/>
          <w:szCs w:val="16"/>
          <w:lang w:eastAsia="en-GB"/>
        </w:rPr>
      </w:pPr>
      <w:r w:rsidRPr="00B84FF0">
        <w:rPr>
          <w:rFonts w:eastAsia="Times New Roman" w:cstheme="minorHAnsi"/>
          <w:b/>
          <w:i/>
          <w:color w:val="000000"/>
          <w:sz w:val="16"/>
          <w:szCs w:val="16"/>
          <w:lang w:eastAsia="en-GB"/>
        </w:rPr>
        <w:t>Note</w:t>
      </w:r>
      <w:r w:rsidR="005C62D6" w:rsidRPr="00B84FF0">
        <w:rPr>
          <w:rFonts w:eastAsia="Times New Roman" w:cstheme="minorHAnsi"/>
          <w:b/>
          <w:i/>
          <w:color w:val="000000"/>
          <w:sz w:val="16"/>
          <w:szCs w:val="16"/>
          <w:lang w:eastAsia="en-GB"/>
        </w:rPr>
        <w:t>s</w:t>
      </w:r>
      <w:r w:rsidRPr="00B84FF0">
        <w:rPr>
          <w:rFonts w:eastAsia="Times New Roman" w:cstheme="minorHAnsi"/>
          <w:b/>
          <w:i/>
          <w:color w:val="000000"/>
          <w:sz w:val="16"/>
          <w:szCs w:val="16"/>
          <w:lang w:eastAsia="en-GB"/>
        </w:rPr>
        <w:t xml:space="preserve">: </w:t>
      </w:r>
      <w:r w:rsidR="00982ECA" w:rsidRPr="00B84FF0">
        <w:rPr>
          <w:rFonts w:eastAsia="Times New Roman" w:cstheme="minorHAnsi"/>
          <w:b/>
          <w:i/>
          <w:color w:val="000000"/>
          <w:sz w:val="16"/>
          <w:szCs w:val="16"/>
          <w:lang w:eastAsia="en-GB"/>
        </w:rPr>
        <w:br/>
      </w:r>
      <w:r w:rsidR="00982ECA" w:rsidRPr="00B84FF0">
        <w:rPr>
          <w:rFonts w:eastAsia="Times New Roman" w:cstheme="minorHAnsi"/>
          <w:i/>
          <w:color w:val="000000"/>
          <w:sz w:val="16"/>
          <w:szCs w:val="16"/>
          <w:lang w:eastAsia="en-GB"/>
        </w:rPr>
        <w:t xml:space="preserve">(1) </w:t>
      </w:r>
      <w:r w:rsidR="00407A6F" w:rsidRPr="00B84FF0">
        <w:rPr>
          <w:rFonts w:eastAsia="Times New Roman" w:cstheme="minorHAnsi"/>
          <w:i/>
          <w:color w:val="000000"/>
          <w:sz w:val="16"/>
          <w:szCs w:val="16"/>
          <w:lang w:eastAsia="en-GB"/>
        </w:rPr>
        <w:t xml:space="preserve">Allocations by division are approximate because </w:t>
      </w:r>
      <w:r w:rsidR="00CF61E0" w:rsidRPr="00B84FF0">
        <w:rPr>
          <w:rFonts w:eastAsia="Times New Roman" w:cstheme="minorHAnsi"/>
          <w:i/>
          <w:color w:val="000000"/>
          <w:sz w:val="16"/>
          <w:szCs w:val="16"/>
          <w:lang w:eastAsia="en-GB"/>
        </w:rPr>
        <w:t>each year</w:t>
      </w:r>
      <w:r w:rsidR="00BC12F5">
        <w:rPr>
          <w:rFonts w:eastAsia="Times New Roman" w:cstheme="minorHAnsi"/>
          <w:i/>
          <w:color w:val="000000"/>
          <w:sz w:val="16"/>
          <w:szCs w:val="16"/>
          <w:lang w:eastAsia="en-GB"/>
        </w:rPr>
        <w:t>’s budget</w:t>
      </w:r>
      <w:r w:rsidR="00CF61E0" w:rsidRPr="00B84FF0">
        <w:rPr>
          <w:rFonts w:eastAsia="Times New Roman" w:cstheme="minorHAnsi"/>
          <w:i/>
          <w:color w:val="000000"/>
          <w:sz w:val="16"/>
          <w:szCs w:val="16"/>
          <w:lang w:eastAsia="en-GB"/>
        </w:rPr>
        <w:t xml:space="preserve"> </w:t>
      </w:r>
      <w:r w:rsidR="00CF61E0" w:rsidRPr="00A318B9">
        <w:rPr>
          <w:rFonts w:eastAsia="Times New Roman" w:cstheme="minorHAnsi"/>
          <w:i/>
          <w:noProof/>
          <w:color w:val="000000"/>
          <w:sz w:val="16"/>
          <w:szCs w:val="16"/>
          <w:lang w:eastAsia="en-GB"/>
        </w:rPr>
        <w:t xml:space="preserve">was </w:t>
      </w:r>
      <w:r w:rsidR="00407A6F" w:rsidRPr="00A318B9">
        <w:rPr>
          <w:rFonts w:eastAsia="Times New Roman" w:cstheme="minorHAnsi"/>
          <w:i/>
          <w:noProof/>
          <w:color w:val="000000"/>
          <w:sz w:val="16"/>
          <w:szCs w:val="16"/>
          <w:lang w:eastAsia="en-GB"/>
        </w:rPr>
        <w:t>presented</w:t>
      </w:r>
      <w:r w:rsidR="00407A6F" w:rsidRPr="00B84FF0">
        <w:rPr>
          <w:rFonts w:eastAsia="Times New Roman" w:cstheme="minorHAnsi"/>
          <w:i/>
          <w:color w:val="000000"/>
          <w:sz w:val="16"/>
          <w:szCs w:val="16"/>
          <w:lang w:eastAsia="en-GB"/>
        </w:rPr>
        <w:t xml:space="preserve"> differently. </w:t>
      </w:r>
      <w:r w:rsidR="00982ECA" w:rsidRPr="00B84FF0">
        <w:rPr>
          <w:rFonts w:eastAsia="Times New Roman" w:cstheme="minorHAnsi"/>
          <w:i/>
          <w:color w:val="000000"/>
          <w:sz w:val="16"/>
          <w:szCs w:val="16"/>
          <w:lang w:eastAsia="en-GB"/>
        </w:rPr>
        <w:br/>
      </w:r>
      <w:r w:rsidR="00982ECA" w:rsidRPr="00B84FF0">
        <w:rPr>
          <w:rFonts w:eastAsia="Times New Roman" w:cstheme="minorHAnsi"/>
          <w:i/>
          <w:color w:val="000000"/>
          <w:sz w:val="16"/>
          <w:szCs w:val="16"/>
          <w:lang w:eastAsia="en-GB"/>
        </w:rPr>
        <w:lastRenderedPageBreak/>
        <w:t xml:space="preserve">(2) </w:t>
      </w:r>
      <w:r w:rsidR="00CF61E0" w:rsidRPr="00B84FF0">
        <w:rPr>
          <w:rFonts w:eastAsia="Times New Roman" w:cstheme="minorHAnsi"/>
          <w:i/>
          <w:color w:val="000000"/>
          <w:sz w:val="16"/>
          <w:szCs w:val="16"/>
          <w:lang w:eastAsia="en-GB"/>
        </w:rPr>
        <w:t xml:space="preserve">The Public Health Division for 2017/18 is not comparable with prior years because it includes </w:t>
      </w:r>
      <w:r w:rsidR="00BF146C" w:rsidRPr="00B84FF0">
        <w:rPr>
          <w:rFonts w:eastAsia="Times New Roman" w:cstheme="minorHAnsi"/>
          <w:i/>
          <w:color w:val="000000"/>
          <w:sz w:val="16"/>
          <w:szCs w:val="16"/>
          <w:lang w:eastAsia="en-GB"/>
        </w:rPr>
        <w:t>funding for Hala Fononga activities passing directly to MoH from DFAT</w:t>
      </w:r>
      <w:r w:rsidR="00982ECA" w:rsidRPr="00B84FF0">
        <w:rPr>
          <w:rFonts w:eastAsia="Times New Roman" w:cstheme="minorHAnsi"/>
          <w:i/>
          <w:color w:val="000000"/>
          <w:sz w:val="16"/>
          <w:szCs w:val="16"/>
          <w:lang w:eastAsia="en-GB"/>
        </w:rPr>
        <w:t>, bypassing TongaHealth.</w:t>
      </w:r>
      <w:r w:rsidR="00BF146C" w:rsidRPr="00B84FF0">
        <w:rPr>
          <w:rFonts w:eastAsia="Times New Roman" w:cstheme="minorHAnsi"/>
          <w:i/>
          <w:color w:val="000000"/>
          <w:sz w:val="16"/>
          <w:szCs w:val="16"/>
          <w:lang w:eastAsia="en-GB"/>
        </w:rPr>
        <w:t xml:space="preserve"> </w:t>
      </w:r>
      <w:r w:rsidR="00982ECA" w:rsidRPr="00B84FF0">
        <w:rPr>
          <w:rFonts w:eastAsia="Times New Roman" w:cstheme="minorHAnsi"/>
          <w:i/>
          <w:color w:val="000000"/>
          <w:sz w:val="16"/>
          <w:szCs w:val="16"/>
          <w:lang w:eastAsia="en-GB"/>
        </w:rPr>
        <w:br/>
        <w:t xml:space="preserve">(3) Program funding for </w:t>
      </w:r>
      <w:r w:rsidR="005C62D6" w:rsidRPr="00B84FF0">
        <w:rPr>
          <w:rFonts w:eastAsia="Times New Roman" w:cstheme="minorHAnsi"/>
          <w:i/>
          <w:color w:val="000000"/>
          <w:sz w:val="16"/>
          <w:szCs w:val="16"/>
          <w:lang w:eastAsia="en-GB"/>
        </w:rPr>
        <w:t xml:space="preserve">Nursing </w:t>
      </w:r>
      <w:r w:rsidR="00407A6F" w:rsidRPr="00B84FF0">
        <w:rPr>
          <w:rFonts w:eastAsia="Times New Roman" w:cstheme="minorHAnsi"/>
          <w:i/>
          <w:color w:val="000000"/>
          <w:sz w:val="16"/>
          <w:szCs w:val="16"/>
          <w:lang w:eastAsia="en-GB"/>
        </w:rPr>
        <w:t xml:space="preserve">and Dental </w:t>
      </w:r>
      <w:r w:rsidR="005C62D6" w:rsidRPr="00B84FF0">
        <w:rPr>
          <w:rFonts w:eastAsia="Times New Roman" w:cstheme="minorHAnsi"/>
          <w:i/>
          <w:color w:val="000000"/>
          <w:sz w:val="16"/>
          <w:szCs w:val="16"/>
          <w:lang w:eastAsia="en-GB"/>
        </w:rPr>
        <w:t>Division</w:t>
      </w:r>
      <w:r w:rsidR="00407A6F" w:rsidRPr="00B84FF0">
        <w:rPr>
          <w:rFonts w:eastAsia="Times New Roman" w:cstheme="minorHAnsi"/>
          <w:i/>
          <w:color w:val="000000"/>
          <w:sz w:val="16"/>
          <w:szCs w:val="16"/>
          <w:lang w:eastAsia="en-GB"/>
        </w:rPr>
        <w:t>s</w:t>
      </w:r>
      <w:r w:rsidR="005C62D6" w:rsidRPr="00B84FF0">
        <w:rPr>
          <w:rFonts w:eastAsia="Times New Roman" w:cstheme="minorHAnsi"/>
          <w:i/>
          <w:color w:val="000000"/>
          <w:sz w:val="16"/>
          <w:szCs w:val="16"/>
          <w:lang w:eastAsia="en-GB"/>
        </w:rPr>
        <w:t xml:space="preserve"> ha</w:t>
      </w:r>
      <w:r w:rsidR="00982ECA" w:rsidRPr="00B84FF0">
        <w:rPr>
          <w:rFonts w:eastAsia="Times New Roman" w:cstheme="minorHAnsi"/>
          <w:i/>
          <w:color w:val="000000"/>
          <w:sz w:val="16"/>
          <w:szCs w:val="16"/>
          <w:lang w:eastAsia="en-GB"/>
        </w:rPr>
        <w:t>s</w:t>
      </w:r>
      <w:r w:rsidR="005C62D6" w:rsidRPr="00B84FF0">
        <w:rPr>
          <w:rFonts w:eastAsia="Times New Roman" w:cstheme="minorHAnsi"/>
          <w:i/>
          <w:color w:val="000000"/>
          <w:sz w:val="16"/>
          <w:szCs w:val="16"/>
          <w:lang w:eastAsia="en-GB"/>
        </w:rPr>
        <w:t xml:space="preserve"> been consolidated into the division </w:t>
      </w:r>
      <w:r w:rsidR="00B84FF0">
        <w:rPr>
          <w:rFonts w:eastAsia="Times New Roman" w:cstheme="minorHAnsi"/>
          <w:i/>
          <w:color w:val="000000"/>
          <w:sz w:val="16"/>
          <w:szCs w:val="16"/>
          <w:lang w:eastAsia="en-GB"/>
        </w:rPr>
        <w:t xml:space="preserve">most closely </w:t>
      </w:r>
      <w:r w:rsidR="005C62D6" w:rsidRPr="00B84FF0">
        <w:rPr>
          <w:rFonts w:eastAsia="Times New Roman" w:cstheme="minorHAnsi"/>
          <w:i/>
          <w:color w:val="000000"/>
          <w:sz w:val="16"/>
          <w:szCs w:val="16"/>
          <w:lang w:eastAsia="en-GB"/>
        </w:rPr>
        <w:t>relating to the expenditur</w:t>
      </w:r>
      <w:r w:rsidR="00407A6F" w:rsidRPr="00B84FF0">
        <w:rPr>
          <w:rFonts w:eastAsia="Times New Roman" w:cstheme="minorHAnsi"/>
          <w:i/>
          <w:color w:val="000000"/>
          <w:sz w:val="16"/>
          <w:szCs w:val="16"/>
          <w:lang w:eastAsia="en-GB"/>
        </w:rPr>
        <w:t xml:space="preserve">e type </w:t>
      </w:r>
      <w:r w:rsidR="00407A6F" w:rsidRPr="00A318B9">
        <w:rPr>
          <w:rFonts w:eastAsia="Times New Roman" w:cstheme="minorHAnsi"/>
          <w:i/>
          <w:noProof/>
          <w:color w:val="000000"/>
          <w:sz w:val="16"/>
          <w:szCs w:val="16"/>
          <w:lang w:eastAsia="en-GB"/>
        </w:rPr>
        <w:t>e.g.</w:t>
      </w:r>
      <w:r w:rsidR="00407A6F" w:rsidRPr="00B84FF0">
        <w:rPr>
          <w:rFonts w:eastAsia="Times New Roman" w:cstheme="minorHAnsi"/>
          <w:i/>
          <w:color w:val="000000"/>
          <w:sz w:val="16"/>
          <w:szCs w:val="16"/>
          <w:lang w:eastAsia="en-GB"/>
        </w:rPr>
        <w:t xml:space="preserve"> NCD nurses </w:t>
      </w:r>
      <w:r w:rsidR="00982ECA" w:rsidRPr="00B84FF0">
        <w:rPr>
          <w:rFonts w:eastAsia="Times New Roman" w:cstheme="minorHAnsi"/>
          <w:i/>
          <w:color w:val="000000"/>
          <w:sz w:val="16"/>
          <w:szCs w:val="16"/>
          <w:lang w:eastAsia="en-GB"/>
        </w:rPr>
        <w:t xml:space="preserve">and dental outreach visits have </w:t>
      </w:r>
      <w:r w:rsidR="00982ECA" w:rsidRPr="00A318B9">
        <w:rPr>
          <w:rFonts w:eastAsia="Times New Roman" w:cstheme="minorHAnsi"/>
          <w:i/>
          <w:noProof/>
          <w:color w:val="000000"/>
          <w:sz w:val="16"/>
          <w:szCs w:val="16"/>
          <w:lang w:eastAsia="en-GB"/>
        </w:rPr>
        <w:t>been added</w:t>
      </w:r>
      <w:r w:rsidR="00982ECA" w:rsidRPr="00B84FF0">
        <w:rPr>
          <w:rFonts w:eastAsia="Times New Roman" w:cstheme="minorHAnsi"/>
          <w:i/>
          <w:color w:val="000000"/>
          <w:sz w:val="16"/>
          <w:szCs w:val="16"/>
          <w:lang w:eastAsia="en-GB"/>
        </w:rPr>
        <w:t xml:space="preserve"> into Community Health.</w:t>
      </w:r>
    </w:p>
    <w:p w14:paraId="2BB95C98" w14:textId="77777777" w:rsidR="0012268D" w:rsidRDefault="0012268D" w:rsidP="0012268D">
      <w:pPr>
        <w:spacing w:after="0"/>
        <w:rPr>
          <w:rFonts w:eastAsia="Times New Roman" w:cstheme="minorHAnsi"/>
          <w:color w:val="000000"/>
          <w:lang w:eastAsia="en-GB"/>
        </w:rPr>
      </w:pPr>
    </w:p>
    <w:p w14:paraId="01220B90" w14:textId="77777777" w:rsidR="00E07E05" w:rsidRDefault="00982ECA" w:rsidP="00E07E05">
      <w:pPr>
        <w:rPr>
          <w:rFonts w:eastAsia="Times New Roman" w:cstheme="minorHAnsi"/>
          <w:color w:val="000000"/>
          <w:lang w:eastAsia="en-GB"/>
        </w:rPr>
      </w:pPr>
      <w:r>
        <w:rPr>
          <w:rFonts w:eastAsia="Times New Roman" w:cstheme="minorHAnsi"/>
          <w:color w:val="000000"/>
          <w:lang w:eastAsia="en-GB"/>
        </w:rPr>
        <w:t>D</w:t>
      </w:r>
      <w:r w:rsidR="005309B7">
        <w:rPr>
          <w:rFonts w:eastAsia="Times New Roman" w:cstheme="minorHAnsi"/>
          <w:color w:val="000000"/>
          <w:lang w:eastAsia="en-GB"/>
        </w:rPr>
        <w:t>ue to changes in the budgeting format</w:t>
      </w:r>
      <w:r w:rsidR="00814744">
        <w:rPr>
          <w:rFonts w:eastAsia="Times New Roman" w:cstheme="minorHAnsi"/>
          <w:color w:val="000000"/>
          <w:lang w:eastAsia="en-GB"/>
        </w:rPr>
        <w:t xml:space="preserve"> between 2015 and 2016</w:t>
      </w:r>
      <w:r w:rsidR="005309B7">
        <w:rPr>
          <w:rFonts w:eastAsia="Times New Roman" w:cstheme="minorHAnsi"/>
          <w:color w:val="000000"/>
          <w:lang w:eastAsia="en-GB"/>
        </w:rPr>
        <w:t xml:space="preserve">, </w:t>
      </w:r>
      <w:r>
        <w:rPr>
          <w:rFonts w:eastAsia="Times New Roman" w:cstheme="minorHAnsi"/>
          <w:color w:val="000000"/>
          <w:lang w:eastAsia="en-GB"/>
        </w:rPr>
        <w:t>p</w:t>
      </w:r>
      <w:r w:rsidR="006005E7">
        <w:rPr>
          <w:rFonts w:eastAsia="Times New Roman" w:cstheme="minorHAnsi"/>
          <w:color w:val="000000"/>
          <w:lang w:eastAsia="en-GB"/>
        </w:rPr>
        <w:t xml:space="preserve">resenting the financial data </w:t>
      </w:r>
      <w:r>
        <w:rPr>
          <w:rFonts w:eastAsia="Times New Roman" w:cstheme="minorHAnsi"/>
          <w:color w:val="000000"/>
          <w:lang w:eastAsia="en-GB"/>
        </w:rPr>
        <w:t>consistent</w:t>
      </w:r>
      <w:r w:rsidR="006005E7">
        <w:rPr>
          <w:rFonts w:eastAsia="Times New Roman" w:cstheme="minorHAnsi"/>
          <w:color w:val="000000"/>
          <w:lang w:eastAsia="en-GB"/>
        </w:rPr>
        <w:t>ly for each program year</w:t>
      </w:r>
      <w:r w:rsidR="005309B7">
        <w:rPr>
          <w:rFonts w:eastAsia="Times New Roman" w:cstheme="minorHAnsi"/>
          <w:color w:val="000000"/>
          <w:lang w:eastAsia="en-GB"/>
        </w:rPr>
        <w:t xml:space="preserve"> is not precise. </w:t>
      </w:r>
      <w:r w:rsidR="00814744">
        <w:rPr>
          <w:rFonts w:eastAsia="Times New Roman" w:cstheme="minorHAnsi"/>
          <w:color w:val="000000"/>
          <w:lang w:eastAsia="en-GB"/>
        </w:rPr>
        <w:t>T</w:t>
      </w:r>
      <w:r>
        <w:rPr>
          <w:rFonts w:eastAsia="Times New Roman" w:cstheme="minorHAnsi"/>
          <w:color w:val="000000"/>
          <w:lang w:eastAsia="en-GB"/>
        </w:rPr>
        <w:t xml:space="preserve">he key observation from Table </w:t>
      </w:r>
      <w:r w:rsidR="00EC6E98">
        <w:rPr>
          <w:rFonts w:eastAsia="Times New Roman" w:cstheme="minorHAnsi"/>
          <w:color w:val="000000"/>
          <w:lang w:eastAsia="en-GB"/>
        </w:rPr>
        <w:t xml:space="preserve">4 </w:t>
      </w:r>
      <w:r>
        <w:rPr>
          <w:rFonts w:eastAsia="Times New Roman" w:cstheme="minorHAnsi"/>
          <w:color w:val="000000"/>
          <w:lang w:eastAsia="en-GB"/>
        </w:rPr>
        <w:t xml:space="preserve">is that </w:t>
      </w:r>
      <w:r w:rsidR="006005E7">
        <w:rPr>
          <w:rFonts w:eastAsia="Times New Roman" w:cstheme="minorHAnsi"/>
          <w:color w:val="000000"/>
          <w:lang w:eastAsia="en-GB"/>
        </w:rPr>
        <w:t>57</w:t>
      </w:r>
      <w:r>
        <w:rPr>
          <w:rFonts w:eastAsia="Times New Roman" w:cstheme="minorHAnsi"/>
          <w:color w:val="000000"/>
          <w:lang w:eastAsia="en-GB"/>
        </w:rPr>
        <w:t xml:space="preserve">% (TOP 4,363,688 million) </w:t>
      </w:r>
      <w:r w:rsidR="006005E7">
        <w:rPr>
          <w:rFonts w:eastAsia="Times New Roman" w:cstheme="minorHAnsi"/>
          <w:color w:val="000000"/>
          <w:lang w:eastAsia="en-GB"/>
        </w:rPr>
        <w:t xml:space="preserve">of total investment in the MoH (TOP 7,614,378 million) for the </w:t>
      </w:r>
      <w:r w:rsidR="00A8259B">
        <w:rPr>
          <w:rFonts w:eastAsia="Times New Roman" w:cstheme="minorHAnsi"/>
          <w:color w:val="000000"/>
          <w:lang w:eastAsia="en-GB"/>
        </w:rPr>
        <w:t xml:space="preserve">program to date </w:t>
      </w:r>
      <w:r w:rsidR="006005E7">
        <w:rPr>
          <w:rFonts w:eastAsia="Times New Roman" w:cstheme="minorHAnsi"/>
          <w:color w:val="000000"/>
          <w:lang w:eastAsia="en-GB"/>
        </w:rPr>
        <w:t xml:space="preserve">was in support of </w:t>
      </w:r>
      <w:r w:rsidR="00814744">
        <w:rPr>
          <w:rFonts w:eastAsia="Times New Roman" w:cstheme="minorHAnsi"/>
          <w:color w:val="000000"/>
          <w:lang w:eastAsia="en-GB"/>
        </w:rPr>
        <w:t>the C</w:t>
      </w:r>
      <w:r w:rsidR="006005E7">
        <w:rPr>
          <w:rFonts w:eastAsia="Times New Roman" w:cstheme="minorHAnsi"/>
          <w:color w:val="000000"/>
          <w:lang w:eastAsia="en-GB"/>
        </w:rPr>
        <w:t xml:space="preserve">linical </w:t>
      </w:r>
      <w:r w:rsidR="00814744">
        <w:rPr>
          <w:rFonts w:eastAsia="Times New Roman" w:cstheme="minorHAnsi"/>
          <w:color w:val="000000"/>
          <w:lang w:eastAsia="en-GB"/>
        </w:rPr>
        <w:t>S</w:t>
      </w:r>
      <w:r w:rsidR="006005E7">
        <w:rPr>
          <w:rFonts w:eastAsia="Times New Roman" w:cstheme="minorHAnsi"/>
          <w:color w:val="000000"/>
          <w:lang w:eastAsia="en-GB"/>
        </w:rPr>
        <w:t>ervices</w:t>
      </w:r>
      <w:r w:rsidR="00814744">
        <w:rPr>
          <w:rFonts w:eastAsia="Times New Roman" w:cstheme="minorHAnsi"/>
          <w:color w:val="000000"/>
          <w:lang w:eastAsia="en-GB"/>
        </w:rPr>
        <w:t xml:space="preserve"> Division</w:t>
      </w:r>
      <w:r w:rsidR="006005E7">
        <w:rPr>
          <w:rFonts w:eastAsia="Times New Roman" w:cstheme="minorHAnsi"/>
          <w:color w:val="000000"/>
          <w:lang w:eastAsia="en-GB"/>
        </w:rPr>
        <w:t xml:space="preserve">. </w:t>
      </w:r>
      <w:r w:rsidR="00A8259B">
        <w:rPr>
          <w:rFonts w:eastAsia="Times New Roman" w:cstheme="minorHAnsi"/>
          <w:color w:val="000000"/>
          <w:lang w:eastAsia="en-GB"/>
        </w:rPr>
        <w:t>After adjusting for clinical services that directly relate to THSSP2 priorities (such as NCD management or medical specialist outreach to outer islands), there is a net investment in clinical services in the order of 40% of program funding to the MoH</w:t>
      </w:r>
      <w:r w:rsidR="007275C6">
        <w:rPr>
          <w:rFonts w:eastAsia="Times New Roman" w:cstheme="minorHAnsi"/>
          <w:color w:val="000000"/>
          <w:lang w:eastAsia="en-GB"/>
        </w:rPr>
        <w:t xml:space="preserve"> that does not directly correspond to THSSP2 </w:t>
      </w:r>
      <w:r w:rsidR="009707D7">
        <w:rPr>
          <w:rFonts w:eastAsia="Times New Roman" w:cstheme="minorHAnsi"/>
          <w:color w:val="000000"/>
          <w:lang w:eastAsia="en-GB"/>
        </w:rPr>
        <w:t>high-level targets</w:t>
      </w:r>
      <w:r w:rsidR="00A8259B">
        <w:rPr>
          <w:rFonts w:eastAsia="Times New Roman" w:cstheme="minorHAnsi"/>
          <w:color w:val="000000"/>
          <w:lang w:eastAsia="en-GB"/>
        </w:rPr>
        <w:t>. This 40% inves</w:t>
      </w:r>
      <w:r w:rsidR="00302A54">
        <w:rPr>
          <w:rFonts w:eastAsia="Times New Roman" w:cstheme="minorHAnsi"/>
          <w:color w:val="000000"/>
          <w:lang w:eastAsia="en-GB"/>
        </w:rPr>
        <w:t>tment</w:t>
      </w:r>
      <w:r w:rsidR="00A8259B">
        <w:rPr>
          <w:rFonts w:eastAsia="Times New Roman" w:cstheme="minorHAnsi"/>
          <w:color w:val="000000"/>
          <w:lang w:eastAsia="en-GB"/>
        </w:rPr>
        <w:t xml:space="preserve"> is </w:t>
      </w:r>
      <w:r w:rsidR="00302A54">
        <w:rPr>
          <w:rFonts w:eastAsia="Times New Roman" w:cstheme="minorHAnsi"/>
          <w:color w:val="000000"/>
          <w:lang w:eastAsia="en-GB"/>
        </w:rPr>
        <w:t xml:space="preserve">almost entirely at </w:t>
      </w:r>
      <w:r w:rsidR="00A8259B">
        <w:rPr>
          <w:rFonts w:eastAsia="Times New Roman" w:cstheme="minorHAnsi"/>
          <w:color w:val="000000"/>
          <w:lang w:eastAsia="en-GB"/>
        </w:rPr>
        <w:t>Vaiola Hospital</w:t>
      </w:r>
      <w:r w:rsidR="00302A54">
        <w:rPr>
          <w:rFonts w:eastAsia="Times New Roman" w:cstheme="minorHAnsi"/>
          <w:color w:val="000000"/>
          <w:lang w:eastAsia="en-GB"/>
        </w:rPr>
        <w:t xml:space="preserve"> in acute medical services, medical imaging, biomedical engineering and medical equipment procurement.</w:t>
      </w:r>
      <w:r w:rsidR="00A8259B">
        <w:rPr>
          <w:rFonts w:eastAsia="Times New Roman" w:cstheme="minorHAnsi"/>
          <w:color w:val="000000"/>
          <w:lang w:eastAsia="en-GB"/>
        </w:rPr>
        <w:t xml:space="preserve"> </w:t>
      </w:r>
      <w:r w:rsidR="006005E7" w:rsidRPr="00A318B9">
        <w:rPr>
          <w:rFonts w:eastAsia="Times New Roman" w:cstheme="minorHAnsi"/>
          <w:noProof/>
          <w:color w:val="000000"/>
          <w:lang w:eastAsia="en-GB"/>
        </w:rPr>
        <w:t>This</w:t>
      </w:r>
      <w:r w:rsidR="006005E7">
        <w:rPr>
          <w:rFonts w:eastAsia="Times New Roman" w:cstheme="minorHAnsi"/>
          <w:color w:val="000000"/>
          <w:lang w:eastAsia="en-GB"/>
        </w:rPr>
        <w:t xml:space="preserve"> means that</w:t>
      </w:r>
      <w:r w:rsidR="005A1708">
        <w:rPr>
          <w:rFonts w:eastAsia="Times New Roman" w:cstheme="minorHAnsi"/>
          <w:color w:val="000000"/>
          <w:lang w:eastAsia="en-GB"/>
        </w:rPr>
        <w:t xml:space="preserve"> to date</w:t>
      </w:r>
      <w:r w:rsidR="006005E7">
        <w:rPr>
          <w:rFonts w:eastAsia="Times New Roman" w:cstheme="minorHAnsi"/>
          <w:color w:val="000000"/>
          <w:lang w:eastAsia="en-GB"/>
        </w:rPr>
        <w:t xml:space="preserve"> THSSP2 has </w:t>
      </w:r>
      <w:r w:rsidR="005A1708">
        <w:rPr>
          <w:rFonts w:eastAsia="Times New Roman" w:cstheme="minorHAnsi"/>
          <w:color w:val="000000"/>
          <w:lang w:eastAsia="en-GB"/>
        </w:rPr>
        <w:t xml:space="preserve">divergent </w:t>
      </w:r>
      <w:r w:rsidR="009707D7">
        <w:rPr>
          <w:rFonts w:eastAsia="Times New Roman" w:cstheme="minorHAnsi"/>
          <w:color w:val="000000"/>
          <w:lang w:eastAsia="en-GB"/>
        </w:rPr>
        <w:t xml:space="preserve">investment </w:t>
      </w:r>
      <w:r w:rsidR="006005E7">
        <w:rPr>
          <w:rFonts w:eastAsia="Times New Roman" w:cstheme="minorHAnsi"/>
          <w:color w:val="000000"/>
          <w:lang w:eastAsia="en-GB"/>
        </w:rPr>
        <w:t>priorities to those expressed in the THSSP2 Design Document.</w:t>
      </w:r>
    </w:p>
    <w:p w14:paraId="12224CB6" w14:textId="77777777" w:rsidR="008C43F8" w:rsidRDefault="006005E7" w:rsidP="00E07E05">
      <w:pPr>
        <w:rPr>
          <w:rFonts w:eastAsia="Times New Roman"/>
          <w:color w:val="000000"/>
        </w:rPr>
      </w:pPr>
      <w:r>
        <w:rPr>
          <w:rFonts w:eastAsia="Times New Roman" w:cstheme="minorHAnsi"/>
          <w:color w:val="000000"/>
          <w:lang w:eastAsia="en-GB"/>
        </w:rPr>
        <w:t xml:space="preserve">The largest investment in clinical services has been for hospital-based </w:t>
      </w:r>
      <w:r w:rsidRPr="0019561B">
        <w:rPr>
          <w:rFonts w:eastAsia="Times New Roman"/>
          <w:color w:val="000000"/>
        </w:rPr>
        <w:t>positions of critical shortage</w:t>
      </w:r>
      <w:r>
        <w:rPr>
          <w:rFonts w:eastAsia="Times New Roman"/>
          <w:color w:val="000000"/>
        </w:rPr>
        <w:t xml:space="preserve"> described previously under ‘Human Resources’. Other large investments have </w:t>
      </w:r>
      <w:r w:rsidR="00B84FF0">
        <w:rPr>
          <w:rFonts w:eastAsia="Times New Roman"/>
          <w:color w:val="000000"/>
        </w:rPr>
        <w:t>included</w:t>
      </w:r>
      <w:r>
        <w:rPr>
          <w:rFonts w:eastAsia="Times New Roman"/>
          <w:color w:val="000000"/>
        </w:rPr>
        <w:t xml:space="preserve"> procurement of </w:t>
      </w:r>
      <w:r w:rsidRPr="00A318B9">
        <w:rPr>
          <w:rFonts w:eastAsia="Times New Roman"/>
          <w:noProof/>
          <w:color w:val="000000"/>
        </w:rPr>
        <w:t>a digital</w:t>
      </w:r>
      <w:r>
        <w:rPr>
          <w:rFonts w:eastAsia="Times New Roman"/>
          <w:color w:val="000000"/>
        </w:rPr>
        <w:t xml:space="preserve"> medical imaging </w:t>
      </w:r>
      <w:r w:rsidR="009707D7">
        <w:rPr>
          <w:rFonts w:eastAsia="Times New Roman"/>
          <w:color w:val="000000"/>
        </w:rPr>
        <w:t xml:space="preserve">(radiography) </w:t>
      </w:r>
      <w:r>
        <w:rPr>
          <w:rFonts w:eastAsia="Times New Roman"/>
          <w:color w:val="000000"/>
        </w:rPr>
        <w:t xml:space="preserve">system </w:t>
      </w:r>
      <w:r w:rsidR="00B84FF0">
        <w:rPr>
          <w:rFonts w:eastAsia="Times New Roman"/>
          <w:color w:val="000000"/>
        </w:rPr>
        <w:t xml:space="preserve">for Vaiola Hospital </w:t>
      </w:r>
      <w:r>
        <w:rPr>
          <w:rFonts w:eastAsia="Times New Roman"/>
          <w:color w:val="000000"/>
        </w:rPr>
        <w:t xml:space="preserve">and continuation of the longstanding twinning relationship with St John of God Hospital, Ballarat, Australia. </w:t>
      </w:r>
      <w:r w:rsidR="001A6284">
        <w:rPr>
          <w:rFonts w:eastAsia="Times New Roman"/>
          <w:color w:val="000000"/>
        </w:rPr>
        <w:t xml:space="preserve">The St John of God arrangement </w:t>
      </w:r>
      <w:r w:rsidR="001A6284" w:rsidRPr="00A318B9">
        <w:rPr>
          <w:rFonts w:eastAsia="Times New Roman"/>
          <w:noProof/>
          <w:color w:val="000000"/>
        </w:rPr>
        <w:t>is focused</w:t>
      </w:r>
      <w:r w:rsidR="001A6284">
        <w:rPr>
          <w:rFonts w:eastAsia="Times New Roman"/>
          <w:color w:val="000000"/>
        </w:rPr>
        <w:t xml:space="preserve"> on hospital-related functions (e.g. </w:t>
      </w:r>
      <w:r w:rsidR="001A6284">
        <w:rPr>
          <w:color w:val="000000"/>
        </w:rPr>
        <w:t xml:space="preserve">hospital infection control, intensive care, nursing middle management, engineering, psychiatry, and pharmacy). </w:t>
      </w:r>
      <w:r>
        <w:rPr>
          <w:rFonts w:eastAsia="Times New Roman"/>
          <w:color w:val="000000"/>
        </w:rPr>
        <w:t xml:space="preserve">The clinical services investments </w:t>
      </w:r>
      <w:r w:rsidR="00D61AF4">
        <w:rPr>
          <w:rFonts w:eastAsia="Times New Roman"/>
          <w:color w:val="000000"/>
        </w:rPr>
        <w:t xml:space="preserve">have </w:t>
      </w:r>
      <w:r w:rsidR="001A6284">
        <w:rPr>
          <w:rFonts w:eastAsia="Times New Roman"/>
          <w:color w:val="000000"/>
        </w:rPr>
        <w:t xml:space="preserve">generalised </w:t>
      </w:r>
      <w:r w:rsidR="00D61AF4">
        <w:rPr>
          <w:rFonts w:eastAsia="Times New Roman"/>
          <w:color w:val="000000"/>
        </w:rPr>
        <w:t xml:space="preserve">health system benefits </w:t>
      </w:r>
      <w:r w:rsidR="00D61AF4" w:rsidRPr="00A318B9">
        <w:rPr>
          <w:rFonts w:eastAsia="Times New Roman"/>
          <w:noProof/>
          <w:color w:val="000000"/>
        </w:rPr>
        <w:t>and</w:t>
      </w:r>
      <w:r w:rsidR="00D61AF4">
        <w:rPr>
          <w:rFonts w:eastAsia="Times New Roman"/>
          <w:color w:val="000000"/>
        </w:rPr>
        <w:t xml:space="preserve"> the mid-term evaluation is not </w:t>
      </w:r>
      <w:r w:rsidR="00302A54">
        <w:rPr>
          <w:rFonts w:eastAsia="Times New Roman"/>
          <w:color w:val="000000"/>
        </w:rPr>
        <w:t>intended</w:t>
      </w:r>
      <w:r w:rsidR="00D61AF4">
        <w:rPr>
          <w:rFonts w:eastAsia="Times New Roman"/>
          <w:color w:val="000000"/>
        </w:rPr>
        <w:t xml:space="preserve"> to </w:t>
      </w:r>
      <w:r w:rsidR="0089554E">
        <w:rPr>
          <w:rFonts w:eastAsia="Times New Roman"/>
          <w:color w:val="000000"/>
        </w:rPr>
        <w:t>evaluate the program activity by activity</w:t>
      </w:r>
      <w:r w:rsidR="00D61AF4">
        <w:rPr>
          <w:rFonts w:eastAsia="Times New Roman"/>
          <w:color w:val="000000"/>
        </w:rPr>
        <w:t xml:space="preserve">. </w:t>
      </w:r>
      <w:r w:rsidR="008C43F8">
        <w:rPr>
          <w:rFonts w:eastAsia="Times New Roman"/>
          <w:color w:val="000000"/>
        </w:rPr>
        <w:t xml:space="preserve">The </w:t>
      </w:r>
      <w:r w:rsidR="00BB1A3A">
        <w:rPr>
          <w:rFonts w:eastAsia="Times New Roman"/>
          <w:color w:val="000000"/>
        </w:rPr>
        <w:t xml:space="preserve">original </w:t>
      </w:r>
      <w:r w:rsidR="008C43F8">
        <w:rPr>
          <w:rFonts w:eastAsia="Times New Roman"/>
          <w:color w:val="000000"/>
        </w:rPr>
        <w:t xml:space="preserve">THSSP2 </w:t>
      </w:r>
      <w:r w:rsidR="00BB1A3A">
        <w:rPr>
          <w:rFonts w:eastAsia="Times New Roman"/>
          <w:color w:val="000000"/>
        </w:rPr>
        <w:t xml:space="preserve">Design Document </w:t>
      </w:r>
      <w:r w:rsidR="0089554E">
        <w:rPr>
          <w:rFonts w:eastAsia="Times New Roman"/>
          <w:color w:val="000000"/>
        </w:rPr>
        <w:t xml:space="preserve">has a </w:t>
      </w:r>
      <w:r w:rsidR="0089554E" w:rsidRPr="0089554E">
        <w:t>‘</w:t>
      </w:r>
      <w:r w:rsidR="005A1708">
        <w:t>conceptual</w:t>
      </w:r>
      <w:r w:rsidR="0089554E" w:rsidRPr="0089554E">
        <w:t xml:space="preserve">’ design, with </w:t>
      </w:r>
      <w:r w:rsidR="0089554E">
        <w:t>five</w:t>
      </w:r>
      <w:r w:rsidR="0089554E" w:rsidRPr="0089554E">
        <w:t xml:space="preserve"> high-level program targets</w:t>
      </w:r>
      <w:r w:rsidR="001A6284">
        <w:t xml:space="preserve">, </w:t>
      </w:r>
      <w:r w:rsidR="0089554E">
        <w:t xml:space="preserve">that are </w:t>
      </w:r>
      <w:r w:rsidR="0089554E" w:rsidRPr="0089554E">
        <w:t xml:space="preserve">not </w:t>
      </w:r>
      <w:r w:rsidR="0089554E">
        <w:t>investment</w:t>
      </w:r>
      <w:r w:rsidR="0089554E" w:rsidRPr="0089554E">
        <w:t xml:space="preserve"> themes</w:t>
      </w:r>
      <w:r w:rsidR="001A6284">
        <w:t xml:space="preserve">, </w:t>
      </w:r>
      <w:r w:rsidR="005A1708">
        <w:t xml:space="preserve">with resource allocation driven by </w:t>
      </w:r>
      <w:r w:rsidR="0089554E">
        <w:t xml:space="preserve">annual planning of </w:t>
      </w:r>
      <w:r w:rsidR="0089554E" w:rsidRPr="0089554E">
        <w:t xml:space="preserve">activities. </w:t>
      </w:r>
      <w:r w:rsidR="0089554E">
        <w:t>S</w:t>
      </w:r>
      <w:r w:rsidR="00BB1A3A" w:rsidRPr="0089554E">
        <w:t>trictly speaking</w:t>
      </w:r>
      <w:r w:rsidR="0089554E">
        <w:t>,</w:t>
      </w:r>
      <w:r w:rsidR="00BB1A3A" w:rsidRPr="0089554E">
        <w:t xml:space="preserve"> the investment in clinical services is not precluded</w:t>
      </w:r>
      <w:r w:rsidR="0089554E">
        <w:t xml:space="preserve"> in the design, although some logical contribution to progress towards the five</w:t>
      </w:r>
      <w:r w:rsidR="0089554E" w:rsidRPr="0089554E">
        <w:t xml:space="preserve"> high-level program targets</w:t>
      </w:r>
      <w:r w:rsidR="0089554E">
        <w:t xml:space="preserve"> would </w:t>
      </w:r>
      <w:r w:rsidR="0089554E" w:rsidRPr="00A318B9">
        <w:rPr>
          <w:noProof/>
        </w:rPr>
        <w:t>be reasonably expected</w:t>
      </w:r>
      <w:r w:rsidR="00BB1A3A" w:rsidRPr="0089554E">
        <w:t xml:space="preserve">. The THSSP2 </w:t>
      </w:r>
      <w:r w:rsidR="008C43F8" w:rsidRPr="0089554E">
        <w:t>M&amp;E Fra</w:t>
      </w:r>
      <w:r w:rsidR="008C43F8">
        <w:rPr>
          <w:rFonts w:eastAsia="Times New Roman"/>
          <w:color w:val="000000"/>
        </w:rPr>
        <w:t xml:space="preserve">mework is not designed to measure progress in </w:t>
      </w:r>
      <w:r w:rsidR="007275C6">
        <w:rPr>
          <w:rFonts w:eastAsia="Times New Roman"/>
          <w:color w:val="000000"/>
        </w:rPr>
        <w:t xml:space="preserve">acute </w:t>
      </w:r>
      <w:r w:rsidR="008C43F8">
        <w:rPr>
          <w:rFonts w:eastAsia="Times New Roman"/>
          <w:color w:val="000000"/>
        </w:rPr>
        <w:t xml:space="preserve">clinical </w:t>
      </w:r>
      <w:r w:rsidR="007275C6">
        <w:rPr>
          <w:rFonts w:eastAsia="Times New Roman"/>
          <w:color w:val="000000"/>
        </w:rPr>
        <w:t>care</w:t>
      </w:r>
      <w:r w:rsidR="008834E5">
        <w:rPr>
          <w:rFonts w:eastAsia="Times New Roman"/>
          <w:color w:val="000000"/>
        </w:rPr>
        <w:t>,</w:t>
      </w:r>
      <w:r w:rsidR="007275C6">
        <w:rPr>
          <w:rFonts w:eastAsia="Times New Roman"/>
          <w:color w:val="000000"/>
        </w:rPr>
        <w:t xml:space="preserve"> </w:t>
      </w:r>
      <w:r w:rsidR="00BB1A3A">
        <w:rPr>
          <w:rFonts w:eastAsia="Times New Roman"/>
          <w:color w:val="000000"/>
        </w:rPr>
        <w:t xml:space="preserve">so this substantial </w:t>
      </w:r>
      <w:r w:rsidR="001E45B9">
        <w:rPr>
          <w:rFonts w:eastAsia="Times New Roman"/>
          <w:color w:val="000000"/>
        </w:rPr>
        <w:t xml:space="preserve">program </w:t>
      </w:r>
      <w:r w:rsidR="00BB1A3A">
        <w:rPr>
          <w:rFonts w:eastAsia="Times New Roman"/>
          <w:color w:val="000000"/>
        </w:rPr>
        <w:t>investment is unmeasured</w:t>
      </w:r>
      <w:r w:rsidR="008C43F8">
        <w:rPr>
          <w:rFonts w:eastAsia="Times New Roman"/>
          <w:color w:val="000000"/>
        </w:rPr>
        <w:t>.</w:t>
      </w:r>
    </w:p>
    <w:p w14:paraId="48E59AD7" w14:textId="77777777" w:rsidR="001E45B9" w:rsidRDefault="001E45B9" w:rsidP="00E07E05">
      <w:pPr>
        <w:rPr>
          <w:rFonts w:eastAsia="Times New Roman"/>
          <w:color w:val="000000"/>
        </w:rPr>
      </w:pPr>
      <w:r>
        <w:rPr>
          <w:rFonts w:eastAsia="Times New Roman"/>
          <w:color w:val="000000"/>
        </w:rPr>
        <w:t>The rather broad spread of annual program activities does tend to mitigate concerns about potential ‘verticalism’ of the focus on NCDs</w:t>
      </w:r>
      <w:r w:rsidR="00801437">
        <w:rPr>
          <w:rFonts w:eastAsia="Times New Roman"/>
          <w:color w:val="000000"/>
        </w:rPr>
        <w:t xml:space="preserve"> (although it</w:t>
      </w:r>
      <w:r w:rsidR="00957346">
        <w:rPr>
          <w:rFonts w:eastAsia="Times New Roman"/>
          <w:color w:val="000000"/>
        </w:rPr>
        <w:t xml:space="preserve"> i</w:t>
      </w:r>
      <w:r w:rsidR="00801437">
        <w:rPr>
          <w:rFonts w:eastAsia="Times New Roman"/>
          <w:color w:val="000000"/>
        </w:rPr>
        <w:t xml:space="preserve">s unclear if the spread is intended to strengthen the wider health system </w:t>
      </w:r>
      <w:r w:rsidR="00801437" w:rsidRPr="00A318B9">
        <w:rPr>
          <w:rFonts w:eastAsia="Times New Roman"/>
          <w:noProof/>
          <w:color w:val="000000"/>
        </w:rPr>
        <w:t xml:space="preserve">in a </w:t>
      </w:r>
      <w:r w:rsidR="00D867DD" w:rsidRPr="00A318B9">
        <w:rPr>
          <w:rFonts w:eastAsia="Times New Roman"/>
          <w:noProof/>
          <w:color w:val="000000"/>
        </w:rPr>
        <w:t xml:space="preserve">strategic </w:t>
      </w:r>
      <w:r w:rsidR="00801437" w:rsidRPr="00A318B9">
        <w:rPr>
          <w:rFonts w:eastAsia="Times New Roman"/>
          <w:noProof/>
          <w:color w:val="000000"/>
        </w:rPr>
        <w:t>manner</w:t>
      </w:r>
      <w:r w:rsidR="00801437">
        <w:rPr>
          <w:rFonts w:eastAsia="Times New Roman"/>
          <w:color w:val="000000"/>
        </w:rPr>
        <w:t>)</w:t>
      </w:r>
      <w:r>
        <w:rPr>
          <w:rFonts w:eastAsia="Times New Roman"/>
          <w:color w:val="000000"/>
        </w:rPr>
        <w:t xml:space="preserve">. The effectiveness of aid programs that focus on a single health issue, for </w:t>
      </w:r>
      <w:r w:rsidRPr="00A318B9">
        <w:rPr>
          <w:rFonts w:eastAsia="Times New Roman"/>
          <w:noProof/>
          <w:color w:val="000000"/>
        </w:rPr>
        <w:t>example</w:t>
      </w:r>
      <w:r>
        <w:rPr>
          <w:rFonts w:eastAsia="Times New Roman"/>
          <w:color w:val="000000"/>
        </w:rPr>
        <w:t xml:space="preserve"> communicable diseases, tends to plateau at some stage if the overall health system </w:t>
      </w:r>
      <w:r w:rsidRPr="00A318B9">
        <w:rPr>
          <w:rFonts w:eastAsia="Times New Roman"/>
          <w:noProof/>
          <w:color w:val="000000"/>
        </w:rPr>
        <w:t>is not adequately addressed</w:t>
      </w:r>
      <w:r>
        <w:rPr>
          <w:rFonts w:eastAsia="Times New Roman"/>
          <w:color w:val="000000"/>
        </w:rPr>
        <w:t>. In this case, the evidence is that THSSP2 annual activities have not been as intensely focused on NCDs as the design suggests. The dilemma is that, as discussed under ‘</w:t>
      </w:r>
      <w:r w:rsidR="00957346">
        <w:rPr>
          <w:rFonts w:eastAsia="Times New Roman"/>
          <w:color w:val="000000"/>
        </w:rPr>
        <w:t>a</w:t>
      </w:r>
      <w:r>
        <w:rPr>
          <w:rFonts w:eastAsia="Times New Roman"/>
          <w:color w:val="000000"/>
        </w:rPr>
        <w:t>nnual planning’, the investments in clinical services have no guiding strategic framework.</w:t>
      </w:r>
    </w:p>
    <w:p w14:paraId="2B71FC57" w14:textId="77777777" w:rsidR="008C43F8" w:rsidRDefault="001E45B9" w:rsidP="00E07E05">
      <w:pPr>
        <w:rPr>
          <w:rFonts w:eastAsia="Times New Roman"/>
          <w:color w:val="000000"/>
        </w:rPr>
      </w:pPr>
      <w:r>
        <w:rPr>
          <w:rFonts w:eastAsia="Times New Roman"/>
          <w:color w:val="000000"/>
        </w:rPr>
        <w:t>Overall, t</w:t>
      </w:r>
      <w:r w:rsidR="008C43F8">
        <w:rPr>
          <w:rFonts w:eastAsia="Times New Roman"/>
          <w:color w:val="000000"/>
        </w:rPr>
        <w:t xml:space="preserve">he evaluation team </w:t>
      </w:r>
      <w:r w:rsidR="00B84FF0">
        <w:rPr>
          <w:rFonts w:eastAsia="Times New Roman"/>
          <w:color w:val="000000"/>
        </w:rPr>
        <w:t>conclude</w:t>
      </w:r>
      <w:r w:rsidR="008C43F8">
        <w:rPr>
          <w:rFonts w:eastAsia="Times New Roman"/>
          <w:color w:val="000000"/>
        </w:rPr>
        <w:t>s</w:t>
      </w:r>
      <w:r w:rsidR="00B84FF0">
        <w:rPr>
          <w:rFonts w:eastAsia="Times New Roman"/>
          <w:color w:val="000000"/>
        </w:rPr>
        <w:t xml:space="preserve"> that in the context of</w:t>
      </w:r>
      <w:r w:rsidR="00957346">
        <w:rPr>
          <w:rFonts w:eastAsia="Times New Roman"/>
          <w:color w:val="000000"/>
        </w:rPr>
        <w:t xml:space="preserve"> the limited effectiveness of the </w:t>
      </w:r>
      <w:r w:rsidR="00B84FF0">
        <w:rPr>
          <w:rFonts w:eastAsia="Times New Roman"/>
          <w:color w:val="000000"/>
        </w:rPr>
        <w:t>program governance structure</w:t>
      </w:r>
      <w:r w:rsidR="008834E5">
        <w:rPr>
          <w:rFonts w:eastAsia="Times New Roman"/>
          <w:color w:val="000000"/>
        </w:rPr>
        <w:t xml:space="preserve"> through</w:t>
      </w:r>
      <w:r w:rsidR="00B84FF0">
        <w:rPr>
          <w:rFonts w:eastAsia="Times New Roman"/>
          <w:color w:val="000000"/>
        </w:rPr>
        <w:t xml:space="preserve"> the NHDC, and insufficient MoH planning capacity, th</w:t>
      </w:r>
      <w:r>
        <w:rPr>
          <w:rFonts w:eastAsia="Times New Roman"/>
          <w:color w:val="000000"/>
        </w:rPr>
        <w:t>e</w:t>
      </w:r>
      <w:r w:rsidR="00B84FF0">
        <w:rPr>
          <w:rFonts w:eastAsia="Times New Roman"/>
          <w:color w:val="000000"/>
        </w:rPr>
        <w:t xml:space="preserve"> large investment in </w:t>
      </w:r>
      <w:r w:rsidR="007275C6">
        <w:rPr>
          <w:rFonts w:eastAsia="Times New Roman"/>
          <w:color w:val="000000"/>
        </w:rPr>
        <w:t xml:space="preserve">acute </w:t>
      </w:r>
      <w:r w:rsidR="00B84FF0">
        <w:rPr>
          <w:rFonts w:eastAsia="Times New Roman"/>
          <w:color w:val="000000"/>
        </w:rPr>
        <w:t xml:space="preserve">clinical </w:t>
      </w:r>
      <w:r w:rsidR="007275C6">
        <w:rPr>
          <w:rFonts w:eastAsia="Times New Roman"/>
          <w:color w:val="000000"/>
        </w:rPr>
        <w:t xml:space="preserve">care </w:t>
      </w:r>
      <w:r>
        <w:rPr>
          <w:rFonts w:eastAsia="Times New Roman"/>
          <w:color w:val="000000"/>
        </w:rPr>
        <w:t xml:space="preserve">represents </w:t>
      </w:r>
      <w:r w:rsidR="00B84FF0" w:rsidRPr="00A318B9">
        <w:rPr>
          <w:rFonts w:eastAsia="Times New Roman"/>
          <w:noProof/>
          <w:color w:val="000000"/>
        </w:rPr>
        <w:t>dilut</w:t>
      </w:r>
      <w:r w:rsidRPr="00A318B9">
        <w:rPr>
          <w:rFonts w:eastAsia="Times New Roman"/>
          <w:noProof/>
          <w:color w:val="000000"/>
        </w:rPr>
        <w:t>ion</w:t>
      </w:r>
      <w:r>
        <w:rPr>
          <w:rFonts w:eastAsia="Times New Roman"/>
          <w:color w:val="000000"/>
        </w:rPr>
        <w:t xml:space="preserve"> of the</w:t>
      </w:r>
      <w:r w:rsidR="00B84FF0">
        <w:rPr>
          <w:rFonts w:eastAsia="Times New Roman"/>
          <w:color w:val="000000"/>
        </w:rPr>
        <w:t xml:space="preserve"> strategic intent of the THSSP2 program design.</w:t>
      </w:r>
      <w:r w:rsidR="008C43F8">
        <w:rPr>
          <w:rFonts w:eastAsia="Times New Roman"/>
          <w:color w:val="000000"/>
        </w:rPr>
        <w:t xml:space="preserve"> </w:t>
      </w:r>
      <w:r>
        <w:rPr>
          <w:rFonts w:eastAsia="Times New Roman"/>
          <w:color w:val="000000"/>
        </w:rPr>
        <w:t>T</w:t>
      </w:r>
      <w:r w:rsidR="00982105">
        <w:rPr>
          <w:rFonts w:eastAsia="Times New Roman"/>
          <w:color w:val="000000"/>
        </w:rPr>
        <w:t xml:space="preserve">he increase in </w:t>
      </w:r>
      <w:r w:rsidR="00BB1A3A">
        <w:rPr>
          <w:rFonts w:eastAsia="Times New Roman"/>
          <w:color w:val="000000"/>
        </w:rPr>
        <w:t xml:space="preserve">the </w:t>
      </w:r>
      <w:r w:rsidR="00982105">
        <w:rPr>
          <w:rFonts w:eastAsia="Times New Roman"/>
          <w:color w:val="000000"/>
        </w:rPr>
        <w:t xml:space="preserve">program budget </w:t>
      </w:r>
      <w:r>
        <w:rPr>
          <w:rFonts w:eastAsia="Times New Roman"/>
          <w:color w:val="000000"/>
        </w:rPr>
        <w:t xml:space="preserve">(since the original Design Document) </w:t>
      </w:r>
      <w:r w:rsidR="00BB1A3A">
        <w:rPr>
          <w:rFonts w:eastAsia="Times New Roman"/>
          <w:color w:val="000000"/>
        </w:rPr>
        <w:t xml:space="preserve">from bilateral aid </w:t>
      </w:r>
      <w:r>
        <w:rPr>
          <w:rFonts w:eastAsia="Times New Roman"/>
          <w:color w:val="000000"/>
        </w:rPr>
        <w:t>h</w:t>
      </w:r>
      <w:r w:rsidR="00982105">
        <w:rPr>
          <w:rFonts w:eastAsia="Times New Roman"/>
          <w:color w:val="000000"/>
        </w:rPr>
        <w:t xml:space="preserve">as </w:t>
      </w:r>
      <w:r w:rsidRPr="00A318B9">
        <w:rPr>
          <w:rFonts w:eastAsia="Times New Roman"/>
          <w:noProof/>
          <w:color w:val="000000"/>
        </w:rPr>
        <w:t>been offset</w:t>
      </w:r>
      <w:r>
        <w:rPr>
          <w:rFonts w:eastAsia="Times New Roman"/>
          <w:color w:val="000000"/>
        </w:rPr>
        <w:t xml:space="preserve"> by</w:t>
      </w:r>
      <w:r w:rsidR="00982105">
        <w:rPr>
          <w:rFonts w:eastAsia="Times New Roman"/>
          <w:color w:val="000000"/>
        </w:rPr>
        <w:t xml:space="preserve"> the separate clinical services </w:t>
      </w:r>
      <w:r w:rsidR="00BB1A3A">
        <w:rPr>
          <w:rFonts w:eastAsia="Times New Roman"/>
          <w:color w:val="000000"/>
        </w:rPr>
        <w:t xml:space="preserve">legacy </w:t>
      </w:r>
      <w:r w:rsidR="00982105">
        <w:rPr>
          <w:rFonts w:eastAsia="Times New Roman"/>
          <w:color w:val="000000"/>
        </w:rPr>
        <w:t xml:space="preserve">commitments </w:t>
      </w:r>
      <w:r w:rsidR="00982105" w:rsidRPr="00A318B9">
        <w:rPr>
          <w:rFonts w:eastAsia="Times New Roman"/>
          <w:noProof/>
          <w:color w:val="000000"/>
        </w:rPr>
        <w:t>being rolled</w:t>
      </w:r>
      <w:r w:rsidR="00982105">
        <w:rPr>
          <w:rFonts w:eastAsia="Times New Roman"/>
          <w:color w:val="000000"/>
        </w:rPr>
        <w:t xml:space="preserve"> into THSSP2.</w:t>
      </w:r>
      <w:r w:rsidR="00815DB6">
        <w:rPr>
          <w:rFonts w:eastAsia="Times New Roman"/>
          <w:color w:val="000000"/>
        </w:rPr>
        <w:t xml:space="preserve"> The level of DFAT funding for acute clinical care is such that a sudden withdrawal would be disruptive to the Tongan health care system and probably negatively affect the relationship between DFAT and the sector. </w:t>
      </w:r>
      <w:r w:rsidR="008834E5" w:rsidRPr="00A318B9">
        <w:rPr>
          <w:rFonts w:eastAsia="Times New Roman"/>
          <w:noProof/>
          <w:color w:val="000000"/>
        </w:rPr>
        <w:t>T</w:t>
      </w:r>
      <w:r w:rsidR="00815DB6" w:rsidRPr="00A318B9">
        <w:rPr>
          <w:rFonts w:eastAsia="Times New Roman"/>
          <w:noProof/>
          <w:color w:val="000000"/>
        </w:rPr>
        <w:t>o</w:t>
      </w:r>
      <w:r w:rsidR="00815DB6">
        <w:rPr>
          <w:rFonts w:eastAsia="Times New Roman"/>
          <w:color w:val="000000"/>
        </w:rPr>
        <w:t xml:space="preserve"> reinforce the focus of Australian aid health sector support on the priorities expressed in the THSSP2 Design Document, </w:t>
      </w:r>
      <w:r w:rsidR="00815DB6" w:rsidRPr="00A318B9">
        <w:rPr>
          <w:rFonts w:eastAsia="Times New Roman"/>
          <w:noProof/>
          <w:color w:val="000000"/>
        </w:rPr>
        <w:t>progressive</w:t>
      </w:r>
      <w:r w:rsidR="00815DB6">
        <w:rPr>
          <w:rFonts w:eastAsia="Times New Roman"/>
          <w:color w:val="000000"/>
        </w:rPr>
        <w:t xml:space="preserve"> reduction over time in funding support for acute clinical care is the preferred direction.</w:t>
      </w:r>
      <w:r w:rsidR="0026683A">
        <w:rPr>
          <w:rFonts w:eastAsia="Times New Roman"/>
          <w:color w:val="000000"/>
        </w:rPr>
        <w:t xml:space="preserve"> DFAT has already facilitated engagement between the MoH </w:t>
      </w:r>
      <w:r w:rsidR="0026683A">
        <w:rPr>
          <w:rFonts w:eastAsia="Times New Roman"/>
          <w:color w:val="000000"/>
        </w:rPr>
        <w:lastRenderedPageBreak/>
        <w:t xml:space="preserve">and PSC </w:t>
      </w:r>
      <w:r w:rsidR="0026683A" w:rsidRPr="00A318B9">
        <w:rPr>
          <w:rFonts w:eastAsia="Times New Roman"/>
          <w:noProof/>
          <w:color w:val="000000"/>
        </w:rPr>
        <w:t>with a view to</w:t>
      </w:r>
      <w:r w:rsidR="0026683A">
        <w:rPr>
          <w:rFonts w:eastAsia="Times New Roman"/>
          <w:color w:val="000000"/>
        </w:rPr>
        <w:t xml:space="preserve"> reducing dependence on donor funding for salary supplementation for positions of critical shortage.</w:t>
      </w:r>
    </w:p>
    <w:p w14:paraId="4EEA69AD" w14:textId="77777777" w:rsidR="00E07E05" w:rsidRPr="008C43F8" w:rsidRDefault="006823DF" w:rsidP="00CA10EA">
      <w:pPr>
        <w:pStyle w:val="Heading3"/>
      </w:pPr>
      <w:bookmarkStart w:id="62" w:name="_Toc536205462"/>
      <w:r>
        <w:t>3.3.2</w:t>
      </w:r>
      <w:r>
        <w:tab/>
      </w:r>
      <w:r w:rsidR="000C3BE0" w:rsidRPr="008C43F8">
        <w:t>Relationships</w:t>
      </w:r>
      <w:bookmarkEnd w:id="62"/>
    </w:p>
    <w:p w14:paraId="11E4E40C" w14:textId="77777777" w:rsidR="00E42802" w:rsidRDefault="008C43F8" w:rsidP="008C43F8">
      <w:r>
        <w:t xml:space="preserve">Given the </w:t>
      </w:r>
      <w:r w:rsidR="00957346">
        <w:t xml:space="preserve">limits </w:t>
      </w:r>
      <w:r>
        <w:t>of the THSSP2 governance arrangement, the relationship between the</w:t>
      </w:r>
      <w:r w:rsidR="00E42802" w:rsidRPr="008C43F8">
        <w:t xml:space="preserve"> </w:t>
      </w:r>
      <w:r w:rsidR="009E2E05" w:rsidRPr="008C43F8">
        <w:t>MoH</w:t>
      </w:r>
      <w:r w:rsidR="00E42802" w:rsidRPr="008C43F8">
        <w:t xml:space="preserve"> </w:t>
      </w:r>
      <w:r>
        <w:t xml:space="preserve">and DFAT </w:t>
      </w:r>
      <w:r w:rsidR="0062269E">
        <w:t xml:space="preserve">Post </w:t>
      </w:r>
      <w:r>
        <w:t>is critical. The evaluation team observed that</w:t>
      </w:r>
      <w:r w:rsidR="00982105">
        <w:t>,</w:t>
      </w:r>
      <w:r>
        <w:t xml:space="preserve"> although the relationship is cordial, </w:t>
      </w:r>
      <w:r w:rsidR="00982105">
        <w:t xml:space="preserve">DFAT has been relatively </w:t>
      </w:r>
      <w:r w:rsidR="0062269E">
        <w:t xml:space="preserve">unsuccessful in initiating strategic dialogue and in obtaining program performance data. </w:t>
      </w:r>
      <w:r w:rsidR="007F6225">
        <w:t>In the absence of a routine platform for policy discussion (which the NHDC was intended to provide), m</w:t>
      </w:r>
      <w:r>
        <w:t xml:space="preserve">uch of the focus of the </w:t>
      </w:r>
      <w:r w:rsidR="007F6225">
        <w:t>relationship</w:t>
      </w:r>
      <w:r w:rsidR="00E13639" w:rsidRPr="008C43F8">
        <w:t xml:space="preserve"> </w:t>
      </w:r>
      <w:r>
        <w:t>appears to be</w:t>
      </w:r>
      <w:r w:rsidR="00E13639" w:rsidRPr="008C43F8">
        <w:t xml:space="preserve"> on reporting and acquittals of funding, rather than </w:t>
      </w:r>
      <w:r w:rsidR="00801437">
        <w:t xml:space="preserve">activities that advance </w:t>
      </w:r>
      <w:r w:rsidR="00E13639" w:rsidRPr="008C43F8">
        <w:t>the intended collaboration on higher level strategic polic</w:t>
      </w:r>
      <w:r w:rsidR="00982105">
        <w:t>y and health sector advancement.</w:t>
      </w:r>
    </w:p>
    <w:p w14:paraId="150D5DCE" w14:textId="77777777" w:rsidR="00DB30F0" w:rsidRDefault="00DB30F0" w:rsidP="00DB30F0">
      <w:pPr>
        <w:rPr>
          <w:lang w:eastAsia="en-GB"/>
        </w:rPr>
      </w:pPr>
      <w:r>
        <w:rPr>
          <w:lang w:eastAsia="en-GB"/>
        </w:rPr>
        <w:t>The factors that are likely to contribute to good engagement between the MoH and DFAT include:</w:t>
      </w:r>
    </w:p>
    <w:p w14:paraId="3CD45937" w14:textId="77777777" w:rsidR="00DB30F0" w:rsidRDefault="00DB30F0" w:rsidP="00896F52">
      <w:pPr>
        <w:pStyle w:val="ListParagraph"/>
        <w:numPr>
          <w:ilvl w:val="0"/>
          <w:numId w:val="59"/>
        </w:numPr>
        <w:spacing w:after="120"/>
        <w:ind w:left="714" w:hanging="357"/>
        <w:contextualSpacing w:val="0"/>
        <w:rPr>
          <w:lang w:eastAsia="en-GB"/>
        </w:rPr>
      </w:pPr>
      <w:r>
        <w:rPr>
          <w:lang w:eastAsia="en-GB"/>
        </w:rPr>
        <w:t>health professional expertise within DFAT to enable communication at a technical level</w:t>
      </w:r>
    </w:p>
    <w:p w14:paraId="396F615B" w14:textId="77777777" w:rsidR="00DB30F0" w:rsidRDefault="00DB30F0" w:rsidP="00896F52">
      <w:pPr>
        <w:pStyle w:val="ListParagraph"/>
        <w:numPr>
          <w:ilvl w:val="0"/>
          <w:numId w:val="59"/>
        </w:numPr>
        <w:spacing w:after="120"/>
        <w:ind w:left="714" w:hanging="357"/>
        <w:contextualSpacing w:val="0"/>
        <w:rPr>
          <w:lang w:eastAsia="en-GB"/>
        </w:rPr>
      </w:pPr>
      <w:r>
        <w:rPr>
          <w:lang w:eastAsia="en-GB"/>
        </w:rPr>
        <w:t>good interpersonal relations between the individuals and effective cross-cultural communication</w:t>
      </w:r>
    </w:p>
    <w:p w14:paraId="00F6B9C0" w14:textId="77777777" w:rsidR="00DB30F0" w:rsidRDefault="00DB30F0" w:rsidP="00896F52">
      <w:pPr>
        <w:pStyle w:val="ListParagraph"/>
        <w:numPr>
          <w:ilvl w:val="0"/>
          <w:numId w:val="59"/>
        </w:numPr>
        <w:spacing w:after="120"/>
        <w:ind w:left="714" w:hanging="357"/>
        <w:contextualSpacing w:val="0"/>
        <w:rPr>
          <w:lang w:eastAsia="en-GB"/>
        </w:rPr>
      </w:pPr>
      <w:r>
        <w:rPr>
          <w:lang w:eastAsia="en-GB"/>
        </w:rPr>
        <w:t>leverage obtained from the donor’s financing support for the health sector, and</w:t>
      </w:r>
    </w:p>
    <w:p w14:paraId="1440BE7D" w14:textId="77777777" w:rsidR="00DB30F0" w:rsidRDefault="00DB30F0" w:rsidP="00896F52">
      <w:pPr>
        <w:pStyle w:val="ListParagraph"/>
        <w:numPr>
          <w:ilvl w:val="0"/>
          <w:numId w:val="59"/>
        </w:numPr>
        <w:rPr>
          <w:lang w:eastAsia="en-GB"/>
        </w:rPr>
      </w:pPr>
      <w:r>
        <w:rPr>
          <w:lang w:eastAsia="en-GB"/>
        </w:rPr>
        <w:t>a relationship of mutual respect which may in part reflect the equivalence of the status of the parties.</w:t>
      </w:r>
    </w:p>
    <w:p w14:paraId="12D87CAF" w14:textId="77777777" w:rsidR="00C122C6" w:rsidRPr="008C43F8" w:rsidRDefault="00DB30F0" w:rsidP="008C43F8">
      <w:r>
        <w:rPr>
          <w:rFonts w:cstheme="minorHAnsi"/>
        </w:rPr>
        <w:t xml:space="preserve">The </w:t>
      </w:r>
      <w:r w:rsidR="00C122C6">
        <w:rPr>
          <w:rFonts w:cstheme="minorHAnsi"/>
        </w:rPr>
        <w:t xml:space="preserve">Second Secretary position was </w:t>
      </w:r>
      <w:r>
        <w:rPr>
          <w:rFonts w:cstheme="minorHAnsi"/>
        </w:rPr>
        <w:t>create</w:t>
      </w:r>
      <w:r w:rsidR="00C122C6">
        <w:rPr>
          <w:rFonts w:cstheme="minorHAnsi"/>
        </w:rPr>
        <w:t>d for th</w:t>
      </w:r>
      <w:r>
        <w:rPr>
          <w:rFonts w:cstheme="minorHAnsi"/>
        </w:rPr>
        <w:t>e</w:t>
      </w:r>
      <w:r w:rsidR="00C122C6">
        <w:rPr>
          <w:rFonts w:cstheme="minorHAnsi"/>
        </w:rPr>
        <w:t xml:space="preserve"> purpose </w:t>
      </w:r>
      <w:r>
        <w:rPr>
          <w:rFonts w:cstheme="minorHAnsi"/>
        </w:rPr>
        <w:t>of providing health professional expertise and i</w:t>
      </w:r>
      <w:r w:rsidR="00C122C6">
        <w:rPr>
          <w:rFonts w:cstheme="minorHAnsi"/>
        </w:rPr>
        <w:t>s fun</w:t>
      </w:r>
      <w:r w:rsidR="00C122C6" w:rsidRPr="00C122C6">
        <w:rPr>
          <w:rFonts w:cstheme="minorHAnsi"/>
        </w:rPr>
        <w:t xml:space="preserve">ded from the program budget. </w:t>
      </w:r>
      <w:r w:rsidR="00C122C6">
        <w:rPr>
          <w:rFonts w:cstheme="minorHAnsi"/>
        </w:rPr>
        <w:t xml:space="preserve">The design of THSSP2 </w:t>
      </w:r>
      <w:r w:rsidR="00320AB4">
        <w:rPr>
          <w:rFonts w:cstheme="minorHAnsi"/>
        </w:rPr>
        <w:t xml:space="preserve">contemplates DFAT engagement at the level of the Minister for Health (chair of the NHDC) and possibly this is an overly ambitious </w:t>
      </w:r>
      <w:r w:rsidR="00C122C6">
        <w:rPr>
          <w:rFonts w:cstheme="minorHAnsi"/>
        </w:rPr>
        <w:t>require</w:t>
      </w:r>
      <w:r w:rsidR="00320AB4">
        <w:rPr>
          <w:rFonts w:cstheme="minorHAnsi"/>
        </w:rPr>
        <w:t xml:space="preserve">ment of the design (although the Minister’s non-availability has been partly due to </w:t>
      </w:r>
      <w:r w:rsidR="00991A4C">
        <w:rPr>
          <w:rFonts w:cstheme="minorHAnsi"/>
        </w:rPr>
        <w:t xml:space="preserve">pragmatic issues - </w:t>
      </w:r>
      <w:r w:rsidR="00320AB4">
        <w:rPr>
          <w:rFonts w:cstheme="minorHAnsi"/>
        </w:rPr>
        <w:t>the workload of two portfolios). If all development partners were to operate through one official coordination point with the health sector</w:t>
      </w:r>
      <w:r w:rsidR="00C8176B">
        <w:rPr>
          <w:rFonts w:cstheme="minorHAnsi"/>
        </w:rPr>
        <w:t xml:space="preserve"> (for example, a joint MoH/development partner forum)</w:t>
      </w:r>
      <w:r w:rsidR="00320AB4">
        <w:rPr>
          <w:rFonts w:cstheme="minorHAnsi"/>
        </w:rPr>
        <w:t xml:space="preserve">, this </w:t>
      </w:r>
      <w:r w:rsidR="0012268D">
        <w:rPr>
          <w:rFonts w:cstheme="minorHAnsi"/>
        </w:rPr>
        <w:t>may be more</w:t>
      </w:r>
      <w:r w:rsidR="00320AB4">
        <w:rPr>
          <w:rFonts w:cstheme="minorHAnsi"/>
        </w:rPr>
        <w:t xml:space="preserve"> likely to attract the Minister’s interest. The evaluation team d</w:t>
      </w:r>
      <w:r w:rsidR="00C8176B">
        <w:rPr>
          <w:rFonts w:cstheme="minorHAnsi"/>
        </w:rPr>
        <w:t xml:space="preserve">id not investigate the </w:t>
      </w:r>
      <w:r w:rsidR="00320AB4">
        <w:rPr>
          <w:rFonts w:cstheme="minorHAnsi"/>
        </w:rPr>
        <w:t xml:space="preserve">factors related to engagement </w:t>
      </w:r>
      <w:r w:rsidR="00C8176B">
        <w:rPr>
          <w:rFonts w:cstheme="minorHAnsi"/>
        </w:rPr>
        <w:t xml:space="preserve">in depth </w:t>
      </w:r>
      <w:r w:rsidR="00320AB4">
        <w:rPr>
          <w:rFonts w:cstheme="minorHAnsi"/>
        </w:rPr>
        <w:t xml:space="preserve">and cannot comment further, except to recommend that </w:t>
      </w:r>
      <w:r w:rsidR="00C122C6">
        <w:rPr>
          <w:rFonts w:cstheme="minorHAnsi"/>
        </w:rPr>
        <w:t xml:space="preserve">the design of </w:t>
      </w:r>
      <w:r w:rsidR="00C122C6" w:rsidRPr="00C122C6">
        <w:rPr>
          <w:rFonts w:cstheme="minorHAnsi"/>
        </w:rPr>
        <w:t xml:space="preserve">future health sector support should </w:t>
      </w:r>
      <w:r w:rsidR="00C8176B">
        <w:rPr>
          <w:rFonts w:cstheme="minorHAnsi"/>
        </w:rPr>
        <w:t>critically review</w:t>
      </w:r>
      <w:r w:rsidR="00C122C6">
        <w:rPr>
          <w:rFonts w:cstheme="minorHAnsi"/>
        </w:rPr>
        <w:t xml:space="preserve"> </w:t>
      </w:r>
      <w:r w:rsidR="00C122C6" w:rsidRPr="00C122C6">
        <w:rPr>
          <w:rFonts w:cstheme="minorHAnsi"/>
        </w:rPr>
        <w:t xml:space="preserve">the viability of </w:t>
      </w:r>
      <w:r w:rsidR="00C122C6">
        <w:rPr>
          <w:rFonts w:cstheme="minorHAnsi"/>
        </w:rPr>
        <w:t>the</w:t>
      </w:r>
      <w:r w:rsidR="00C122C6" w:rsidRPr="00C122C6">
        <w:rPr>
          <w:rFonts w:cstheme="minorHAnsi"/>
        </w:rPr>
        <w:t xml:space="preserve"> shared planning approach</w:t>
      </w:r>
      <w:r w:rsidR="00C8176B">
        <w:rPr>
          <w:rFonts w:cstheme="minorHAnsi"/>
        </w:rPr>
        <w:t>.</w:t>
      </w:r>
    </w:p>
    <w:p w14:paraId="1633F831" w14:textId="77777777" w:rsidR="001C2632" w:rsidRDefault="00AB1DAA" w:rsidP="00E0392D">
      <w:pPr>
        <w:rPr>
          <w:lang w:val="en-AU"/>
        </w:rPr>
      </w:pPr>
      <w:r>
        <w:rPr>
          <w:lang w:val="en-AU"/>
        </w:rPr>
        <w:t xml:space="preserve">During the country visit, it was suggested to the evaluation team that the MoH, which was previously accustomed to project-style aid delivery, did not initially understand </w:t>
      </w:r>
      <w:r w:rsidR="00F1302A">
        <w:rPr>
          <w:lang w:val="en-AU"/>
        </w:rPr>
        <w:t xml:space="preserve">the </w:t>
      </w:r>
      <w:r w:rsidR="0080634B">
        <w:rPr>
          <w:lang w:val="en-AU"/>
        </w:rPr>
        <w:t xml:space="preserve">new </w:t>
      </w:r>
      <w:r w:rsidR="00F1302A">
        <w:rPr>
          <w:lang w:val="en-AU"/>
        </w:rPr>
        <w:t xml:space="preserve">delivery model for THSSP2 and therefore </w:t>
      </w:r>
      <w:r>
        <w:rPr>
          <w:lang w:val="en-AU"/>
        </w:rPr>
        <w:t xml:space="preserve">failed to take advantage of the opportunity to direct THSSP2 for its </w:t>
      </w:r>
      <w:r w:rsidRPr="00A318B9">
        <w:rPr>
          <w:noProof/>
          <w:lang w:val="en-AU"/>
        </w:rPr>
        <w:t>own</w:t>
      </w:r>
      <w:r>
        <w:rPr>
          <w:lang w:val="en-AU"/>
        </w:rPr>
        <w:t xml:space="preserve"> strategic benefit. </w:t>
      </w:r>
      <w:r w:rsidR="00A97B55">
        <w:rPr>
          <w:lang w:val="en-AU"/>
        </w:rPr>
        <w:t>T</w:t>
      </w:r>
      <w:r w:rsidR="003378AA">
        <w:rPr>
          <w:lang w:val="en-AU"/>
        </w:rPr>
        <w:t xml:space="preserve">his </w:t>
      </w:r>
      <w:r w:rsidR="009314C1">
        <w:rPr>
          <w:lang w:val="en-AU"/>
        </w:rPr>
        <w:t xml:space="preserve">is </w:t>
      </w:r>
      <w:r w:rsidR="00F1302A">
        <w:rPr>
          <w:lang w:val="en-AU"/>
        </w:rPr>
        <w:t>plausible because T</w:t>
      </w:r>
      <w:r w:rsidR="00A97B55">
        <w:rPr>
          <w:lang w:val="en-AU"/>
        </w:rPr>
        <w:t xml:space="preserve">HSSP2 is a relatively complex program in practice and has undergone multiple revisions since the original design document (as detailed in this report). The </w:t>
      </w:r>
      <w:r w:rsidR="00F1302A">
        <w:rPr>
          <w:lang w:val="en-AU"/>
        </w:rPr>
        <w:t xml:space="preserve">evaluation team did find </w:t>
      </w:r>
      <w:r w:rsidR="001C2632">
        <w:rPr>
          <w:lang w:val="en-AU"/>
        </w:rPr>
        <w:t xml:space="preserve">a lack of understanding in some areas, for example, </w:t>
      </w:r>
      <w:r w:rsidR="00A97B55">
        <w:rPr>
          <w:lang w:val="en-AU"/>
        </w:rPr>
        <w:t>a surprising</w:t>
      </w:r>
      <w:r w:rsidR="00F1302A">
        <w:rPr>
          <w:lang w:val="en-AU"/>
        </w:rPr>
        <w:t>ly large</w:t>
      </w:r>
      <w:r w:rsidR="00A97B55">
        <w:rPr>
          <w:lang w:val="en-AU"/>
        </w:rPr>
        <w:t xml:space="preserve"> number of key informants did not properly understand the role of TongaHealth as a statutory fund manager and grants coordinator. </w:t>
      </w:r>
      <w:r w:rsidR="00F1302A">
        <w:rPr>
          <w:lang w:val="en-AU"/>
        </w:rPr>
        <w:t xml:space="preserve">At the time of the </w:t>
      </w:r>
      <w:r w:rsidR="00A97B55">
        <w:rPr>
          <w:lang w:val="en-AU"/>
        </w:rPr>
        <w:t>evaluation</w:t>
      </w:r>
      <w:r w:rsidR="00F1302A">
        <w:rPr>
          <w:lang w:val="en-AU"/>
        </w:rPr>
        <w:t xml:space="preserve">, there was no single </w:t>
      </w:r>
      <w:r w:rsidR="00A97B55">
        <w:rPr>
          <w:lang w:val="en-AU"/>
        </w:rPr>
        <w:t>document</w:t>
      </w:r>
      <w:r w:rsidR="00F1302A">
        <w:rPr>
          <w:lang w:val="en-AU"/>
        </w:rPr>
        <w:t xml:space="preserve"> </w:t>
      </w:r>
      <w:r w:rsidR="003378AA">
        <w:rPr>
          <w:lang w:val="en-AU"/>
        </w:rPr>
        <w:t xml:space="preserve">available </w:t>
      </w:r>
      <w:r w:rsidR="00F1302A">
        <w:rPr>
          <w:lang w:val="en-AU"/>
        </w:rPr>
        <w:t xml:space="preserve">that </w:t>
      </w:r>
      <w:r w:rsidR="00A97B55">
        <w:rPr>
          <w:lang w:val="en-AU"/>
        </w:rPr>
        <w:t>explain</w:t>
      </w:r>
      <w:r w:rsidR="009314C1">
        <w:rPr>
          <w:lang w:val="en-AU"/>
        </w:rPr>
        <w:t>ed</w:t>
      </w:r>
      <w:r w:rsidR="00A97B55">
        <w:rPr>
          <w:lang w:val="en-AU"/>
        </w:rPr>
        <w:t xml:space="preserve"> the </w:t>
      </w:r>
      <w:r w:rsidR="009314C1">
        <w:rPr>
          <w:lang w:val="en-AU"/>
        </w:rPr>
        <w:t xml:space="preserve">current iteration of the </w:t>
      </w:r>
      <w:r w:rsidR="00A97B55">
        <w:rPr>
          <w:lang w:val="en-AU"/>
        </w:rPr>
        <w:t>program</w:t>
      </w:r>
      <w:r w:rsidR="009314C1">
        <w:rPr>
          <w:lang w:val="en-AU"/>
        </w:rPr>
        <w:t xml:space="preserve"> and the evaluation team felt that </w:t>
      </w:r>
      <w:r w:rsidR="00A97B55">
        <w:rPr>
          <w:lang w:val="en-AU"/>
        </w:rPr>
        <w:t xml:space="preserve">preparation of a </w:t>
      </w:r>
      <w:r w:rsidR="00A97B55" w:rsidRPr="00A318B9">
        <w:rPr>
          <w:noProof/>
          <w:lang w:val="en-AU"/>
        </w:rPr>
        <w:t>short</w:t>
      </w:r>
      <w:r w:rsidR="00A97B55">
        <w:rPr>
          <w:lang w:val="en-AU"/>
        </w:rPr>
        <w:t xml:space="preserve"> succinct document w</w:t>
      </w:r>
      <w:r w:rsidR="009314C1">
        <w:rPr>
          <w:lang w:val="en-AU"/>
        </w:rPr>
        <w:t>ould</w:t>
      </w:r>
      <w:r w:rsidR="00A97B55">
        <w:rPr>
          <w:lang w:val="en-AU"/>
        </w:rPr>
        <w:t xml:space="preserve"> assist </w:t>
      </w:r>
      <w:r w:rsidR="003378AA">
        <w:rPr>
          <w:lang w:val="en-AU"/>
        </w:rPr>
        <w:t xml:space="preserve">in </w:t>
      </w:r>
      <w:r w:rsidR="00A97B55">
        <w:rPr>
          <w:lang w:val="en-AU"/>
        </w:rPr>
        <w:t xml:space="preserve">engagement with </w:t>
      </w:r>
      <w:r w:rsidR="003378AA">
        <w:rPr>
          <w:lang w:val="en-AU"/>
        </w:rPr>
        <w:t xml:space="preserve">the MoH and other </w:t>
      </w:r>
      <w:r w:rsidR="00A97B55">
        <w:rPr>
          <w:lang w:val="en-AU"/>
        </w:rPr>
        <w:t>key stakeholders.</w:t>
      </w:r>
    </w:p>
    <w:p w14:paraId="62C52AE1" w14:textId="77777777" w:rsidR="00A97B55" w:rsidRDefault="001C2632" w:rsidP="00E0392D">
      <w:r>
        <w:rPr>
          <w:lang w:val="en-AU"/>
        </w:rPr>
        <w:t xml:space="preserve">Within DFAT Post, a large part of the work of the locally-engaged program managers involves post hoc reviewing of acquittal documentation. Given that MoH has already been assessed by DFAT ANS as suitable for ‘on system’ management of DFAT funds and the midterm evaluation has found that MoH largely meets DFAT accountability requirements, the evaluation team considers that such intensive scrutiny of expenditure </w:t>
      </w:r>
      <w:r w:rsidR="0026250B">
        <w:rPr>
          <w:lang w:val="en-AU"/>
        </w:rPr>
        <w:t xml:space="preserve">in a low risk setting </w:t>
      </w:r>
      <w:r>
        <w:rPr>
          <w:lang w:val="en-AU"/>
        </w:rPr>
        <w:t xml:space="preserve">is not making the best use of the program </w:t>
      </w:r>
      <w:r>
        <w:rPr>
          <w:lang w:val="en-AU"/>
        </w:rPr>
        <w:lastRenderedPageBreak/>
        <w:t xml:space="preserve">managers. </w:t>
      </w:r>
      <w:r w:rsidR="00D53097">
        <w:rPr>
          <w:lang w:val="en-AU"/>
        </w:rPr>
        <w:t>Furthermore, given the MoH’s chronic problems with timely financial reporting</w:t>
      </w:r>
      <w:r w:rsidR="0020613D">
        <w:rPr>
          <w:lang w:val="en-AU"/>
        </w:rPr>
        <w:t xml:space="preserve"> (for largely contextual reasons explained previously)</w:t>
      </w:r>
      <w:r w:rsidR="00D53097">
        <w:rPr>
          <w:lang w:val="en-AU"/>
        </w:rPr>
        <w:t xml:space="preserve">, </w:t>
      </w:r>
      <w:r w:rsidR="0020613D">
        <w:rPr>
          <w:lang w:val="en-AU"/>
        </w:rPr>
        <w:t xml:space="preserve">this creates a lot of problems for DFAT that might be avoidable if a simpler acquittal regime was possible. </w:t>
      </w:r>
      <w:r>
        <w:rPr>
          <w:lang w:val="en-AU"/>
        </w:rPr>
        <w:t>The evaluation team was unable to determine what alternatives might be possible under DFAT corporate polic</w:t>
      </w:r>
      <w:r w:rsidR="0026250B">
        <w:rPr>
          <w:lang w:val="en-AU"/>
        </w:rPr>
        <w:t>y</w:t>
      </w:r>
      <w:r>
        <w:rPr>
          <w:lang w:val="en-AU"/>
        </w:rPr>
        <w:t xml:space="preserve"> but is aware that </w:t>
      </w:r>
      <w:r w:rsidR="0026250B">
        <w:rPr>
          <w:lang w:val="en-AU"/>
        </w:rPr>
        <w:t xml:space="preserve">in the Solomon Islands health sector-wide approach that DFAT funds are “expensed” at the point of transfer to the beneficiary. If acquittals for the Tonga health sector program could be </w:t>
      </w:r>
      <w:r>
        <w:rPr>
          <w:lang w:val="en-AU"/>
        </w:rPr>
        <w:t xml:space="preserve">simplified </w:t>
      </w:r>
      <w:r w:rsidR="0026250B">
        <w:rPr>
          <w:lang w:val="en-AU"/>
        </w:rPr>
        <w:t>in a similar way, this would give the p</w:t>
      </w:r>
      <w:r>
        <w:rPr>
          <w:lang w:val="en-AU"/>
        </w:rPr>
        <w:t xml:space="preserve">rogram </w:t>
      </w:r>
      <w:r w:rsidR="0026250B">
        <w:rPr>
          <w:lang w:val="en-AU"/>
        </w:rPr>
        <w:t>m</w:t>
      </w:r>
      <w:r>
        <w:rPr>
          <w:lang w:val="en-AU"/>
        </w:rPr>
        <w:t xml:space="preserve">anagers </w:t>
      </w:r>
      <w:r w:rsidR="0026250B">
        <w:rPr>
          <w:lang w:val="en-AU"/>
        </w:rPr>
        <w:t>more time to engage proactively with the MoH and TongaHealth</w:t>
      </w:r>
      <w:r w:rsidR="00D53097">
        <w:rPr>
          <w:lang w:val="en-AU"/>
        </w:rPr>
        <w:t xml:space="preserve"> in planning and implementation</w:t>
      </w:r>
      <w:r w:rsidRPr="009461CD">
        <w:rPr>
          <w:lang w:val="en-AU"/>
        </w:rPr>
        <w:t>.</w:t>
      </w:r>
    </w:p>
    <w:p w14:paraId="410AEF57" w14:textId="77777777" w:rsidR="001860B6" w:rsidRDefault="00982105" w:rsidP="00E72F47">
      <w:pPr>
        <w:spacing w:after="0"/>
      </w:pPr>
      <w:r>
        <w:t>THSSP2 has r</w:t>
      </w:r>
      <w:r w:rsidR="00E42802" w:rsidRPr="008C43F8">
        <w:t xml:space="preserve">elatively few </w:t>
      </w:r>
      <w:r>
        <w:t>program</w:t>
      </w:r>
      <w:r w:rsidR="00E42802" w:rsidRPr="008C43F8">
        <w:t xml:space="preserve">-funded technical advisers, and these </w:t>
      </w:r>
      <w:r w:rsidR="00E42802" w:rsidRPr="00A318B9">
        <w:rPr>
          <w:noProof/>
        </w:rPr>
        <w:t>are engaged</w:t>
      </w:r>
      <w:r w:rsidR="00E42802" w:rsidRPr="008C43F8">
        <w:t xml:space="preserve"> through PACTAM</w:t>
      </w:r>
      <w:r w:rsidR="00C71BD1">
        <w:t>,</w:t>
      </w:r>
      <w:r w:rsidR="00E42802" w:rsidRPr="008C43F8">
        <w:t xml:space="preserve"> which </w:t>
      </w:r>
      <w:r w:rsidR="00E42802" w:rsidRPr="00A318B9">
        <w:rPr>
          <w:noProof/>
        </w:rPr>
        <w:t>is designed</w:t>
      </w:r>
      <w:r w:rsidR="00E42802" w:rsidRPr="008C43F8">
        <w:t xml:space="preserve"> for in-line roles (</w:t>
      </w:r>
      <w:r w:rsidR="00FC37CF" w:rsidRPr="008C43F8">
        <w:t>i.e.</w:t>
      </w:r>
      <w:r w:rsidR="00E42802" w:rsidRPr="008C43F8">
        <w:t xml:space="preserve"> supervised by </w:t>
      </w:r>
      <w:r>
        <w:t>GoT</w:t>
      </w:r>
      <w:r w:rsidR="00E42802" w:rsidRPr="008C43F8">
        <w:t xml:space="preserve"> officials)</w:t>
      </w:r>
      <w:r w:rsidR="00C71BD1">
        <w:t>, and SHS</w:t>
      </w:r>
      <w:r>
        <w:t xml:space="preserve">. There is </w:t>
      </w:r>
      <w:r w:rsidR="00840D82">
        <w:t xml:space="preserve">potential </w:t>
      </w:r>
      <w:r>
        <w:t xml:space="preserve">confusion </w:t>
      </w:r>
      <w:r w:rsidR="00BC12F5">
        <w:t xml:space="preserve">around </w:t>
      </w:r>
      <w:r w:rsidR="00801437">
        <w:t xml:space="preserve">accountability </w:t>
      </w:r>
      <w:r w:rsidR="00BC12F5">
        <w:t>when in-line advisers are requir</w:t>
      </w:r>
      <w:r w:rsidR="00E42802" w:rsidRPr="008C43F8">
        <w:t>ed to act as gate-keepers for DFAT funding</w:t>
      </w:r>
      <w:r w:rsidR="00BC12F5">
        <w:t>.</w:t>
      </w:r>
      <w:r w:rsidR="009314C1">
        <w:t xml:space="preserve"> </w:t>
      </w:r>
      <w:r w:rsidR="00EA59FC">
        <w:t xml:space="preserve">Several </w:t>
      </w:r>
      <w:r w:rsidR="009314C1">
        <w:t xml:space="preserve">MoH </w:t>
      </w:r>
      <w:r w:rsidR="00EA59FC">
        <w:t>informants describ</w:t>
      </w:r>
      <w:r w:rsidR="009314C1">
        <w:t xml:space="preserve">ed the MoH PACTAM adviser </w:t>
      </w:r>
      <w:r w:rsidR="00EA59FC">
        <w:t xml:space="preserve">as being part of DFAT: a significant misperception given that the </w:t>
      </w:r>
      <w:r w:rsidR="003378AA">
        <w:t xml:space="preserve">MoH </w:t>
      </w:r>
      <w:r w:rsidR="00EA59FC">
        <w:t xml:space="preserve">role is designed to (and does) </w:t>
      </w:r>
      <w:r w:rsidR="0026250B">
        <w:t xml:space="preserve">broadly </w:t>
      </w:r>
      <w:r w:rsidR="00EA59FC">
        <w:t>support the MoH across all funding sources.</w:t>
      </w:r>
      <w:r w:rsidR="003378AA">
        <w:t xml:space="preserve"> To give DFAT-funded advisers the best prospects for success, it</w:t>
      </w:r>
      <w:r w:rsidR="00643F07">
        <w:t xml:space="preserve"> i</w:t>
      </w:r>
      <w:r w:rsidR="003378AA">
        <w:t>s important that they are perceived to be in the service of their beneficiary organisation.</w:t>
      </w:r>
    </w:p>
    <w:p w14:paraId="5B8CA67C" w14:textId="77777777" w:rsidR="00875113" w:rsidRDefault="00875113" w:rsidP="00E72F47">
      <w:pPr>
        <w:spacing w:after="0"/>
      </w:pPr>
    </w:p>
    <w:p w14:paraId="3DDBC0A2" w14:textId="77777777" w:rsidR="00AC677F" w:rsidRPr="00002A48" w:rsidRDefault="00C930D1" w:rsidP="00DD0215">
      <w:pPr>
        <w:pStyle w:val="Level2Heading"/>
        <w:numPr>
          <w:ilvl w:val="0"/>
          <w:numId w:val="0"/>
        </w:numPr>
        <w:rPr>
          <w:rStyle w:val="Heading2Char"/>
          <w:b/>
        </w:rPr>
      </w:pPr>
      <w:bookmarkStart w:id="63" w:name="_Toc536205463"/>
      <w:r>
        <w:rPr>
          <w:rStyle w:val="Heading2Char"/>
          <w:b/>
        </w:rPr>
        <w:t>3.4</w:t>
      </w:r>
      <w:r>
        <w:rPr>
          <w:rStyle w:val="Heading2Char"/>
          <w:b/>
        </w:rPr>
        <w:tab/>
      </w:r>
      <w:r w:rsidR="00AC677F">
        <w:rPr>
          <w:rStyle w:val="Heading2Char"/>
          <w:b/>
        </w:rPr>
        <w:t>DFAT’s strategic evaluation questions</w:t>
      </w:r>
      <w:bookmarkEnd w:id="63"/>
    </w:p>
    <w:p w14:paraId="3279DBAC" w14:textId="77777777" w:rsidR="00957346" w:rsidRDefault="00957346" w:rsidP="00B61DFB">
      <w:pPr>
        <w:spacing w:after="0"/>
        <w:rPr>
          <w:lang w:eastAsia="en-GB"/>
        </w:rPr>
      </w:pPr>
      <w:r>
        <w:rPr>
          <w:lang w:eastAsia="en-GB"/>
        </w:rPr>
        <w:t xml:space="preserve">This section of the evaluation summarises the key findings </w:t>
      </w:r>
      <w:r w:rsidRPr="00A318B9">
        <w:rPr>
          <w:noProof/>
          <w:lang w:eastAsia="en-GB"/>
        </w:rPr>
        <w:t>in terms of</w:t>
      </w:r>
      <w:r>
        <w:rPr>
          <w:lang w:eastAsia="en-GB"/>
        </w:rPr>
        <w:t xml:space="preserve"> the key evaluation questions set by DFAT in the evaluation terms of reference. </w:t>
      </w:r>
      <w:r w:rsidR="00852728">
        <w:rPr>
          <w:lang w:eastAsia="en-GB"/>
        </w:rPr>
        <w:t xml:space="preserve">These </w:t>
      </w:r>
      <w:r w:rsidR="00852728" w:rsidRPr="00A318B9">
        <w:rPr>
          <w:noProof/>
          <w:lang w:eastAsia="en-GB"/>
        </w:rPr>
        <w:t>are presented</w:t>
      </w:r>
      <w:r w:rsidR="00852728">
        <w:rPr>
          <w:lang w:eastAsia="en-GB"/>
        </w:rPr>
        <w:t xml:space="preserve"> in Table </w:t>
      </w:r>
      <w:r w:rsidR="00C71BD1">
        <w:rPr>
          <w:lang w:eastAsia="en-GB"/>
        </w:rPr>
        <w:t>5</w:t>
      </w:r>
      <w:r w:rsidR="00852728">
        <w:rPr>
          <w:lang w:eastAsia="en-GB"/>
        </w:rPr>
        <w:t>.</w:t>
      </w:r>
    </w:p>
    <w:p w14:paraId="07ED20A4" w14:textId="77777777" w:rsidR="00852728" w:rsidRDefault="00852728" w:rsidP="00B61DFB">
      <w:pPr>
        <w:spacing w:after="0"/>
        <w:rPr>
          <w:lang w:eastAsia="en-GB"/>
        </w:rPr>
      </w:pPr>
    </w:p>
    <w:p w14:paraId="2F09EE2C" w14:textId="77777777" w:rsidR="00852728" w:rsidRPr="00852728" w:rsidRDefault="00852728" w:rsidP="00852728">
      <w:pPr>
        <w:spacing w:after="0"/>
        <w:rPr>
          <w:b/>
          <w:lang w:eastAsia="en-GB"/>
        </w:rPr>
      </w:pPr>
      <w:r w:rsidRPr="00852728">
        <w:rPr>
          <w:b/>
          <w:lang w:eastAsia="en-GB"/>
        </w:rPr>
        <w:t xml:space="preserve">Table </w:t>
      </w:r>
      <w:r w:rsidR="00C71BD1">
        <w:rPr>
          <w:b/>
          <w:lang w:eastAsia="en-GB"/>
        </w:rPr>
        <w:t>5</w:t>
      </w:r>
      <w:r w:rsidRPr="00852728">
        <w:rPr>
          <w:b/>
          <w:lang w:eastAsia="en-GB"/>
        </w:rPr>
        <w:t xml:space="preserve">: </w:t>
      </w:r>
      <w:r w:rsidR="00C930D1">
        <w:rPr>
          <w:b/>
          <w:lang w:eastAsia="en-GB"/>
        </w:rPr>
        <w:t>Key f</w:t>
      </w:r>
      <w:r w:rsidRPr="00852728">
        <w:rPr>
          <w:b/>
          <w:lang w:eastAsia="en-GB"/>
        </w:rPr>
        <w:t>indings in response to key evaluation questions</w:t>
      </w:r>
    </w:p>
    <w:tbl>
      <w:tblPr>
        <w:tblStyle w:val="TableGrid"/>
        <w:tblW w:w="0" w:type="auto"/>
        <w:tblLook w:val="04A0" w:firstRow="1" w:lastRow="0" w:firstColumn="1" w:lastColumn="0" w:noHBand="0" w:noVBand="1"/>
      </w:tblPr>
      <w:tblGrid>
        <w:gridCol w:w="1993"/>
        <w:gridCol w:w="3200"/>
        <w:gridCol w:w="3823"/>
      </w:tblGrid>
      <w:tr w:rsidR="004C6731" w:rsidRPr="00242CCE" w14:paraId="31D07F2F" w14:textId="77777777" w:rsidTr="00242CCE">
        <w:trPr>
          <w:tblHeader/>
        </w:trPr>
        <w:tc>
          <w:tcPr>
            <w:tcW w:w="1993" w:type="dxa"/>
            <w:shd w:val="clear" w:color="auto" w:fill="D9D9D9" w:themeFill="background1" w:themeFillShade="D9"/>
          </w:tcPr>
          <w:p w14:paraId="2B02E979" w14:textId="77777777" w:rsidR="004C6731" w:rsidRPr="00242CCE" w:rsidRDefault="004C6731" w:rsidP="00F573F4">
            <w:pPr>
              <w:rPr>
                <w:sz w:val="20"/>
                <w:szCs w:val="20"/>
              </w:rPr>
            </w:pPr>
          </w:p>
        </w:tc>
        <w:tc>
          <w:tcPr>
            <w:tcW w:w="3200" w:type="dxa"/>
            <w:shd w:val="clear" w:color="auto" w:fill="D9D9D9" w:themeFill="background1" w:themeFillShade="D9"/>
          </w:tcPr>
          <w:p w14:paraId="29C3987B" w14:textId="77777777" w:rsidR="004C6731" w:rsidRPr="00242CCE" w:rsidRDefault="00852728" w:rsidP="00F573F4">
            <w:pPr>
              <w:rPr>
                <w:b/>
                <w:sz w:val="20"/>
                <w:szCs w:val="20"/>
              </w:rPr>
            </w:pPr>
            <w:r w:rsidRPr="00242CCE">
              <w:rPr>
                <w:b/>
                <w:sz w:val="20"/>
                <w:szCs w:val="20"/>
              </w:rPr>
              <w:t xml:space="preserve">DFAT </w:t>
            </w:r>
            <w:r w:rsidR="004C6731" w:rsidRPr="00242CCE">
              <w:rPr>
                <w:b/>
                <w:i/>
                <w:sz w:val="20"/>
                <w:szCs w:val="20"/>
              </w:rPr>
              <w:t>Healt</w:t>
            </w:r>
            <w:r w:rsidRPr="00242CCE">
              <w:rPr>
                <w:b/>
                <w:i/>
                <w:sz w:val="20"/>
                <w:szCs w:val="20"/>
              </w:rPr>
              <w:t xml:space="preserve">h for </w:t>
            </w:r>
            <w:r w:rsidRPr="00A318B9">
              <w:rPr>
                <w:b/>
                <w:i/>
                <w:noProof/>
                <w:sz w:val="20"/>
                <w:szCs w:val="20"/>
              </w:rPr>
              <w:t>development</w:t>
            </w:r>
            <w:r w:rsidRPr="00242CCE">
              <w:rPr>
                <w:b/>
                <w:i/>
                <w:sz w:val="20"/>
                <w:szCs w:val="20"/>
              </w:rPr>
              <w:t xml:space="preserve"> </w:t>
            </w:r>
            <w:r w:rsidR="004C6731" w:rsidRPr="00242CCE">
              <w:rPr>
                <w:b/>
                <w:sz w:val="20"/>
                <w:szCs w:val="20"/>
              </w:rPr>
              <w:t>strategic priorities</w:t>
            </w:r>
          </w:p>
        </w:tc>
        <w:tc>
          <w:tcPr>
            <w:tcW w:w="3823" w:type="dxa"/>
            <w:shd w:val="clear" w:color="auto" w:fill="D9D9D9" w:themeFill="background1" w:themeFillShade="D9"/>
          </w:tcPr>
          <w:p w14:paraId="4FBD7223" w14:textId="77777777" w:rsidR="004C6731" w:rsidRPr="00242CCE" w:rsidRDefault="004C6731" w:rsidP="00F573F4">
            <w:pPr>
              <w:rPr>
                <w:b/>
                <w:sz w:val="20"/>
                <w:szCs w:val="20"/>
              </w:rPr>
            </w:pPr>
            <w:r w:rsidRPr="00242CCE">
              <w:rPr>
                <w:b/>
                <w:sz w:val="20"/>
                <w:szCs w:val="20"/>
              </w:rPr>
              <w:t>Considerations for THSSP2</w:t>
            </w:r>
          </w:p>
        </w:tc>
      </w:tr>
      <w:tr w:rsidR="004C6731" w:rsidRPr="00841246" w14:paraId="13E50696" w14:textId="77777777" w:rsidTr="00242CCE">
        <w:tc>
          <w:tcPr>
            <w:tcW w:w="1993" w:type="dxa"/>
          </w:tcPr>
          <w:p w14:paraId="26ABF914" w14:textId="77777777" w:rsidR="004C6731" w:rsidRPr="00615CFB" w:rsidRDefault="004C6731" w:rsidP="00C27097">
            <w:pPr>
              <w:rPr>
                <w:b/>
                <w:sz w:val="18"/>
              </w:rPr>
            </w:pPr>
            <w:r w:rsidRPr="00615CFB">
              <w:rPr>
                <w:b/>
                <w:sz w:val="18"/>
              </w:rPr>
              <w:t>Relevance</w:t>
            </w:r>
          </w:p>
          <w:p w14:paraId="2E7F474A" w14:textId="77777777" w:rsidR="004C6731" w:rsidRDefault="004C6731" w:rsidP="00C27097">
            <w:pPr>
              <w:rPr>
                <w:sz w:val="18"/>
              </w:rPr>
            </w:pPr>
            <w:r w:rsidRPr="00A318B9">
              <w:rPr>
                <w:noProof/>
                <w:sz w:val="18"/>
              </w:rPr>
              <w:t>Extent</w:t>
            </w:r>
            <w:r w:rsidRPr="00615CFB">
              <w:rPr>
                <w:sz w:val="18"/>
              </w:rPr>
              <w:t xml:space="preserve"> to which activity is suited/appropriate to the priorities and policies of </w:t>
            </w:r>
            <w:r w:rsidRPr="00A318B9">
              <w:rPr>
                <w:noProof/>
                <w:sz w:val="18"/>
              </w:rPr>
              <w:t>target</w:t>
            </w:r>
            <w:r w:rsidRPr="00615CFB">
              <w:rPr>
                <w:sz w:val="18"/>
              </w:rPr>
              <w:t xml:space="preserve"> group</w:t>
            </w:r>
          </w:p>
          <w:p w14:paraId="63DE9F3F" w14:textId="77777777" w:rsidR="004C6731" w:rsidRDefault="004C6731" w:rsidP="00C27097"/>
          <w:p w14:paraId="6E902B05" w14:textId="77777777" w:rsidR="004C6731" w:rsidRDefault="004C6731" w:rsidP="00C27097">
            <w:pPr>
              <w:rPr>
                <w:sz w:val="18"/>
                <w:szCs w:val="18"/>
              </w:rPr>
            </w:pPr>
            <w:r>
              <w:rPr>
                <w:sz w:val="18"/>
                <w:szCs w:val="18"/>
              </w:rPr>
              <w:t>Are the program’s five key development outcomes still relevant and appropriate?</w:t>
            </w:r>
          </w:p>
          <w:p w14:paraId="2BCF57AD" w14:textId="77777777" w:rsidR="004C6731" w:rsidRDefault="004C6731" w:rsidP="00C27097">
            <w:pPr>
              <w:rPr>
                <w:sz w:val="18"/>
                <w:szCs w:val="18"/>
              </w:rPr>
            </w:pPr>
          </w:p>
          <w:p w14:paraId="4C63613D" w14:textId="77777777" w:rsidR="004C6731" w:rsidRPr="00781DA7" w:rsidRDefault="004C6731" w:rsidP="00C27097">
            <w:pPr>
              <w:rPr>
                <w:sz w:val="18"/>
                <w:szCs w:val="18"/>
              </w:rPr>
            </w:pPr>
            <w:r>
              <w:rPr>
                <w:sz w:val="18"/>
                <w:szCs w:val="18"/>
              </w:rPr>
              <w:t>Is the program theory of change still appropriate?</w:t>
            </w:r>
          </w:p>
        </w:tc>
        <w:tc>
          <w:tcPr>
            <w:tcW w:w="3200" w:type="dxa"/>
          </w:tcPr>
          <w:p w14:paraId="1B962F63" w14:textId="77777777" w:rsidR="004C6731" w:rsidRDefault="004C6731" w:rsidP="00C27097">
            <w:pPr>
              <w:rPr>
                <w:sz w:val="18"/>
              </w:rPr>
            </w:pPr>
          </w:p>
          <w:p w14:paraId="6BA4B4B7" w14:textId="77777777" w:rsidR="004C6731" w:rsidRDefault="004C6731" w:rsidP="00C27097">
            <w:pPr>
              <w:rPr>
                <w:sz w:val="18"/>
              </w:rPr>
            </w:pPr>
            <w:r>
              <w:rPr>
                <w:sz w:val="18"/>
              </w:rPr>
              <w:t>There is unassailable evidence that NCD prevention is the most relevant health priority for Tonga, and that partnership with Australia has been beneficial.</w:t>
            </w:r>
          </w:p>
          <w:p w14:paraId="28B5C2D3" w14:textId="77777777" w:rsidR="004C6731" w:rsidRDefault="004C6731" w:rsidP="00C27097">
            <w:pPr>
              <w:rPr>
                <w:sz w:val="18"/>
              </w:rPr>
            </w:pPr>
          </w:p>
          <w:p w14:paraId="5FFFD352" w14:textId="77777777" w:rsidR="004C6731" w:rsidRPr="00540DCB" w:rsidRDefault="004C6731" w:rsidP="00C27097">
            <w:pPr>
              <w:rPr>
                <w:sz w:val="18"/>
              </w:rPr>
            </w:pPr>
            <w:r>
              <w:rPr>
                <w:sz w:val="18"/>
              </w:rPr>
              <w:t>Early intervention and effective management of NCDs is important for reducing the burden of ill health arising from NCDs.</w:t>
            </w:r>
          </w:p>
          <w:p w14:paraId="745AD33E" w14:textId="77777777" w:rsidR="004C6731" w:rsidRDefault="004C6731" w:rsidP="00C27097">
            <w:pPr>
              <w:rPr>
                <w:sz w:val="18"/>
              </w:rPr>
            </w:pPr>
          </w:p>
          <w:p w14:paraId="5B66E549" w14:textId="77777777" w:rsidR="004C6731" w:rsidRPr="00540DCB" w:rsidRDefault="004C6731" w:rsidP="00C27097">
            <w:pPr>
              <w:rPr>
                <w:sz w:val="18"/>
              </w:rPr>
            </w:pPr>
            <w:r>
              <w:rPr>
                <w:sz w:val="18"/>
              </w:rPr>
              <w:t>There is evidence of a need to continue to address disadvantage related to gender, remoteness and disability; and possibly also communities within Tonga of relative socio-economic disadvantage.</w:t>
            </w:r>
          </w:p>
        </w:tc>
        <w:tc>
          <w:tcPr>
            <w:tcW w:w="3823" w:type="dxa"/>
          </w:tcPr>
          <w:p w14:paraId="157713CA" w14:textId="77777777" w:rsidR="004C6731" w:rsidRDefault="004C6731" w:rsidP="00C27097">
            <w:pPr>
              <w:rPr>
                <w:sz w:val="18"/>
              </w:rPr>
            </w:pPr>
          </w:p>
          <w:p w14:paraId="143EDFF0" w14:textId="77777777" w:rsidR="004C6731" w:rsidRPr="001E3A1B" w:rsidRDefault="004C6731" w:rsidP="00C27097">
            <w:pPr>
              <w:rPr>
                <w:sz w:val="18"/>
              </w:rPr>
            </w:pPr>
            <w:r>
              <w:rPr>
                <w:sz w:val="18"/>
              </w:rPr>
              <w:t xml:space="preserve">THSSP2 </w:t>
            </w:r>
            <w:r w:rsidRPr="00A318B9">
              <w:rPr>
                <w:noProof/>
                <w:sz w:val="18"/>
              </w:rPr>
              <w:t>is well aligned</w:t>
            </w:r>
            <w:r>
              <w:rPr>
                <w:sz w:val="18"/>
              </w:rPr>
              <w:t xml:space="preserve"> with the </w:t>
            </w:r>
            <w:r w:rsidRPr="001E3A1B">
              <w:rPr>
                <w:i/>
                <w:sz w:val="18"/>
              </w:rPr>
              <w:t>National strategy for prevention and control of NCDs</w:t>
            </w:r>
            <w:r>
              <w:rPr>
                <w:i/>
                <w:sz w:val="18"/>
              </w:rPr>
              <w:t>,</w:t>
            </w:r>
            <w:r>
              <w:rPr>
                <w:sz w:val="18"/>
              </w:rPr>
              <w:t xml:space="preserve"> but at the level of planning and budgeting, MoH’s </w:t>
            </w:r>
            <w:r w:rsidRPr="00A318B9">
              <w:rPr>
                <w:noProof/>
                <w:sz w:val="18"/>
              </w:rPr>
              <w:t>own</w:t>
            </w:r>
            <w:r>
              <w:rPr>
                <w:sz w:val="18"/>
              </w:rPr>
              <w:t xml:space="preserve"> strategic directions are not explicit and, as a consequence, THSSP2 activities are potentially not </w:t>
            </w:r>
            <w:r w:rsidR="00F254F9">
              <w:rPr>
                <w:sz w:val="18"/>
              </w:rPr>
              <w:t>strategic</w:t>
            </w:r>
            <w:r>
              <w:rPr>
                <w:sz w:val="18"/>
              </w:rPr>
              <w:t>.</w:t>
            </w:r>
          </w:p>
          <w:p w14:paraId="4B21AC77" w14:textId="77777777" w:rsidR="004C6731" w:rsidRDefault="004C6731" w:rsidP="00C27097">
            <w:pPr>
              <w:rPr>
                <w:sz w:val="18"/>
              </w:rPr>
            </w:pPr>
            <w:r>
              <w:rPr>
                <w:sz w:val="18"/>
              </w:rPr>
              <w:t xml:space="preserve">Effective management of NCDs relies on an overall well-functioning health care system. There is evidence of expenditure spread broadly across the sector but unclear if this </w:t>
            </w:r>
            <w:r w:rsidR="000E7681" w:rsidRPr="00A318B9">
              <w:rPr>
                <w:noProof/>
                <w:sz w:val="18"/>
              </w:rPr>
              <w:t xml:space="preserve">is </w:t>
            </w:r>
            <w:r w:rsidRPr="00A318B9">
              <w:rPr>
                <w:noProof/>
                <w:sz w:val="18"/>
              </w:rPr>
              <w:t>designed</w:t>
            </w:r>
            <w:r>
              <w:rPr>
                <w:sz w:val="18"/>
              </w:rPr>
              <w:t xml:space="preserve"> for system-wide impact.</w:t>
            </w:r>
          </w:p>
          <w:p w14:paraId="65E2267F" w14:textId="77777777" w:rsidR="004C6731" w:rsidRDefault="004C6731" w:rsidP="00C27097">
            <w:pPr>
              <w:rPr>
                <w:sz w:val="18"/>
              </w:rPr>
            </w:pPr>
          </w:p>
          <w:p w14:paraId="2FEBCB1A" w14:textId="77777777" w:rsidR="004C6731" w:rsidRPr="00540DCB" w:rsidRDefault="004C6731" w:rsidP="00C27097">
            <w:pPr>
              <w:rPr>
                <w:sz w:val="18"/>
              </w:rPr>
            </w:pPr>
            <w:r w:rsidRPr="00A318B9">
              <w:rPr>
                <w:noProof/>
                <w:sz w:val="18"/>
              </w:rPr>
              <w:t>With the exception of</w:t>
            </w:r>
            <w:r>
              <w:rPr>
                <w:sz w:val="18"/>
              </w:rPr>
              <w:t xml:space="preserve"> NCD prevention, the THSSP2 theory of change is not clearly expressed or widely understood. The program M&amp;E</w:t>
            </w:r>
            <w:r w:rsidRPr="000521EE">
              <w:rPr>
                <w:sz w:val="18"/>
              </w:rPr>
              <w:t xml:space="preserve"> </w:t>
            </w:r>
            <w:r>
              <w:rPr>
                <w:sz w:val="18"/>
              </w:rPr>
              <w:t>F</w:t>
            </w:r>
            <w:r w:rsidRPr="000521EE">
              <w:rPr>
                <w:sz w:val="18"/>
              </w:rPr>
              <w:t>ramework</w:t>
            </w:r>
            <w:r>
              <w:rPr>
                <w:sz w:val="18"/>
              </w:rPr>
              <w:t xml:space="preserve"> does not fully reflect program objectives and the theory of change. For a program that has a strong focus on planning and budgeting, the theory of change does not adequately take account of core government functions and the way they limit what is possible </w:t>
            </w:r>
            <w:r w:rsidR="000E7681">
              <w:rPr>
                <w:sz w:val="18"/>
              </w:rPr>
              <w:t>for</w:t>
            </w:r>
            <w:r>
              <w:rPr>
                <w:sz w:val="18"/>
              </w:rPr>
              <w:t xml:space="preserve"> the MoH</w:t>
            </w:r>
            <w:r w:rsidR="000E7681">
              <w:rPr>
                <w:sz w:val="18"/>
              </w:rPr>
              <w:t xml:space="preserve"> to achieve</w:t>
            </w:r>
            <w:r>
              <w:rPr>
                <w:sz w:val="18"/>
              </w:rPr>
              <w:t>.</w:t>
            </w:r>
          </w:p>
          <w:p w14:paraId="03DB6CAE" w14:textId="77777777" w:rsidR="004C6731" w:rsidRPr="00841246" w:rsidRDefault="004C6731" w:rsidP="00C27097">
            <w:pPr>
              <w:rPr>
                <w:sz w:val="18"/>
              </w:rPr>
            </w:pPr>
          </w:p>
        </w:tc>
      </w:tr>
      <w:tr w:rsidR="004C6731" w:rsidRPr="003F35BA" w14:paraId="3D854FFA" w14:textId="77777777" w:rsidTr="00242CCE">
        <w:tc>
          <w:tcPr>
            <w:tcW w:w="1993" w:type="dxa"/>
          </w:tcPr>
          <w:p w14:paraId="543A64E2" w14:textId="77777777" w:rsidR="004C6731" w:rsidRPr="008D24F1" w:rsidRDefault="004C6731" w:rsidP="00C27097">
            <w:pPr>
              <w:rPr>
                <w:b/>
                <w:sz w:val="18"/>
              </w:rPr>
            </w:pPr>
            <w:r w:rsidRPr="00F8174C">
              <w:rPr>
                <w:b/>
                <w:sz w:val="18"/>
              </w:rPr>
              <w:t>Effectiveness</w:t>
            </w:r>
          </w:p>
          <w:p w14:paraId="5F3D1B60" w14:textId="77777777" w:rsidR="004C6731" w:rsidRDefault="004C6731" w:rsidP="00C27097">
            <w:pPr>
              <w:rPr>
                <w:sz w:val="18"/>
              </w:rPr>
            </w:pPr>
            <w:r w:rsidRPr="00615CFB">
              <w:rPr>
                <w:sz w:val="18"/>
              </w:rPr>
              <w:t>A measure of the extent to which an aid activity attains its objectives and manag</w:t>
            </w:r>
            <w:r w:rsidR="000E7681">
              <w:rPr>
                <w:sz w:val="18"/>
              </w:rPr>
              <w:t>es</w:t>
            </w:r>
            <w:r w:rsidRPr="00615CFB">
              <w:rPr>
                <w:sz w:val="18"/>
              </w:rPr>
              <w:t xml:space="preserve"> the risks</w:t>
            </w:r>
            <w:r>
              <w:rPr>
                <w:sz w:val="18"/>
              </w:rPr>
              <w:t>.</w:t>
            </w:r>
          </w:p>
          <w:p w14:paraId="46501395" w14:textId="77777777" w:rsidR="004C6731" w:rsidRDefault="004C6731" w:rsidP="00C27097">
            <w:pPr>
              <w:rPr>
                <w:sz w:val="18"/>
              </w:rPr>
            </w:pPr>
          </w:p>
          <w:p w14:paraId="090C0F94" w14:textId="77777777" w:rsidR="004C6731" w:rsidRDefault="004C6731" w:rsidP="00C27097">
            <w:pPr>
              <w:rPr>
                <w:sz w:val="18"/>
              </w:rPr>
            </w:pPr>
            <w:r>
              <w:rPr>
                <w:sz w:val="18"/>
              </w:rPr>
              <w:lastRenderedPageBreak/>
              <w:t>To what extent and in what ways is THSSP2 achieving progress against defined program targets as set out in the design document?</w:t>
            </w:r>
          </w:p>
          <w:p w14:paraId="2EBE4914" w14:textId="77777777" w:rsidR="004C6731" w:rsidRDefault="004C6731" w:rsidP="00C27097">
            <w:pPr>
              <w:rPr>
                <w:sz w:val="18"/>
              </w:rPr>
            </w:pPr>
          </w:p>
          <w:p w14:paraId="55065377" w14:textId="77777777" w:rsidR="004C6731" w:rsidRDefault="004C6731" w:rsidP="00C27097">
            <w:pPr>
              <w:rPr>
                <w:sz w:val="18"/>
              </w:rPr>
            </w:pPr>
            <w:r w:rsidRPr="00A320C5">
              <w:rPr>
                <w:sz w:val="18"/>
              </w:rPr>
              <w:t>Are the necessary components for the implementation of an effective health sector program (e.g. a platform for high-level policy dialogue, quality annual management plans, integrated budgets and systems for MoH and THSSP2 funds) in place?</w:t>
            </w:r>
          </w:p>
          <w:p w14:paraId="6EBCD5D8" w14:textId="77777777" w:rsidR="004C6731" w:rsidRDefault="004C6731" w:rsidP="00C27097">
            <w:pPr>
              <w:rPr>
                <w:sz w:val="18"/>
              </w:rPr>
            </w:pPr>
          </w:p>
          <w:p w14:paraId="5D64A299" w14:textId="77777777" w:rsidR="004C6731" w:rsidRPr="006C1096" w:rsidRDefault="004C6731" w:rsidP="00C27097">
            <w:pPr>
              <w:rPr>
                <w:sz w:val="18"/>
              </w:rPr>
            </w:pPr>
            <w:r w:rsidRPr="006C1096">
              <w:rPr>
                <w:sz w:val="18"/>
              </w:rPr>
              <w:t>What factors are influencing the achiev</w:t>
            </w:r>
            <w:r>
              <w:rPr>
                <w:sz w:val="18"/>
              </w:rPr>
              <w:t xml:space="preserve">ement or non-achievement of </w:t>
            </w:r>
            <w:r w:rsidRPr="006C1096">
              <w:rPr>
                <w:sz w:val="18"/>
              </w:rPr>
              <w:t>targets?</w:t>
            </w:r>
          </w:p>
          <w:p w14:paraId="78BEAD68" w14:textId="77777777" w:rsidR="004C6731" w:rsidRPr="00A320C5" w:rsidRDefault="004C6731" w:rsidP="00C27097">
            <w:pPr>
              <w:rPr>
                <w:sz w:val="18"/>
              </w:rPr>
            </w:pPr>
          </w:p>
        </w:tc>
        <w:tc>
          <w:tcPr>
            <w:tcW w:w="3200" w:type="dxa"/>
          </w:tcPr>
          <w:p w14:paraId="460F6937" w14:textId="77777777" w:rsidR="004C6731" w:rsidRDefault="004C6731" w:rsidP="00C27097">
            <w:pPr>
              <w:rPr>
                <w:sz w:val="18"/>
                <w:szCs w:val="18"/>
              </w:rPr>
            </w:pPr>
          </w:p>
          <w:p w14:paraId="58443553" w14:textId="77777777" w:rsidR="004C6731" w:rsidRDefault="004C6731" w:rsidP="00C27097">
            <w:pPr>
              <w:rPr>
                <w:sz w:val="18"/>
                <w:szCs w:val="18"/>
              </w:rPr>
            </w:pPr>
            <w:r w:rsidRPr="00B502CD">
              <w:rPr>
                <w:sz w:val="18"/>
                <w:szCs w:val="18"/>
              </w:rPr>
              <w:t xml:space="preserve">As the first Pacific country to release a national NCD strategy in 2004, Tonga has been a leader in </w:t>
            </w:r>
            <w:r w:rsidR="000E7681">
              <w:rPr>
                <w:sz w:val="18"/>
                <w:szCs w:val="18"/>
              </w:rPr>
              <w:t xml:space="preserve">NCD </w:t>
            </w:r>
            <w:r w:rsidRPr="00B502CD">
              <w:rPr>
                <w:sz w:val="18"/>
                <w:szCs w:val="18"/>
              </w:rPr>
              <w:t>strategic and policy direction within the region</w:t>
            </w:r>
            <w:r>
              <w:rPr>
                <w:sz w:val="18"/>
                <w:szCs w:val="18"/>
              </w:rPr>
              <w:t>.</w:t>
            </w:r>
          </w:p>
          <w:p w14:paraId="4BBEA2E5" w14:textId="77777777" w:rsidR="004C6731" w:rsidRPr="00B502CD" w:rsidRDefault="004C6731" w:rsidP="00C27097">
            <w:pPr>
              <w:rPr>
                <w:sz w:val="18"/>
                <w:szCs w:val="18"/>
              </w:rPr>
            </w:pPr>
          </w:p>
          <w:p w14:paraId="6B7BFAB0" w14:textId="77777777" w:rsidR="004C6731" w:rsidRPr="00540DCB" w:rsidRDefault="004C6731" w:rsidP="00C27097">
            <w:pPr>
              <w:rPr>
                <w:sz w:val="18"/>
              </w:rPr>
            </w:pPr>
            <w:r>
              <w:rPr>
                <w:sz w:val="18"/>
              </w:rPr>
              <w:lastRenderedPageBreak/>
              <w:t xml:space="preserve">There is evidence of practical improvements in NCD service </w:t>
            </w:r>
            <w:r w:rsidR="00C44750">
              <w:rPr>
                <w:sz w:val="18"/>
              </w:rPr>
              <w:t>delivery,</w:t>
            </w:r>
            <w:r>
              <w:rPr>
                <w:sz w:val="18"/>
              </w:rPr>
              <w:t xml:space="preserve"> but the program M&amp;E </w:t>
            </w:r>
            <w:r w:rsidR="002C4E28">
              <w:rPr>
                <w:sz w:val="18"/>
              </w:rPr>
              <w:t xml:space="preserve">indicators </w:t>
            </w:r>
            <w:r>
              <w:rPr>
                <w:sz w:val="18"/>
              </w:rPr>
              <w:t xml:space="preserve">do not </w:t>
            </w:r>
            <w:r w:rsidR="002C4E28">
              <w:rPr>
                <w:sz w:val="18"/>
              </w:rPr>
              <w:t xml:space="preserve">yet </w:t>
            </w:r>
            <w:r>
              <w:rPr>
                <w:sz w:val="18"/>
              </w:rPr>
              <w:t>indicate improvements in NCD health outcomes. THSSP2 has been instrumental in the d</w:t>
            </w:r>
            <w:r w:rsidRPr="00DE5ED1">
              <w:rPr>
                <w:sz w:val="18"/>
              </w:rPr>
              <w:t>evelop</w:t>
            </w:r>
            <w:r>
              <w:rPr>
                <w:sz w:val="18"/>
              </w:rPr>
              <w:t>ment of a MoH policy framework (PEHS) to improve</w:t>
            </w:r>
            <w:r w:rsidRPr="00DE5ED1">
              <w:rPr>
                <w:sz w:val="18"/>
              </w:rPr>
              <w:t xml:space="preserve"> universal health coverage</w:t>
            </w:r>
            <w:r>
              <w:rPr>
                <w:sz w:val="18"/>
              </w:rPr>
              <w:t xml:space="preserve"> (including NCD management) but </w:t>
            </w:r>
            <w:r w:rsidRPr="00A318B9">
              <w:rPr>
                <w:noProof/>
                <w:sz w:val="18"/>
              </w:rPr>
              <w:t>implementation</w:t>
            </w:r>
            <w:r>
              <w:rPr>
                <w:sz w:val="18"/>
              </w:rPr>
              <w:t xml:space="preserve"> (as required by the program targets) will likely need to be supported to the end of the Phase and beyond.</w:t>
            </w:r>
          </w:p>
          <w:p w14:paraId="0E4D276E" w14:textId="77777777" w:rsidR="004C6731" w:rsidRPr="00540DCB" w:rsidRDefault="004C6731" w:rsidP="00C27097">
            <w:pPr>
              <w:rPr>
                <w:sz w:val="18"/>
              </w:rPr>
            </w:pPr>
          </w:p>
        </w:tc>
        <w:tc>
          <w:tcPr>
            <w:tcW w:w="3823" w:type="dxa"/>
          </w:tcPr>
          <w:p w14:paraId="40EE533E" w14:textId="77777777" w:rsidR="004C6731" w:rsidRDefault="004C6731" w:rsidP="00C27097">
            <w:pPr>
              <w:rPr>
                <w:sz w:val="18"/>
              </w:rPr>
            </w:pPr>
          </w:p>
          <w:p w14:paraId="11FC58C7" w14:textId="77777777" w:rsidR="004C6731" w:rsidRDefault="004C6731" w:rsidP="00C27097">
            <w:pPr>
              <w:rPr>
                <w:sz w:val="18"/>
              </w:rPr>
            </w:pPr>
            <w:r>
              <w:rPr>
                <w:sz w:val="18"/>
              </w:rPr>
              <w:t>Not all of t</w:t>
            </w:r>
            <w:r w:rsidRPr="004763C0">
              <w:rPr>
                <w:sz w:val="18"/>
              </w:rPr>
              <w:t xml:space="preserve">he necessary components for the implementation of an effective health sector program </w:t>
            </w:r>
            <w:r w:rsidR="000E7681">
              <w:rPr>
                <w:sz w:val="18"/>
              </w:rPr>
              <w:t xml:space="preserve">are in place. </w:t>
            </w:r>
            <w:r>
              <w:rPr>
                <w:sz w:val="18"/>
              </w:rPr>
              <w:t>MoH</w:t>
            </w:r>
            <w:r w:rsidRPr="004763C0">
              <w:rPr>
                <w:sz w:val="18"/>
              </w:rPr>
              <w:t xml:space="preserve"> </w:t>
            </w:r>
            <w:r>
              <w:rPr>
                <w:sz w:val="18"/>
              </w:rPr>
              <w:t xml:space="preserve">medium-term strategic directions are not explicit. THSSP2 </w:t>
            </w:r>
            <w:r w:rsidRPr="00A318B9">
              <w:rPr>
                <w:noProof/>
                <w:sz w:val="18"/>
              </w:rPr>
              <w:t>is not integrated</w:t>
            </w:r>
            <w:r>
              <w:rPr>
                <w:sz w:val="18"/>
              </w:rPr>
              <w:t xml:space="preserve"> with MoH planning and budgeting process. DFAT has endeavoured to </w:t>
            </w:r>
            <w:r w:rsidRPr="00A318B9">
              <w:rPr>
                <w:noProof/>
                <w:sz w:val="18"/>
              </w:rPr>
              <w:t>risk manage</w:t>
            </w:r>
            <w:r>
              <w:rPr>
                <w:sz w:val="18"/>
              </w:rPr>
              <w:t xml:space="preserve"> </w:t>
            </w:r>
            <w:r>
              <w:rPr>
                <w:sz w:val="18"/>
              </w:rPr>
              <w:lastRenderedPageBreak/>
              <w:t>the threat of poor strategic relevance of program activities by strengthening its parallel planning process, effectively transferring risk from MoH to DFAT. On the TongaHealth side, the Board has provided high</w:t>
            </w:r>
            <w:r w:rsidR="000E7681">
              <w:rPr>
                <w:sz w:val="18"/>
              </w:rPr>
              <w:t>-</w:t>
            </w:r>
            <w:r>
              <w:rPr>
                <w:sz w:val="18"/>
              </w:rPr>
              <w:t xml:space="preserve">level governance </w:t>
            </w:r>
            <w:r w:rsidRPr="00A318B9">
              <w:rPr>
                <w:noProof/>
                <w:sz w:val="18"/>
              </w:rPr>
              <w:t>but</w:t>
            </w:r>
            <w:r>
              <w:rPr>
                <w:sz w:val="18"/>
              </w:rPr>
              <w:t xml:space="preserve"> the NNCDC has not provided direction for the NCD-MAP.</w:t>
            </w:r>
          </w:p>
          <w:p w14:paraId="18E6894F" w14:textId="77777777" w:rsidR="004C6731" w:rsidRDefault="004C6731" w:rsidP="00C27097">
            <w:pPr>
              <w:rPr>
                <w:sz w:val="18"/>
              </w:rPr>
            </w:pPr>
          </w:p>
          <w:p w14:paraId="5F2E6C52" w14:textId="77777777" w:rsidR="004C6731" w:rsidRDefault="004C6731" w:rsidP="00C27097">
            <w:pPr>
              <w:rPr>
                <w:sz w:val="18"/>
              </w:rPr>
            </w:pPr>
            <w:r>
              <w:rPr>
                <w:sz w:val="18"/>
              </w:rPr>
              <w:t>TongaHealth performance has been affected by a period of high staff turnover and excessively complex grants administration processes.</w:t>
            </w:r>
          </w:p>
          <w:p w14:paraId="12FE70B7" w14:textId="77777777" w:rsidR="004C6731" w:rsidRDefault="004C6731" w:rsidP="00C27097">
            <w:pPr>
              <w:rPr>
                <w:sz w:val="18"/>
              </w:rPr>
            </w:pPr>
          </w:p>
          <w:p w14:paraId="4636D7AC" w14:textId="77777777" w:rsidR="004C6731" w:rsidRDefault="004C6731" w:rsidP="00C27097">
            <w:pPr>
              <w:rPr>
                <w:sz w:val="18"/>
              </w:rPr>
            </w:pPr>
            <w:r>
              <w:rPr>
                <w:sz w:val="18"/>
              </w:rPr>
              <w:t xml:space="preserve">The program has a </w:t>
            </w:r>
            <w:r w:rsidRPr="003F35BA">
              <w:rPr>
                <w:sz w:val="18"/>
              </w:rPr>
              <w:t>performance-based incentive</w:t>
            </w:r>
            <w:r>
              <w:rPr>
                <w:sz w:val="18"/>
              </w:rPr>
              <w:t xml:space="preserve"> which appears to be not understood by all parties and has been ineffective in </w:t>
            </w:r>
            <w:r w:rsidRPr="003F35BA">
              <w:rPr>
                <w:sz w:val="18"/>
              </w:rPr>
              <w:t>driv</w:t>
            </w:r>
            <w:r>
              <w:rPr>
                <w:sz w:val="18"/>
              </w:rPr>
              <w:t xml:space="preserve">ing </w:t>
            </w:r>
            <w:r w:rsidRPr="003F35BA">
              <w:rPr>
                <w:sz w:val="18"/>
              </w:rPr>
              <w:t>performa</w:t>
            </w:r>
            <w:r>
              <w:rPr>
                <w:sz w:val="18"/>
              </w:rPr>
              <w:t>nce.</w:t>
            </w:r>
          </w:p>
          <w:p w14:paraId="40FCCE5B" w14:textId="77777777" w:rsidR="004C6731" w:rsidRPr="003F35BA" w:rsidRDefault="004C6731" w:rsidP="00C27097">
            <w:pPr>
              <w:rPr>
                <w:sz w:val="18"/>
              </w:rPr>
            </w:pPr>
          </w:p>
        </w:tc>
      </w:tr>
      <w:tr w:rsidR="004C6731" w:rsidRPr="00362E26" w14:paraId="678E3267" w14:textId="77777777" w:rsidTr="00242CCE">
        <w:tc>
          <w:tcPr>
            <w:tcW w:w="1993" w:type="dxa"/>
          </w:tcPr>
          <w:p w14:paraId="3E59F845" w14:textId="77777777" w:rsidR="004C6731" w:rsidRPr="00615CFB" w:rsidRDefault="004C6731" w:rsidP="00C27097">
            <w:pPr>
              <w:rPr>
                <w:b/>
                <w:sz w:val="18"/>
              </w:rPr>
            </w:pPr>
            <w:r w:rsidRPr="00615CFB">
              <w:rPr>
                <w:b/>
                <w:sz w:val="18"/>
              </w:rPr>
              <w:lastRenderedPageBreak/>
              <w:t>Efficiency</w:t>
            </w:r>
          </w:p>
          <w:p w14:paraId="1C964FBA" w14:textId="77777777" w:rsidR="004C6731" w:rsidRDefault="004C6731" w:rsidP="00C27097">
            <w:pPr>
              <w:rPr>
                <w:sz w:val="18"/>
              </w:rPr>
            </w:pPr>
            <w:r w:rsidRPr="00A318B9">
              <w:rPr>
                <w:noProof/>
                <w:sz w:val="18"/>
              </w:rPr>
              <w:t>Qualitative</w:t>
            </w:r>
            <w:r w:rsidRPr="00615CFB">
              <w:rPr>
                <w:sz w:val="18"/>
              </w:rPr>
              <w:t xml:space="preserve"> and quantitative measure of outputs </w:t>
            </w:r>
            <w:r w:rsidRPr="00A318B9">
              <w:rPr>
                <w:noProof/>
                <w:sz w:val="18"/>
              </w:rPr>
              <w:t>in relation to</w:t>
            </w:r>
            <w:r w:rsidRPr="00615CFB">
              <w:rPr>
                <w:sz w:val="18"/>
              </w:rPr>
              <w:t xml:space="preserve"> inputs (including resource inputs)</w:t>
            </w:r>
          </w:p>
          <w:p w14:paraId="4D7D522F" w14:textId="77777777" w:rsidR="004C6731" w:rsidRDefault="004C6731" w:rsidP="00C27097"/>
          <w:p w14:paraId="5BC6B714" w14:textId="77777777" w:rsidR="004C6731" w:rsidRDefault="004C6731" w:rsidP="00C27097">
            <w:pPr>
              <w:rPr>
                <w:sz w:val="18"/>
                <w:szCs w:val="18"/>
              </w:rPr>
            </w:pPr>
            <w:r>
              <w:rPr>
                <w:sz w:val="18"/>
                <w:szCs w:val="18"/>
              </w:rPr>
              <w:t>Is the investment making appropriate use of resources to achieve targets?</w:t>
            </w:r>
          </w:p>
          <w:p w14:paraId="716A6A95" w14:textId="77777777" w:rsidR="004C6731" w:rsidRDefault="004C6731" w:rsidP="00C27097">
            <w:pPr>
              <w:rPr>
                <w:sz w:val="18"/>
                <w:szCs w:val="18"/>
              </w:rPr>
            </w:pPr>
          </w:p>
          <w:p w14:paraId="1A87BAAF" w14:textId="77777777" w:rsidR="004C6731" w:rsidRDefault="004C6731" w:rsidP="00C27097">
            <w:pPr>
              <w:rPr>
                <w:sz w:val="18"/>
                <w:szCs w:val="18"/>
              </w:rPr>
            </w:pPr>
            <w:r>
              <w:rPr>
                <w:sz w:val="18"/>
                <w:szCs w:val="18"/>
              </w:rPr>
              <w:t>Is program governance, donor coordination and management appropriate for achieving the program targets?</w:t>
            </w:r>
          </w:p>
          <w:p w14:paraId="64119C6C" w14:textId="77777777" w:rsidR="004C6731" w:rsidRDefault="004C6731" w:rsidP="00C27097">
            <w:pPr>
              <w:rPr>
                <w:sz w:val="18"/>
                <w:szCs w:val="18"/>
              </w:rPr>
            </w:pPr>
          </w:p>
          <w:p w14:paraId="12AAB4B4" w14:textId="77777777" w:rsidR="004C6731" w:rsidRPr="008D24F1" w:rsidRDefault="004C6731" w:rsidP="00C27097">
            <w:pPr>
              <w:rPr>
                <w:sz w:val="18"/>
                <w:szCs w:val="18"/>
              </w:rPr>
            </w:pPr>
            <w:r>
              <w:rPr>
                <w:sz w:val="18"/>
                <w:szCs w:val="18"/>
              </w:rPr>
              <w:t xml:space="preserve">Is the Monitoring and Evaluation system fit for purpose and generating information which is being used by management for decision-making, learning and accountability purposes? </w:t>
            </w:r>
          </w:p>
        </w:tc>
        <w:tc>
          <w:tcPr>
            <w:tcW w:w="3200" w:type="dxa"/>
          </w:tcPr>
          <w:p w14:paraId="39E30C39" w14:textId="77777777" w:rsidR="004C6731" w:rsidRDefault="004C6731" w:rsidP="00C27097">
            <w:pPr>
              <w:rPr>
                <w:sz w:val="18"/>
              </w:rPr>
            </w:pPr>
          </w:p>
          <w:p w14:paraId="5658AE56" w14:textId="77777777" w:rsidR="004C6731" w:rsidRDefault="004C6731" w:rsidP="00C27097">
            <w:pPr>
              <w:rPr>
                <w:sz w:val="18"/>
              </w:rPr>
            </w:pPr>
            <w:r>
              <w:rPr>
                <w:sz w:val="18"/>
              </w:rPr>
              <w:t>The ‘conceptual’ design of THSSP2 around high</w:t>
            </w:r>
            <w:r w:rsidR="000E7681">
              <w:rPr>
                <w:sz w:val="18"/>
              </w:rPr>
              <w:t>-</w:t>
            </w:r>
            <w:r>
              <w:rPr>
                <w:sz w:val="18"/>
              </w:rPr>
              <w:t>level targets and an annual planning process does not connect inputs with program outputs and outcomes.</w:t>
            </w:r>
          </w:p>
          <w:p w14:paraId="23250BF6" w14:textId="77777777" w:rsidR="004C6731" w:rsidRDefault="004C6731" w:rsidP="00C27097">
            <w:pPr>
              <w:rPr>
                <w:sz w:val="18"/>
              </w:rPr>
            </w:pPr>
          </w:p>
          <w:p w14:paraId="5F48935D" w14:textId="77777777" w:rsidR="004C6731" w:rsidRDefault="004C6731" w:rsidP="00C27097">
            <w:pPr>
              <w:rPr>
                <w:sz w:val="18"/>
              </w:rPr>
            </w:pPr>
            <w:r>
              <w:rPr>
                <w:sz w:val="18"/>
              </w:rPr>
              <w:t xml:space="preserve">This design has the advantage of being highly flexible. However, with an absence of </w:t>
            </w:r>
            <w:r w:rsidRPr="004763C0">
              <w:rPr>
                <w:sz w:val="18"/>
              </w:rPr>
              <w:t xml:space="preserve">high-level </w:t>
            </w:r>
            <w:r>
              <w:rPr>
                <w:sz w:val="18"/>
              </w:rPr>
              <w:t>MoH/ DFAT joint program oversight, no explicit MoH</w:t>
            </w:r>
            <w:r w:rsidRPr="004763C0">
              <w:rPr>
                <w:sz w:val="18"/>
              </w:rPr>
              <w:t xml:space="preserve"> </w:t>
            </w:r>
            <w:r>
              <w:rPr>
                <w:sz w:val="18"/>
              </w:rPr>
              <w:t>medium-term strategic direction, and MoH capacity issues in planning, determination of appropriate annual activities is a major design weakness. DFAT has established a parallel planning process which duplicates MoH planning.</w:t>
            </w:r>
          </w:p>
          <w:p w14:paraId="7E4A3D0F" w14:textId="77777777" w:rsidR="004C6731" w:rsidRDefault="004C6731" w:rsidP="00C27097">
            <w:pPr>
              <w:rPr>
                <w:sz w:val="18"/>
              </w:rPr>
            </w:pPr>
          </w:p>
          <w:p w14:paraId="01156655" w14:textId="77777777" w:rsidR="004C6731" w:rsidRPr="00AC3D46" w:rsidRDefault="004C6731" w:rsidP="00C27097">
            <w:pPr>
              <w:rPr>
                <w:sz w:val="18"/>
                <w:szCs w:val="18"/>
              </w:rPr>
            </w:pPr>
            <w:r>
              <w:rPr>
                <w:sz w:val="18"/>
                <w:szCs w:val="18"/>
                <w:lang w:val="en-AU"/>
              </w:rPr>
              <w:t>T</w:t>
            </w:r>
            <w:r w:rsidRPr="00AC3D46">
              <w:rPr>
                <w:sz w:val="18"/>
                <w:szCs w:val="18"/>
                <w:lang w:val="en-AU"/>
              </w:rPr>
              <w:t>he NHDC has not met regularly and has not performed the program oversight function envisaged in the program design</w:t>
            </w:r>
            <w:r>
              <w:rPr>
                <w:lang w:val="en-AU"/>
              </w:rPr>
              <w:t>.</w:t>
            </w:r>
            <w:r w:rsidRPr="00CB3E09">
              <w:rPr>
                <w:lang w:val="en-AU"/>
              </w:rPr>
              <w:t xml:space="preserve"> </w:t>
            </w:r>
            <w:r w:rsidRPr="00AC3D46">
              <w:rPr>
                <w:sz w:val="18"/>
                <w:szCs w:val="18"/>
                <w:lang w:val="en-AU"/>
              </w:rPr>
              <w:t xml:space="preserve">The TongaHealth Board has provided regular oversight to the operations and finances of TongaHealth. However, the National NCD Committee and the various cross-sector and other committees engaged in NCD prevention have not met </w:t>
            </w:r>
            <w:r w:rsidRPr="00A318B9">
              <w:rPr>
                <w:noProof/>
                <w:sz w:val="18"/>
                <w:szCs w:val="18"/>
                <w:lang w:val="en-AU"/>
              </w:rPr>
              <w:t>regularly</w:t>
            </w:r>
            <w:r w:rsidRPr="00AC3D46">
              <w:rPr>
                <w:sz w:val="18"/>
                <w:szCs w:val="18"/>
                <w:lang w:val="en-AU"/>
              </w:rPr>
              <w:t xml:space="preserve"> as planned.</w:t>
            </w:r>
          </w:p>
          <w:p w14:paraId="2D03845A" w14:textId="77777777" w:rsidR="004C6731" w:rsidRDefault="004C6731" w:rsidP="00C27097">
            <w:pPr>
              <w:rPr>
                <w:sz w:val="18"/>
              </w:rPr>
            </w:pPr>
          </w:p>
          <w:p w14:paraId="7AF93062" w14:textId="77777777" w:rsidR="004C6731" w:rsidRPr="00F30603" w:rsidRDefault="004C6731" w:rsidP="00C27097">
            <w:pPr>
              <w:rPr>
                <w:sz w:val="18"/>
              </w:rPr>
            </w:pPr>
            <w:r>
              <w:rPr>
                <w:sz w:val="18"/>
              </w:rPr>
              <w:t xml:space="preserve">THSSP2 has </w:t>
            </w:r>
            <w:r w:rsidRPr="00A318B9">
              <w:rPr>
                <w:noProof/>
                <w:sz w:val="18"/>
              </w:rPr>
              <w:t>5</w:t>
            </w:r>
            <w:r>
              <w:rPr>
                <w:sz w:val="18"/>
              </w:rPr>
              <w:t xml:space="preserve"> high-level program targets: 3 of wh</w:t>
            </w:r>
            <w:r w:rsidR="000E7681">
              <w:rPr>
                <w:sz w:val="18"/>
              </w:rPr>
              <w:t xml:space="preserve">ich </w:t>
            </w:r>
            <w:r w:rsidR="000E7681" w:rsidRPr="00A318B9">
              <w:rPr>
                <w:noProof/>
                <w:sz w:val="18"/>
              </w:rPr>
              <w:t>are expressed</w:t>
            </w:r>
            <w:r w:rsidR="000E7681">
              <w:rPr>
                <w:sz w:val="18"/>
              </w:rPr>
              <w:t xml:space="preserve"> in explicitly measurable terms. </w:t>
            </w:r>
            <w:r>
              <w:rPr>
                <w:sz w:val="18"/>
              </w:rPr>
              <w:t xml:space="preserve">However overall the M&amp;E Framework is not contextually appropriate. A majority of </w:t>
            </w:r>
            <w:r>
              <w:rPr>
                <w:sz w:val="18"/>
              </w:rPr>
              <w:lastRenderedPageBreak/>
              <w:t xml:space="preserve">the performance measures cannot be readily sourced from MoH </w:t>
            </w:r>
            <w:r w:rsidRPr="00A318B9">
              <w:rPr>
                <w:noProof/>
                <w:sz w:val="18"/>
              </w:rPr>
              <w:t>and/or</w:t>
            </w:r>
            <w:r>
              <w:rPr>
                <w:sz w:val="18"/>
              </w:rPr>
              <w:t xml:space="preserve"> TongaHealth information systems. A significant number of performance measures </w:t>
            </w:r>
            <w:r w:rsidRPr="00A318B9">
              <w:rPr>
                <w:noProof/>
                <w:sz w:val="18"/>
              </w:rPr>
              <w:t>are based</w:t>
            </w:r>
            <w:r>
              <w:rPr>
                <w:sz w:val="18"/>
              </w:rPr>
              <w:t xml:space="preserve"> on </w:t>
            </w:r>
            <w:r w:rsidRPr="00A318B9">
              <w:rPr>
                <w:noProof/>
                <w:sz w:val="18"/>
              </w:rPr>
              <w:t>manual</w:t>
            </w:r>
            <w:r>
              <w:rPr>
                <w:sz w:val="18"/>
              </w:rPr>
              <w:t xml:space="preserve"> audit of operational records. Overall, the M&amp;E Framework has to date provided no effective guidance to MoH </w:t>
            </w:r>
            <w:r w:rsidRPr="00A318B9">
              <w:rPr>
                <w:noProof/>
                <w:sz w:val="18"/>
              </w:rPr>
              <w:t>and/or</w:t>
            </w:r>
            <w:r>
              <w:rPr>
                <w:sz w:val="18"/>
              </w:rPr>
              <w:t xml:space="preserve"> DFAT on annual program planning and delivery.</w:t>
            </w:r>
          </w:p>
          <w:p w14:paraId="44C21414" w14:textId="77777777" w:rsidR="004C6731" w:rsidRPr="00362E26" w:rsidRDefault="004C6731" w:rsidP="00C27097">
            <w:pPr>
              <w:rPr>
                <w:sz w:val="18"/>
              </w:rPr>
            </w:pPr>
          </w:p>
        </w:tc>
        <w:tc>
          <w:tcPr>
            <w:tcW w:w="3823" w:type="dxa"/>
          </w:tcPr>
          <w:p w14:paraId="648917DC" w14:textId="77777777" w:rsidR="004C6731" w:rsidRDefault="004C6731" w:rsidP="00C27097">
            <w:pPr>
              <w:rPr>
                <w:sz w:val="18"/>
              </w:rPr>
            </w:pPr>
          </w:p>
          <w:p w14:paraId="7A652F88" w14:textId="77777777" w:rsidR="004C6731" w:rsidRDefault="004C6731" w:rsidP="00C27097">
            <w:pPr>
              <w:rPr>
                <w:sz w:val="18"/>
              </w:rPr>
            </w:pPr>
            <w:r>
              <w:rPr>
                <w:sz w:val="18"/>
              </w:rPr>
              <w:t xml:space="preserve">THSSP2 activities </w:t>
            </w:r>
            <w:r w:rsidRPr="00A318B9">
              <w:rPr>
                <w:noProof/>
                <w:sz w:val="18"/>
              </w:rPr>
              <w:t>are planned</w:t>
            </w:r>
            <w:r>
              <w:rPr>
                <w:sz w:val="18"/>
              </w:rPr>
              <w:t xml:space="preserve"> and budgeted in parallel to MoH systems. The main barriers to integration have been poor shared understanding of the program design, a lack of an explicit MoH </w:t>
            </w:r>
            <w:r w:rsidRPr="00A318B9">
              <w:rPr>
                <w:noProof/>
                <w:sz w:val="18"/>
              </w:rPr>
              <w:t>medium</w:t>
            </w:r>
            <w:r w:rsidR="00A318B9" w:rsidRPr="00A318B9">
              <w:rPr>
                <w:noProof/>
                <w:sz w:val="18"/>
              </w:rPr>
              <w:t>-</w:t>
            </w:r>
            <w:r w:rsidRPr="00A318B9">
              <w:rPr>
                <w:noProof/>
                <w:sz w:val="18"/>
              </w:rPr>
              <w:t>term</w:t>
            </w:r>
            <w:r>
              <w:rPr>
                <w:sz w:val="18"/>
              </w:rPr>
              <w:t xml:space="preserve"> strategic direction and MoH capacity issues in planning.</w:t>
            </w:r>
          </w:p>
          <w:p w14:paraId="16DD61BB" w14:textId="77777777" w:rsidR="004C6731" w:rsidRDefault="004C6731" w:rsidP="00C27097">
            <w:pPr>
              <w:rPr>
                <w:sz w:val="18"/>
              </w:rPr>
            </w:pPr>
          </w:p>
          <w:p w14:paraId="45FAF702" w14:textId="77777777" w:rsidR="004C6731" w:rsidRDefault="004C6731" w:rsidP="00C27097">
            <w:pPr>
              <w:rPr>
                <w:sz w:val="18"/>
              </w:rPr>
            </w:pPr>
            <w:r>
              <w:rPr>
                <w:sz w:val="18"/>
              </w:rPr>
              <w:t xml:space="preserve">In the absence of an explicit sector strategy, THSSP2 has generally succeeded in investing in activities that sensibly contribute to the program high-level objectives. THSSP2 has clearly contributed to the strengthening of prevention and control of NCDs. The impact of current health promotion approaches is likely to plateau </w:t>
            </w:r>
            <w:r w:rsidR="00180287">
              <w:rPr>
                <w:sz w:val="18"/>
              </w:rPr>
              <w:t xml:space="preserve">without investment in </w:t>
            </w:r>
            <w:r>
              <w:rPr>
                <w:sz w:val="18"/>
              </w:rPr>
              <w:t>local research and innovation, and targeted grant-making.</w:t>
            </w:r>
          </w:p>
          <w:p w14:paraId="47E2EAC8" w14:textId="77777777" w:rsidR="004C6731" w:rsidRDefault="004C6731" w:rsidP="00C27097">
            <w:pPr>
              <w:rPr>
                <w:sz w:val="18"/>
              </w:rPr>
            </w:pPr>
          </w:p>
          <w:p w14:paraId="6755D970" w14:textId="77777777" w:rsidR="004C6731" w:rsidRDefault="004C6731" w:rsidP="00C27097">
            <w:pPr>
              <w:rPr>
                <w:sz w:val="18"/>
              </w:rPr>
            </w:pPr>
            <w:r>
              <w:rPr>
                <w:sz w:val="18"/>
              </w:rPr>
              <w:t xml:space="preserve">The program M&amp;E Framework </w:t>
            </w:r>
            <w:r w:rsidRPr="00A318B9">
              <w:rPr>
                <w:noProof/>
                <w:sz w:val="18"/>
              </w:rPr>
              <w:t>is not harmonised</w:t>
            </w:r>
            <w:r>
              <w:rPr>
                <w:sz w:val="18"/>
              </w:rPr>
              <w:t xml:space="preserve"> with GoT M&amp;E Frameworks, which may undermine government efforts.</w:t>
            </w:r>
          </w:p>
          <w:p w14:paraId="63839545" w14:textId="77777777" w:rsidR="004C6731" w:rsidRPr="00362E26" w:rsidRDefault="004C6731" w:rsidP="00C27097">
            <w:pPr>
              <w:rPr>
                <w:sz w:val="18"/>
              </w:rPr>
            </w:pPr>
          </w:p>
          <w:p w14:paraId="4A02745F" w14:textId="77777777" w:rsidR="004C6731" w:rsidRDefault="004C6731" w:rsidP="00C27097">
            <w:pPr>
              <w:rPr>
                <w:sz w:val="18"/>
              </w:rPr>
            </w:pPr>
            <w:r>
              <w:rPr>
                <w:sz w:val="18"/>
              </w:rPr>
              <w:t>The program M&amp;E</w:t>
            </w:r>
            <w:r w:rsidRPr="000521EE">
              <w:rPr>
                <w:sz w:val="18"/>
              </w:rPr>
              <w:t xml:space="preserve"> </w:t>
            </w:r>
            <w:r>
              <w:rPr>
                <w:sz w:val="18"/>
              </w:rPr>
              <w:t>F</w:t>
            </w:r>
            <w:r w:rsidRPr="000521EE">
              <w:rPr>
                <w:sz w:val="18"/>
              </w:rPr>
              <w:t>ramework</w:t>
            </w:r>
            <w:r>
              <w:rPr>
                <w:sz w:val="18"/>
              </w:rPr>
              <w:t xml:space="preserve"> poorly reflects program objectives and, </w:t>
            </w:r>
            <w:r w:rsidRPr="00A318B9">
              <w:rPr>
                <w:noProof/>
                <w:sz w:val="18"/>
              </w:rPr>
              <w:t>with the exception of</w:t>
            </w:r>
            <w:r>
              <w:rPr>
                <w:sz w:val="18"/>
              </w:rPr>
              <w:t xml:space="preserve"> NCD prevention, the M&amp;E Framework does not reflect the theory of change. </w:t>
            </w:r>
            <w:r w:rsidRPr="00A318B9">
              <w:rPr>
                <w:noProof/>
                <w:sz w:val="18"/>
              </w:rPr>
              <w:t>Disability</w:t>
            </w:r>
            <w:r w:rsidR="00A318B9" w:rsidRPr="00A318B9">
              <w:rPr>
                <w:noProof/>
                <w:sz w:val="18"/>
              </w:rPr>
              <w:t>-</w:t>
            </w:r>
            <w:r w:rsidRPr="00A318B9">
              <w:rPr>
                <w:noProof/>
                <w:sz w:val="18"/>
              </w:rPr>
              <w:t>inclusive</w:t>
            </w:r>
            <w:r>
              <w:rPr>
                <w:sz w:val="18"/>
              </w:rPr>
              <w:t xml:space="preserve"> health is completely unmonitored.</w:t>
            </w:r>
          </w:p>
          <w:p w14:paraId="5B374776" w14:textId="77777777" w:rsidR="004C6731" w:rsidRDefault="004C6731" w:rsidP="00C27097">
            <w:pPr>
              <w:rPr>
                <w:sz w:val="18"/>
              </w:rPr>
            </w:pPr>
          </w:p>
          <w:p w14:paraId="72BD69BB" w14:textId="77777777" w:rsidR="004C6731" w:rsidRPr="00362E26" w:rsidRDefault="004C6731" w:rsidP="00C27097">
            <w:pPr>
              <w:rPr>
                <w:sz w:val="18"/>
              </w:rPr>
            </w:pPr>
            <w:r>
              <w:rPr>
                <w:sz w:val="18"/>
              </w:rPr>
              <w:t xml:space="preserve">The program M&amp;E Framework has </w:t>
            </w:r>
            <w:r w:rsidRPr="00A318B9">
              <w:rPr>
                <w:noProof/>
                <w:sz w:val="18"/>
              </w:rPr>
              <w:t>minimal</w:t>
            </w:r>
            <w:r>
              <w:rPr>
                <w:sz w:val="18"/>
              </w:rPr>
              <w:t xml:space="preserve"> direct relationship with program-funded activities, and some program investments are entirely unmonitored</w:t>
            </w:r>
          </w:p>
        </w:tc>
      </w:tr>
      <w:tr w:rsidR="004C6731" w14:paraId="7A377FD2" w14:textId="77777777" w:rsidTr="00242CCE">
        <w:tc>
          <w:tcPr>
            <w:tcW w:w="1993" w:type="dxa"/>
          </w:tcPr>
          <w:p w14:paraId="553082D7" w14:textId="77777777" w:rsidR="004C6731" w:rsidRDefault="004C6731" w:rsidP="00C27097">
            <w:pPr>
              <w:rPr>
                <w:b/>
                <w:sz w:val="18"/>
              </w:rPr>
            </w:pPr>
            <w:r>
              <w:rPr>
                <w:b/>
                <w:sz w:val="18"/>
              </w:rPr>
              <w:t>Impact</w:t>
            </w:r>
          </w:p>
          <w:p w14:paraId="411861C0" w14:textId="77777777" w:rsidR="004C6731" w:rsidRPr="00971014" w:rsidRDefault="004C6731" w:rsidP="00C27097">
            <w:pPr>
              <w:rPr>
                <w:sz w:val="18"/>
              </w:rPr>
            </w:pPr>
            <w:r>
              <w:rPr>
                <w:sz w:val="18"/>
              </w:rPr>
              <w:t xml:space="preserve">Is there evidence of the program contributing to </w:t>
            </w:r>
            <w:r w:rsidRPr="00A318B9">
              <w:rPr>
                <w:noProof/>
                <w:sz w:val="18"/>
              </w:rPr>
              <w:t>improved</w:t>
            </w:r>
            <w:r>
              <w:rPr>
                <w:sz w:val="18"/>
              </w:rPr>
              <w:t xml:space="preserve"> health status of the target population, including for women, people with disability and those living in the outer islands?   Are there any unintended consequences of program activities?</w:t>
            </w:r>
          </w:p>
        </w:tc>
        <w:tc>
          <w:tcPr>
            <w:tcW w:w="3200" w:type="dxa"/>
          </w:tcPr>
          <w:p w14:paraId="5F6ACEF3" w14:textId="77777777" w:rsidR="004C6731" w:rsidRDefault="004C6731" w:rsidP="00C27097">
            <w:pPr>
              <w:rPr>
                <w:sz w:val="18"/>
                <w:szCs w:val="18"/>
              </w:rPr>
            </w:pPr>
          </w:p>
          <w:p w14:paraId="1F923611" w14:textId="77777777" w:rsidR="00E734B8" w:rsidRPr="00C27097" w:rsidRDefault="004C6731" w:rsidP="00C27097">
            <w:pPr>
              <w:rPr>
                <w:sz w:val="18"/>
                <w:szCs w:val="18"/>
              </w:rPr>
            </w:pPr>
            <w:r w:rsidRPr="00A318B9">
              <w:rPr>
                <w:noProof/>
                <w:sz w:val="18"/>
                <w:szCs w:val="18"/>
              </w:rPr>
              <w:t xml:space="preserve">The THSSP2 Design Document sets intentionally ambitious targets for a five-year program (i.e. to aim for a downward trend in the rates of premature deaths and preventable disability, and for a decrease in the percentage of population at high risk of developing an NCD) because it describes the current population of Tongans as already being a </w:t>
            </w:r>
            <w:r w:rsidR="00760392">
              <w:rPr>
                <w:noProof/>
                <w:sz w:val="18"/>
                <w:szCs w:val="18"/>
              </w:rPr>
              <w:t>‘</w:t>
            </w:r>
            <w:r w:rsidRPr="00A318B9">
              <w:rPr>
                <w:noProof/>
                <w:sz w:val="18"/>
                <w:szCs w:val="18"/>
              </w:rPr>
              <w:t>time-bomb</w:t>
            </w:r>
            <w:r w:rsidR="00760392">
              <w:rPr>
                <w:noProof/>
                <w:sz w:val="18"/>
                <w:szCs w:val="18"/>
              </w:rPr>
              <w:t>’</w:t>
            </w:r>
            <w:r w:rsidRPr="00A318B9">
              <w:rPr>
                <w:noProof/>
                <w:sz w:val="18"/>
                <w:szCs w:val="18"/>
              </w:rPr>
              <w:t xml:space="preserve"> in terms of having extremely high probability of developing NCDs and the urgent need for a </w:t>
            </w:r>
            <w:r w:rsidR="00760392">
              <w:rPr>
                <w:noProof/>
                <w:sz w:val="18"/>
                <w:szCs w:val="18"/>
              </w:rPr>
              <w:t>‘</w:t>
            </w:r>
            <w:r w:rsidRPr="00A318B9">
              <w:rPr>
                <w:noProof/>
                <w:sz w:val="18"/>
                <w:szCs w:val="18"/>
              </w:rPr>
              <w:t>generational shift</w:t>
            </w:r>
            <w:r w:rsidR="00760392">
              <w:rPr>
                <w:noProof/>
                <w:sz w:val="18"/>
                <w:szCs w:val="18"/>
              </w:rPr>
              <w:t>’</w:t>
            </w:r>
            <w:r w:rsidRPr="00A318B9">
              <w:rPr>
                <w:noProof/>
                <w:sz w:val="18"/>
                <w:szCs w:val="18"/>
              </w:rPr>
              <w:t>.</w:t>
            </w:r>
          </w:p>
          <w:p w14:paraId="4730F255" w14:textId="77777777" w:rsidR="00E734B8" w:rsidRDefault="00E734B8" w:rsidP="00C27097">
            <w:pPr>
              <w:rPr>
                <w:sz w:val="18"/>
              </w:rPr>
            </w:pPr>
          </w:p>
        </w:tc>
        <w:tc>
          <w:tcPr>
            <w:tcW w:w="3823" w:type="dxa"/>
          </w:tcPr>
          <w:p w14:paraId="3BCD7DA5" w14:textId="77777777" w:rsidR="004C6731" w:rsidRDefault="004C6731" w:rsidP="00C27097">
            <w:pPr>
              <w:rPr>
                <w:sz w:val="18"/>
              </w:rPr>
            </w:pPr>
          </w:p>
          <w:p w14:paraId="555A09D1" w14:textId="77777777" w:rsidR="004C6731" w:rsidRDefault="004C6731" w:rsidP="00C27097">
            <w:pPr>
              <w:rPr>
                <w:sz w:val="18"/>
              </w:rPr>
            </w:pPr>
            <w:r w:rsidRPr="00320350">
              <w:rPr>
                <w:sz w:val="18"/>
                <w:szCs w:val="18"/>
              </w:rPr>
              <w:t>Overall it appears th</w:t>
            </w:r>
            <w:r>
              <w:rPr>
                <w:sz w:val="18"/>
                <w:szCs w:val="18"/>
              </w:rPr>
              <w:t xml:space="preserve">e </w:t>
            </w:r>
            <w:r w:rsidRPr="00320350">
              <w:rPr>
                <w:sz w:val="18"/>
                <w:szCs w:val="18"/>
              </w:rPr>
              <w:t>target</w:t>
            </w:r>
            <w:r>
              <w:rPr>
                <w:sz w:val="18"/>
                <w:szCs w:val="18"/>
              </w:rPr>
              <w:t xml:space="preserve"> of</w:t>
            </w:r>
            <w:r w:rsidRPr="00320350">
              <w:rPr>
                <w:sz w:val="18"/>
                <w:szCs w:val="18"/>
              </w:rPr>
              <w:t xml:space="preserve"> halting the rise in deaths related to NCDs</w:t>
            </w:r>
            <w:r>
              <w:rPr>
                <w:sz w:val="18"/>
                <w:szCs w:val="18"/>
              </w:rPr>
              <w:t xml:space="preserve"> may </w:t>
            </w:r>
            <w:r w:rsidRPr="00A318B9">
              <w:rPr>
                <w:noProof/>
                <w:sz w:val="18"/>
                <w:szCs w:val="18"/>
              </w:rPr>
              <w:t>be achieved</w:t>
            </w:r>
            <w:r w:rsidRPr="00320350">
              <w:rPr>
                <w:sz w:val="18"/>
                <w:szCs w:val="18"/>
              </w:rPr>
              <w:t xml:space="preserve">. </w:t>
            </w:r>
            <w:r w:rsidRPr="00A318B9">
              <w:rPr>
                <w:noProof/>
                <w:sz w:val="18"/>
                <w:szCs w:val="18"/>
              </w:rPr>
              <w:t>The results for preventable disability are less certain because at the start of THSSP2 there was a segment of the population with pre-existing undiagnosed NCDs or with imminent NCDs because of lifestyle risk factors.</w:t>
            </w:r>
            <w:r>
              <w:rPr>
                <w:sz w:val="18"/>
                <w:szCs w:val="18"/>
              </w:rPr>
              <w:t xml:space="preserve"> </w:t>
            </w:r>
          </w:p>
        </w:tc>
      </w:tr>
      <w:tr w:rsidR="004C6731" w:rsidRPr="00DE5ED1" w14:paraId="2EB676A4" w14:textId="77777777" w:rsidTr="00242CCE">
        <w:tc>
          <w:tcPr>
            <w:tcW w:w="1993" w:type="dxa"/>
          </w:tcPr>
          <w:p w14:paraId="3E2FA6E2" w14:textId="77777777" w:rsidR="004C6731" w:rsidRDefault="004C6731" w:rsidP="00C27097">
            <w:pPr>
              <w:rPr>
                <w:b/>
                <w:sz w:val="18"/>
              </w:rPr>
            </w:pPr>
            <w:r w:rsidRPr="00615CFB">
              <w:rPr>
                <w:b/>
                <w:sz w:val="18"/>
              </w:rPr>
              <w:t>Sustainability</w:t>
            </w:r>
          </w:p>
          <w:p w14:paraId="4521EEDD" w14:textId="77777777" w:rsidR="004C6731" w:rsidRPr="008D24F1" w:rsidRDefault="004C6731" w:rsidP="00C27097">
            <w:pPr>
              <w:rPr>
                <w:sz w:val="18"/>
                <w:szCs w:val="18"/>
              </w:rPr>
            </w:pPr>
            <w:r w:rsidRPr="008D24F1">
              <w:rPr>
                <w:sz w:val="18"/>
                <w:szCs w:val="18"/>
              </w:rPr>
              <w:t xml:space="preserve">Will the </w:t>
            </w:r>
            <w:r>
              <w:rPr>
                <w:sz w:val="18"/>
                <w:szCs w:val="18"/>
              </w:rPr>
              <w:t>benefits of the investment be sustained beyond the life of the Australian investment?  Which factors constrain/ facilitate sustainability?</w:t>
            </w:r>
          </w:p>
        </w:tc>
        <w:tc>
          <w:tcPr>
            <w:tcW w:w="3200" w:type="dxa"/>
          </w:tcPr>
          <w:p w14:paraId="41D5680E" w14:textId="77777777" w:rsidR="004C6731" w:rsidRDefault="004C6731" w:rsidP="00C27097">
            <w:pPr>
              <w:rPr>
                <w:sz w:val="18"/>
              </w:rPr>
            </w:pPr>
          </w:p>
          <w:p w14:paraId="3305BDC6" w14:textId="77777777" w:rsidR="004C6731" w:rsidRDefault="004C6731" w:rsidP="00C27097">
            <w:pPr>
              <w:rPr>
                <w:sz w:val="18"/>
              </w:rPr>
            </w:pPr>
            <w:r>
              <w:rPr>
                <w:sz w:val="18"/>
              </w:rPr>
              <w:t xml:space="preserve">The NCD prevention component of THSSP2 was designed to </w:t>
            </w:r>
            <w:r w:rsidRPr="00A318B9">
              <w:rPr>
                <w:noProof/>
                <w:sz w:val="18"/>
              </w:rPr>
              <w:t>be well integrated</w:t>
            </w:r>
            <w:r>
              <w:rPr>
                <w:sz w:val="18"/>
              </w:rPr>
              <w:t xml:space="preserve"> into Tongan systems and, </w:t>
            </w:r>
            <w:r w:rsidRPr="00A318B9">
              <w:rPr>
                <w:noProof/>
                <w:sz w:val="18"/>
              </w:rPr>
              <w:t>in terms of</w:t>
            </w:r>
            <w:r>
              <w:rPr>
                <w:sz w:val="18"/>
              </w:rPr>
              <w:t xml:space="preserve"> what is achievable in aid program design, is highly sustainable.</w:t>
            </w:r>
          </w:p>
          <w:p w14:paraId="7E4E22DA" w14:textId="77777777" w:rsidR="004C6731" w:rsidRDefault="004C6731" w:rsidP="00C27097">
            <w:pPr>
              <w:rPr>
                <w:sz w:val="18"/>
              </w:rPr>
            </w:pPr>
          </w:p>
          <w:p w14:paraId="169C01CE" w14:textId="77777777" w:rsidR="004C6731" w:rsidRDefault="004C6731" w:rsidP="00C27097">
            <w:pPr>
              <w:rPr>
                <w:sz w:val="18"/>
              </w:rPr>
            </w:pPr>
            <w:r>
              <w:rPr>
                <w:sz w:val="18"/>
              </w:rPr>
              <w:t xml:space="preserve">NCD management aspects of THSSP2 align well with implied MoH </w:t>
            </w:r>
            <w:r w:rsidR="00C83F3F">
              <w:rPr>
                <w:sz w:val="18"/>
              </w:rPr>
              <w:t>NCD priorities</w:t>
            </w:r>
            <w:r>
              <w:rPr>
                <w:i/>
                <w:sz w:val="18"/>
              </w:rPr>
              <w:t>,</w:t>
            </w:r>
            <w:r>
              <w:rPr>
                <w:sz w:val="18"/>
              </w:rPr>
              <w:t xml:space="preserve"> but sustainability may be an issue due to lack of domestic financing.</w:t>
            </w:r>
          </w:p>
          <w:p w14:paraId="79FDF202" w14:textId="77777777" w:rsidR="004C6731" w:rsidRDefault="004C6731" w:rsidP="00C27097">
            <w:pPr>
              <w:rPr>
                <w:sz w:val="18"/>
              </w:rPr>
            </w:pPr>
          </w:p>
          <w:p w14:paraId="1E3A1D15" w14:textId="77777777" w:rsidR="004C6731" w:rsidRDefault="004C6731" w:rsidP="00C27097">
            <w:pPr>
              <w:rPr>
                <w:sz w:val="18"/>
              </w:rPr>
            </w:pPr>
            <w:r>
              <w:rPr>
                <w:sz w:val="18"/>
              </w:rPr>
              <w:t>Although gender is a TSDF II objective, there is little to show GoT ownership of THSSP2 initiatives on disadvantage related to gender, remoteness and disability. Sustainability appears to be poor without continued DFAT advocacy and support.</w:t>
            </w:r>
          </w:p>
          <w:p w14:paraId="367A66E7" w14:textId="77777777" w:rsidR="004C6731" w:rsidRPr="00A03B87" w:rsidRDefault="004C6731" w:rsidP="00C27097">
            <w:pPr>
              <w:rPr>
                <w:sz w:val="18"/>
              </w:rPr>
            </w:pPr>
          </w:p>
        </w:tc>
        <w:tc>
          <w:tcPr>
            <w:tcW w:w="3823" w:type="dxa"/>
          </w:tcPr>
          <w:p w14:paraId="10CA6F35" w14:textId="77777777" w:rsidR="004C6731" w:rsidRDefault="004C6731" w:rsidP="00C27097">
            <w:pPr>
              <w:rPr>
                <w:sz w:val="18"/>
              </w:rPr>
            </w:pPr>
          </w:p>
          <w:p w14:paraId="4118FC13" w14:textId="77777777" w:rsidR="004C6731" w:rsidRDefault="004C6731" w:rsidP="00C27097">
            <w:pPr>
              <w:rPr>
                <w:sz w:val="18"/>
              </w:rPr>
            </w:pPr>
            <w:r>
              <w:rPr>
                <w:sz w:val="18"/>
              </w:rPr>
              <w:t xml:space="preserve">From design, THSSP2 </w:t>
            </w:r>
            <w:r w:rsidRPr="00A318B9">
              <w:rPr>
                <w:noProof/>
                <w:sz w:val="18"/>
              </w:rPr>
              <w:t>was aligned</w:t>
            </w:r>
            <w:r>
              <w:rPr>
                <w:sz w:val="18"/>
              </w:rPr>
              <w:t xml:space="preserve"> with the </w:t>
            </w:r>
            <w:r w:rsidRPr="001E3A1B">
              <w:rPr>
                <w:i/>
                <w:sz w:val="18"/>
              </w:rPr>
              <w:t>National strategy for prevention and control of NCDs</w:t>
            </w:r>
            <w:r>
              <w:rPr>
                <w:i/>
                <w:sz w:val="18"/>
              </w:rPr>
              <w:t xml:space="preserve">. </w:t>
            </w:r>
            <w:r>
              <w:rPr>
                <w:sz w:val="18"/>
              </w:rPr>
              <w:t xml:space="preserve">The strategy is semi-dependent on THSSP2 for financing, but the strategy is ‘owned’ by GoT </w:t>
            </w:r>
            <w:r w:rsidRPr="00A318B9">
              <w:rPr>
                <w:noProof/>
                <w:sz w:val="18"/>
              </w:rPr>
              <w:t>and</w:t>
            </w:r>
            <w:r>
              <w:rPr>
                <w:sz w:val="18"/>
              </w:rPr>
              <w:t xml:space="preserve"> there is no indication that the strategy would </w:t>
            </w:r>
            <w:r w:rsidRPr="00A318B9">
              <w:rPr>
                <w:noProof/>
                <w:sz w:val="18"/>
              </w:rPr>
              <w:t>be abandoned</w:t>
            </w:r>
            <w:r>
              <w:rPr>
                <w:sz w:val="18"/>
              </w:rPr>
              <w:t xml:space="preserve"> if DFAT withdrew support (it appears likely that implementation would continue with GoT funding, albeit at a slower rate). The failure of the NNCDC to meet regularly is regarded by the evaluation team as </w:t>
            </w:r>
            <w:r w:rsidR="00036068">
              <w:rPr>
                <w:sz w:val="18"/>
              </w:rPr>
              <w:t>regrettable but not inconsistent with the Tongan public sector generally</w:t>
            </w:r>
            <w:r>
              <w:rPr>
                <w:sz w:val="18"/>
              </w:rPr>
              <w:t>. TongaHealth does face ongoing challenges in identifying, commissioning and grant-managing high-impact health promotion investments.</w:t>
            </w:r>
          </w:p>
          <w:p w14:paraId="768B4B1A" w14:textId="77777777" w:rsidR="004C6731" w:rsidRDefault="004C6731" w:rsidP="00C27097">
            <w:pPr>
              <w:rPr>
                <w:sz w:val="18"/>
              </w:rPr>
            </w:pPr>
          </w:p>
          <w:p w14:paraId="58CD1B5B" w14:textId="77777777" w:rsidR="004C6731" w:rsidRDefault="004C6731" w:rsidP="00C27097">
            <w:pPr>
              <w:rPr>
                <w:sz w:val="18"/>
              </w:rPr>
            </w:pPr>
            <w:r>
              <w:rPr>
                <w:sz w:val="18"/>
              </w:rPr>
              <w:t>Potentially sustainable are the service delivery-related initiatives to address disadvantage related to gender, remoteness and disability incorporated in the draft PEHS. These will depend heavily on DFAT financing for rollout.</w:t>
            </w:r>
          </w:p>
          <w:p w14:paraId="4F9F5616" w14:textId="77777777" w:rsidR="004C6731" w:rsidRPr="00DE5ED1" w:rsidRDefault="004C6731" w:rsidP="00C27097">
            <w:pPr>
              <w:rPr>
                <w:sz w:val="18"/>
              </w:rPr>
            </w:pPr>
          </w:p>
        </w:tc>
      </w:tr>
      <w:tr w:rsidR="004C6731" w:rsidRPr="00CD7070" w14:paraId="0E9E9F26" w14:textId="77777777" w:rsidTr="00242CCE">
        <w:tc>
          <w:tcPr>
            <w:tcW w:w="1993" w:type="dxa"/>
          </w:tcPr>
          <w:p w14:paraId="28F23397" w14:textId="77777777" w:rsidR="004C6731" w:rsidRPr="000521EE" w:rsidRDefault="004C6731" w:rsidP="00C27097">
            <w:pPr>
              <w:spacing w:after="160"/>
              <w:rPr>
                <w:b/>
                <w:sz w:val="18"/>
              </w:rPr>
            </w:pPr>
            <w:r>
              <w:rPr>
                <w:b/>
                <w:sz w:val="18"/>
              </w:rPr>
              <w:t>Gender e</w:t>
            </w:r>
            <w:r w:rsidRPr="000521EE">
              <w:rPr>
                <w:b/>
                <w:sz w:val="18"/>
              </w:rPr>
              <w:t xml:space="preserve">quality </w:t>
            </w:r>
            <w:r>
              <w:rPr>
                <w:b/>
                <w:sz w:val="18"/>
              </w:rPr>
              <w:t>and social inclusion</w:t>
            </w:r>
          </w:p>
          <w:p w14:paraId="6EB202AB" w14:textId="77777777" w:rsidR="004C6731" w:rsidRPr="000521EE" w:rsidRDefault="004C6731" w:rsidP="00C27097">
            <w:pPr>
              <w:rPr>
                <w:sz w:val="18"/>
              </w:rPr>
            </w:pPr>
          </w:p>
        </w:tc>
        <w:tc>
          <w:tcPr>
            <w:tcW w:w="3200" w:type="dxa"/>
          </w:tcPr>
          <w:p w14:paraId="3E1D39A8" w14:textId="77777777" w:rsidR="004C6731" w:rsidRDefault="004C6731" w:rsidP="00C27097">
            <w:pPr>
              <w:rPr>
                <w:sz w:val="18"/>
              </w:rPr>
            </w:pPr>
          </w:p>
          <w:p w14:paraId="0239AC4A" w14:textId="77777777" w:rsidR="004C6731" w:rsidRPr="00F217C6" w:rsidRDefault="004C6731" w:rsidP="00C27097">
            <w:pPr>
              <w:rPr>
                <w:sz w:val="18"/>
              </w:rPr>
            </w:pPr>
            <w:r>
              <w:rPr>
                <w:sz w:val="18"/>
              </w:rPr>
              <w:t xml:space="preserve">THSSP2 has provided a vehicle for advocacy for </w:t>
            </w:r>
            <w:r w:rsidRPr="00A318B9">
              <w:rPr>
                <w:noProof/>
                <w:sz w:val="18"/>
              </w:rPr>
              <w:t>gender-equality</w:t>
            </w:r>
            <w:r w:rsidRPr="00F217C6">
              <w:rPr>
                <w:sz w:val="18"/>
              </w:rPr>
              <w:t xml:space="preserve"> </w:t>
            </w:r>
            <w:r>
              <w:rPr>
                <w:sz w:val="18"/>
              </w:rPr>
              <w:t>and social inclusion.</w:t>
            </w:r>
          </w:p>
        </w:tc>
        <w:tc>
          <w:tcPr>
            <w:tcW w:w="3823" w:type="dxa"/>
          </w:tcPr>
          <w:p w14:paraId="79934695" w14:textId="77777777" w:rsidR="004C6731" w:rsidRDefault="004C6731" w:rsidP="00C27097">
            <w:pPr>
              <w:rPr>
                <w:sz w:val="18"/>
              </w:rPr>
            </w:pPr>
          </w:p>
          <w:p w14:paraId="2207A8B6" w14:textId="77777777" w:rsidR="004C6731" w:rsidRDefault="004C6731" w:rsidP="00C27097">
            <w:pPr>
              <w:rPr>
                <w:sz w:val="18"/>
              </w:rPr>
            </w:pPr>
            <w:r>
              <w:rPr>
                <w:sz w:val="18"/>
              </w:rPr>
              <w:t xml:space="preserve">Under the regional Disability-inclusive Development initiative, THSSP2 has incorporated a sub-component that appears to be contributing positively to the engagement of </w:t>
            </w:r>
            <w:r w:rsidRPr="00324413">
              <w:rPr>
                <w:sz w:val="18"/>
              </w:rPr>
              <w:t xml:space="preserve">people with disability </w:t>
            </w:r>
            <w:r>
              <w:rPr>
                <w:sz w:val="18"/>
              </w:rPr>
              <w:t>in Tonga. There are no measures in the program M&amp;E Framework to reflect this.</w:t>
            </w:r>
          </w:p>
          <w:p w14:paraId="1AE00BC9" w14:textId="77777777" w:rsidR="004C6731" w:rsidRDefault="004C6731" w:rsidP="00C27097">
            <w:pPr>
              <w:rPr>
                <w:sz w:val="18"/>
              </w:rPr>
            </w:pPr>
          </w:p>
          <w:p w14:paraId="2030E44E" w14:textId="77777777" w:rsidR="004C6731" w:rsidRDefault="004C6731" w:rsidP="00C27097">
            <w:pPr>
              <w:rPr>
                <w:sz w:val="18"/>
              </w:rPr>
            </w:pPr>
            <w:r w:rsidRPr="00F217C6">
              <w:rPr>
                <w:sz w:val="18"/>
              </w:rPr>
              <w:t>A</w:t>
            </w:r>
            <w:r>
              <w:rPr>
                <w:sz w:val="18"/>
              </w:rPr>
              <w:t xml:space="preserve">t the mid-term stage, there is little measurable benefit from program activities for </w:t>
            </w:r>
            <w:r w:rsidRPr="00F217C6">
              <w:rPr>
                <w:sz w:val="18"/>
              </w:rPr>
              <w:t xml:space="preserve">women, the disabled and </w:t>
            </w:r>
            <w:r>
              <w:rPr>
                <w:sz w:val="18"/>
              </w:rPr>
              <w:t xml:space="preserve">other </w:t>
            </w:r>
            <w:r w:rsidRPr="00F217C6">
              <w:rPr>
                <w:sz w:val="18"/>
              </w:rPr>
              <w:t xml:space="preserve">disadvantaged </w:t>
            </w:r>
            <w:r>
              <w:rPr>
                <w:sz w:val="18"/>
              </w:rPr>
              <w:t xml:space="preserve">groups. </w:t>
            </w:r>
            <w:r>
              <w:rPr>
                <w:sz w:val="18"/>
              </w:rPr>
              <w:lastRenderedPageBreak/>
              <w:t xml:space="preserve">Program inputs do appear rational but have addressed necessary precedent issues, for </w:t>
            </w:r>
            <w:r w:rsidRPr="00A318B9">
              <w:rPr>
                <w:noProof/>
                <w:sz w:val="18"/>
              </w:rPr>
              <w:t>example</w:t>
            </w:r>
            <w:r>
              <w:rPr>
                <w:sz w:val="18"/>
              </w:rPr>
              <w:t xml:space="preserve"> the MoH draft PEHS, ratification and application of the Convention on the Rights of Persons with Disabilities. It is highly likely that the program will have </w:t>
            </w:r>
            <w:r w:rsidRPr="00A318B9">
              <w:rPr>
                <w:noProof/>
                <w:sz w:val="18"/>
              </w:rPr>
              <w:t>measureable</w:t>
            </w:r>
            <w:r>
              <w:rPr>
                <w:sz w:val="18"/>
              </w:rPr>
              <w:t xml:space="preserve"> impact in the longer term.</w:t>
            </w:r>
          </w:p>
          <w:p w14:paraId="0EB3465A" w14:textId="77777777" w:rsidR="004C6731" w:rsidRPr="00CD7070" w:rsidRDefault="004C6731" w:rsidP="00C27097">
            <w:pPr>
              <w:rPr>
                <w:sz w:val="18"/>
              </w:rPr>
            </w:pPr>
          </w:p>
        </w:tc>
      </w:tr>
      <w:tr w:rsidR="004C6731" w:rsidRPr="00F217C6" w14:paraId="4CD820BA" w14:textId="77777777" w:rsidTr="00242CCE">
        <w:tc>
          <w:tcPr>
            <w:tcW w:w="1993" w:type="dxa"/>
          </w:tcPr>
          <w:p w14:paraId="764C2DF9" w14:textId="77777777" w:rsidR="004C6731" w:rsidRPr="006F1998" w:rsidRDefault="004C6731" w:rsidP="00C27097">
            <w:pPr>
              <w:spacing w:after="160"/>
              <w:rPr>
                <w:b/>
                <w:sz w:val="18"/>
                <w:szCs w:val="18"/>
              </w:rPr>
            </w:pPr>
            <w:r w:rsidRPr="006F1998">
              <w:rPr>
                <w:b/>
                <w:sz w:val="18"/>
                <w:szCs w:val="18"/>
              </w:rPr>
              <w:lastRenderedPageBreak/>
              <w:t xml:space="preserve">Risk management </w:t>
            </w:r>
          </w:p>
          <w:p w14:paraId="638C99FF" w14:textId="77777777" w:rsidR="004C6731" w:rsidRPr="006F1998" w:rsidRDefault="004C6731" w:rsidP="00C27097">
            <w:pPr>
              <w:spacing w:after="160"/>
              <w:rPr>
                <w:sz w:val="18"/>
                <w:szCs w:val="18"/>
              </w:rPr>
            </w:pPr>
            <w:r w:rsidRPr="006F1998">
              <w:rPr>
                <w:sz w:val="18"/>
                <w:szCs w:val="18"/>
              </w:rPr>
              <w:t>What else is at stake?</w:t>
            </w:r>
          </w:p>
          <w:p w14:paraId="23FCC53F" w14:textId="77777777" w:rsidR="004C6731" w:rsidRPr="006F1998" w:rsidRDefault="004C6731" w:rsidP="00C27097">
            <w:pPr>
              <w:spacing w:after="160"/>
              <w:rPr>
                <w:sz w:val="18"/>
                <w:szCs w:val="18"/>
              </w:rPr>
            </w:pPr>
          </w:p>
          <w:p w14:paraId="3327D429" w14:textId="77777777" w:rsidR="004C6731" w:rsidRPr="006F1998" w:rsidRDefault="004C6731" w:rsidP="00C27097">
            <w:pPr>
              <w:spacing w:after="160"/>
              <w:rPr>
                <w:b/>
                <w:sz w:val="18"/>
                <w:szCs w:val="18"/>
              </w:rPr>
            </w:pPr>
            <w:r w:rsidRPr="006F1998">
              <w:rPr>
                <w:b/>
                <w:sz w:val="18"/>
                <w:szCs w:val="18"/>
              </w:rPr>
              <w:t>And Safeguards</w:t>
            </w:r>
          </w:p>
          <w:p w14:paraId="1A02ED4F" w14:textId="77777777" w:rsidR="004C6731" w:rsidRPr="006F1998" w:rsidRDefault="004C6731" w:rsidP="00C27097">
            <w:pPr>
              <w:pStyle w:val="ListParagraph"/>
              <w:numPr>
                <w:ilvl w:val="0"/>
                <w:numId w:val="14"/>
              </w:numPr>
              <w:rPr>
                <w:sz w:val="18"/>
                <w:szCs w:val="18"/>
              </w:rPr>
            </w:pPr>
            <w:r w:rsidRPr="006F1998">
              <w:rPr>
                <w:sz w:val="18"/>
                <w:szCs w:val="18"/>
              </w:rPr>
              <w:t>Child protection</w:t>
            </w:r>
          </w:p>
          <w:p w14:paraId="7D569CF4" w14:textId="77777777" w:rsidR="004C6731" w:rsidRPr="006F1998" w:rsidRDefault="004C6731" w:rsidP="00C27097">
            <w:pPr>
              <w:pStyle w:val="ListParagraph"/>
              <w:numPr>
                <w:ilvl w:val="0"/>
                <w:numId w:val="14"/>
              </w:numPr>
              <w:rPr>
                <w:sz w:val="18"/>
                <w:szCs w:val="18"/>
              </w:rPr>
            </w:pPr>
            <w:r w:rsidRPr="006F1998">
              <w:rPr>
                <w:sz w:val="18"/>
                <w:szCs w:val="18"/>
              </w:rPr>
              <w:t>Displacement and resettlement</w:t>
            </w:r>
          </w:p>
          <w:p w14:paraId="7ED031C0" w14:textId="77777777" w:rsidR="004C6731" w:rsidRPr="006F1998" w:rsidRDefault="004C6731" w:rsidP="00C27097">
            <w:pPr>
              <w:pStyle w:val="ListParagraph"/>
              <w:numPr>
                <w:ilvl w:val="0"/>
                <w:numId w:val="14"/>
              </w:numPr>
              <w:rPr>
                <w:sz w:val="18"/>
                <w:szCs w:val="18"/>
              </w:rPr>
            </w:pPr>
            <w:r w:rsidRPr="006F1998">
              <w:rPr>
                <w:sz w:val="18"/>
                <w:szCs w:val="18"/>
              </w:rPr>
              <w:t>Environment</w:t>
            </w:r>
          </w:p>
          <w:p w14:paraId="14118F5C" w14:textId="77777777" w:rsidR="004C6731" w:rsidRPr="006F1998" w:rsidRDefault="004C6731" w:rsidP="00C27097">
            <w:pPr>
              <w:pStyle w:val="ListParagraph"/>
              <w:numPr>
                <w:ilvl w:val="0"/>
                <w:numId w:val="14"/>
              </w:numPr>
              <w:rPr>
                <w:sz w:val="18"/>
                <w:szCs w:val="18"/>
              </w:rPr>
            </w:pPr>
            <w:r w:rsidRPr="006F1998">
              <w:rPr>
                <w:sz w:val="18"/>
                <w:szCs w:val="18"/>
              </w:rPr>
              <w:t>Other</w:t>
            </w:r>
          </w:p>
        </w:tc>
        <w:tc>
          <w:tcPr>
            <w:tcW w:w="3200" w:type="dxa"/>
          </w:tcPr>
          <w:p w14:paraId="00B57299" w14:textId="77777777" w:rsidR="004C6731" w:rsidRDefault="004C6731" w:rsidP="00C27097">
            <w:pPr>
              <w:rPr>
                <w:sz w:val="18"/>
              </w:rPr>
            </w:pPr>
          </w:p>
          <w:p w14:paraId="4BFA1792" w14:textId="77777777" w:rsidR="004C6731" w:rsidRDefault="004C6731" w:rsidP="00C27097">
            <w:pPr>
              <w:rPr>
                <w:sz w:val="18"/>
              </w:rPr>
            </w:pPr>
            <w:r>
              <w:rPr>
                <w:sz w:val="18"/>
              </w:rPr>
              <w:t>THSSP2 activity planning has the unintended consequence of transferring public policy risk from MoH to DFAT.</w:t>
            </w:r>
          </w:p>
          <w:p w14:paraId="54671A86" w14:textId="77777777" w:rsidR="004C6731" w:rsidRDefault="004C6731" w:rsidP="00C27097">
            <w:pPr>
              <w:rPr>
                <w:sz w:val="18"/>
              </w:rPr>
            </w:pPr>
          </w:p>
          <w:p w14:paraId="12716DDC" w14:textId="77777777" w:rsidR="004C6731" w:rsidRPr="001734C2" w:rsidRDefault="004C6731" w:rsidP="00C27097">
            <w:pPr>
              <w:rPr>
                <w:color w:val="000000"/>
                <w:sz w:val="20"/>
                <w:szCs w:val="20"/>
              </w:rPr>
            </w:pPr>
            <w:r>
              <w:rPr>
                <w:sz w:val="18"/>
              </w:rPr>
              <w:t>THSSP2 support for universal health coverage improves resilience to natural disasters, displacement and resettlement.</w:t>
            </w:r>
          </w:p>
        </w:tc>
        <w:tc>
          <w:tcPr>
            <w:tcW w:w="3823" w:type="dxa"/>
          </w:tcPr>
          <w:p w14:paraId="249048F8" w14:textId="77777777" w:rsidR="004C6731" w:rsidRDefault="004C6731" w:rsidP="00C27097">
            <w:pPr>
              <w:rPr>
                <w:sz w:val="18"/>
              </w:rPr>
            </w:pPr>
          </w:p>
          <w:p w14:paraId="4E4C26D6" w14:textId="77777777" w:rsidR="004C6731" w:rsidRDefault="004C6731" w:rsidP="00C27097">
            <w:pPr>
              <w:rPr>
                <w:sz w:val="18"/>
              </w:rPr>
            </w:pPr>
            <w:r>
              <w:rPr>
                <w:sz w:val="18"/>
              </w:rPr>
              <w:t xml:space="preserve">DFAT has endeavoured to </w:t>
            </w:r>
            <w:r w:rsidRPr="00A318B9">
              <w:rPr>
                <w:noProof/>
                <w:sz w:val="18"/>
              </w:rPr>
              <w:t>risk manage</w:t>
            </w:r>
            <w:r>
              <w:rPr>
                <w:sz w:val="18"/>
              </w:rPr>
              <w:t xml:space="preserve"> the threat of poor strategic relevance of program activities by strengthening its parallel planning process. It is highly desirable to increase the engagement of MoH in THSSP2 activity planning and to demonstrate greater alignment between the program and MoH medium</w:t>
            </w:r>
            <w:r w:rsidR="00C83F3F">
              <w:rPr>
                <w:sz w:val="18"/>
              </w:rPr>
              <w:t>-</w:t>
            </w:r>
            <w:r>
              <w:rPr>
                <w:sz w:val="18"/>
              </w:rPr>
              <w:t>term strategic direction.</w:t>
            </w:r>
          </w:p>
          <w:p w14:paraId="5A7ACA4A" w14:textId="77777777" w:rsidR="004C6731" w:rsidRDefault="004C6731" w:rsidP="00C27097">
            <w:pPr>
              <w:rPr>
                <w:sz w:val="18"/>
              </w:rPr>
            </w:pPr>
          </w:p>
          <w:p w14:paraId="33AF5DF6" w14:textId="77777777" w:rsidR="004C6731" w:rsidRDefault="004C6731" w:rsidP="00C27097">
            <w:pPr>
              <w:rPr>
                <w:sz w:val="18"/>
              </w:rPr>
            </w:pPr>
            <w:r>
              <w:rPr>
                <w:sz w:val="18"/>
              </w:rPr>
              <w:t xml:space="preserve">At the </w:t>
            </w:r>
            <w:r w:rsidRPr="00A318B9">
              <w:rPr>
                <w:noProof/>
                <w:sz w:val="18"/>
              </w:rPr>
              <w:t>de-briefing</w:t>
            </w:r>
            <w:r>
              <w:rPr>
                <w:sz w:val="18"/>
              </w:rPr>
              <w:t xml:space="preserve"> session, the mid-term evaluation team </w:t>
            </w:r>
            <w:r w:rsidRPr="00A318B9">
              <w:rPr>
                <w:noProof/>
                <w:sz w:val="18"/>
              </w:rPr>
              <w:t>was advised</w:t>
            </w:r>
            <w:r>
              <w:rPr>
                <w:sz w:val="18"/>
              </w:rPr>
              <w:t xml:space="preserve"> that there had been some preliminary investigations on </w:t>
            </w:r>
            <w:r w:rsidRPr="006F1998">
              <w:rPr>
                <w:sz w:val="18"/>
              </w:rPr>
              <w:t>risks to health due to climate change</w:t>
            </w:r>
            <w:r>
              <w:rPr>
                <w:sz w:val="18"/>
              </w:rPr>
              <w:t>.</w:t>
            </w:r>
          </w:p>
          <w:p w14:paraId="69B4817A" w14:textId="77777777" w:rsidR="004C6731" w:rsidRPr="00F217C6" w:rsidRDefault="004C6731" w:rsidP="00C27097">
            <w:pPr>
              <w:rPr>
                <w:sz w:val="18"/>
              </w:rPr>
            </w:pPr>
          </w:p>
        </w:tc>
      </w:tr>
      <w:tr w:rsidR="004C6731" w:rsidRPr="00F217C6" w14:paraId="2A3F18AE" w14:textId="77777777" w:rsidTr="00242CCE">
        <w:tc>
          <w:tcPr>
            <w:tcW w:w="1993" w:type="dxa"/>
            <w:shd w:val="clear" w:color="auto" w:fill="auto"/>
          </w:tcPr>
          <w:p w14:paraId="1A6C5FA2" w14:textId="77777777" w:rsidR="004C6731" w:rsidRPr="000521EE" w:rsidRDefault="004C6731" w:rsidP="00C27097">
            <w:pPr>
              <w:spacing w:after="160"/>
              <w:rPr>
                <w:b/>
                <w:sz w:val="18"/>
              </w:rPr>
            </w:pPr>
            <w:r>
              <w:rPr>
                <w:b/>
                <w:sz w:val="18"/>
              </w:rPr>
              <w:t>Innovation and p</w:t>
            </w:r>
            <w:r w:rsidRPr="000521EE">
              <w:rPr>
                <w:b/>
                <w:sz w:val="18"/>
              </w:rPr>
              <w:t>rivate Sector</w:t>
            </w:r>
          </w:p>
          <w:p w14:paraId="4A9D7815" w14:textId="77777777" w:rsidR="004C6731" w:rsidRPr="000521EE" w:rsidRDefault="004C6731" w:rsidP="00C27097">
            <w:pPr>
              <w:rPr>
                <w:b/>
                <w:sz w:val="18"/>
              </w:rPr>
            </w:pPr>
            <w:r w:rsidRPr="000521EE">
              <w:rPr>
                <w:sz w:val="18"/>
              </w:rPr>
              <w:t>Innovative development approaches?</w:t>
            </w:r>
          </w:p>
        </w:tc>
        <w:tc>
          <w:tcPr>
            <w:tcW w:w="3200" w:type="dxa"/>
          </w:tcPr>
          <w:p w14:paraId="16149A3E" w14:textId="77777777" w:rsidR="004C6731" w:rsidRPr="009701BB" w:rsidRDefault="004C6731" w:rsidP="00C27097">
            <w:pPr>
              <w:rPr>
                <w:sz w:val="18"/>
              </w:rPr>
            </w:pPr>
            <w:r>
              <w:rPr>
                <w:sz w:val="18"/>
              </w:rPr>
              <w:t xml:space="preserve">THSSP2 goods and </w:t>
            </w:r>
            <w:r w:rsidRPr="00A318B9">
              <w:rPr>
                <w:noProof/>
                <w:sz w:val="18"/>
              </w:rPr>
              <w:t>services,</w:t>
            </w:r>
            <w:r>
              <w:rPr>
                <w:sz w:val="18"/>
              </w:rPr>
              <w:t xml:space="preserve"> and infrastructure procurement is delivered through GoT systems and engages private sector suppliers.</w:t>
            </w:r>
          </w:p>
          <w:p w14:paraId="2F6E037B" w14:textId="77777777" w:rsidR="004C6731" w:rsidRDefault="004C6731" w:rsidP="00C27097">
            <w:pPr>
              <w:rPr>
                <w:sz w:val="18"/>
              </w:rPr>
            </w:pPr>
          </w:p>
          <w:p w14:paraId="2A88600C" w14:textId="77777777" w:rsidR="004C6731" w:rsidRDefault="004C6731" w:rsidP="00C27097">
            <w:pPr>
              <w:rPr>
                <w:sz w:val="18"/>
              </w:rPr>
            </w:pPr>
            <w:r>
              <w:rPr>
                <w:sz w:val="18"/>
              </w:rPr>
              <w:t xml:space="preserve">THSSP2 has effectively capitalised on initiatives emerging from DFAT’s </w:t>
            </w:r>
            <w:r w:rsidRPr="00A318B9">
              <w:rPr>
                <w:noProof/>
                <w:sz w:val="18"/>
              </w:rPr>
              <w:t>innovationXchange</w:t>
            </w:r>
            <w:r>
              <w:rPr>
                <w:sz w:val="18"/>
              </w:rPr>
              <w:t>.</w:t>
            </w:r>
          </w:p>
          <w:p w14:paraId="4CD98872" w14:textId="77777777" w:rsidR="004C6731" w:rsidRPr="009701BB" w:rsidRDefault="004C6731" w:rsidP="00C27097">
            <w:pPr>
              <w:rPr>
                <w:sz w:val="18"/>
              </w:rPr>
            </w:pPr>
          </w:p>
        </w:tc>
        <w:tc>
          <w:tcPr>
            <w:tcW w:w="3823" w:type="dxa"/>
          </w:tcPr>
          <w:p w14:paraId="50546052" w14:textId="77777777" w:rsidR="004C6731" w:rsidRPr="00F217C6" w:rsidRDefault="004C6731" w:rsidP="00C27097">
            <w:pPr>
              <w:rPr>
                <w:sz w:val="18"/>
              </w:rPr>
            </w:pPr>
            <w:r w:rsidRPr="00F217C6">
              <w:rPr>
                <w:sz w:val="18"/>
              </w:rPr>
              <w:t>T</w:t>
            </w:r>
            <w:r>
              <w:rPr>
                <w:sz w:val="18"/>
              </w:rPr>
              <w:t xml:space="preserve">he Tupaia initiative (developed through </w:t>
            </w:r>
            <w:r w:rsidRPr="00F217C6">
              <w:rPr>
                <w:sz w:val="18"/>
              </w:rPr>
              <w:t xml:space="preserve">DFAT’s </w:t>
            </w:r>
            <w:r w:rsidRPr="00A318B9">
              <w:rPr>
                <w:noProof/>
                <w:sz w:val="18"/>
              </w:rPr>
              <w:t>innovationXchange</w:t>
            </w:r>
            <w:r>
              <w:rPr>
                <w:sz w:val="18"/>
              </w:rPr>
              <w:t>) has provided strategic support for advancing universal health coverage</w:t>
            </w:r>
            <w:r w:rsidRPr="00F217C6">
              <w:rPr>
                <w:sz w:val="18"/>
              </w:rPr>
              <w:t>.</w:t>
            </w:r>
          </w:p>
          <w:p w14:paraId="4FFFFAA3" w14:textId="77777777" w:rsidR="004C6731" w:rsidRPr="00F217C6" w:rsidRDefault="004C6731" w:rsidP="00C27097">
            <w:pPr>
              <w:rPr>
                <w:sz w:val="18"/>
              </w:rPr>
            </w:pPr>
          </w:p>
        </w:tc>
      </w:tr>
    </w:tbl>
    <w:p w14:paraId="51A2A067" w14:textId="77777777" w:rsidR="00C930D1" w:rsidRDefault="00C930D1" w:rsidP="00A320C5">
      <w:pPr>
        <w:rPr>
          <w:lang w:eastAsia="ja-JP"/>
        </w:rPr>
      </w:pPr>
    </w:p>
    <w:p w14:paraId="66F07D69" w14:textId="77777777" w:rsidR="00143CD9" w:rsidRDefault="00BA31AC" w:rsidP="00935429">
      <w:pPr>
        <w:pStyle w:val="Heading1"/>
        <w:rPr>
          <w:rFonts w:eastAsia="Times New Roman"/>
        </w:rPr>
      </w:pPr>
      <w:bookmarkStart w:id="64" w:name="_Toc536205464"/>
      <w:r>
        <w:rPr>
          <w:rFonts w:eastAsia="Times New Roman"/>
        </w:rPr>
        <w:t>R</w:t>
      </w:r>
      <w:r w:rsidR="00022D77" w:rsidRPr="00022D77">
        <w:rPr>
          <w:rFonts w:eastAsia="Times New Roman"/>
        </w:rPr>
        <w:t>ecommendations</w:t>
      </w:r>
      <w:bookmarkEnd w:id="64"/>
    </w:p>
    <w:p w14:paraId="330817DC" w14:textId="77777777" w:rsidR="00BA31AC" w:rsidRDefault="00BA31AC" w:rsidP="00BA31AC">
      <w:pPr>
        <w:spacing w:after="0"/>
        <w:rPr>
          <w:lang w:eastAsia="ja-JP"/>
        </w:rPr>
      </w:pPr>
    </w:p>
    <w:p w14:paraId="58883048" w14:textId="77777777" w:rsidR="00F8174C" w:rsidRPr="00226768" w:rsidRDefault="00451540" w:rsidP="00BA31AC">
      <w:pPr>
        <w:rPr>
          <w:lang w:eastAsia="ja-JP"/>
        </w:rPr>
      </w:pPr>
      <w:r>
        <w:rPr>
          <w:lang w:eastAsia="ja-JP"/>
        </w:rPr>
        <w:t xml:space="preserve">Section 4 </w:t>
      </w:r>
      <w:r w:rsidR="00BA31AC">
        <w:rPr>
          <w:lang w:eastAsia="ja-JP"/>
        </w:rPr>
        <w:t>presents the team’s recommendations</w:t>
      </w:r>
      <w:r w:rsidR="005D2D39">
        <w:rPr>
          <w:lang w:eastAsia="ja-JP"/>
        </w:rPr>
        <w:t xml:space="preserve">, </w:t>
      </w:r>
      <w:r>
        <w:rPr>
          <w:lang w:eastAsia="ja-JP"/>
        </w:rPr>
        <w:t xml:space="preserve">including a brief rationale for each recommendation. Table 6 at the end of this section provides a </w:t>
      </w:r>
      <w:r w:rsidR="00926EE1">
        <w:rPr>
          <w:lang w:eastAsia="ja-JP"/>
        </w:rPr>
        <w:t xml:space="preserve">summary of the recommendations, including </w:t>
      </w:r>
      <w:r w:rsidR="00DF49C0">
        <w:rPr>
          <w:lang w:eastAsia="ja-JP"/>
        </w:rPr>
        <w:t>the relative priority of each recommendation and the recommended timeframe for giving effect to each recommendation.</w:t>
      </w:r>
    </w:p>
    <w:p w14:paraId="7BB1206E" w14:textId="77777777" w:rsidR="00DC60F9" w:rsidRPr="00226768" w:rsidRDefault="00DC60F9" w:rsidP="00226768">
      <w:pPr>
        <w:pStyle w:val="Heading3"/>
      </w:pPr>
      <w:bookmarkStart w:id="65" w:name="_Toc536205465"/>
      <w:bookmarkStart w:id="66" w:name="_Toc536205467"/>
      <w:bookmarkEnd w:id="65"/>
      <w:r w:rsidRPr="00226768">
        <w:t>Program targets and direction</w:t>
      </w:r>
      <w:bookmarkEnd w:id="66"/>
    </w:p>
    <w:p w14:paraId="553619D7" w14:textId="77777777" w:rsidR="00DC60F9" w:rsidRPr="002F2A6B" w:rsidRDefault="00C01098" w:rsidP="00896F52">
      <w:pPr>
        <w:pStyle w:val="ListParagraph"/>
        <w:numPr>
          <w:ilvl w:val="0"/>
          <w:numId w:val="54"/>
        </w:numPr>
        <w:spacing w:after="120" w:line="276" w:lineRule="auto"/>
        <w:ind w:left="385" w:hanging="357"/>
        <w:contextualSpacing w:val="0"/>
        <w:rPr>
          <w:rFonts w:ascii="Calibri" w:hAnsi="Calibri" w:cs="Calibri"/>
          <w:color w:val="000000"/>
        </w:rPr>
      </w:pPr>
      <w:r w:rsidRPr="00550647">
        <w:rPr>
          <w:b/>
          <w:i/>
          <w:lang w:val="en-AU"/>
        </w:rPr>
        <w:t xml:space="preserve">It </w:t>
      </w:r>
      <w:r w:rsidRPr="00A318B9">
        <w:rPr>
          <w:b/>
          <w:i/>
          <w:noProof/>
          <w:lang w:val="en-AU"/>
        </w:rPr>
        <w:t>is recommended</w:t>
      </w:r>
      <w:r w:rsidRPr="00550647">
        <w:rPr>
          <w:b/>
          <w:i/>
          <w:lang w:val="en-AU"/>
        </w:rPr>
        <w:t xml:space="preserve"> that Australian aid health sector support maintains consistent priorities at least until the end of THSSP2.</w:t>
      </w:r>
      <w:r w:rsidRPr="00550647">
        <w:rPr>
          <w:b/>
          <w:i/>
          <w:lang w:val="en-AU"/>
        </w:rPr>
        <w:br/>
      </w:r>
      <w:r w:rsidR="00DC60F9" w:rsidRPr="004A122D">
        <w:rPr>
          <w:lang w:val="en-AU"/>
        </w:rPr>
        <w:t xml:space="preserve">THSSP2’s five </w:t>
      </w:r>
      <w:r w:rsidR="00DC60F9">
        <w:rPr>
          <w:lang w:val="en-AU"/>
        </w:rPr>
        <w:t>high-level</w:t>
      </w:r>
      <w:r w:rsidR="00DC60F9" w:rsidRPr="004A122D">
        <w:rPr>
          <w:lang w:val="en-AU"/>
        </w:rPr>
        <w:t xml:space="preserve"> development </w:t>
      </w:r>
      <w:r w:rsidR="00DC60F9">
        <w:rPr>
          <w:lang w:val="en-AU"/>
        </w:rPr>
        <w:t xml:space="preserve">targets </w:t>
      </w:r>
      <w:r w:rsidR="00DC60F9" w:rsidRPr="004A122D">
        <w:rPr>
          <w:lang w:val="en-AU"/>
        </w:rPr>
        <w:t xml:space="preserve">are still relevant and appropriate. </w:t>
      </w:r>
      <w:r>
        <w:rPr>
          <w:lang w:val="en-AU"/>
        </w:rPr>
        <w:t>T</w:t>
      </w:r>
      <w:r w:rsidR="00DC60F9">
        <w:rPr>
          <w:lang w:val="en-AU"/>
        </w:rPr>
        <w:t xml:space="preserve">o provide adequate time </w:t>
      </w:r>
      <w:r w:rsidR="00DC60F9" w:rsidRPr="001F6EEE">
        <w:rPr>
          <w:lang w:val="en-AU"/>
        </w:rPr>
        <w:t xml:space="preserve">for </w:t>
      </w:r>
      <w:r w:rsidR="00DC60F9">
        <w:rPr>
          <w:lang w:val="en-AU"/>
        </w:rPr>
        <w:t xml:space="preserve">health promotion on </w:t>
      </w:r>
      <w:r w:rsidR="00DC60F9" w:rsidRPr="001F6EEE">
        <w:rPr>
          <w:lang w:val="en-AU"/>
        </w:rPr>
        <w:t>NCD</w:t>
      </w:r>
      <w:r w:rsidR="00DC60F9">
        <w:rPr>
          <w:lang w:val="en-AU"/>
        </w:rPr>
        <w:t>s</w:t>
      </w:r>
      <w:r w:rsidR="00DC60F9" w:rsidRPr="001F6EEE">
        <w:rPr>
          <w:lang w:val="en-AU"/>
        </w:rPr>
        <w:t xml:space="preserve"> </w:t>
      </w:r>
      <w:r w:rsidR="00DC60F9">
        <w:rPr>
          <w:lang w:val="en-AU"/>
        </w:rPr>
        <w:t xml:space="preserve">to begin to demonstrate changes in lifestyle risk behaviours </w:t>
      </w:r>
      <w:r w:rsidR="00DC60F9" w:rsidRPr="001F6EEE">
        <w:rPr>
          <w:lang w:val="en-AU"/>
        </w:rPr>
        <w:t xml:space="preserve">and </w:t>
      </w:r>
      <w:r w:rsidR="00DC60F9">
        <w:rPr>
          <w:lang w:val="en-AU"/>
        </w:rPr>
        <w:t xml:space="preserve">strengthening of universal health coverage (in the form of </w:t>
      </w:r>
      <w:r w:rsidR="00DC60F9" w:rsidRPr="00A318B9">
        <w:rPr>
          <w:noProof/>
          <w:lang w:val="en-AU"/>
        </w:rPr>
        <w:t>roll-out</w:t>
      </w:r>
      <w:r w:rsidR="00DC60F9">
        <w:rPr>
          <w:lang w:val="en-AU"/>
        </w:rPr>
        <w:t xml:space="preserve"> of the </w:t>
      </w:r>
      <w:r w:rsidR="00DC60F9" w:rsidRPr="001F6EEE">
        <w:rPr>
          <w:lang w:val="en-AU"/>
        </w:rPr>
        <w:t>PEHS</w:t>
      </w:r>
      <w:r w:rsidR="00DC60F9">
        <w:rPr>
          <w:lang w:val="en-AU"/>
        </w:rPr>
        <w:t>)</w:t>
      </w:r>
      <w:r>
        <w:rPr>
          <w:lang w:val="en-AU"/>
        </w:rPr>
        <w:t>, continuity and consistency of direction is important</w:t>
      </w:r>
      <w:r w:rsidR="00DC60F9" w:rsidRPr="001F6EEE">
        <w:rPr>
          <w:lang w:val="en-AU"/>
        </w:rPr>
        <w:t>.</w:t>
      </w:r>
      <w:r w:rsidR="00DC60F9">
        <w:rPr>
          <w:lang w:val="en-AU"/>
        </w:rPr>
        <w:t xml:space="preserve"> </w:t>
      </w:r>
      <w:r w:rsidR="00DC60F9" w:rsidRPr="004A122D">
        <w:rPr>
          <w:lang w:val="en-AU"/>
        </w:rPr>
        <w:t xml:space="preserve">Tonga’s efforts in </w:t>
      </w:r>
      <w:r w:rsidR="00DC60F9" w:rsidRPr="00A318B9">
        <w:rPr>
          <w:noProof/>
          <w:lang w:val="en-AU"/>
        </w:rPr>
        <w:t>society-wide</w:t>
      </w:r>
      <w:r w:rsidR="00DC60F9" w:rsidRPr="004A122D">
        <w:rPr>
          <w:lang w:val="en-AU"/>
        </w:rPr>
        <w:t xml:space="preserve"> reduction of lifestyle risks of NCDs have the potential to inform other Pacific </w:t>
      </w:r>
      <w:r w:rsidR="00DC60F9">
        <w:rPr>
          <w:lang w:val="en-AU"/>
        </w:rPr>
        <w:t>Island C</w:t>
      </w:r>
      <w:r w:rsidR="00DC60F9" w:rsidRPr="004A122D">
        <w:rPr>
          <w:lang w:val="en-AU"/>
        </w:rPr>
        <w:t>ountries</w:t>
      </w:r>
      <w:r w:rsidR="009F3FD0">
        <w:rPr>
          <w:lang w:val="en-AU"/>
        </w:rPr>
        <w:t>.</w:t>
      </w:r>
      <w:r w:rsidR="009F3FD0" w:rsidDel="009F3FD0">
        <w:rPr>
          <w:lang w:val="en-AU"/>
        </w:rPr>
        <w:t xml:space="preserve"> </w:t>
      </w:r>
    </w:p>
    <w:p w14:paraId="178A2CF1" w14:textId="77777777" w:rsidR="00DC60F9" w:rsidRPr="00EE0563" w:rsidRDefault="008136F7" w:rsidP="00896F52">
      <w:pPr>
        <w:pStyle w:val="ListParagraph"/>
        <w:numPr>
          <w:ilvl w:val="0"/>
          <w:numId w:val="54"/>
        </w:numPr>
        <w:spacing w:after="120" w:line="276" w:lineRule="auto"/>
        <w:ind w:hanging="357"/>
        <w:contextualSpacing w:val="0"/>
        <w:rPr>
          <w:rFonts w:ascii="Calibri" w:hAnsi="Calibri" w:cs="Calibri"/>
          <w:color w:val="000000"/>
        </w:rPr>
      </w:pPr>
      <w:r>
        <w:rPr>
          <w:b/>
          <w:i/>
          <w:lang w:val="en-AU"/>
        </w:rPr>
        <w:t>I</w:t>
      </w:r>
      <w:r w:rsidRPr="00F254F9">
        <w:rPr>
          <w:b/>
          <w:i/>
          <w:lang w:val="en-AU"/>
        </w:rPr>
        <w:t xml:space="preserve">t </w:t>
      </w:r>
      <w:r w:rsidRPr="00A318B9">
        <w:rPr>
          <w:b/>
          <w:i/>
          <w:noProof/>
          <w:lang w:val="en-AU"/>
        </w:rPr>
        <w:t>is recommended</w:t>
      </w:r>
      <w:r w:rsidRPr="00F254F9">
        <w:rPr>
          <w:b/>
          <w:i/>
          <w:lang w:val="en-AU"/>
        </w:rPr>
        <w:t xml:space="preserve"> that THSSP2 annual planning </w:t>
      </w:r>
      <w:r w:rsidRPr="00A318B9">
        <w:rPr>
          <w:b/>
          <w:i/>
          <w:noProof/>
          <w:lang w:val="en-AU"/>
        </w:rPr>
        <w:t>be</w:t>
      </w:r>
      <w:r w:rsidRPr="00F254F9">
        <w:rPr>
          <w:b/>
          <w:i/>
          <w:lang w:val="en-AU"/>
        </w:rPr>
        <w:t xml:space="preserve"> specifically aligned with the operationalisation of the PEHS.</w:t>
      </w:r>
      <w:r w:rsidRPr="00F254F9">
        <w:rPr>
          <w:b/>
          <w:i/>
          <w:lang w:val="en-AU"/>
        </w:rPr>
        <w:br/>
      </w:r>
      <w:r w:rsidR="00DC60F9" w:rsidRPr="004A122D">
        <w:rPr>
          <w:lang w:val="en-AU"/>
        </w:rPr>
        <w:t>THSSP2</w:t>
      </w:r>
      <w:r w:rsidR="00DC60F9">
        <w:rPr>
          <w:lang w:val="en-AU"/>
        </w:rPr>
        <w:t xml:space="preserve"> lacks a mechanism that links the annual planning of program activities to the </w:t>
      </w:r>
      <w:r w:rsidR="009E2E05">
        <w:rPr>
          <w:lang w:val="en-AU"/>
        </w:rPr>
        <w:t>MoH</w:t>
      </w:r>
      <w:r w:rsidR="00DC60F9">
        <w:rPr>
          <w:lang w:val="en-AU"/>
        </w:rPr>
        <w:t xml:space="preserve">’s strategic direction: this is partly because the </w:t>
      </w:r>
      <w:r w:rsidR="009E2E05">
        <w:rPr>
          <w:lang w:val="en-AU"/>
        </w:rPr>
        <w:t>MoH</w:t>
      </w:r>
      <w:r w:rsidR="00DC60F9">
        <w:rPr>
          <w:lang w:val="en-AU"/>
        </w:rPr>
        <w:t xml:space="preserve"> does not have an explicit medium</w:t>
      </w:r>
      <w:r w:rsidR="00C83F3F">
        <w:rPr>
          <w:lang w:val="en-AU"/>
        </w:rPr>
        <w:t>-</w:t>
      </w:r>
      <w:r w:rsidR="00DC60F9">
        <w:rPr>
          <w:lang w:val="en-AU"/>
        </w:rPr>
        <w:t xml:space="preserve">term </w:t>
      </w:r>
      <w:r w:rsidR="00DC60F9">
        <w:rPr>
          <w:lang w:val="en-AU"/>
        </w:rPr>
        <w:lastRenderedPageBreak/>
        <w:t>strategic</w:t>
      </w:r>
      <w:r w:rsidR="00B4756A">
        <w:rPr>
          <w:lang w:val="en-AU"/>
        </w:rPr>
        <w:t xml:space="preserve"> plan that adequately links to budgeting and operational planning</w:t>
      </w:r>
      <w:r w:rsidR="00DC60F9">
        <w:rPr>
          <w:lang w:val="en-AU"/>
        </w:rPr>
        <w:t xml:space="preserve"> vision (the Corporate Plan and Budget 2017-2020 is operational rather than strategic). The choices are:</w:t>
      </w:r>
    </w:p>
    <w:p w14:paraId="2AEAD93E" w14:textId="77777777" w:rsidR="00DC60F9" w:rsidRDefault="00DC60F9" w:rsidP="00896F52">
      <w:pPr>
        <w:pStyle w:val="ListParagraph"/>
        <w:numPr>
          <w:ilvl w:val="1"/>
          <w:numId w:val="23"/>
        </w:numPr>
        <w:spacing w:after="120" w:line="276" w:lineRule="auto"/>
        <w:contextualSpacing w:val="0"/>
        <w:rPr>
          <w:lang w:val="en-AU"/>
        </w:rPr>
      </w:pPr>
      <w:r>
        <w:rPr>
          <w:lang w:val="en-AU"/>
        </w:rPr>
        <w:t>To work towards a Tonga health sector medium</w:t>
      </w:r>
      <w:r w:rsidR="00C83F3F">
        <w:rPr>
          <w:lang w:val="en-AU"/>
        </w:rPr>
        <w:t>-</w:t>
      </w:r>
      <w:r>
        <w:rPr>
          <w:lang w:val="en-AU"/>
        </w:rPr>
        <w:t xml:space="preserve">term strategic plan (such a document </w:t>
      </w:r>
      <w:r w:rsidR="001E4651">
        <w:rPr>
          <w:lang w:val="en-AU"/>
        </w:rPr>
        <w:t xml:space="preserve">is unlikely to be completed before </w:t>
      </w:r>
      <w:r w:rsidR="001E4651" w:rsidRPr="00A318B9">
        <w:rPr>
          <w:noProof/>
          <w:lang w:val="en-AU"/>
        </w:rPr>
        <w:t>end</w:t>
      </w:r>
      <w:r w:rsidR="001E4651">
        <w:rPr>
          <w:lang w:val="en-AU"/>
        </w:rPr>
        <w:t xml:space="preserve"> of Phase 2; </w:t>
      </w:r>
      <w:r w:rsidR="00501E23">
        <w:rPr>
          <w:lang w:val="en-AU"/>
        </w:rPr>
        <w:t>therefore,</w:t>
      </w:r>
      <w:r w:rsidR="001E4651">
        <w:rPr>
          <w:lang w:val="en-AU"/>
        </w:rPr>
        <w:t xml:space="preserve"> this option does not address the need for </w:t>
      </w:r>
      <w:r>
        <w:rPr>
          <w:lang w:val="en-AU"/>
        </w:rPr>
        <w:t>practical direction during Phase 2), or</w:t>
      </w:r>
    </w:p>
    <w:p w14:paraId="0E9CE223" w14:textId="77777777" w:rsidR="00162433" w:rsidRDefault="00DC60F9" w:rsidP="00896F52">
      <w:pPr>
        <w:pStyle w:val="ListParagraph"/>
        <w:numPr>
          <w:ilvl w:val="1"/>
          <w:numId w:val="23"/>
        </w:numPr>
        <w:spacing w:after="120" w:line="276" w:lineRule="auto"/>
        <w:contextualSpacing w:val="0"/>
        <w:rPr>
          <w:lang w:val="en-AU"/>
        </w:rPr>
      </w:pPr>
      <w:r>
        <w:rPr>
          <w:lang w:val="en-AU"/>
        </w:rPr>
        <w:t xml:space="preserve">To </w:t>
      </w:r>
      <w:r w:rsidR="001E4651">
        <w:rPr>
          <w:lang w:val="en-AU"/>
        </w:rPr>
        <w:t xml:space="preserve">complete Phase 2 based on the understanding that </w:t>
      </w:r>
      <w:r>
        <w:rPr>
          <w:lang w:val="en-AU"/>
        </w:rPr>
        <w:t xml:space="preserve">the </w:t>
      </w:r>
      <w:r w:rsidR="009E2E05">
        <w:rPr>
          <w:lang w:val="en-AU"/>
        </w:rPr>
        <w:t>MoH</w:t>
      </w:r>
      <w:r w:rsidR="00162433">
        <w:rPr>
          <w:lang w:val="en-AU"/>
        </w:rPr>
        <w:t xml:space="preserve">’s interest in finalising and rolling-out the PEHS </w:t>
      </w:r>
      <w:r w:rsidR="001E4651">
        <w:rPr>
          <w:lang w:val="en-AU"/>
        </w:rPr>
        <w:t>constitutes</w:t>
      </w:r>
      <w:r w:rsidR="00162433">
        <w:rPr>
          <w:lang w:val="en-AU"/>
        </w:rPr>
        <w:t xml:space="preserve"> the </w:t>
      </w:r>
      <w:r w:rsidR="00501E23" w:rsidRPr="00162433">
        <w:rPr>
          <w:lang w:val="en-AU"/>
        </w:rPr>
        <w:t>medium-term</w:t>
      </w:r>
      <w:r w:rsidR="00162433" w:rsidRPr="00162433">
        <w:rPr>
          <w:lang w:val="en-AU"/>
        </w:rPr>
        <w:t xml:space="preserve"> </w:t>
      </w:r>
      <w:r w:rsidRPr="00162433">
        <w:rPr>
          <w:lang w:val="en-AU"/>
        </w:rPr>
        <w:t xml:space="preserve">strategic </w:t>
      </w:r>
      <w:r w:rsidR="00162433" w:rsidRPr="00162433">
        <w:rPr>
          <w:lang w:val="en-AU"/>
        </w:rPr>
        <w:t>direction for the health sector</w:t>
      </w:r>
      <w:r w:rsidRPr="00162433">
        <w:rPr>
          <w:lang w:val="en-AU"/>
        </w:rPr>
        <w:t>.</w:t>
      </w:r>
    </w:p>
    <w:p w14:paraId="339C1E8D" w14:textId="77777777" w:rsidR="00DC60F9" w:rsidRPr="00162433" w:rsidRDefault="00A37A7F" w:rsidP="00896F52">
      <w:pPr>
        <w:pStyle w:val="ListParagraph"/>
        <w:numPr>
          <w:ilvl w:val="1"/>
          <w:numId w:val="23"/>
        </w:numPr>
        <w:spacing w:after="120" w:line="276" w:lineRule="auto"/>
        <w:rPr>
          <w:lang w:val="en-AU"/>
        </w:rPr>
      </w:pPr>
      <w:r>
        <w:rPr>
          <w:lang w:val="en-AU"/>
        </w:rPr>
        <w:t xml:space="preserve">To operate without a strategic direction for the remainder of Phase </w:t>
      </w:r>
      <w:r w:rsidR="00501E23">
        <w:rPr>
          <w:lang w:val="en-AU"/>
        </w:rPr>
        <w:t>2 and</w:t>
      </w:r>
      <w:r>
        <w:rPr>
          <w:lang w:val="en-AU"/>
        </w:rPr>
        <w:t xml:space="preserve"> encourage MoH to take greater responsibility for annual planning of program activities subject to clear conditions on uses of funds.</w:t>
      </w:r>
    </w:p>
    <w:p w14:paraId="074CC5CB" w14:textId="77777777" w:rsidR="00DC60F9" w:rsidRDefault="00DC60F9" w:rsidP="00DC60F9">
      <w:pPr>
        <w:ind w:left="390"/>
      </w:pPr>
      <w:r>
        <w:rPr>
          <w:lang w:val="en-AU"/>
        </w:rPr>
        <w:t>The</w:t>
      </w:r>
      <w:r w:rsidR="00501E23">
        <w:rPr>
          <w:lang w:val="en-AU"/>
        </w:rPr>
        <w:t xml:space="preserve"> evaluation team recommends option ii as the preferred option. </w:t>
      </w:r>
      <w:r w:rsidR="00C83F3F">
        <w:rPr>
          <w:lang w:val="en-AU"/>
        </w:rPr>
        <w:t xml:space="preserve">The </w:t>
      </w:r>
      <w:r>
        <w:rPr>
          <w:lang w:val="en-AU"/>
        </w:rPr>
        <w:t xml:space="preserve">PEHS is the </w:t>
      </w:r>
      <w:r w:rsidR="009E2E05">
        <w:rPr>
          <w:lang w:val="en-AU"/>
        </w:rPr>
        <w:t>MoH</w:t>
      </w:r>
      <w:r>
        <w:rPr>
          <w:lang w:val="en-AU"/>
        </w:rPr>
        <w:t xml:space="preserve">’s current approach for moving towards universal health coverage and strengthening service provision, including NCD management. The PEHS is a product of THSSP2 </w:t>
      </w:r>
      <w:r w:rsidRPr="00A318B9">
        <w:rPr>
          <w:noProof/>
          <w:lang w:val="en-AU"/>
        </w:rPr>
        <w:t>and</w:t>
      </w:r>
      <w:r>
        <w:rPr>
          <w:lang w:val="en-AU"/>
        </w:rPr>
        <w:t xml:space="preserve"> the roll-out of PEHS aligns with THSSP2 program targets. </w:t>
      </w:r>
      <w:r>
        <w:t xml:space="preserve">DFAT may proactively identify some priorities </w:t>
      </w:r>
      <w:r w:rsidRPr="00A318B9">
        <w:rPr>
          <w:noProof/>
        </w:rPr>
        <w:t>e.g.</w:t>
      </w:r>
      <w:r>
        <w:t xml:space="preserve"> procurement of replacement/missing minor clinical equipment to ensure that all primary health care facilities can provide a basic range of services. If there was satisfactory progress for the remainder of Phase 2 and </w:t>
      </w:r>
      <w:r w:rsidR="009E2E05">
        <w:t>MoH</w:t>
      </w:r>
      <w:r>
        <w:t xml:space="preserve"> remained enthusiastic about the PEHS, </w:t>
      </w:r>
      <w:r w:rsidR="006B2E5E">
        <w:t>any future Australian support</w:t>
      </w:r>
      <w:r w:rsidR="00B4756A">
        <w:t xml:space="preserve"> </w:t>
      </w:r>
      <w:r w:rsidR="006B2E5E">
        <w:t>could</w:t>
      </w:r>
      <w:r>
        <w:t xml:space="preserve"> </w:t>
      </w:r>
      <w:r w:rsidR="00916D73">
        <w:t>move towards</w:t>
      </w:r>
      <w:r>
        <w:t xml:space="preserve"> integrated </w:t>
      </w:r>
      <w:r w:rsidR="009E2E05">
        <w:t>MoH</w:t>
      </w:r>
      <w:r>
        <w:t>/program budgeting</w:t>
      </w:r>
      <w:r w:rsidR="00916D73">
        <w:t xml:space="preserve"> based on the PEHS and informed by the World Bank PASA costing</w:t>
      </w:r>
      <w:r w:rsidR="00E32DF1">
        <w:t xml:space="preserve"> of the PEHS</w:t>
      </w:r>
      <w:r>
        <w:t>.</w:t>
      </w:r>
    </w:p>
    <w:p w14:paraId="274CA390" w14:textId="77777777" w:rsidR="00DC60F9" w:rsidRPr="00DC05FD" w:rsidRDefault="00E32DF1" w:rsidP="00896F52">
      <w:pPr>
        <w:pStyle w:val="ListParagraph"/>
        <w:numPr>
          <w:ilvl w:val="0"/>
          <w:numId w:val="54"/>
        </w:numPr>
        <w:spacing w:after="120" w:line="276" w:lineRule="auto"/>
        <w:rPr>
          <w:rFonts w:ascii="Calibri" w:hAnsi="Calibri" w:cs="Calibri"/>
          <w:color w:val="000000"/>
        </w:rPr>
      </w:pPr>
      <w:r w:rsidRPr="00DC05FD">
        <w:rPr>
          <w:b/>
          <w:i/>
          <w:lang w:val="en-AU"/>
        </w:rPr>
        <w:t xml:space="preserve">It </w:t>
      </w:r>
      <w:r w:rsidRPr="00DC05FD">
        <w:rPr>
          <w:b/>
          <w:i/>
          <w:noProof/>
          <w:lang w:val="en-AU"/>
        </w:rPr>
        <w:t>is recommended</w:t>
      </w:r>
      <w:r w:rsidRPr="00DC05FD">
        <w:rPr>
          <w:b/>
          <w:i/>
          <w:lang w:val="en-AU"/>
        </w:rPr>
        <w:t xml:space="preserve"> that THSSP2 annual planning continues in parallel with MoH annual planning until the end of Phase </w:t>
      </w:r>
      <w:r w:rsidRPr="00DC05FD">
        <w:rPr>
          <w:b/>
          <w:i/>
          <w:noProof/>
          <w:lang w:val="en-AU"/>
        </w:rPr>
        <w:t>2,</w:t>
      </w:r>
      <w:r w:rsidRPr="00DC05FD">
        <w:rPr>
          <w:b/>
          <w:i/>
          <w:lang w:val="en-AU"/>
        </w:rPr>
        <w:t xml:space="preserve"> and that </w:t>
      </w:r>
      <w:r w:rsidRPr="00DC05FD">
        <w:rPr>
          <w:b/>
          <w:i/>
        </w:rPr>
        <w:t>future Australian aid works towards integrated MoH/THSSP annual planning.</w:t>
      </w:r>
      <w:r w:rsidRPr="00DC05FD">
        <w:rPr>
          <w:b/>
          <w:i/>
        </w:rPr>
        <w:br/>
      </w:r>
      <w:r w:rsidRPr="00DC05FD">
        <w:rPr>
          <w:lang w:val="en-AU"/>
        </w:rPr>
        <w:t>Recognising MoH capacity issues and the fact that there is only one full budget cycle</w:t>
      </w:r>
      <w:r w:rsidR="00B61DFB">
        <w:rPr>
          <w:lang w:val="en-AU"/>
        </w:rPr>
        <w:t xml:space="preserve"> </w:t>
      </w:r>
      <w:r w:rsidRPr="00DC05FD">
        <w:rPr>
          <w:lang w:val="en-AU"/>
        </w:rPr>
        <w:t xml:space="preserve">remaining in Phase 2, the evaluation team cannot see value in changing THSSP2 budgeting arrangements. It </w:t>
      </w:r>
      <w:r w:rsidRPr="00DC05FD">
        <w:rPr>
          <w:noProof/>
          <w:lang w:val="en-AU"/>
        </w:rPr>
        <w:t>is therefore recommended</w:t>
      </w:r>
      <w:r w:rsidRPr="00DC05FD">
        <w:rPr>
          <w:lang w:val="en-AU"/>
        </w:rPr>
        <w:t xml:space="preserve"> that the parallel annual planning arrangement continue un</w:t>
      </w:r>
      <w:r w:rsidR="00B61DFB">
        <w:rPr>
          <w:lang w:val="en-AU"/>
        </w:rPr>
        <w:t>t</w:t>
      </w:r>
      <w:r w:rsidRPr="00DC05FD">
        <w:rPr>
          <w:lang w:val="en-AU"/>
        </w:rPr>
        <w:t xml:space="preserve">il </w:t>
      </w:r>
      <w:r w:rsidRPr="00DC05FD">
        <w:rPr>
          <w:noProof/>
          <w:lang w:val="en-AU"/>
        </w:rPr>
        <w:t>end</w:t>
      </w:r>
      <w:r w:rsidRPr="00DC05FD">
        <w:rPr>
          <w:lang w:val="en-AU"/>
        </w:rPr>
        <w:t xml:space="preserve"> of the current phase, and </w:t>
      </w:r>
      <w:r w:rsidR="00DC60F9" w:rsidRPr="00DC05FD">
        <w:rPr>
          <w:rFonts w:ascii="Calibri" w:hAnsi="Calibri" w:cs="Calibri"/>
          <w:noProof/>
          <w:color w:val="000000"/>
        </w:rPr>
        <w:t>be integrated</w:t>
      </w:r>
      <w:r w:rsidR="00DC60F9" w:rsidRPr="00DC05FD">
        <w:rPr>
          <w:rFonts w:ascii="Calibri" w:hAnsi="Calibri" w:cs="Calibri"/>
          <w:color w:val="000000"/>
        </w:rPr>
        <w:t xml:space="preserve"> into the </w:t>
      </w:r>
      <w:r w:rsidR="009E2E05" w:rsidRPr="00DC05FD">
        <w:rPr>
          <w:rFonts w:ascii="Calibri" w:hAnsi="Calibri" w:cs="Calibri"/>
          <w:color w:val="000000"/>
        </w:rPr>
        <w:t>MoH</w:t>
      </w:r>
      <w:r w:rsidR="00DC60F9" w:rsidRPr="00DC05FD">
        <w:rPr>
          <w:rFonts w:ascii="Calibri" w:hAnsi="Calibri" w:cs="Calibri"/>
          <w:color w:val="000000"/>
        </w:rPr>
        <w:t xml:space="preserve"> budgeting process in the l</w:t>
      </w:r>
      <w:r w:rsidR="00B61DFB">
        <w:rPr>
          <w:rFonts w:ascii="Calibri" w:hAnsi="Calibri" w:cs="Calibri"/>
          <w:color w:val="000000"/>
        </w:rPr>
        <w:t>o</w:t>
      </w:r>
      <w:r w:rsidR="00DC60F9" w:rsidRPr="00DC05FD">
        <w:rPr>
          <w:rFonts w:ascii="Calibri" w:hAnsi="Calibri" w:cs="Calibri"/>
          <w:color w:val="000000"/>
        </w:rPr>
        <w:t>nger term</w:t>
      </w:r>
      <w:r w:rsidRPr="00DC05FD">
        <w:rPr>
          <w:rFonts w:ascii="Calibri" w:hAnsi="Calibri" w:cs="Calibri"/>
          <w:color w:val="000000"/>
        </w:rPr>
        <w:t>. F</w:t>
      </w:r>
      <w:r w:rsidR="00DC60F9" w:rsidRPr="00DC05FD">
        <w:rPr>
          <w:rFonts w:ascii="Calibri" w:hAnsi="Calibri" w:cs="Calibri"/>
          <w:color w:val="000000"/>
        </w:rPr>
        <w:t xml:space="preserve">uture DFAT support should </w:t>
      </w:r>
      <w:r w:rsidR="00DC60F9" w:rsidRPr="00DC05FD">
        <w:rPr>
          <w:rFonts w:ascii="Calibri" w:hAnsi="Calibri" w:cs="Calibri"/>
          <w:noProof/>
          <w:color w:val="000000"/>
        </w:rPr>
        <w:t>be based</w:t>
      </w:r>
      <w:r w:rsidR="00DC60F9" w:rsidRPr="00DC05FD">
        <w:rPr>
          <w:rFonts w:ascii="Calibri" w:hAnsi="Calibri" w:cs="Calibri"/>
          <w:color w:val="000000"/>
        </w:rPr>
        <w:t xml:space="preserve"> upon a </w:t>
      </w:r>
      <w:r w:rsidR="00DC60F9" w:rsidRPr="00DC05FD">
        <w:rPr>
          <w:lang w:val="en-AU"/>
        </w:rPr>
        <w:t>Tonga health sector medium</w:t>
      </w:r>
      <w:r w:rsidR="00C83F3F" w:rsidRPr="00DC05FD">
        <w:rPr>
          <w:lang w:val="en-AU"/>
        </w:rPr>
        <w:t>-</w:t>
      </w:r>
      <w:r w:rsidR="00DC60F9" w:rsidRPr="00DC05FD">
        <w:rPr>
          <w:lang w:val="en-AU"/>
        </w:rPr>
        <w:t xml:space="preserve">term strategic plan </w:t>
      </w:r>
      <w:r w:rsidRPr="00DC05FD">
        <w:rPr>
          <w:lang w:val="en-AU"/>
        </w:rPr>
        <w:t>and sector coordination model consistent with recommendations 2 and 3</w:t>
      </w:r>
      <w:r w:rsidR="00DC60F9" w:rsidRPr="00DC05FD">
        <w:rPr>
          <w:lang w:val="en-AU"/>
        </w:rPr>
        <w:t>.</w:t>
      </w:r>
    </w:p>
    <w:p w14:paraId="422B823C" w14:textId="77777777" w:rsidR="00DC60F9" w:rsidRPr="00226768" w:rsidRDefault="00DC60F9" w:rsidP="00226768">
      <w:pPr>
        <w:pStyle w:val="Heading3"/>
      </w:pPr>
      <w:bookmarkStart w:id="67" w:name="_Toc536205468"/>
      <w:r w:rsidRPr="00226768">
        <w:t>Program oversight and engagement</w:t>
      </w:r>
      <w:bookmarkEnd w:id="67"/>
    </w:p>
    <w:p w14:paraId="1A30171C" w14:textId="77777777" w:rsidR="000D0727" w:rsidRPr="000D0727" w:rsidRDefault="007A0491" w:rsidP="00896F52">
      <w:pPr>
        <w:pStyle w:val="ListParagraph"/>
        <w:numPr>
          <w:ilvl w:val="0"/>
          <w:numId w:val="54"/>
        </w:numPr>
        <w:spacing w:after="120" w:line="276" w:lineRule="auto"/>
        <w:ind w:left="385" w:hanging="357"/>
        <w:contextualSpacing w:val="0"/>
        <w:rPr>
          <w:rFonts w:ascii="Calibri" w:hAnsi="Calibri" w:cs="Calibri"/>
          <w:color w:val="000000"/>
        </w:rPr>
      </w:pPr>
      <w:r w:rsidRPr="00550647">
        <w:rPr>
          <w:b/>
          <w:i/>
          <w:lang w:val="en-AU"/>
        </w:rPr>
        <w:t xml:space="preserve">It </w:t>
      </w:r>
      <w:r w:rsidRPr="00A318B9">
        <w:rPr>
          <w:b/>
          <w:i/>
          <w:noProof/>
          <w:lang w:val="en-AU"/>
        </w:rPr>
        <w:t>is recommended</w:t>
      </w:r>
      <w:r w:rsidRPr="00550647">
        <w:rPr>
          <w:b/>
          <w:i/>
          <w:lang w:val="en-AU"/>
        </w:rPr>
        <w:t xml:space="preserve"> that THSSP2 program oversight is re-assigned to the MoH level for the remainder of Phase 2.</w:t>
      </w:r>
      <w:r w:rsidRPr="00550647">
        <w:rPr>
          <w:b/>
          <w:i/>
          <w:lang w:val="en-AU"/>
        </w:rPr>
        <w:br/>
      </w:r>
      <w:r w:rsidR="00DC60F9" w:rsidRPr="009461CD">
        <w:rPr>
          <w:lang w:val="en-AU"/>
        </w:rPr>
        <w:t xml:space="preserve">The NHDC has proven to be </w:t>
      </w:r>
      <w:r w:rsidR="00DC60F9">
        <w:rPr>
          <w:lang w:val="en-AU"/>
        </w:rPr>
        <w:t xml:space="preserve">an inappropriate body for </w:t>
      </w:r>
      <w:r w:rsidR="00A445D7">
        <w:rPr>
          <w:lang w:val="en-AU"/>
        </w:rPr>
        <w:t xml:space="preserve">THSSP2 </w:t>
      </w:r>
      <w:r w:rsidR="00DC60F9">
        <w:rPr>
          <w:lang w:val="en-AU"/>
        </w:rPr>
        <w:t xml:space="preserve">program oversight and </w:t>
      </w:r>
      <w:r w:rsidR="00DC60F9" w:rsidRPr="009461CD">
        <w:rPr>
          <w:lang w:val="en-AU"/>
        </w:rPr>
        <w:t>high-level policy dialogue.</w:t>
      </w:r>
      <w:r>
        <w:rPr>
          <w:lang w:val="en-AU"/>
        </w:rPr>
        <w:t xml:space="preserve"> Under the circumstances, a</w:t>
      </w:r>
      <w:r w:rsidR="00DC60F9">
        <w:rPr>
          <w:lang w:val="en-AU"/>
        </w:rPr>
        <w:t xml:space="preserve"> small committee comprising the CEOs of </w:t>
      </w:r>
      <w:r w:rsidR="009E2E05">
        <w:rPr>
          <w:lang w:val="en-AU"/>
        </w:rPr>
        <w:t>MoH</w:t>
      </w:r>
      <w:r w:rsidR="00DC60F9">
        <w:rPr>
          <w:lang w:val="en-AU"/>
        </w:rPr>
        <w:t xml:space="preserve"> and TongaHealth, DFAT, and MoF (aid coordination)</w:t>
      </w:r>
      <w:r>
        <w:rPr>
          <w:lang w:val="en-AU"/>
        </w:rPr>
        <w:t xml:space="preserve"> will provide DFAT with a more practical device for oversight</w:t>
      </w:r>
      <w:r w:rsidR="00DC60F9">
        <w:rPr>
          <w:lang w:val="en-AU"/>
        </w:rPr>
        <w:t xml:space="preserve">. </w:t>
      </w:r>
      <w:r>
        <w:rPr>
          <w:lang w:val="en-AU"/>
        </w:rPr>
        <w:t>As already stated in recommendation 3, i</w:t>
      </w:r>
      <w:r w:rsidR="00DC60F9">
        <w:rPr>
          <w:lang w:val="en-AU"/>
        </w:rPr>
        <w:t xml:space="preserve">t </w:t>
      </w:r>
      <w:r>
        <w:rPr>
          <w:lang w:val="en-AU"/>
        </w:rPr>
        <w:t>is</w:t>
      </w:r>
      <w:r w:rsidR="00DC60F9">
        <w:rPr>
          <w:lang w:val="en-AU"/>
        </w:rPr>
        <w:t xml:space="preserve"> desirable to progress towards a sectoral coordination forum in </w:t>
      </w:r>
      <w:r w:rsidR="00B607D3">
        <w:rPr>
          <w:lang w:val="en-AU"/>
        </w:rPr>
        <w:t>any future Australian support</w:t>
      </w:r>
      <w:r w:rsidR="00DC60F9">
        <w:rPr>
          <w:lang w:val="en-AU"/>
        </w:rPr>
        <w:t xml:space="preserve"> inclusive of all development partners.</w:t>
      </w:r>
      <w:r w:rsidR="00EE6309">
        <w:rPr>
          <w:lang w:val="en-AU"/>
        </w:rPr>
        <w:t xml:space="preserve"> </w:t>
      </w:r>
      <w:r>
        <w:rPr>
          <w:lang w:val="en-AU"/>
        </w:rPr>
        <w:t>(R</w:t>
      </w:r>
      <w:r w:rsidR="00EE6309">
        <w:rPr>
          <w:lang w:val="en-AU"/>
        </w:rPr>
        <w:t xml:space="preserve">ecommendation </w:t>
      </w:r>
      <w:r>
        <w:rPr>
          <w:lang w:val="en-AU"/>
        </w:rPr>
        <w:t xml:space="preserve">5 </w:t>
      </w:r>
      <w:r w:rsidR="00EE6309">
        <w:rPr>
          <w:lang w:val="en-AU"/>
        </w:rPr>
        <w:t xml:space="preserve">is not intended </w:t>
      </w:r>
      <w:r>
        <w:rPr>
          <w:lang w:val="en-AU"/>
        </w:rPr>
        <w:t xml:space="preserve">to address </w:t>
      </w:r>
      <w:r w:rsidR="00EE6309">
        <w:rPr>
          <w:lang w:val="en-AU"/>
        </w:rPr>
        <w:t xml:space="preserve">MoH governance more </w:t>
      </w:r>
      <w:r>
        <w:rPr>
          <w:lang w:val="en-AU"/>
        </w:rPr>
        <w:t>broadly although the section on ‘Governance’ in sub-</w:t>
      </w:r>
      <w:r w:rsidR="00320EA8">
        <w:rPr>
          <w:lang w:val="en-AU"/>
        </w:rPr>
        <w:t>section</w:t>
      </w:r>
      <w:r>
        <w:rPr>
          <w:lang w:val="en-AU"/>
        </w:rPr>
        <w:t xml:space="preserve"> 3.2 does describe whole of GoT issues concerning the frequency of meetings at </w:t>
      </w:r>
      <w:r w:rsidRPr="00A318B9">
        <w:rPr>
          <w:noProof/>
          <w:lang w:val="en-AU"/>
        </w:rPr>
        <w:t>executive</w:t>
      </w:r>
      <w:r>
        <w:rPr>
          <w:lang w:val="en-AU"/>
        </w:rPr>
        <w:t xml:space="preserve"> level.)</w:t>
      </w:r>
    </w:p>
    <w:p w14:paraId="41F34272" w14:textId="77777777" w:rsidR="00DC60F9" w:rsidRPr="000078B5" w:rsidRDefault="00716DB4" w:rsidP="00896F52">
      <w:pPr>
        <w:pStyle w:val="ListParagraph"/>
        <w:numPr>
          <w:ilvl w:val="0"/>
          <w:numId w:val="54"/>
        </w:numPr>
        <w:spacing w:after="120" w:line="276" w:lineRule="auto"/>
        <w:ind w:left="385" w:hanging="357"/>
        <w:contextualSpacing w:val="0"/>
        <w:rPr>
          <w:rFonts w:ascii="Calibri" w:hAnsi="Calibri" w:cs="Calibri"/>
          <w:color w:val="000000"/>
        </w:rPr>
      </w:pPr>
      <w:r w:rsidRPr="006A5874">
        <w:rPr>
          <w:b/>
          <w:i/>
          <w:lang w:val="en-AU"/>
        </w:rPr>
        <w:t xml:space="preserve">It </w:t>
      </w:r>
      <w:r w:rsidRPr="00A318B9">
        <w:rPr>
          <w:b/>
          <w:i/>
          <w:noProof/>
          <w:lang w:val="en-AU"/>
        </w:rPr>
        <w:t>is recommended</w:t>
      </w:r>
      <w:r w:rsidRPr="006A5874">
        <w:rPr>
          <w:b/>
          <w:i/>
          <w:lang w:val="en-AU"/>
        </w:rPr>
        <w:t xml:space="preserve"> that THSSP2 progress reporting </w:t>
      </w:r>
      <w:r w:rsidR="004372E2">
        <w:rPr>
          <w:b/>
          <w:i/>
          <w:lang w:val="en-AU"/>
        </w:rPr>
        <w:t xml:space="preserve">and acquittal procedures </w:t>
      </w:r>
      <w:r w:rsidRPr="006A5874">
        <w:rPr>
          <w:b/>
          <w:i/>
          <w:lang w:val="en-AU"/>
        </w:rPr>
        <w:t>be simplified.</w:t>
      </w:r>
      <w:r w:rsidR="00920D03" w:rsidRPr="00CB0290">
        <w:rPr>
          <w:b/>
          <w:i/>
          <w:lang w:val="en-AU"/>
        </w:rPr>
        <w:br/>
      </w:r>
      <w:r>
        <w:rPr>
          <w:lang w:val="en-AU"/>
        </w:rPr>
        <w:t xml:space="preserve">The current situation in which MoH is failing to provide agreed information for quarterly progress reports and M&amp;E Framework indicators is unacceptable. </w:t>
      </w:r>
      <w:r w:rsidRPr="00A318B9">
        <w:rPr>
          <w:noProof/>
          <w:lang w:val="en-AU"/>
        </w:rPr>
        <w:t>Clearly</w:t>
      </w:r>
      <w:r>
        <w:rPr>
          <w:lang w:val="en-AU"/>
        </w:rPr>
        <w:t xml:space="preserve"> THSSP2 contributes to </w:t>
      </w:r>
      <w:r>
        <w:rPr>
          <w:lang w:val="en-AU"/>
        </w:rPr>
        <w:lastRenderedPageBreak/>
        <w:t xml:space="preserve">the situation with an excessively complex M&amp;E Framework (see recommendation </w:t>
      </w:r>
      <w:r w:rsidRPr="00A318B9">
        <w:rPr>
          <w:noProof/>
          <w:lang w:val="en-AU"/>
        </w:rPr>
        <w:t>9</w:t>
      </w:r>
      <w:r>
        <w:rPr>
          <w:lang w:val="en-AU"/>
        </w:rPr>
        <w:t xml:space="preserve"> below) and progress reporting requirements that </w:t>
      </w:r>
      <w:r w:rsidR="002845DD">
        <w:rPr>
          <w:lang w:val="en-AU"/>
        </w:rPr>
        <w:t>don’t reflect actual capacity to report.</w:t>
      </w:r>
      <w:r>
        <w:rPr>
          <w:lang w:val="en-AU"/>
        </w:rPr>
        <w:t xml:space="preserve"> For the remainder of Phase </w:t>
      </w:r>
      <w:r w:rsidRPr="00A318B9">
        <w:rPr>
          <w:noProof/>
          <w:lang w:val="en-AU"/>
        </w:rPr>
        <w:t>2</w:t>
      </w:r>
      <w:r>
        <w:rPr>
          <w:lang w:val="en-AU"/>
        </w:rPr>
        <w:t xml:space="preserve"> it is recommended that progress reporting be simplified</w:t>
      </w:r>
      <w:r w:rsidR="00881933">
        <w:rPr>
          <w:lang w:val="en-AU"/>
        </w:rPr>
        <w:t xml:space="preserve"> and that there be </w:t>
      </w:r>
      <w:r w:rsidR="00881933" w:rsidRPr="00A318B9">
        <w:rPr>
          <w:noProof/>
          <w:lang w:val="en-AU"/>
        </w:rPr>
        <w:t>investigation</w:t>
      </w:r>
      <w:r w:rsidR="00881933">
        <w:rPr>
          <w:lang w:val="en-AU"/>
        </w:rPr>
        <w:t xml:space="preserve"> of ways to simplify the acquittal process (to reduce the time that DFAT Program Managers spend on post hoc reviewing of acquittal documentation)</w:t>
      </w:r>
      <w:r w:rsidR="00DC60F9" w:rsidRPr="009461CD">
        <w:rPr>
          <w:lang w:val="en-AU"/>
        </w:rPr>
        <w:t>.</w:t>
      </w:r>
    </w:p>
    <w:p w14:paraId="2C48EEE0" w14:textId="77777777" w:rsidR="00DC60F9" w:rsidRPr="002F2A6B" w:rsidRDefault="00716DB4" w:rsidP="00896F52">
      <w:pPr>
        <w:pStyle w:val="ListParagraph"/>
        <w:numPr>
          <w:ilvl w:val="0"/>
          <w:numId w:val="54"/>
        </w:numPr>
        <w:spacing w:after="120" w:line="276" w:lineRule="auto"/>
        <w:rPr>
          <w:rFonts w:ascii="Calibri" w:hAnsi="Calibri" w:cs="Calibri"/>
          <w:color w:val="000000"/>
        </w:rPr>
      </w:pPr>
      <w:r w:rsidRPr="00CB0290">
        <w:rPr>
          <w:b/>
          <w:i/>
          <w:lang w:val="en-AU"/>
        </w:rPr>
        <w:t xml:space="preserve">It </w:t>
      </w:r>
      <w:r w:rsidRPr="00A318B9">
        <w:rPr>
          <w:b/>
          <w:i/>
          <w:noProof/>
          <w:lang w:val="en-AU"/>
        </w:rPr>
        <w:t>is recommended</w:t>
      </w:r>
      <w:r w:rsidRPr="00CB0290">
        <w:rPr>
          <w:b/>
          <w:i/>
          <w:lang w:val="en-AU"/>
        </w:rPr>
        <w:t xml:space="preserve"> that</w:t>
      </w:r>
      <w:r>
        <w:rPr>
          <w:b/>
          <w:i/>
          <w:lang w:val="en-AU"/>
        </w:rPr>
        <w:t xml:space="preserve"> </w:t>
      </w:r>
      <w:r w:rsidRPr="00CB0290">
        <w:rPr>
          <w:b/>
          <w:i/>
          <w:lang w:val="en-AU"/>
        </w:rPr>
        <w:t xml:space="preserve">the criteria for </w:t>
      </w:r>
      <w:r>
        <w:rPr>
          <w:b/>
          <w:i/>
          <w:lang w:val="en-AU"/>
        </w:rPr>
        <w:t xml:space="preserve">the performance-based </w:t>
      </w:r>
      <w:r w:rsidRPr="00CB0290">
        <w:rPr>
          <w:b/>
          <w:i/>
          <w:lang w:val="en-AU"/>
        </w:rPr>
        <w:t>payment be simplified, worded more explicitly, and focused on fewer themes.</w:t>
      </w:r>
      <w:r w:rsidR="00920D03" w:rsidRPr="00CB0290">
        <w:rPr>
          <w:b/>
          <w:i/>
          <w:lang w:val="en-AU"/>
        </w:rPr>
        <w:br/>
      </w:r>
      <w:r w:rsidRPr="009461CD">
        <w:rPr>
          <w:lang w:val="en-AU"/>
        </w:rPr>
        <w:t xml:space="preserve">The </w:t>
      </w:r>
      <w:r>
        <w:rPr>
          <w:lang w:val="en-AU"/>
        </w:rPr>
        <w:t xml:space="preserve">evaluation found that the </w:t>
      </w:r>
      <w:r w:rsidRPr="009461CD">
        <w:rPr>
          <w:lang w:val="en-AU"/>
        </w:rPr>
        <w:t>performance-based payment ha</w:t>
      </w:r>
      <w:r>
        <w:rPr>
          <w:lang w:val="en-AU"/>
        </w:rPr>
        <w:t>d</w:t>
      </w:r>
      <w:r w:rsidRPr="009461CD">
        <w:rPr>
          <w:lang w:val="en-AU"/>
        </w:rPr>
        <w:t xml:space="preserve"> been ineffective as an incentive</w:t>
      </w:r>
      <w:r>
        <w:rPr>
          <w:lang w:val="en-AU"/>
        </w:rPr>
        <w:t>, and attributed this outcome in part to the complexity of the criteria</w:t>
      </w:r>
      <w:r w:rsidR="003378AA">
        <w:rPr>
          <w:lang w:val="en-AU"/>
        </w:rPr>
        <w:t xml:space="preserve"> (the other main contributing factor being the lack of DFAT engagement with the NHDC)</w:t>
      </w:r>
      <w:r>
        <w:rPr>
          <w:lang w:val="en-AU"/>
        </w:rPr>
        <w:t xml:space="preserve">. </w:t>
      </w:r>
      <w:r w:rsidR="009F3302">
        <w:rPr>
          <w:lang w:val="en-AU"/>
        </w:rPr>
        <w:t xml:space="preserve">Two or three criteria would be preferable to the current eight. </w:t>
      </w:r>
      <w:r w:rsidR="00677E7C">
        <w:rPr>
          <w:lang w:val="en-AU"/>
        </w:rPr>
        <w:t xml:space="preserve">MoH </w:t>
      </w:r>
      <w:r w:rsidR="00920D03">
        <w:rPr>
          <w:lang w:val="en-AU"/>
        </w:rPr>
        <w:t xml:space="preserve">compliance with the simplified </w:t>
      </w:r>
      <w:r>
        <w:rPr>
          <w:lang w:val="en-AU"/>
        </w:rPr>
        <w:t xml:space="preserve">progress reporting </w:t>
      </w:r>
      <w:r w:rsidR="009D6A0C">
        <w:rPr>
          <w:lang w:val="en-AU"/>
        </w:rPr>
        <w:t xml:space="preserve">and performance monitoring </w:t>
      </w:r>
      <w:r>
        <w:rPr>
          <w:lang w:val="en-AU"/>
        </w:rPr>
        <w:t>(</w:t>
      </w:r>
      <w:r w:rsidRPr="00454539">
        <w:rPr>
          <w:lang w:val="en-AU"/>
        </w:rPr>
        <w:t>recommendation</w:t>
      </w:r>
      <w:r w:rsidR="009D6A0C" w:rsidRPr="00454539">
        <w:rPr>
          <w:lang w:val="en-AU"/>
        </w:rPr>
        <w:t>s</w:t>
      </w:r>
      <w:r w:rsidRPr="00454539">
        <w:rPr>
          <w:lang w:val="en-AU"/>
        </w:rPr>
        <w:t xml:space="preserve"> </w:t>
      </w:r>
      <w:r w:rsidR="009D6A0C" w:rsidRPr="00454539">
        <w:rPr>
          <w:lang w:val="en-AU"/>
        </w:rPr>
        <w:t xml:space="preserve">5 and </w:t>
      </w:r>
      <w:r w:rsidRPr="00454539">
        <w:rPr>
          <w:lang w:val="en-AU"/>
        </w:rPr>
        <w:t>7</w:t>
      </w:r>
      <w:r w:rsidR="00F06E97" w:rsidRPr="00454539">
        <w:rPr>
          <w:lang w:val="en-AU"/>
        </w:rPr>
        <w:t xml:space="preserve">) </w:t>
      </w:r>
      <w:r w:rsidRPr="00454539">
        <w:rPr>
          <w:lang w:val="en-AU"/>
        </w:rPr>
        <w:t>should</w:t>
      </w:r>
      <w:r>
        <w:rPr>
          <w:lang w:val="en-AU"/>
        </w:rPr>
        <w:t xml:space="preserve"> be a criterion.</w:t>
      </w:r>
    </w:p>
    <w:p w14:paraId="0500CA97" w14:textId="77777777" w:rsidR="00DC60F9" w:rsidRPr="00091B41" w:rsidRDefault="00DC60F9" w:rsidP="00091B41">
      <w:pPr>
        <w:pStyle w:val="Heading3"/>
      </w:pPr>
      <w:bookmarkStart w:id="68" w:name="_Toc536205469"/>
      <w:r w:rsidRPr="00091B41">
        <w:t>Program performance measurement</w:t>
      </w:r>
      <w:bookmarkEnd w:id="68"/>
    </w:p>
    <w:p w14:paraId="0A68B3B6" w14:textId="77777777" w:rsidR="00DC60F9" w:rsidRPr="002A223D" w:rsidRDefault="00716DB4" w:rsidP="00896F52">
      <w:pPr>
        <w:pStyle w:val="ListParagraph"/>
        <w:numPr>
          <w:ilvl w:val="0"/>
          <w:numId w:val="54"/>
        </w:numPr>
        <w:spacing w:after="120" w:line="276" w:lineRule="auto"/>
        <w:rPr>
          <w:rFonts w:ascii="Calibri" w:hAnsi="Calibri" w:cs="Calibri"/>
          <w:color w:val="000000"/>
        </w:rPr>
      </w:pPr>
      <w:r w:rsidRPr="00CB0290">
        <w:rPr>
          <w:b/>
          <w:i/>
          <w:lang w:val="en-AU"/>
        </w:rPr>
        <w:t xml:space="preserve">It </w:t>
      </w:r>
      <w:r w:rsidRPr="00A318B9">
        <w:rPr>
          <w:b/>
          <w:i/>
          <w:noProof/>
          <w:lang w:val="en-AU"/>
        </w:rPr>
        <w:t>is recommended</w:t>
      </w:r>
      <w:r w:rsidRPr="00CB0290">
        <w:rPr>
          <w:b/>
          <w:i/>
          <w:lang w:val="en-AU"/>
        </w:rPr>
        <w:t xml:space="preserve"> that </w:t>
      </w:r>
      <w:r w:rsidR="009F3302">
        <w:rPr>
          <w:b/>
          <w:i/>
          <w:lang w:val="en-AU"/>
        </w:rPr>
        <w:t>DFAT adopts a more pragmatic approach towards THSSP2 performance measurement for the remainder of Phase 2.</w:t>
      </w:r>
      <w:r w:rsidRPr="00CB0290">
        <w:rPr>
          <w:b/>
          <w:i/>
          <w:lang w:val="en-AU"/>
        </w:rPr>
        <w:br/>
      </w:r>
      <w:r w:rsidR="002A223D" w:rsidRPr="00B26881">
        <w:rPr>
          <w:lang w:val="en-AU"/>
        </w:rPr>
        <w:t xml:space="preserve">The evaluation team considered that </w:t>
      </w:r>
      <w:r w:rsidR="002A223D">
        <w:rPr>
          <w:lang w:val="en-AU"/>
        </w:rPr>
        <w:t xml:space="preserve">there is a need to </w:t>
      </w:r>
      <w:r w:rsidR="00C47C0F">
        <w:rPr>
          <w:lang w:val="en-AU"/>
        </w:rPr>
        <w:t xml:space="preserve">be more pragmatic about </w:t>
      </w:r>
      <w:r w:rsidR="002A223D" w:rsidRPr="00B26881">
        <w:rPr>
          <w:lang w:val="en-AU"/>
        </w:rPr>
        <w:t xml:space="preserve">program M&amp;E </w:t>
      </w:r>
      <w:r w:rsidR="002A223D">
        <w:rPr>
          <w:lang w:val="en-AU"/>
        </w:rPr>
        <w:t xml:space="preserve">to ensure that MoH and DFAT receive practical and timely information on program performance. At the same time, there is a requirement to </w:t>
      </w:r>
      <w:r w:rsidR="00C47C0F">
        <w:rPr>
          <w:lang w:val="en-AU"/>
        </w:rPr>
        <w:t xml:space="preserve">continue to </w:t>
      </w:r>
      <w:r w:rsidR="002A223D" w:rsidRPr="00B26881">
        <w:rPr>
          <w:lang w:val="en-AU"/>
        </w:rPr>
        <w:t>capture progress towards long-term changes in NCD risk factors</w:t>
      </w:r>
      <w:r w:rsidR="002A223D">
        <w:rPr>
          <w:lang w:val="en-AU"/>
        </w:rPr>
        <w:t xml:space="preserve"> using the periodic STEPS surveys for which reporting is typically extensively delayed. </w:t>
      </w:r>
      <w:r w:rsidR="00DC60F9" w:rsidRPr="002A223D">
        <w:rPr>
          <w:lang w:val="en-AU"/>
        </w:rPr>
        <w:t xml:space="preserve">The </w:t>
      </w:r>
      <w:r w:rsidR="009F3302" w:rsidRPr="002A223D">
        <w:rPr>
          <w:lang w:val="en-AU"/>
        </w:rPr>
        <w:t xml:space="preserve">midterm evaluation </w:t>
      </w:r>
      <w:r w:rsidR="009F3302" w:rsidRPr="00A318B9">
        <w:rPr>
          <w:noProof/>
          <w:lang w:val="en-AU"/>
        </w:rPr>
        <w:t>was extremely challenged</w:t>
      </w:r>
      <w:r w:rsidR="009F3302" w:rsidRPr="002A223D">
        <w:rPr>
          <w:lang w:val="en-AU"/>
        </w:rPr>
        <w:t xml:space="preserve"> by </w:t>
      </w:r>
      <w:r w:rsidR="00A149CA" w:rsidRPr="002A223D">
        <w:rPr>
          <w:lang w:val="en-AU"/>
        </w:rPr>
        <w:t xml:space="preserve">the task of collecting performance measures that were </w:t>
      </w:r>
      <w:r w:rsidR="002A223D">
        <w:rPr>
          <w:lang w:val="en-AU"/>
        </w:rPr>
        <w:t xml:space="preserve">simply not readily available. </w:t>
      </w:r>
      <w:r w:rsidR="00245BD3" w:rsidRPr="002A223D">
        <w:rPr>
          <w:lang w:val="en-AU"/>
        </w:rPr>
        <w:t>I</w:t>
      </w:r>
      <w:r w:rsidR="00DC60F9" w:rsidRPr="002A223D">
        <w:rPr>
          <w:lang w:val="en-AU"/>
        </w:rPr>
        <w:t xml:space="preserve">t </w:t>
      </w:r>
      <w:r w:rsidR="00DC60F9" w:rsidRPr="00A318B9">
        <w:rPr>
          <w:noProof/>
          <w:lang w:val="en-AU"/>
        </w:rPr>
        <w:t>is recommended</w:t>
      </w:r>
      <w:r w:rsidR="00DC60F9" w:rsidRPr="002A223D">
        <w:rPr>
          <w:lang w:val="en-AU"/>
        </w:rPr>
        <w:t xml:space="preserve"> that one of the following options </w:t>
      </w:r>
      <w:r w:rsidR="00DC60F9" w:rsidRPr="00A318B9">
        <w:rPr>
          <w:noProof/>
          <w:lang w:val="en-AU"/>
        </w:rPr>
        <w:t>be adopted</w:t>
      </w:r>
      <w:r w:rsidR="00DC60F9" w:rsidRPr="002A223D">
        <w:rPr>
          <w:lang w:val="en-AU"/>
        </w:rPr>
        <w:t xml:space="preserve"> for the remainder of THSSP2:</w:t>
      </w:r>
    </w:p>
    <w:p w14:paraId="6DC31113" w14:textId="77777777" w:rsidR="00DC60F9" w:rsidRPr="001F6EEE" w:rsidRDefault="00DC60F9" w:rsidP="00896F52">
      <w:pPr>
        <w:numPr>
          <w:ilvl w:val="0"/>
          <w:numId w:val="17"/>
        </w:numPr>
      </w:pPr>
      <w:r w:rsidRPr="001F6EEE">
        <w:rPr>
          <w:lang w:val="en-AU"/>
        </w:rPr>
        <w:t xml:space="preserve">Retain the existing </w:t>
      </w:r>
      <w:r w:rsidR="009F3302">
        <w:rPr>
          <w:lang w:val="en-AU"/>
        </w:rPr>
        <w:t>M&amp;E F</w:t>
      </w:r>
      <w:r w:rsidR="009F3302" w:rsidRPr="001F6EEE">
        <w:rPr>
          <w:lang w:val="en-AU"/>
        </w:rPr>
        <w:t xml:space="preserve">ramework </w:t>
      </w:r>
      <w:r w:rsidRPr="001F6EEE">
        <w:rPr>
          <w:lang w:val="en-AU"/>
        </w:rPr>
        <w:t xml:space="preserve">in its entirety and commission a </w:t>
      </w:r>
      <w:r w:rsidR="002A223D">
        <w:rPr>
          <w:lang w:val="en-AU"/>
        </w:rPr>
        <w:t>dedicated</w:t>
      </w:r>
      <w:r w:rsidRPr="001F6EEE">
        <w:rPr>
          <w:lang w:val="en-AU"/>
        </w:rPr>
        <w:t xml:space="preserve"> data collection consultancy </w:t>
      </w:r>
      <w:r w:rsidRPr="00A318B9">
        <w:rPr>
          <w:noProof/>
          <w:lang w:val="en-AU"/>
        </w:rPr>
        <w:t>prior to</w:t>
      </w:r>
      <w:r w:rsidRPr="001F6EEE">
        <w:rPr>
          <w:lang w:val="en-AU"/>
        </w:rPr>
        <w:t xml:space="preserve"> the end of program evaluation</w:t>
      </w:r>
    </w:p>
    <w:p w14:paraId="6F72FC70" w14:textId="77777777" w:rsidR="00DC60F9" w:rsidRPr="001F6EEE" w:rsidRDefault="00DC60F9" w:rsidP="00896F52">
      <w:pPr>
        <w:numPr>
          <w:ilvl w:val="0"/>
          <w:numId w:val="17"/>
        </w:numPr>
      </w:pPr>
      <w:r w:rsidRPr="001F6EEE">
        <w:rPr>
          <w:lang w:val="en-AU"/>
        </w:rPr>
        <w:t xml:space="preserve">Identify around 20 feasible and relevant measures out of the </w:t>
      </w:r>
      <w:r w:rsidR="009F3302">
        <w:rPr>
          <w:lang w:val="en-AU"/>
        </w:rPr>
        <w:t>M&amp;E F</w:t>
      </w:r>
      <w:r w:rsidR="009F3302" w:rsidRPr="001F6EEE">
        <w:rPr>
          <w:lang w:val="en-AU"/>
        </w:rPr>
        <w:t xml:space="preserve">ramework </w:t>
      </w:r>
      <w:r w:rsidRPr="001F6EEE">
        <w:rPr>
          <w:lang w:val="en-AU"/>
        </w:rPr>
        <w:t>and discontinue the remainder</w:t>
      </w:r>
    </w:p>
    <w:p w14:paraId="294B3C51" w14:textId="77777777" w:rsidR="00DC60F9" w:rsidRPr="00145D25" w:rsidRDefault="00DC60F9" w:rsidP="00896F52">
      <w:pPr>
        <w:numPr>
          <w:ilvl w:val="0"/>
          <w:numId w:val="17"/>
        </w:numPr>
      </w:pPr>
      <w:r w:rsidRPr="001F6EEE">
        <w:rPr>
          <w:lang w:val="en-AU"/>
        </w:rPr>
        <w:t xml:space="preserve">On the assumption that Australian aid health sector priorities will remain constant in the </w:t>
      </w:r>
      <w:r>
        <w:rPr>
          <w:lang w:val="en-AU"/>
        </w:rPr>
        <w:t>medium</w:t>
      </w:r>
      <w:r w:rsidR="00C83F3F">
        <w:rPr>
          <w:lang w:val="en-AU"/>
        </w:rPr>
        <w:t>-</w:t>
      </w:r>
      <w:r>
        <w:rPr>
          <w:lang w:val="en-AU"/>
        </w:rPr>
        <w:t>term</w:t>
      </w:r>
      <w:r w:rsidRPr="001F6EEE">
        <w:rPr>
          <w:lang w:val="en-AU"/>
        </w:rPr>
        <w:t xml:space="preserve">, commission a new </w:t>
      </w:r>
      <w:r w:rsidR="009F3302">
        <w:rPr>
          <w:lang w:val="en-AU"/>
        </w:rPr>
        <w:t>M&amp;E F</w:t>
      </w:r>
      <w:r w:rsidRPr="001F6EEE">
        <w:rPr>
          <w:lang w:val="en-AU"/>
        </w:rPr>
        <w:t xml:space="preserve">ramework that is more practical and aligned with </w:t>
      </w:r>
      <w:r w:rsidR="002A223D">
        <w:rPr>
          <w:lang w:val="en-AU"/>
        </w:rPr>
        <w:t xml:space="preserve">the roll-out of the PEHS, </w:t>
      </w:r>
      <w:r>
        <w:rPr>
          <w:lang w:val="en-AU"/>
        </w:rPr>
        <w:t xml:space="preserve">existing </w:t>
      </w:r>
      <w:r w:rsidRPr="001F6EEE">
        <w:rPr>
          <w:lang w:val="en-AU"/>
        </w:rPr>
        <w:t xml:space="preserve">GoT </w:t>
      </w:r>
      <w:r>
        <w:rPr>
          <w:lang w:val="en-AU"/>
        </w:rPr>
        <w:t>indicator</w:t>
      </w:r>
      <w:r w:rsidR="00C83F3F">
        <w:rPr>
          <w:lang w:val="en-AU"/>
        </w:rPr>
        <w:t>s</w:t>
      </w:r>
      <w:r>
        <w:rPr>
          <w:lang w:val="en-AU"/>
        </w:rPr>
        <w:t xml:space="preserve"> and the </w:t>
      </w:r>
      <w:r w:rsidR="009E2E05">
        <w:rPr>
          <w:lang w:val="en-AU"/>
        </w:rPr>
        <w:t>MoH</w:t>
      </w:r>
      <w:r>
        <w:rPr>
          <w:lang w:val="en-AU"/>
        </w:rPr>
        <w:t xml:space="preserve">’s </w:t>
      </w:r>
      <w:r w:rsidRPr="001F6EEE">
        <w:rPr>
          <w:lang w:val="en-AU"/>
        </w:rPr>
        <w:t>capacit</w:t>
      </w:r>
      <w:r>
        <w:rPr>
          <w:lang w:val="en-AU"/>
        </w:rPr>
        <w:t>y</w:t>
      </w:r>
      <w:r w:rsidR="002A223D">
        <w:rPr>
          <w:lang w:val="en-AU"/>
        </w:rPr>
        <w:t xml:space="preserve"> to report</w:t>
      </w:r>
      <w:r>
        <w:rPr>
          <w:lang w:val="en-AU"/>
        </w:rPr>
        <w:t>.</w:t>
      </w:r>
    </w:p>
    <w:p w14:paraId="4655AAFE" w14:textId="77777777" w:rsidR="00DC60F9" w:rsidRPr="00091B41" w:rsidRDefault="00DC60F9" w:rsidP="00091B41">
      <w:pPr>
        <w:pStyle w:val="Heading3"/>
      </w:pPr>
      <w:bookmarkStart w:id="69" w:name="_Toc536205470"/>
      <w:r w:rsidRPr="00091B41">
        <w:t>NCD prevention</w:t>
      </w:r>
      <w:bookmarkEnd w:id="69"/>
    </w:p>
    <w:p w14:paraId="5F8DBB9F" w14:textId="77777777" w:rsidR="00DC60F9" w:rsidRPr="000D00F8" w:rsidRDefault="00904624" w:rsidP="00896F52">
      <w:pPr>
        <w:pStyle w:val="ListParagraph"/>
        <w:numPr>
          <w:ilvl w:val="0"/>
          <w:numId w:val="54"/>
        </w:numPr>
        <w:spacing w:after="120" w:line="276" w:lineRule="auto"/>
        <w:ind w:left="385" w:hanging="357"/>
        <w:contextualSpacing w:val="0"/>
        <w:rPr>
          <w:rFonts w:ascii="Calibri" w:hAnsi="Calibri" w:cs="Calibri"/>
          <w:color w:val="000000"/>
        </w:rPr>
      </w:pPr>
      <w:r w:rsidRPr="007C4C1F">
        <w:rPr>
          <w:b/>
          <w:i/>
        </w:rPr>
        <w:t xml:space="preserve">It </w:t>
      </w:r>
      <w:r w:rsidRPr="00A318B9">
        <w:rPr>
          <w:b/>
          <w:i/>
          <w:noProof/>
        </w:rPr>
        <w:t>is recommended</w:t>
      </w:r>
      <w:r w:rsidRPr="007C4C1F">
        <w:rPr>
          <w:b/>
          <w:i/>
        </w:rPr>
        <w:t xml:space="preserve"> that TongaHealth’s grant application and management processes and systems be simplified and streamlined to the extent possible.</w:t>
      </w:r>
      <w:r w:rsidRPr="007C4C1F">
        <w:rPr>
          <w:b/>
          <w:i/>
        </w:rPr>
        <w:br/>
      </w:r>
      <w:r w:rsidR="00DC60F9">
        <w:t xml:space="preserve">TongaHealth has had institutional performance difficulties from time to time </w:t>
      </w:r>
      <w:r w:rsidR="00DC60F9" w:rsidRPr="00A318B9">
        <w:rPr>
          <w:noProof/>
        </w:rPr>
        <w:t>and</w:t>
      </w:r>
      <w:r w:rsidR="00DC60F9">
        <w:t xml:space="preserve"> this is likely to recur given the low capacity context and the limited availability of candidates for key roles such as finance and M&amp;E</w:t>
      </w:r>
      <w:r w:rsidR="00DC60F9" w:rsidRPr="001F6EEE">
        <w:t>.</w:t>
      </w:r>
      <w:r w:rsidR="00DC60F9">
        <w:t xml:space="preserve"> </w:t>
      </w:r>
      <w:r>
        <w:t xml:space="preserve">Furthermore, the existing grant application process is complex and potentially discourages applications. Simplification of procedures will </w:t>
      </w:r>
      <w:r w:rsidR="00DC60F9">
        <w:t>reduce risk</w:t>
      </w:r>
      <w:r>
        <w:t xml:space="preserve"> associated with institutional capacity and facilitate applications.</w:t>
      </w:r>
    </w:p>
    <w:p w14:paraId="5B63AB6F" w14:textId="77777777" w:rsidR="00535E4C" w:rsidRPr="00F06E97" w:rsidRDefault="00904624" w:rsidP="00896F52">
      <w:pPr>
        <w:pStyle w:val="ListParagraph"/>
        <w:numPr>
          <w:ilvl w:val="0"/>
          <w:numId w:val="54"/>
        </w:numPr>
        <w:spacing w:after="120" w:line="276" w:lineRule="auto"/>
        <w:ind w:left="385" w:hanging="357"/>
        <w:contextualSpacing w:val="0"/>
        <w:rPr>
          <w:rFonts w:ascii="Calibri" w:hAnsi="Calibri" w:cs="Calibri"/>
          <w:color w:val="000000"/>
        </w:rPr>
      </w:pPr>
      <w:r w:rsidRPr="007C4C1F">
        <w:rPr>
          <w:b/>
          <w:i/>
        </w:rPr>
        <w:t xml:space="preserve">It </w:t>
      </w:r>
      <w:r w:rsidRPr="00A318B9">
        <w:rPr>
          <w:b/>
          <w:i/>
          <w:noProof/>
        </w:rPr>
        <w:t>is recommended</w:t>
      </w:r>
      <w:r w:rsidRPr="007C4C1F">
        <w:rPr>
          <w:b/>
          <w:i/>
        </w:rPr>
        <w:t xml:space="preserve"> that TongaHealth proactively encourages grant applications based on strategic relevance.</w:t>
      </w:r>
      <w:r w:rsidRPr="007C4C1F">
        <w:rPr>
          <w:b/>
          <w:i/>
        </w:rPr>
        <w:br/>
      </w:r>
      <w:r w:rsidR="00DC60F9" w:rsidRPr="001F6EEE">
        <w:t>TongaHealth</w:t>
      </w:r>
      <w:r w:rsidR="00DC60F9">
        <w:t xml:space="preserve">’s existing grant application process is essentially passive and does not identify the areas that are most strategic for implementing Hala Fononga. As part of the streamlining process described in </w:t>
      </w:r>
      <w:r>
        <w:t>recommendation 10</w:t>
      </w:r>
      <w:r w:rsidR="00DC60F9">
        <w:t xml:space="preserve">, </w:t>
      </w:r>
      <w:r>
        <w:t xml:space="preserve">application procedures could be modified to indicate </w:t>
      </w:r>
      <w:r>
        <w:lastRenderedPageBreak/>
        <w:t>priority areas and facilitate applications in these areas.</w:t>
      </w:r>
      <w:r w:rsidR="008B0870">
        <w:t xml:space="preserve"> This process could also review the extent to which applications understand and address issues of equity including gender and disability.</w:t>
      </w:r>
      <w:r>
        <w:t xml:space="preserve"> </w:t>
      </w:r>
      <w:r w:rsidR="00DC60F9">
        <w:t>This recommendation will need to be revisited based on the findings of the independent review of Hala Fononga.</w:t>
      </w:r>
    </w:p>
    <w:p w14:paraId="19B4B803" w14:textId="77777777" w:rsidR="00DC60F9" w:rsidRPr="000D00F8" w:rsidRDefault="00904624" w:rsidP="00896F52">
      <w:pPr>
        <w:pStyle w:val="ListParagraph"/>
        <w:numPr>
          <w:ilvl w:val="0"/>
          <w:numId w:val="54"/>
        </w:numPr>
        <w:spacing w:after="120" w:line="276" w:lineRule="auto"/>
        <w:rPr>
          <w:rFonts w:ascii="Calibri" w:hAnsi="Calibri" w:cs="Calibri"/>
          <w:color w:val="000000"/>
        </w:rPr>
      </w:pPr>
      <w:r w:rsidRPr="007C4C1F">
        <w:rPr>
          <w:b/>
          <w:i/>
        </w:rPr>
        <w:t xml:space="preserve">It </w:t>
      </w:r>
      <w:r w:rsidRPr="00A318B9">
        <w:rPr>
          <w:b/>
          <w:i/>
          <w:noProof/>
        </w:rPr>
        <w:t>is recommended</w:t>
      </w:r>
      <w:r w:rsidRPr="007C4C1F">
        <w:rPr>
          <w:b/>
          <w:i/>
        </w:rPr>
        <w:t xml:space="preserve"> that TongaHealth </w:t>
      </w:r>
      <w:r w:rsidR="00BF6C71">
        <w:rPr>
          <w:b/>
          <w:i/>
        </w:rPr>
        <w:t xml:space="preserve">supports and facilitates </w:t>
      </w:r>
      <w:r w:rsidRPr="007C4C1F">
        <w:rPr>
          <w:b/>
          <w:i/>
        </w:rPr>
        <w:t>local research to inform and evaluate health promotion messages and focus (healthy eating, health</w:t>
      </w:r>
      <w:r w:rsidR="00EA4340">
        <w:rPr>
          <w:b/>
          <w:i/>
        </w:rPr>
        <w:t>-</w:t>
      </w:r>
      <w:r w:rsidRPr="007C4C1F">
        <w:rPr>
          <w:b/>
          <w:i/>
        </w:rPr>
        <w:t>promoting churches and NCD control).</w:t>
      </w:r>
      <w:r w:rsidRPr="007C4C1F">
        <w:rPr>
          <w:b/>
          <w:i/>
        </w:rPr>
        <w:br/>
      </w:r>
      <w:r w:rsidR="00DC60F9">
        <w:t xml:space="preserve">TongaHealth has tended to support fairly traditional </w:t>
      </w:r>
      <w:r w:rsidR="00BF6C71">
        <w:t xml:space="preserve">health promotion </w:t>
      </w:r>
      <w:r w:rsidR="00DC60F9">
        <w:t xml:space="preserve">approaches, </w:t>
      </w:r>
      <w:r w:rsidR="00BF6C71">
        <w:t xml:space="preserve">for example, </w:t>
      </w:r>
      <w:r w:rsidR="00DC60F9">
        <w:t>mass media campaigns that have been shown elsewhere in the world to have a limited</w:t>
      </w:r>
      <w:r w:rsidR="00F06E97">
        <w:t xml:space="preserve"> long term</w:t>
      </w:r>
      <w:r w:rsidR="00DC60F9">
        <w:t xml:space="preserve"> impact</w:t>
      </w:r>
      <w:r w:rsidR="00EA71E5">
        <w:t xml:space="preserve"> (the impact of </w:t>
      </w:r>
      <w:r w:rsidR="009D6A0C">
        <w:t xml:space="preserve">repeated </w:t>
      </w:r>
      <w:r w:rsidR="00EA71E5">
        <w:t>mass media campaigns tends to “plateau” over time and their cost-benefit decreases)</w:t>
      </w:r>
      <w:r w:rsidR="00DC60F9">
        <w:t>.</w:t>
      </w:r>
      <w:r w:rsidR="00BF6C71">
        <w:t xml:space="preserve"> Some of the current approaches may have been adopted from other cultures (Australia and New Zealand) and may not be ideal for Tonga. </w:t>
      </w:r>
      <w:r w:rsidR="00DC60F9" w:rsidRPr="000D00F8">
        <w:t>A stronger focus on health promotion research</w:t>
      </w:r>
      <w:r w:rsidR="00BF6C71">
        <w:t xml:space="preserve"> and </w:t>
      </w:r>
      <w:r w:rsidR="00DC60F9">
        <w:t>innovation</w:t>
      </w:r>
      <w:r w:rsidR="00DC60F9" w:rsidRPr="000D00F8">
        <w:t xml:space="preserve"> </w:t>
      </w:r>
      <w:r w:rsidR="00BF6C71">
        <w:t xml:space="preserve">would help to </w:t>
      </w:r>
      <w:r w:rsidR="00760392">
        <w:t>‘</w:t>
      </w:r>
      <w:r w:rsidR="00BF6C71">
        <w:t>localise</w:t>
      </w:r>
      <w:r w:rsidR="00760392">
        <w:t>’</w:t>
      </w:r>
      <w:r w:rsidR="00BF6C71">
        <w:t xml:space="preserve"> health promotion approaches. An increase in </w:t>
      </w:r>
      <w:r w:rsidR="00DC60F9" w:rsidRPr="000D00F8">
        <w:t xml:space="preserve">formal publication </w:t>
      </w:r>
      <w:r w:rsidR="00BF6C71">
        <w:t>would serve to complement the research orientation and raise the regional profile of TongaHealth’s work.</w:t>
      </w:r>
    </w:p>
    <w:p w14:paraId="45041A24" w14:textId="77777777" w:rsidR="00DC60F9" w:rsidRPr="00091B41" w:rsidRDefault="00DC60F9" w:rsidP="00091B41">
      <w:pPr>
        <w:pStyle w:val="Heading3"/>
      </w:pPr>
      <w:bookmarkStart w:id="70" w:name="_Toc536205471"/>
      <w:r w:rsidRPr="00091B41">
        <w:t>NCD management and universal health coverage</w:t>
      </w:r>
      <w:bookmarkEnd w:id="70"/>
    </w:p>
    <w:p w14:paraId="496BA2C1" w14:textId="77777777" w:rsidR="00DC60F9" w:rsidRPr="00C44750" w:rsidRDefault="00BF6C71" w:rsidP="00896F52">
      <w:pPr>
        <w:pStyle w:val="ListParagraph"/>
        <w:numPr>
          <w:ilvl w:val="0"/>
          <w:numId w:val="54"/>
        </w:numPr>
        <w:spacing w:after="120" w:line="276" w:lineRule="auto"/>
        <w:rPr>
          <w:rFonts w:ascii="Calibri" w:hAnsi="Calibri" w:cs="Calibri"/>
          <w:color w:val="000000"/>
        </w:rPr>
      </w:pPr>
      <w:r w:rsidRPr="007C4C1F">
        <w:rPr>
          <w:b/>
          <w:i/>
        </w:rPr>
        <w:t xml:space="preserve">It </w:t>
      </w:r>
      <w:r w:rsidRPr="00A318B9">
        <w:rPr>
          <w:b/>
          <w:i/>
          <w:noProof/>
        </w:rPr>
        <w:t>is recommended</w:t>
      </w:r>
      <w:r w:rsidRPr="007C4C1F">
        <w:rPr>
          <w:b/>
          <w:i/>
        </w:rPr>
        <w:t xml:space="preserve"> that the planning for the PEHS rollout considers the role of nurses, particularly </w:t>
      </w:r>
      <w:r w:rsidRPr="00A318B9">
        <w:rPr>
          <w:b/>
          <w:i/>
          <w:noProof/>
        </w:rPr>
        <w:t>in relation to</w:t>
      </w:r>
      <w:r w:rsidRPr="007C4C1F">
        <w:rPr>
          <w:b/>
          <w:i/>
        </w:rPr>
        <w:t xml:space="preserve"> NCD control.</w:t>
      </w:r>
      <w:r w:rsidRPr="007C4C1F">
        <w:rPr>
          <w:b/>
          <w:i/>
        </w:rPr>
        <w:br/>
      </w:r>
      <w:r w:rsidR="00DC60F9" w:rsidRPr="00103A49">
        <w:t xml:space="preserve">The </w:t>
      </w:r>
      <w:r w:rsidR="00DC60F9">
        <w:t xml:space="preserve">recent </w:t>
      </w:r>
      <w:r w:rsidR="009E2E05">
        <w:t>MoH</w:t>
      </w:r>
      <w:r w:rsidR="00DC60F9">
        <w:t xml:space="preserve"> restructure </w:t>
      </w:r>
      <w:r w:rsidR="00DC60F9" w:rsidRPr="00A318B9">
        <w:rPr>
          <w:noProof/>
        </w:rPr>
        <w:t>and</w:t>
      </w:r>
      <w:r w:rsidR="00DC60F9">
        <w:t xml:space="preserve"> the introduction of the NCD nurse cadre has resulted in some instability (and possibly insecurity) regarding the future </w:t>
      </w:r>
      <w:r w:rsidR="00DC60F9" w:rsidRPr="00103A49">
        <w:t>role of nurses</w:t>
      </w:r>
      <w:r w:rsidR="00DC60F9">
        <w:t>. The rollout of the PEHS is likely to add to the instability</w:t>
      </w:r>
      <w:r w:rsidR="00FE0E0C">
        <w:t>, given the necessity to expand nursing roles,</w:t>
      </w:r>
      <w:r w:rsidR="00DC60F9">
        <w:t xml:space="preserve"> </w:t>
      </w:r>
      <w:r w:rsidR="00DC60F9" w:rsidRPr="00A318B9">
        <w:rPr>
          <w:noProof/>
        </w:rPr>
        <w:t>and</w:t>
      </w:r>
      <w:r w:rsidR="00DC60F9">
        <w:t xml:space="preserve"> PEHS implementation may </w:t>
      </w:r>
      <w:r w:rsidR="00DC60F9" w:rsidRPr="00A318B9">
        <w:rPr>
          <w:noProof/>
        </w:rPr>
        <w:t>be impeded</w:t>
      </w:r>
      <w:r w:rsidR="00DC60F9">
        <w:t xml:space="preserve"> if nursing roles remain unclear.</w:t>
      </w:r>
      <w:r w:rsidR="00DC60F9" w:rsidRPr="00BF6C71">
        <w:t xml:space="preserve"> </w:t>
      </w:r>
      <w:r>
        <w:t>A</w:t>
      </w:r>
      <w:r w:rsidRPr="007C4C1F">
        <w:t xml:space="preserve">reas </w:t>
      </w:r>
      <w:r>
        <w:t xml:space="preserve">that require further consideration </w:t>
      </w:r>
      <w:r w:rsidRPr="007C4C1F">
        <w:t>include leadership, prescribing</w:t>
      </w:r>
      <w:r>
        <w:t xml:space="preserve"> privileges</w:t>
      </w:r>
      <w:r w:rsidRPr="007C4C1F">
        <w:t>, training</w:t>
      </w:r>
      <w:r>
        <w:t>,</w:t>
      </w:r>
      <w:r w:rsidRPr="007C4C1F">
        <w:t xml:space="preserve"> and </w:t>
      </w:r>
      <w:r>
        <w:t xml:space="preserve">skills for delivering </w:t>
      </w:r>
      <w:r w:rsidRPr="007C4C1F">
        <w:t>lifestyle interventions</w:t>
      </w:r>
      <w:r>
        <w:t>.</w:t>
      </w:r>
    </w:p>
    <w:p w14:paraId="414FB17C" w14:textId="77777777" w:rsidR="00DC60F9" w:rsidRPr="00091B41" w:rsidRDefault="00DC60F9" w:rsidP="00091B41">
      <w:pPr>
        <w:pStyle w:val="Heading3"/>
      </w:pPr>
      <w:bookmarkStart w:id="71" w:name="_Toc536205472"/>
      <w:r w:rsidRPr="00091B41">
        <w:t>Health sector management</w:t>
      </w:r>
      <w:bookmarkEnd w:id="71"/>
    </w:p>
    <w:p w14:paraId="2958C70D" w14:textId="77777777" w:rsidR="00DC60F9" w:rsidRPr="00BF6C71" w:rsidRDefault="00BF6C71" w:rsidP="00896F52">
      <w:pPr>
        <w:pStyle w:val="ListParagraph"/>
        <w:numPr>
          <w:ilvl w:val="0"/>
          <w:numId w:val="54"/>
        </w:numPr>
        <w:spacing w:after="120" w:line="276" w:lineRule="auto"/>
        <w:rPr>
          <w:rFonts w:ascii="Calibri" w:hAnsi="Calibri" w:cs="Calibri"/>
          <w:color w:val="000000"/>
        </w:rPr>
      </w:pPr>
      <w:r w:rsidRPr="007C4C1F">
        <w:rPr>
          <w:b/>
          <w:i/>
        </w:rPr>
        <w:t xml:space="preserve">It </w:t>
      </w:r>
      <w:r w:rsidRPr="00A318B9">
        <w:rPr>
          <w:b/>
          <w:i/>
          <w:noProof/>
        </w:rPr>
        <w:t>is recommended</w:t>
      </w:r>
      <w:r w:rsidRPr="007C4C1F">
        <w:rPr>
          <w:b/>
          <w:i/>
        </w:rPr>
        <w:t xml:space="preserve"> that future Australian aid health sector designs </w:t>
      </w:r>
      <w:r w:rsidR="00AD412E">
        <w:rPr>
          <w:b/>
          <w:i/>
        </w:rPr>
        <w:t xml:space="preserve">reflect </w:t>
      </w:r>
      <w:r w:rsidRPr="007C4C1F">
        <w:rPr>
          <w:b/>
          <w:i/>
        </w:rPr>
        <w:t>the underlying need to strengthen core government functions.</w:t>
      </w:r>
      <w:r w:rsidRPr="007C4C1F">
        <w:rPr>
          <w:b/>
          <w:i/>
        </w:rPr>
        <w:br/>
      </w:r>
      <w:r w:rsidR="00DC60F9" w:rsidRPr="00103A49">
        <w:t xml:space="preserve">Core government functions </w:t>
      </w:r>
      <w:r w:rsidR="00DC60F9">
        <w:t xml:space="preserve">(planning, </w:t>
      </w:r>
      <w:r w:rsidR="00DC60F9" w:rsidRPr="00103A49">
        <w:t>public financ</w:t>
      </w:r>
      <w:r w:rsidR="00DC60F9">
        <w:t>ial</w:t>
      </w:r>
      <w:r w:rsidR="00DC60F9" w:rsidRPr="00103A49">
        <w:t xml:space="preserve"> management, procurement, person</w:t>
      </w:r>
      <w:r w:rsidR="00DC60F9">
        <w:t>nel</w:t>
      </w:r>
      <w:r w:rsidR="00DC60F9" w:rsidRPr="00103A49">
        <w:t xml:space="preserve"> management and auditing</w:t>
      </w:r>
      <w:r w:rsidR="00DC60F9">
        <w:t>) all require strengthening</w:t>
      </w:r>
      <w:r w:rsidR="00F06E97">
        <w:t xml:space="preserve"> in both central and line agencies</w:t>
      </w:r>
      <w:r w:rsidR="00DC60F9" w:rsidRPr="00103A49">
        <w:t xml:space="preserve">. The Joint Policy Reform Program of economic and public sector reform will require a long-term, ten to </w:t>
      </w:r>
      <w:r w:rsidR="00245BD3" w:rsidRPr="00103A49">
        <w:t>twenty-year</w:t>
      </w:r>
      <w:r w:rsidR="00DC60F9" w:rsidRPr="00103A49">
        <w:t xml:space="preserve"> politi</w:t>
      </w:r>
      <w:r w:rsidR="00DC60F9">
        <w:t>cal commitment</w:t>
      </w:r>
      <w:r w:rsidR="0010108B">
        <w:t>,</w:t>
      </w:r>
      <w:r w:rsidR="00DC60F9">
        <w:t xml:space="preserve"> as well as technical assistance</w:t>
      </w:r>
      <w:r w:rsidR="0010108B">
        <w:t>,</w:t>
      </w:r>
      <w:r w:rsidR="00DC60F9">
        <w:t xml:space="preserve"> </w:t>
      </w:r>
      <w:r w:rsidR="00DC60F9" w:rsidRPr="00103A49">
        <w:t xml:space="preserve">to yield </w:t>
      </w:r>
      <w:r w:rsidR="00DC60F9" w:rsidRPr="00A318B9">
        <w:rPr>
          <w:noProof/>
        </w:rPr>
        <w:t>improved</w:t>
      </w:r>
      <w:r w:rsidR="00DC60F9" w:rsidRPr="00103A49">
        <w:t xml:space="preserve"> government.</w:t>
      </w:r>
      <w:r w:rsidR="0010108B">
        <w:t xml:space="preserve"> The expectations of aid programs in individual operational ministries should reflect the reality of the whole-of-government.</w:t>
      </w:r>
    </w:p>
    <w:p w14:paraId="4DD911DE" w14:textId="77777777" w:rsidR="00DC60F9" w:rsidRPr="00091B41" w:rsidRDefault="00DC60F9" w:rsidP="00091B41">
      <w:pPr>
        <w:pStyle w:val="Heading3"/>
      </w:pPr>
      <w:bookmarkStart w:id="72" w:name="_Toc536205473"/>
      <w:r w:rsidRPr="00091B41">
        <w:t>Disability-inclusive health</w:t>
      </w:r>
      <w:bookmarkEnd w:id="72"/>
    </w:p>
    <w:p w14:paraId="1B8F4AD1" w14:textId="77777777" w:rsidR="00DC60F9" w:rsidRPr="00362838" w:rsidRDefault="00AD412E" w:rsidP="00896F52">
      <w:pPr>
        <w:pStyle w:val="ListParagraph"/>
        <w:numPr>
          <w:ilvl w:val="0"/>
          <w:numId w:val="54"/>
        </w:numPr>
        <w:spacing w:after="120" w:line="276" w:lineRule="auto"/>
        <w:ind w:left="385" w:hanging="357"/>
        <w:contextualSpacing w:val="0"/>
        <w:rPr>
          <w:rFonts w:ascii="Calibri" w:hAnsi="Calibri" w:cs="Calibri"/>
          <w:color w:val="000000"/>
        </w:rPr>
      </w:pPr>
      <w:r w:rsidRPr="007C4C1F">
        <w:rPr>
          <w:b/>
          <w:i/>
          <w:lang w:val="en-AU"/>
        </w:rPr>
        <w:t xml:space="preserve">It </w:t>
      </w:r>
      <w:r w:rsidRPr="00A318B9">
        <w:rPr>
          <w:b/>
          <w:i/>
          <w:noProof/>
          <w:lang w:val="en-AU"/>
        </w:rPr>
        <w:t>is recommended</w:t>
      </w:r>
      <w:r w:rsidRPr="007C4C1F">
        <w:rPr>
          <w:b/>
          <w:i/>
          <w:lang w:val="en-AU"/>
        </w:rPr>
        <w:t xml:space="preserve"> that </w:t>
      </w:r>
      <w:r w:rsidR="0010108B" w:rsidRPr="007C4C1F">
        <w:rPr>
          <w:b/>
          <w:i/>
          <w:lang w:val="en-AU"/>
        </w:rPr>
        <w:t xml:space="preserve">disability-inclusive health activities </w:t>
      </w:r>
      <w:r w:rsidR="0010108B" w:rsidRPr="00A318B9">
        <w:rPr>
          <w:b/>
          <w:i/>
          <w:noProof/>
          <w:lang w:val="en-AU"/>
        </w:rPr>
        <w:t>are captured</w:t>
      </w:r>
      <w:r w:rsidR="0010108B" w:rsidRPr="007C4C1F">
        <w:rPr>
          <w:b/>
          <w:i/>
          <w:lang w:val="en-AU"/>
        </w:rPr>
        <w:t xml:space="preserve"> in program performance measurement.</w:t>
      </w:r>
      <w:r w:rsidRPr="0010108B">
        <w:rPr>
          <w:lang w:val="en-AU"/>
        </w:rPr>
        <w:br/>
      </w:r>
      <w:r w:rsidR="00DC60F9">
        <w:rPr>
          <w:lang w:val="en-AU"/>
        </w:rPr>
        <w:t xml:space="preserve">The </w:t>
      </w:r>
      <w:r w:rsidR="0010108B">
        <w:rPr>
          <w:lang w:val="en-AU"/>
        </w:rPr>
        <w:t xml:space="preserve">disability-inclusive health </w:t>
      </w:r>
      <w:r w:rsidR="00DC60F9">
        <w:rPr>
          <w:lang w:val="en-AU"/>
        </w:rPr>
        <w:t>component of THSSP2 does not have corresponding M&amp;E measures. Notwithstanding recommendation</w:t>
      </w:r>
      <w:r>
        <w:rPr>
          <w:lang w:val="en-AU"/>
        </w:rPr>
        <w:t xml:space="preserve"> </w:t>
      </w:r>
      <w:r w:rsidR="009D6A0C">
        <w:rPr>
          <w:noProof/>
          <w:lang w:val="en-AU"/>
        </w:rPr>
        <w:t>7</w:t>
      </w:r>
      <w:r w:rsidRPr="001F6EEE">
        <w:rPr>
          <w:lang w:val="en-AU"/>
        </w:rPr>
        <w:t xml:space="preserve"> </w:t>
      </w:r>
      <w:r w:rsidR="00DC60F9">
        <w:rPr>
          <w:lang w:val="en-AU"/>
        </w:rPr>
        <w:t xml:space="preserve">above </w:t>
      </w:r>
      <w:r>
        <w:rPr>
          <w:lang w:val="en-AU"/>
        </w:rPr>
        <w:t>(</w:t>
      </w:r>
      <w:r w:rsidR="00DC60F9">
        <w:rPr>
          <w:lang w:val="en-AU"/>
        </w:rPr>
        <w:t>to simplify the existing whole-of-program M&amp;E Framework</w:t>
      </w:r>
      <w:r>
        <w:rPr>
          <w:lang w:val="en-AU"/>
        </w:rPr>
        <w:t>)</w:t>
      </w:r>
      <w:r w:rsidR="00DC60F9">
        <w:rPr>
          <w:lang w:val="en-AU"/>
        </w:rPr>
        <w:t xml:space="preserve">, some practical measures are recommended to ensure that improvements in access to health services </w:t>
      </w:r>
      <w:r w:rsidR="0038786C">
        <w:rPr>
          <w:lang w:val="en-AU"/>
        </w:rPr>
        <w:t xml:space="preserve">for persons with disability </w:t>
      </w:r>
      <w:r w:rsidR="00DC60F9" w:rsidRPr="00A318B9">
        <w:rPr>
          <w:noProof/>
          <w:lang w:val="en-AU"/>
        </w:rPr>
        <w:t>are captured</w:t>
      </w:r>
      <w:r w:rsidR="00DC60F9">
        <w:rPr>
          <w:lang w:val="en-AU"/>
        </w:rPr>
        <w:t xml:space="preserve"> in future program evaluations.</w:t>
      </w:r>
    </w:p>
    <w:p w14:paraId="6335ED3E" w14:textId="77777777" w:rsidR="00DC60F9" w:rsidRPr="00103A49" w:rsidRDefault="0010108B" w:rsidP="00896F52">
      <w:pPr>
        <w:pStyle w:val="ListParagraph"/>
        <w:numPr>
          <w:ilvl w:val="0"/>
          <w:numId w:val="54"/>
        </w:numPr>
        <w:spacing w:after="120" w:line="276" w:lineRule="auto"/>
        <w:rPr>
          <w:rFonts w:ascii="Calibri" w:hAnsi="Calibri" w:cs="Calibri"/>
          <w:color w:val="000000"/>
        </w:rPr>
      </w:pPr>
      <w:r w:rsidRPr="007C4C1F">
        <w:rPr>
          <w:b/>
          <w:i/>
          <w:lang w:val="en-AU"/>
        </w:rPr>
        <w:t xml:space="preserve">It </w:t>
      </w:r>
      <w:r w:rsidRPr="00A318B9">
        <w:rPr>
          <w:b/>
          <w:i/>
          <w:noProof/>
          <w:lang w:val="en-AU"/>
        </w:rPr>
        <w:t>is recommended</w:t>
      </w:r>
      <w:r w:rsidRPr="007C4C1F">
        <w:rPr>
          <w:b/>
          <w:i/>
          <w:lang w:val="en-AU"/>
        </w:rPr>
        <w:t xml:space="preserve"> that </w:t>
      </w:r>
      <w:r w:rsidRPr="00A318B9">
        <w:rPr>
          <w:b/>
          <w:i/>
          <w:noProof/>
          <w:lang w:val="en-AU"/>
        </w:rPr>
        <w:t xml:space="preserve">the participation of </w:t>
      </w:r>
      <w:r w:rsidR="00DC60F9" w:rsidRPr="00A318B9">
        <w:rPr>
          <w:b/>
          <w:i/>
          <w:noProof/>
          <w:lang w:val="en-AU"/>
        </w:rPr>
        <w:t xml:space="preserve">persons with disability </w:t>
      </w:r>
      <w:r w:rsidRPr="00A318B9">
        <w:rPr>
          <w:b/>
          <w:i/>
          <w:noProof/>
          <w:lang w:val="en-AU"/>
        </w:rPr>
        <w:t>in oversight of the disability-inclusive health component is f</w:t>
      </w:r>
      <w:r w:rsidR="00F22B40" w:rsidRPr="00A318B9">
        <w:rPr>
          <w:b/>
          <w:i/>
          <w:noProof/>
          <w:lang w:val="en-AU"/>
        </w:rPr>
        <w:t>acilitated</w:t>
      </w:r>
      <w:r w:rsidRPr="00A318B9">
        <w:rPr>
          <w:b/>
          <w:i/>
          <w:noProof/>
          <w:lang w:val="en-AU"/>
        </w:rPr>
        <w:t xml:space="preserve"> </w:t>
      </w:r>
      <w:r w:rsidR="00150658" w:rsidRPr="00A318B9">
        <w:rPr>
          <w:b/>
          <w:i/>
          <w:noProof/>
          <w:lang w:val="en-AU"/>
        </w:rPr>
        <w:t>by supplementary opportunities for dialogue</w:t>
      </w:r>
      <w:r w:rsidR="00150658">
        <w:rPr>
          <w:b/>
          <w:i/>
          <w:lang w:val="en-AU"/>
        </w:rPr>
        <w:t>.</w:t>
      </w:r>
      <w:r w:rsidR="00150658" w:rsidRPr="00150658">
        <w:rPr>
          <w:b/>
          <w:i/>
          <w:lang w:val="en-AU"/>
        </w:rPr>
        <w:br/>
      </w:r>
      <w:r w:rsidR="00150658">
        <w:rPr>
          <w:lang w:val="en-AU"/>
        </w:rPr>
        <w:lastRenderedPageBreak/>
        <w:t xml:space="preserve">The persons with disability organisations consulted during the evaluation </w:t>
      </w:r>
      <w:r w:rsidR="00DC60F9">
        <w:rPr>
          <w:lang w:val="en-AU"/>
        </w:rPr>
        <w:t xml:space="preserve">did not have a high level of awareness of </w:t>
      </w:r>
      <w:r w:rsidR="00150658">
        <w:rPr>
          <w:lang w:val="en-AU"/>
        </w:rPr>
        <w:t xml:space="preserve">the program </w:t>
      </w:r>
      <w:r w:rsidR="00A318B9">
        <w:rPr>
          <w:lang w:val="en-AU"/>
        </w:rPr>
        <w:t>‘</w:t>
      </w:r>
      <w:r w:rsidR="00150658">
        <w:rPr>
          <w:lang w:val="en-AU"/>
        </w:rPr>
        <w:t>architecture</w:t>
      </w:r>
      <w:r w:rsidR="00A318B9">
        <w:rPr>
          <w:lang w:val="en-AU"/>
        </w:rPr>
        <w:t>’</w:t>
      </w:r>
      <w:r w:rsidR="00150658">
        <w:rPr>
          <w:lang w:val="en-AU"/>
        </w:rPr>
        <w:t xml:space="preserve"> </w:t>
      </w:r>
      <w:r w:rsidR="00F22B40">
        <w:rPr>
          <w:lang w:val="en-AU"/>
        </w:rPr>
        <w:t xml:space="preserve">(i.e. design documents and work plans, prior consultation, DFAT corporate procedures) </w:t>
      </w:r>
      <w:r w:rsidR="00150658">
        <w:rPr>
          <w:lang w:val="en-AU"/>
        </w:rPr>
        <w:t xml:space="preserve">behind the various </w:t>
      </w:r>
      <w:r w:rsidR="00DC60F9">
        <w:rPr>
          <w:lang w:val="en-AU"/>
        </w:rPr>
        <w:t xml:space="preserve">DFAT initiatives. They also indicated that they found it difficult to engage during formal meetings with </w:t>
      </w:r>
      <w:r w:rsidR="007C4C1F">
        <w:rPr>
          <w:lang w:val="en-AU"/>
        </w:rPr>
        <w:t xml:space="preserve">GoT </w:t>
      </w:r>
      <w:r w:rsidR="00DC60F9">
        <w:rPr>
          <w:lang w:val="en-AU"/>
        </w:rPr>
        <w:t>officials and DFAT officers because they felt under-informed</w:t>
      </w:r>
      <w:r w:rsidR="00DC60F9" w:rsidRPr="001F6EEE">
        <w:rPr>
          <w:lang w:val="en-AU"/>
        </w:rPr>
        <w:t>.</w:t>
      </w:r>
      <w:r w:rsidR="00DC60F9">
        <w:rPr>
          <w:lang w:val="en-AU"/>
        </w:rPr>
        <w:t xml:space="preserve"> The impression the evaluation team obtained was that persons with disability are keen to </w:t>
      </w:r>
      <w:r w:rsidR="00245BD3">
        <w:rPr>
          <w:lang w:val="en-AU"/>
        </w:rPr>
        <w:t>engage and</w:t>
      </w:r>
      <w:r w:rsidR="00DC60F9">
        <w:rPr>
          <w:lang w:val="en-AU"/>
        </w:rPr>
        <w:t xml:space="preserve"> might benefit from some supplementary opportunities for discussion and consultation.</w:t>
      </w:r>
    </w:p>
    <w:p w14:paraId="26DB6201" w14:textId="77777777" w:rsidR="00DC60F9" w:rsidRPr="00091B41" w:rsidRDefault="00DC60F9" w:rsidP="00091B41">
      <w:pPr>
        <w:pStyle w:val="Heading3"/>
      </w:pPr>
      <w:bookmarkStart w:id="73" w:name="_Toc536205474"/>
      <w:r w:rsidRPr="00091B41">
        <w:t>Gender and social inclusion</w:t>
      </w:r>
      <w:bookmarkEnd w:id="73"/>
    </w:p>
    <w:p w14:paraId="494B8B37" w14:textId="77777777" w:rsidR="0038786C" w:rsidRPr="0038786C" w:rsidRDefault="00CD5F8F" w:rsidP="00896F52">
      <w:pPr>
        <w:pStyle w:val="ListParagraph"/>
        <w:numPr>
          <w:ilvl w:val="0"/>
          <w:numId w:val="54"/>
        </w:numPr>
        <w:spacing w:after="120" w:line="276" w:lineRule="auto"/>
        <w:ind w:left="385" w:hanging="357"/>
        <w:contextualSpacing w:val="0"/>
      </w:pPr>
      <w:r w:rsidRPr="007C4C1F">
        <w:rPr>
          <w:b/>
          <w:i/>
        </w:rPr>
        <w:t xml:space="preserve">It </w:t>
      </w:r>
      <w:r w:rsidRPr="00A318B9">
        <w:rPr>
          <w:b/>
          <w:i/>
          <w:noProof/>
        </w:rPr>
        <w:t>is recommended</w:t>
      </w:r>
      <w:r w:rsidRPr="007C4C1F">
        <w:rPr>
          <w:b/>
          <w:i/>
        </w:rPr>
        <w:t xml:space="preserve"> that </w:t>
      </w:r>
      <w:r w:rsidR="00F22B40">
        <w:rPr>
          <w:b/>
          <w:i/>
        </w:rPr>
        <w:t xml:space="preserve">(a) </w:t>
      </w:r>
      <w:r w:rsidRPr="007C4C1F">
        <w:rPr>
          <w:b/>
          <w:i/>
        </w:rPr>
        <w:t>TongaHealth encourages gender-differentiated health promotion activities where appropriate</w:t>
      </w:r>
      <w:r w:rsidR="00F22B40">
        <w:rPr>
          <w:b/>
          <w:i/>
        </w:rPr>
        <w:t>, and</w:t>
      </w:r>
      <w:r>
        <w:rPr>
          <w:b/>
          <w:i/>
        </w:rPr>
        <w:t xml:space="preserve"> </w:t>
      </w:r>
      <w:r w:rsidRPr="007C4C1F">
        <w:rPr>
          <w:b/>
          <w:i/>
        </w:rPr>
        <w:t>(b) MoH develops gender-differentiated NCD interventions where appropriate.</w:t>
      </w:r>
      <w:r w:rsidRPr="007C4C1F">
        <w:rPr>
          <w:b/>
          <w:i/>
        </w:rPr>
        <w:br/>
      </w:r>
      <w:r w:rsidR="0038786C">
        <w:t xml:space="preserve">Given that there are gender differences in NCDs, and that NCD-related disability has social and economic consequences for women and children, </w:t>
      </w:r>
      <w:r>
        <w:t>there is a case for beginning to develop gender-differentiated interventions.</w:t>
      </w:r>
    </w:p>
    <w:p w14:paraId="7228A86D" w14:textId="77777777" w:rsidR="00783E0F" w:rsidRPr="00103A49" w:rsidRDefault="00CD5F8F" w:rsidP="00896F52">
      <w:pPr>
        <w:pStyle w:val="ListParagraph"/>
        <w:numPr>
          <w:ilvl w:val="0"/>
          <w:numId w:val="54"/>
        </w:numPr>
        <w:spacing w:after="120" w:line="276" w:lineRule="auto"/>
      </w:pPr>
      <w:r w:rsidRPr="007C4C1F">
        <w:rPr>
          <w:b/>
          <w:i/>
          <w:lang w:val="en-AU"/>
        </w:rPr>
        <w:t xml:space="preserve">It </w:t>
      </w:r>
      <w:r w:rsidRPr="00A318B9">
        <w:rPr>
          <w:b/>
          <w:i/>
          <w:noProof/>
          <w:lang w:val="en-AU"/>
        </w:rPr>
        <w:t>is recommended</w:t>
      </w:r>
      <w:r w:rsidRPr="007C4C1F">
        <w:rPr>
          <w:b/>
          <w:i/>
          <w:lang w:val="en-AU"/>
        </w:rPr>
        <w:t xml:space="preserve"> that </w:t>
      </w:r>
      <w:r w:rsidR="005035AD">
        <w:rPr>
          <w:b/>
          <w:i/>
          <w:lang w:val="en-AU"/>
        </w:rPr>
        <w:t xml:space="preserve">low </w:t>
      </w:r>
      <w:r w:rsidRPr="00A318B9">
        <w:rPr>
          <w:b/>
          <w:i/>
          <w:noProof/>
          <w:lang w:val="en-AU"/>
        </w:rPr>
        <w:t>socio-economic</w:t>
      </w:r>
      <w:r w:rsidRPr="007C4C1F">
        <w:rPr>
          <w:b/>
          <w:i/>
          <w:lang w:val="en-AU"/>
        </w:rPr>
        <w:t xml:space="preserve"> status </w:t>
      </w:r>
      <w:r w:rsidRPr="00A318B9">
        <w:rPr>
          <w:b/>
          <w:i/>
          <w:noProof/>
          <w:lang w:val="en-AU"/>
        </w:rPr>
        <w:t>be</w:t>
      </w:r>
      <w:r w:rsidRPr="007C4C1F">
        <w:rPr>
          <w:b/>
          <w:i/>
          <w:lang w:val="en-AU"/>
        </w:rPr>
        <w:t xml:space="preserve"> </w:t>
      </w:r>
      <w:r>
        <w:rPr>
          <w:b/>
          <w:i/>
          <w:lang w:val="en-AU"/>
        </w:rPr>
        <w:t xml:space="preserve">included as one of the determinants of disadvantage </w:t>
      </w:r>
      <w:r w:rsidRPr="007C4C1F">
        <w:rPr>
          <w:b/>
          <w:i/>
          <w:lang w:val="en-AU"/>
        </w:rPr>
        <w:t>in future Australian aid health sector support.</w:t>
      </w:r>
      <w:r w:rsidRPr="007C4C1F">
        <w:rPr>
          <w:b/>
          <w:i/>
          <w:lang w:val="en-AU"/>
        </w:rPr>
        <w:br/>
      </w:r>
      <w:r w:rsidR="00DC60F9" w:rsidRPr="00591FCC">
        <w:rPr>
          <w:lang w:val="en-AU"/>
        </w:rPr>
        <w:t>The</w:t>
      </w:r>
      <w:r>
        <w:rPr>
          <w:lang w:val="en-AU"/>
        </w:rPr>
        <w:t xml:space="preserve"> evaluation team heard that </w:t>
      </w:r>
      <w:r w:rsidR="00DC60F9" w:rsidRPr="00591FCC">
        <w:rPr>
          <w:lang w:val="en-AU"/>
        </w:rPr>
        <w:t>socio-economic disadvantage is a driver of health ‘</w:t>
      </w:r>
      <w:r w:rsidR="00DC60F9" w:rsidRPr="00A318B9">
        <w:rPr>
          <w:noProof/>
          <w:lang w:val="en-AU"/>
        </w:rPr>
        <w:t>underservicing</w:t>
      </w:r>
      <w:r w:rsidR="00DC60F9" w:rsidRPr="00591FCC">
        <w:rPr>
          <w:lang w:val="en-AU"/>
        </w:rPr>
        <w:t>’ in Tonga</w:t>
      </w:r>
      <w:r w:rsidR="005035AD">
        <w:rPr>
          <w:lang w:val="en-AU"/>
        </w:rPr>
        <w:t>, independently of geographic isolation</w:t>
      </w:r>
      <w:r w:rsidR="00DC60F9" w:rsidRPr="00591FCC">
        <w:rPr>
          <w:lang w:val="en-AU"/>
        </w:rPr>
        <w:t>.</w:t>
      </w:r>
      <w:r w:rsidR="004B7E20">
        <w:rPr>
          <w:lang w:val="en-AU"/>
        </w:rPr>
        <w:t xml:space="preserve"> The </w:t>
      </w:r>
      <w:r w:rsidR="00F22B40">
        <w:rPr>
          <w:lang w:val="en-AU"/>
        </w:rPr>
        <w:t xml:space="preserve">available data </w:t>
      </w:r>
      <w:r w:rsidR="00F22B40" w:rsidRPr="00A318B9">
        <w:rPr>
          <w:noProof/>
          <w:lang w:val="en-AU"/>
        </w:rPr>
        <w:t>indicates</w:t>
      </w:r>
      <w:r w:rsidR="00F22B40">
        <w:rPr>
          <w:lang w:val="en-AU"/>
        </w:rPr>
        <w:t xml:space="preserve"> that out-of-pocket expenses in Tonga are low by regional standards so </w:t>
      </w:r>
      <w:r w:rsidR="00760392">
        <w:rPr>
          <w:lang w:val="en-AU"/>
        </w:rPr>
        <w:t>‘</w:t>
      </w:r>
      <w:r w:rsidR="00F22B40">
        <w:rPr>
          <w:lang w:val="en-AU"/>
        </w:rPr>
        <w:t>cost</w:t>
      </w:r>
      <w:r w:rsidR="00760392">
        <w:rPr>
          <w:lang w:val="en-AU"/>
        </w:rPr>
        <w:t>’</w:t>
      </w:r>
      <w:r w:rsidR="00F22B40">
        <w:rPr>
          <w:lang w:val="en-AU"/>
        </w:rPr>
        <w:t xml:space="preserve"> is unlikely to be the explanation for this </w:t>
      </w:r>
      <w:r w:rsidR="004B7E20">
        <w:rPr>
          <w:lang w:val="en-AU"/>
        </w:rPr>
        <w:t>claim</w:t>
      </w:r>
      <w:r w:rsidR="00F22B40">
        <w:rPr>
          <w:lang w:val="en-AU"/>
        </w:rPr>
        <w:t>. I</w:t>
      </w:r>
      <w:r w:rsidR="004B7E20">
        <w:rPr>
          <w:lang w:val="en-AU"/>
        </w:rPr>
        <w:t xml:space="preserve">t is conceivable that health care-seeking behaviour and responses to public health messages are negatively affected by low </w:t>
      </w:r>
      <w:r w:rsidR="004B7E20" w:rsidRPr="00A318B9">
        <w:rPr>
          <w:noProof/>
          <w:lang w:val="en-AU"/>
        </w:rPr>
        <w:t>socio-economic</w:t>
      </w:r>
      <w:r w:rsidR="004B7E20">
        <w:rPr>
          <w:lang w:val="en-AU"/>
        </w:rPr>
        <w:t xml:space="preserve"> status.</w:t>
      </w:r>
    </w:p>
    <w:p w14:paraId="1CD24992" w14:textId="77777777" w:rsidR="00F14274" w:rsidRPr="001F6EEE" w:rsidRDefault="00F14274" w:rsidP="00091B41">
      <w:pPr>
        <w:pStyle w:val="Heading3"/>
      </w:pPr>
      <w:r>
        <w:t xml:space="preserve">Technical assistance for </w:t>
      </w:r>
      <w:r w:rsidRPr="00A318B9">
        <w:t>remainder</w:t>
      </w:r>
      <w:r>
        <w:t xml:space="preserve"> of </w:t>
      </w:r>
      <w:r w:rsidRPr="00A318B9">
        <w:t>Phase</w:t>
      </w:r>
      <w:r>
        <w:t xml:space="preserve"> 2</w:t>
      </w:r>
    </w:p>
    <w:p w14:paraId="4A5D3623" w14:textId="4BE5C80C" w:rsidR="00A318B9" w:rsidRPr="00A318B9" w:rsidRDefault="005035AD" w:rsidP="00896F52">
      <w:pPr>
        <w:pStyle w:val="ListParagraph"/>
        <w:numPr>
          <w:ilvl w:val="0"/>
          <w:numId w:val="54"/>
        </w:numPr>
        <w:rPr>
          <w:noProof/>
          <w:lang w:val="en-AU"/>
        </w:rPr>
      </w:pPr>
      <w:r w:rsidRPr="00A318B9">
        <w:rPr>
          <w:b/>
          <w:i/>
          <w:lang w:val="en-AU"/>
        </w:rPr>
        <w:t xml:space="preserve">It </w:t>
      </w:r>
      <w:r w:rsidRPr="00A318B9">
        <w:rPr>
          <w:b/>
          <w:i/>
          <w:noProof/>
          <w:lang w:val="en-AU"/>
        </w:rPr>
        <w:t>is recommended</w:t>
      </w:r>
      <w:r w:rsidRPr="00A318B9">
        <w:rPr>
          <w:b/>
          <w:i/>
          <w:lang w:val="en-AU"/>
        </w:rPr>
        <w:t xml:space="preserve"> that </w:t>
      </w:r>
      <w:r w:rsidR="004B7E20" w:rsidRPr="00A318B9">
        <w:rPr>
          <w:b/>
          <w:i/>
          <w:lang w:val="en-AU"/>
        </w:rPr>
        <w:t>long-term technical assistance for the remainder of Phase 2 focuses on supporting progress towards the recommendations above, where appropriate.</w:t>
      </w:r>
      <w:r w:rsidR="004B7E20" w:rsidRPr="00A318B9">
        <w:rPr>
          <w:b/>
          <w:i/>
          <w:lang w:val="en-AU"/>
        </w:rPr>
        <w:br/>
      </w:r>
      <w:r w:rsidR="00A318B9" w:rsidRPr="00A318B9">
        <w:rPr>
          <w:lang w:val="en-AU"/>
        </w:rPr>
        <w:t xml:space="preserve">The </w:t>
      </w:r>
      <w:r w:rsidR="00F22B40" w:rsidRPr="00A318B9">
        <w:rPr>
          <w:lang w:val="en-AU"/>
        </w:rPr>
        <w:t xml:space="preserve">major tasks/themes for </w:t>
      </w:r>
      <w:r w:rsidR="00A318B9" w:rsidRPr="00A318B9">
        <w:rPr>
          <w:lang w:val="en-AU"/>
        </w:rPr>
        <w:t xml:space="preserve">the </w:t>
      </w:r>
      <w:r w:rsidR="00A318B9" w:rsidRPr="00A318B9">
        <w:rPr>
          <w:noProof/>
          <w:color w:val="3B3838" w:themeColor="background2" w:themeShade="40"/>
        </w:rPr>
        <w:t xml:space="preserve">MoH Health Planning Adviser are: to </w:t>
      </w:r>
      <w:r w:rsidR="00B3775E">
        <w:rPr>
          <w:noProof/>
          <w:color w:val="3B3838" w:themeColor="background2" w:themeShade="40"/>
        </w:rPr>
        <w:t>support impro</w:t>
      </w:r>
      <w:r w:rsidR="00D52E93">
        <w:rPr>
          <w:noProof/>
          <w:color w:val="3B3838" w:themeColor="background2" w:themeShade="40"/>
        </w:rPr>
        <w:t>ved core planning, budgeting and execution</w:t>
      </w:r>
      <w:r w:rsidR="00B3775E">
        <w:rPr>
          <w:noProof/>
          <w:color w:val="3B3838" w:themeColor="background2" w:themeShade="40"/>
        </w:rPr>
        <w:t xml:space="preserve"> (including rollout and operationalisation of the PEHS); allowing better </w:t>
      </w:r>
      <w:r w:rsidR="00A318B9" w:rsidRPr="00A318B9">
        <w:rPr>
          <w:noProof/>
          <w:color w:val="3B3838" w:themeColor="background2" w:themeShade="40"/>
        </w:rPr>
        <w:t>c</w:t>
      </w:r>
      <w:r w:rsidR="00A318B9" w:rsidRPr="00A318B9">
        <w:rPr>
          <w:noProof/>
          <w:lang w:val="en-AU"/>
        </w:rPr>
        <w:t>oordinat</w:t>
      </w:r>
      <w:r w:rsidR="00B3775E">
        <w:rPr>
          <w:noProof/>
          <w:lang w:val="en-AU"/>
        </w:rPr>
        <w:t>ion and integration of</w:t>
      </w:r>
      <w:r w:rsidR="00A318B9" w:rsidRPr="00A318B9">
        <w:rPr>
          <w:noProof/>
          <w:lang w:val="en-AU"/>
        </w:rPr>
        <w:t xml:space="preserve"> THSSP2 annual planning</w:t>
      </w:r>
      <w:r w:rsidR="00B3775E">
        <w:rPr>
          <w:noProof/>
          <w:lang w:val="en-AU"/>
        </w:rPr>
        <w:t xml:space="preserve"> and budgeting;</w:t>
      </w:r>
      <w:r w:rsidR="00A318B9" w:rsidRPr="00A318B9">
        <w:rPr>
          <w:noProof/>
          <w:lang w:val="en-AU"/>
        </w:rPr>
        <w:t xml:space="preserve"> and assist the World Bank PASA program to identify medium-term expenditure </w:t>
      </w:r>
      <w:r w:rsidR="00760392">
        <w:rPr>
          <w:noProof/>
          <w:lang w:val="en-AU"/>
        </w:rPr>
        <w:t>‘</w:t>
      </w:r>
      <w:r w:rsidR="00A318B9" w:rsidRPr="00A318B9">
        <w:rPr>
          <w:noProof/>
          <w:lang w:val="en-AU"/>
        </w:rPr>
        <w:t>pressure points</w:t>
      </w:r>
      <w:r w:rsidR="00760392">
        <w:rPr>
          <w:noProof/>
          <w:lang w:val="en-AU"/>
        </w:rPr>
        <w:t>’</w:t>
      </w:r>
      <w:r w:rsidR="00A318B9" w:rsidRPr="00A318B9">
        <w:rPr>
          <w:noProof/>
          <w:lang w:val="en-AU"/>
        </w:rPr>
        <w:t xml:space="preserve"> for the health sector. </w:t>
      </w:r>
    </w:p>
    <w:p w14:paraId="74F2BD38" w14:textId="77777777" w:rsidR="00A318B9" w:rsidRDefault="00A318B9" w:rsidP="00B61DFB">
      <w:pPr>
        <w:spacing w:after="0"/>
        <w:ind w:left="360"/>
        <w:rPr>
          <w:noProof/>
        </w:rPr>
      </w:pPr>
      <w:r w:rsidRPr="00A318B9">
        <w:rPr>
          <w:noProof/>
          <w:lang w:val="en-AU"/>
        </w:rPr>
        <w:t xml:space="preserve">The major tasks/themes for the </w:t>
      </w:r>
      <w:r w:rsidRPr="00A318B9">
        <w:rPr>
          <w:noProof/>
          <w:color w:val="3B3838" w:themeColor="background2" w:themeShade="40"/>
          <w:sz w:val="24"/>
          <w:szCs w:val="24"/>
        </w:rPr>
        <w:t>TongaHealth NCD Strategy Implementation Adviser are to: s</w:t>
      </w:r>
      <w:r w:rsidRPr="00A318B9">
        <w:rPr>
          <w:noProof/>
        </w:rPr>
        <w:t>implify and streamline grant application and management processes and systems to the extent possible; modify grant application procedures to indicate priority areas (the most strategic areas in Hala Fononga) and facilitate grant applications in these areas; and encourage gender-differentiated health promotion activities where appropriate.</w:t>
      </w:r>
    </w:p>
    <w:p w14:paraId="1F520BC0" w14:textId="77777777" w:rsidR="00B61DFB" w:rsidRPr="00A318B9" w:rsidRDefault="00B61DFB" w:rsidP="00B61DFB">
      <w:pPr>
        <w:spacing w:after="0"/>
        <w:ind w:left="360"/>
        <w:rPr>
          <w:noProof/>
        </w:rPr>
      </w:pPr>
    </w:p>
    <w:p w14:paraId="299988B6" w14:textId="77777777" w:rsidR="00184936" w:rsidRDefault="00184936" w:rsidP="00184936">
      <w:pPr>
        <w:spacing w:after="0"/>
        <w:rPr>
          <w:b/>
          <w:lang w:eastAsia="en-GB"/>
        </w:rPr>
      </w:pPr>
      <w:r w:rsidRPr="00852728">
        <w:rPr>
          <w:b/>
          <w:lang w:eastAsia="en-GB"/>
        </w:rPr>
        <w:t xml:space="preserve">Table </w:t>
      </w:r>
      <w:r>
        <w:rPr>
          <w:b/>
          <w:lang w:eastAsia="en-GB"/>
        </w:rPr>
        <w:t>6</w:t>
      </w:r>
      <w:r w:rsidRPr="00852728">
        <w:rPr>
          <w:b/>
          <w:lang w:eastAsia="en-GB"/>
        </w:rPr>
        <w:t xml:space="preserve">: </w:t>
      </w:r>
      <w:r w:rsidR="005B6947">
        <w:rPr>
          <w:b/>
          <w:lang w:eastAsia="en-GB"/>
        </w:rPr>
        <w:t>Summary of f</w:t>
      </w:r>
      <w:r>
        <w:rPr>
          <w:b/>
          <w:lang w:eastAsia="en-GB"/>
        </w:rPr>
        <w:t>inal recommendations</w:t>
      </w:r>
      <w:r w:rsidR="001F0168">
        <w:rPr>
          <w:b/>
          <w:lang w:eastAsia="en-GB"/>
        </w:rPr>
        <w:t>, including prioritisation and timeframes</w:t>
      </w:r>
    </w:p>
    <w:tbl>
      <w:tblPr>
        <w:tblStyle w:val="TableGrid"/>
        <w:tblW w:w="5000" w:type="pct"/>
        <w:tblLook w:val="04A0" w:firstRow="1" w:lastRow="0" w:firstColumn="1" w:lastColumn="0" w:noHBand="0" w:noVBand="1"/>
      </w:tblPr>
      <w:tblGrid>
        <w:gridCol w:w="5710"/>
        <w:gridCol w:w="1239"/>
        <w:gridCol w:w="1032"/>
        <w:gridCol w:w="1035"/>
      </w:tblGrid>
      <w:tr w:rsidR="001F0168" w:rsidRPr="00091B41" w14:paraId="417AD26A" w14:textId="77777777" w:rsidTr="00436DD0">
        <w:tc>
          <w:tcPr>
            <w:tcW w:w="3163" w:type="pct"/>
          </w:tcPr>
          <w:p w14:paraId="021E7E4B" w14:textId="77777777" w:rsidR="001F0168" w:rsidRPr="00091B41" w:rsidRDefault="001F0168" w:rsidP="00890B67">
            <w:pPr>
              <w:pStyle w:val="Level2Heading"/>
              <w:numPr>
                <w:ilvl w:val="0"/>
                <w:numId w:val="0"/>
              </w:numPr>
              <w:spacing w:before="0" w:after="0"/>
              <w:rPr>
                <w:rStyle w:val="Heading2Char"/>
                <w:rFonts w:asciiTheme="minorHAnsi" w:hAnsiTheme="minorHAnsi" w:cstheme="minorHAnsi"/>
                <w:b/>
                <w:sz w:val="20"/>
                <w:szCs w:val="20"/>
              </w:rPr>
            </w:pPr>
            <w:r w:rsidRPr="00091B41">
              <w:rPr>
                <w:rStyle w:val="Heading2Char"/>
                <w:rFonts w:asciiTheme="minorHAnsi" w:hAnsiTheme="minorHAnsi" w:cstheme="minorHAnsi"/>
                <w:b/>
                <w:sz w:val="20"/>
                <w:szCs w:val="20"/>
              </w:rPr>
              <w:t>Recommendation</w:t>
            </w:r>
          </w:p>
        </w:tc>
        <w:tc>
          <w:tcPr>
            <w:tcW w:w="687" w:type="pct"/>
          </w:tcPr>
          <w:p w14:paraId="66DFC45B" w14:textId="77777777" w:rsidR="001F0168" w:rsidRPr="00091B41" w:rsidRDefault="001F0168" w:rsidP="00890B67">
            <w:pPr>
              <w:pStyle w:val="Level2Heading"/>
              <w:numPr>
                <w:ilvl w:val="0"/>
                <w:numId w:val="0"/>
              </w:numPr>
              <w:spacing w:before="0" w:after="0"/>
              <w:rPr>
                <w:rStyle w:val="Heading2Char"/>
                <w:rFonts w:asciiTheme="minorHAnsi" w:hAnsiTheme="minorHAnsi" w:cstheme="minorHAnsi"/>
                <w:b/>
                <w:sz w:val="20"/>
                <w:szCs w:val="20"/>
              </w:rPr>
            </w:pPr>
            <w:r w:rsidRPr="00091B41">
              <w:rPr>
                <w:rStyle w:val="Heading2Char"/>
                <w:rFonts w:asciiTheme="minorHAnsi" w:hAnsiTheme="minorHAnsi" w:cstheme="minorHAnsi"/>
                <w:b/>
                <w:sz w:val="20"/>
                <w:szCs w:val="20"/>
              </w:rPr>
              <w:t xml:space="preserve">Responsibility </w:t>
            </w:r>
          </w:p>
        </w:tc>
        <w:tc>
          <w:tcPr>
            <w:tcW w:w="576" w:type="pct"/>
          </w:tcPr>
          <w:p w14:paraId="317CD158" w14:textId="77777777" w:rsidR="001F0168" w:rsidRPr="00091B41" w:rsidRDefault="001F0168" w:rsidP="00890B67">
            <w:pPr>
              <w:pStyle w:val="Level2Heading"/>
              <w:numPr>
                <w:ilvl w:val="0"/>
                <w:numId w:val="0"/>
              </w:numPr>
              <w:spacing w:before="0" w:after="0"/>
              <w:rPr>
                <w:rStyle w:val="Heading2Char"/>
                <w:rFonts w:asciiTheme="minorHAnsi" w:hAnsiTheme="minorHAnsi" w:cstheme="minorHAnsi"/>
                <w:b/>
                <w:sz w:val="20"/>
                <w:szCs w:val="20"/>
              </w:rPr>
            </w:pPr>
            <w:r w:rsidRPr="00091B41">
              <w:rPr>
                <w:rStyle w:val="Heading2Char"/>
                <w:rFonts w:asciiTheme="minorHAnsi" w:hAnsiTheme="minorHAnsi" w:cstheme="minorHAnsi"/>
                <w:b/>
                <w:sz w:val="20"/>
                <w:szCs w:val="20"/>
              </w:rPr>
              <w:t>Priority</w:t>
            </w:r>
          </w:p>
        </w:tc>
        <w:tc>
          <w:tcPr>
            <w:tcW w:w="574" w:type="pct"/>
          </w:tcPr>
          <w:p w14:paraId="1C77F83C" w14:textId="77777777" w:rsidR="001F0168" w:rsidRPr="00091B41" w:rsidRDefault="001F0168" w:rsidP="00890B67">
            <w:pPr>
              <w:pStyle w:val="Level2Heading"/>
              <w:numPr>
                <w:ilvl w:val="0"/>
                <w:numId w:val="0"/>
              </w:numPr>
              <w:spacing w:before="0" w:after="0"/>
              <w:rPr>
                <w:rStyle w:val="Heading2Char"/>
                <w:rFonts w:asciiTheme="minorHAnsi" w:hAnsiTheme="minorHAnsi" w:cstheme="minorHAnsi"/>
                <w:b/>
                <w:sz w:val="20"/>
                <w:szCs w:val="20"/>
              </w:rPr>
            </w:pPr>
            <w:r w:rsidRPr="00091B41">
              <w:rPr>
                <w:rStyle w:val="Heading2Char"/>
                <w:rFonts w:asciiTheme="minorHAnsi" w:hAnsiTheme="minorHAnsi" w:cstheme="minorHAnsi"/>
                <w:b/>
                <w:sz w:val="20"/>
                <w:szCs w:val="20"/>
              </w:rPr>
              <w:t>Timeframe</w:t>
            </w:r>
          </w:p>
        </w:tc>
      </w:tr>
      <w:tr w:rsidR="001F0168" w:rsidRPr="00091B41" w14:paraId="7C9DB97E" w14:textId="77777777" w:rsidTr="00436DD0">
        <w:tc>
          <w:tcPr>
            <w:tcW w:w="5000" w:type="pct"/>
            <w:gridSpan w:val="4"/>
          </w:tcPr>
          <w:p w14:paraId="1FE70453" w14:textId="77777777" w:rsidR="001F0168" w:rsidRPr="00FA496F" w:rsidRDefault="001F0168" w:rsidP="00890B67">
            <w:pPr>
              <w:pStyle w:val="Level2Heading"/>
              <w:numPr>
                <w:ilvl w:val="0"/>
                <w:numId w:val="0"/>
              </w:numPr>
              <w:spacing w:before="0" w:after="0"/>
              <w:rPr>
                <w:rStyle w:val="Heading2Char"/>
                <w:rFonts w:asciiTheme="minorHAnsi" w:hAnsiTheme="minorHAnsi" w:cstheme="minorHAnsi"/>
                <w:b/>
                <w:i/>
                <w:sz w:val="20"/>
                <w:szCs w:val="20"/>
              </w:rPr>
            </w:pPr>
            <w:r w:rsidRPr="00FA496F">
              <w:rPr>
                <w:rStyle w:val="Heading2Char"/>
                <w:rFonts w:asciiTheme="minorHAnsi" w:hAnsiTheme="minorHAnsi" w:cstheme="minorHAnsi"/>
                <w:b/>
                <w:i/>
                <w:sz w:val="20"/>
                <w:szCs w:val="20"/>
              </w:rPr>
              <w:t>Program targets and direction</w:t>
            </w:r>
          </w:p>
        </w:tc>
      </w:tr>
      <w:tr w:rsidR="00FA496F" w:rsidRPr="00E74279" w14:paraId="42305EA3" w14:textId="77777777" w:rsidTr="00436DD0">
        <w:tc>
          <w:tcPr>
            <w:tcW w:w="3163" w:type="pct"/>
          </w:tcPr>
          <w:p w14:paraId="49E212B4" w14:textId="77777777" w:rsidR="00FA496F" w:rsidRPr="00FA496F" w:rsidRDefault="00FA496F" w:rsidP="00AC0818">
            <w:pPr>
              <w:pStyle w:val="ListParagraph"/>
              <w:numPr>
                <w:ilvl w:val="0"/>
                <w:numId w:val="61"/>
              </w:numPr>
              <w:spacing w:line="276" w:lineRule="auto"/>
              <w:contextualSpacing w:val="0"/>
              <w:rPr>
                <w:b/>
                <w:lang w:val="en-AU"/>
              </w:rPr>
            </w:pPr>
            <w:r w:rsidRPr="00E74279">
              <w:rPr>
                <w:rFonts w:cstheme="minorHAnsi"/>
                <w:sz w:val="20"/>
                <w:szCs w:val="20"/>
                <w:lang w:val="en-AU"/>
              </w:rPr>
              <w:t>Australian aid health sector support maintains consistent priorities at least until the end of THSSP2.</w:t>
            </w:r>
          </w:p>
        </w:tc>
        <w:tc>
          <w:tcPr>
            <w:tcW w:w="687" w:type="pct"/>
          </w:tcPr>
          <w:p w14:paraId="00F46E05"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DFAT</w:t>
            </w:r>
          </w:p>
        </w:tc>
        <w:tc>
          <w:tcPr>
            <w:tcW w:w="576" w:type="pct"/>
            <w:shd w:val="clear" w:color="auto" w:fill="FF9999"/>
          </w:tcPr>
          <w:p w14:paraId="3C2D5523"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High</w:t>
            </w:r>
          </w:p>
        </w:tc>
        <w:tc>
          <w:tcPr>
            <w:tcW w:w="574" w:type="pct"/>
            <w:shd w:val="clear" w:color="auto" w:fill="auto"/>
          </w:tcPr>
          <w:p w14:paraId="3227F6B5"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Immediate ratification, with effect 2019/20 annual plans</w:t>
            </w:r>
          </w:p>
        </w:tc>
      </w:tr>
      <w:tr w:rsidR="00FA496F" w:rsidRPr="00E74279" w14:paraId="5B4D3E01" w14:textId="77777777" w:rsidTr="00436DD0">
        <w:tc>
          <w:tcPr>
            <w:tcW w:w="3163" w:type="pct"/>
          </w:tcPr>
          <w:p w14:paraId="54AB67BC" w14:textId="77777777" w:rsidR="00FA496F" w:rsidRPr="00FA496F" w:rsidRDefault="00FA496F" w:rsidP="00896F52">
            <w:pPr>
              <w:pStyle w:val="ListParagraph"/>
              <w:numPr>
                <w:ilvl w:val="0"/>
                <w:numId w:val="61"/>
              </w:numPr>
              <w:spacing w:line="276" w:lineRule="auto"/>
              <w:contextualSpacing w:val="0"/>
              <w:rPr>
                <w:b/>
                <w:lang w:val="en-AU"/>
              </w:rPr>
            </w:pPr>
            <w:r w:rsidRPr="00E74279">
              <w:rPr>
                <w:rFonts w:cstheme="minorHAnsi"/>
                <w:sz w:val="20"/>
                <w:szCs w:val="20"/>
                <w:lang w:val="en-AU"/>
              </w:rPr>
              <w:lastRenderedPageBreak/>
              <w:t>THSSP2 annual planning be specifically aligned with the operationalisation of the PEHS.</w:t>
            </w:r>
          </w:p>
        </w:tc>
        <w:tc>
          <w:tcPr>
            <w:tcW w:w="687" w:type="pct"/>
          </w:tcPr>
          <w:p w14:paraId="4EB76CF0"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MoH/DFAT</w:t>
            </w:r>
          </w:p>
        </w:tc>
        <w:tc>
          <w:tcPr>
            <w:tcW w:w="576" w:type="pct"/>
            <w:shd w:val="clear" w:color="auto" w:fill="FFC000"/>
          </w:tcPr>
          <w:p w14:paraId="6DDB24A0"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High/</w:t>
            </w:r>
            <w:r>
              <w:rPr>
                <w:rStyle w:val="Heading2Char"/>
                <w:rFonts w:asciiTheme="minorHAnsi" w:hAnsiTheme="minorHAnsi" w:cstheme="minorHAnsi"/>
                <w:color w:val="auto"/>
                <w:sz w:val="20"/>
                <w:szCs w:val="20"/>
              </w:rPr>
              <w:t xml:space="preserve"> </w:t>
            </w:r>
            <w:r w:rsidRPr="00E74279">
              <w:rPr>
                <w:rStyle w:val="Heading2Char"/>
                <w:rFonts w:asciiTheme="minorHAnsi" w:hAnsiTheme="minorHAnsi" w:cstheme="minorHAnsi"/>
                <w:color w:val="auto"/>
                <w:sz w:val="20"/>
                <w:szCs w:val="20"/>
              </w:rPr>
              <w:t>Med</w:t>
            </w:r>
            <w:r>
              <w:rPr>
                <w:rStyle w:val="Heading2Char"/>
                <w:rFonts w:asciiTheme="minorHAnsi" w:hAnsiTheme="minorHAnsi" w:cstheme="minorHAnsi"/>
                <w:color w:val="auto"/>
                <w:sz w:val="20"/>
                <w:szCs w:val="20"/>
              </w:rPr>
              <w:t>ium</w:t>
            </w:r>
          </w:p>
        </w:tc>
        <w:tc>
          <w:tcPr>
            <w:tcW w:w="574" w:type="pct"/>
            <w:shd w:val="clear" w:color="auto" w:fill="auto"/>
          </w:tcPr>
          <w:p w14:paraId="0B190E7B"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2019/20 onwards</w:t>
            </w:r>
          </w:p>
        </w:tc>
      </w:tr>
      <w:tr w:rsidR="00FA496F" w:rsidRPr="00E74279" w14:paraId="3D1D71AA" w14:textId="77777777" w:rsidTr="00436DD0">
        <w:tc>
          <w:tcPr>
            <w:tcW w:w="3163" w:type="pct"/>
          </w:tcPr>
          <w:p w14:paraId="3D50847B" w14:textId="77777777" w:rsidR="00FA496F" w:rsidRPr="00FA496F" w:rsidRDefault="00FA496F" w:rsidP="00896F52">
            <w:pPr>
              <w:pStyle w:val="ListParagraph"/>
              <w:numPr>
                <w:ilvl w:val="0"/>
                <w:numId w:val="61"/>
              </w:numPr>
              <w:spacing w:line="276" w:lineRule="auto"/>
              <w:contextualSpacing w:val="0"/>
              <w:rPr>
                <w:b/>
                <w:lang w:val="en-AU"/>
              </w:rPr>
            </w:pPr>
            <w:r w:rsidRPr="00E74279">
              <w:rPr>
                <w:rFonts w:cstheme="minorHAnsi"/>
                <w:sz w:val="20"/>
                <w:szCs w:val="20"/>
                <w:lang w:val="en-AU"/>
              </w:rPr>
              <w:t xml:space="preserve">THSSP2 annual planning continues in parallel with MoH annual planning until the end of Phase 2, and that </w:t>
            </w:r>
            <w:r w:rsidRPr="00FA496F">
              <w:rPr>
                <w:rFonts w:cstheme="minorHAnsi"/>
                <w:sz w:val="20"/>
                <w:szCs w:val="20"/>
                <w:lang w:val="en-AU"/>
              </w:rPr>
              <w:t>future Australian aid works towards integrated MoH/THSSP annual planning</w:t>
            </w:r>
            <w:r w:rsidRPr="00FA496F">
              <w:rPr>
                <w:lang w:val="en-AU"/>
              </w:rPr>
              <w:t>.</w:t>
            </w:r>
          </w:p>
        </w:tc>
        <w:tc>
          <w:tcPr>
            <w:tcW w:w="687" w:type="pct"/>
          </w:tcPr>
          <w:p w14:paraId="54F72D89"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MoH/DFAT</w:t>
            </w:r>
          </w:p>
        </w:tc>
        <w:tc>
          <w:tcPr>
            <w:tcW w:w="576" w:type="pct"/>
            <w:shd w:val="clear" w:color="auto" w:fill="FFC000"/>
          </w:tcPr>
          <w:p w14:paraId="299ACC38"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High/</w:t>
            </w:r>
            <w:r>
              <w:rPr>
                <w:rStyle w:val="Heading2Char"/>
                <w:rFonts w:asciiTheme="minorHAnsi" w:hAnsiTheme="minorHAnsi" w:cstheme="minorHAnsi"/>
                <w:color w:val="auto"/>
                <w:sz w:val="20"/>
                <w:szCs w:val="20"/>
              </w:rPr>
              <w:t xml:space="preserve"> </w:t>
            </w:r>
            <w:r w:rsidRPr="00E74279">
              <w:rPr>
                <w:rStyle w:val="Heading2Char"/>
                <w:rFonts w:asciiTheme="minorHAnsi" w:hAnsiTheme="minorHAnsi" w:cstheme="minorHAnsi"/>
                <w:color w:val="auto"/>
                <w:sz w:val="20"/>
                <w:szCs w:val="20"/>
              </w:rPr>
              <w:t>Med</w:t>
            </w:r>
            <w:r>
              <w:rPr>
                <w:rStyle w:val="Heading2Char"/>
                <w:rFonts w:asciiTheme="minorHAnsi" w:hAnsiTheme="minorHAnsi" w:cstheme="minorHAnsi"/>
                <w:color w:val="auto"/>
                <w:sz w:val="20"/>
                <w:szCs w:val="20"/>
              </w:rPr>
              <w:t>ium</w:t>
            </w:r>
          </w:p>
        </w:tc>
        <w:tc>
          <w:tcPr>
            <w:tcW w:w="574" w:type="pct"/>
            <w:shd w:val="clear" w:color="auto" w:fill="auto"/>
          </w:tcPr>
          <w:p w14:paraId="329945F4"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2019/20 onwards</w:t>
            </w:r>
          </w:p>
        </w:tc>
      </w:tr>
      <w:tr w:rsidR="001F0168" w:rsidRPr="00E74279" w14:paraId="2FE11FC6" w14:textId="77777777" w:rsidTr="00436DD0">
        <w:tc>
          <w:tcPr>
            <w:tcW w:w="5000" w:type="pct"/>
            <w:gridSpan w:val="4"/>
          </w:tcPr>
          <w:p w14:paraId="2D9E604C" w14:textId="77777777" w:rsidR="001F0168" w:rsidRPr="00FA496F" w:rsidRDefault="001F0168" w:rsidP="00890B67">
            <w:pPr>
              <w:pStyle w:val="Level2Heading"/>
              <w:numPr>
                <w:ilvl w:val="0"/>
                <w:numId w:val="0"/>
              </w:numPr>
              <w:spacing w:before="0" w:after="0"/>
              <w:rPr>
                <w:rStyle w:val="Heading2Char"/>
                <w:rFonts w:asciiTheme="minorHAnsi" w:hAnsiTheme="minorHAnsi" w:cstheme="minorHAnsi"/>
                <w:i/>
                <w:color w:val="auto"/>
                <w:sz w:val="20"/>
                <w:szCs w:val="20"/>
              </w:rPr>
            </w:pPr>
            <w:r w:rsidRPr="00FA496F">
              <w:rPr>
                <w:rFonts w:asciiTheme="minorHAnsi" w:hAnsiTheme="minorHAnsi" w:cstheme="minorHAnsi"/>
                <w:i/>
                <w:sz w:val="20"/>
                <w:szCs w:val="20"/>
              </w:rPr>
              <w:t>Program oversight and engagement</w:t>
            </w:r>
          </w:p>
        </w:tc>
      </w:tr>
      <w:tr w:rsidR="00FA496F" w:rsidRPr="00E74279" w14:paraId="7DF0C691" w14:textId="77777777" w:rsidTr="00436DD0">
        <w:tc>
          <w:tcPr>
            <w:tcW w:w="3163" w:type="pct"/>
          </w:tcPr>
          <w:p w14:paraId="6A8CB270" w14:textId="77777777" w:rsidR="00FA496F" w:rsidRPr="00FA496F" w:rsidRDefault="00FA496F" w:rsidP="00896F52">
            <w:pPr>
              <w:pStyle w:val="ListParagraph"/>
              <w:numPr>
                <w:ilvl w:val="0"/>
                <w:numId w:val="61"/>
              </w:numPr>
              <w:spacing w:line="276" w:lineRule="auto"/>
              <w:contextualSpacing w:val="0"/>
              <w:rPr>
                <w:b/>
                <w:lang w:val="en-AU"/>
              </w:rPr>
            </w:pPr>
            <w:r w:rsidRPr="00E74279">
              <w:rPr>
                <w:rFonts w:cstheme="minorHAnsi"/>
                <w:sz w:val="20"/>
                <w:szCs w:val="20"/>
                <w:lang w:val="en-AU"/>
              </w:rPr>
              <w:t>THSSP2 program oversight is re-assigned to the MoH level for the remainder of Phase 2.</w:t>
            </w:r>
          </w:p>
        </w:tc>
        <w:tc>
          <w:tcPr>
            <w:tcW w:w="687" w:type="pct"/>
          </w:tcPr>
          <w:p w14:paraId="32A665C7"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MoH</w:t>
            </w:r>
          </w:p>
        </w:tc>
        <w:tc>
          <w:tcPr>
            <w:tcW w:w="576" w:type="pct"/>
            <w:shd w:val="clear" w:color="auto" w:fill="FF9999"/>
          </w:tcPr>
          <w:p w14:paraId="349B5D22"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High</w:t>
            </w:r>
          </w:p>
        </w:tc>
        <w:tc>
          <w:tcPr>
            <w:tcW w:w="574" w:type="pct"/>
            <w:shd w:val="clear" w:color="auto" w:fill="auto"/>
          </w:tcPr>
          <w:p w14:paraId="4750B306"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Immediate</w:t>
            </w:r>
          </w:p>
        </w:tc>
      </w:tr>
      <w:tr w:rsidR="00FA496F" w:rsidRPr="00E74279" w14:paraId="1F720EF0" w14:textId="77777777" w:rsidTr="000C39CF">
        <w:tc>
          <w:tcPr>
            <w:tcW w:w="3163" w:type="pct"/>
          </w:tcPr>
          <w:p w14:paraId="18FE9D44" w14:textId="77777777" w:rsidR="00FA496F" w:rsidRPr="00FA496F" w:rsidRDefault="00FA496F" w:rsidP="00896F52">
            <w:pPr>
              <w:pStyle w:val="ListParagraph"/>
              <w:numPr>
                <w:ilvl w:val="0"/>
                <w:numId w:val="61"/>
              </w:numPr>
              <w:spacing w:line="276" w:lineRule="auto"/>
              <w:contextualSpacing w:val="0"/>
              <w:rPr>
                <w:b/>
                <w:lang w:val="en-AU"/>
              </w:rPr>
            </w:pPr>
            <w:r w:rsidRPr="00E74279">
              <w:rPr>
                <w:rFonts w:cstheme="minorHAnsi"/>
                <w:sz w:val="20"/>
                <w:szCs w:val="20"/>
                <w:lang w:val="en-AU"/>
              </w:rPr>
              <w:t>THSSP2 progress reporting and acquittal procedures be simplified.</w:t>
            </w:r>
          </w:p>
        </w:tc>
        <w:tc>
          <w:tcPr>
            <w:tcW w:w="687" w:type="pct"/>
          </w:tcPr>
          <w:p w14:paraId="7AE40574"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DFAT/MoH</w:t>
            </w:r>
          </w:p>
        </w:tc>
        <w:tc>
          <w:tcPr>
            <w:tcW w:w="576" w:type="pct"/>
            <w:shd w:val="clear" w:color="auto" w:fill="FFE599" w:themeFill="accent4" w:themeFillTint="66"/>
          </w:tcPr>
          <w:p w14:paraId="18B2257C"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Med</w:t>
            </w:r>
            <w:r>
              <w:rPr>
                <w:rStyle w:val="Heading2Char"/>
                <w:rFonts w:asciiTheme="minorHAnsi" w:hAnsiTheme="minorHAnsi" w:cstheme="minorHAnsi"/>
                <w:color w:val="auto"/>
                <w:sz w:val="20"/>
                <w:szCs w:val="20"/>
              </w:rPr>
              <w:t>ium</w:t>
            </w:r>
          </w:p>
        </w:tc>
        <w:tc>
          <w:tcPr>
            <w:tcW w:w="574" w:type="pct"/>
            <w:shd w:val="clear" w:color="auto" w:fill="auto"/>
          </w:tcPr>
          <w:p w14:paraId="0554C0B8"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2019/20 onwards</w:t>
            </w:r>
          </w:p>
        </w:tc>
      </w:tr>
      <w:tr w:rsidR="00FA496F" w:rsidRPr="00E74279" w14:paraId="4E049804" w14:textId="77777777" w:rsidTr="000C39CF">
        <w:tc>
          <w:tcPr>
            <w:tcW w:w="3163" w:type="pct"/>
          </w:tcPr>
          <w:p w14:paraId="75B3DA96" w14:textId="77777777" w:rsidR="00FA496F" w:rsidRPr="00FA496F" w:rsidRDefault="00FA496F" w:rsidP="00896F52">
            <w:pPr>
              <w:pStyle w:val="ListParagraph"/>
              <w:numPr>
                <w:ilvl w:val="0"/>
                <w:numId w:val="61"/>
              </w:numPr>
              <w:spacing w:line="276" w:lineRule="auto"/>
              <w:contextualSpacing w:val="0"/>
              <w:rPr>
                <w:b/>
                <w:lang w:val="en-AU"/>
              </w:rPr>
            </w:pPr>
            <w:r w:rsidRPr="00E74279">
              <w:rPr>
                <w:rFonts w:cstheme="minorHAnsi"/>
                <w:sz w:val="20"/>
                <w:szCs w:val="20"/>
                <w:lang w:val="en-AU"/>
              </w:rPr>
              <w:t>The criteria for the performance-based payment be simplified, worded more explicitly, and focused on fewer themes.</w:t>
            </w:r>
          </w:p>
        </w:tc>
        <w:tc>
          <w:tcPr>
            <w:tcW w:w="687" w:type="pct"/>
          </w:tcPr>
          <w:p w14:paraId="0FD59EB0"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DFAT</w:t>
            </w:r>
          </w:p>
        </w:tc>
        <w:tc>
          <w:tcPr>
            <w:tcW w:w="576" w:type="pct"/>
            <w:shd w:val="clear" w:color="auto" w:fill="FFE599" w:themeFill="accent4" w:themeFillTint="66"/>
          </w:tcPr>
          <w:p w14:paraId="11357286"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Med</w:t>
            </w:r>
            <w:r>
              <w:rPr>
                <w:rStyle w:val="Heading2Char"/>
                <w:rFonts w:asciiTheme="minorHAnsi" w:hAnsiTheme="minorHAnsi" w:cstheme="minorHAnsi"/>
                <w:color w:val="auto"/>
                <w:sz w:val="20"/>
                <w:szCs w:val="20"/>
              </w:rPr>
              <w:t>ium</w:t>
            </w:r>
          </w:p>
        </w:tc>
        <w:tc>
          <w:tcPr>
            <w:tcW w:w="574" w:type="pct"/>
            <w:shd w:val="clear" w:color="auto" w:fill="auto"/>
          </w:tcPr>
          <w:p w14:paraId="4A773514" w14:textId="77777777" w:rsidR="00FA496F"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Before 2019/20 year</w:t>
            </w:r>
          </w:p>
          <w:p w14:paraId="5A3C1528" w14:textId="77777777" w:rsidR="00B61DFB" w:rsidRPr="00B61DFB" w:rsidRDefault="00B61DFB" w:rsidP="00B61DFB">
            <w:pPr>
              <w:rPr>
                <w:lang w:eastAsia="ja-JP"/>
              </w:rPr>
            </w:pPr>
          </w:p>
        </w:tc>
      </w:tr>
      <w:tr w:rsidR="00FA496F" w:rsidRPr="00E74279" w14:paraId="7C5328BE" w14:textId="77777777" w:rsidTr="00436DD0">
        <w:tc>
          <w:tcPr>
            <w:tcW w:w="5000" w:type="pct"/>
            <w:gridSpan w:val="4"/>
          </w:tcPr>
          <w:p w14:paraId="2148AE4B" w14:textId="77777777" w:rsidR="00FA496F" w:rsidRPr="00FA496F" w:rsidRDefault="00FA496F" w:rsidP="00890B67">
            <w:pPr>
              <w:pStyle w:val="Level2Heading"/>
              <w:numPr>
                <w:ilvl w:val="0"/>
                <w:numId w:val="0"/>
              </w:numPr>
              <w:spacing w:before="0" w:after="0"/>
              <w:rPr>
                <w:rStyle w:val="Heading2Char"/>
                <w:rFonts w:asciiTheme="minorHAnsi" w:hAnsiTheme="minorHAnsi" w:cstheme="minorHAnsi"/>
                <w:i/>
                <w:color w:val="auto"/>
                <w:sz w:val="20"/>
                <w:szCs w:val="20"/>
              </w:rPr>
            </w:pPr>
            <w:r w:rsidRPr="00FA496F">
              <w:rPr>
                <w:rFonts w:asciiTheme="minorHAnsi" w:hAnsiTheme="minorHAnsi" w:cstheme="minorHAnsi"/>
                <w:i/>
                <w:sz w:val="20"/>
                <w:szCs w:val="20"/>
              </w:rPr>
              <w:t>Program performance measurement</w:t>
            </w:r>
          </w:p>
        </w:tc>
      </w:tr>
      <w:tr w:rsidR="00FA496F" w:rsidRPr="00E74279" w14:paraId="779A08F3" w14:textId="77777777" w:rsidTr="00436DD0">
        <w:tc>
          <w:tcPr>
            <w:tcW w:w="3179" w:type="pct"/>
          </w:tcPr>
          <w:p w14:paraId="1D4EF564" w14:textId="77777777" w:rsidR="00FA496F" w:rsidRPr="00FA496F" w:rsidRDefault="00FA496F" w:rsidP="00896F52">
            <w:pPr>
              <w:pStyle w:val="ListParagraph"/>
              <w:numPr>
                <w:ilvl w:val="0"/>
                <w:numId w:val="61"/>
              </w:numPr>
              <w:spacing w:line="276" w:lineRule="auto"/>
              <w:contextualSpacing w:val="0"/>
              <w:rPr>
                <w:b/>
                <w:lang w:val="en-AU"/>
              </w:rPr>
            </w:pPr>
            <w:r w:rsidRPr="00E74279">
              <w:rPr>
                <w:rFonts w:cstheme="minorHAnsi"/>
                <w:sz w:val="20"/>
                <w:szCs w:val="20"/>
                <w:lang w:val="en-AU"/>
              </w:rPr>
              <w:t>DFAT adopts a more pragmatic approach towards THSSP2 performance measurement for the remainder of Phase 2.</w:t>
            </w:r>
          </w:p>
        </w:tc>
        <w:tc>
          <w:tcPr>
            <w:tcW w:w="652" w:type="pct"/>
          </w:tcPr>
          <w:p w14:paraId="7928B43F"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DFAT</w:t>
            </w:r>
          </w:p>
        </w:tc>
        <w:tc>
          <w:tcPr>
            <w:tcW w:w="584" w:type="pct"/>
            <w:shd w:val="clear" w:color="auto" w:fill="FF9999"/>
          </w:tcPr>
          <w:p w14:paraId="2997DA8F"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High</w:t>
            </w:r>
          </w:p>
        </w:tc>
        <w:tc>
          <w:tcPr>
            <w:tcW w:w="584" w:type="pct"/>
            <w:shd w:val="clear" w:color="auto" w:fill="auto"/>
          </w:tcPr>
          <w:p w14:paraId="41A87B96" w14:textId="77777777" w:rsidR="00FA496F" w:rsidRPr="00E74279" w:rsidRDefault="00FA496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2019/20 onwards</w:t>
            </w:r>
          </w:p>
        </w:tc>
      </w:tr>
      <w:tr w:rsidR="00FA496F" w:rsidRPr="00E74279" w14:paraId="6642F17C" w14:textId="77777777" w:rsidTr="00436DD0">
        <w:tc>
          <w:tcPr>
            <w:tcW w:w="5000" w:type="pct"/>
            <w:gridSpan w:val="4"/>
          </w:tcPr>
          <w:p w14:paraId="6B563BD9" w14:textId="77777777" w:rsidR="00FA496F" w:rsidRPr="00FA496F" w:rsidRDefault="00FA496F" w:rsidP="00890B67">
            <w:pPr>
              <w:pStyle w:val="Level2Heading"/>
              <w:numPr>
                <w:ilvl w:val="0"/>
                <w:numId w:val="0"/>
              </w:numPr>
              <w:spacing w:before="0" w:after="0"/>
              <w:rPr>
                <w:rStyle w:val="Heading2Char"/>
                <w:rFonts w:asciiTheme="minorHAnsi" w:hAnsiTheme="minorHAnsi" w:cstheme="minorHAnsi"/>
                <w:i/>
                <w:color w:val="auto"/>
                <w:sz w:val="20"/>
                <w:szCs w:val="20"/>
              </w:rPr>
            </w:pPr>
            <w:r w:rsidRPr="00FA496F">
              <w:rPr>
                <w:rFonts w:asciiTheme="minorHAnsi" w:hAnsiTheme="minorHAnsi" w:cstheme="minorHAnsi"/>
                <w:i/>
                <w:sz w:val="20"/>
                <w:szCs w:val="20"/>
              </w:rPr>
              <w:t>NCD prevention</w:t>
            </w:r>
          </w:p>
        </w:tc>
      </w:tr>
      <w:tr w:rsidR="00436DD0" w:rsidRPr="00E74279" w14:paraId="44B871E3" w14:textId="77777777" w:rsidTr="00890B67">
        <w:tc>
          <w:tcPr>
            <w:tcW w:w="1" w:type="pct"/>
          </w:tcPr>
          <w:p w14:paraId="3137136A" w14:textId="77777777" w:rsidR="00436DD0" w:rsidRPr="00436DD0" w:rsidRDefault="00436DD0" w:rsidP="00896F52">
            <w:pPr>
              <w:pStyle w:val="ListParagraph"/>
              <w:numPr>
                <w:ilvl w:val="0"/>
                <w:numId w:val="61"/>
              </w:numPr>
              <w:spacing w:line="276" w:lineRule="auto"/>
              <w:contextualSpacing w:val="0"/>
              <w:rPr>
                <w:b/>
                <w:lang w:val="en-AU"/>
              </w:rPr>
            </w:pPr>
            <w:r w:rsidRPr="00436DD0">
              <w:rPr>
                <w:rFonts w:cstheme="minorHAnsi"/>
                <w:sz w:val="20"/>
                <w:szCs w:val="20"/>
                <w:lang w:val="en-AU"/>
              </w:rPr>
              <w:t>TongaHealth’s grant application and management processes and systems be simplified and streamlined to the extent possible.</w:t>
            </w:r>
          </w:p>
        </w:tc>
        <w:tc>
          <w:tcPr>
            <w:tcW w:w="652" w:type="pct"/>
          </w:tcPr>
          <w:p w14:paraId="28F09C88" w14:textId="77777777" w:rsidR="00436DD0" w:rsidRPr="00E74279" w:rsidRDefault="00436DD0" w:rsidP="001F0168">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TongaHealth</w:t>
            </w:r>
          </w:p>
        </w:tc>
        <w:tc>
          <w:tcPr>
            <w:tcW w:w="584" w:type="pct"/>
            <w:shd w:val="clear" w:color="auto" w:fill="FFE599" w:themeFill="accent4" w:themeFillTint="66"/>
          </w:tcPr>
          <w:p w14:paraId="31B1CAC6" w14:textId="77777777" w:rsidR="00436DD0" w:rsidRPr="00E74279" w:rsidRDefault="00436DD0" w:rsidP="001F0168">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Med</w:t>
            </w:r>
            <w:r>
              <w:rPr>
                <w:rStyle w:val="Heading2Char"/>
                <w:rFonts w:asciiTheme="minorHAnsi" w:hAnsiTheme="minorHAnsi" w:cstheme="minorHAnsi"/>
                <w:color w:val="auto"/>
                <w:sz w:val="20"/>
                <w:szCs w:val="20"/>
              </w:rPr>
              <w:t>ium</w:t>
            </w:r>
          </w:p>
        </w:tc>
        <w:tc>
          <w:tcPr>
            <w:tcW w:w="584" w:type="pct"/>
            <w:shd w:val="clear" w:color="auto" w:fill="auto"/>
          </w:tcPr>
          <w:p w14:paraId="0CBCDEB5" w14:textId="77777777" w:rsidR="00436DD0" w:rsidRPr="00E74279" w:rsidRDefault="00436DD0" w:rsidP="001F0168">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Before end of phase 2</w:t>
            </w:r>
          </w:p>
        </w:tc>
      </w:tr>
      <w:tr w:rsidR="00436DD0" w:rsidRPr="00E74279" w14:paraId="0D6651B0" w14:textId="77777777" w:rsidTr="00890B67">
        <w:tc>
          <w:tcPr>
            <w:tcW w:w="1" w:type="pct"/>
          </w:tcPr>
          <w:p w14:paraId="72F5EAC7" w14:textId="77777777" w:rsidR="00436DD0" w:rsidRPr="00436DD0" w:rsidRDefault="00436DD0" w:rsidP="00896F52">
            <w:pPr>
              <w:pStyle w:val="ListParagraph"/>
              <w:numPr>
                <w:ilvl w:val="0"/>
                <w:numId w:val="61"/>
              </w:numPr>
              <w:spacing w:line="276" w:lineRule="auto"/>
              <w:contextualSpacing w:val="0"/>
              <w:rPr>
                <w:b/>
                <w:lang w:val="en-AU"/>
              </w:rPr>
            </w:pPr>
            <w:r w:rsidRPr="00436DD0">
              <w:rPr>
                <w:rFonts w:cstheme="minorHAnsi"/>
                <w:sz w:val="20"/>
                <w:szCs w:val="20"/>
                <w:lang w:val="en-AU"/>
              </w:rPr>
              <w:t>TongaHealth proactively encourages grant applications based on strategic relevance.</w:t>
            </w:r>
          </w:p>
        </w:tc>
        <w:tc>
          <w:tcPr>
            <w:tcW w:w="687" w:type="pct"/>
          </w:tcPr>
          <w:p w14:paraId="5F3CC1E9"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TongaHealth</w:t>
            </w:r>
          </w:p>
        </w:tc>
        <w:tc>
          <w:tcPr>
            <w:tcW w:w="577" w:type="pct"/>
            <w:shd w:val="clear" w:color="auto" w:fill="FFC000"/>
          </w:tcPr>
          <w:p w14:paraId="38E7FDF5"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Pr>
                <w:rStyle w:val="Heading2Char"/>
                <w:rFonts w:asciiTheme="minorHAnsi" w:hAnsiTheme="minorHAnsi" w:cstheme="minorHAnsi"/>
                <w:color w:val="auto"/>
                <w:sz w:val="20"/>
                <w:szCs w:val="20"/>
              </w:rPr>
              <w:t xml:space="preserve">High/ </w:t>
            </w:r>
            <w:r w:rsidRPr="00E74279">
              <w:rPr>
                <w:rStyle w:val="Heading2Char"/>
                <w:rFonts w:asciiTheme="minorHAnsi" w:hAnsiTheme="minorHAnsi" w:cstheme="minorHAnsi"/>
                <w:color w:val="auto"/>
                <w:sz w:val="20"/>
                <w:szCs w:val="20"/>
              </w:rPr>
              <w:t>Med</w:t>
            </w:r>
            <w:r>
              <w:rPr>
                <w:rStyle w:val="Heading2Char"/>
                <w:rFonts w:asciiTheme="minorHAnsi" w:hAnsiTheme="minorHAnsi" w:cstheme="minorHAnsi"/>
                <w:color w:val="auto"/>
                <w:sz w:val="20"/>
                <w:szCs w:val="20"/>
              </w:rPr>
              <w:t>ium</w:t>
            </w:r>
          </w:p>
        </w:tc>
        <w:tc>
          <w:tcPr>
            <w:tcW w:w="578" w:type="pct"/>
            <w:shd w:val="clear" w:color="auto" w:fill="auto"/>
          </w:tcPr>
          <w:p w14:paraId="37067293"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From 2019/20 onwards</w:t>
            </w:r>
          </w:p>
        </w:tc>
      </w:tr>
      <w:tr w:rsidR="00436DD0" w:rsidRPr="00E74279" w14:paraId="18CF9F5C" w14:textId="77777777" w:rsidTr="00890B67">
        <w:tc>
          <w:tcPr>
            <w:tcW w:w="1" w:type="pct"/>
          </w:tcPr>
          <w:p w14:paraId="29589013" w14:textId="77777777" w:rsidR="00436DD0" w:rsidRPr="00436DD0" w:rsidRDefault="00436DD0" w:rsidP="00896F52">
            <w:pPr>
              <w:pStyle w:val="ListParagraph"/>
              <w:numPr>
                <w:ilvl w:val="0"/>
                <w:numId w:val="61"/>
              </w:numPr>
              <w:spacing w:line="276" w:lineRule="auto"/>
              <w:contextualSpacing w:val="0"/>
              <w:rPr>
                <w:b/>
                <w:lang w:val="en-AU"/>
              </w:rPr>
            </w:pPr>
            <w:r w:rsidRPr="00436DD0">
              <w:rPr>
                <w:rFonts w:cstheme="minorHAnsi"/>
                <w:sz w:val="20"/>
                <w:szCs w:val="20"/>
                <w:lang w:val="en-AU"/>
              </w:rPr>
              <w:t>TongaHealth supports and facilitates local research to inform and evaluate health promotion messages and focus (healthy eating, health-promoting churches and NCD control).</w:t>
            </w:r>
          </w:p>
        </w:tc>
        <w:tc>
          <w:tcPr>
            <w:tcW w:w="687" w:type="pct"/>
          </w:tcPr>
          <w:p w14:paraId="459BF927"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TongaHealth</w:t>
            </w:r>
          </w:p>
        </w:tc>
        <w:tc>
          <w:tcPr>
            <w:tcW w:w="578" w:type="pct"/>
            <w:shd w:val="clear" w:color="auto" w:fill="FFE599" w:themeFill="accent4" w:themeFillTint="66"/>
          </w:tcPr>
          <w:p w14:paraId="0BB21541"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Med</w:t>
            </w:r>
            <w:r>
              <w:rPr>
                <w:rStyle w:val="Heading2Char"/>
                <w:rFonts w:asciiTheme="minorHAnsi" w:hAnsiTheme="minorHAnsi" w:cstheme="minorHAnsi"/>
                <w:color w:val="auto"/>
                <w:sz w:val="20"/>
                <w:szCs w:val="20"/>
              </w:rPr>
              <w:t>ium</w:t>
            </w:r>
          </w:p>
        </w:tc>
        <w:tc>
          <w:tcPr>
            <w:tcW w:w="574" w:type="pct"/>
            <w:shd w:val="clear" w:color="auto" w:fill="auto"/>
          </w:tcPr>
          <w:p w14:paraId="49E6080C"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Initial steps taken before end of phase 2</w:t>
            </w:r>
          </w:p>
        </w:tc>
      </w:tr>
      <w:tr w:rsidR="00436DD0" w:rsidRPr="00E74279" w14:paraId="48D092E1" w14:textId="77777777" w:rsidTr="00890B67">
        <w:tc>
          <w:tcPr>
            <w:tcW w:w="1" w:type="pct"/>
            <w:gridSpan w:val="4"/>
          </w:tcPr>
          <w:p w14:paraId="70214E95" w14:textId="77777777" w:rsidR="00436DD0" w:rsidRPr="00436DD0" w:rsidRDefault="00436DD0" w:rsidP="00890B67">
            <w:pPr>
              <w:pStyle w:val="Level2Heading"/>
              <w:numPr>
                <w:ilvl w:val="0"/>
                <w:numId w:val="0"/>
              </w:numPr>
              <w:spacing w:before="0" w:after="0"/>
              <w:rPr>
                <w:rStyle w:val="Heading2Char"/>
                <w:rFonts w:asciiTheme="minorHAnsi" w:hAnsiTheme="minorHAnsi" w:cstheme="minorHAnsi"/>
                <w:i/>
                <w:color w:val="auto"/>
                <w:sz w:val="20"/>
                <w:szCs w:val="20"/>
              </w:rPr>
            </w:pPr>
            <w:r w:rsidRPr="00436DD0">
              <w:rPr>
                <w:rFonts w:asciiTheme="minorHAnsi" w:hAnsiTheme="minorHAnsi" w:cstheme="minorHAnsi"/>
                <w:i/>
                <w:sz w:val="20"/>
                <w:szCs w:val="20"/>
              </w:rPr>
              <w:t>NCD management and universal health coverage</w:t>
            </w:r>
          </w:p>
        </w:tc>
      </w:tr>
      <w:tr w:rsidR="00436DD0" w:rsidRPr="00E74279" w14:paraId="66A2D2A9" w14:textId="77777777" w:rsidTr="00890B67">
        <w:tc>
          <w:tcPr>
            <w:tcW w:w="1" w:type="pct"/>
          </w:tcPr>
          <w:p w14:paraId="049F992F" w14:textId="77777777" w:rsidR="00436DD0" w:rsidRPr="00436DD0" w:rsidRDefault="00436DD0" w:rsidP="00896F52">
            <w:pPr>
              <w:pStyle w:val="ListParagraph"/>
              <w:numPr>
                <w:ilvl w:val="0"/>
                <w:numId w:val="61"/>
              </w:numPr>
              <w:spacing w:line="276" w:lineRule="auto"/>
              <w:contextualSpacing w:val="0"/>
              <w:rPr>
                <w:b/>
                <w:lang w:val="en-AU"/>
              </w:rPr>
            </w:pPr>
            <w:r w:rsidRPr="00436DD0">
              <w:rPr>
                <w:rFonts w:cstheme="minorHAnsi"/>
                <w:sz w:val="20"/>
                <w:szCs w:val="20"/>
                <w:lang w:val="en-AU"/>
              </w:rPr>
              <w:t>The planning for the PEHS rollout considers the role of nurses, particularly in relation to NCD control.</w:t>
            </w:r>
          </w:p>
        </w:tc>
        <w:tc>
          <w:tcPr>
            <w:tcW w:w="687" w:type="pct"/>
          </w:tcPr>
          <w:p w14:paraId="79C45293"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MoH</w:t>
            </w:r>
          </w:p>
        </w:tc>
        <w:tc>
          <w:tcPr>
            <w:tcW w:w="578" w:type="pct"/>
            <w:shd w:val="clear" w:color="auto" w:fill="FFE599" w:themeFill="accent4" w:themeFillTint="66"/>
          </w:tcPr>
          <w:p w14:paraId="7BA0BB93"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Med</w:t>
            </w:r>
            <w:r>
              <w:rPr>
                <w:rStyle w:val="Heading2Char"/>
                <w:rFonts w:asciiTheme="minorHAnsi" w:hAnsiTheme="minorHAnsi" w:cstheme="minorHAnsi"/>
                <w:color w:val="auto"/>
                <w:sz w:val="20"/>
                <w:szCs w:val="20"/>
              </w:rPr>
              <w:t>ium</w:t>
            </w:r>
          </w:p>
        </w:tc>
        <w:tc>
          <w:tcPr>
            <w:tcW w:w="574" w:type="pct"/>
            <w:shd w:val="clear" w:color="auto" w:fill="auto"/>
          </w:tcPr>
          <w:p w14:paraId="6048DF13"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Before end of phase 2</w:t>
            </w:r>
          </w:p>
        </w:tc>
      </w:tr>
      <w:tr w:rsidR="00436DD0" w:rsidRPr="00E74279" w14:paraId="20B02EDA" w14:textId="77777777" w:rsidTr="00890B67">
        <w:tc>
          <w:tcPr>
            <w:tcW w:w="1" w:type="pct"/>
            <w:gridSpan w:val="4"/>
          </w:tcPr>
          <w:p w14:paraId="0F7899C7" w14:textId="77777777" w:rsidR="00436DD0" w:rsidRPr="00436DD0" w:rsidRDefault="00436DD0" w:rsidP="00890B67">
            <w:pPr>
              <w:pStyle w:val="Level2Heading"/>
              <w:numPr>
                <w:ilvl w:val="0"/>
                <w:numId w:val="0"/>
              </w:numPr>
              <w:spacing w:before="0" w:after="0"/>
              <w:rPr>
                <w:rStyle w:val="Heading2Char"/>
                <w:rFonts w:asciiTheme="minorHAnsi" w:hAnsiTheme="minorHAnsi" w:cstheme="minorHAnsi"/>
                <w:i/>
                <w:color w:val="auto"/>
                <w:sz w:val="20"/>
                <w:szCs w:val="20"/>
              </w:rPr>
            </w:pPr>
            <w:r w:rsidRPr="00436DD0">
              <w:rPr>
                <w:rFonts w:asciiTheme="minorHAnsi" w:hAnsiTheme="minorHAnsi" w:cstheme="minorHAnsi"/>
                <w:i/>
                <w:sz w:val="20"/>
                <w:szCs w:val="20"/>
              </w:rPr>
              <w:t>Health sector management</w:t>
            </w:r>
          </w:p>
        </w:tc>
      </w:tr>
      <w:tr w:rsidR="00436DD0" w:rsidRPr="00E74279" w14:paraId="7601744F" w14:textId="77777777" w:rsidTr="00890B67">
        <w:tc>
          <w:tcPr>
            <w:tcW w:w="1" w:type="pct"/>
          </w:tcPr>
          <w:p w14:paraId="22022695" w14:textId="77777777" w:rsidR="00436DD0" w:rsidRPr="00436DD0" w:rsidRDefault="00436DD0" w:rsidP="00896F52">
            <w:pPr>
              <w:pStyle w:val="ListParagraph"/>
              <w:numPr>
                <w:ilvl w:val="0"/>
                <w:numId w:val="61"/>
              </w:numPr>
              <w:spacing w:line="276" w:lineRule="auto"/>
              <w:contextualSpacing w:val="0"/>
              <w:rPr>
                <w:rFonts w:cstheme="minorHAnsi"/>
                <w:sz w:val="20"/>
                <w:szCs w:val="20"/>
                <w:lang w:val="en-AU"/>
              </w:rPr>
            </w:pPr>
            <w:r w:rsidRPr="00436DD0">
              <w:rPr>
                <w:rFonts w:cstheme="minorHAnsi"/>
                <w:sz w:val="20"/>
                <w:szCs w:val="20"/>
                <w:lang w:val="en-AU"/>
              </w:rPr>
              <w:t>Future Australian aid health sector designs reflect the underlying need to strengthen core government functions.</w:t>
            </w:r>
          </w:p>
        </w:tc>
        <w:tc>
          <w:tcPr>
            <w:tcW w:w="687" w:type="pct"/>
          </w:tcPr>
          <w:p w14:paraId="478EDD3F"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D</w:t>
            </w:r>
            <w:r w:rsidRPr="00E74279">
              <w:rPr>
                <w:rStyle w:val="Heading2Char"/>
                <w:rFonts w:asciiTheme="minorHAnsi" w:hAnsiTheme="minorHAnsi" w:cstheme="minorHAnsi"/>
                <w:sz w:val="20"/>
                <w:szCs w:val="20"/>
              </w:rPr>
              <w:t>FAT</w:t>
            </w:r>
          </w:p>
        </w:tc>
        <w:tc>
          <w:tcPr>
            <w:tcW w:w="578" w:type="pct"/>
            <w:shd w:val="clear" w:color="auto" w:fill="FFE599" w:themeFill="accent4" w:themeFillTint="66"/>
          </w:tcPr>
          <w:p w14:paraId="4ECA9FCA"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w:t>
            </w:r>
            <w:r w:rsidRPr="00E74279">
              <w:rPr>
                <w:rStyle w:val="Heading2Char"/>
                <w:rFonts w:asciiTheme="minorHAnsi" w:hAnsiTheme="minorHAnsi" w:cstheme="minorHAnsi"/>
                <w:sz w:val="20"/>
                <w:szCs w:val="20"/>
              </w:rPr>
              <w:t>ed</w:t>
            </w:r>
            <w:r>
              <w:rPr>
                <w:rStyle w:val="Heading2Char"/>
                <w:rFonts w:asciiTheme="minorHAnsi" w:hAnsiTheme="minorHAnsi" w:cstheme="minorHAnsi"/>
                <w:sz w:val="20"/>
                <w:szCs w:val="20"/>
              </w:rPr>
              <w:t>ium</w:t>
            </w:r>
          </w:p>
        </w:tc>
        <w:tc>
          <w:tcPr>
            <w:tcW w:w="574" w:type="pct"/>
            <w:shd w:val="clear" w:color="auto" w:fill="auto"/>
          </w:tcPr>
          <w:p w14:paraId="4E60E36C"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Future health sector designs</w:t>
            </w:r>
          </w:p>
        </w:tc>
      </w:tr>
      <w:tr w:rsidR="00436DD0" w:rsidRPr="00E74279" w14:paraId="648E3208" w14:textId="77777777" w:rsidTr="00436DD0">
        <w:tc>
          <w:tcPr>
            <w:tcW w:w="5000" w:type="pct"/>
            <w:gridSpan w:val="4"/>
          </w:tcPr>
          <w:p w14:paraId="30D7DEE1" w14:textId="77777777" w:rsidR="00436DD0" w:rsidRPr="00436DD0" w:rsidRDefault="00436DD0" w:rsidP="00890B67">
            <w:pPr>
              <w:pStyle w:val="Level2Heading"/>
              <w:numPr>
                <w:ilvl w:val="0"/>
                <w:numId w:val="0"/>
              </w:numPr>
              <w:spacing w:before="0" w:after="0"/>
              <w:rPr>
                <w:rStyle w:val="Heading2Char"/>
                <w:rFonts w:asciiTheme="minorHAnsi" w:hAnsiTheme="minorHAnsi" w:cstheme="minorHAnsi"/>
                <w:i/>
                <w:color w:val="auto"/>
                <w:sz w:val="20"/>
                <w:szCs w:val="20"/>
              </w:rPr>
            </w:pPr>
            <w:r w:rsidRPr="00436DD0">
              <w:rPr>
                <w:rFonts w:asciiTheme="minorHAnsi" w:hAnsiTheme="minorHAnsi" w:cstheme="minorHAnsi"/>
                <w:i/>
                <w:sz w:val="20"/>
                <w:szCs w:val="20"/>
              </w:rPr>
              <w:t>Disability-inclusive health</w:t>
            </w:r>
          </w:p>
        </w:tc>
      </w:tr>
      <w:tr w:rsidR="00436DD0" w:rsidRPr="00E74279" w14:paraId="52DEC1F1" w14:textId="77777777" w:rsidTr="00890B67">
        <w:tc>
          <w:tcPr>
            <w:tcW w:w="1" w:type="pct"/>
          </w:tcPr>
          <w:p w14:paraId="3E224402" w14:textId="77777777" w:rsidR="00436DD0" w:rsidRPr="00436DD0" w:rsidRDefault="00436DD0" w:rsidP="00896F52">
            <w:pPr>
              <w:pStyle w:val="ListParagraph"/>
              <w:numPr>
                <w:ilvl w:val="0"/>
                <w:numId w:val="61"/>
              </w:numPr>
              <w:spacing w:line="276" w:lineRule="auto"/>
              <w:contextualSpacing w:val="0"/>
              <w:rPr>
                <w:b/>
                <w:lang w:val="en-AU"/>
              </w:rPr>
            </w:pPr>
            <w:r w:rsidRPr="00E74279">
              <w:rPr>
                <w:rFonts w:cstheme="minorHAnsi"/>
                <w:sz w:val="20"/>
                <w:szCs w:val="20"/>
                <w:lang w:val="en-AU"/>
              </w:rPr>
              <w:t>Disability-inclusive health activities are captured in program performance measurement.</w:t>
            </w:r>
          </w:p>
        </w:tc>
        <w:tc>
          <w:tcPr>
            <w:tcW w:w="687" w:type="pct"/>
          </w:tcPr>
          <w:p w14:paraId="4397D82B"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DFAT/MIA</w:t>
            </w:r>
          </w:p>
        </w:tc>
        <w:tc>
          <w:tcPr>
            <w:tcW w:w="576" w:type="pct"/>
            <w:shd w:val="clear" w:color="auto" w:fill="FFE599" w:themeFill="accent4" w:themeFillTint="66"/>
          </w:tcPr>
          <w:p w14:paraId="334CC27D"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Med</w:t>
            </w:r>
            <w:r>
              <w:rPr>
                <w:rStyle w:val="Heading2Char"/>
                <w:rFonts w:asciiTheme="minorHAnsi" w:hAnsiTheme="minorHAnsi" w:cstheme="minorHAnsi"/>
                <w:color w:val="auto"/>
                <w:sz w:val="20"/>
                <w:szCs w:val="20"/>
              </w:rPr>
              <w:t>ium</w:t>
            </w:r>
          </w:p>
        </w:tc>
        <w:tc>
          <w:tcPr>
            <w:tcW w:w="574" w:type="pct"/>
            <w:shd w:val="clear" w:color="auto" w:fill="auto"/>
          </w:tcPr>
          <w:p w14:paraId="22CDF939"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Before end of 2019</w:t>
            </w:r>
          </w:p>
        </w:tc>
      </w:tr>
      <w:tr w:rsidR="00436DD0" w:rsidRPr="00E74279" w14:paraId="10C1D817" w14:textId="77777777" w:rsidTr="00890B67">
        <w:tc>
          <w:tcPr>
            <w:tcW w:w="1" w:type="pct"/>
          </w:tcPr>
          <w:p w14:paraId="46C32A45" w14:textId="77777777" w:rsidR="00436DD0" w:rsidRPr="00436DD0" w:rsidRDefault="00436DD0" w:rsidP="00896F52">
            <w:pPr>
              <w:pStyle w:val="ListParagraph"/>
              <w:numPr>
                <w:ilvl w:val="0"/>
                <w:numId w:val="61"/>
              </w:numPr>
              <w:spacing w:line="276" w:lineRule="auto"/>
              <w:contextualSpacing w:val="0"/>
              <w:rPr>
                <w:b/>
                <w:lang w:val="en-AU"/>
              </w:rPr>
            </w:pPr>
            <w:r w:rsidRPr="00E74279">
              <w:rPr>
                <w:rFonts w:cstheme="minorHAnsi"/>
                <w:sz w:val="20"/>
                <w:szCs w:val="20"/>
                <w:lang w:val="en-AU"/>
              </w:rPr>
              <w:t>The participation of persons with disability in oversight of the disability-inclusive health component is facilitated by supplementary opportunities for dialogue.</w:t>
            </w:r>
          </w:p>
        </w:tc>
        <w:tc>
          <w:tcPr>
            <w:tcW w:w="687" w:type="pct"/>
          </w:tcPr>
          <w:p w14:paraId="48396C3D"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DFAT/MIA</w:t>
            </w:r>
          </w:p>
        </w:tc>
        <w:tc>
          <w:tcPr>
            <w:tcW w:w="576" w:type="pct"/>
            <w:shd w:val="clear" w:color="auto" w:fill="FF9999"/>
          </w:tcPr>
          <w:p w14:paraId="5DFA2B76"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High</w:t>
            </w:r>
          </w:p>
        </w:tc>
        <w:tc>
          <w:tcPr>
            <w:tcW w:w="574" w:type="pct"/>
            <w:shd w:val="clear" w:color="auto" w:fill="auto"/>
          </w:tcPr>
          <w:p w14:paraId="61623CC2" w14:textId="77777777" w:rsidR="00436DD0" w:rsidRPr="00E74279" w:rsidRDefault="00436DD0"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From 2019/20 onwards</w:t>
            </w:r>
          </w:p>
        </w:tc>
      </w:tr>
      <w:tr w:rsidR="00436DD0" w:rsidRPr="00E74279" w14:paraId="4110731D" w14:textId="77777777" w:rsidTr="00436DD0">
        <w:tc>
          <w:tcPr>
            <w:tcW w:w="5000" w:type="pct"/>
            <w:gridSpan w:val="4"/>
          </w:tcPr>
          <w:p w14:paraId="778B9643" w14:textId="77777777" w:rsidR="00436DD0" w:rsidRPr="00436DD0" w:rsidRDefault="00436DD0" w:rsidP="00890B67">
            <w:pPr>
              <w:pStyle w:val="Level2Heading"/>
              <w:numPr>
                <w:ilvl w:val="0"/>
                <w:numId w:val="0"/>
              </w:numPr>
              <w:spacing w:before="0" w:after="0"/>
              <w:rPr>
                <w:rStyle w:val="Heading2Char"/>
                <w:rFonts w:asciiTheme="minorHAnsi" w:hAnsiTheme="minorHAnsi" w:cstheme="minorHAnsi"/>
                <w:i/>
                <w:color w:val="auto"/>
                <w:sz w:val="20"/>
                <w:szCs w:val="20"/>
              </w:rPr>
            </w:pPr>
            <w:r w:rsidRPr="00436DD0">
              <w:rPr>
                <w:rFonts w:asciiTheme="minorHAnsi" w:hAnsiTheme="minorHAnsi" w:cstheme="minorHAnsi"/>
                <w:i/>
                <w:sz w:val="20"/>
                <w:szCs w:val="20"/>
              </w:rPr>
              <w:t>Gender and social inclusion</w:t>
            </w:r>
          </w:p>
        </w:tc>
      </w:tr>
      <w:tr w:rsidR="00436DD0" w:rsidRPr="00E74279" w14:paraId="7BCC89D0" w14:textId="77777777" w:rsidTr="000C39CF">
        <w:tc>
          <w:tcPr>
            <w:tcW w:w="1" w:type="pct"/>
            <w:tcBorders>
              <w:bottom w:val="nil"/>
            </w:tcBorders>
          </w:tcPr>
          <w:p w14:paraId="2F1CF33B" w14:textId="77777777" w:rsidR="00436DD0" w:rsidRPr="00436DD0" w:rsidRDefault="00436DD0" w:rsidP="00896F52">
            <w:pPr>
              <w:pStyle w:val="ListParagraph"/>
              <w:numPr>
                <w:ilvl w:val="0"/>
                <w:numId w:val="61"/>
              </w:numPr>
              <w:spacing w:line="276" w:lineRule="auto"/>
              <w:contextualSpacing w:val="0"/>
              <w:rPr>
                <w:b/>
                <w:lang w:val="en-AU"/>
              </w:rPr>
            </w:pPr>
            <w:r w:rsidRPr="00436DD0">
              <w:rPr>
                <w:rFonts w:cstheme="minorHAnsi"/>
                <w:sz w:val="20"/>
                <w:szCs w:val="20"/>
                <w:lang w:val="en-AU"/>
              </w:rPr>
              <w:t>(a) TongaHealth encourages gender-differentiated health promotion act</w:t>
            </w:r>
            <w:r>
              <w:rPr>
                <w:rFonts w:cstheme="minorHAnsi"/>
                <w:sz w:val="20"/>
                <w:szCs w:val="20"/>
                <w:lang w:val="en-AU"/>
              </w:rPr>
              <w:t>ivities where appropriate, and</w:t>
            </w:r>
          </w:p>
        </w:tc>
        <w:tc>
          <w:tcPr>
            <w:tcW w:w="687" w:type="pct"/>
          </w:tcPr>
          <w:p w14:paraId="04ABF428" w14:textId="77777777" w:rsidR="00436DD0" w:rsidRPr="001124DA" w:rsidRDefault="00436DD0" w:rsidP="001124DA">
            <w:pPr>
              <w:pStyle w:val="Level2Heading"/>
              <w:numPr>
                <w:ilvl w:val="0"/>
                <w:numId w:val="0"/>
              </w:numPr>
              <w:spacing w:before="0" w:after="0"/>
              <w:rPr>
                <w:rFonts w:asciiTheme="minorHAnsi" w:hAnsiTheme="minorHAnsi" w:cstheme="minorHAnsi"/>
                <w:b w:val="0"/>
                <w:color w:val="auto"/>
                <w:sz w:val="20"/>
                <w:szCs w:val="20"/>
              </w:rPr>
            </w:pPr>
            <w:r w:rsidRPr="00E74279">
              <w:rPr>
                <w:rStyle w:val="Heading2Char"/>
                <w:rFonts w:asciiTheme="minorHAnsi" w:hAnsiTheme="minorHAnsi" w:cstheme="minorHAnsi"/>
                <w:color w:val="auto"/>
                <w:sz w:val="20"/>
                <w:szCs w:val="20"/>
              </w:rPr>
              <w:t>TongaHealth</w:t>
            </w:r>
          </w:p>
        </w:tc>
        <w:tc>
          <w:tcPr>
            <w:tcW w:w="576" w:type="pct"/>
            <w:shd w:val="clear" w:color="auto" w:fill="FFC000"/>
          </w:tcPr>
          <w:p w14:paraId="53C24E37" w14:textId="77777777" w:rsidR="00436DD0" w:rsidRPr="001124DA" w:rsidRDefault="001124DA" w:rsidP="001124DA">
            <w:pPr>
              <w:pStyle w:val="Level2Heading"/>
              <w:numPr>
                <w:ilvl w:val="0"/>
                <w:numId w:val="0"/>
              </w:numPr>
              <w:spacing w:before="0" w:after="0"/>
              <w:rPr>
                <w:rFonts w:asciiTheme="minorHAnsi" w:hAnsiTheme="minorHAnsi" w:cstheme="minorHAnsi"/>
                <w:b w:val="0"/>
                <w:color w:val="auto"/>
                <w:sz w:val="20"/>
                <w:szCs w:val="20"/>
              </w:rPr>
            </w:pPr>
            <w:r>
              <w:rPr>
                <w:rStyle w:val="Heading2Char"/>
                <w:rFonts w:asciiTheme="minorHAnsi" w:hAnsiTheme="minorHAnsi" w:cstheme="minorHAnsi"/>
                <w:color w:val="auto"/>
                <w:sz w:val="20"/>
                <w:szCs w:val="20"/>
              </w:rPr>
              <w:t xml:space="preserve">High/ </w:t>
            </w:r>
            <w:r w:rsidR="00436DD0" w:rsidRPr="00E74279">
              <w:rPr>
                <w:rStyle w:val="Heading2Char"/>
                <w:rFonts w:asciiTheme="minorHAnsi" w:hAnsiTheme="minorHAnsi" w:cstheme="minorHAnsi"/>
                <w:color w:val="auto"/>
                <w:sz w:val="20"/>
                <w:szCs w:val="20"/>
              </w:rPr>
              <w:t>Medium</w:t>
            </w:r>
          </w:p>
        </w:tc>
        <w:tc>
          <w:tcPr>
            <w:tcW w:w="574" w:type="pct"/>
            <w:shd w:val="clear" w:color="auto" w:fill="auto"/>
          </w:tcPr>
          <w:p w14:paraId="603F69D9" w14:textId="77777777" w:rsidR="00436DD0" w:rsidRPr="00E74279" w:rsidRDefault="00436DD0" w:rsidP="00890B67">
            <w:pPr>
              <w:rPr>
                <w:rFonts w:cstheme="minorHAnsi"/>
                <w:sz w:val="20"/>
                <w:szCs w:val="20"/>
                <w:lang w:eastAsia="ja-JP"/>
              </w:rPr>
            </w:pPr>
            <w:r w:rsidRPr="00E74279">
              <w:rPr>
                <w:rFonts w:cstheme="minorHAnsi"/>
                <w:sz w:val="20"/>
                <w:szCs w:val="20"/>
                <w:lang w:eastAsia="ja-JP"/>
              </w:rPr>
              <w:t>Before 2020/21</w:t>
            </w:r>
          </w:p>
        </w:tc>
      </w:tr>
      <w:tr w:rsidR="00436DD0" w:rsidRPr="00E74279" w14:paraId="7456E353" w14:textId="77777777" w:rsidTr="000C39CF">
        <w:tc>
          <w:tcPr>
            <w:tcW w:w="1" w:type="pct"/>
            <w:tcBorders>
              <w:top w:val="nil"/>
            </w:tcBorders>
          </w:tcPr>
          <w:p w14:paraId="70CFE48D" w14:textId="77777777" w:rsidR="00436DD0" w:rsidRPr="000C39CF" w:rsidRDefault="00436DD0" w:rsidP="000C39CF">
            <w:pPr>
              <w:pStyle w:val="Level2Heading"/>
              <w:numPr>
                <w:ilvl w:val="0"/>
                <w:numId w:val="0"/>
              </w:numPr>
              <w:spacing w:before="0" w:after="0"/>
              <w:ind w:left="1117" w:hanging="720"/>
              <w:rPr>
                <w:rStyle w:val="Heading2Char"/>
                <w:rFonts w:asciiTheme="minorHAnsi" w:hAnsiTheme="minorHAnsi" w:cstheme="minorHAnsi"/>
                <w:b/>
                <w:color w:val="auto"/>
                <w:sz w:val="20"/>
                <w:szCs w:val="20"/>
              </w:rPr>
            </w:pPr>
            <w:r w:rsidRPr="000C39CF">
              <w:rPr>
                <w:rFonts w:asciiTheme="minorHAnsi" w:hAnsiTheme="minorHAnsi" w:cstheme="minorHAnsi"/>
                <w:b w:val="0"/>
                <w:color w:val="auto"/>
                <w:sz w:val="20"/>
                <w:szCs w:val="20"/>
                <w:lang w:val="en-AU"/>
              </w:rPr>
              <w:t>(b) MoH develops gender-differentiated NCD interventions where appropriate.</w:t>
            </w:r>
          </w:p>
        </w:tc>
        <w:tc>
          <w:tcPr>
            <w:tcW w:w="687" w:type="pct"/>
          </w:tcPr>
          <w:p w14:paraId="727FD5F4" w14:textId="77777777" w:rsidR="00436DD0" w:rsidRPr="00E74279" w:rsidRDefault="001124DA" w:rsidP="00890B67">
            <w:pPr>
              <w:pStyle w:val="Level2Heading"/>
              <w:numPr>
                <w:ilvl w:val="0"/>
                <w:numId w:val="0"/>
              </w:numPr>
              <w:spacing w:before="0" w:after="0"/>
              <w:rPr>
                <w:rStyle w:val="Heading2Char"/>
                <w:rFonts w:asciiTheme="minorHAnsi" w:hAnsiTheme="minorHAnsi" w:cstheme="minorHAnsi"/>
                <w:color w:val="auto"/>
                <w:sz w:val="20"/>
                <w:szCs w:val="20"/>
              </w:rPr>
            </w:pPr>
            <w:r>
              <w:rPr>
                <w:rStyle w:val="Heading2Char"/>
                <w:rFonts w:asciiTheme="minorHAnsi" w:hAnsiTheme="minorHAnsi" w:cstheme="minorHAnsi"/>
                <w:color w:val="auto"/>
                <w:sz w:val="20"/>
                <w:szCs w:val="20"/>
              </w:rPr>
              <w:t>MoH</w:t>
            </w:r>
          </w:p>
        </w:tc>
        <w:tc>
          <w:tcPr>
            <w:tcW w:w="576" w:type="pct"/>
            <w:shd w:val="clear" w:color="auto" w:fill="FFE599" w:themeFill="accent4" w:themeFillTint="66"/>
          </w:tcPr>
          <w:p w14:paraId="2D3FDEAA" w14:textId="77777777" w:rsidR="00436DD0" w:rsidRPr="00E74279" w:rsidRDefault="001124DA" w:rsidP="00890B67">
            <w:pPr>
              <w:pStyle w:val="Level2Heading"/>
              <w:numPr>
                <w:ilvl w:val="0"/>
                <w:numId w:val="0"/>
              </w:numPr>
              <w:spacing w:before="0" w:after="0"/>
              <w:rPr>
                <w:rStyle w:val="Heading2Char"/>
                <w:rFonts w:asciiTheme="minorHAnsi" w:hAnsiTheme="minorHAnsi" w:cstheme="minorHAnsi"/>
                <w:color w:val="auto"/>
                <w:sz w:val="20"/>
                <w:szCs w:val="20"/>
              </w:rPr>
            </w:pPr>
            <w:r>
              <w:rPr>
                <w:rStyle w:val="Heading2Char"/>
                <w:rFonts w:asciiTheme="minorHAnsi" w:hAnsiTheme="minorHAnsi" w:cstheme="minorHAnsi"/>
                <w:color w:val="auto"/>
                <w:sz w:val="20"/>
                <w:szCs w:val="20"/>
              </w:rPr>
              <w:t>Medium</w:t>
            </w:r>
          </w:p>
        </w:tc>
        <w:tc>
          <w:tcPr>
            <w:tcW w:w="574" w:type="pct"/>
            <w:shd w:val="clear" w:color="auto" w:fill="auto"/>
          </w:tcPr>
          <w:p w14:paraId="064DDE54" w14:textId="77777777" w:rsidR="00436DD0" w:rsidRPr="001124DA" w:rsidRDefault="001124DA" w:rsidP="00890B67">
            <w:pPr>
              <w:pStyle w:val="Level2Heading"/>
              <w:numPr>
                <w:ilvl w:val="0"/>
                <w:numId w:val="0"/>
              </w:numPr>
              <w:spacing w:before="0" w:after="0"/>
              <w:rPr>
                <w:rStyle w:val="Heading2Char"/>
                <w:rFonts w:asciiTheme="minorHAnsi" w:hAnsiTheme="minorHAnsi" w:cstheme="minorHAnsi"/>
                <w:b/>
                <w:color w:val="auto"/>
                <w:sz w:val="20"/>
                <w:szCs w:val="20"/>
              </w:rPr>
            </w:pPr>
            <w:r w:rsidRPr="001124DA">
              <w:rPr>
                <w:rFonts w:asciiTheme="minorHAnsi" w:hAnsiTheme="minorHAnsi" w:cstheme="minorHAnsi"/>
                <w:b w:val="0"/>
                <w:sz w:val="20"/>
                <w:szCs w:val="20"/>
              </w:rPr>
              <w:t>Before 2020/21</w:t>
            </w:r>
          </w:p>
        </w:tc>
      </w:tr>
      <w:tr w:rsidR="000C39CF" w:rsidRPr="00E74279" w14:paraId="3E84D02B" w14:textId="77777777" w:rsidTr="00890B67">
        <w:tc>
          <w:tcPr>
            <w:tcW w:w="1" w:type="pct"/>
          </w:tcPr>
          <w:p w14:paraId="445BEACD" w14:textId="77777777" w:rsidR="000C39CF" w:rsidRPr="000C39CF" w:rsidRDefault="000C39CF" w:rsidP="00896F52">
            <w:pPr>
              <w:pStyle w:val="ListParagraph"/>
              <w:numPr>
                <w:ilvl w:val="0"/>
                <w:numId w:val="61"/>
              </w:numPr>
              <w:spacing w:line="276" w:lineRule="auto"/>
              <w:contextualSpacing w:val="0"/>
              <w:rPr>
                <w:b/>
                <w:lang w:val="en-AU"/>
              </w:rPr>
            </w:pPr>
            <w:r w:rsidRPr="00E74279">
              <w:rPr>
                <w:rFonts w:cstheme="minorHAnsi"/>
                <w:sz w:val="20"/>
                <w:szCs w:val="20"/>
                <w:lang w:val="en-AU"/>
              </w:rPr>
              <w:lastRenderedPageBreak/>
              <w:t>Low socio-economic status be included as one of the determinants of disadvantage in future Australian aid health sector support.</w:t>
            </w:r>
          </w:p>
        </w:tc>
        <w:tc>
          <w:tcPr>
            <w:tcW w:w="687" w:type="pct"/>
          </w:tcPr>
          <w:p w14:paraId="154B99DC" w14:textId="77777777" w:rsidR="000C39CF" w:rsidRPr="00E74279" w:rsidRDefault="000C39C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D</w:t>
            </w:r>
            <w:r w:rsidRPr="00E74279">
              <w:rPr>
                <w:rStyle w:val="Heading2Char"/>
                <w:rFonts w:asciiTheme="minorHAnsi" w:hAnsiTheme="minorHAnsi" w:cstheme="minorHAnsi"/>
                <w:sz w:val="20"/>
                <w:szCs w:val="20"/>
              </w:rPr>
              <w:t>FAT</w:t>
            </w:r>
          </w:p>
        </w:tc>
        <w:tc>
          <w:tcPr>
            <w:tcW w:w="576" w:type="pct"/>
            <w:shd w:val="clear" w:color="auto" w:fill="FFE599" w:themeFill="accent4" w:themeFillTint="66"/>
          </w:tcPr>
          <w:p w14:paraId="105A492B" w14:textId="77777777" w:rsidR="000C39CF" w:rsidRPr="00E74279" w:rsidRDefault="000C39C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M</w:t>
            </w:r>
            <w:r w:rsidRPr="00E74279">
              <w:rPr>
                <w:rStyle w:val="Heading2Char"/>
                <w:rFonts w:asciiTheme="minorHAnsi" w:hAnsiTheme="minorHAnsi" w:cstheme="minorHAnsi"/>
                <w:sz w:val="20"/>
                <w:szCs w:val="20"/>
              </w:rPr>
              <w:t>edium</w:t>
            </w:r>
          </w:p>
        </w:tc>
        <w:tc>
          <w:tcPr>
            <w:tcW w:w="574" w:type="pct"/>
            <w:shd w:val="clear" w:color="auto" w:fill="auto"/>
          </w:tcPr>
          <w:p w14:paraId="72B5AB98" w14:textId="77777777" w:rsidR="000C39CF" w:rsidRPr="00E74279" w:rsidRDefault="000C39C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Future health sector designs</w:t>
            </w:r>
          </w:p>
        </w:tc>
      </w:tr>
      <w:tr w:rsidR="00436DD0" w:rsidRPr="00E74279" w14:paraId="213419E3" w14:textId="77777777" w:rsidTr="00436DD0">
        <w:tc>
          <w:tcPr>
            <w:tcW w:w="5000" w:type="pct"/>
            <w:gridSpan w:val="4"/>
          </w:tcPr>
          <w:p w14:paraId="0832D578" w14:textId="77777777" w:rsidR="00436DD0" w:rsidRPr="000C39CF" w:rsidRDefault="00436DD0" w:rsidP="00890B67">
            <w:pPr>
              <w:pStyle w:val="Level2Heading"/>
              <w:numPr>
                <w:ilvl w:val="0"/>
                <w:numId w:val="0"/>
              </w:numPr>
              <w:spacing w:before="0" w:after="0"/>
              <w:rPr>
                <w:rStyle w:val="Heading2Char"/>
                <w:rFonts w:asciiTheme="minorHAnsi" w:hAnsiTheme="minorHAnsi" w:cstheme="minorHAnsi"/>
                <w:i/>
                <w:color w:val="auto"/>
                <w:sz w:val="20"/>
                <w:szCs w:val="20"/>
              </w:rPr>
            </w:pPr>
            <w:r w:rsidRPr="000C39CF">
              <w:rPr>
                <w:rFonts w:asciiTheme="minorHAnsi" w:hAnsiTheme="minorHAnsi" w:cstheme="minorHAnsi"/>
                <w:i/>
                <w:sz w:val="20"/>
                <w:szCs w:val="20"/>
              </w:rPr>
              <w:t>Technical assistance for remainder of Phase 2</w:t>
            </w:r>
          </w:p>
        </w:tc>
      </w:tr>
      <w:tr w:rsidR="000C39CF" w:rsidRPr="00E74279" w14:paraId="60EC4A90" w14:textId="77777777" w:rsidTr="00890B67">
        <w:tc>
          <w:tcPr>
            <w:tcW w:w="1" w:type="pct"/>
          </w:tcPr>
          <w:p w14:paraId="66D1E344" w14:textId="77777777" w:rsidR="000C39CF" w:rsidRPr="000C39CF" w:rsidRDefault="000C39CF" w:rsidP="00896F52">
            <w:pPr>
              <w:pStyle w:val="ListParagraph"/>
              <w:numPr>
                <w:ilvl w:val="0"/>
                <w:numId w:val="61"/>
              </w:numPr>
              <w:spacing w:line="276" w:lineRule="auto"/>
              <w:contextualSpacing w:val="0"/>
              <w:rPr>
                <w:b/>
                <w:lang w:val="en-AU"/>
              </w:rPr>
            </w:pPr>
            <w:r w:rsidRPr="00E74279">
              <w:rPr>
                <w:rFonts w:cstheme="minorHAnsi"/>
                <w:sz w:val="20"/>
                <w:szCs w:val="20"/>
                <w:lang w:val="en-AU"/>
              </w:rPr>
              <w:t>Long-term technical assistance for the remainder of Phase 2 focuses on supporting progress towards the recommendations above, where appropriate.</w:t>
            </w:r>
          </w:p>
        </w:tc>
        <w:tc>
          <w:tcPr>
            <w:tcW w:w="687" w:type="pct"/>
          </w:tcPr>
          <w:p w14:paraId="1D08A4B0" w14:textId="77777777" w:rsidR="000C39CF" w:rsidRPr="00E74279" w:rsidRDefault="000C39C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D</w:t>
            </w:r>
            <w:r w:rsidRPr="00E74279">
              <w:rPr>
                <w:rStyle w:val="Heading2Char"/>
                <w:rFonts w:asciiTheme="minorHAnsi" w:hAnsiTheme="minorHAnsi" w:cstheme="minorHAnsi"/>
                <w:sz w:val="20"/>
                <w:szCs w:val="20"/>
              </w:rPr>
              <w:t>FAT/MoH/ TongaHealth</w:t>
            </w:r>
          </w:p>
        </w:tc>
        <w:tc>
          <w:tcPr>
            <w:tcW w:w="576" w:type="pct"/>
            <w:shd w:val="clear" w:color="auto" w:fill="FF9999"/>
          </w:tcPr>
          <w:p w14:paraId="6FA2A683" w14:textId="77777777" w:rsidR="000C39CF" w:rsidRPr="00E74279" w:rsidRDefault="000C39C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High</w:t>
            </w:r>
          </w:p>
        </w:tc>
        <w:tc>
          <w:tcPr>
            <w:tcW w:w="574" w:type="pct"/>
            <w:shd w:val="clear" w:color="auto" w:fill="auto"/>
          </w:tcPr>
          <w:p w14:paraId="4DDAE0BB" w14:textId="77777777" w:rsidR="000C39CF" w:rsidRPr="00E74279" w:rsidRDefault="000C39CF" w:rsidP="00890B67">
            <w:pPr>
              <w:pStyle w:val="Level2Heading"/>
              <w:numPr>
                <w:ilvl w:val="0"/>
                <w:numId w:val="0"/>
              </w:numPr>
              <w:spacing w:before="0" w:after="0"/>
              <w:rPr>
                <w:rStyle w:val="Heading2Char"/>
                <w:rFonts w:asciiTheme="minorHAnsi" w:hAnsiTheme="minorHAnsi" w:cstheme="minorHAnsi"/>
                <w:color w:val="auto"/>
                <w:sz w:val="20"/>
                <w:szCs w:val="20"/>
              </w:rPr>
            </w:pPr>
            <w:r w:rsidRPr="00E74279">
              <w:rPr>
                <w:rStyle w:val="Heading2Char"/>
                <w:rFonts w:asciiTheme="minorHAnsi" w:hAnsiTheme="minorHAnsi" w:cstheme="minorHAnsi"/>
                <w:color w:val="auto"/>
                <w:sz w:val="20"/>
                <w:szCs w:val="20"/>
              </w:rPr>
              <w:t>Immediate (for TA work plans)</w:t>
            </w:r>
          </w:p>
        </w:tc>
      </w:tr>
    </w:tbl>
    <w:p w14:paraId="63F54DFA" w14:textId="77777777" w:rsidR="00184936" w:rsidRPr="00852728" w:rsidRDefault="00184936" w:rsidP="00184936">
      <w:pPr>
        <w:spacing w:after="0"/>
        <w:rPr>
          <w:b/>
          <w:lang w:eastAsia="en-GB"/>
        </w:rPr>
      </w:pPr>
    </w:p>
    <w:p w14:paraId="3C4318C5" w14:textId="77777777" w:rsidR="005C6B62" w:rsidRDefault="003B639B" w:rsidP="005C6B62">
      <w:pPr>
        <w:pStyle w:val="Heading1"/>
        <w:rPr>
          <w:rFonts w:eastAsia="Times New Roman"/>
        </w:rPr>
      </w:pPr>
      <w:bookmarkStart w:id="74" w:name="_Toc536205475"/>
      <w:r>
        <w:rPr>
          <w:rFonts w:eastAsia="Times New Roman"/>
        </w:rPr>
        <w:t>Future Australian aid support</w:t>
      </w:r>
      <w:bookmarkEnd w:id="74"/>
    </w:p>
    <w:p w14:paraId="751A1169" w14:textId="77777777" w:rsidR="005C6B62" w:rsidRDefault="005C6B62" w:rsidP="005C6B62">
      <w:pPr>
        <w:spacing w:after="0"/>
        <w:rPr>
          <w:lang w:eastAsia="en-GB"/>
        </w:rPr>
      </w:pPr>
    </w:p>
    <w:p w14:paraId="041ACCCE" w14:textId="77777777" w:rsidR="00875113" w:rsidRDefault="005C6B62" w:rsidP="00553B35">
      <w:pPr>
        <w:rPr>
          <w:rFonts w:cstheme="majorHAnsi"/>
          <w:lang w:eastAsia="en-AU"/>
        </w:rPr>
      </w:pPr>
      <w:r>
        <w:rPr>
          <w:rFonts w:cstheme="majorHAnsi"/>
          <w:lang w:eastAsia="en-AU"/>
        </w:rPr>
        <w:t xml:space="preserve">This section contains </w:t>
      </w:r>
      <w:r w:rsidR="00A670F6">
        <w:rPr>
          <w:rFonts w:cstheme="majorHAnsi"/>
          <w:lang w:eastAsia="en-AU"/>
        </w:rPr>
        <w:t>suggestions</w:t>
      </w:r>
      <w:r w:rsidR="00A670F6" w:rsidRPr="007975C0">
        <w:rPr>
          <w:rFonts w:cstheme="majorHAnsi"/>
          <w:lang w:eastAsia="en-AU"/>
        </w:rPr>
        <w:t xml:space="preserve"> </w:t>
      </w:r>
      <w:r w:rsidRPr="007975C0">
        <w:rPr>
          <w:rFonts w:cstheme="majorHAnsi"/>
          <w:lang w:eastAsia="en-AU"/>
        </w:rPr>
        <w:t xml:space="preserve">for </w:t>
      </w:r>
      <w:r w:rsidR="003B639B">
        <w:rPr>
          <w:rFonts w:cstheme="majorHAnsi"/>
          <w:lang w:eastAsia="en-AU"/>
        </w:rPr>
        <w:t xml:space="preserve">future health sector support and </w:t>
      </w:r>
      <w:r w:rsidR="00A670F6">
        <w:rPr>
          <w:rFonts w:cstheme="majorHAnsi"/>
          <w:lang w:eastAsia="en-AU"/>
        </w:rPr>
        <w:t xml:space="preserve">possible areas of analysis that might </w:t>
      </w:r>
      <w:r w:rsidRPr="007975C0">
        <w:rPr>
          <w:rFonts w:cstheme="majorHAnsi"/>
          <w:lang w:eastAsia="en-AU"/>
        </w:rPr>
        <w:t xml:space="preserve">inform future </w:t>
      </w:r>
      <w:r w:rsidR="00A670F6">
        <w:rPr>
          <w:rFonts w:cstheme="majorHAnsi"/>
          <w:lang w:eastAsia="en-AU"/>
        </w:rPr>
        <w:t xml:space="preserve">DFAT </w:t>
      </w:r>
      <w:r w:rsidRPr="007975C0">
        <w:rPr>
          <w:rFonts w:cstheme="majorHAnsi"/>
          <w:lang w:eastAsia="en-AU"/>
        </w:rPr>
        <w:t>health program design</w:t>
      </w:r>
      <w:r>
        <w:rPr>
          <w:rFonts w:cstheme="majorHAnsi"/>
          <w:lang w:eastAsia="en-AU"/>
        </w:rPr>
        <w:t>.</w:t>
      </w:r>
      <w:r w:rsidR="004A1999">
        <w:rPr>
          <w:rFonts w:cstheme="majorHAnsi"/>
          <w:lang w:eastAsia="en-AU"/>
        </w:rPr>
        <w:t xml:space="preserve"> </w:t>
      </w:r>
      <w:r w:rsidR="00812ECB">
        <w:rPr>
          <w:rFonts w:cstheme="majorHAnsi"/>
          <w:lang w:eastAsia="en-AU"/>
        </w:rPr>
        <w:t>Indicative outlines of T</w:t>
      </w:r>
      <w:r w:rsidR="004A1999">
        <w:rPr>
          <w:rFonts w:cstheme="majorHAnsi"/>
          <w:lang w:eastAsia="en-AU"/>
        </w:rPr>
        <w:t xml:space="preserve">oRs </w:t>
      </w:r>
      <w:r w:rsidR="004A1999" w:rsidRPr="00A318B9">
        <w:rPr>
          <w:rFonts w:cstheme="majorHAnsi"/>
          <w:noProof/>
          <w:lang w:eastAsia="en-AU"/>
        </w:rPr>
        <w:t>are contained</w:t>
      </w:r>
      <w:r w:rsidR="004A1999">
        <w:rPr>
          <w:rFonts w:cstheme="majorHAnsi"/>
          <w:lang w:eastAsia="en-AU"/>
        </w:rPr>
        <w:t xml:space="preserve"> in </w:t>
      </w:r>
      <w:r w:rsidR="000C39CF">
        <w:rPr>
          <w:rFonts w:cstheme="majorHAnsi"/>
          <w:lang w:eastAsia="en-AU"/>
        </w:rPr>
        <w:br/>
      </w:r>
      <w:r w:rsidR="004A1999" w:rsidRPr="007C4C1F">
        <w:rPr>
          <w:rFonts w:cstheme="majorHAnsi"/>
          <w:b/>
          <w:lang w:eastAsia="en-AU"/>
        </w:rPr>
        <w:t xml:space="preserve">Annex </w:t>
      </w:r>
      <w:r w:rsidR="00A318B9">
        <w:rPr>
          <w:rFonts w:cstheme="majorHAnsi"/>
          <w:b/>
          <w:lang w:eastAsia="en-AU"/>
        </w:rPr>
        <w:t>E</w:t>
      </w:r>
      <w:r w:rsidR="004A1999">
        <w:rPr>
          <w:rFonts w:cstheme="majorHAnsi"/>
          <w:lang w:eastAsia="en-AU"/>
        </w:rPr>
        <w:t>.</w:t>
      </w:r>
    </w:p>
    <w:p w14:paraId="132F9E6E" w14:textId="77777777" w:rsidR="003B639B" w:rsidRPr="00002A48" w:rsidRDefault="003B639B" w:rsidP="00DD0215">
      <w:pPr>
        <w:pStyle w:val="Level2Heading"/>
        <w:numPr>
          <w:ilvl w:val="0"/>
          <w:numId w:val="0"/>
        </w:numPr>
        <w:rPr>
          <w:rStyle w:val="Heading2Char"/>
          <w:b/>
        </w:rPr>
      </w:pPr>
      <w:bookmarkStart w:id="75" w:name="_Toc536205476"/>
      <w:r>
        <w:rPr>
          <w:rStyle w:val="Heading2Char"/>
          <w:b/>
        </w:rPr>
        <w:t>5.1</w:t>
      </w:r>
      <w:r>
        <w:rPr>
          <w:rStyle w:val="Heading2Char"/>
          <w:b/>
        </w:rPr>
        <w:tab/>
        <w:t>Future health sector support</w:t>
      </w:r>
      <w:bookmarkEnd w:id="75"/>
    </w:p>
    <w:p w14:paraId="24DDA027" w14:textId="77777777" w:rsidR="001B5D6B" w:rsidRDefault="009F3FD0" w:rsidP="002F2A6B">
      <w:pPr>
        <w:rPr>
          <w:lang w:eastAsia="en-AU"/>
        </w:rPr>
      </w:pPr>
      <w:r w:rsidRPr="002F2A6B">
        <w:rPr>
          <w:lang w:eastAsia="en-AU"/>
        </w:rPr>
        <w:t xml:space="preserve">As previously stated, Tonga’s efforts in society-wide reduction of lifestyle risks of NCDs are of global significance. The learning process that Tonga is undertaking with respect to lifestyle is directly relevant to and can inform other Pacific Island Countries where DFAT is a major partner in the health sector. On this basis, the evaluation team considers that it is highly desirable that Australia’s partnership with Tonga on NCD prevention is </w:t>
      </w:r>
      <w:r w:rsidR="002F2A6B">
        <w:rPr>
          <w:lang w:eastAsia="en-AU"/>
        </w:rPr>
        <w:t>long term.</w:t>
      </w:r>
    </w:p>
    <w:p w14:paraId="6555C8DD" w14:textId="77777777" w:rsidR="00BB1B7B" w:rsidRPr="002F2A6B" w:rsidRDefault="001B5D6B" w:rsidP="002F2A6B">
      <w:pPr>
        <w:rPr>
          <w:rFonts w:cstheme="majorHAnsi"/>
          <w:lang w:eastAsia="en-AU"/>
        </w:rPr>
      </w:pPr>
      <w:r>
        <w:rPr>
          <w:rFonts w:cstheme="majorHAnsi"/>
          <w:lang w:eastAsia="en-AU"/>
        </w:rPr>
        <w:t xml:space="preserve">The team also considers that it is highly desirable that Tonga and the </w:t>
      </w:r>
      <w:r w:rsidR="00BB1B7B" w:rsidRPr="002F2A6B">
        <w:rPr>
          <w:rFonts w:cstheme="majorHAnsi"/>
          <w:lang w:eastAsia="en-AU"/>
        </w:rPr>
        <w:t xml:space="preserve">Australian aid </w:t>
      </w:r>
      <w:r>
        <w:rPr>
          <w:rFonts w:cstheme="majorHAnsi"/>
          <w:lang w:eastAsia="en-AU"/>
        </w:rPr>
        <w:t xml:space="preserve">program </w:t>
      </w:r>
      <w:r w:rsidRPr="001B5D6B">
        <w:rPr>
          <w:rFonts w:cstheme="majorHAnsi"/>
          <w:lang w:eastAsia="en-AU"/>
        </w:rPr>
        <w:t>work</w:t>
      </w:r>
      <w:r w:rsidR="00BB1B7B" w:rsidRPr="002F2A6B">
        <w:rPr>
          <w:rFonts w:cstheme="majorHAnsi"/>
          <w:lang w:eastAsia="en-AU"/>
        </w:rPr>
        <w:t xml:space="preserve"> toward a health sector coordination model based on a medium-term sector strategy to be developed by GoT that is agreed by all development partners, and that forms the basis for the involvement of all development partners in the sector.</w:t>
      </w:r>
      <w:r>
        <w:rPr>
          <w:rFonts w:cstheme="majorHAnsi"/>
          <w:lang w:eastAsia="en-AU"/>
        </w:rPr>
        <w:t xml:space="preserve"> </w:t>
      </w:r>
      <w:r w:rsidR="00BB1B7B" w:rsidRPr="002F2A6B">
        <w:rPr>
          <w:rFonts w:cstheme="majorHAnsi"/>
          <w:lang w:eastAsia="en-AU"/>
        </w:rPr>
        <w:t xml:space="preserve">An ‘ideal’ scenario based on precedents in other Pacific Island countries is for a medium-term sector strategy to be developed by GoT that is agreed by all development partners. Under GoT arrangements, this would require leadership in the planning process from the National Planning Office (Prime Minister’s Office). It would not be possible to complete a medium-term sector strategy during Phase 2, but discussions can commence now about the possibility of developing a plan </w:t>
      </w:r>
      <w:r w:rsidR="002F2A6B">
        <w:rPr>
          <w:rFonts w:cstheme="majorHAnsi"/>
          <w:lang w:eastAsia="en-AU"/>
        </w:rPr>
        <w:t>for any future Australian support</w:t>
      </w:r>
      <w:r w:rsidR="00BB1B7B" w:rsidRPr="002F2A6B">
        <w:rPr>
          <w:rFonts w:cstheme="majorHAnsi"/>
          <w:lang w:eastAsia="en-AU"/>
        </w:rPr>
        <w:t>. It appears likely that the World Bank PASA costing of the PEHS will partially fulfil the need for an expenditure framework.</w:t>
      </w:r>
    </w:p>
    <w:p w14:paraId="2707B82E" w14:textId="77777777" w:rsidR="009A11F5" w:rsidRDefault="00CC26F0" w:rsidP="00553B35">
      <w:pPr>
        <w:rPr>
          <w:rFonts w:cstheme="majorHAnsi"/>
          <w:lang w:eastAsia="en-AU"/>
        </w:rPr>
      </w:pPr>
      <w:r>
        <w:rPr>
          <w:rFonts w:cstheme="majorHAnsi"/>
          <w:lang w:eastAsia="en-AU"/>
        </w:rPr>
        <w:t xml:space="preserve">The evaluation team’s recommendations in Section 4 are supportive </w:t>
      </w:r>
      <w:r w:rsidR="00EA6AE6">
        <w:rPr>
          <w:rFonts w:cstheme="majorHAnsi"/>
          <w:lang w:eastAsia="en-AU"/>
        </w:rPr>
        <w:t xml:space="preserve">of </w:t>
      </w:r>
      <w:r w:rsidR="00EA6AE6" w:rsidRPr="00A318B9">
        <w:rPr>
          <w:rFonts w:cstheme="majorHAnsi"/>
          <w:noProof/>
          <w:lang w:eastAsia="en-AU"/>
        </w:rPr>
        <w:t>progressive</w:t>
      </w:r>
      <w:r w:rsidR="00EA6AE6">
        <w:rPr>
          <w:rFonts w:cstheme="majorHAnsi"/>
          <w:lang w:eastAsia="en-AU"/>
        </w:rPr>
        <w:t xml:space="preserve"> movement of Australian aid support towards a future health sector program that </w:t>
      </w:r>
      <w:r w:rsidR="00EA6AE6" w:rsidRPr="00A318B9">
        <w:rPr>
          <w:rFonts w:cstheme="majorHAnsi"/>
          <w:noProof/>
          <w:lang w:eastAsia="en-AU"/>
        </w:rPr>
        <w:t>is fully embedded</w:t>
      </w:r>
      <w:r w:rsidR="00EA6AE6">
        <w:rPr>
          <w:rFonts w:cstheme="majorHAnsi"/>
          <w:lang w:eastAsia="en-AU"/>
        </w:rPr>
        <w:t xml:space="preserve"> in the host government institutions and systems. </w:t>
      </w:r>
      <w:r w:rsidR="003B1DF2">
        <w:rPr>
          <w:rFonts w:cstheme="majorHAnsi"/>
          <w:lang w:eastAsia="en-AU"/>
        </w:rPr>
        <w:t>In the team’s view, this will maximise GoT and MoH ownership, and impro</w:t>
      </w:r>
      <w:r w:rsidR="00C9499A">
        <w:rPr>
          <w:rFonts w:cstheme="majorHAnsi"/>
          <w:lang w:eastAsia="en-AU"/>
        </w:rPr>
        <w:t>ve prospects of sustainability.</w:t>
      </w:r>
    </w:p>
    <w:p w14:paraId="6E3173C8" w14:textId="1AF45057" w:rsidR="00CC26F0" w:rsidRDefault="00EA6AE6" w:rsidP="00B61DFB">
      <w:pPr>
        <w:spacing w:after="0"/>
        <w:rPr>
          <w:rFonts w:cstheme="majorHAnsi"/>
          <w:lang w:eastAsia="en-AU"/>
        </w:rPr>
      </w:pPr>
      <w:r>
        <w:rPr>
          <w:rFonts w:cstheme="majorHAnsi"/>
          <w:lang w:eastAsia="en-AU"/>
        </w:rPr>
        <w:t xml:space="preserve">Table </w:t>
      </w:r>
      <w:r w:rsidR="00FA5212">
        <w:rPr>
          <w:rFonts w:cstheme="majorHAnsi"/>
          <w:lang w:eastAsia="en-AU"/>
        </w:rPr>
        <w:t>7</w:t>
      </w:r>
      <w:r>
        <w:rPr>
          <w:rFonts w:cstheme="majorHAnsi"/>
          <w:lang w:eastAsia="en-AU"/>
        </w:rPr>
        <w:t xml:space="preserve"> examines the changes that have occurred since THSSP2 </w:t>
      </w:r>
      <w:r w:rsidRPr="00A318B9">
        <w:rPr>
          <w:rFonts w:cstheme="majorHAnsi"/>
          <w:noProof/>
          <w:lang w:eastAsia="en-AU"/>
        </w:rPr>
        <w:t>was designed</w:t>
      </w:r>
      <w:r>
        <w:rPr>
          <w:rFonts w:cstheme="majorHAnsi"/>
          <w:lang w:eastAsia="en-AU"/>
        </w:rPr>
        <w:t xml:space="preserve"> and how these have contributed to a context that is </w:t>
      </w:r>
      <w:r w:rsidR="002401B7">
        <w:rPr>
          <w:rFonts w:cstheme="majorHAnsi"/>
          <w:lang w:eastAsia="en-AU"/>
        </w:rPr>
        <w:t xml:space="preserve">now </w:t>
      </w:r>
      <w:r>
        <w:rPr>
          <w:rFonts w:cstheme="majorHAnsi"/>
          <w:lang w:eastAsia="en-AU"/>
        </w:rPr>
        <w:t xml:space="preserve">more conducive for an embedded aid modality. Note that although positive developments have occurred, </w:t>
      </w:r>
      <w:r w:rsidR="00964C6A">
        <w:rPr>
          <w:rFonts w:cstheme="majorHAnsi"/>
          <w:lang w:eastAsia="en-AU"/>
        </w:rPr>
        <w:t xml:space="preserve">as stated </w:t>
      </w:r>
      <w:r>
        <w:rPr>
          <w:rFonts w:cstheme="majorHAnsi"/>
          <w:lang w:eastAsia="en-AU"/>
        </w:rPr>
        <w:t xml:space="preserve">several </w:t>
      </w:r>
      <w:r w:rsidR="00964C6A">
        <w:rPr>
          <w:rFonts w:cstheme="majorHAnsi"/>
          <w:lang w:eastAsia="en-AU"/>
        </w:rPr>
        <w:t>tim</w:t>
      </w:r>
      <w:r>
        <w:rPr>
          <w:rFonts w:cstheme="majorHAnsi"/>
          <w:lang w:eastAsia="en-AU"/>
        </w:rPr>
        <w:t xml:space="preserve">es in the main report, expectations of the pace of change have to be realistic </w:t>
      </w:r>
      <w:r w:rsidR="00964C6A">
        <w:rPr>
          <w:rFonts w:cstheme="majorHAnsi"/>
          <w:lang w:eastAsia="en-AU"/>
        </w:rPr>
        <w:t>in</w:t>
      </w:r>
      <w:r>
        <w:rPr>
          <w:rFonts w:cstheme="majorHAnsi"/>
          <w:lang w:eastAsia="en-AU"/>
        </w:rPr>
        <w:t xml:space="preserve"> small nation</w:t>
      </w:r>
      <w:r w:rsidR="00964C6A">
        <w:rPr>
          <w:rFonts w:cstheme="majorHAnsi"/>
          <w:lang w:eastAsia="en-AU"/>
        </w:rPr>
        <w:t>s</w:t>
      </w:r>
      <w:r>
        <w:rPr>
          <w:rFonts w:cstheme="majorHAnsi"/>
          <w:lang w:eastAsia="en-AU"/>
        </w:rPr>
        <w:t xml:space="preserve"> </w:t>
      </w:r>
      <w:r w:rsidR="009743FC">
        <w:rPr>
          <w:rFonts w:cstheme="majorHAnsi"/>
          <w:lang w:eastAsia="en-AU"/>
        </w:rPr>
        <w:t xml:space="preserve">and capacity will vary over time </w:t>
      </w:r>
      <w:r w:rsidR="002401B7">
        <w:rPr>
          <w:rFonts w:cstheme="majorHAnsi"/>
          <w:lang w:eastAsia="en-AU"/>
        </w:rPr>
        <w:t xml:space="preserve">due to competing priorities and as </w:t>
      </w:r>
      <w:r w:rsidR="009743FC">
        <w:rPr>
          <w:rFonts w:cstheme="majorHAnsi"/>
          <w:lang w:eastAsia="en-AU"/>
        </w:rPr>
        <w:t>key staff members move on.</w:t>
      </w:r>
    </w:p>
    <w:p w14:paraId="29BADF5E" w14:textId="4017167D" w:rsidR="005E33A5" w:rsidRDefault="005E33A5" w:rsidP="00B61DFB">
      <w:pPr>
        <w:spacing w:after="0"/>
        <w:rPr>
          <w:rFonts w:cstheme="majorHAnsi"/>
          <w:lang w:eastAsia="en-AU"/>
        </w:rPr>
      </w:pPr>
    </w:p>
    <w:p w14:paraId="50C68161" w14:textId="6A5E3ECD" w:rsidR="005E33A5" w:rsidRDefault="005E33A5" w:rsidP="00B61DFB">
      <w:pPr>
        <w:spacing w:after="0"/>
        <w:rPr>
          <w:rFonts w:cstheme="majorHAnsi"/>
          <w:lang w:eastAsia="en-AU"/>
        </w:rPr>
      </w:pPr>
    </w:p>
    <w:p w14:paraId="3C9C3323" w14:textId="77777777" w:rsidR="005E33A5" w:rsidRDefault="005E33A5" w:rsidP="00B61DFB">
      <w:pPr>
        <w:spacing w:after="0"/>
        <w:rPr>
          <w:rFonts w:cstheme="majorHAnsi"/>
          <w:lang w:eastAsia="en-AU"/>
        </w:rPr>
      </w:pPr>
    </w:p>
    <w:p w14:paraId="7A33ACE6" w14:textId="77777777" w:rsidR="00B61DFB" w:rsidRDefault="00B61DFB" w:rsidP="00B61DFB">
      <w:pPr>
        <w:spacing w:after="0"/>
        <w:rPr>
          <w:rFonts w:cstheme="majorHAnsi"/>
          <w:lang w:eastAsia="en-AU"/>
        </w:rPr>
      </w:pPr>
    </w:p>
    <w:p w14:paraId="2B7CED77" w14:textId="77777777" w:rsidR="00CC26F0" w:rsidRPr="00852728" w:rsidRDefault="00CC26F0" w:rsidP="00CC26F0">
      <w:pPr>
        <w:spacing w:after="0"/>
        <w:rPr>
          <w:b/>
          <w:lang w:eastAsia="en-GB"/>
        </w:rPr>
      </w:pPr>
      <w:r w:rsidRPr="00852728">
        <w:rPr>
          <w:b/>
          <w:lang w:eastAsia="en-GB"/>
        </w:rPr>
        <w:lastRenderedPageBreak/>
        <w:t xml:space="preserve">Table </w:t>
      </w:r>
      <w:r w:rsidR="00FA5212">
        <w:rPr>
          <w:b/>
          <w:lang w:eastAsia="en-GB"/>
        </w:rPr>
        <w:t>7</w:t>
      </w:r>
      <w:r w:rsidRPr="00852728">
        <w:rPr>
          <w:b/>
          <w:lang w:eastAsia="en-GB"/>
        </w:rPr>
        <w:t xml:space="preserve">: </w:t>
      </w:r>
      <w:r>
        <w:rPr>
          <w:b/>
          <w:lang w:eastAsia="en-GB"/>
        </w:rPr>
        <w:t xml:space="preserve">Analysis of </w:t>
      </w:r>
      <w:r w:rsidR="00760392">
        <w:rPr>
          <w:b/>
          <w:lang w:eastAsia="en-GB"/>
        </w:rPr>
        <w:t>‘</w:t>
      </w:r>
      <w:r>
        <w:rPr>
          <w:b/>
          <w:lang w:eastAsia="en-GB"/>
        </w:rPr>
        <w:t>readiness</w:t>
      </w:r>
      <w:r w:rsidR="00760392">
        <w:rPr>
          <w:b/>
          <w:lang w:eastAsia="en-GB"/>
        </w:rPr>
        <w:t>’</w:t>
      </w:r>
      <w:r>
        <w:rPr>
          <w:b/>
          <w:lang w:eastAsia="en-GB"/>
        </w:rPr>
        <w:t xml:space="preserve"> for </w:t>
      </w:r>
      <w:r w:rsidR="00EA6AE6">
        <w:rPr>
          <w:b/>
          <w:lang w:eastAsia="en-GB"/>
        </w:rPr>
        <w:t>embedded health sector support</w:t>
      </w:r>
    </w:p>
    <w:tbl>
      <w:tblPr>
        <w:tblStyle w:val="TableGrid"/>
        <w:tblW w:w="0" w:type="auto"/>
        <w:tblLook w:val="04A0" w:firstRow="1" w:lastRow="0" w:firstColumn="1" w:lastColumn="0" w:noHBand="0" w:noVBand="1"/>
      </w:tblPr>
      <w:tblGrid>
        <w:gridCol w:w="1696"/>
        <w:gridCol w:w="3660"/>
        <w:gridCol w:w="3660"/>
      </w:tblGrid>
      <w:tr w:rsidR="00CC26F0" w:rsidRPr="00CC26F0" w14:paraId="4735C307" w14:textId="77777777" w:rsidTr="00550647">
        <w:trPr>
          <w:tblHeader/>
        </w:trPr>
        <w:tc>
          <w:tcPr>
            <w:tcW w:w="1696" w:type="dxa"/>
            <w:shd w:val="clear" w:color="auto" w:fill="D9D9D9" w:themeFill="background1" w:themeFillShade="D9"/>
          </w:tcPr>
          <w:p w14:paraId="72AEB615" w14:textId="77777777" w:rsidR="00CC26F0" w:rsidRPr="00EA6AE6" w:rsidRDefault="00CC26F0" w:rsidP="00007595">
            <w:pPr>
              <w:rPr>
                <w:sz w:val="20"/>
                <w:szCs w:val="20"/>
              </w:rPr>
            </w:pPr>
          </w:p>
        </w:tc>
        <w:tc>
          <w:tcPr>
            <w:tcW w:w="3660" w:type="dxa"/>
            <w:shd w:val="clear" w:color="auto" w:fill="D9D9D9" w:themeFill="background1" w:themeFillShade="D9"/>
          </w:tcPr>
          <w:p w14:paraId="338C4B40" w14:textId="77777777" w:rsidR="00CC26F0" w:rsidRPr="00CC26F0" w:rsidRDefault="00CC26F0" w:rsidP="00007595">
            <w:pPr>
              <w:rPr>
                <w:b/>
                <w:sz w:val="20"/>
                <w:szCs w:val="20"/>
              </w:rPr>
            </w:pPr>
            <w:r>
              <w:rPr>
                <w:b/>
                <w:sz w:val="20"/>
                <w:szCs w:val="20"/>
              </w:rPr>
              <w:t>Status at time of THSSP2 design</w:t>
            </w:r>
          </w:p>
        </w:tc>
        <w:tc>
          <w:tcPr>
            <w:tcW w:w="3660" w:type="dxa"/>
            <w:shd w:val="clear" w:color="auto" w:fill="D9D9D9" w:themeFill="background1" w:themeFillShade="D9"/>
          </w:tcPr>
          <w:p w14:paraId="282FA766" w14:textId="77777777" w:rsidR="00CC26F0" w:rsidRPr="00EA6AE6" w:rsidRDefault="00EA6AE6" w:rsidP="00EA6AE6">
            <w:pPr>
              <w:rPr>
                <w:b/>
                <w:sz w:val="20"/>
                <w:szCs w:val="20"/>
              </w:rPr>
            </w:pPr>
            <w:r>
              <w:rPr>
                <w:b/>
                <w:sz w:val="20"/>
                <w:szCs w:val="20"/>
              </w:rPr>
              <w:t xml:space="preserve">Developments since </w:t>
            </w:r>
            <w:r w:rsidRPr="00A318B9">
              <w:rPr>
                <w:b/>
                <w:noProof/>
                <w:sz w:val="20"/>
                <w:szCs w:val="20"/>
              </w:rPr>
              <w:t>commencement</w:t>
            </w:r>
            <w:r>
              <w:rPr>
                <w:b/>
                <w:sz w:val="20"/>
                <w:szCs w:val="20"/>
              </w:rPr>
              <w:t xml:space="preserve"> of </w:t>
            </w:r>
            <w:r w:rsidR="00CC26F0" w:rsidRPr="00EA6AE6">
              <w:rPr>
                <w:b/>
                <w:sz w:val="20"/>
                <w:szCs w:val="20"/>
              </w:rPr>
              <w:t>THSSP2</w:t>
            </w:r>
          </w:p>
        </w:tc>
      </w:tr>
      <w:tr w:rsidR="00CC26F0" w:rsidRPr="00CC26F0" w14:paraId="1785E77D" w14:textId="77777777" w:rsidTr="00550647">
        <w:tc>
          <w:tcPr>
            <w:tcW w:w="1696" w:type="dxa"/>
            <w:shd w:val="clear" w:color="auto" w:fill="auto"/>
          </w:tcPr>
          <w:p w14:paraId="7487CE9D" w14:textId="77777777" w:rsidR="00CC26F0" w:rsidRPr="00550647" w:rsidRDefault="00A318B9" w:rsidP="00553B35">
            <w:pPr>
              <w:rPr>
                <w:rFonts w:cstheme="majorHAnsi"/>
                <w:sz w:val="20"/>
                <w:szCs w:val="20"/>
                <w:lang w:eastAsia="en-AU"/>
              </w:rPr>
            </w:pPr>
            <w:r>
              <w:rPr>
                <w:rFonts w:cstheme="majorHAnsi"/>
                <w:sz w:val="20"/>
                <w:szCs w:val="20"/>
                <w:lang w:eastAsia="en-AU"/>
              </w:rPr>
              <w:t>‘</w:t>
            </w:r>
            <w:r w:rsidR="00CC26F0" w:rsidRPr="00550647">
              <w:rPr>
                <w:rFonts w:cstheme="majorHAnsi"/>
                <w:sz w:val="20"/>
                <w:szCs w:val="20"/>
                <w:lang w:eastAsia="en-AU"/>
              </w:rPr>
              <w:t xml:space="preserve">On </w:t>
            </w:r>
            <w:r w:rsidR="00CC26F0" w:rsidRPr="00A318B9">
              <w:rPr>
                <w:rFonts w:cstheme="majorHAnsi"/>
                <w:noProof/>
                <w:sz w:val="20"/>
                <w:szCs w:val="20"/>
                <w:lang w:eastAsia="en-AU"/>
              </w:rPr>
              <w:t>plan</w:t>
            </w:r>
            <w:r w:rsidRPr="00A318B9">
              <w:rPr>
                <w:rFonts w:cstheme="majorHAnsi"/>
                <w:noProof/>
                <w:sz w:val="20"/>
                <w:szCs w:val="20"/>
                <w:lang w:eastAsia="en-AU"/>
              </w:rPr>
              <w:t>’</w:t>
            </w:r>
          </w:p>
        </w:tc>
        <w:tc>
          <w:tcPr>
            <w:tcW w:w="3660" w:type="dxa"/>
            <w:shd w:val="clear" w:color="auto" w:fill="auto"/>
          </w:tcPr>
          <w:p w14:paraId="190E4C88" w14:textId="77777777" w:rsidR="00CC26F0" w:rsidRDefault="008E53E5" w:rsidP="00553B35">
            <w:pPr>
              <w:rPr>
                <w:rFonts w:cstheme="majorHAnsi"/>
                <w:sz w:val="20"/>
                <w:szCs w:val="20"/>
                <w:lang w:eastAsia="en-AU"/>
              </w:rPr>
            </w:pPr>
            <w:r>
              <w:rPr>
                <w:rFonts w:cstheme="majorHAnsi"/>
                <w:sz w:val="20"/>
                <w:szCs w:val="20"/>
                <w:lang w:eastAsia="en-AU"/>
              </w:rPr>
              <w:t>At the time of the THSSP2 design, t</w:t>
            </w:r>
            <w:r w:rsidR="00EA6AE6">
              <w:rPr>
                <w:rFonts w:cstheme="majorHAnsi"/>
                <w:sz w:val="20"/>
                <w:szCs w:val="20"/>
                <w:lang w:eastAsia="en-AU"/>
              </w:rPr>
              <w:t xml:space="preserve">he medium-term health sector plans that were in place did not indicate clear strategic directions. For this reason, the THSSP2 </w:t>
            </w:r>
            <w:r w:rsidR="003B1DF2">
              <w:rPr>
                <w:rFonts w:cstheme="majorHAnsi"/>
                <w:sz w:val="20"/>
                <w:szCs w:val="20"/>
                <w:lang w:eastAsia="en-AU"/>
              </w:rPr>
              <w:t xml:space="preserve">Design Document </w:t>
            </w:r>
            <w:r w:rsidR="00EA6AE6" w:rsidRPr="00A318B9">
              <w:rPr>
                <w:rFonts w:cstheme="majorHAnsi"/>
                <w:noProof/>
                <w:sz w:val="20"/>
                <w:szCs w:val="20"/>
                <w:lang w:eastAsia="en-AU"/>
              </w:rPr>
              <w:t>is not strongly connected</w:t>
            </w:r>
            <w:r w:rsidR="00EA6AE6">
              <w:rPr>
                <w:rFonts w:cstheme="majorHAnsi"/>
                <w:sz w:val="20"/>
                <w:szCs w:val="20"/>
                <w:lang w:eastAsia="en-AU"/>
              </w:rPr>
              <w:t xml:space="preserve"> to a</w:t>
            </w:r>
            <w:r w:rsidR="003B1DF2">
              <w:rPr>
                <w:rFonts w:cstheme="majorHAnsi"/>
                <w:sz w:val="20"/>
                <w:szCs w:val="20"/>
                <w:lang w:eastAsia="en-AU"/>
              </w:rPr>
              <w:t>ny GoT strategic frameworks, and the</w:t>
            </w:r>
            <w:r w:rsidR="00DA1F35">
              <w:rPr>
                <w:rFonts w:cstheme="majorHAnsi"/>
                <w:sz w:val="20"/>
                <w:szCs w:val="20"/>
                <w:lang w:eastAsia="en-AU"/>
              </w:rPr>
              <w:t xml:space="preserve"> design</w:t>
            </w:r>
            <w:r w:rsidR="003B1DF2">
              <w:rPr>
                <w:rFonts w:cstheme="majorHAnsi"/>
                <w:sz w:val="20"/>
                <w:szCs w:val="20"/>
                <w:lang w:eastAsia="en-AU"/>
              </w:rPr>
              <w:t xml:space="preserve"> reli</w:t>
            </w:r>
            <w:r w:rsidR="00DA1F35">
              <w:rPr>
                <w:rFonts w:cstheme="majorHAnsi"/>
                <w:sz w:val="20"/>
                <w:szCs w:val="20"/>
                <w:lang w:eastAsia="en-AU"/>
              </w:rPr>
              <w:t>es</w:t>
            </w:r>
            <w:r w:rsidR="003B1DF2">
              <w:rPr>
                <w:rFonts w:cstheme="majorHAnsi"/>
                <w:sz w:val="20"/>
                <w:szCs w:val="20"/>
                <w:lang w:eastAsia="en-AU"/>
              </w:rPr>
              <w:t xml:space="preserve"> on </w:t>
            </w:r>
            <w:r w:rsidR="00A318B9">
              <w:rPr>
                <w:rFonts w:cstheme="majorHAnsi"/>
                <w:sz w:val="20"/>
                <w:szCs w:val="20"/>
                <w:lang w:eastAsia="en-AU"/>
              </w:rPr>
              <w:t>‘</w:t>
            </w:r>
            <w:r w:rsidR="003B1DF2">
              <w:rPr>
                <w:rFonts w:cstheme="majorHAnsi"/>
                <w:sz w:val="20"/>
                <w:szCs w:val="20"/>
                <w:lang w:eastAsia="en-AU"/>
              </w:rPr>
              <w:t>quality annual plans</w:t>
            </w:r>
            <w:r w:rsidR="00A318B9">
              <w:rPr>
                <w:rFonts w:cstheme="majorHAnsi"/>
                <w:sz w:val="20"/>
                <w:szCs w:val="20"/>
                <w:lang w:eastAsia="en-AU"/>
              </w:rPr>
              <w:t>’</w:t>
            </w:r>
            <w:r w:rsidR="00DA1F35">
              <w:rPr>
                <w:rFonts w:cstheme="majorHAnsi"/>
                <w:sz w:val="20"/>
                <w:szCs w:val="20"/>
                <w:lang w:eastAsia="en-AU"/>
              </w:rPr>
              <w:t xml:space="preserve">. This aspect of the design has resulted in </w:t>
            </w:r>
            <w:r w:rsidR="009743FC">
              <w:rPr>
                <w:rFonts w:cstheme="majorHAnsi"/>
                <w:sz w:val="20"/>
                <w:szCs w:val="20"/>
                <w:lang w:eastAsia="en-AU"/>
              </w:rPr>
              <w:t xml:space="preserve">problems for DFAT because DFAT </w:t>
            </w:r>
            <w:r w:rsidR="009743FC" w:rsidRPr="00A318B9">
              <w:rPr>
                <w:rFonts w:cstheme="majorHAnsi"/>
                <w:noProof/>
                <w:sz w:val="20"/>
                <w:szCs w:val="20"/>
                <w:lang w:eastAsia="en-AU"/>
              </w:rPr>
              <w:t>is having</w:t>
            </w:r>
            <w:r w:rsidR="009743FC">
              <w:rPr>
                <w:rFonts w:cstheme="majorHAnsi"/>
                <w:sz w:val="20"/>
                <w:szCs w:val="20"/>
                <w:lang w:eastAsia="en-AU"/>
              </w:rPr>
              <w:t xml:space="preserve"> to identify prudent and relevant annual activities without a guiding document agreed by both DFAT and MoH.</w:t>
            </w:r>
          </w:p>
          <w:p w14:paraId="549ABBAC" w14:textId="77777777" w:rsidR="00DA1F35" w:rsidRPr="00550647" w:rsidRDefault="00DA1F35" w:rsidP="00553B35">
            <w:pPr>
              <w:rPr>
                <w:rFonts w:cstheme="majorHAnsi"/>
                <w:sz w:val="20"/>
                <w:szCs w:val="20"/>
                <w:lang w:eastAsia="en-AU"/>
              </w:rPr>
            </w:pPr>
          </w:p>
        </w:tc>
        <w:tc>
          <w:tcPr>
            <w:tcW w:w="3660" w:type="dxa"/>
            <w:shd w:val="clear" w:color="auto" w:fill="auto"/>
          </w:tcPr>
          <w:p w14:paraId="4F1E8D26" w14:textId="77777777" w:rsidR="003B1DF2" w:rsidRDefault="00DA1F35" w:rsidP="003B1DF2">
            <w:pPr>
              <w:rPr>
                <w:sz w:val="20"/>
                <w:szCs w:val="20"/>
                <w:lang w:val="en-AU"/>
              </w:rPr>
            </w:pPr>
            <w:r>
              <w:rPr>
                <w:rFonts w:cstheme="majorHAnsi"/>
                <w:sz w:val="20"/>
                <w:szCs w:val="20"/>
                <w:lang w:eastAsia="en-AU"/>
              </w:rPr>
              <w:t xml:space="preserve">The development of the PEHS provides a tangible strategic direction for the health sector </w:t>
            </w:r>
            <w:r w:rsidR="009743FC">
              <w:rPr>
                <w:rFonts w:cstheme="majorHAnsi"/>
                <w:sz w:val="20"/>
                <w:szCs w:val="20"/>
                <w:lang w:eastAsia="en-AU"/>
              </w:rPr>
              <w:t xml:space="preserve">that is consistent with THSSP priorities, </w:t>
            </w:r>
            <w:r>
              <w:rPr>
                <w:rFonts w:cstheme="majorHAnsi"/>
                <w:sz w:val="20"/>
                <w:szCs w:val="20"/>
                <w:lang w:eastAsia="en-AU"/>
              </w:rPr>
              <w:t xml:space="preserve">and </w:t>
            </w:r>
            <w:r w:rsidR="003B1DF2" w:rsidRPr="00550647">
              <w:rPr>
                <w:rFonts w:cstheme="majorHAnsi"/>
                <w:sz w:val="20"/>
                <w:szCs w:val="20"/>
                <w:lang w:eastAsia="en-AU"/>
              </w:rPr>
              <w:t xml:space="preserve">Recommendation </w:t>
            </w:r>
            <w:r w:rsidR="009743FC">
              <w:rPr>
                <w:rFonts w:cstheme="majorHAnsi"/>
                <w:sz w:val="20"/>
                <w:szCs w:val="20"/>
                <w:lang w:eastAsia="en-AU"/>
              </w:rPr>
              <w:t>#</w:t>
            </w:r>
            <w:r w:rsidR="003B1DF2" w:rsidRPr="00550647">
              <w:rPr>
                <w:rFonts w:cstheme="majorHAnsi"/>
                <w:sz w:val="20"/>
                <w:szCs w:val="20"/>
                <w:lang w:eastAsia="en-AU"/>
              </w:rPr>
              <w:t>2</w:t>
            </w:r>
            <w:r w:rsidR="003B1DF2">
              <w:rPr>
                <w:rFonts w:cstheme="majorHAnsi"/>
                <w:sz w:val="20"/>
                <w:szCs w:val="20"/>
                <w:lang w:eastAsia="en-AU"/>
              </w:rPr>
              <w:t xml:space="preserve"> </w:t>
            </w:r>
            <w:r w:rsidR="00C9499A">
              <w:rPr>
                <w:sz w:val="20"/>
                <w:szCs w:val="20"/>
                <w:lang w:val="en-AU"/>
              </w:rPr>
              <w:t>connects</w:t>
            </w:r>
            <w:r w:rsidR="003B1DF2" w:rsidRPr="00550647">
              <w:rPr>
                <w:sz w:val="20"/>
                <w:szCs w:val="20"/>
                <w:lang w:val="en-AU"/>
              </w:rPr>
              <w:t xml:space="preserve"> </w:t>
            </w:r>
            <w:r w:rsidRPr="00A318B9">
              <w:rPr>
                <w:noProof/>
                <w:sz w:val="20"/>
                <w:szCs w:val="20"/>
                <w:lang w:val="en-AU"/>
              </w:rPr>
              <w:t>program</w:t>
            </w:r>
            <w:r w:rsidR="003B1DF2" w:rsidRPr="00A318B9">
              <w:rPr>
                <w:noProof/>
                <w:sz w:val="20"/>
                <w:szCs w:val="20"/>
                <w:lang w:val="en-AU"/>
              </w:rPr>
              <w:t xml:space="preserve"> annual</w:t>
            </w:r>
            <w:r w:rsidR="003B1DF2" w:rsidRPr="00550647">
              <w:rPr>
                <w:sz w:val="20"/>
                <w:szCs w:val="20"/>
                <w:lang w:val="en-AU"/>
              </w:rPr>
              <w:t xml:space="preserve"> planning </w:t>
            </w:r>
            <w:r w:rsidR="00C9499A">
              <w:rPr>
                <w:sz w:val="20"/>
                <w:szCs w:val="20"/>
                <w:lang w:val="en-AU"/>
              </w:rPr>
              <w:t>to</w:t>
            </w:r>
            <w:r w:rsidR="003B1DF2" w:rsidRPr="00550647">
              <w:rPr>
                <w:sz w:val="20"/>
                <w:szCs w:val="20"/>
                <w:lang w:val="en-AU"/>
              </w:rPr>
              <w:t xml:space="preserve"> </w:t>
            </w:r>
            <w:r w:rsidR="003B1DF2" w:rsidRPr="00A318B9">
              <w:rPr>
                <w:noProof/>
                <w:sz w:val="20"/>
                <w:szCs w:val="20"/>
                <w:lang w:val="en-AU"/>
              </w:rPr>
              <w:t>operationalisation</w:t>
            </w:r>
            <w:r w:rsidR="003B1DF2" w:rsidRPr="00550647">
              <w:rPr>
                <w:sz w:val="20"/>
                <w:szCs w:val="20"/>
                <w:lang w:val="en-AU"/>
              </w:rPr>
              <w:t xml:space="preserve"> of the PEHS</w:t>
            </w:r>
            <w:r>
              <w:rPr>
                <w:sz w:val="20"/>
                <w:szCs w:val="20"/>
                <w:lang w:val="en-AU"/>
              </w:rPr>
              <w:t xml:space="preserve"> for the remainder of Phase 2</w:t>
            </w:r>
            <w:r w:rsidR="009743FC">
              <w:rPr>
                <w:sz w:val="20"/>
                <w:szCs w:val="20"/>
                <w:lang w:val="en-AU"/>
              </w:rPr>
              <w:t xml:space="preserve"> as a pragmatic measure</w:t>
            </w:r>
            <w:r w:rsidR="003B1DF2" w:rsidRPr="00550647">
              <w:rPr>
                <w:sz w:val="20"/>
                <w:szCs w:val="20"/>
                <w:lang w:val="en-AU"/>
              </w:rPr>
              <w:t>.</w:t>
            </w:r>
            <w:r w:rsidR="00C9499A">
              <w:rPr>
                <w:sz w:val="20"/>
                <w:szCs w:val="20"/>
                <w:lang w:val="en-AU"/>
              </w:rPr>
              <w:t xml:space="preserve"> </w:t>
            </w:r>
          </w:p>
          <w:p w14:paraId="6219D893" w14:textId="77777777" w:rsidR="006A03DF" w:rsidRDefault="006A03DF" w:rsidP="003B1DF2">
            <w:pPr>
              <w:rPr>
                <w:sz w:val="20"/>
                <w:szCs w:val="20"/>
                <w:lang w:val="en-AU"/>
              </w:rPr>
            </w:pPr>
          </w:p>
          <w:p w14:paraId="14965D37" w14:textId="5D9D1C49" w:rsidR="006A03DF" w:rsidRDefault="006A03DF" w:rsidP="003B1DF2">
            <w:pPr>
              <w:rPr>
                <w:sz w:val="20"/>
                <w:szCs w:val="20"/>
                <w:lang w:val="en-AU"/>
              </w:rPr>
            </w:pPr>
            <w:r>
              <w:rPr>
                <w:sz w:val="20"/>
                <w:szCs w:val="20"/>
                <w:lang w:val="en-AU"/>
              </w:rPr>
              <w:t xml:space="preserve">The full rollout of the PEHS is yet to </w:t>
            </w:r>
            <w:r w:rsidRPr="00A318B9">
              <w:rPr>
                <w:noProof/>
                <w:sz w:val="20"/>
                <w:szCs w:val="20"/>
                <w:lang w:val="en-AU"/>
              </w:rPr>
              <w:t>be planned</w:t>
            </w:r>
            <w:r w:rsidR="009743FC">
              <w:rPr>
                <w:sz w:val="20"/>
                <w:szCs w:val="20"/>
                <w:lang w:val="en-AU"/>
              </w:rPr>
              <w:t xml:space="preserve">. If an explicit rollout plan </w:t>
            </w:r>
            <w:r w:rsidR="009743FC" w:rsidRPr="00A318B9">
              <w:rPr>
                <w:noProof/>
                <w:sz w:val="20"/>
                <w:szCs w:val="20"/>
                <w:lang w:val="en-AU"/>
              </w:rPr>
              <w:t>was</w:t>
            </w:r>
            <w:r w:rsidR="009743FC">
              <w:rPr>
                <w:sz w:val="20"/>
                <w:szCs w:val="20"/>
                <w:lang w:val="en-AU"/>
              </w:rPr>
              <w:t xml:space="preserve"> developed and formally endorsed by MoH, this would be an ideal framework for a</w:t>
            </w:r>
            <w:r w:rsidR="00B607D3">
              <w:rPr>
                <w:sz w:val="20"/>
                <w:szCs w:val="20"/>
                <w:lang w:val="en-AU"/>
              </w:rPr>
              <w:t>ny future Australian support</w:t>
            </w:r>
            <w:r w:rsidR="009743FC">
              <w:rPr>
                <w:sz w:val="20"/>
                <w:szCs w:val="20"/>
                <w:lang w:val="en-AU"/>
              </w:rPr>
              <w:t xml:space="preserve">. </w:t>
            </w:r>
            <w:r w:rsidR="00B3775E">
              <w:rPr>
                <w:sz w:val="20"/>
                <w:szCs w:val="20"/>
                <w:lang w:val="en-AU"/>
              </w:rPr>
              <w:t>The World Bank-supported health facility costing and benchmarking exercise, and WHO support on health workforce planning, will help MOH identify financing needs.</w:t>
            </w:r>
          </w:p>
          <w:p w14:paraId="6782CA57" w14:textId="77777777" w:rsidR="009743FC" w:rsidRDefault="009743FC" w:rsidP="003B1DF2">
            <w:pPr>
              <w:rPr>
                <w:sz w:val="20"/>
                <w:szCs w:val="20"/>
                <w:lang w:val="en-AU"/>
              </w:rPr>
            </w:pPr>
          </w:p>
          <w:p w14:paraId="1F9950C3" w14:textId="77777777" w:rsidR="009743FC" w:rsidRDefault="00F93E46" w:rsidP="003B1DF2">
            <w:pPr>
              <w:rPr>
                <w:sz w:val="20"/>
                <w:szCs w:val="20"/>
              </w:rPr>
            </w:pPr>
            <w:r>
              <w:rPr>
                <w:sz w:val="20"/>
                <w:szCs w:val="20"/>
                <w:lang w:val="en-AU"/>
              </w:rPr>
              <w:t>The PEHS begins to provide a clearer vision of the future than is contained in the existing</w:t>
            </w:r>
            <w:r w:rsidR="00A044DB">
              <w:rPr>
                <w:sz w:val="20"/>
                <w:szCs w:val="20"/>
                <w:lang w:val="en-AU"/>
              </w:rPr>
              <w:t xml:space="preserve"> health sector medium-term strategy</w:t>
            </w:r>
            <w:r w:rsidR="00F93CBE">
              <w:rPr>
                <w:sz w:val="20"/>
                <w:szCs w:val="20"/>
                <w:lang w:val="en-AU"/>
              </w:rPr>
              <w:t xml:space="preserve"> (</w:t>
            </w:r>
            <w:r w:rsidR="00F93CBE">
              <w:rPr>
                <w:sz w:val="20"/>
                <w:szCs w:val="20"/>
              </w:rPr>
              <w:t>National Health Strategic Plan)</w:t>
            </w:r>
            <w:r>
              <w:rPr>
                <w:sz w:val="20"/>
                <w:szCs w:val="20"/>
                <w:lang w:val="en-AU"/>
              </w:rPr>
              <w:t xml:space="preserve">. </w:t>
            </w:r>
            <w:r w:rsidR="00A044DB" w:rsidRPr="00A318B9">
              <w:rPr>
                <w:noProof/>
                <w:sz w:val="20"/>
                <w:szCs w:val="20"/>
                <w:lang w:val="en-AU"/>
              </w:rPr>
              <w:t>This</w:t>
            </w:r>
            <w:r w:rsidR="00A044DB">
              <w:rPr>
                <w:sz w:val="20"/>
                <w:szCs w:val="20"/>
                <w:lang w:val="en-AU"/>
              </w:rPr>
              <w:t xml:space="preserve"> links to </w:t>
            </w:r>
            <w:r w:rsidR="00FA5212">
              <w:rPr>
                <w:sz w:val="20"/>
                <w:szCs w:val="20"/>
                <w:lang w:val="en-AU"/>
              </w:rPr>
              <w:t>discussion earlier in this report on the desirability of</w:t>
            </w:r>
            <w:r w:rsidR="00964C6A">
              <w:rPr>
                <w:rFonts w:cstheme="majorHAnsi"/>
                <w:sz w:val="20"/>
                <w:szCs w:val="20"/>
                <w:lang w:eastAsia="en-AU"/>
              </w:rPr>
              <w:t xml:space="preserve"> a</w:t>
            </w:r>
            <w:r w:rsidR="00A044DB" w:rsidRPr="00550647">
              <w:rPr>
                <w:sz w:val="20"/>
                <w:szCs w:val="20"/>
              </w:rPr>
              <w:t xml:space="preserve"> </w:t>
            </w:r>
            <w:r>
              <w:rPr>
                <w:sz w:val="20"/>
                <w:szCs w:val="20"/>
              </w:rPr>
              <w:t xml:space="preserve">clear </w:t>
            </w:r>
            <w:r w:rsidR="00A044DB" w:rsidRPr="00550647">
              <w:rPr>
                <w:sz w:val="20"/>
                <w:szCs w:val="20"/>
              </w:rPr>
              <w:t xml:space="preserve">medium-term sector strategy </w:t>
            </w:r>
            <w:r w:rsidR="00943BB4">
              <w:rPr>
                <w:sz w:val="20"/>
                <w:szCs w:val="20"/>
              </w:rPr>
              <w:t xml:space="preserve">that </w:t>
            </w:r>
            <w:r w:rsidR="00A044DB" w:rsidRPr="00550647">
              <w:rPr>
                <w:sz w:val="20"/>
                <w:szCs w:val="20"/>
              </w:rPr>
              <w:t>forms the basis for the involvement of all development partners in the sector.</w:t>
            </w:r>
            <w:r w:rsidR="00964C6A">
              <w:rPr>
                <w:sz w:val="20"/>
                <w:szCs w:val="20"/>
              </w:rPr>
              <w:t xml:space="preserve"> </w:t>
            </w:r>
            <w:r w:rsidR="00943BB4">
              <w:rPr>
                <w:sz w:val="20"/>
                <w:szCs w:val="20"/>
              </w:rPr>
              <w:t xml:space="preserve">With the National Health Strategic Plan expiring in 2020, there is the opportunity for </w:t>
            </w:r>
            <w:r w:rsidR="00964C6A">
              <w:rPr>
                <w:sz w:val="20"/>
                <w:szCs w:val="20"/>
              </w:rPr>
              <w:t xml:space="preserve">DFAT and MoH </w:t>
            </w:r>
            <w:r w:rsidR="00943BB4">
              <w:rPr>
                <w:sz w:val="20"/>
                <w:szCs w:val="20"/>
              </w:rPr>
              <w:t>to</w:t>
            </w:r>
            <w:r w:rsidR="00964C6A">
              <w:rPr>
                <w:sz w:val="20"/>
                <w:szCs w:val="20"/>
              </w:rPr>
              <w:t xml:space="preserve"> have discussions wit</w:t>
            </w:r>
            <w:r w:rsidR="00127B49">
              <w:rPr>
                <w:sz w:val="20"/>
                <w:szCs w:val="20"/>
              </w:rPr>
              <w:t xml:space="preserve">h NPO </w:t>
            </w:r>
            <w:r w:rsidR="00943BB4">
              <w:rPr>
                <w:sz w:val="20"/>
                <w:szCs w:val="20"/>
              </w:rPr>
              <w:t>about the next sector plan.</w:t>
            </w:r>
          </w:p>
          <w:p w14:paraId="57BC048E" w14:textId="77777777" w:rsidR="001C782A" w:rsidRDefault="001C782A" w:rsidP="003B1DF2">
            <w:pPr>
              <w:rPr>
                <w:sz w:val="20"/>
                <w:szCs w:val="20"/>
              </w:rPr>
            </w:pPr>
          </w:p>
          <w:p w14:paraId="6307B2DF" w14:textId="77777777" w:rsidR="001C782A" w:rsidRPr="00550647" w:rsidRDefault="001C782A" w:rsidP="003B1DF2">
            <w:pPr>
              <w:rPr>
                <w:rFonts w:cstheme="majorHAnsi"/>
                <w:sz w:val="20"/>
                <w:szCs w:val="20"/>
                <w:lang w:eastAsia="en-AU"/>
              </w:rPr>
            </w:pPr>
            <w:r>
              <w:rPr>
                <w:sz w:val="20"/>
                <w:szCs w:val="20"/>
              </w:rPr>
              <w:t xml:space="preserve">In conclusion, </w:t>
            </w:r>
            <w:r w:rsidR="00FA5212">
              <w:rPr>
                <w:sz w:val="20"/>
                <w:szCs w:val="20"/>
              </w:rPr>
              <w:t xml:space="preserve">although the existing health </w:t>
            </w:r>
            <w:r w:rsidR="00943BB4">
              <w:rPr>
                <w:sz w:val="20"/>
                <w:szCs w:val="20"/>
              </w:rPr>
              <w:t>sector strategic plan</w:t>
            </w:r>
            <w:r>
              <w:rPr>
                <w:sz w:val="20"/>
                <w:szCs w:val="20"/>
              </w:rPr>
              <w:t xml:space="preserve"> </w:t>
            </w:r>
            <w:r w:rsidR="00FA5212">
              <w:rPr>
                <w:sz w:val="20"/>
                <w:szCs w:val="20"/>
              </w:rPr>
              <w:t>is somewhat unclear in how universal health coverage will be achieved</w:t>
            </w:r>
            <w:r>
              <w:rPr>
                <w:sz w:val="20"/>
                <w:szCs w:val="20"/>
              </w:rPr>
              <w:t xml:space="preserve">, there is considerably greater documentation of sector priorities agreed by both MoH and DFAT (and other development partners) than existed at the time when THSSP2 </w:t>
            </w:r>
            <w:r w:rsidRPr="00A318B9">
              <w:rPr>
                <w:noProof/>
                <w:sz w:val="20"/>
                <w:szCs w:val="20"/>
              </w:rPr>
              <w:t>was designed</w:t>
            </w:r>
            <w:r>
              <w:rPr>
                <w:sz w:val="20"/>
                <w:szCs w:val="20"/>
              </w:rPr>
              <w:t>.</w:t>
            </w:r>
          </w:p>
          <w:p w14:paraId="3965F572" w14:textId="77777777" w:rsidR="00CC26F0" w:rsidRPr="00550647" w:rsidRDefault="00CC26F0" w:rsidP="00553B35">
            <w:pPr>
              <w:rPr>
                <w:rFonts w:cstheme="majorHAnsi"/>
                <w:sz w:val="20"/>
                <w:szCs w:val="20"/>
                <w:lang w:eastAsia="en-AU"/>
              </w:rPr>
            </w:pPr>
          </w:p>
        </w:tc>
      </w:tr>
      <w:tr w:rsidR="00CC26F0" w:rsidRPr="00CC26F0" w14:paraId="702E37F5" w14:textId="77777777" w:rsidTr="00550647">
        <w:tc>
          <w:tcPr>
            <w:tcW w:w="1696" w:type="dxa"/>
            <w:shd w:val="clear" w:color="auto" w:fill="auto"/>
          </w:tcPr>
          <w:p w14:paraId="070E6E6C" w14:textId="77777777" w:rsidR="00CC26F0" w:rsidRPr="00550647" w:rsidRDefault="00A318B9" w:rsidP="00553B35">
            <w:pPr>
              <w:rPr>
                <w:rFonts w:cstheme="majorHAnsi"/>
                <w:sz w:val="20"/>
                <w:szCs w:val="20"/>
                <w:lang w:eastAsia="en-AU"/>
              </w:rPr>
            </w:pPr>
            <w:r>
              <w:rPr>
                <w:rFonts w:cstheme="majorHAnsi"/>
                <w:sz w:val="20"/>
                <w:szCs w:val="20"/>
                <w:lang w:eastAsia="en-AU"/>
              </w:rPr>
              <w:t>‘</w:t>
            </w:r>
            <w:r w:rsidR="00CC26F0" w:rsidRPr="00550647">
              <w:rPr>
                <w:rFonts w:cstheme="majorHAnsi"/>
                <w:sz w:val="20"/>
                <w:szCs w:val="20"/>
                <w:lang w:eastAsia="en-AU"/>
              </w:rPr>
              <w:t xml:space="preserve">On </w:t>
            </w:r>
            <w:r w:rsidR="00CC26F0" w:rsidRPr="00A318B9">
              <w:rPr>
                <w:rFonts w:cstheme="majorHAnsi"/>
                <w:noProof/>
                <w:sz w:val="20"/>
                <w:szCs w:val="20"/>
                <w:lang w:eastAsia="en-AU"/>
              </w:rPr>
              <w:t>system</w:t>
            </w:r>
            <w:r w:rsidRPr="00A318B9">
              <w:rPr>
                <w:rFonts w:cstheme="majorHAnsi"/>
                <w:noProof/>
                <w:sz w:val="20"/>
                <w:szCs w:val="20"/>
                <w:lang w:eastAsia="en-AU"/>
              </w:rPr>
              <w:t>’</w:t>
            </w:r>
          </w:p>
        </w:tc>
        <w:tc>
          <w:tcPr>
            <w:tcW w:w="3660" w:type="dxa"/>
            <w:shd w:val="clear" w:color="auto" w:fill="auto"/>
          </w:tcPr>
          <w:p w14:paraId="4FAEC7B3" w14:textId="77777777" w:rsidR="00CC26F0" w:rsidRDefault="002768E8" w:rsidP="002768E8">
            <w:pPr>
              <w:rPr>
                <w:rFonts w:cstheme="majorHAnsi"/>
                <w:sz w:val="20"/>
                <w:szCs w:val="20"/>
                <w:lang w:eastAsia="en-AU"/>
              </w:rPr>
            </w:pPr>
            <w:r>
              <w:rPr>
                <w:rFonts w:cstheme="majorHAnsi"/>
                <w:sz w:val="20"/>
                <w:szCs w:val="20"/>
                <w:lang w:eastAsia="en-AU"/>
              </w:rPr>
              <w:t>There was a DFAT ANS update review at the time of the THSSP2 design that verified that GoT/MoH systems were ready for managing DFAT funds</w:t>
            </w:r>
            <w:r w:rsidR="008E53E5">
              <w:rPr>
                <w:rFonts w:cstheme="majorHAnsi"/>
                <w:sz w:val="20"/>
                <w:szCs w:val="20"/>
                <w:lang w:eastAsia="en-AU"/>
              </w:rPr>
              <w:t>:</w:t>
            </w:r>
            <w:r>
              <w:rPr>
                <w:rFonts w:cstheme="majorHAnsi"/>
                <w:sz w:val="20"/>
                <w:szCs w:val="20"/>
                <w:lang w:eastAsia="en-AU"/>
              </w:rPr>
              <w:t xml:space="preserve"> therefore</w:t>
            </w:r>
            <w:r w:rsidR="008E53E5">
              <w:rPr>
                <w:rFonts w:cstheme="majorHAnsi"/>
                <w:sz w:val="20"/>
                <w:szCs w:val="20"/>
                <w:lang w:eastAsia="en-AU"/>
              </w:rPr>
              <w:t>,</w:t>
            </w:r>
            <w:r>
              <w:rPr>
                <w:rFonts w:cstheme="majorHAnsi"/>
                <w:sz w:val="20"/>
                <w:szCs w:val="20"/>
                <w:lang w:eastAsia="en-AU"/>
              </w:rPr>
              <w:t xml:space="preserve"> in </w:t>
            </w:r>
            <w:r w:rsidRPr="00A318B9">
              <w:rPr>
                <w:rFonts w:cstheme="majorHAnsi"/>
                <w:noProof/>
                <w:sz w:val="20"/>
                <w:szCs w:val="20"/>
                <w:lang w:eastAsia="en-AU"/>
              </w:rPr>
              <w:t>principle</w:t>
            </w:r>
            <w:r>
              <w:rPr>
                <w:rFonts w:cstheme="majorHAnsi"/>
                <w:sz w:val="20"/>
                <w:szCs w:val="20"/>
                <w:lang w:eastAsia="en-AU"/>
              </w:rPr>
              <w:t xml:space="preserve"> the </w:t>
            </w:r>
            <w:r w:rsidR="00A318B9">
              <w:rPr>
                <w:rFonts w:cstheme="majorHAnsi"/>
                <w:sz w:val="20"/>
                <w:szCs w:val="20"/>
                <w:lang w:eastAsia="en-AU"/>
              </w:rPr>
              <w:t>‘</w:t>
            </w:r>
            <w:r>
              <w:rPr>
                <w:rFonts w:cstheme="majorHAnsi"/>
                <w:sz w:val="20"/>
                <w:szCs w:val="20"/>
                <w:lang w:eastAsia="en-AU"/>
              </w:rPr>
              <w:t>on system</w:t>
            </w:r>
            <w:r w:rsidR="00A318B9">
              <w:rPr>
                <w:rFonts w:cstheme="majorHAnsi"/>
                <w:sz w:val="20"/>
                <w:szCs w:val="20"/>
                <w:lang w:eastAsia="en-AU"/>
              </w:rPr>
              <w:t>’</w:t>
            </w:r>
            <w:r>
              <w:rPr>
                <w:rFonts w:cstheme="majorHAnsi"/>
                <w:sz w:val="20"/>
                <w:szCs w:val="20"/>
                <w:lang w:eastAsia="en-AU"/>
              </w:rPr>
              <w:t xml:space="preserve"> criterion was already addressed at that time.</w:t>
            </w:r>
          </w:p>
          <w:p w14:paraId="7F300D24" w14:textId="77777777" w:rsidR="002768E8" w:rsidRDefault="002768E8" w:rsidP="002768E8">
            <w:pPr>
              <w:rPr>
                <w:rFonts w:cstheme="majorHAnsi"/>
                <w:sz w:val="20"/>
                <w:szCs w:val="20"/>
                <w:lang w:eastAsia="en-AU"/>
              </w:rPr>
            </w:pPr>
          </w:p>
          <w:p w14:paraId="71752C97" w14:textId="77777777" w:rsidR="002768E8" w:rsidRDefault="002768E8" w:rsidP="002768E8">
            <w:pPr>
              <w:rPr>
                <w:rFonts w:cstheme="majorHAnsi"/>
                <w:sz w:val="20"/>
                <w:szCs w:val="20"/>
                <w:lang w:eastAsia="en-AU"/>
              </w:rPr>
            </w:pPr>
            <w:r>
              <w:rPr>
                <w:rFonts w:cstheme="majorHAnsi"/>
                <w:sz w:val="20"/>
                <w:szCs w:val="20"/>
                <w:lang w:eastAsia="en-AU"/>
              </w:rPr>
              <w:t xml:space="preserve">The World Bank PASA program and the midterm evaluation have since found that </w:t>
            </w:r>
            <w:r>
              <w:rPr>
                <w:rFonts w:cstheme="majorHAnsi"/>
                <w:sz w:val="20"/>
                <w:szCs w:val="20"/>
                <w:lang w:eastAsia="en-AU"/>
              </w:rPr>
              <w:lastRenderedPageBreak/>
              <w:t xml:space="preserve">although </w:t>
            </w:r>
            <w:r w:rsidR="00DA1F35">
              <w:rPr>
                <w:rFonts w:cstheme="majorHAnsi"/>
                <w:sz w:val="20"/>
                <w:szCs w:val="20"/>
                <w:lang w:eastAsia="en-AU"/>
              </w:rPr>
              <w:t xml:space="preserve">financial </w:t>
            </w:r>
            <w:r>
              <w:rPr>
                <w:rFonts w:cstheme="majorHAnsi"/>
                <w:sz w:val="20"/>
                <w:szCs w:val="20"/>
                <w:lang w:eastAsia="en-AU"/>
              </w:rPr>
              <w:t xml:space="preserve">governance risk is acceptable to DFAT, the highly centralised control of the FMIS by MoF </w:t>
            </w:r>
            <w:r w:rsidR="0060535B">
              <w:rPr>
                <w:rFonts w:cstheme="majorHAnsi"/>
                <w:sz w:val="20"/>
                <w:szCs w:val="20"/>
                <w:lang w:eastAsia="en-AU"/>
              </w:rPr>
              <w:t>means that MoH financial reporting and budgeting capacity remains limited.</w:t>
            </w:r>
          </w:p>
          <w:p w14:paraId="373C8947" w14:textId="77777777" w:rsidR="002768E8" w:rsidRPr="00550647" w:rsidRDefault="002768E8" w:rsidP="002768E8">
            <w:pPr>
              <w:rPr>
                <w:rFonts w:cstheme="majorHAnsi"/>
                <w:sz w:val="20"/>
                <w:szCs w:val="20"/>
                <w:lang w:eastAsia="en-AU"/>
              </w:rPr>
            </w:pPr>
          </w:p>
        </w:tc>
        <w:tc>
          <w:tcPr>
            <w:tcW w:w="3660" w:type="dxa"/>
            <w:shd w:val="clear" w:color="auto" w:fill="auto"/>
          </w:tcPr>
          <w:p w14:paraId="286B3C57" w14:textId="2C2D4366" w:rsidR="00CC26F0" w:rsidRDefault="0060535B" w:rsidP="0060535B">
            <w:pPr>
              <w:rPr>
                <w:sz w:val="20"/>
                <w:szCs w:val="20"/>
              </w:rPr>
            </w:pPr>
            <w:r w:rsidRPr="0060535B">
              <w:rPr>
                <w:rFonts w:cstheme="majorHAnsi"/>
                <w:sz w:val="20"/>
                <w:szCs w:val="20"/>
                <w:lang w:eastAsia="en-AU"/>
              </w:rPr>
              <w:lastRenderedPageBreak/>
              <w:t xml:space="preserve">DFAT </w:t>
            </w:r>
            <w:r w:rsidR="00B3775E">
              <w:rPr>
                <w:rFonts w:cstheme="majorHAnsi"/>
                <w:sz w:val="20"/>
                <w:szCs w:val="20"/>
                <w:lang w:eastAsia="en-AU"/>
              </w:rPr>
              <w:t>is funding the</w:t>
            </w:r>
            <w:r w:rsidRPr="0060535B">
              <w:rPr>
                <w:rFonts w:cstheme="majorHAnsi"/>
                <w:sz w:val="20"/>
                <w:szCs w:val="20"/>
                <w:lang w:eastAsia="en-AU"/>
              </w:rPr>
              <w:t xml:space="preserve"> World Bank PASA program </w:t>
            </w:r>
            <w:r w:rsidR="00B3775E">
              <w:rPr>
                <w:rFonts w:cstheme="majorHAnsi"/>
                <w:sz w:val="20"/>
                <w:szCs w:val="20"/>
                <w:lang w:eastAsia="en-AU"/>
              </w:rPr>
              <w:t xml:space="preserve">which is </w:t>
            </w:r>
            <w:r w:rsidRPr="0060535B">
              <w:rPr>
                <w:rFonts w:cstheme="majorHAnsi"/>
                <w:sz w:val="20"/>
                <w:szCs w:val="20"/>
                <w:lang w:eastAsia="en-AU"/>
              </w:rPr>
              <w:t>assist</w:t>
            </w:r>
            <w:r w:rsidR="00B3775E">
              <w:rPr>
                <w:rFonts w:cstheme="majorHAnsi"/>
                <w:sz w:val="20"/>
                <w:szCs w:val="20"/>
                <w:lang w:eastAsia="en-AU"/>
              </w:rPr>
              <w:t>ing</w:t>
            </w:r>
            <w:r w:rsidRPr="0060535B">
              <w:rPr>
                <w:rFonts w:cstheme="majorHAnsi"/>
                <w:sz w:val="20"/>
                <w:szCs w:val="20"/>
                <w:lang w:eastAsia="en-AU"/>
              </w:rPr>
              <w:t xml:space="preserve"> MoH to identify </w:t>
            </w:r>
            <w:r w:rsidR="00B3775E">
              <w:rPr>
                <w:rFonts w:cstheme="majorHAnsi"/>
                <w:sz w:val="20"/>
                <w:szCs w:val="20"/>
                <w:lang w:eastAsia="en-AU"/>
              </w:rPr>
              <w:t xml:space="preserve">and manage </w:t>
            </w:r>
            <w:r w:rsidRPr="00A318B9">
              <w:rPr>
                <w:rFonts w:cstheme="majorHAnsi"/>
                <w:noProof/>
                <w:sz w:val="20"/>
                <w:szCs w:val="20"/>
                <w:lang w:eastAsia="en-AU"/>
              </w:rPr>
              <w:t>medium</w:t>
            </w:r>
            <w:r w:rsidR="00A318B9" w:rsidRPr="00A318B9">
              <w:rPr>
                <w:rFonts w:cstheme="majorHAnsi"/>
                <w:noProof/>
                <w:sz w:val="20"/>
                <w:szCs w:val="20"/>
                <w:lang w:eastAsia="en-AU"/>
              </w:rPr>
              <w:t>-</w:t>
            </w:r>
            <w:r w:rsidRPr="00A318B9">
              <w:rPr>
                <w:rFonts w:cstheme="majorHAnsi"/>
                <w:noProof/>
                <w:sz w:val="20"/>
                <w:szCs w:val="20"/>
                <w:lang w:eastAsia="en-AU"/>
              </w:rPr>
              <w:t>term</w:t>
            </w:r>
            <w:r w:rsidRPr="0060535B">
              <w:rPr>
                <w:rFonts w:cstheme="majorHAnsi"/>
                <w:sz w:val="20"/>
                <w:szCs w:val="20"/>
                <w:lang w:eastAsia="en-AU"/>
              </w:rPr>
              <w:t xml:space="preserve"> expenditure pressures</w:t>
            </w:r>
            <w:r w:rsidR="00B3775E">
              <w:rPr>
                <w:rFonts w:cstheme="majorHAnsi"/>
                <w:sz w:val="20"/>
                <w:szCs w:val="20"/>
                <w:lang w:eastAsia="en-AU"/>
              </w:rPr>
              <w:t>. WB is also conducting a health facility costing and benchmarking exercise</w:t>
            </w:r>
            <w:r w:rsidR="00D52E93">
              <w:rPr>
                <w:rFonts w:cstheme="majorHAnsi"/>
                <w:sz w:val="20"/>
                <w:szCs w:val="20"/>
                <w:lang w:eastAsia="en-AU"/>
              </w:rPr>
              <w:t xml:space="preserve"> to help inform the PEHS rollout</w:t>
            </w:r>
            <w:r w:rsidRPr="0060535B">
              <w:rPr>
                <w:rFonts w:cstheme="majorHAnsi"/>
                <w:sz w:val="20"/>
                <w:szCs w:val="20"/>
                <w:lang w:eastAsia="en-AU"/>
              </w:rPr>
              <w:t xml:space="preserve">. </w:t>
            </w:r>
            <w:r w:rsidRPr="00A318B9">
              <w:rPr>
                <w:rFonts w:cstheme="majorHAnsi"/>
                <w:noProof/>
                <w:sz w:val="20"/>
                <w:szCs w:val="20"/>
                <w:lang w:eastAsia="en-AU"/>
              </w:rPr>
              <w:t>This</w:t>
            </w:r>
            <w:r w:rsidRPr="0060535B">
              <w:rPr>
                <w:rFonts w:cstheme="majorHAnsi"/>
                <w:sz w:val="20"/>
                <w:szCs w:val="20"/>
                <w:lang w:eastAsia="en-AU"/>
              </w:rPr>
              <w:t xml:space="preserve"> should improve MoH </w:t>
            </w:r>
            <w:r w:rsidR="00D52E93">
              <w:rPr>
                <w:rFonts w:cstheme="majorHAnsi"/>
                <w:sz w:val="20"/>
                <w:szCs w:val="20"/>
                <w:lang w:eastAsia="en-AU"/>
              </w:rPr>
              <w:t xml:space="preserve">planning, </w:t>
            </w:r>
            <w:r w:rsidRPr="0060535B">
              <w:rPr>
                <w:rFonts w:cstheme="majorHAnsi"/>
                <w:sz w:val="20"/>
                <w:szCs w:val="20"/>
                <w:lang w:eastAsia="en-AU"/>
              </w:rPr>
              <w:t>budgeting</w:t>
            </w:r>
            <w:r w:rsidR="00D52E93">
              <w:rPr>
                <w:rFonts w:cstheme="majorHAnsi"/>
                <w:sz w:val="20"/>
                <w:szCs w:val="20"/>
                <w:lang w:eastAsia="en-AU"/>
              </w:rPr>
              <w:t>, and execution monitoring</w:t>
            </w:r>
            <w:r w:rsidRPr="0060535B">
              <w:rPr>
                <w:rFonts w:cstheme="majorHAnsi"/>
                <w:sz w:val="20"/>
                <w:szCs w:val="20"/>
                <w:lang w:eastAsia="en-AU"/>
              </w:rPr>
              <w:t xml:space="preserve"> capacity </w:t>
            </w:r>
            <w:r w:rsidRPr="00A318B9">
              <w:rPr>
                <w:rFonts w:cstheme="majorHAnsi"/>
                <w:noProof/>
                <w:sz w:val="20"/>
                <w:szCs w:val="20"/>
                <w:lang w:eastAsia="en-AU"/>
              </w:rPr>
              <w:t>but</w:t>
            </w:r>
            <w:r w:rsidRPr="0060535B">
              <w:rPr>
                <w:rFonts w:cstheme="majorHAnsi"/>
                <w:sz w:val="20"/>
                <w:szCs w:val="20"/>
                <w:lang w:eastAsia="en-AU"/>
              </w:rPr>
              <w:t xml:space="preserve"> centralised control of the FMIS by MoF will conti</w:t>
            </w:r>
            <w:r w:rsidRPr="00DA1F35">
              <w:rPr>
                <w:rFonts w:cstheme="majorHAnsi"/>
                <w:sz w:val="20"/>
                <w:szCs w:val="20"/>
                <w:lang w:eastAsia="en-AU"/>
              </w:rPr>
              <w:t xml:space="preserve">nue. </w:t>
            </w:r>
            <w:r w:rsidRPr="00DA1F35">
              <w:rPr>
                <w:rFonts w:cstheme="majorHAnsi"/>
                <w:sz w:val="20"/>
                <w:szCs w:val="20"/>
                <w:lang w:eastAsia="en-AU"/>
              </w:rPr>
              <w:lastRenderedPageBreak/>
              <w:t xml:space="preserve">The </w:t>
            </w:r>
            <w:r w:rsidRPr="00550647">
              <w:rPr>
                <w:sz w:val="20"/>
                <w:szCs w:val="20"/>
              </w:rPr>
              <w:t xml:space="preserve">Joint Policy Reform Program </w:t>
            </w:r>
            <w:r>
              <w:rPr>
                <w:sz w:val="20"/>
                <w:szCs w:val="20"/>
              </w:rPr>
              <w:t>(</w:t>
            </w:r>
            <w:r w:rsidRPr="0060535B">
              <w:rPr>
                <w:sz w:val="20"/>
                <w:szCs w:val="20"/>
              </w:rPr>
              <w:t xml:space="preserve">funded by DFAT, </w:t>
            </w:r>
            <w:r w:rsidRPr="00550647">
              <w:rPr>
                <w:sz w:val="20"/>
                <w:szCs w:val="20"/>
              </w:rPr>
              <w:t>ADB, EU and World Bank</w:t>
            </w:r>
            <w:r>
              <w:rPr>
                <w:sz w:val="20"/>
                <w:szCs w:val="20"/>
              </w:rPr>
              <w:t>) is expected to improve the issues with centralised control of the FMIS but over a longer term.</w:t>
            </w:r>
          </w:p>
          <w:p w14:paraId="34F69D63" w14:textId="77777777" w:rsidR="0060535B" w:rsidRDefault="0060535B" w:rsidP="0060535B">
            <w:pPr>
              <w:rPr>
                <w:sz w:val="20"/>
                <w:szCs w:val="20"/>
              </w:rPr>
            </w:pPr>
          </w:p>
          <w:p w14:paraId="7400B940" w14:textId="77777777" w:rsidR="0060535B" w:rsidRDefault="0060535B" w:rsidP="0060535B">
            <w:pPr>
              <w:rPr>
                <w:sz w:val="20"/>
                <w:szCs w:val="20"/>
              </w:rPr>
            </w:pPr>
            <w:r>
              <w:rPr>
                <w:sz w:val="20"/>
                <w:szCs w:val="20"/>
              </w:rPr>
              <w:t xml:space="preserve">In summary, the </w:t>
            </w:r>
            <w:r w:rsidR="006E30BD">
              <w:rPr>
                <w:sz w:val="20"/>
                <w:szCs w:val="20"/>
              </w:rPr>
              <w:t xml:space="preserve">evaluation team has no evidence to suggest the </w:t>
            </w:r>
            <w:r>
              <w:rPr>
                <w:sz w:val="20"/>
                <w:szCs w:val="20"/>
              </w:rPr>
              <w:t xml:space="preserve">DFAT ANS assessment that this a </w:t>
            </w:r>
            <w:r w:rsidRPr="00A318B9">
              <w:rPr>
                <w:noProof/>
                <w:sz w:val="20"/>
                <w:szCs w:val="20"/>
              </w:rPr>
              <w:t>low risk</w:t>
            </w:r>
            <w:r>
              <w:rPr>
                <w:sz w:val="20"/>
                <w:szCs w:val="20"/>
              </w:rPr>
              <w:t xml:space="preserve"> financial governance context </w:t>
            </w:r>
            <w:r w:rsidR="006E30BD">
              <w:rPr>
                <w:sz w:val="20"/>
                <w:szCs w:val="20"/>
              </w:rPr>
              <w:t xml:space="preserve">has </w:t>
            </w:r>
            <w:r>
              <w:rPr>
                <w:sz w:val="20"/>
                <w:szCs w:val="20"/>
              </w:rPr>
              <w:t>changed</w:t>
            </w:r>
            <w:r w:rsidR="006E30BD">
              <w:rPr>
                <w:sz w:val="20"/>
                <w:szCs w:val="20"/>
              </w:rPr>
              <w:t xml:space="preserve"> (noting that DFAT will conduct an ANS update in early 2019)</w:t>
            </w:r>
            <w:r>
              <w:rPr>
                <w:sz w:val="20"/>
                <w:szCs w:val="20"/>
              </w:rPr>
              <w:t xml:space="preserve">, </w:t>
            </w:r>
            <w:r w:rsidR="00DA1F35">
              <w:rPr>
                <w:sz w:val="20"/>
                <w:szCs w:val="20"/>
              </w:rPr>
              <w:t xml:space="preserve">and an </w:t>
            </w:r>
            <w:r w:rsidR="00A318B9">
              <w:rPr>
                <w:sz w:val="20"/>
                <w:szCs w:val="20"/>
              </w:rPr>
              <w:t>‘</w:t>
            </w:r>
            <w:r w:rsidR="00DA1F35">
              <w:rPr>
                <w:sz w:val="20"/>
                <w:szCs w:val="20"/>
              </w:rPr>
              <w:t>on system</w:t>
            </w:r>
            <w:r w:rsidR="00A318B9">
              <w:rPr>
                <w:sz w:val="20"/>
                <w:szCs w:val="20"/>
              </w:rPr>
              <w:t>’</w:t>
            </w:r>
            <w:r w:rsidR="00DA1F35">
              <w:rPr>
                <w:sz w:val="20"/>
                <w:szCs w:val="20"/>
              </w:rPr>
              <w:t xml:space="preserve"> modality continues to be viable, although timely financial reporting will continue to be a problem.</w:t>
            </w:r>
          </w:p>
          <w:p w14:paraId="5ACFC7BB" w14:textId="77777777" w:rsidR="00DA1F35" w:rsidRPr="00550647" w:rsidRDefault="00DA1F35" w:rsidP="0060535B">
            <w:pPr>
              <w:rPr>
                <w:rFonts w:cstheme="majorHAnsi"/>
                <w:sz w:val="20"/>
                <w:szCs w:val="20"/>
                <w:lang w:eastAsia="en-AU"/>
              </w:rPr>
            </w:pPr>
          </w:p>
        </w:tc>
      </w:tr>
      <w:tr w:rsidR="00CC26F0" w:rsidRPr="00CC26F0" w14:paraId="3EFFEBA8" w14:textId="77777777" w:rsidTr="00550647">
        <w:tc>
          <w:tcPr>
            <w:tcW w:w="1696" w:type="dxa"/>
            <w:shd w:val="clear" w:color="auto" w:fill="auto"/>
          </w:tcPr>
          <w:p w14:paraId="3825A8D7" w14:textId="77777777" w:rsidR="00CC26F0" w:rsidRPr="00550647" w:rsidRDefault="00760392" w:rsidP="00553B35">
            <w:pPr>
              <w:rPr>
                <w:rFonts w:cstheme="majorHAnsi"/>
                <w:sz w:val="20"/>
                <w:szCs w:val="20"/>
                <w:lang w:eastAsia="en-AU"/>
              </w:rPr>
            </w:pPr>
            <w:r>
              <w:rPr>
                <w:rFonts w:cstheme="majorHAnsi"/>
                <w:sz w:val="20"/>
                <w:szCs w:val="20"/>
                <w:lang w:eastAsia="en-AU"/>
              </w:rPr>
              <w:lastRenderedPageBreak/>
              <w:t>‘</w:t>
            </w:r>
            <w:r w:rsidR="00CC26F0" w:rsidRPr="00550647">
              <w:rPr>
                <w:rFonts w:cstheme="majorHAnsi"/>
                <w:sz w:val="20"/>
                <w:szCs w:val="20"/>
                <w:lang w:eastAsia="en-AU"/>
              </w:rPr>
              <w:t xml:space="preserve">On </w:t>
            </w:r>
            <w:r w:rsidR="00CC26F0" w:rsidRPr="00A318B9">
              <w:rPr>
                <w:rFonts w:cstheme="majorHAnsi"/>
                <w:noProof/>
                <w:sz w:val="20"/>
                <w:szCs w:val="20"/>
                <w:lang w:eastAsia="en-AU"/>
              </w:rPr>
              <w:t>budget</w:t>
            </w:r>
            <w:r>
              <w:rPr>
                <w:rFonts w:cstheme="majorHAnsi"/>
                <w:sz w:val="20"/>
                <w:szCs w:val="20"/>
                <w:lang w:eastAsia="en-AU"/>
              </w:rPr>
              <w:t>’</w:t>
            </w:r>
          </w:p>
        </w:tc>
        <w:tc>
          <w:tcPr>
            <w:tcW w:w="3660" w:type="dxa"/>
            <w:shd w:val="clear" w:color="auto" w:fill="auto"/>
          </w:tcPr>
          <w:p w14:paraId="17CB1D3E" w14:textId="73D9C3A1" w:rsidR="00CC26F0" w:rsidRDefault="001C782A" w:rsidP="00553B35">
            <w:pPr>
              <w:rPr>
                <w:rFonts w:cstheme="majorHAnsi"/>
                <w:sz w:val="20"/>
                <w:szCs w:val="20"/>
                <w:lang w:eastAsia="en-AU"/>
              </w:rPr>
            </w:pPr>
            <w:r>
              <w:rPr>
                <w:rFonts w:cstheme="majorHAnsi"/>
                <w:sz w:val="20"/>
                <w:szCs w:val="20"/>
                <w:lang w:eastAsia="en-AU"/>
              </w:rPr>
              <w:t xml:space="preserve">The THSSP2 Design Document assumed that planning of annual program activities would be integrated (or highly connected with) MoH budgeting for the GoT budget. </w:t>
            </w:r>
            <w:r w:rsidRPr="00A318B9">
              <w:rPr>
                <w:rFonts w:cstheme="majorHAnsi"/>
                <w:noProof/>
                <w:sz w:val="20"/>
                <w:szCs w:val="20"/>
                <w:lang w:eastAsia="en-AU"/>
              </w:rPr>
              <w:t>This</w:t>
            </w:r>
            <w:r>
              <w:rPr>
                <w:rFonts w:cstheme="majorHAnsi"/>
                <w:sz w:val="20"/>
                <w:szCs w:val="20"/>
                <w:lang w:eastAsia="en-AU"/>
              </w:rPr>
              <w:t xml:space="preserve"> is one of the areas where </w:t>
            </w:r>
            <w:r w:rsidR="00C46D48">
              <w:rPr>
                <w:rFonts w:cstheme="majorHAnsi"/>
                <w:sz w:val="20"/>
                <w:szCs w:val="20"/>
                <w:lang w:eastAsia="en-AU"/>
              </w:rPr>
              <w:t xml:space="preserve">the implementation of THSSP2 was unable to progress as intended. THSSP2 annual funding </w:t>
            </w:r>
            <w:r w:rsidR="00C46D48" w:rsidRPr="00A318B9">
              <w:rPr>
                <w:rFonts w:cstheme="majorHAnsi"/>
                <w:noProof/>
                <w:sz w:val="20"/>
                <w:szCs w:val="20"/>
                <w:lang w:eastAsia="en-AU"/>
              </w:rPr>
              <w:t>is recognised</w:t>
            </w:r>
            <w:r w:rsidR="00C46D48">
              <w:rPr>
                <w:rFonts w:cstheme="majorHAnsi"/>
                <w:sz w:val="20"/>
                <w:szCs w:val="20"/>
                <w:lang w:eastAsia="en-AU"/>
              </w:rPr>
              <w:t xml:space="preserve"> in the GoT budget notes </w:t>
            </w:r>
            <w:r w:rsidR="00C46D48" w:rsidRPr="00A318B9">
              <w:rPr>
                <w:rFonts w:cstheme="majorHAnsi"/>
                <w:noProof/>
                <w:sz w:val="20"/>
                <w:szCs w:val="20"/>
                <w:lang w:eastAsia="en-AU"/>
              </w:rPr>
              <w:t>but</w:t>
            </w:r>
            <w:r w:rsidR="00C46D48">
              <w:rPr>
                <w:rFonts w:cstheme="majorHAnsi"/>
                <w:sz w:val="20"/>
                <w:szCs w:val="20"/>
                <w:lang w:eastAsia="en-AU"/>
              </w:rPr>
              <w:t xml:space="preserve"> the</w:t>
            </w:r>
            <w:r w:rsidR="00473AF1">
              <w:rPr>
                <w:rFonts w:cstheme="majorHAnsi"/>
                <w:sz w:val="20"/>
                <w:szCs w:val="20"/>
                <w:lang w:eastAsia="en-AU"/>
              </w:rPr>
              <w:t xml:space="preserve"> planning</w:t>
            </w:r>
            <w:r w:rsidR="00C46D48">
              <w:rPr>
                <w:rFonts w:cstheme="majorHAnsi"/>
                <w:sz w:val="20"/>
                <w:szCs w:val="20"/>
                <w:lang w:eastAsia="en-AU"/>
              </w:rPr>
              <w:t xml:space="preserve"> process remains separate.</w:t>
            </w:r>
          </w:p>
          <w:p w14:paraId="662DA4E5" w14:textId="77777777" w:rsidR="001C782A" w:rsidRPr="00550647" w:rsidRDefault="001C782A" w:rsidP="00553B35">
            <w:pPr>
              <w:rPr>
                <w:rFonts w:cstheme="majorHAnsi"/>
                <w:sz w:val="20"/>
                <w:szCs w:val="20"/>
                <w:lang w:eastAsia="en-AU"/>
              </w:rPr>
            </w:pPr>
          </w:p>
        </w:tc>
        <w:tc>
          <w:tcPr>
            <w:tcW w:w="3660" w:type="dxa"/>
            <w:shd w:val="clear" w:color="auto" w:fill="auto"/>
          </w:tcPr>
          <w:p w14:paraId="001BC913" w14:textId="77777777" w:rsidR="00CC26F0" w:rsidRDefault="001C782A" w:rsidP="00C46D48">
            <w:pPr>
              <w:rPr>
                <w:sz w:val="20"/>
                <w:szCs w:val="20"/>
              </w:rPr>
            </w:pPr>
            <w:r w:rsidRPr="00943BB4">
              <w:rPr>
                <w:rFonts w:cstheme="majorHAnsi"/>
                <w:sz w:val="20"/>
                <w:szCs w:val="20"/>
                <w:lang w:eastAsia="en-AU"/>
              </w:rPr>
              <w:t>Recommendation #</w:t>
            </w:r>
            <w:r w:rsidR="00943BB4" w:rsidRPr="00943BB4">
              <w:rPr>
                <w:rFonts w:cstheme="majorHAnsi"/>
                <w:sz w:val="20"/>
                <w:szCs w:val="20"/>
                <w:lang w:eastAsia="en-AU"/>
              </w:rPr>
              <w:t>3</w:t>
            </w:r>
            <w:r w:rsidR="00C46D48" w:rsidRPr="00943BB4">
              <w:rPr>
                <w:rFonts w:cstheme="majorHAnsi"/>
                <w:sz w:val="20"/>
                <w:szCs w:val="20"/>
                <w:lang w:eastAsia="en-AU"/>
              </w:rPr>
              <w:t xml:space="preserve"> </w:t>
            </w:r>
            <w:r w:rsidRPr="00943BB4">
              <w:rPr>
                <w:sz w:val="20"/>
                <w:szCs w:val="20"/>
                <w:lang w:val="en-AU"/>
              </w:rPr>
              <w:t>recommend</w:t>
            </w:r>
            <w:r w:rsidR="00C46D48" w:rsidRPr="00943BB4">
              <w:rPr>
                <w:sz w:val="20"/>
                <w:szCs w:val="20"/>
                <w:lang w:val="en-AU"/>
              </w:rPr>
              <w:t>s</w:t>
            </w:r>
            <w:r w:rsidRPr="00943BB4">
              <w:rPr>
                <w:sz w:val="20"/>
                <w:szCs w:val="20"/>
                <w:lang w:val="en-AU"/>
              </w:rPr>
              <w:t xml:space="preserve"> that</w:t>
            </w:r>
            <w:r w:rsidR="00C46D48">
              <w:rPr>
                <w:sz w:val="20"/>
                <w:szCs w:val="20"/>
                <w:lang w:val="en-AU"/>
              </w:rPr>
              <w:t xml:space="preserve"> </w:t>
            </w:r>
            <w:r w:rsidRPr="00550647">
              <w:rPr>
                <w:sz w:val="20"/>
                <w:szCs w:val="20"/>
              </w:rPr>
              <w:t>future Australian aid works towards integrated MoH/THSSP annual planning.</w:t>
            </w:r>
            <w:r w:rsidR="00C46D48">
              <w:rPr>
                <w:sz w:val="20"/>
                <w:szCs w:val="20"/>
              </w:rPr>
              <w:t xml:space="preserve"> In the context of an evaluation report that makes repeated comments about avoiding unrealistic expectations, it behoves the evaluators to take heed of their </w:t>
            </w:r>
            <w:r w:rsidR="00C46D48" w:rsidRPr="00A318B9">
              <w:rPr>
                <w:noProof/>
                <w:sz w:val="20"/>
                <w:szCs w:val="20"/>
              </w:rPr>
              <w:t>own</w:t>
            </w:r>
            <w:r w:rsidR="00C46D48">
              <w:rPr>
                <w:sz w:val="20"/>
                <w:szCs w:val="20"/>
              </w:rPr>
              <w:t xml:space="preserve"> advice. The</w:t>
            </w:r>
            <w:r w:rsidR="008E53E5">
              <w:rPr>
                <w:sz w:val="20"/>
                <w:szCs w:val="20"/>
              </w:rPr>
              <w:t>refore, although the</w:t>
            </w:r>
            <w:r w:rsidR="00C46D48">
              <w:rPr>
                <w:sz w:val="20"/>
                <w:szCs w:val="20"/>
              </w:rPr>
              <w:t xml:space="preserve"> evaluation team would prefer</w:t>
            </w:r>
            <w:r w:rsidR="00B607D3">
              <w:rPr>
                <w:sz w:val="20"/>
                <w:szCs w:val="20"/>
              </w:rPr>
              <w:t xml:space="preserve"> this happen as soon as possible, </w:t>
            </w:r>
            <w:r w:rsidR="00C46D48">
              <w:rPr>
                <w:sz w:val="20"/>
                <w:szCs w:val="20"/>
              </w:rPr>
              <w:t>it</w:t>
            </w:r>
            <w:r w:rsidR="008E53E5">
              <w:rPr>
                <w:sz w:val="20"/>
                <w:szCs w:val="20"/>
              </w:rPr>
              <w:t xml:space="preserve"> i</w:t>
            </w:r>
            <w:r w:rsidR="00C46D48">
              <w:rPr>
                <w:sz w:val="20"/>
                <w:szCs w:val="20"/>
              </w:rPr>
              <w:t xml:space="preserve">s not </w:t>
            </w:r>
            <w:r w:rsidR="008E53E5">
              <w:rPr>
                <w:sz w:val="20"/>
                <w:szCs w:val="20"/>
              </w:rPr>
              <w:t xml:space="preserve">desirable </w:t>
            </w:r>
            <w:r w:rsidR="00C46D48">
              <w:rPr>
                <w:sz w:val="20"/>
                <w:szCs w:val="20"/>
              </w:rPr>
              <w:t>to force the issue prematurely.</w:t>
            </w:r>
          </w:p>
          <w:p w14:paraId="44FD9640" w14:textId="77777777" w:rsidR="00C46D48" w:rsidRDefault="00C46D48" w:rsidP="00C46D48">
            <w:pPr>
              <w:rPr>
                <w:sz w:val="20"/>
                <w:szCs w:val="20"/>
              </w:rPr>
            </w:pPr>
          </w:p>
          <w:p w14:paraId="4F79DF81" w14:textId="50D0D98E" w:rsidR="00C46D48" w:rsidRDefault="00473AF1" w:rsidP="00C46D48">
            <w:pPr>
              <w:rPr>
                <w:sz w:val="20"/>
                <w:szCs w:val="20"/>
              </w:rPr>
            </w:pPr>
            <w:r>
              <w:rPr>
                <w:sz w:val="20"/>
                <w:szCs w:val="20"/>
              </w:rPr>
              <w:t>To actions to strengthen the</w:t>
            </w:r>
            <w:r w:rsidR="00C46D48">
              <w:rPr>
                <w:sz w:val="20"/>
                <w:szCs w:val="20"/>
              </w:rPr>
              <w:t xml:space="preserve"> </w:t>
            </w:r>
            <w:r w:rsidR="00A318B9">
              <w:rPr>
                <w:sz w:val="20"/>
                <w:szCs w:val="20"/>
              </w:rPr>
              <w:t>‘</w:t>
            </w:r>
            <w:r w:rsidR="00C46D48">
              <w:rPr>
                <w:sz w:val="20"/>
                <w:szCs w:val="20"/>
              </w:rPr>
              <w:t>on budget</w:t>
            </w:r>
            <w:r w:rsidR="00A318B9">
              <w:rPr>
                <w:sz w:val="20"/>
                <w:szCs w:val="20"/>
              </w:rPr>
              <w:t>’</w:t>
            </w:r>
            <w:r w:rsidR="00C46D48">
              <w:rPr>
                <w:sz w:val="20"/>
                <w:szCs w:val="20"/>
              </w:rPr>
              <w:t xml:space="preserve"> approach include resolution of program oversight </w:t>
            </w:r>
            <w:r w:rsidR="00C46D48" w:rsidRPr="00A318B9">
              <w:rPr>
                <w:noProof/>
                <w:sz w:val="20"/>
                <w:szCs w:val="20"/>
              </w:rPr>
              <w:t>arrangements,</w:t>
            </w:r>
            <w:r w:rsidR="00C46D48">
              <w:rPr>
                <w:sz w:val="20"/>
                <w:szCs w:val="20"/>
              </w:rPr>
              <w:t xml:space="preserve"> and confirmation that the MoH will continue to </w:t>
            </w:r>
            <w:r w:rsidR="00AB2574">
              <w:rPr>
                <w:sz w:val="20"/>
                <w:szCs w:val="20"/>
              </w:rPr>
              <w:t xml:space="preserve">focus on the </w:t>
            </w:r>
            <w:r w:rsidR="00C46D48">
              <w:rPr>
                <w:sz w:val="20"/>
                <w:szCs w:val="20"/>
              </w:rPr>
              <w:t>rollout of the PEHS</w:t>
            </w:r>
            <w:r w:rsidR="00FA2894">
              <w:rPr>
                <w:sz w:val="20"/>
                <w:szCs w:val="20"/>
              </w:rPr>
              <w:t xml:space="preserve">. </w:t>
            </w:r>
            <w:r w:rsidR="00C46D48">
              <w:rPr>
                <w:sz w:val="20"/>
                <w:szCs w:val="20"/>
              </w:rPr>
              <w:t xml:space="preserve">Other factors include maturation of the newly-formed Corporate Services Division and </w:t>
            </w:r>
            <w:r w:rsidR="008E53E5">
              <w:rPr>
                <w:sz w:val="20"/>
                <w:szCs w:val="20"/>
              </w:rPr>
              <w:t>the future of health planning technical assistance.</w:t>
            </w:r>
          </w:p>
          <w:p w14:paraId="511C1FE1" w14:textId="77777777" w:rsidR="00C46D48" w:rsidRPr="00550647" w:rsidRDefault="00C46D48" w:rsidP="00C46D48">
            <w:pPr>
              <w:rPr>
                <w:rFonts w:cstheme="majorHAnsi"/>
                <w:sz w:val="20"/>
                <w:szCs w:val="20"/>
                <w:lang w:eastAsia="en-AU"/>
              </w:rPr>
            </w:pPr>
          </w:p>
        </w:tc>
      </w:tr>
    </w:tbl>
    <w:p w14:paraId="7B0069FD" w14:textId="77777777" w:rsidR="00CC26F0" w:rsidRDefault="00CC26F0" w:rsidP="00553B35">
      <w:pPr>
        <w:rPr>
          <w:rFonts w:cstheme="majorHAnsi"/>
          <w:lang w:eastAsia="en-AU"/>
        </w:rPr>
      </w:pPr>
    </w:p>
    <w:p w14:paraId="59EF0692" w14:textId="77777777" w:rsidR="002401B7" w:rsidRPr="00550647" w:rsidRDefault="002401B7" w:rsidP="00B61DFB">
      <w:pPr>
        <w:spacing w:after="0"/>
      </w:pPr>
      <w:r w:rsidRPr="00550647">
        <w:t xml:space="preserve">The modality </w:t>
      </w:r>
      <w:r>
        <w:t xml:space="preserve">of THSSP Phase 2 is very different from Phase 1 </w:t>
      </w:r>
      <w:r w:rsidRPr="00A318B9">
        <w:rPr>
          <w:noProof/>
        </w:rPr>
        <w:t>and</w:t>
      </w:r>
      <w:r>
        <w:t xml:space="preserve"> the evaluation team heard there was a significant loss of impetus when the Phase 1 project officers departed. The approach recommended for </w:t>
      </w:r>
      <w:r w:rsidR="00000741">
        <w:rPr>
          <w:noProof/>
        </w:rPr>
        <w:t>future DFAT health sector support</w:t>
      </w:r>
      <w:r>
        <w:t xml:space="preserve"> is </w:t>
      </w:r>
      <w:r w:rsidR="00AB2574">
        <w:t xml:space="preserve">simply a logical and gradual progression </w:t>
      </w:r>
      <w:r>
        <w:t>from Phase 2</w:t>
      </w:r>
      <w:r w:rsidR="00AB2574">
        <w:t xml:space="preserve">, learning from the aspects of the THSSP2 design that </w:t>
      </w:r>
      <w:r w:rsidR="00AB2574" w:rsidRPr="00A318B9">
        <w:rPr>
          <w:noProof/>
        </w:rPr>
        <w:t>were</w:t>
      </w:r>
      <w:r w:rsidR="00AB2574">
        <w:t xml:space="preserve"> difficult to achieve in practice.</w:t>
      </w:r>
    </w:p>
    <w:p w14:paraId="41DBEC06" w14:textId="77777777" w:rsidR="002401B7" w:rsidRPr="002401B7" w:rsidRDefault="002401B7" w:rsidP="00B61DFB">
      <w:pPr>
        <w:spacing w:after="0"/>
        <w:rPr>
          <w:rFonts w:cstheme="majorHAnsi"/>
          <w:lang w:eastAsia="en-AU"/>
        </w:rPr>
      </w:pPr>
    </w:p>
    <w:p w14:paraId="2CFA8BFB" w14:textId="77777777" w:rsidR="003B639B" w:rsidRPr="00002A48" w:rsidRDefault="003B639B" w:rsidP="00DD0215">
      <w:pPr>
        <w:pStyle w:val="Level2Heading"/>
        <w:numPr>
          <w:ilvl w:val="0"/>
          <w:numId w:val="0"/>
        </w:numPr>
        <w:rPr>
          <w:rStyle w:val="Heading2Char"/>
          <w:b/>
        </w:rPr>
      </w:pPr>
      <w:bookmarkStart w:id="76" w:name="_Toc536205477"/>
      <w:r>
        <w:rPr>
          <w:rStyle w:val="Heading2Char"/>
          <w:b/>
        </w:rPr>
        <w:t>5.2</w:t>
      </w:r>
      <w:r>
        <w:rPr>
          <w:rStyle w:val="Heading2Char"/>
          <w:b/>
        </w:rPr>
        <w:tab/>
      </w:r>
      <w:r w:rsidR="00887A3E">
        <w:rPr>
          <w:rStyle w:val="Heading2Char"/>
          <w:b/>
        </w:rPr>
        <w:t>Possible areas for analysis</w:t>
      </w:r>
      <w:bookmarkEnd w:id="76"/>
    </w:p>
    <w:p w14:paraId="22D8E1F2" w14:textId="77777777" w:rsidR="006E273F" w:rsidRDefault="00AB2574" w:rsidP="00553B35">
      <w:pPr>
        <w:rPr>
          <w:rFonts w:cstheme="majorHAnsi"/>
          <w:lang w:eastAsia="en-AU"/>
        </w:rPr>
      </w:pPr>
      <w:r>
        <w:rPr>
          <w:rFonts w:cstheme="majorHAnsi"/>
          <w:lang w:eastAsia="en-AU"/>
        </w:rPr>
        <w:t>The</w:t>
      </w:r>
      <w:r w:rsidR="006E273F">
        <w:rPr>
          <w:rFonts w:cstheme="majorHAnsi"/>
          <w:lang w:eastAsia="en-AU"/>
        </w:rPr>
        <w:t xml:space="preserve"> evaluation team has in its general recommendations (Section 4) recommended that DFAT maintains a degree of consistency until the end of </w:t>
      </w:r>
      <w:r w:rsidR="006E273F" w:rsidRPr="00A318B9">
        <w:rPr>
          <w:rFonts w:cstheme="majorHAnsi"/>
          <w:noProof/>
          <w:lang w:eastAsia="en-AU"/>
        </w:rPr>
        <w:t>phase</w:t>
      </w:r>
      <w:r w:rsidR="006E273F">
        <w:rPr>
          <w:rFonts w:cstheme="majorHAnsi"/>
          <w:lang w:eastAsia="en-AU"/>
        </w:rPr>
        <w:t xml:space="preserve">. This same philosophy applies to the deployment of technical assistance: in the team’s view, a sudden change in the technical assistance arrangements or a surge in short term deployments has the potential to be disruptive. The MoH should be given final determination over whether the recommendations put forward in this section should </w:t>
      </w:r>
      <w:r w:rsidR="006E273F" w:rsidRPr="00A318B9">
        <w:rPr>
          <w:rFonts w:cstheme="majorHAnsi"/>
          <w:noProof/>
          <w:lang w:eastAsia="en-AU"/>
        </w:rPr>
        <w:t>be acted</w:t>
      </w:r>
      <w:r w:rsidR="006E273F">
        <w:rPr>
          <w:rFonts w:cstheme="majorHAnsi"/>
          <w:lang w:eastAsia="en-AU"/>
        </w:rPr>
        <w:t xml:space="preserve"> </w:t>
      </w:r>
      <w:r w:rsidR="006E273F" w:rsidRPr="00A318B9">
        <w:rPr>
          <w:rFonts w:cstheme="majorHAnsi"/>
          <w:noProof/>
          <w:lang w:eastAsia="en-AU"/>
        </w:rPr>
        <w:t>upon</w:t>
      </w:r>
      <w:r w:rsidR="006E273F">
        <w:rPr>
          <w:rFonts w:cstheme="majorHAnsi"/>
          <w:lang w:eastAsia="en-AU"/>
        </w:rPr>
        <w:t>.</w:t>
      </w:r>
    </w:p>
    <w:p w14:paraId="7560B882" w14:textId="77777777" w:rsidR="003B639B" w:rsidRDefault="006E273F" w:rsidP="00553B35">
      <w:pPr>
        <w:rPr>
          <w:rFonts w:cstheme="majorHAnsi"/>
          <w:lang w:eastAsia="en-AU"/>
        </w:rPr>
      </w:pPr>
      <w:r>
        <w:rPr>
          <w:rFonts w:cstheme="majorHAnsi"/>
          <w:lang w:eastAsia="en-AU"/>
        </w:rPr>
        <w:lastRenderedPageBreak/>
        <w:t>The</w:t>
      </w:r>
      <w:r w:rsidR="00AB2574">
        <w:rPr>
          <w:rFonts w:cstheme="majorHAnsi"/>
          <w:lang w:eastAsia="en-AU"/>
        </w:rPr>
        <w:t xml:space="preserve"> analytical products </w:t>
      </w:r>
      <w:r w:rsidR="00887A3E">
        <w:rPr>
          <w:rFonts w:cstheme="majorHAnsi"/>
          <w:lang w:eastAsia="en-AU"/>
        </w:rPr>
        <w:t xml:space="preserve">suggested </w:t>
      </w:r>
      <w:r w:rsidR="00AB2574">
        <w:rPr>
          <w:rFonts w:cstheme="majorHAnsi"/>
          <w:lang w:eastAsia="en-AU"/>
        </w:rPr>
        <w:t xml:space="preserve">below have relevance to both Phase 2 and </w:t>
      </w:r>
      <w:r w:rsidR="00000741">
        <w:rPr>
          <w:rFonts w:cstheme="majorHAnsi"/>
          <w:lang w:eastAsia="en-AU"/>
        </w:rPr>
        <w:t>future sector support</w:t>
      </w:r>
      <w:r w:rsidR="00AB2574">
        <w:rPr>
          <w:rFonts w:cstheme="majorHAnsi"/>
          <w:lang w:eastAsia="en-AU"/>
        </w:rPr>
        <w:t xml:space="preserve">, and so it is not </w:t>
      </w:r>
      <w:r w:rsidR="00AB2574" w:rsidRPr="00A318B9">
        <w:rPr>
          <w:rFonts w:cstheme="majorHAnsi"/>
          <w:noProof/>
          <w:lang w:eastAsia="en-AU"/>
        </w:rPr>
        <w:t>meaningful</w:t>
      </w:r>
      <w:r w:rsidR="00AB2574">
        <w:rPr>
          <w:rFonts w:cstheme="majorHAnsi"/>
          <w:lang w:eastAsia="en-AU"/>
        </w:rPr>
        <w:t xml:space="preserve"> to list them under one particular phase or the other. </w:t>
      </w:r>
      <w:r w:rsidR="00887A3E">
        <w:rPr>
          <w:rFonts w:cstheme="majorHAnsi"/>
          <w:lang w:eastAsia="en-AU"/>
        </w:rPr>
        <w:t xml:space="preserve">The suggestions have been devised with a view to future DFAT health sector support, but these suggestions are not exclusive and might also be picked up by other development partners. </w:t>
      </w:r>
      <w:r w:rsidR="00AB2574">
        <w:rPr>
          <w:rFonts w:cstheme="majorHAnsi"/>
          <w:lang w:eastAsia="en-AU"/>
        </w:rPr>
        <w:t xml:space="preserve">Comments </w:t>
      </w:r>
      <w:r w:rsidR="00AB2574" w:rsidRPr="00A318B9">
        <w:rPr>
          <w:rFonts w:cstheme="majorHAnsi"/>
          <w:noProof/>
          <w:lang w:eastAsia="en-AU"/>
        </w:rPr>
        <w:t>are provided</w:t>
      </w:r>
      <w:r w:rsidR="00AB2574">
        <w:rPr>
          <w:rFonts w:cstheme="majorHAnsi"/>
          <w:lang w:eastAsia="en-AU"/>
        </w:rPr>
        <w:t xml:space="preserve"> at the end of each described product on how it </w:t>
      </w:r>
      <w:r w:rsidR="00887A3E">
        <w:rPr>
          <w:rFonts w:cstheme="majorHAnsi"/>
          <w:lang w:eastAsia="en-AU"/>
        </w:rPr>
        <w:t xml:space="preserve">relates </w:t>
      </w:r>
      <w:r w:rsidR="00AB2574">
        <w:rPr>
          <w:rFonts w:cstheme="majorHAnsi"/>
          <w:lang w:eastAsia="en-AU"/>
        </w:rPr>
        <w:t xml:space="preserve">to </w:t>
      </w:r>
      <w:r w:rsidR="00887A3E">
        <w:rPr>
          <w:rFonts w:cstheme="majorHAnsi"/>
          <w:lang w:eastAsia="en-AU"/>
        </w:rPr>
        <w:t xml:space="preserve">the </w:t>
      </w:r>
      <w:r w:rsidR="00AB2574">
        <w:rPr>
          <w:rFonts w:cstheme="majorHAnsi"/>
          <w:lang w:eastAsia="en-AU"/>
        </w:rPr>
        <w:t>phase</w:t>
      </w:r>
      <w:r w:rsidR="00887A3E">
        <w:rPr>
          <w:rFonts w:cstheme="majorHAnsi"/>
          <w:lang w:eastAsia="en-AU"/>
        </w:rPr>
        <w:t>s of DFAT sector support</w:t>
      </w:r>
      <w:r w:rsidR="00AB2574">
        <w:rPr>
          <w:rFonts w:cstheme="majorHAnsi"/>
          <w:lang w:eastAsia="en-AU"/>
        </w:rPr>
        <w:t>.</w:t>
      </w:r>
      <w:r>
        <w:rPr>
          <w:rFonts w:cstheme="majorHAnsi"/>
          <w:lang w:eastAsia="en-AU"/>
        </w:rPr>
        <w:t xml:space="preserve"> A more detailed description of the products </w:t>
      </w:r>
      <w:r w:rsidRPr="00A318B9">
        <w:rPr>
          <w:rFonts w:cstheme="majorHAnsi"/>
          <w:noProof/>
          <w:lang w:eastAsia="en-AU"/>
        </w:rPr>
        <w:t>is provided</w:t>
      </w:r>
      <w:r>
        <w:rPr>
          <w:rFonts w:cstheme="majorHAnsi"/>
          <w:lang w:eastAsia="en-AU"/>
        </w:rPr>
        <w:t xml:space="preserve"> in </w:t>
      </w:r>
      <w:r w:rsidRPr="00550647">
        <w:rPr>
          <w:rFonts w:cstheme="majorHAnsi"/>
          <w:b/>
          <w:lang w:eastAsia="en-AU"/>
        </w:rPr>
        <w:t xml:space="preserve">Annex </w:t>
      </w:r>
      <w:r w:rsidR="00976A78">
        <w:rPr>
          <w:rFonts w:cstheme="majorHAnsi"/>
          <w:b/>
          <w:lang w:eastAsia="en-AU"/>
        </w:rPr>
        <w:t>E</w:t>
      </w:r>
      <w:r>
        <w:rPr>
          <w:rFonts w:cstheme="majorHAnsi"/>
          <w:lang w:eastAsia="en-AU"/>
        </w:rPr>
        <w:t>.</w:t>
      </w:r>
    </w:p>
    <w:p w14:paraId="1A934AE4" w14:textId="77777777" w:rsidR="005C6B62" w:rsidRPr="00F823AF" w:rsidRDefault="005C6B62" w:rsidP="00F823AF">
      <w:pPr>
        <w:pStyle w:val="Heading3"/>
      </w:pPr>
      <w:r w:rsidRPr="00F823AF">
        <w:t>Service system mapping</w:t>
      </w:r>
      <w:r w:rsidR="00D867DD" w:rsidRPr="00F823AF">
        <w:t xml:space="preserve"> and PEHS gap analysis</w:t>
      </w:r>
    </w:p>
    <w:p w14:paraId="1FACC374" w14:textId="77777777" w:rsidR="00C47C0F" w:rsidRDefault="00D867DD" w:rsidP="006206D4">
      <w:pPr>
        <w:rPr>
          <w:rFonts w:cstheme="majorHAnsi"/>
          <w:lang w:eastAsia="en-AU"/>
        </w:rPr>
      </w:pPr>
      <w:r>
        <w:rPr>
          <w:rFonts w:cstheme="majorHAnsi"/>
          <w:lang w:eastAsia="en-AU"/>
        </w:rPr>
        <w:t>A baseline survey h</w:t>
      </w:r>
      <w:r w:rsidR="006206D4">
        <w:rPr>
          <w:rFonts w:cstheme="majorHAnsi"/>
          <w:lang w:eastAsia="en-AU"/>
        </w:rPr>
        <w:t xml:space="preserve">as </w:t>
      </w:r>
      <w:r w:rsidRPr="00A318B9">
        <w:rPr>
          <w:rFonts w:cstheme="majorHAnsi"/>
          <w:noProof/>
          <w:lang w:eastAsia="en-AU"/>
        </w:rPr>
        <w:t>been completed</w:t>
      </w:r>
      <w:r>
        <w:rPr>
          <w:rFonts w:cstheme="majorHAnsi"/>
          <w:lang w:eastAsia="en-AU"/>
        </w:rPr>
        <w:t xml:space="preserve"> for t</w:t>
      </w:r>
      <w:r w:rsidR="000D3654" w:rsidRPr="007C4C1F">
        <w:rPr>
          <w:rFonts w:cstheme="majorHAnsi"/>
          <w:lang w:eastAsia="en-AU"/>
        </w:rPr>
        <w:t xml:space="preserve">he PEHS </w:t>
      </w:r>
      <w:r w:rsidRPr="00A318B9">
        <w:rPr>
          <w:rFonts w:cstheme="majorHAnsi"/>
          <w:noProof/>
          <w:lang w:eastAsia="en-AU"/>
        </w:rPr>
        <w:t>and</w:t>
      </w:r>
      <w:r>
        <w:rPr>
          <w:rFonts w:cstheme="majorHAnsi"/>
          <w:lang w:eastAsia="en-AU"/>
        </w:rPr>
        <w:t xml:space="preserve"> the findings will </w:t>
      </w:r>
      <w:r w:rsidRPr="00A318B9">
        <w:rPr>
          <w:rFonts w:cstheme="majorHAnsi"/>
          <w:noProof/>
          <w:lang w:eastAsia="en-AU"/>
        </w:rPr>
        <w:t>be included</w:t>
      </w:r>
      <w:r>
        <w:rPr>
          <w:rFonts w:cstheme="majorHAnsi"/>
          <w:lang w:eastAsia="en-AU"/>
        </w:rPr>
        <w:t xml:space="preserve"> in the published policy document. The </w:t>
      </w:r>
      <w:r w:rsidR="000D3654" w:rsidRPr="007C4C1F">
        <w:rPr>
          <w:rFonts w:cstheme="majorHAnsi"/>
          <w:lang w:eastAsia="en-AU"/>
        </w:rPr>
        <w:t xml:space="preserve">baseline survey </w:t>
      </w:r>
      <w:r>
        <w:rPr>
          <w:rFonts w:cstheme="majorHAnsi"/>
          <w:lang w:eastAsia="en-AU"/>
        </w:rPr>
        <w:t xml:space="preserve">indicates the status of service provision at </w:t>
      </w:r>
      <w:r w:rsidR="000D3654" w:rsidRPr="007C4C1F">
        <w:rPr>
          <w:rFonts w:cstheme="majorHAnsi"/>
          <w:lang w:eastAsia="en-AU"/>
        </w:rPr>
        <w:t xml:space="preserve">each </w:t>
      </w:r>
      <w:r>
        <w:rPr>
          <w:rFonts w:cstheme="majorHAnsi"/>
          <w:lang w:eastAsia="en-AU"/>
        </w:rPr>
        <w:t xml:space="preserve">health </w:t>
      </w:r>
      <w:r w:rsidR="000D3654" w:rsidRPr="007C4C1F">
        <w:rPr>
          <w:rFonts w:cstheme="majorHAnsi"/>
          <w:lang w:eastAsia="en-AU"/>
        </w:rPr>
        <w:t xml:space="preserve">facility </w:t>
      </w:r>
      <w:r w:rsidR="000D3654" w:rsidRPr="00A318B9">
        <w:rPr>
          <w:rFonts w:cstheme="majorHAnsi"/>
          <w:noProof/>
          <w:lang w:eastAsia="en-AU"/>
        </w:rPr>
        <w:t>but</w:t>
      </w:r>
      <w:r w:rsidR="000D3654" w:rsidRPr="007C4C1F">
        <w:rPr>
          <w:rFonts w:cstheme="majorHAnsi"/>
          <w:lang w:eastAsia="en-AU"/>
        </w:rPr>
        <w:t xml:space="preserve"> it doesn't </w:t>
      </w:r>
      <w:r>
        <w:rPr>
          <w:rFonts w:cstheme="majorHAnsi"/>
          <w:lang w:eastAsia="en-AU"/>
        </w:rPr>
        <w:t>document the reasons behind the status ratings. The evaluation team hea</w:t>
      </w:r>
      <w:r w:rsidR="000D3654" w:rsidRPr="00540206">
        <w:rPr>
          <w:rFonts w:cstheme="majorHAnsi"/>
          <w:lang w:eastAsia="en-AU"/>
        </w:rPr>
        <w:t>rd that in some instances the lack of a single item of equipment was enough to cause a facility to be rated lower tha</w:t>
      </w:r>
      <w:r w:rsidR="00C47C0F">
        <w:rPr>
          <w:rFonts w:cstheme="majorHAnsi"/>
          <w:lang w:eastAsia="en-AU"/>
        </w:rPr>
        <w:t>n it might otherwise have been.</w:t>
      </w:r>
    </w:p>
    <w:p w14:paraId="41D2FC94" w14:textId="77777777" w:rsidR="00C47C0F" w:rsidRDefault="000A78D5" w:rsidP="006206D4">
      <w:pPr>
        <w:rPr>
          <w:rFonts w:cstheme="majorHAnsi"/>
          <w:lang w:eastAsia="en-AU"/>
        </w:rPr>
      </w:pPr>
      <w:r>
        <w:rPr>
          <w:rFonts w:cstheme="majorHAnsi"/>
          <w:lang w:eastAsia="en-AU"/>
        </w:rPr>
        <w:t xml:space="preserve">The PEHS policy document includes a short-term plan (a sort of </w:t>
      </w:r>
      <w:r w:rsidR="00A318B9">
        <w:rPr>
          <w:rFonts w:cstheme="majorHAnsi"/>
          <w:lang w:eastAsia="en-AU"/>
        </w:rPr>
        <w:t>‘</w:t>
      </w:r>
      <w:r w:rsidR="00064969">
        <w:rPr>
          <w:rFonts w:cstheme="majorHAnsi"/>
          <w:lang w:eastAsia="en-AU"/>
        </w:rPr>
        <w:t>next steps</w:t>
      </w:r>
      <w:r w:rsidR="00A318B9">
        <w:rPr>
          <w:rFonts w:cstheme="majorHAnsi"/>
          <w:lang w:eastAsia="en-AU"/>
        </w:rPr>
        <w:t>’</w:t>
      </w:r>
      <w:r w:rsidR="00064969">
        <w:rPr>
          <w:rFonts w:cstheme="majorHAnsi"/>
          <w:lang w:eastAsia="en-AU"/>
        </w:rPr>
        <w:t xml:space="preserve"> </w:t>
      </w:r>
      <w:r>
        <w:rPr>
          <w:rFonts w:cstheme="majorHAnsi"/>
          <w:lang w:eastAsia="en-AU"/>
        </w:rPr>
        <w:t>plan)</w:t>
      </w:r>
      <w:r w:rsidR="00A318B9">
        <w:rPr>
          <w:rFonts w:cstheme="majorHAnsi"/>
          <w:lang w:eastAsia="en-AU"/>
        </w:rPr>
        <w:t>,</w:t>
      </w:r>
      <w:r>
        <w:rPr>
          <w:rFonts w:cstheme="majorHAnsi"/>
          <w:lang w:eastAsia="en-AU"/>
        </w:rPr>
        <w:t xml:space="preserve"> </w:t>
      </w:r>
      <w:r w:rsidRPr="00A318B9">
        <w:rPr>
          <w:rFonts w:cstheme="majorHAnsi"/>
          <w:noProof/>
          <w:lang w:eastAsia="en-AU"/>
        </w:rPr>
        <w:t>but</w:t>
      </w:r>
      <w:r>
        <w:rPr>
          <w:rFonts w:cstheme="majorHAnsi"/>
          <w:lang w:eastAsia="en-AU"/>
        </w:rPr>
        <w:t xml:space="preserve"> the entire rollout </w:t>
      </w:r>
      <w:r w:rsidR="00064969">
        <w:rPr>
          <w:rFonts w:cstheme="majorHAnsi"/>
          <w:lang w:eastAsia="en-AU"/>
        </w:rPr>
        <w:t>remain</w:t>
      </w:r>
      <w:r>
        <w:rPr>
          <w:rFonts w:cstheme="majorHAnsi"/>
          <w:lang w:eastAsia="en-AU"/>
        </w:rPr>
        <w:t xml:space="preserve">s </w:t>
      </w:r>
      <w:r w:rsidR="00064969">
        <w:rPr>
          <w:rFonts w:cstheme="majorHAnsi"/>
          <w:lang w:eastAsia="en-AU"/>
        </w:rPr>
        <w:t>largely</w:t>
      </w:r>
      <w:r>
        <w:rPr>
          <w:rFonts w:cstheme="majorHAnsi"/>
          <w:lang w:eastAsia="en-AU"/>
        </w:rPr>
        <w:t xml:space="preserve"> unplanned. </w:t>
      </w:r>
      <w:r w:rsidR="000D3654" w:rsidRPr="00540206">
        <w:rPr>
          <w:rFonts w:cstheme="majorHAnsi"/>
          <w:lang w:eastAsia="en-AU"/>
        </w:rPr>
        <w:t xml:space="preserve">It would be </w:t>
      </w:r>
      <w:r w:rsidR="00D867DD">
        <w:rPr>
          <w:rFonts w:cstheme="majorHAnsi"/>
          <w:lang w:eastAsia="en-AU"/>
        </w:rPr>
        <w:t>extremely timely to document the existing service system very specifically to guide the PEHS rollout</w:t>
      </w:r>
      <w:r w:rsidR="00C47C0F">
        <w:rPr>
          <w:rFonts w:cstheme="majorHAnsi"/>
          <w:lang w:eastAsia="en-AU"/>
        </w:rPr>
        <w:t xml:space="preserve"> and THSSP2 investments (as per recommendation 2)</w:t>
      </w:r>
      <w:r w:rsidR="00D867DD">
        <w:rPr>
          <w:rFonts w:cstheme="majorHAnsi"/>
          <w:lang w:eastAsia="en-AU"/>
        </w:rPr>
        <w:t xml:space="preserve">: for </w:t>
      </w:r>
      <w:r w:rsidR="00D867DD" w:rsidRPr="00A318B9">
        <w:rPr>
          <w:rFonts w:cstheme="majorHAnsi"/>
          <w:noProof/>
          <w:lang w:eastAsia="en-AU"/>
        </w:rPr>
        <w:t>each individual</w:t>
      </w:r>
      <w:r w:rsidR="00D867DD">
        <w:rPr>
          <w:rFonts w:cstheme="majorHAnsi"/>
          <w:lang w:eastAsia="en-AU"/>
        </w:rPr>
        <w:t xml:space="preserve"> </w:t>
      </w:r>
      <w:r w:rsidR="00D867DD" w:rsidRPr="00A318B9">
        <w:rPr>
          <w:rFonts w:cstheme="majorHAnsi"/>
          <w:noProof/>
          <w:lang w:eastAsia="en-AU"/>
        </w:rPr>
        <w:t>facility</w:t>
      </w:r>
      <w:r w:rsidR="00D867DD">
        <w:rPr>
          <w:rFonts w:cstheme="majorHAnsi"/>
          <w:lang w:eastAsia="en-AU"/>
        </w:rPr>
        <w:t xml:space="preserve"> this would document </w:t>
      </w:r>
      <w:r w:rsidR="000D3654" w:rsidRPr="00540206">
        <w:rPr>
          <w:rFonts w:cstheme="majorHAnsi"/>
          <w:lang w:eastAsia="en-AU"/>
        </w:rPr>
        <w:t xml:space="preserve">staffing, </w:t>
      </w:r>
      <w:r w:rsidR="00D867DD">
        <w:rPr>
          <w:rFonts w:cstheme="majorHAnsi"/>
          <w:lang w:eastAsia="en-AU"/>
        </w:rPr>
        <w:t xml:space="preserve">major infrastructure, transport assets, major and minor medical equipment, </w:t>
      </w:r>
      <w:r w:rsidR="00C47C0F">
        <w:rPr>
          <w:rFonts w:cstheme="majorHAnsi"/>
          <w:lang w:eastAsia="en-AU"/>
        </w:rPr>
        <w:t xml:space="preserve">communications equipment, etc. The mapping would also document the interconnection with national systems such as </w:t>
      </w:r>
      <w:r w:rsidR="000D3654" w:rsidRPr="00540206">
        <w:rPr>
          <w:rFonts w:cstheme="majorHAnsi"/>
          <w:lang w:eastAsia="en-AU"/>
        </w:rPr>
        <w:t>medical supply logistics</w:t>
      </w:r>
      <w:r w:rsidR="00346517">
        <w:rPr>
          <w:rFonts w:cstheme="majorHAnsi"/>
          <w:lang w:eastAsia="en-AU"/>
        </w:rPr>
        <w:t xml:space="preserve"> and supervision</w:t>
      </w:r>
      <w:r w:rsidR="000D3654" w:rsidRPr="00540206">
        <w:rPr>
          <w:rFonts w:cstheme="majorHAnsi"/>
          <w:lang w:eastAsia="en-AU"/>
        </w:rPr>
        <w:t xml:space="preserve">, </w:t>
      </w:r>
      <w:r w:rsidR="00C47C0F">
        <w:rPr>
          <w:rFonts w:cstheme="majorHAnsi"/>
          <w:lang w:eastAsia="en-AU"/>
        </w:rPr>
        <w:t xml:space="preserve">and any issues arising. </w:t>
      </w:r>
      <w:r w:rsidR="000D3654" w:rsidRPr="00540206">
        <w:rPr>
          <w:rFonts w:cstheme="majorHAnsi"/>
          <w:lang w:eastAsia="en-AU"/>
        </w:rPr>
        <w:t>Th</w:t>
      </w:r>
      <w:r w:rsidR="00C47C0F">
        <w:rPr>
          <w:rFonts w:cstheme="majorHAnsi"/>
          <w:lang w:eastAsia="en-AU"/>
        </w:rPr>
        <w:t>e</w:t>
      </w:r>
      <w:r w:rsidR="000D3654" w:rsidRPr="00540206">
        <w:rPr>
          <w:rFonts w:cstheme="majorHAnsi"/>
          <w:lang w:eastAsia="en-AU"/>
        </w:rPr>
        <w:t xml:space="preserve"> </w:t>
      </w:r>
      <w:r w:rsidR="00C47C0F">
        <w:rPr>
          <w:rFonts w:cstheme="majorHAnsi"/>
          <w:lang w:eastAsia="en-AU"/>
        </w:rPr>
        <w:t xml:space="preserve">mapping would be prioritised to </w:t>
      </w:r>
      <w:r w:rsidR="000D3654" w:rsidRPr="00540206">
        <w:rPr>
          <w:rFonts w:cstheme="majorHAnsi"/>
          <w:lang w:eastAsia="en-AU"/>
        </w:rPr>
        <w:t xml:space="preserve">focus </w:t>
      </w:r>
      <w:r w:rsidR="00C47C0F">
        <w:rPr>
          <w:rFonts w:cstheme="majorHAnsi"/>
          <w:lang w:eastAsia="en-AU"/>
        </w:rPr>
        <w:t xml:space="preserve">initially </w:t>
      </w:r>
      <w:r w:rsidR="000D3654" w:rsidRPr="00540206">
        <w:rPr>
          <w:rFonts w:cstheme="majorHAnsi"/>
          <w:lang w:eastAsia="en-AU"/>
        </w:rPr>
        <w:t xml:space="preserve">on facilities in the outer islands </w:t>
      </w:r>
      <w:r w:rsidR="000D3654" w:rsidRPr="00A318B9">
        <w:rPr>
          <w:rFonts w:cstheme="majorHAnsi"/>
          <w:noProof/>
          <w:lang w:eastAsia="en-AU"/>
        </w:rPr>
        <w:t>and</w:t>
      </w:r>
      <w:r w:rsidR="000D3654" w:rsidRPr="00540206">
        <w:rPr>
          <w:rFonts w:cstheme="majorHAnsi"/>
          <w:lang w:eastAsia="en-AU"/>
        </w:rPr>
        <w:t xml:space="preserve"> </w:t>
      </w:r>
      <w:r w:rsidR="00C47C0F">
        <w:rPr>
          <w:rFonts w:cstheme="majorHAnsi"/>
          <w:lang w:eastAsia="en-AU"/>
        </w:rPr>
        <w:t>the locations on</w:t>
      </w:r>
      <w:r w:rsidR="000D3654" w:rsidRPr="00540206">
        <w:rPr>
          <w:rFonts w:cstheme="majorHAnsi"/>
          <w:lang w:eastAsia="en-AU"/>
        </w:rPr>
        <w:t xml:space="preserve"> Tongatapu</w:t>
      </w:r>
      <w:r w:rsidR="00C47C0F">
        <w:rPr>
          <w:rFonts w:cstheme="majorHAnsi"/>
          <w:lang w:eastAsia="en-AU"/>
        </w:rPr>
        <w:t xml:space="preserve"> earmarked to become community health centres</w:t>
      </w:r>
      <w:r w:rsidR="000D3654" w:rsidRPr="00540206">
        <w:rPr>
          <w:rFonts w:cstheme="majorHAnsi"/>
          <w:lang w:eastAsia="en-AU"/>
        </w:rPr>
        <w:t>.</w:t>
      </w:r>
    </w:p>
    <w:p w14:paraId="56307F86" w14:textId="77777777" w:rsidR="00346517" w:rsidRDefault="00C47C0F" w:rsidP="006206D4">
      <w:pPr>
        <w:rPr>
          <w:rFonts w:cstheme="majorHAnsi"/>
          <w:lang w:eastAsia="en-AU"/>
        </w:rPr>
      </w:pPr>
      <w:r>
        <w:rPr>
          <w:rFonts w:cstheme="majorHAnsi"/>
          <w:lang w:eastAsia="en-AU"/>
        </w:rPr>
        <w:t xml:space="preserve">Discussions suggest that much of this information </w:t>
      </w:r>
      <w:r w:rsidRPr="00A318B9">
        <w:rPr>
          <w:rFonts w:cstheme="majorHAnsi"/>
          <w:noProof/>
          <w:lang w:eastAsia="en-AU"/>
        </w:rPr>
        <w:t>is already held</w:t>
      </w:r>
      <w:r>
        <w:rPr>
          <w:rFonts w:cstheme="majorHAnsi"/>
          <w:lang w:eastAsia="en-AU"/>
        </w:rPr>
        <w:t xml:space="preserve"> within MoH, which means that the amount of field travel needed might be relatively modest. </w:t>
      </w:r>
      <w:r w:rsidR="004A1999">
        <w:rPr>
          <w:rFonts w:cstheme="majorHAnsi"/>
          <w:lang w:eastAsia="en-AU"/>
        </w:rPr>
        <w:t xml:space="preserve">The task would </w:t>
      </w:r>
      <w:r w:rsidR="004A1999" w:rsidRPr="00A318B9">
        <w:rPr>
          <w:rFonts w:cstheme="majorHAnsi"/>
          <w:noProof/>
          <w:lang w:eastAsia="en-AU"/>
        </w:rPr>
        <w:t>therefore</w:t>
      </w:r>
      <w:r w:rsidR="004A1999">
        <w:rPr>
          <w:rFonts w:cstheme="majorHAnsi"/>
          <w:lang w:eastAsia="en-AU"/>
        </w:rPr>
        <w:t xml:space="preserve"> be largely about assisting the MoH Divisions to organise their existing information and documenting this </w:t>
      </w:r>
      <w:r w:rsidR="004A1999" w:rsidRPr="00A318B9">
        <w:rPr>
          <w:rFonts w:cstheme="majorHAnsi"/>
          <w:noProof/>
          <w:lang w:eastAsia="en-AU"/>
        </w:rPr>
        <w:t>clearly</w:t>
      </w:r>
      <w:r w:rsidR="004A1999">
        <w:rPr>
          <w:rFonts w:cstheme="majorHAnsi"/>
          <w:lang w:eastAsia="en-AU"/>
        </w:rPr>
        <w:t xml:space="preserve">. The </w:t>
      </w:r>
      <w:r w:rsidR="000D3654" w:rsidRPr="00540206">
        <w:rPr>
          <w:rFonts w:cstheme="majorHAnsi"/>
          <w:lang w:eastAsia="en-AU"/>
        </w:rPr>
        <w:t xml:space="preserve">UNFPA Transformative Agenda </w:t>
      </w:r>
      <w:r w:rsidR="004A1999">
        <w:rPr>
          <w:rFonts w:cstheme="majorHAnsi"/>
          <w:lang w:eastAsia="en-AU"/>
        </w:rPr>
        <w:t xml:space="preserve">will be undertaking a </w:t>
      </w:r>
      <w:r w:rsidR="000D3654" w:rsidRPr="00540206">
        <w:rPr>
          <w:rFonts w:cstheme="majorHAnsi"/>
          <w:lang w:eastAsia="en-AU"/>
        </w:rPr>
        <w:t>baseline survey</w:t>
      </w:r>
      <w:r w:rsidR="004A1999">
        <w:rPr>
          <w:rFonts w:cstheme="majorHAnsi"/>
          <w:lang w:eastAsia="en-AU"/>
        </w:rPr>
        <w:t xml:space="preserve"> on sexual and reproductive health in 2019</w:t>
      </w:r>
      <w:r w:rsidR="00A318B9">
        <w:rPr>
          <w:rFonts w:cstheme="majorHAnsi"/>
          <w:lang w:eastAsia="en-AU"/>
        </w:rPr>
        <w:t>.</w:t>
      </w:r>
      <w:r w:rsidR="004A1999">
        <w:rPr>
          <w:rFonts w:cstheme="majorHAnsi"/>
          <w:lang w:eastAsia="en-AU"/>
        </w:rPr>
        <w:t xml:space="preserve"> </w:t>
      </w:r>
      <w:r w:rsidR="00A318B9">
        <w:rPr>
          <w:rFonts w:cstheme="majorHAnsi"/>
          <w:lang w:eastAsia="en-AU"/>
        </w:rPr>
        <w:t>T</w:t>
      </w:r>
      <w:r w:rsidR="004A1999">
        <w:rPr>
          <w:rFonts w:cstheme="majorHAnsi"/>
          <w:lang w:eastAsia="en-AU"/>
        </w:rPr>
        <w:t xml:space="preserve">his might be an opportunity </w:t>
      </w:r>
      <w:r w:rsidR="00DE3507">
        <w:rPr>
          <w:rFonts w:cstheme="majorHAnsi"/>
          <w:lang w:eastAsia="en-AU"/>
        </w:rPr>
        <w:t xml:space="preserve">to gather additional information </w:t>
      </w:r>
      <w:r w:rsidR="000A78D5">
        <w:rPr>
          <w:rFonts w:cstheme="majorHAnsi"/>
          <w:lang w:eastAsia="en-AU"/>
        </w:rPr>
        <w:t>and</w:t>
      </w:r>
      <w:r w:rsidR="00DE3507">
        <w:rPr>
          <w:rFonts w:cstheme="majorHAnsi"/>
          <w:lang w:eastAsia="en-AU"/>
        </w:rPr>
        <w:t xml:space="preserve"> reduce travel costs by combining site visits</w:t>
      </w:r>
      <w:r w:rsidR="000D3654" w:rsidRPr="00540206">
        <w:rPr>
          <w:rFonts w:cstheme="majorHAnsi"/>
          <w:lang w:eastAsia="en-AU"/>
        </w:rPr>
        <w:t>.</w:t>
      </w:r>
      <w:r w:rsidR="00346517">
        <w:rPr>
          <w:rFonts w:cstheme="majorHAnsi"/>
          <w:lang w:eastAsia="en-AU"/>
        </w:rPr>
        <w:t xml:space="preserve"> T</w:t>
      </w:r>
      <w:r w:rsidR="00346517" w:rsidRPr="00540206">
        <w:rPr>
          <w:rFonts w:cstheme="majorHAnsi"/>
          <w:lang w:eastAsia="en-AU"/>
        </w:rPr>
        <w:t xml:space="preserve">he UNFPA survey is likely to </w:t>
      </w:r>
      <w:r w:rsidR="00346517">
        <w:rPr>
          <w:rFonts w:cstheme="majorHAnsi"/>
          <w:lang w:eastAsia="en-AU"/>
        </w:rPr>
        <w:t>address</w:t>
      </w:r>
      <w:r w:rsidR="00346517" w:rsidRPr="00540206">
        <w:rPr>
          <w:rFonts w:cstheme="majorHAnsi"/>
          <w:lang w:eastAsia="en-AU"/>
        </w:rPr>
        <w:t xml:space="preserve"> the maternal health </w:t>
      </w:r>
      <w:r w:rsidR="00346517">
        <w:rPr>
          <w:rFonts w:cstheme="majorHAnsi"/>
          <w:lang w:eastAsia="en-AU"/>
        </w:rPr>
        <w:t xml:space="preserve">and gender-based violence components of the PEHS </w:t>
      </w:r>
      <w:r w:rsidR="00346517" w:rsidRPr="00540206">
        <w:rPr>
          <w:rFonts w:cstheme="majorHAnsi"/>
          <w:lang w:eastAsia="en-AU"/>
        </w:rPr>
        <w:t xml:space="preserve">while </w:t>
      </w:r>
      <w:r w:rsidR="00346517">
        <w:rPr>
          <w:rFonts w:cstheme="majorHAnsi"/>
          <w:lang w:eastAsia="en-AU"/>
        </w:rPr>
        <w:t>the</w:t>
      </w:r>
      <w:r w:rsidR="00346517" w:rsidRPr="00540206">
        <w:rPr>
          <w:rFonts w:cstheme="majorHAnsi"/>
          <w:lang w:eastAsia="en-AU"/>
        </w:rPr>
        <w:t xml:space="preserve"> service system mapping could focus on the NCD, rehabilitation and mental health sections. Th</w:t>
      </w:r>
      <w:r w:rsidR="00346517">
        <w:rPr>
          <w:rFonts w:cstheme="majorHAnsi"/>
          <w:lang w:eastAsia="en-AU"/>
        </w:rPr>
        <w:t xml:space="preserve">e mapping would also </w:t>
      </w:r>
      <w:r w:rsidR="00346517" w:rsidRPr="00540206">
        <w:rPr>
          <w:rFonts w:cstheme="majorHAnsi"/>
          <w:lang w:eastAsia="en-AU"/>
        </w:rPr>
        <w:t xml:space="preserve">serve as a form of </w:t>
      </w:r>
      <w:r w:rsidR="00346517" w:rsidRPr="00A318B9">
        <w:rPr>
          <w:rFonts w:cstheme="majorHAnsi"/>
          <w:noProof/>
          <w:lang w:eastAsia="en-AU"/>
        </w:rPr>
        <w:t>review</w:t>
      </w:r>
      <w:r w:rsidR="00346517" w:rsidRPr="00540206">
        <w:rPr>
          <w:rFonts w:cstheme="majorHAnsi"/>
          <w:lang w:eastAsia="en-AU"/>
        </w:rPr>
        <w:t xml:space="preserve"> of the nursing structure.</w:t>
      </w:r>
    </w:p>
    <w:p w14:paraId="1D9915A4" w14:textId="77777777" w:rsidR="00AB2574" w:rsidRDefault="00AB2574" w:rsidP="006206D4">
      <w:pPr>
        <w:rPr>
          <w:rFonts w:cstheme="majorHAnsi"/>
          <w:lang w:eastAsia="en-AU"/>
        </w:rPr>
      </w:pPr>
      <w:r>
        <w:rPr>
          <w:rFonts w:cstheme="majorHAnsi"/>
          <w:lang w:eastAsia="en-AU"/>
        </w:rPr>
        <w:t xml:space="preserve">This analytical product has equal relevance to Phase 2 and </w:t>
      </w:r>
      <w:r w:rsidR="00000741">
        <w:rPr>
          <w:rFonts w:cstheme="majorHAnsi"/>
          <w:lang w:eastAsia="en-AU"/>
        </w:rPr>
        <w:t>beyond</w:t>
      </w:r>
      <w:r>
        <w:rPr>
          <w:rFonts w:cstheme="majorHAnsi"/>
          <w:lang w:eastAsia="en-AU"/>
        </w:rPr>
        <w:t xml:space="preserve">. For Phase 2, it represents </w:t>
      </w:r>
      <w:r w:rsidRPr="00A318B9">
        <w:rPr>
          <w:rFonts w:cstheme="majorHAnsi"/>
          <w:noProof/>
          <w:lang w:eastAsia="en-AU"/>
        </w:rPr>
        <w:t>completion</w:t>
      </w:r>
      <w:r>
        <w:rPr>
          <w:rFonts w:cstheme="majorHAnsi"/>
          <w:lang w:eastAsia="en-AU"/>
        </w:rPr>
        <w:t xml:space="preserve"> of the body of policy and planning activity associated with the PEHS. </w:t>
      </w:r>
      <w:r w:rsidR="00C75360">
        <w:rPr>
          <w:rFonts w:cstheme="majorHAnsi"/>
          <w:lang w:eastAsia="en-AU"/>
        </w:rPr>
        <w:t xml:space="preserve">Since it would inform the PEHS rollout and improve the quality of planning of the rollout, this product would contribute to </w:t>
      </w:r>
      <w:r w:rsidR="00000741">
        <w:rPr>
          <w:rFonts w:cstheme="majorHAnsi"/>
          <w:lang w:eastAsia="en-AU"/>
        </w:rPr>
        <w:t>future DFAT health sector support</w:t>
      </w:r>
      <w:r w:rsidR="00C75360">
        <w:rPr>
          <w:rFonts w:cstheme="majorHAnsi"/>
          <w:lang w:eastAsia="en-AU"/>
        </w:rPr>
        <w:t xml:space="preserve"> (assuming that the PEHS rollout </w:t>
      </w:r>
      <w:r w:rsidR="00000741">
        <w:rPr>
          <w:rFonts w:cstheme="majorHAnsi"/>
          <w:lang w:eastAsia="en-AU"/>
        </w:rPr>
        <w:t xml:space="preserve">remains </w:t>
      </w:r>
      <w:r w:rsidR="00C75360">
        <w:rPr>
          <w:rFonts w:cstheme="majorHAnsi"/>
          <w:lang w:eastAsia="en-AU"/>
        </w:rPr>
        <w:t xml:space="preserve">the central strategic direction of </w:t>
      </w:r>
      <w:r w:rsidR="00000741">
        <w:rPr>
          <w:rFonts w:cstheme="majorHAnsi"/>
          <w:lang w:eastAsia="en-AU"/>
        </w:rPr>
        <w:t>MoH</w:t>
      </w:r>
      <w:r w:rsidR="00C75360">
        <w:rPr>
          <w:rFonts w:cstheme="majorHAnsi"/>
          <w:lang w:eastAsia="en-AU"/>
        </w:rPr>
        <w:t>).</w:t>
      </w:r>
    </w:p>
    <w:p w14:paraId="14E005E1" w14:textId="77777777" w:rsidR="005C6B62" w:rsidRPr="00F823AF" w:rsidRDefault="00592CC9" w:rsidP="00F823AF">
      <w:pPr>
        <w:pStyle w:val="Heading3"/>
      </w:pPr>
      <w:r w:rsidRPr="00F823AF">
        <w:t xml:space="preserve">Quality assurance for </w:t>
      </w:r>
      <w:r w:rsidR="00D45461" w:rsidRPr="00F823AF">
        <w:t>m</w:t>
      </w:r>
      <w:r w:rsidR="005C6B62" w:rsidRPr="00F823AF">
        <w:t>anagement of NCDs</w:t>
      </w:r>
    </w:p>
    <w:p w14:paraId="714E3F49" w14:textId="77777777" w:rsidR="00C75360" w:rsidRDefault="000D3654" w:rsidP="006206D4">
      <w:pPr>
        <w:rPr>
          <w:rFonts w:cstheme="majorHAnsi"/>
          <w:lang w:eastAsia="en-AU"/>
        </w:rPr>
      </w:pPr>
      <w:r w:rsidRPr="00540206">
        <w:rPr>
          <w:rFonts w:cstheme="majorHAnsi"/>
          <w:lang w:eastAsia="en-AU"/>
        </w:rPr>
        <w:t xml:space="preserve">Given the </w:t>
      </w:r>
      <w:r w:rsidR="00346517">
        <w:rPr>
          <w:rFonts w:cstheme="majorHAnsi"/>
          <w:lang w:eastAsia="en-AU"/>
        </w:rPr>
        <w:t xml:space="preserve">past THSSP </w:t>
      </w:r>
      <w:r w:rsidRPr="00540206">
        <w:rPr>
          <w:rFonts w:cstheme="majorHAnsi"/>
          <w:lang w:eastAsia="en-AU"/>
        </w:rPr>
        <w:t xml:space="preserve">investment </w:t>
      </w:r>
      <w:r w:rsidR="00346517">
        <w:rPr>
          <w:rFonts w:cstheme="majorHAnsi"/>
          <w:lang w:eastAsia="en-AU"/>
        </w:rPr>
        <w:t xml:space="preserve">(both phases) </w:t>
      </w:r>
      <w:r w:rsidRPr="00540206">
        <w:rPr>
          <w:rFonts w:cstheme="majorHAnsi"/>
          <w:lang w:eastAsia="en-AU"/>
        </w:rPr>
        <w:t xml:space="preserve">in NCD management, it </w:t>
      </w:r>
      <w:r w:rsidR="00346517">
        <w:rPr>
          <w:rFonts w:cstheme="majorHAnsi"/>
          <w:lang w:eastAsia="en-AU"/>
        </w:rPr>
        <w:t>i</w:t>
      </w:r>
      <w:r w:rsidRPr="00540206">
        <w:rPr>
          <w:rFonts w:cstheme="majorHAnsi"/>
          <w:lang w:eastAsia="en-AU"/>
        </w:rPr>
        <w:t>s prudent to periodically review the technical quality of care</w:t>
      </w:r>
      <w:r w:rsidR="00346517">
        <w:rPr>
          <w:rFonts w:cstheme="majorHAnsi"/>
          <w:lang w:eastAsia="en-AU"/>
        </w:rPr>
        <w:t xml:space="preserve"> for the four </w:t>
      </w:r>
      <w:r w:rsidRPr="00540206">
        <w:rPr>
          <w:rFonts w:cstheme="majorHAnsi"/>
          <w:lang w:eastAsia="en-AU"/>
        </w:rPr>
        <w:t>major conditions (diabetes</w:t>
      </w:r>
      <w:r w:rsidR="00A43463">
        <w:rPr>
          <w:rFonts w:cstheme="majorHAnsi"/>
          <w:lang w:eastAsia="en-AU"/>
        </w:rPr>
        <w:t xml:space="preserve"> (T2DM)</w:t>
      </w:r>
      <w:r w:rsidRPr="00540206">
        <w:rPr>
          <w:rFonts w:cstheme="majorHAnsi"/>
          <w:lang w:eastAsia="en-AU"/>
        </w:rPr>
        <w:t xml:space="preserve">, </w:t>
      </w:r>
      <w:r w:rsidR="00A43463">
        <w:rPr>
          <w:rFonts w:cstheme="majorHAnsi"/>
          <w:lang w:eastAsia="en-AU"/>
        </w:rPr>
        <w:t>heart disease, cancer and COPD</w:t>
      </w:r>
      <w:r w:rsidRPr="00540206">
        <w:rPr>
          <w:rFonts w:cstheme="majorHAnsi"/>
          <w:lang w:eastAsia="en-AU"/>
        </w:rPr>
        <w:t>).</w:t>
      </w:r>
      <w:r w:rsidR="00064969">
        <w:rPr>
          <w:rFonts w:cstheme="majorHAnsi"/>
          <w:lang w:eastAsia="en-AU"/>
        </w:rPr>
        <w:t xml:space="preserve"> Subject to the agreement of the </w:t>
      </w:r>
      <w:r w:rsidR="00D45461">
        <w:rPr>
          <w:rFonts w:cstheme="majorHAnsi"/>
          <w:lang w:eastAsia="en-AU"/>
        </w:rPr>
        <w:t>Director of Clinical Services (Medical</w:t>
      </w:r>
      <w:r w:rsidR="00064969">
        <w:rPr>
          <w:rFonts w:cstheme="majorHAnsi"/>
          <w:lang w:eastAsia="en-AU"/>
        </w:rPr>
        <w:t xml:space="preserve"> Superintendent</w:t>
      </w:r>
      <w:r w:rsidR="00D45461">
        <w:rPr>
          <w:rFonts w:cstheme="majorHAnsi"/>
          <w:lang w:eastAsia="en-AU"/>
        </w:rPr>
        <w:t>)</w:t>
      </w:r>
      <w:r w:rsidR="00064969">
        <w:rPr>
          <w:rFonts w:cstheme="majorHAnsi"/>
          <w:lang w:eastAsia="en-AU"/>
        </w:rPr>
        <w:t xml:space="preserve">, this would </w:t>
      </w:r>
      <w:r w:rsidR="00A43463">
        <w:rPr>
          <w:rFonts w:cstheme="majorHAnsi"/>
          <w:lang w:eastAsia="en-AU"/>
        </w:rPr>
        <w:t>link through the PEHS from Vaiola Hospital down to all referral levels of the service system</w:t>
      </w:r>
      <w:r w:rsidR="00C75360">
        <w:rPr>
          <w:rFonts w:cstheme="majorHAnsi"/>
          <w:lang w:eastAsia="en-AU"/>
        </w:rPr>
        <w:t>, and would compare actual practice with the relevant MoH treatment guidelines</w:t>
      </w:r>
      <w:r w:rsidR="00A43463">
        <w:rPr>
          <w:rFonts w:cstheme="majorHAnsi"/>
          <w:lang w:eastAsia="en-AU"/>
        </w:rPr>
        <w:t>.</w:t>
      </w:r>
      <w:r w:rsidR="00D45461">
        <w:rPr>
          <w:rFonts w:cstheme="majorHAnsi"/>
          <w:lang w:eastAsia="en-AU"/>
        </w:rPr>
        <w:t xml:space="preserve"> If this review </w:t>
      </w:r>
      <w:r w:rsidR="00D45461" w:rsidRPr="00A318B9">
        <w:rPr>
          <w:rFonts w:cstheme="majorHAnsi"/>
          <w:noProof/>
          <w:lang w:eastAsia="en-AU"/>
        </w:rPr>
        <w:t>is structured</w:t>
      </w:r>
      <w:r w:rsidR="00D45461">
        <w:rPr>
          <w:rFonts w:cstheme="majorHAnsi"/>
          <w:lang w:eastAsia="en-AU"/>
        </w:rPr>
        <w:t xml:space="preserve"> around the PEHS, it helps to inform the rollout </w:t>
      </w:r>
      <w:r w:rsidR="00D45461" w:rsidRPr="00A318B9">
        <w:rPr>
          <w:rFonts w:cstheme="majorHAnsi"/>
          <w:noProof/>
          <w:lang w:eastAsia="en-AU"/>
        </w:rPr>
        <w:t>and</w:t>
      </w:r>
      <w:r w:rsidR="00D45461">
        <w:rPr>
          <w:rFonts w:cstheme="majorHAnsi"/>
          <w:lang w:eastAsia="en-AU"/>
        </w:rPr>
        <w:t xml:space="preserve"> it establishes a review</w:t>
      </w:r>
      <w:r w:rsidR="00C75360">
        <w:rPr>
          <w:rFonts w:cstheme="majorHAnsi"/>
          <w:lang w:eastAsia="en-AU"/>
        </w:rPr>
        <w:t>/ audit</w:t>
      </w:r>
      <w:r w:rsidR="00D45461">
        <w:rPr>
          <w:rFonts w:cstheme="majorHAnsi"/>
          <w:lang w:eastAsia="en-AU"/>
        </w:rPr>
        <w:t xml:space="preserve"> model that potentially can </w:t>
      </w:r>
      <w:r w:rsidR="00D45461" w:rsidRPr="00A318B9">
        <w:rPr>
          <w:rFonts w:cstheme="majorHAnsi"/>
          <w:noProof/>
          <w:lang w:eastAsia="en-AU"/>
        </w:rPr>
        <w:t>be repeated</w:t>
      </w:r>
      <w:r w:rsidR="00D45461">
        <w:rPr>
          <w:rFonts w:cstheme="majorHAnsi"/>
          <w:lang w:eastAsia="en-AU"/>
        </w:rPr>
        <w:t xml:space="preserve"> at regular intervals.</w:t>
      </w:r>
      <w:r w:rsidR="00C75360">
        <w:rPr>
          <w:rFonts w:cstheme="majorHAnsi"/>
          <w:lang w:eastAsia="en-AU"/>
        </w:rPr>
        <w:t xml:space="preserve"> </w:t>
      </w:r>
      <w:r w:rsidR="00151217">
        <w:rPr>
          <w:rFonts w:cstheme="majorHAnsi"/>
          <w:lang w:eastAsia="en-AU"/>
        </w:rPr>
        <w:t xml:space="preserve">This product is also mindful of the fact that the evaluation has elsewhere recommended </w:t>
      </w:r>
      <w:r w:rsidR="00151217" w:rsidRPr="00A318B9">
        <w:rPr>
          <w:rFonts w:cstheme="majorHAnsi"/>
          <w:noProof/>
          <w:lang w:eastAsia="en-AU"/>
        </w:rPr>
        <w:t>to reduce</w:t>
      </w:r>
      <w:r w:rsidR="00151217">
        <w:rPr>
          <w:rFonts w:cstheme="majorHAnsi"/>
          <w:lang w:eastAsia="en-AU"/>
        </w:rPr>
        <w:t xml:space="preserve"> funding for clinical services, so this is an appropriate balancing investment.</w:t>
      </w:r>
    </w:p>
    <w:p w14:paraId="61DEB659" w14:textId="77777777" w:rsidR="00346517" w:rsidRDefault="00C75360" w:rsidP="006206D4">
      <w:pPr>
        <w:rPr>
          <w:rFonts w:cstheme="majorHAnsi"/>
          <w:lang w:eastAsia="en-AU"/>
        </w:rPr>
      </w:pPr>
      <w:r>
        <w:rPr>
          <w:rFonts w:cstheme="majorHAnsi"/>
          <w:lang w:eastAsia="en-AU"/>
        </w:rPr>
        <w:lastRenderedPageBreak/>
        <w:t xml:space="preserve">If there are limited resources for this review, an option would be to scale back to focus on one major condition at a </w:t>
      </w:r>
      <w:r w:rsidRPr="00A318B9">
        <w:rPr>
          <w:rFonts w:cstheme="majorHAnsi"/>
          <w:noProof/>
          <w:lang w:eastAsia="en-AU"/>
        </w:rPr>
        <w:t>time,</w:t>
      </w:r>
      <w:r>
        <w:rPr>
          <w:rFonts w:cstheme="majorHAnsi"/>
          <w:lang w:eastAsia="en-AU"/>
        </w:rPr>
        <w:t xml:space="preserve"> and have a four-yearly rolling program of review </w:t>
      </w:r>
      <w:r w:rsidRPr="00A318B9">
        <w:rPr>
          <w:rFonts w:cstheme="majorHAnsi"/>
          <w:noProof/>
          <w:lang w:eastAsia="en-AU"/>
        </w:rPr>
        <w:t>i.e.</w:t>
      </w:r>
      <w:r>
        <w:rPr>
          <w:rFonts w:cstheme="majorHAnsi"/>
          <w:lang w:eastAsia="en-AU"/>
        </w:rPr>
        <w:t xml:space="preserve"> one of the four major condition</w:t>
      </w:r>
      <w:r w:rsidR="00151217">
        <w:rPr>
          <w:rFonts w:cstheme="majorHAnsi"/>
          <w:lang w:eastAsia="en-AU"/>
        </w:rPr>
        <w:t>s</w:t>
      </w:r>
      <w:r>
        <w:rPr>
          <w:rFonts w:cstheme="majorHAnsi"/>
          <w:lang w:eastAsia="en-AU"/>
        </w:rPr>
        <w:t xml:space="preserve"> each year. Once the generic aspects of the audit process </w:t>
      </w:r>
      <w:r w:rsidRPr="00A318B9">
        <w:rPr>
          <w:rFonts w:cstheme="majorHAnsi"/>
          <w:noProof/>
          <w:lang w:eastAsia="en-AU"/>
        </w:rPr>
        <w:t>are established</w:t>
      </w:r>
      <w:r>
        <w:rPr>
          <w:rFonts w:cstheme="majorHAnsi"/>
          <w:lang w:eastAsia="en-AU"/>
        </w:rPr>
        <w:t>, it should be relatively straightforward to substitute a different set of treatment guidelines in the following year</w:t>
      </w:r>
      <w:r w:rsidR="00151217">
        <w:rPr>
          <w:rFonts w:cstheme="majorHAnsi"/>
          <w:lang w:eastAsia="en-AU"/>
        </w:rPr>
        <w:t xml:space="preserve">’s review (although different clinicians would </w:t>
      </w:r>
      <w:r w:rsidR="00151217" w:rsidRPr="00A318B9">
        <w:rPr>
          <w:rFonts w:cstheme="majorHAnsi"/>
          <w:noProof/>
          <w:lang w:eastAsia="en-AU"/>
        </w:rPr>
        <w:t>be involved</w:t>
      </w:r>
      <w:r w:rsidR="00151217">
        <w:rPr>
          <w:rFonts w:cstheme="majorHAnsi"/>
          <w:lang w:eastAsia="en-AU"/>
        </w:rPr>
        <w:t xml:space="preserve"> at the hospital end of the review)</w:t>
      </w:r>
      <w:r>
        <w:rPr>
          <w:rFonts w:cstheme="majorHAnsi"/>
          <w:lang w:eastAsia="en-AU"/>
        </w:rPr>
        <w:t>.</w:t>
      </w:r>
    </w:p>
    <w:p w14:paraId="380664A6" w14:textId="77777777" w:rsidR="00151217" w:rsidRPr="00540206" w:rsidRDefault="00151217" w:rsidP="006206D4">
      <w:pPr>
        <w:rPr>
          <w:rFonts w:cstheme="majorHAnsi"/>
          <w:lang w:eastAsia="en-AU"/>
        </w:rPr>
      </w:pPr>
      <w:r>
        <w:rPr>
          <w:rFonts w:cstheme="majorHAnsi"/>
          <w:lang w:eastAsia="en-AU"/>
        </w:rPr>
        <w:t xml:space="preserve">This analytical product can be seen to be providing reassurance about the sustainability of the improvements in NCD management achieved in Phase 1 and 2. The establishment of the generic audit methodology creates a resource for </w:t>
      </w:r>
      <w:r w:rsidR="00000741">
        <w:rPr>
          <w:rFonts w:cstheme="majorHAnsi"/>
          <w:lang w:eastAsia="en-AU"/>
        </w:rPr>
        <w:t>the future</w:t>
      </w:r>
      <w:r>
        <w:rPr>
          <w:rFonts w:cstheme="majorHAnsi"/>
          <w:lang w:eastAsia="en-AU"/>
        </w:rPr>
        <w:t>.</w:t>
      </w:r>
    </w:p>
    <w:p w14:paraId="685018DB" w14:textId="77777777" w:rsidR="005C6B62" w:rsidRPr="00F823AF" w:rsidRDefault="005C6B62" w:rsidP="00F823AF">
      <w:pPr>
        <w:pStyle w:val="Heading3"/>
      </w:pPr>
      <w:r w:rsidRPr="00F823AF">
        <w:t>Health workforce</w:t>
      </w:r>
    </w:p>
    <w:p w14:paraId="63D6809E" w14:textId="77777777" w:rsidR="0062115B" w:rsidRDefault="006206D4" w:rsidP="00C23730">
      <w:pPr>
        <w:rPr>
          <w:rFonts w:cstheme="majorHAnsi"/>
          <w:lang w:eastAsia="en-AU"/>
        </w:rPr>
      </w:pPr>
      <w:r w:rsidRPr="00C23730">
        <w:rPr>
          <w:rFonts w:cstheme="majorHAnsi"/>
          <w:lang w:eastAsia="en-AU"/>
        </w:rPr>
        <w:t>Th</w:t>
      </w:r>
      <w:r w:rsidR="00D45461" w:rsidRPr="00C23730">
        <w:rPr>
          <w:rFonts w:cstheme="majorHAnsi"/>
          <w:lang w:eastAsia="en-AU"/>
        </w:rPr>
        <w:t>e MoH d</w:t>
      </w:r>
      <w:r w:rsidR="000D3654" w:rsidRPr="00540206">
        <w:rPr>
          <w:rFonts w:cstheme="majorHAnsi"/>
          <w:lang w:eastAsia="en-AU"/>
        </w:rPr>
        <w:t xml:space="preserve">raft Workforce Strategy </w:t>
      </w:r>
      <w:r w:rsidR="00157F89" w:rsidRPr="00C23730">
        <w:rPr>
          <w:rFonts w:cstheme="majorHAnsi"/>
          <w:lang w:eastAsia="en-AU"/>
        </w:rPr>
        <w:t xml:space="preserve">contains </w:t>
      </w:r>
      <w:r w:rsidR="00157F89" w:rsidRPr="00A318B9">
        <w:rPr>
          <w:rFonts w:cstheme="majorHAnsi"/>
          <w:noProof/>
          <w:lang w:eastAsia="en-AU"/>
        </w:rPr>
        <w:t>a number of</w:t>
      </w:r>
      <w:r w:rsidR="00157F89" w:rsidRPr="00C23730">
        <w:rPr>
          <w:rFonts w:cstheme="majorHAnsi"/>
          <w:lang w:eastAsia="en-AU"/>
        </w:rPr>
        <w:t xml:space="preserve"> generalised recommendations regarding the </w:t>
      </w:r>
      <w:r w:rsidR="0062115B" w:rsidRPr="00540206">
        <w:rPr>
          <w:rFonts w:cstheme="majorHAnsi"/>
          <w:lang w:eastAsia="en-AU"/>
        </w:rPr>
        <w:t>establishment</w:t>
      </w:r>
      <w:r w:rsidR="000D3654" w:rsidRPr="00540206">
        <w:rPr>
          <w:rFonts w:cstheme="majorHAnsi"/>
          <w:lang w:eastAsia="en-AU"/>
        </w:rPr>
        <w:t xml:space="preserve"> of a</w:t>
      </w:r>
      <w:r w:rsidR="00F12674" w:rsidRPr="00C23730">
        <w:rPr>
          <w:rFonts w:cstheme="majorHAnsi"/>
          <w:lang w:eastAsia="en-AU"/>
        </w:rPr>
        <w:t xml:space="preserve"> MoH</w:t>
      </w:r>
      <w:r w:rsidR="000D3654" w:rsidRPr="00540206">
        <w:rPr>
          <w:rFonts w:cstheme="majorHAnsi"/>
          <w:lang w:eastAsia="en-AU"/>
        </w:rPr>
        <w:t xml:space="preserve"> HR Information System</w:t>
      </w:r>
      <w:r w:rsidR="0062115B" w:rsidRPr="00540206">
        <w:rPr>
          <w:rFonts w:cstheme="majorHAnsi"/>
          <w:lang w:eastAsia="en-AU"/>
        </w:rPr>
        <w:t xml:space="preserve">. </w:t>
      </w:r>
      <w:r w:rsidR="0062115B">
        <w:rPr>
          <w:rFonts w:cstheme="majorHAnsi"/>
          <w:lang w:eastAsia="en-AU"/>
        </w:rPr>
        <w:t xml:space="preserve">The Workforce Strategy does not contain a detailed plan. There are two quite separate bodies of work relating to the HR Information System </w:t>
      </w:r>
      <w:r w:rsidR="0062115B">
        <w:rPr>
          <w:rFonts w:cstheme="majorHAnsi"/>
          <w:lang w:eastAsia="en-AU"/>
        </w:rPr>
        <w:br/>
        <w:t>(1) setting up the system for personnel management</w:t>
      </w:r>
      <w:r w:rsidR="0062115B" w:rsidRPr="00C23730">
        <w:rPr>
          <w:rFonts w:cstheme="majorHAnsi"/>
          <w:lang w:eastAsia="en-AU"/>
        </w:rPr>
        <w:t xml:space="preserve"> </w:t>
      </w:r>
      <w:r w:rsidR="0062115B">
        <w:rPr>
          <w:rFonts w:cstheme="majorHAnsi"/>
          <w:lang w:eastAsia="en-AU"/>
        </w:rPr>
        <w:t xml:space="preserve">functions, and (2) documenting formal </w:t>
      </w:r>
      <w:r w:rsidR="00C23730">
        <w:rPr>
          <w:rFonts w:cstheme="majorHAnsi"/>
          <w:lang w:eastAsia="en-AU"/>
        </w:rPr>
        <w:t xml:space="preserve">qualifications </w:t>
      </w:r>
      <w:r w:rsidR="0062115B">
        <w:rPr>
          <w:rFonts w:cstheme="majorHAnsi"/>
          <w:lang w:eastAsia="en-AU"/>
        </w:rPr>
        <w:t>and in-service training undertaken</w:t>
      </w:r>
      <w:r w:rsidR="000D3654" w:rsidRPr="00540206">
        <w:rPr>
          <w:rFonts w:cstheme="majorHAnsi"/>
          <w:lang w:eastAsia="en-AU"/>
        </w:rPr>
        <w:t xml:space="preserve">, to guide </w:t>
      </w:r>
      <w:r w:rsidR="0062115B">
        <w:rPr>
          <w:rFonts w:cstheme="majorHAnsi"/>
          <w:lang w:eastAsia="en-AU"/>
        </w:rPr>
        <w:t>workforce development planning.</w:t>
      </w:r>
    </w:p>
    <w:p w14:paraId="37111F4A" w14:textId="77777777" w:rsidR="00151217" w:rsidRDefault="00F12674" w:rsidP="00C23730">
      <w:pPr>
        <w:rPr>
          <w:rFonts w:cstheme="majorHAnsi"/>
          <w:lang w:eastAsia="en-AU"/>
        </w:rPr>
      </w:pPr>
      <w:r w:rsidRPr="00C23730">
        <w:rPr>
          <w:rFonts w:cstheme="majorHAnsi"/>
          <w:lang w:eastAsia="en-AU"/>
        </w:rPr>
        <w:t>The s</w:t>
      </w:r>
      <w:r w:rsidR="0062115B">
        <w:rPr>
          <w:rFonts w:cstheme="majorHAnsi"/>
          <w:lang w:eastAsia="en-AU"/>
        </w:rPr>
        <w:t>econd body of work is essential for the rollout of the PEHS and links t</w:t>
      </w:r>
      <w:r w:rsidR="0062115B" w:rsidRPr="00943BB4">
        <w:rPr>
          <w:rFonts w:cstheme="majorHAnsi"/>
          <w:lang w:eastAsia="en-AU"/>
        </w:rPr>
        <w:t xml:space="preserve">o </w:t>
      </w:r>
      <w:r w:rsidR="00151217" w:rsidRPr="00943BB4">
        <w:rPr>
          <w:rFonts w:cstheme="majorHAnsi"/>
          <w:lang w:eastAsia="en-AU"/>
        </w:rPr>
        <w:t>Recommendation #</w:t>
      </w:r>
      <w:r w:rsidR="00943BB4" w:rsidRPr="00943BB4">
        <w:rPr>
          <w:rFonts w:cstheme="majorHAnsi"/>
          <w:lang w:eastAsia="en-AU"/>
        </w:rPr>
        <w:t>11</w:t>
      </w:r>
      <w:r w:rsidR="0062115B" w:rsidRPr="00943BB4">
        <w:rPr>
          <w:rFonts w:cstheme="majorHAnsi"/>
          <w:lang w:eastAsia="en-AU"/>
        </w:rPr>
        <w:t>.</w:t>
      </w:r>
      <w:r w:rsidR="0062115B">
        <w:rPr>
          <w:rFonts w:cstheme="majorHAnsi"/>
          <w:lang w:eastAsia="en-AU"/>
        </w:rPr>
        <w:t xml:space="preserve"> It would be possible to combine </w:t>
      </w:r>
      <w:r w:rsidR="00C23730">
        <w:rPr>
          <w:rFonts w:cstheme="majorHAnsi"/>
          <w:lang w:eastAsia="en-AU"/>
        </w:rPr>
        <w:t xml:space="preserve">the two activities: a once-off audit of credentials to </w:t>
      </w:r>
      <w:r w:rsidR="00C23730" w:rsidRPr="00A318B9">
        <w:rPr>
          <w:rFonts w:cstheme="majorHAnsi"/>
          <w:noProof/>
          <w:lang w:eastAsia="en-AU"/>
        </w:rPr>
        <w:t>be uploaded</w:t>
      </w:r>
      <w:r w:rsidR="00C23730">
        <w:rPr>
          <w:rFonts w:cstheme="majorHAnsi"/>
          <w:lang w:eastAsia="en-AU"/>
        </w:rPr>
        <w:t xml:space="preserve"> into a future HR Information System, combined with a more strategic examination of competencies </w:t>
      </w:r>
      <w:r w:rsidR="00C23730" w:rsidRPr="00A318B9">
        <w:rPr>
          <w:rFonts w:cstheme="majorHAnsi"/>
          <w:noProof/>
          <w:lang w:eastAsia="en-AU"/>
        </w:rPr>
        <w:t>in relation to</w:t>
      </w:r>
      <w:r w:rsidR="00C23730">
        <w:rPr>
          <w:rFonts w:cstheme="majorHAnsi"/>
          <w:lang w:eastAsia="en-AU"/>
        </w:rPr>
        <w:t xml:space="preserve"> the roles required under the PEHS.</w:t>
      </w:r>
    </w:p>
    <w:p w14:paraId="26EA3752" w14:textId="77777777" w:rsidR="006206D4" w:rsidRPr="00540206" w:rsidRDefault="00151217" w:rsidP="00C23730">
      <w:pPr>
        <w:rPr>
          <w:rFonts w:cstheme="majorHAnsi"/>
          <w:lang w:eastAsia="en-AU"/>
        </w:rPr>
      </w:pPr>
      <w:r>
        <w:rPr>
          <w:rFonts w:cstheme="majorHAnsi"/>
          <w:lang w:eastAsia="en-AU"/>
        </w:rPr>
        <w:t xml:space="preserve">This product completes Phase 2 activities </w:t>
      </w:r>
      <w:r w:rsidR="00E81D7E" w:rsidRPr="00A318B9">
        <w:rPr>
          <w:rFonts w:cstheme="majorHAnsi"/>
          <w:noProof/>
          <w:lang w:eastAsia="en-AU"/>
        </w:rPr>
        <w:t>in relation to</w:t>
      </w:r>
      <w:r w:rsidR="00E81D7E">
        <w:rPr>
          <w:rFonts w:cstheme="majorHAnsi"/>
          <w:lang w:eastAsia="en-AU"/>
        </w:rPr>
        <w:t xml:space="preserve"> strengthening capacity for MoH management of the health </w:t>
      </w:r>
      <w:r w:rsidR="00E81D7E" w:rsidRPr="00A318B9">
        <w:rPr>
          <w:rFonts w:cstheme="majorHAnsi"/>
          <w:noProof/>
          <w:lang w:eastAsia="en-AU"/>
        </w:rPr>
        <w:t>workforce,</w:t>
      </w:r>
      <w:r w:rsidR="00E81D7E">
        <w:rPr>
          <w:rFonts w:cstheme="majorHAnsi"/>
          <w:lang w:eastAsia="en-AU"/>
        </w:rPr>
        <w:t xml:space="preserve"> and informs the quality of planning for the PEHS rollout that is expected to be central to </w:t>
      </w:r>
      <w:r w:rsidR="00000741">
        <w:rPr>
          <w:rFonts w:cstheme="majorHAnsi"/>
          <w:lang w:eastAsia="en-AU"/>
        </w:rPr>
        <w:t>future DFAT health sector support</w:t>
      </w:r>
      <w:r w:rsidR="00E81D7E">
        <w:rPr>
          <w:rFonts w:cstheme="majorHAnsi"/>
          <w:lang w:eastAsia="en-AU"/>
        </w:rPr>
        <w:t>.</w:t>
      </w:r>
    </w:p>
    <w:p w14:paraId="02590BAD" w14:textId="77777777" w:rsidR="00AA5B6C" w:rsidRPr="00F823AF" w:rsidRDefault="00AA5B6C" w:rsidP="00F823AF">
      <w:pPr>
        <w:pStyle w:val="Heading3"/>
      </w:pPr>
      <w:r w:rsidRPr="00F823AF">
        <w:t>Health promotion research</w:t>
      </w:r>
    </w:p>
    <w:p w14:paraId="2D2198E2" w14:textId="77777777" w:rsidR="00AA5B6C" w:rsidRPr="005F7F99" w:rsidRDefault="00AA5B6C" w:rsidP="00AA5B6C">
      <w:pPr>
        <w:rPr>
          <w:rFonts w:cstheme="majorHAnsi"/>
          <w:lang w:eastAsia="en-AU"/>
        </w:rPr>
      </w:pPr>
      <w:r w:rsidRPr="00943BB4">
        <w:rPr>
          <w:rFonts w:cstheme="majorHAnsi"/>
          <w:lang w:eastAsia="en-AU"/>
        </w:rPr>
        <w:t xml:space="preserve">Recommendation </w:t>
      </w:r>
      <w:r w:rsidR="00E81D7E" w:rsidRPr="00943BB4">
        <w:rPr>
          <w:rFonts w:cstheme="majorHAnsi"/>
          <w:lang w:eastAsia="en-AU"/>
        </w:rPr>
        <w:t>#</w:t>
      </w:r>
      <w:r w:rsidR="00943BB4" w:rsidRPr="00943BB4">
        <w:rPr>
          <w:rFonts w:cstheme="majorHAnsi"/>
          <w:lang w:eastAsia="en-AU"/>
        </w:rPr>
        <w:t>10</w:t>
      </w:r>
      <w:r w:rsidRPr="00943BB4">
        <w:rPr>
          <w:rFonts w:cstheme="majorHAnsi"/>
          <w:lang w:eastAsia="en-AU"/>
        </w:rPr>
        <w:t xml:space="preserve"> states</w:t>
      </w:r>
      <w:r>
        <w:rPr>
          <w:rFonts w:cstheme="majorHAnsi"/>
          <w:lang w:eastAsia="en-AU"/>
        </w:rPr>
        <w:t xml:space="preserve"> that </w:t>
      </w:r>
      <w:r w:rsidR="00A318B9">
        <w:rPr>
          <w:rFonts w:cstheme="majorHAnsi"/>
          <w:lang w:eastAsia="en-AU"/>
        </w:rPr>
        <w:t>‘</w:t>
      </w:r>
      <w:r w:rsidRPr="00AA5B6C">
        <w:rPr>
          <w:rFonts w:cstheme="majorHAnsi"/>
          <w:lang w:eastAsia="en-AU"/>
        </w:rPr>
        <w:t>i</w:t>
      </w:r>
      <w:r w:rsidRPr="00AA5B6C">
        <w:t xml:space="preserve">t </w:t>
      </w:r>
      <w:r w:rsidRPr="00A318B9">
        <w:rPr>
          <w:noProof/>
        </w:rPr>
        <w:t>is recommended</w:t>
      </w:r>
      <w:r w:rsidRPr="00AA5B6C">
        <w:t xml:space="preserve"> that TongaHealth </w:t>
      </w:r>
      <w:r w:rsidRPr="00540206">
        <w:t xml:space="preserve">supports and facilitates </w:t>
      </w:r>
      <w:r w:rsidRPr="00AA5B6C">
        <w:t>local research to inform and evaluate health promotion messages and focus (healthy eating, health</w:t>
      </w:r>
      <w:r w:rsidR="00EA4340">
        <w:t>-</w:t>
      </w:r>
      <w:r w:rsidRPr="00AA5B6C">
        <w:t>promoting churches and NCD control)</w:t>
      </w:r>
      <w:r w:rsidR="00A318B9">
        <w:t>’</w:t>
      </w:r>
      <w:r w:rsidRPr="00AA5B6C">
        <w:t>.</w:t>
      </w:r>
      <w:r>
        <w:t xml:space="preserve"> The objective is to increase the local relevance of health promotion approaches and raise the regional profile of TongaHealth’s work. It is unlikely that the THSSP2 long-term adviser will have a relevant research background or, given the other responsibilities of the role, sufficient ability to work meaningfully in this area. Therefore, some short-term focused support is recommended, partly analytical </w:t>
      </w:r>
      <w:r w:rsidRPr="00A318B9">
        <w:rPr>
          <w:noProof/>
        </w:rPr>
        <w:t>in terms of</w:t>
      </w:r>
      <w:r>
        <w:t xml:space="preserve"> identifying opportunities for research and partly capacity building </w:t>
      </w:r>
      <w:r w:rsidRPr="00A318B9">
        <w:rPr>
          <w:noProof/>
        </w:rPr>
        <w:t>in terms of</w:t>
      </w:r>
      <w:r>
        <w:t xml:space="preserve"> fostering local research skills.</w:t>
      </w:r>
      <w:r w:rsidR="00B1067F">
        <w:t xml:space="preserve"> </w:t>
      </w:r>
      <w:r w:rsidR="00E81D7E">
        <w:t xml:space="preserve">A local partner such as the Queen Salote Institute should be involved in the fostering of local research skills. </w:t>
      </w:r>
      <w:r w:rsidR="00B1067F">
        <w:t xml:space="preserve">The work should focus on healthy eating as this is a high priority lifestyle risk factor that is resistant to change, and tobacco use has previously </w:t>
      </w:r>
      <w:r w:rsidR="00B1067F" w:rsidRPr="00A318B9">
        <w:rPr>
          <w:noProof/>
        </w:rPr>
        <w:t>been researched</w:t>
      </w:r>
      <w:r w:rsidR="00B1067F">
        <w:t>. Reinforcement of the multi-sector approach (trade policy, food industry, health promotion settings) is important.</w:t>
      </w:r>
    </w:p>
    <w:p w14:paraId="7CF2CFF2" w14:textId="77777777" w:rsidR="00B61DFB" w:rsidRDefault="00B61DFB">
      <w:pPr>
        <w:rPr>
          <w:rFonts w:ascii="Calibri" w:eastAsia="Times New Roman" w:hAnsi="Calibri" w:cs="Calibri"/>
          <w:color w:val="000000"/>
          <w:lang w:eastAsia="en-GB"/>
        </w:rPr>
      </w:pPr>
      <w:r>
        <w:rPr>
          <w:rFonts w:ascii="Calibri" w:eastAsia="Times New Roman" w:hAnsi="Calibri" w:cs="Calibri"/>
          <w:color w:val="000000"/>
          <w:lang w:eastAsia="en-GB"/>
        </w:rPr>
        <w:br w:type="page"/>
      </w:r>
    </w:p>
    <w:p w14:paraId="0A207074" w14:textId="77777777" w:rsidR="004D717A" w:rsidRDefault="004D717A" w:rsidP="00487BC3">
      <w:pPr>
        <w:pStyle w:val="Heading1"/>
        <w:rPr>
          <w:rFonts w:eastAsia="Times New Roman"/>
        </w:rPr>
      </w:pPr>
      <w:bookmarkStart w:id="77" w:name="_Toc536205478"/>
      <w:r>
        <w:rPr>
          <w:rFonts w:eastAsia="Times New Roman"/>
        </w:rPr>
        <w:lastRenderedPageBreak/>
        <w:t>References</w:t>
      </w:r>
      <w:bookmarkEnd w:id="77"/>
    </w:p>
    <w:p w14:paraId="1986B73C" w14:textId="77777777" w:rsidR="00A86B02" w:rsidRDefault="00A86B02" w:rsidP="004724E7">
      <w:pPr>
        <w:rPr>
          <w:noProof/>
        </w:rPr>
      </w:pPr>
    </w:p>
    <w:p w14:paraId="603028E6" w14:textId="77777777" w:rsidR="004724E7" w:rsidRPr="00606F80" w:rsidRDefault="004724E7" w:rsidP="004724E7">
      <w:pPr>
        <w:rPr>
          <w:noProof/>
        </w:rPr>
      </w:pPr>
      <w:r w:rsidRPr="00606F80">
        <w:rPr>
          <w:noProof/>
        </w:rPr>
        <w:t>A</w:t>
      </w:r>
      <w:r w:rsidR="00924F63">
        <w:rPr>
          <w:noProof/>
        </w:rPr>
        <w:t xml:space="preserve">sian </w:t>
      </w:r>
      <w:r w:rsidRPr="00606F80">
        <w:rPr>
          <w:noProof/>
        </w:rPr>
        <w:t>D</w:t>
      </w:r>
      <w:r w:rsidR="00924F63">
        <w:rPr>
          <w:noProof/>
        </w:rPr>
        <w:t xml:space="preserve">evelopment </w:t>
      </w:r>
      <w:r w:rsidRPr="00606F80">
        <w:rPr>
          <w:noProof/>
        </w:rPr>
        <w:t>B</w:t>
      </w:r>
      <w:r w:rsidR="00924F63">
        <w:rPr>
          <w:noProof/>
        </w:rPr>
        <w:t>ank</w:t>
      </w:r>
      <w:r w:rsidRPr="00606F80">
        <w:rPr>
          <w:noProof/>
        </w:rPr>
        <w:t xml:space="preserve"> (2017) </w:t>
      </w:r>
      <w:r w:rsidRPr="00A86B02">
        <w:rPr>
          <w:noProof/>
          <w:u w:val="single"/>
        </w:rPr>
        <w:t>Report and Recommendation of the President to the Board of Directors</w:t>
      </w:r>
    </w:p>
    <w:p w14:paraId="329DF0EC" w14:textId="77777777" w:rsidR="00DD0AEA" w:rsidRDefault="00DD0AEA" w:rsidP="00C6338C">
      <w:pPr>
        <w:rPr>
          <w:lang w:eastAsia="en-GB"/>
        </w:rPr>
      </w:pPr>
      <w:r w:rsidRPr="00A86B02">
        <w:rPr>
          <w:rStyle w:val="Hyperlink"/>
          <w:rFonts w:ascii="Calibri" w:eastAsia="Times New Roman" w:hAnsi="Calibri" w:cs="Calibri"/>
          <w:color w:val="auto"/>
          <w:u w:val="none"/>
          <w:lang w:eastAsia="en-GB"/>
        </w:rPr>
        <w:t xml:space="preserve">Central Intelligence Agency (2018) </w:t>
      </w:r>
      <w:r w:rsidRPr="00A86B02">
        <w:rPr>
          <w:rStyle w:val="Hyperlink"/>
          <w:rFonts w:ascii="Calibri" w:eastAsia="Times New Roman" w:hAnsi="Calibri" w:cs="Calibri"/>
          <w:color w:val="auto"/>
          <w:lang w:eastAsia="en-GB"/>
        </w:rPr>
        <w:t xml:space="preserve">The World Factbook: Tonga </w:t>
      </w:r>
      <w:hyperlink r:id="rId12" w:history="1">
        <w:r w:rsidRPr="00D51E65">
          <w:rPr>
            <w:rStyle w:val="Hyperlink"/>
            <w:rFonts w:ascii="Calibri" w:eastAsia="Times New Roman" w:hAnsi="Calibri" w:cs="Calibri"/>
            <w:lang w:eastAsia="en-GB"/>
          </w:rPr>
          <w:t>https://www.cia.gov/library/publications/the-world-factbook/geos/print_tn.html</w:t>
        </w:r>
      </w:hyperlink>
      <w:r>
        <w:rPr>
          <w:lang w:eastAsia="en-GB"/>
        </w:rPr>
        <w:t xml:space="preserve"> </w:t>
      </w:r>
      <w:r w:rsidR="00A86B02">
        <w:rPr>
          <w:lang w:eastAsia="en-GB"/>
        </w:rPr>
        <w:br/>
      </w:r>
      <w:r>
        <w:rPr>
          <w:lang w:eastAsia="en-GB"/>
        </w:rPr>
        <w:t>[Accessed: 10 December 2018]</w:t>
      </w:r>
    </w:p>
    <w:p w14:paraId="703060C1" w14:textId="77777777" w:rsidR="00266CB9" w:rsidRPr="00606F80" w:rsidRDefault="005E6422" w:rsidP="00606F80">
      <w:pPr>
        <w:rPr>
          <w:noProof/>
        </w:rPr>
      </w:pPr>
      <w:r w:rsidRPr="00606F80">
        <w:rPr>
          <w:noProof/>
        </w:rPr>
        <w:t xml:space="preserve">Department of Foreign Affairs and Trade. (year) </w:t>
      </w:r>
      <w:r w:rsidRPr="00A86B02">
        <w:rPr>
          <w:noProof/>
          <w:u w:val="single"/>
        </w:rPr>
        <w:t>Design Document Tonga Health Systems Support Program 2</w:t>
      </w:r>
      <w:r w:rsidRPr="00606F80">
        <w:rPr>
          <w:noProof/>
        </w:rPr>
        <w:t xml:space="preserve"> Canberra</w:t>
      </w:r>
    </w:p>
    <w:p w14:paraId="0AFCAFD9" w14:textId="77777777" w:rsidR="00A86B02" w:rsidRDefault="004724E7" w:rsidP="004724E7">
      <w:pPr>
        <w:rPr>
          <w:noProof/>
        </w:rPr>
      </w:pPr>
      <w:r>
        <w:rPr>
          <w:noProof/>
        </w:rPr>
        <w:t>Government of Tonga (2002</w:t>
      </w:r>
      <w:r w:rsidRPr="00606F80">
        <w:rPr>
          <w:noProof/>
        </w:rPr>
        <w:t xml:space="preserve">) </w:t>
      </w:r>
      <w:r w:rsidRPr="005D2D39">
        <w:rPr>
          <w:i/>
          <w:noProof/>
        </w:rPr>
        <w:t xml:space="preserve">Public Finance Management Act </w:t>
      </w:r>
      <w:r w:rsidR="00A86B02">
        <w:rPr>
          <w:noProof/>
        </w:rPr>
        <w:t>2002</w:t>
      </w:r>
      <w:r w:rsidR="00F909BD">
        <w:rPr>
          <w:noProof/>
        </w:rPr>
        <w:t>,</w:t>
      </w:r>
      <w:r w:rsidRPr="00606F80">
        <w:rPr>
          <w:noProof/>
        </w:rPr>
        <w:t xml:space="preserve"> Nuku’alofa</w:t>
      </w:r>
    </w:p>
    <w:p w14:paraId="1AF2C252" w14:textId="77777777" w:rsidR="004724E7" w:rsidRPr="0058594A" w:rsidRDefault="004724E7" w:rsidP="004724E7">
      <w:pPr>
        <w:rPr>
          <w:noProof/>
        </w:rPr>
      </w:pPr>
      <w:r w:rsidRPr="00606F80">
        <w:rPr>
          <w:noProof/>
        </w:rPr>
        <w:t xml:space="preserve">Government of Tonga (2002). </w:t>
      </w:r>
      <w:r w:rsidRPr="005D2D39">
        <w:rPr>
          <w:i/>
          <w:noProof/>
        </w:rPr>
        <w:t xml:space="preserve">Public Service Act </w:t>
      </w:r>
      <w:r w:rsidR="00A86B02">
        <w:rPr>
          <w:noProof/>
        </w:rPr>
        <w:t>2002</w:t>
      </w:r>
      <w:r w:rsidR="00CF274A">
        <w:rPr>
          <w:noProof/>
        </w:rPr>
        <w:t>,</w:t>
      </w:r>
      <w:r w:rsidRPr="00606F80">
        <w:rPr>
          <w:noProof/>
        </w:rPr>
        <w:t xml:space="preserve"> Nuku’alofa</w:t>
      </w:r>
    </w:p>
    <w:p w14:paraId="6E1576E3" w14:textId="77777777" w:rsidR="004724E7" w:rsidRDefault="004724E7" w:rsidP="004724E7">
      <w:r>
        <w:rPr>
          <w:noProof/>
        </w:rPr>
        <w:t xml:space="preserve">Government of </w:t>
      </w:r>
      <w:r w:rsidRPr="00FA3343">
        <w:rPr>
          <w:noProof/>
        </w:rPr>
        <w:t>Tonga</w:t>
      </w:r>
      <w:r>
        <w:rPr>
          <w:noProof/>
        </w:rPr>
        <w:t xml:space="preserve"> (2012) </w:t>
      </w:r>
      <w:r w:rsidRPr="00CF274A">
        <w:rPr>
          <w:noProof/>
          <w:u w:val="single"/>
        </w:rPr>
        <w:t>2010 Global School-Based Student Health Survey Final Report</w:t>
      </w:r>
      <w:r w:rsidRPr="00FA3343">
        <w:rPr>
          <w:noProof/>
        </w:rPr>
        <w:t xml:space="preserve"> </w:t>
      </w:r>
      <w:hyperlink r:id="rId13" w:history="1">
        <w:r w:rsidRPr="00A4512B">
          <w:rPr>
            <w:rStyle w:val="Hyperlink"/>
            <w:noProof/>
          </w:rPr>
          <w:t>https://www.who.int/ncds/surveillance/gshs/GSHS_Tonga_2010_Report.pdf</w:t>
        </w:r>
      </w:hyperlink>
      <w:r>
        <w:rPr>
          <w:noProof/>
        </w:rPr>
        <w:t xml:space="preserve"> </w:t>
      </w:r>
      <w:r w:rsidR="00CF274A">
        <w:rPr>
          <w:noProof/>
        </w:rPr>
        <w:br/>
        <w:t>[Accessed: 10 December 2018]</w:t>
      </w:r>
    </w:p>
    <w:p w14:paraId="487EDE05" w14:textId="77777777" w:rsidR="004724E7" w:rsidRDefault="004724E7" w:rsidP="004724E7">
      <w:r>
        <w:rPr>
          <w:noProof/>
        </w:rPr>
        <w:t xml:space="preserve">Government of Tonga (2014) </w:t>
      </w:r>
      <w:r w:rsidRPr="00A86B02">
        <w:rPr>
          <w:noProof/>
          <w:u w:val="single"/>
        </w:rPr>
        <w:t>Tonga NCD Risk Factors</w:t>
      </w:r>
      <w:r w:rsidR="00924F63" w:rsidRPr="00A86B02">
        <w:rPr>
          <w:noProof/>
          <w:u w:val="single"/>
        </w:rPr>
        <w:t>:</w:t>
      </w:r>
      <w:r w:rsidRPr="00A86B02">
        <w:rPr>
          <w:noProof/>
          <w:u w:val="single"/>
        </w:rPr>
        <w:t xml:space="preserve"> STEPS R</w:t>
      </w:r>
      <w:r w:rsidR="00A86B02">
        <w:rPr>
          <w:noProof/>
          <w:u w:val="single"/>
        </w:rPr>
        <w:t>eport</w:t>
      </w:r>
      <w:r w:rsidRPr="00FA3343">
        <w:rPr>
          <w:noProof/>
        </w:rPr>
        <w:t xml:space="preserve"> </w:t>
      </w:r>
      <w:hyperlink r:id="rId14" w:history="1">
        <w:r w:rsidRPr="00A4512B">
          <w:rPr>
            <w:rStyle w:val="Hyperlink"/>
            <w:noProof/>
          </w:rPr>
          <w:t>https://www.who.int/ncds/surveillance/steps/2012_Tonga_STEPSReport.pdf</w:t>
        </w:r>
      </w:hyperlink>
      <w:r>
        <w:rPr>
          <w:noProof/>
        </w:rPr>
        <w:t xml:space="preserve"> </w:t>
      </w:r>
      <w:r w:rsidR="00A86B02">
        <w:rPr>
          <w:noProof/>
        </w:rPr>
        <w:br/>
        <w:t>[Accessed: 10 December 2018]</w:t>
      </w:r>
    </w:p>
    <w:p w14:paraId="461853E3" w14:textId="77777777" w:rsidR="004724E7" w:rsidRDefault="004724E7" w:rsidP="004724E7">
      <w:pPr>
        <w:rPr>
          <w:noProof/>
        </w:rPr>
      </w:pPr>
      <w:r>
        <w:rPr>
          <w:noProof/>
        </w:rPr>
        <w:t>Government of Tonga</w:t>
      </w:r>
      <w:r w:rsidR="006A1996">
        <w:rPr>
          <w:noProof/>
        </w:rPr>
        <w:t xml:space="preserve"> </w:t>
      </w:r>
      <w:r>
        <w:rPr>
          <w:noProof/>
        </w:rPr>
        <w:t xml:space="preserve">(2015) </w:t>
      </w:r>
      <w:r w:rsidRPr="006A1996">
        <w:rPr>
          <w:noProof/>
          <w:u w:val="single"/>
        </w:rPr>
        <w:t>Hala Fononga: National strategy for prevention and control of non-communicable diseases 2015-2020</w:t>
      </w:r>
      <w:r w:rsidR="006A1996">
        <w:rPr>
          <w:noProof/>
        </w:rPr>
        <w:t xml:space="preserve"> </w:t>
      </w:r>
      <w:hyperlink r:id="rId15" w:history="1">
        <w:r w:rsidRPr="00A4512B">
          <w:rPr>
            <w:rStyle w:val="Hyperlink"/>
            <w:noProof/>
          </w:rPr>
          <w:t>https://dfat.gov.au/about-us/publications/Documents/tonga-national-non-communicable-disease-strategy-2015-20.pdf</w:t>
        </w:r>
      </w:hyperlink>
      <w:r>
        <w:rPr>
          <w:noProof/>
        </w:rPr>
        <w:t xml:space="preserve"> </w:t>
      </w:r>
      <w:r w:rsidR="00CF274A">
        <w:rPr>
          <w:noProof/>
        </w:rPr>
        <w:br/>
        <w:t>[Accessed: 10 December 2018]</w:t>
      </w:r>
    </w:p>
    <w:p w14:paraId="2E56FEC9" w14:textId="77777777" w:rsidR="004724E7" w:rsidRDefault="004724E7" w:rsidP="004724E7">
      <w:pPr>
        <w:rPr>
          <w:noProof/>
        </w:rPr>
      </w:pPr>
      <w:r w:rsidRPr="00A318B9">
        <w:rPr>
          <w:noProof/>
        </w:rPr>
        <w:t>Government</w:t>
      </w:r>
      <w:r w:rsidRPr="00606F80">
        <w:rPr>
          <w:noProof/>
        </w:rPr>
        <w:t xml:space="preserve"> of Tonga (2015) </w:t>
      </w:r>
      <w:r w:rsidRPr="006A1996">
        <w:rPr>
          <w:i/>
          <w:noProof/>
        </w:rPr>
        <w:t>Public Procurement Regulations</w:t>
      </w:r>
      <w:r w:rsidRPr="00606F80">
        <w:rPr>
          <w:noProof/>
        </w:rPr>
        <w:t xml:space="preserve"> 2015</w:t>
      </w:r>
      <w:r w:rsidR="006A1996">
        <w:rPr>
          <w:noProof/>
        </w:rPr>
        <w:t>,</w:t>
      </w:r>
      <w:r w:rsidRPr="00606F80">
        <w:rPr>
          <w:noProof/>
        </w:rPr>
        <w:t xml:space="preserve"> Nuku’alofa</w:t>
      </w:r>
    </w:p>
    <w:p w14:paraId="5A793E42" w14:textId="77777777" w:rsidR="00B71E4C" w:rsidRDefault="00A318B9">
      <w:pPr>
        <w:rPr>
          <w:noProof/>
        </w:rPr>
      </w:pPr>
      <w:r>
        <w:rPr>
          <w:noProof/>
        </w:rPr>
        <w:t xml:space="preserve">Government </w:t>
      </w:r>
      <w:r w:rsidR="00B71E4C">
        <w:rPr>
          <w:noProof/>
        </w:rPr>
        <w:t xml:space="preserve">of Tonga (2018) </w:t>
      </w:r>
      <w:r w:rsidR="00B71E4C" w:rsidRPr="006A1996">
        <w:rPr>
          <w:noProof/>
          <w:u w:val="single"/>
        </w:rPr>
        <w:t>Health Workforce Strategic Plan 2016-2020</w:t>
      </w:r>
      <w:r w:rsidR="00931AC6">
        <w:rPr>
          <w:noProof/>
        </w:rPr>
        <w:t xml:space="preserve"> (draft)</w:t>
      </w:r>
    </w:p>
    <w:p w14:paraId="785650A0" w14:textId="77777777" w:rsidR="009878A7" w:rsidRPr="006A1996" w:rsidRDefault="009878A7">
      <w:pPr>
        <w:rPr>
          <w:rStyle w:val="Hyperlink"/>
          <w:color w:val="auto"/>
          <w:u w:val="none"/>
        </w:rPr>
      </w:pPr>
      <w:r>
        <w:t xml:space="preserve">Government of Tonga (2011) </w:t>
      </w:r>
      <w:r w:rsidRPr="006A1996">
        <w:rPr>
          <w:u w:val="single"/>
        </w:rPr>
        <w:t>Report of the Minister for Health for the year 2010</w:t>
      </w:r>
      <w:r>
        <w:t xml:space="preserve"> </w:t>
      </w:r>
      <w:hyperlink r:id="rId16" w:history="1">
        <w:r w:rsidRPr="00F21F91">
          <w:rPr>
            <w:rStyle w:val="Hyperlink"/>
          </w:rPr>
          <w:t>http://www.health.gov.to/sites/default/files/AR%202010.pdf</w:t>
        </w:r>
      </w:hyperlink>
      <w:r w:rsidR="006A1996">
        <w:rPr>
          <w:rStyle w:val="Hyperlink"/>
        </w:rPr>
        <w:t xml:space="preserve"> </w:t>
      </w:r>
      <w:r w:rsidR="006A1996" w:rsidRPr="006A1996">
        <w:rPr>
          <w:rStyle w:val="Hyperlink"/>
          <w:color w:val="auto"/>
          <w:u w:val="none"/>
        </w:rPr>
        <w:t>[</w:t>
      </w:r>
      <w:r w:rsidRPr="006A1996">
        <w:rPr>
          <w:rStyle w:val="Hyperlink"/>
          <w:color w:val="auto"/>
          <w:u w:val="none"/>
        </w:rPr>
        <w:t>Accessed: 31 October 2018]</w:t>
      </w:r>
    </w:p>
    <w:p w14:paraId="2260047C" w14:textId="77777777" w:rsidR="00763E64" w:rsidRDefault="00763E64">
      <w:pPr>
        <w:rPr>
          <w:noProof/>
        </w:rPr>
      </w:pPr>
      <w:r>
        <w:t xml:space="preserve">Institute of Health Metrics and Evaluation (2017) </w:t>
      </w:r>
      <w:r w:rsidRPr="006A1996">
        <w:rPr>
          <w:u w:val="single"/>
        </w:rPr>
        <w:t>Global Burden of Disease –Country Profiles. Tonga</w:t>
      </w:r>
      <w:r>
        <w:t xml:space="preserve"> </w:t>
      </w:r>
      <w:hyperlink r:id="rId17" w:history="1">
        <w:r w:rsidR="006A1996" w:rsidRPr="00F40ACB">
          <w:rPr>
            <w:rStyle w:val="Hyperlink"/>
          </w:rPr>
          <w:t>http://www.healthdata.org/tonga</w:t>
        </w:r>
      </w:hyperlink>
      <w:r w:rsidR="006A1996">
        <w:t xml:space="preserve"> </w:t>
      </w:r>
      <w:r>
        <w:rPr>
          <w:lang w:eastAsia="en-GB"/>
        </w:rPr>
        <w:t>[Accessed: 10 December 2018]</w:t>
      </w:r>
    </w:p>
    <w:p w14:paraId="5898D459" w14:textId="77777777" w:rsidR="004724E7" w:rsidRDefault="004724E7" w:rsidP="004724E7">
      <w:pPr>
        <w:rPr>
          <w:noProof/>
        </w:rPr>
      </w:pPr>
      <w:r w:rsidRPr="00FA3343">
        <w:rPr>
          <w:noProof/>
        </w:rPr>
        <w:t>Konishi S, Watanabe C, Umezaki M, Ohtsuka R</w:t>
      </w:r>
      <w:r w:rsidR="006A1996">
        <w:rPr>
          <w:noProof/>
        </w:rPr>
        <w:t xml:space="preserve"> (2011)</w:t>
      </w:r>
      <w:r w:rsidRPr="00FA3343">
        <w:rPr>
          <w:noProof/>
        </w:rPr>
        <w:t xml:space="preserve"> </w:t>
      </w:r>
      <w:r w:rsidRPr="006A1996">
        <w:rPr>
          <w:noProof/>
          <w:u w:val="single"/>
        </w:rPr>
        <w:t xml:space="preserve">Energy and </w:t>
      </w:r>
      <w:r w:rsidR="006A1996">
        <w:rPr>
          <w:noProof/>
          <w:u w:val="single"/>
        </w:rPr>
        <w:t>nutrient i</w:t>
      </w:r>
      <w:r w:rsidRPr="006A1996">
        <w:rPr>
          <w:noProof/>
          <w:u w:val="single"/>
        </w:rPr>
        <w:t xml:space="preserve">ntake of Tongan </w:t>
      </w:r>
      <w:r w:rsidR="006A1996">
        <w:rPr>
          <w:noProof/>
          <w:u w:val="single"/>
        </w:rPr>
        <w:t>adults estimated by 24-h</w:t>
      </w:r>
      <w:r w:rsidRPr="006A1996">
        <w:rPr>
          <w:noProof/>
          <w:u w:val="single"/>
        </w:rPr>
        <w:t xml:space="preserve">our </w:t>
      </w:r>
      <w:r w:rsidR="006A1996">
        <w:rPr>
          <w:noProof/>
          <w:u w:val="single"/>
        </w:rPr>
        <w:t>r</w:t>
      </w:r>
      <w:r w:rsidRPr="006A1996">
        <w:rPr>
          <w:noProof/>
          <w:u w:val="single"/>
        </w:rPr>
        <w:t xml:space="preserve">ecall: </w:t>
      </w:r>
      <w:r w:rsidR="006A1996">
        <w:rPr>
          <w:noProof/>
          <w:u w:val="single"/>
        </w:rPr>
        <w:t>t</w:t>
      </w:r>
      <w:r w:rsidRPr="006A1996">
        <w:rPr>
          <w:noProof/>
          <w:u w:val="single"/>
        </w:rPr>
        <w:t xml:space="preserve">he </w:t>
      </w:r>
      <w:r w:rsidR="006A1996">
        <w:rPr>
          <w:noProof/>
          <w:u w:val="single"/>
        </w:rPr>
        <w:t>i</w:t>
      </w:r>
      <w:r w:rsidRPr="006A1996">
        <w:rPr>
          <w:noProof/>
          <w:u w:val="single"/>
        </w:rPr>
        <w:t xml:space="preserve">mportance of </w:t>
      </w:r>
      <w:r w:rsidR="006A1996">
        <w:rPr>
          <w:noProof/>
          <w:u w:val="single"/>
        </w:rPr>
        <w:t>l</w:t>
      </w:r>
      <w:r w:rsidRPr="006A1996">
        <w:rPr>
          <w:noProof/>
          <w:u w:val="single"/>
        </w:rPr>
        <w:t xml:space="preserve">ocal </w:t>
      </w:r>
      <w:r w:rsidR="006A1996">
        <w:rPr>
          <w:noProof/>
          <w:u w:val="single"/>
        </w:rPr>
        <w:t>f</w:t>
      </w:r>
      <w:r w:rsidRPr="006A1996">
        <w:rPr>
          <w:noProof/>
          <w:u w:val="single"/>
        </w:rPr>
        <w:t xml:space="preserve">ood </w:t>
      </w:r>
      <w:r w:rsidR="006A1996">
        <w:rPr>
          <w:noProof/>
          <w:u w:val="single"/>
        </w:rPr>
        <w:t>i</w:t>
      </w:r>
      <w:r w:rsidRPr="006A1996">
        <w:rPr>
          <w:noProof/>
          <w:u w:val="single"/>
        </w:rPr>
        <w:t>tems</w:t>
      </w:r>
      <w:r w:rsidRPr="00FA3343">
        <w:rPr>
          <w:noProof/>
        </w:rPr>
        <w:t xml:space="preserve"> Ecol Food Nutr </w:t>
      </w:r>
      <w:r w:rsidR="006A1996" w:rsidRPr="00FA3343">
        <w:rPr>
          <w:noProof/>
        </w:rPr>
        <w:t>50(4):337–50.</w:t>
      </w:r>
      <w:r w:rsidR="006A1996">
        <w:rPr>
          <w:noProof/>
        </w:rPr>
        <w:t xml:space="preserve"> </w:t>
      </w:r>
      <w:r w:rsidRPr="00FA3343">
        <w:rPr>
          <w:noProof/>
        </w:rPr>
        <w:t xml:space="preserve">2011 Jul </w:t>
      </w:r>
      <w:hyperlink r:id="rId18" w:history="1">
        <w:r w:rsidRPr="00A4512B">
          <w:rPr>
            <w:rStyle w:val="Hyperlink"/>
            <w:noProof/>
          </w:rPr>
          <w:t>http://www.tandfonline.com/doi/abs/10.1080/03670244.2011.586315</w:t>
        </w:r>
      </w:hyperlink>
      <w:r>
        <w:rPr>
          <w:noProof/>
        </w:rPr>
        <w:t xml:space="preserve"> </w:t>
      </w:r>
      <w:r w:rsidR="006A1996">
        <w:t xml:space="preserve"> </w:t>
      </w:r>
      <w:r w:rsidR="006A1996">
        <w:rPr>
          <w:lang w:eastAsia="en-GB"/>
        </w:rPr>
        <w:t>[Accessed: 10 December 2018]</w:t>
      </w:r>
    </w:p>
    <w:p w14:paraId="7A174939" w14:textId="77777777" w:rsidR="00F046F2" w:rsidRDefault="00F046F2" w:rsidP="00F046F2">
      <w:pPr>
        <w:rPr>
          <w:noProof/>
        </w:rPr>
      </w:pPr>
      <w:r>
        <w:t xml:space="preserve">Levisay A with Evans L (2014) </w:t>
      </w:r>
      <w:r w:rsidRPr="006A1996">
        <w:rPr>
          <w:u w:val="single"/>
        </w:rPr>
        <w:t>Tonga health sector analysis</w:t>
      </w:r>
      <w:r>
        <w:t xml:space="preserve"> Health Resource Facility [draft]</w:t>
      </w:r>
    </w:p>
    <w:p w14:paraId="6A610950" w14:textId="77777777" w:rsidR="00931AC6" w:rsidRDefault="004018F8">
      <w:r>
        <w:t xml:space="preserve">Ministry of Health (2018) </w:t>
      </w:r>
      <w:r w:rsidRPr="006A1996">
        <w:rPr>
          <w:u w:val="single"/>
        </w:rPr>
        <w:t xml:space="preserve">Package of Essential Health Services – Tonga. Part 1: PEHS Service delineation &amp; service </w:t>
      </w:r>
      <w:r w:rsidR="00B2730F" w:rsidRPr="006A1996">
        <w:rPr>
          <w:u w:val="single"/>
        </w:rPr>
        <w:t>availability ba</w:t>
      </w:r>
      <w:r w:rsidRPr="006A1996">
        <w:rPr>
          <w:u w:val="single"/>
        </w:rPr>
        <w:t xml:space="preserve">seline </w:t>
      </w:r>
      <w:r w:rsidR="00B2730F" w:rsidRPr="006A1996">
        <w:rPr>
          <w:u w:val="single"/>
        </w:rPr>
        <w:t>a</w:t>
      </w:r>
      <w:r w:rsidRPr="006A1996">
        <w:rPr>
          <w:u w:val="single"/>
        </w:rPr>
        <w:t>ssessment</w:t>
      </w:r>
      <w:r w:rsidR="00B2730F">
        <w:t xml:space="preserve">. August 2018 </w:t>
      </w:r>
      <w:r>
        <w:t>[DRAFT]</w:t>
      </w:r>
    </w:p>
    <w:p w14:paraId="27AF3AC6" w14:textId="77777777" w:rsidR="00730924" w:rsidRDefault="00730924" w:rsidP="00730924">
      <w:r>
        <w:t xml:space="preserve">Ministry of Health (2018) </w:t>
      </w:r>
      <w:r w:rsidRPr="006A1996">
        <w:rPr>
          <w:u w:val="single"/>
        </w:rPr>
        <w:t>Annual Report January-December 2016</w:t>
      </w:r>
      <w:r>
        <w:t xml:space="preserve"> [DRAFT]</w:t>
      </w:r>
    </w:p>
    <w:p w14:paraId="086E8950" w14:textId="77777777" w:rsidR="007D4A15" w:rsidRDefault="007D4A15" w:rsidP="007D4A15">
      <w:r>
        <w:t xml:space="preserve">Ministry of Health (2015) </w:t>
      </w:r>
      <w:r w:rsidRPr="006A1996">
        <w:rPr>
          <w:u w:val="single"/>
        </w:rPr>
        <w:t>National Health Strategic Plan July 2015 to June 2020: Universal Health Coverage</w:t>
      </w:r>
      <w:r>
        <w:t xml:space="preserve"> Version 4</w:t>
      </w:r>
      <w:r w:rsidR="006A1996">
        <w:t>,</w:t>
      </w:r>
      <w:r>
        <w:t xml:space="preserve"> 11 May 2015</w:t>
      </w:r>
    </w:p>
    <w:p w14:paraId="13966B34" w14:textId="77777777" w:rsidR="00A318B9" w:rsidRPr="00A318B9" w:rsidRDefault="00A318B9" w:rsidP="00A318B9">
      <w:pPr>
        <w:rPr>
          <w:rFonts w:cstheme="minorHAnsi"/>
          <w:noProof/>
        </w:rPr>
      </w:pPr>
      <w:r w:rsidRPr="00A318B9">
        <w:rPr>
          <w:rStyle w:val="Hyperlink"/>
          <w:color w:val="auto"/>
          <w:u w:val="none"/>
        </w:rPr>
        <w:lastRenderedPageBreak/>
        <w:t xml:space="preserve">Rodney A, Hufanga S, Sausini Paasi S, Vivili P, ‘Ahio T and Hufanga M (2015) </w:t>
      </w:r>
      <w:r w:rsidRPr="00A318B9">
        <w:rPr>
          <w:rStyle w:val="Hyperlink"/>
          <w:color w:val="auto"/>
        </w:rPr>
        <w:t>The Kingdom of Tonga Health System Review</w:t>
      </w:r>
      <w:r w:rsidRPr="00A318B9">
        <w:rPr>
          <w:rStyle w:val="Hyperlink"/>
          <w:color w:val="auto"/>
          <w:u w:val="none"/>
        </w:rPr>
        <w:t xml:space="preserve">  Health Systems in Transition Vol 5, No 6 </w:t>
      </w:r>
      <w:r w:rsidRPr="00A318B9">
        <w:rPr>
          <w:rFonts w:cstheme="minorHAnsi"/>
          <w:bCs/>
        </w:rPr>
        <w:t>Asia Pacific Observatory on Health Systems and Policies, World Health Organization</w:t>
      </w:r>
    </w:p>
    <w:p w14:paraId="0C9B52A8" w14:textId="77777777" w:rsidR="00842CBE" w:rsidRPr="006A1996" w:rsidRDefault="00842CBE">
      <w:pPr>
        <w:rPr>
          <w:rStyle w:val="Hyperlink"/>
          <w:color w:val="auto"/>
          <w:u w:val="none"/>
        </w:rPr>
      </w:pPr>
      <w:r>
        <w:t>Taylor R, Zimmet P, Naseri T, Hufanga S,</w:t>
      </w:r>
      <w:r w:rsidR="00404398">
        <w:t xml:space="preserve"> Tukana I, Magliano </w:t>
      </w:r>
      <w:r>
        <w:t>D</w:t>
      </w:r>
      <w:r w:rsidR="00404398">
        <w:t xml:space="preserve">, Lin S, Linhart </w:t>
      </w:r>
      <w:r>
        <w:t>C</w:t>
      </w:r>
      <w:r w:rsidR="00404398">
        <w:t xml:space="preserve"> </w:t>
      </w:r>
      <w:r>
        <w:t xml:space="preserve">and </w:t>
      </w:r>
      <w:r w:rsidR="00404398">
        <w:t xml:space="preserve">Morrell </w:t>
      </w:r>
      <w:r>
        <w:t>S</w:t>
      </w:r>
      <w:r w:rsidR="00404398">
        <w:t xml:space="preserve"> (2016) </w:t>
      </w:r>
      <w:r w:rsidR="00404398" w:rsidRPr="00550647">
        <w:rPr>
          <w:u w:val="single"/>
        </w:rPr>
        <w:t>Erroneous inflation of diabetes prevalence: Are there global implications?</w:t>
      </w:r>
      <w:r w:rsidR="00404398">
        <w:t xml:space="preserve">  Journal of Diabetes 8 (2016), 766–769, Research let</w:t>
      </w:r>
      <w:r w:rsidR="006A1996">
        <w:t xml:space="preserve">ter </w:t>
      </w:r>
      <w:hyperlink r:id="rId19" w:history="1">
        <w:r w:rsidRPr="00550647">
          <w:rPr>
            <w:rStyle w:val="Hyperlink"/>
          </w:rPr>
          <w:t>https://onlinelibrary.wiley.com/doi/pdf/10.1111/1753-0407.12447</w:t>
        </w:r>
      </w:hyperlink>
      <w:r w:rsidR="006A1996" w:rsidRPr="006A1996">
        <w:rPr>
          <w:rStyle w:val="Hyperlink"/>
          <w:color w:val="auto"/>
          <w:u w:val="none"/>
        </w:rPr>
        <w:t xml:space="preserve"> [Accessed: 10 December 2018] </w:t>
      </w:r>
    </w:p>
    <w:p w14:paraId="3DBEA350" w14:textId="77777777" w:rsidR="00887A3E" w:rsidRDefault="00887A3E" w:rsidP="00887A3E">
      <w:pPr>
        <w:rPr>
          <w:lang w:eastAsia="en-GB"/>
        </w:rPr>
      </w:pPr>
      <w:r w:rsidRPr="007B7B8F">
        <w:rPr>
          <w:rStyle w:val="Hyperlink"/>
          <w:rFonts w:ascii="Calibri" w:eastAsia="Times New Roman" w:hAnsi="Calibri" w:cs="Calibri"/>
          <w:color w:val="auto"/>
          <w:u w:val="none"/>
          <w:lang w:eastAsia="en-GB"/>
        </w:rPr>
        <w:t xml:space="preserve">Tonga Department of Statistics (   ) </w:t>
      </w:r>
      <w:r w:rsidRPr="007B7B8F">
        <w:rPr>
          <w:rStyle w:val="Hyperlink"/>
          <w:rFonts w:ascii="Calibri" w:eastAsia="Times New Roman" w:hAnsi="Calibri" w:cs="Calibri"/>
          <w:color w:val="auto"/>
          <w:lang w:eastAsia="en-GB"/>
        </w:rPr>
        <w:t>2011 Population Census. Various tables</w:t>
      </w:r>
      <w:r w:rsidR="007B7B8F">
        <w:rPr>
          <w:rStyle w:val="Hyperlink"/>
          <w:rFonts w:ascii="Calibri" w:eastAsia="Times New Roman" w:hAnsi="Calibri" w:cs="Calibri"/>
          <w:color w:val="auto"/>
          <w:u w:val="none"/>
          <w:lang w:eastAsia="en-GB"/>
        </w:rPr>
        <w:t xml:space="preserve">. </w:t>
      </w:r>
      <w:hyperlink r:id="rId20" w:anchor="total-population-by-sex-division-and-district-1996-2006-and-2011" w:history="1">
        <w:r w:rsidRPr="000E2506">
          <w:rPr>
            <w:rStyle w:val="Hyperlink"/>
            <w:rFonts w:ascii="Calibri" w:eastAsia="Times New Roman" w:hAnsi="Calibri" w:cs="Calibri"/>
            <w:lang w:eastAsia="en-GB"/>
          </w:rPr>
          <w:t>http://tonga.prism.spc.int/census-population/general-table-data#total-population-by-sex-division-and-district-1996-2006-and-2011</w:t>
        </w:r>
      </w:hyperlink>
      <w:r>
        <w:rPr>
          <w:lang w:eastAsia="en-GB"/>
        </w:rPr>
        <w:t xml:space="preserve"> [Accessed: 10 December 2018]</w:t>
      </w:r>
    </w:p>
    <w:p w14:paraId="558C1B50" w14:textId="77777777" w:rsidR="006A1996" w:rsidRDefault="006A1996" w:rsidP="006A1996">
      <w:pPr>
        <w:rPr>
          <w:noProof/>
        </w:rPr>
      </w:pPr>
      <w:r w:rsidRPr="00FA3343">
        <w:rPr>
          <w:noProof/>
        </w:rPr>
        <w:t>Tonga Statistics Department</w:t>
      </w:r>
      <w:r>
        <w:rPr>
          <w:noProof/>
        </w:rPr>
        <w:t xml:space="preserve"> (</w:t>
      </w:r>
      <w:r w:rsidRPr="00FA3343">
        <w:rPr>
          <w:noProof/>
        </w:rPr>
        <w:t>201</w:t>
      </w:r>
      <w:r>
        <w:rPr>
          <w:noProof/>
        </w:rPr>
        <w:t xml:space="preserve">7) </w:t>
      </w:r>
      <w:r w:rsidR="007B7B8F">
        <w:rPr>
          <w:noProof/>
          <w:u w:val="single"/>
        </w:rPr>
        <w:t>2016 C</w:t>
      </w:r>
      <w:r w:rsidRPr="006A1996">
        <w:rPr>
          <w:noProof/>
          <w:u w:val="single"/>
        </w:rPr>
        <w:t>ensus of Population and Housing Volume 1: Basic Tables and Administrative Report</w:t>
      </w:r>
      <w:r>
        <w:rPr>
          <w:noProof/>
        </w:rPr>
        <w:t>, Nuk</w:t>
      </w:r>
      <w:r w:rsidRPr="00FA3343">
        <w:rPr>
          <w:noProof/>
        </w:rPr>
        <w:t xml:space="preserve">u’alofa 2017 </w:t>
      </w:r>
      <w:hyperlink r:id="rId21" w:history="1">
        <w:r w:rsidRPr="00A4512B">
          <w:rPr>
            <w:rStyle w:val="Hyperlink"/>
            <w:noProof/>
          </w:rPr>
          <w:t>http://tonga.prism.spc.int</w:t>
        </w:r>
      </w:hyperlink>
      <w:r>
        <w:rPr>
          <w:noProof/>
        </w:rPr>
        <w:t xml:space="preserve"> </w:t>
      </w:r>
      <w:r w:rsidR="007B7B8F">
        <w:rPr>
          <w:noProof/>
        </w:rPr>
        <w:br/>
      </w:r>
      <w:r>
        <w:rPr>
          <w:noProof/>
        </w:rPr>
        <w:t>[Accessed: 10 December 2018]</w:t>
      </w:r>
    </w:p>
    <w:p w14:paraId="7B00B170" w14:textId="77777777" w:rsidR="00F50991" w:rsidRDefault="00F50991" w:rsidP="00F50991">
      <w:pPr>
        <w:rPr>
          <w:lang w:eastAsia="en-GB"/>
        </w:rPr>
      </w:pPr>
      <w:r w:rsidRPr="007B7B8F">
        <w:rPr>
          <w:rStyle w:val="Hyperlink"/>
          <w:rFonts w:eastAsia="Times New Roman" w:cstheme="minorHAnsi"/>
          <w:color w:val="auto"/>
          <w:u w:val="none"/>
          <w:lang w:eastAsia="en-GB"/>
        </w:rPr>
        <w:t xml:space="preserve">United Nations Statistics Division (   ) Available from: </w:t>
      </w:r>
      <w:hyperlink r:id="rId22" w:history="1">
        <w:r w:rsidRPr="00806A37">
          <w:rPr>
            <w:rStyle w:val="Hyperlink"/>
            <w:rFonts w:eastAsia="Times New Roman" w:cstheme="minorHAnsi"/>
            <w:lang w:eastAsia="en-GB"/>
          </w:rPr>
          <w:t>http://unstats.un.org/unsd/demographic/sources/census/2010_PHC/Tonga/release.pdf</w:t>
        </w:r>
      </w:hyperlink>
      <w:r>
        <w:rPr>
          <w:lang w:eastAsia="en-GB"/>
        </w:rPr>
        <w:t xml:space="preserve"> </w:t>
      </w:r>
      <w:r w:rsidR="007B7B8F">
        <w:rPr>
          <w:lang w:eastAsia="en-GB"/>
        </w:rPr>
        <w:br/>
        <w:t>[Accessed: 10 December 2018]</w:t>
      </w:r>
    </w:p>
    <w:p w14:paraId="64A40CAC" w14:textId="77777777" w:rsidR="00E51ABF" w:rsidRPr="00C6338C" w:rsidRDefault="00E51ABF" w:rsidP="007B7B8F">
      <w:pPr>
        <w:jc w:val="both"/>
      </w:pPr>
      <w:r>
        <w:rPr>
          <w:noProof/>
        </w:rPr>
        <w:t>University of Sydney (2016)</w:t>
      </w:r>
      <w:r w:rsidRPr="00C6338C">
        <w:t xml:space="preserve"> </w:t>
      </w:r>
      <w:r w:rsidRPr="007B7B8F">
        <w:rPr>
          <w:u w:val="single"/>
        </w:rPr>
        <w:t xml:space="preserve">An evaluation of the </w:t>
      </w:r>
      <w:r w:rsidR="007B7B8F" w:rsidRPr="007B7B8F">
        <w:rPr>
          <w:u w:val="single"/>
        </w:rPr>
        <w:t>‘</w:t>
      </w:r>
      <w:r w:rsidRPr="007B7B8F">
        <w:rPr>
          <w:u w:val="single"/>
        </w:rPr>
        <w:t>Tuku Ifi Leva 2016</w:t>
      </w:r>
      <w:r w:rsidR="007B7B8F" w:rsidRPr="007B7B8F">
        <w:rPr>
          <w:u w:val="single"/>
        </w:rPr>
        <w:t>’</w:t>
      </w:r>
      <w:r w:rsidRPr="007B7B8F">
        <w:rPr>
          <w:u w:val="single"/>
        </w:rPr>
        <w:t xml:space="preserve"> second-hand smoking mass media campaign in the Kingdom of Tonga</w:t>
      </w:r>
      <w:r>
        <w:t xml:space="preserve"> </w:t>
      </w:r>
      <w:r w:rsidRPr="00C6338C">
        <w:t>Prevention Research Collaboration</w:t>
      </w:r>
      <w:r>
        <w:t xml:space="preserve">, </w:t>
      </w:r>
      <w:r w:rsidRPr="00C6338C">
        <w:t>Sydney School of Public Health and the Charles Perkins Centre</w:t>
      </w:r>
    </w:p>
    <w:p w14:paraId="04870D69" w14:textId="77777777" w:rsidR="004724E7" w:rsidRPr="00606F80" w:rsidRDefault="004724E7" w:rsidP="004724E7">
      <w:pPr>
        <w:rPr>
          <w:noProof/>
        </w:rPr>
      </w:pPr>
      <w:r w:rsidRPr="00606F80">
        <w:rPr>
          <w:noProof/>
        </w:rPr>
        <w:t xml:space="preserve">World Bank (2018) </w:t>
      </w:r>
      <w:r w:rsidRPr="007B7B8F">
        <w:rPr>
          <w:noProof/>
          <w:u w:val="single"/>
        </w:rPr>
        <w:t>Tonga Health Sector Support Aide Memoire: World Bank Health Team Visit 13 August to 6 September 2018</w:t>
      </w:r>
      <w:r w:rsidRPr="00606F80">
        <w:rPr>
          <w:noProof/>
        </w:rPr>
        <w:t>. Washington DC</w:t>
      </w:r>
    </w:p>
    <w:p w14:paraId="4C1A3056" w14:textId="77777777" w:rsidR="004724E7" w:rsidRPr="007B7B8F" w:rsidRDefault="004724E7">
      <w:pPr>
        <w:rPr>
          <w:rStyle w:val="Hyperlink"/>
          <w:noProof/>
          <w:color w:val="auto"/>
          <w:u w:val="none"/>
        </w:rPr>
      </w:pPr>
      <w:r w:rsidRPr="00FA3343">
        <w:rPr>
          <w:noProof/>
        </w:rPr>
        <w:t xml:space="preserve">World Health </w:t>
      </w:r>
      <w:r w:rsidR="001B0860" w:rsidRPr="00FA3343">
        <w:rPr>
          <w:noProof/>
        </w:rPr>
        <w:t>Organi</w:t>
      </w:r>
      <w:r w:rsidR="001B0860">
        <w:rPr>
          <w:noProof/>
        </w:rPr>
        <w:t>z</w:t>
      </w:r>
      <w:r w:rsidR="001B0860" w:rsidRPr="00FA3343">
        <w:rPr>
          <w:noProof/>
        </w:rPr>
        <w:t>ation</w:t>
      </w:r>
      <w:r w:rsidRPr="00FA3343">
        <w:rPr>
          <w:noProof/>
        </w:rPr>
        <w:t xml:space="preserve"> </w:t>
      </w:r>
      <w:r w:rsidR="007B7B8F">
        <w:rPr>
          <w:noProof/>
        </w:rPr>
        <w:t xml:space="preserve">(   ) </w:t>
      </w:r>
      <w:r w:rsidRPr="007B7B8F">
        <w:rPr>
          <w:noProof/>
          <w:u w:val="single"/>
        </w:rPr>
        <w:t>Global School-based Student Health Survey Tonga 2017 Fact Sheet</w:t>
      </w:r>
      <w:r w:rsidRPr="00FA3343">
        <w:rPr>
          <w:noProof/>
        </w:rPr>
        <w:t xml:space="preserve"> [Internet]. 2017 [cited 2018 Dec 10]. Available from: </w:t>
      </w:r>
      <w:hyperlink r:id="rId23" w:history="1">
        <w:r w:rsidRPr="00A4512B">
          <w:rPr>
            <w:rStyle w:val="Hyperlink"/>
            <w:noProof/>
          </w:rPr>
          <w:t>https://www.who.int/ncds/surveillance/gshs/TOH2017_fact_sheet.pdf</w:t>
        </w:r>
      </w:hyperlink>
      <w:r w:rsidR="007B7B8F">
        <w:rPr>
          <w:rStyle w:val="Hyperlink"/>
          <w:noProof/>
        </w:rPr>
        <w:t xml:space="preserve"> </w:t>
      </w:r>
      <w:r w:rsidR="007B7B8F">
        <w:rPr>
          <w:rStyle w:val="Hyperlink"/>
          <w:noProof/>
        </w:rPr>
        <w:br/>
      </w:r>
      <w:r w:rsidR="007B7B8F">
        <w:rPr>
          <w:lang w:eastAsia="en-GB"/>
        </w:rPr>
        <w:t>[Accessed: 10 December 2018]</w:t>
      </w:r>
    </w:p>
    <w:p w14:paraId="23BD401D" w14:textId="77777777" w:rsidR="001B0860" w:rsidRDefault="001B0860" w:rsidP="001B0860">
      <w:pPr>
        <w:rPr>
          <w:lang w:eastAsia="en-GB"/>
        </w:rPr>
      </w:pPr>
      <w:r>
        <w:rPr>
          <w:noProof/>
        </w:rPr>
        <w:t xml:space="preserve">World Health Organization (2017) </w:t>
      </w:r>
      <w:r w:rsidR="0049594D" w:rsidRPr="007B7B8F">
        <w:rPr>
          <w:noProof/>
          <w:u w:val="single"/>
        </w:rPr>
        <w:t>Noncommunicable diseases p</w:t>
      </w:r>
      <w:r w:rsidRPr="007B7B8F">
        <w:rPr>
          <w:noProof/>
          <w:u w:val="single"/>
        </w:rPr>
        <w:t>rogress</w:t>
      </w:r>
      <w:r w:rsidR="0049594D" w:rsidRPr="007B7B8F">
        <w:rPr>
          <w:noProof/>
          <w:u w:val="single"/>
        </w:rPr>
        <w:t xml:space="preserve"> m</w:t>
      </w:r>
      <w:r w:rsidRPr="007B7B8F">
        <w:rPr>
          <w:noProof/>
          <w:u w:val="single"/>
        </w:rPr>
        <w:t>onitor 2017</w:t>
      </w:r>
      <w:r w:rsidR="007B7B8F">
        <w:rPr>
          <w:noProof/>
        </w:rPr>
        <w:t xml:space="preserve"> </w:t>
      </w:r>
      <w:hyperlink r:id="rId24" w:history="1">
        <w:r w:rsidRPr="00A4512B">
          <w:rPr>
            <w:rStyle w:val="Hyperlink"/>
            <w:noProof/>
          </w:rPr>
          <w:t>http://apps.who.int/iris/bitstream/10665/258940/1/9789241513029-eng.pdf?ua=1</w:t>
        </w:r>
      </w:hyperlink>
      <w:r>
        <w:rPr>
          <w:noProof/>
        </w:rPr>
        <w:t xml:space="preserve"> </w:t>
      </w:r>
      <w:r w:rsidR="007B7B8F">
        <w:rPr>
          <w:noProof/>
        </w:rPr>
        <w:br/>
      </w:r>
      <w:r w:rsidR="007B7B8F">
        <w:rPr>
          <w:lang w:eastAsia="en-GB"/>
        </w:rPr>
        <w:t>[Accessed: 30 November 2018]</w:t>
      </w:r>
    </w:p>
    <w:p w14:paraId="2E516F74" w14:textId="77777777" w:rsidR="007B7B8F" w:rsidRDefault="007B7B8F" w:rsidP="001B0860">
      <w:pPr>
        <w:rPr>
          <w:lang w:eastAsia="en-GB"/>
        </w:rPr>
      </w:pPr>
    </w:p>
    <w:p w14:paraId="052D8398" w14:textId="77777777" w:rsidR="007B7B8F" w:rsidRDefault="007B7B8F" w:rsidP="001B0860">
      <w:pPr>
        <w:rPr>
          <w:noProof/>
        </w:rPr>
      </w:pPr>
    </w:p>
    <w:p w14:paraId="3E1E1883" w14:textId="77777777" w:rsidR="001B0860" w:rsidRDefault="001B0860">
      <w:pPr>
        <w:rPr>
          <w:noProof/>
        </w:rPr>
        <w:sectPr w:rsidR="001B0860" w:rsidSect="00C41C6D">
          <w:type w:val="continuous"/>
          <w:pgSz w:w="11906" w:h="16838"/>
          <w:pgMar w:top="1440" w:right="1440" w:bottom="1440" w:left="1440" w:header="708" w:footer="708" w:gutter="0"/>
          <w:pgNumType w:start="1"/>
          <w:cols w:space="708"/>
          <w:docGrid w:linePitch="360"/>
        </w:sectPr>
      </w:pPr>
    </w:p>
    <w:p w14:paraId="239F3F92" w14:textId="77777777" w:rsidR="00D2231A" w:rsidRPr="00540206" w:rsidRDefault="00D2231A" w:rsidP="00D2231A">
      <w:pPr>
        <w:pStyle w:val="NumberedTitle"/>
        <w:jc w:val="left"/>
        <w:rPr>
          <w:sz w:val="26"/>
          <w:szCs w:val="26"/>
          <w:lang w:val="en-GB"/>
        </w:rPr>
      </w:pPr>
      <w:bookmarkStart w:id="78" w:name="_Toc461898984"/>
      <w:bookmarkStart w:id="79" w:name="_Toc536205479"/>
      <w:r w:rsidRPr="00540206">
        <w:rPr>
          <w:sz w:val="26"/>
          <w:szCs w:val="26"/>
          <w:lang w:val="en-GB"/>
        </w:rPr>
        <w:lastRenderedPageBreak/>
        <w:t xml:space="preserve">Annex A: </w:t>
      </w:r>
      <w:r w:rsidR="00C44750" w:rsidRPr="00540206">
        <w:rPr>
          <w:sz w:val="26"/>
          <w:szCs w:val="26"/>
          <w:lang w:val="en-GB"/>
        </w:rPr>
        <w:t xml:space="preserve"> THSSP2 </w:t>
      </w:r>
      <w:bookmarkEnd w:id="78"/>
      <w:r w:rsidRPr="00540206">
        <w:rPr>
          <w:sz w:val="26"/>
          <w:szCs w:val="26"/>
          <w:lang w:val="en-GB"/>
        </w:rPr>
        <w:t>Mid-term Evaluation</w:t>
      </w:r>
      <w:r w:rsidR="00C44750" w:rsidRPr="00540206">
        <w:rPr>
          <w:sz w:val="26"/>
          <w:szCs w:val="26"/>
          <w:lang w:val="en-GB"/>
        </w:rPr>
        <w:t xml:space="preserve"> Terms of Reference</w:t>
      </w:r>
      <w:bookmarkEnd w:id="79"/>
      <w:r w:rsidR="00C44750" w:rsidRPr="00540206">
        <w:rPr>
          <w:sz w:val="26"/>
          <w:szCs w:val="26"/>
          <w:lang w:val="en-GB"/>
        </w:rPr>
        <w:t xml:space="preserve"> </w:t>
      </w:r>
    </w:p>
    <w:p w14:paraId="2F567FAF" w14:textId="77777777" w:rsidR="00D2231A" w:rsidRDefault="00D2231A" w:rsidP="00C44750">
      <w:pPr>
        <w:spacing w:after="0"/>
      </w:pPr>
    </w:p>
    <w:p w14:paraId="246D2688" w14:textId="77777777" w:rsidR="00D2231A" w:rsidRPr="007975C0" w:rsidRDefault="00D2231A" w:rsidP="00D2231A">
      <w:pPr>
        <w:rPr>
          <w:rFonts w:eastAsia="Times New Roman" w:cstheme="majorHAnsi"/>
          <w:b/>
          <w:lang w:eastAsia="en-AU"/>
        </w:rPr>
      </w:pPr>
      <w:r w:rsidRPr="007975C0">
        <w:rPr>
          <w:rFonts w:eastAsia="Times New Roman" w:cstheme="majorHAnsi"/>
          <w:b/>
          <w:lang w:eastAsia="en-AU"/>
        </w:rPr>
        <w:t>Purpose</w:t>
      </w:r>
    </w:p>
    <w:p w14:paraId="0A6BED9A" w14:textId="77777777" w:rsidR="00D2231A" w:rsidRPr="007975C0" w:rsidRDefault="00D2231A" w:rsidP="00C44750">
      <w:pPr>
        <w:pStyle w:val="ListParagraph"/>
        <w:ind w:left="0"/>
        <w:rPr>
          <w:rFonts w:eastAsia="Times New Roman" w:cstheme="majorHAnsi"/>
          <w:lang w:eastAsia="en-AU"/>
        </w:rPr>
      </w:pPr>
      <w:r w:rsidRPr="007975C0">
        <w:rPr>
          <w:rFonts w:eastAsia="Times New Roman" w:cstheme="majorHAnsi"/>
          <w:lang w:eastAsia="en-AU"/>
        </w:rPr>
        <w:t xml:space="preserve">These Terms of Reference set out the requirements for a Midterm Evaluation of the Tonga Health Systems Support Program Phase 2 (THSSP2).  They encompass the requirements for both an independent progress report (which asks is the program being implemented as planned) and an evaluation. The evaluation will focus on progress – positive, negative, intended and unintended – at an outcome level and seeks to understand observed performance, test continued relevance, and make recommendations for course corrections during the remainder of THSSP2 and future support to the health sector in Tonga. </w:t>
      </w:r>
    </w:p>
    <w:p w14:paraId="6986D747" w14:textId="77777777" w:rsidR="00D2231A" w:rsidRPr="007975C0" w:rsidRDefault="00D2231A" w:rsidP="00C44750">
      <w:pPr>
        <w:pStyle w:val="ListParagraph"/>
        <w:spacing w:after="0"/>
        <w:rPr>
          <w:rFonts w:eastAsia="Times New Roman" w:cstheme="majorHAnsi"/>
          <w:lang w:eastAsia="en-AU"/>
        </w:rPr>
      </w:pPr>
    </w:p>
    <w:p w14:paraId="74FDB0AE" w14:textId="77777777" w:rsidR="00D2231A" w:rsidRPr="007975C0" w:rsidRDefault="00D2231A" w:rsidP="00D2231A">
      <w:pPr>
        <w:contextualSpacing/>
        <w:rPr>
          <w:rFonts w:eastAsia="Times New Roman" w:cstheme="majorHAnsi"/>
          <w:lang w:eastAsia="en-AU"/>
        </w:rPr>
      </w:pPr>
      <w:r w:rsidRPr="007975C0">
        <w:rPr>
          <w:rFonts w:cstheme="majorHAnsi"/>
          <w:b/>
        </w:rPr>
        <w:t>Background</w:t>
      </w:r>
    </w:p>
    <w:p w14:paraId="43700703" w14:textId="77777777" w:rsidR="00D2231A" w:rsidRPr="007975C0" w:rsidRDefault="00D2231A" w:rsidP="00D2231A">
      <w:pPr>
        <w:spacing w:line="240" w:lineRule="auto"/>
        <w:rPr>
          <w:rFonts w:eastAsia="Times New Roman" w:cstheme="majorHAnsi"/>
          <w:u w:val="single"/>
          <w:lang w:val="en-US" w:eastAsia="en-AU"/>
        </w:rPr>
      </w:pPr>
      <w:r w:rsidRPr="007975C0">
        <w:rPr>
          <w:rFonts w:eastAsia="Times New Roman" w:cstheme="majorHAnsi"/>
          <w:u w:val="single"/>
          <w:lang w:val="en-US" w:eastAsia="en-AU"/>
        </w:rPr>
        <w:t>Context</w:t>
      </w:r>
    </w:p>
    <w:p w14:paraId="3BC9C50C" w14:textId="77777777" w:rsidR="00D2231A" w:rsidRPr="007975C0" w:rsidRDefault="00D2231A" w:rsidP="00812ECB">
      <w:pPr>
        <w:spacing w:before="100" w:beforeAutospacing="1" w:after="100" w:afterAutospacing="1" w:line="240" w:lineRule="auto"/>
        <w:rPr>
          <w:rFonts w:eastAsia="Times New Roman" w:cstheme="majorHAnsi"/>
          <w:lang w:val="en-US" w:eastAsia="en-AU"/>
        </w:rPr>
      </w:pPr>
      <w:r w:rsidRPr="007975C0">
        <w:rPr>
          <w:rFonts w:eastAsia="Times New Roman" w:cstheme="majorHAnsi"/>
          <w:lang w:val="en-US" w:eastAsia="en-AU"/>
        </w:rPr>
        <w:t>The Kingdom of Tonga is an archipelago of 169 islands of which 36 are inhabited.    Tonga is scattered over a vast area of the Pacific Ocean about 700,000 square kilometers. The islands are divided into three main groups – Tongatapu / Eua, Vava’u and Ha’apai. As of January 2017, the population of Tonga was estimated to be 107,000 people.  At the last Census (2017), the population number was falling, mainly due to migration.</w:t>
      </w:r>
      <w:r w:rsidRPr="007975C0">
        <w:rPr>
          <w:rFonts w:cstheme="majorHAnsi"/>
          <w:lang w:val="en-US"/>
        </w:rPr>
        <w:t xml:space="preserve"> </w:t>
      </w:r>
      <w:r w:rsidRPr="007975C0">
        <w:rPr>
          <w:rFonts w:eastAsia="Times New Roman" w:cstheme="majorHAnsi"/>
          <w:lang w:val="en-US" w:eastAsia="en-AU"/>
        </w:rPr>
        <w:t>Australia’s interests in Tonga are defined by the Foreign Policy White Paper, which includes prioritising the achievement of sustainable development goals across the Pacific through genuine partnerships with Pacific governments. Australia currently invests around $30 million per year through its aid program comprising around $17 million administered bilaterally, and $13 million through regional and global programs. Bilateral investment is prioritised under the three pillars of the current aid investment plan (AIP): Economic governance and private sector development; Strengthened health systems; and Skills development. The AIP will be renewed in 2019.</w:t>
      </w:r>
    </w:p>
    <w:p w14:paraId="469937B9" w14:textId="77777777" w:rsidR="00D2231A" w:rsidRPr="007975C0" w:rsidRDefault="00D2231A" w:rsidP="00D2231A">
      <w:pPr>
        <w:spacing w:before="100" w:beforeAutospacing="1" w:after="100" w:afterAutospacing="1" w:line="240" w:lineRule="auto"/>
        <w:rPr>
          <w:rFonts w:cstheme="majorHAnsi"/>
          <w:lang w:val="en-US"/>
        </w:rPr>
      </w:pPr>
      <w:r w:rsidRPr="007975C0">
        <w:rPr>
          <w:rFonts w:cstheme="majorHAnsi"/>
          <w:lang w:val="en-US"/>
        </w:rPr>
        <w:t>Non-communicable diseases (NCDs), such as diabetes and cardiovascular disease are endemic in Tonga and present a large and increasing risk to sustainable development. Health expenditure is skewed towards hospital and tertiary care, with few Tongans accessing affordable health care in their local communities.</w:t>
      </w:r>
    </w:p>
    <w:p w14:paraId="7EFB904A" w14:textId="77777777" w:rsidR="00D2231A" w:rsidRPr="007975C0" w:rsidRDefault="00D2231A" w:rsidP="00D2231A">
      <w:pPr>
        <w:spacing w:line="240" w:lineRule="auto"/>
        <w:rPr>
          <w:rFonts w:eastAsia="Times New Roman" w:cstheme="majorHAnsi"/>
          <w:u w:val="single"/>
          <w:lang w:val="en-US" w:eastAsia="en-AU"/>
        </w:rPr>
      </w:pPr>
      <w:r w:rsidRPr="007975C0">
        <w:rPr>
          <w:rFonts w:eastAsia="Times New Roman" w:cstheme="majorHAnsi"/>
          <w:u w:val="single"/>
          <w:lang w:val="en-US" w:eastAsia="en-AU"/>
        </w:rPr>
        <w:t>Tonga Health Systems Support Program (THSSP)</w:t>
      </w:r>
    </w:p>
    <w:p w14:paraId="13DB7028" w14:textId="77777777" w:rsidR="00D2231A" w:rsidRPr="007975C0" w:rsidRDefault="00D2231A" w:rsidP="00D2231A">
      <w:pPr>
        <w:spacing w:line="240" w:lineRule="auto"/>
        <w:rPr>
          <w:rFonts w:eastAsia="Times New Roman" w:cstheme="majorHAnsi"/>
          <w:lang w:val="en-US" w:eastAsia="en-AU"/>
        </w:rPr>
      </w:pPr>
      <w:r w:rsidRPr="007975C0">
        <w:rPr>
          <w:rFonts w:eastAsia="Times New Roman" w:cstheme="majorHAnsi"/>
          <w:lang w:val="en-US" w:eastAsia="en-AU"/>
        </w:rPr>
        <w:t>Since 2009, Australia has invested in Tonga’s Ministry of Health through the Tonga Health Systems Support Program. Phase 1 (THSSP1) of the Program aimed to improve community health services and deliver preventative health measures, while focusing on halting the rise in prevalence of NCDs and its risk factors. The program also supported improvements in primary health care services to a common national standard, a skills development twinning arrangement with Ballarat’s St John of God Hospital, provision of critical clinical positions, and mentoring and training to support the operation of Tonga’s major hospital. Australia also supported Tonga to build a cadre of specially-trained NCD nurses to improve the treatment of NCDs. The nurses are stationed at health and diabetes centres across Tonga, including all outer island groups.</w:t>
      </w:r>
    </w:p>
    <w:p w14:paraId="646A5904" w14:textId="77777777" w:rsidR="00D2231A" w:rsidRPr="007975C0" w:rsidRDefault="00D2231A" w:rsidP="00B61DFB">
      <w:pPr>
        <w:spacing w:before="100" w:beforeAutospacing="1" w:after="100" w:afterAutospacing="1" w:line="240" w:lineRule="auto"/>
        <w:rPr>
          <w:rFonts w:eastAsia="Times New Roman" w:cstheme="majorHAnsi"/>
          <w:lang w:val="en-US" w:eastAsia="en-AU"/>
        </w:rPr>
      </w:pPr>
      <w:r w:rsidRPr="007975C0">
        <w:rPr>
          <w:rFonts w:eastAsia="Times New Roman" w:cstheme="majorHAnsi"/>
          <w:lang w:val="en-US" w:eastAsia="en-AU"/>
        </w:rPr>
        <w:t xml:space="preserve">Phase 2 of the Tonga Health Systems Support Program (THSSP2) commenced in March 2015, with Australia agreeing to continue its support to Tonga’s health sector in order to improve health service delivery, in particular preventative health services.  In an effort to seek a consolidated approach, Australia provides programmatic support through grants to Tonga’s Ministry of Health, a health </w:t>
      </w:r>
      <w:r w:rsidRPr="007975C0">
        <w:rPr>
          <w:rFonts w:eastAsia="Times New Roman" w:cstheme="majorHAnsi"/>
          <w:lang w:val="en-US" w:eastAsia="en-AU"/>
        </w:rPr>
        <w:lastRenderedPageBreak/>
        <w:t xml:space="preserve">promotion NGO (Tonga Health), and technical assistance. Funding has also been allocated for program management. </w:t>
      </w:r>
    </w:p>
    <w:p w14:paraId="5EE5C7EA" w14:textId="77777777" w:rsidR="00D2231A" w:rsidRPr="007975C0" w:rsidRDefault="00D2231A" w:rsidP="00D2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line="240" w:lineRule="auto"/>
        <w:ind w:right="30"/>
        <w:rPr>
          <w:rFonts w:eastAsia="Times New Roman" w:cstheme="majorHAnsi"/>
          <w:lang w:eastAsia="en-AU"/>
        </w:rPr>
      </w:pPr>
      <w:r w:rsidRPr="007975C0">
        <w:rPr>
          <w:rFonts w:eastAsia="Times New Roman" w:cstheme="majorHAnsi"/>
          <w:lang w:eastAsia="en-AU"/>
        </w:rPr>
        <w:t xml:space="preserve">THSSP 2 is designed to support the Government of Tonga’s (GOT) own strategy and planning for the health sector by providing support to its Ministry of Health and Tonga Health to improve health service delivery, with a strong focus on non-communicable diseases (NCDs). The program is aligned to the Tonga Strategic Development Framework II, the National Strategy to Prevent and Control NCDs 2010 – 2015, and the MOH Corporate Plan 2015-2020. The THSSP 2’s overarching objective is for a more effective, efficient and equitable preventative and primary care service for the Tongan population. The program aims to reduce the prevalence of NCD risk factors, strengthen health systems and increase equity of access to health services. Tonga Health Systems Support Program 2 has identified five key development outcomes: </w:t>
      </w:r>
    </w:p>
    <w:p w14:paraId="30335791" w14:textId="77777777" w:rsidR="00D2231A" w:rsidRPr="007975C0" w:rsidRDefault="00D2231A" w:rsidP="00D223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left="748" w:right="28" w:hanging="357"/>
        <w:contextualSpacing w:val="0"/>
        <w:rPr>
          <w:rFonts w:eastAsia="Times New Roman" w:cstheme="majorHAnsi"/>
          <w:lang w:eastAsia="en-AU"/>
        </w:rPr>
      </w:pPr>
      <w:r w:rsidRPr="007975C0">
        <w:rPr>
          <w:rFonts w:eastAsia="Times New Roman" w:cstheme="majorHAnsi"/>
          <w:lang w:eastAsia="en-AU"/>
        </w:rPr>
        <w:t xml:space="preserve">rate of premature deaths and preventable disability related to NCDs has not risen; </w:t>
      </w:r>
    </w:p>
    <w:p w14:paraId="3CB31D4F" w14:textId="77777777" w:rsidR="00D2231A" w:rsidRPr="007975C0" w:rsidRDefault="00D2231A" w:rsidP="00D223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left="748" w:right="28" w:hanging="357"/>
        <w:contextualSpacing w:val="0"/>
        <w:rPr>
          <w:rFonts w:eastAsia="Times New Roman" w:cstheme="majorHAnsi"/>
          <w:lang w:eastAsia="en-AU"/>
        </w:rPr>
      </w:pPr>
      <w:r w:rsidRPr="007975C0">
        <w:rPr>
          <w:rFonts w:eastAsia="Times New Roman" w:cstheme="majorHAnsi"/>
          <w:lang w:eastAsia="en-AU"/>
        </w:rPr>
        <w:t>fall in percentages of population at high risk of developing NCDs;</w:t>
      </w:r>
    </w:p>
    <w:p w14:paraId="3E782C0D" w14:textId="77777777" w:rsidR="00D2231A" w:rsidRPr="007975C0" w:rsidRDefault="00D2231A" w:rsidP="00D223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left="748" w:right="28" w:hanging="357"/>
        <w:contextualSpacing w:val="0"/>
        <w:rPr>
          <w:rFonts w:eastAsia="Times New Roman" w:cstheme="majorHAnsi"/>
          <w:lang w:eastAsia="en-AU"/>
        </w:rPr>
      </w:pPr>
      <w:r w:rsidRPr="007975C0">
        <w:rPr>
          <w:rFonts w:eastAsia="Times New Roman" w:cstheme="majorHAnsi"/>
          <w:lang w:eastAsia="en-AU"/>
        </w:rPr>
        <w:t>develop and implement a plan with strategies to increase NCD management as part of universal health coverage leading to efficiencies and budget cost savings through the program;</w:t>
      </w:r>
    </w:p>
    <w:p w14:paraId="233ECC16" w14:textId="77777777" w:rsidR="00D2231A" w:rsidRPr="007975C0" w:rsidRDefault="00D2231A" w:rsidP="00D223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left="748" w:right="28" w:hanging="357"/>
        <w:contextualSpacing w:val="0"/>
        <w:rPr>
          <w:rFonts w:eastAsia="Times New Roman" w:cstheme="majorHAnsi"/>
          <w:lang w:eastAsia="en-AU"/>
        </w:rPr>
      </w:pPr>
      <w:r w:rsidRPr="007975C0">
        <w:rPr>
          <w:rFonts w:eastAsia="Times New Roman" w:cstheme="majorHAnsi"/>
          <w:lang w:eastAsia="en-AU"/>
        </w:rPr>
        <w:t>strengthened health system management (including public financial management) of budgeting, planning, reporting, implementation and procurement; and</w:t>
      </w:r>
    </w:p>
    <w:p w14:paraId="3B2827E8" w14:textId="77777777" w:rsidR="00D2231A" w:rsidRPr="007975C0" w:rsidRDefault="00D2231A" w:rsidP="00D2231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40" w:lineRule="auto"/>
        <w:ind w:right="30"/>
        <w:rPr>
          <w:rFonts w:eastAsia="Times New Roman" w:cstheme="majorHAnsi"/>
          <w:lang w:eastAsia="en-AU"/>
        </w:rPr>
      </w:pPr>
      <w:r w:rsidRPr="007975C0">
        <w:rPr>
          <w:rFonts w:eastAsia="Times New Roman" w:cstheme="majorHAnsi"/>
          <w:lang w:eastAsia="en-AU"/>
        </w:rPr>
        <w:t xml:space="preserve">increased equity of access for poor and marginalised groups, including people with disability, to MoH services and Tonga Health activities. </w:t>
      </w:r>
    </w:p>
    <w:p w14:paraId="0E8FC6CD" w14:textId="77777777" w:rsidR="00D2231A" w:rsidRPr="007975C0" w:rsidRDefault="00D2231A" w:rsidP="00D2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40" w:lineRule="auto"/>
        <w:ind w:right="30"/>
        <w:rPr>
          <w:rFonts w:eastAsia="Times New Roman" w:cstheme="majorHAnsi"/>
          <w:lang w:eastAsia="en-AU"/>
        </w:rPr>
      </w:pPr>
    </w:p>
    <w:p w14:paraId="3CCA5FF1" w14:textId="77777777" w:rsidR="00D2231A" w:rsidRPr="007975C0" w:rsidRDefault="00D2231A" w:rsidP="00D2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line="240" w:lineRule="auto"/>
        <w:ind w:left="30" w:right="30"/>
        <w:rPr>
          <w:rFonts w:eastAsia="Times New Roman" w:cstheme="majorHAnsi"/>
          <w:lang w:eastAsia="en-AU"/>
        </w:rPr>
      </w:pPr>
      <w:r w:rsidRPr="007975C0">
        <w:rPr>
          <w:rFonts w:eastAsia="Times New Roman" w:cstheme="majorHAnsi"/>
          <w:lang w:eastAsia="en-AU"/>
        </w:rPr>
        <w:t>The total planned value of this investment is $17.3 million over 5 years, starting in 2015. Expenditure to date has been just over $9 million. Activities funded under THSSP2 are:</w:t>
      </w:r>
    </w:p>
    <w:p w14:paraId="3ACF869B" w14:textId="77777777" w:rsidR="00D2231A" w:rsidRPr="007975C0" w:rsidRDefault="00D2231A" w:rsidP="00AC0818">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right="28"/>
        <w:contextualSpacing w:val="0"/>
        <w:rPr>
          <w:rFonts w:eastAsia="Times New Roman" w:cstheme="majorHAnsi"/>
          <w:lang w:eastAsia="en-AU"/>
        </w:rPr>
      </w:pPr>
      <w:r w:rsidRPr="007975C0">
        <w:rPr>
          <w:rFonts w:eastAsia="Times New Roman" w:cstheme="majorHAnsi"/>
          <w:lang w:eastAsia="en-AU"/>
        </w:rPr>
        <w:t>A direct funding agreement with MOH ($A10.8M, for years 2015 to 2020) provides support to a range of NCD prevention and treatment services, as well as systems strengthening support to improve planning and budgeting for sustainability. This amount also includes a component of ($A3.3M, for 2015 to 2020) earmarked for disability inclusive health including service accessibility, community-based rehabilitation, and mental health. Funded activities are negotiated each year against MOH management plans. Currently, the program supports the MoH’s major reform for achieving effective, efficient and equitable preventative and primary care- the Package of Essential Health Services.</w:t>
      </w:r>
    </w:p>
    <w:p w14:paraId="466BAAEB" w14:textId="77777777" w:rsidR="00D2231A" w:rsidRPr="007975C0" w:rsidRDefault="00D2231A" w:rsidP="00AC0818">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left="714" w:right="28" w:hanging="357"/>
        <w:contextualSpacing w:val="0"/>
        <w:rPr>
          <w:rFonts w:eastAsia="Times New Roman" w:cstheme="majorHAnsi"/>
          <w:lang w:eastAsia="en-AU"/>
        </w:rPr>
      </w:pPr>
      <w:r w:rsidRPr="007975C0">
        <w:rPr>
          <w:rFonts w:eastAsia="Times New Roman" w:cstheme="majorHAnsi"/>
          <w:lang w:eastAsia="en-AU"/>
        </w:rPr>
        <w:t>A funding agreement ($A2.1M, for years 2016 - 2020) with the independent Tonga Health Promotion Foundation (THPF) to support national cross-sectoral action and coordination on the national NCD strategy. Australian funding supports THPF to provide grants to a range of recipients to conduct NCD-prevention activities across a range of sectors, as well as supporting core organisational functions including program management and monitoring and evaluation.</w:t>
      </w:r>
    </w:p>
    <w:p w14:paraId="2B88E592" w14:textId="77777777" w:rsidR="00D2231A" w:rsidRPr="007975C0" w:rsidRDefault="00D2231A" w:rsidP="00AC0818">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left="714" w:right="28" w:hanging="357"/>
        <w:contextualSpacing w:val="0"/>
        <w:rPr>
          <w:rFonts w:eastAsia="Times New Roman" w:cstheme="majorHAnsi"/>
          <w:lang w:eastAsia="en-AU"/>
        </w:rPr>
      </w:pPr>
      <w:r w:rsidRPr="007975C0">
        <w:rPr>
          <w:rFonts w:eastAsia="Times New Roman" w:cstheme="majorHAnsi"/>
          <w:lang w:eastAsia="en-AU"/>
        </w:rPr>
        <w:t>The organisational funding agreements are supported by two long-term technical advisers and some additional short-term contracted advice as needed (approx. $A1.9m). A Health systems support and planning manager to support improved planning, budgeting and monitoring cycles is currently in place at MOH, and a NCDs/Health promotion adviser is currently working with THPF.</w:t>
      </w:r>
    </w:p>
    <w:p w14:paraId="3DDBD09B" w14:textId="77777777" w:rsidR="00D2231A" w:rsidRPr="007975C0" w:rsidRDefault="00D2231A" w:rsidP="00AC0818">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120" w:line="240" w:lineRule="auto"/>
        <w:ind w:right="30"/>
        <w:rPr>
          <w:rFonts w:eastAsia="Times New Roman" w:cstheme="majorHAnsi"/>
          <w:lang w:eastAsia="en-AU"/>
        </w:rPr>
      </w:pPr>
      <w:r w:rsidRPr="007975C0">
        <w:rPr>
          <w:rFonts w:eastAsia="Times New Roman" w:cstheme="majorHAnsi"/>
          <w:lang w:eastAsia="en-AU"/>
        </w:rPr>
        <w:t>The program also meets support costs of approximately $A1.5m for post managements costs and audit costs.</w:t>
      </w:r>
    </w:p>
    <w:p w14:paraId="34DE977C" w14:textId="77777777" w:rsidR="00D2231A" w:rsidRDefault="00D2231A" w:rsidP="00D2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line="240" w:lineRule="auto"/>
        <w:ind w:right="28"/>
        <w:rPr>
          <w:rFonts w:eastAsia="Times New Roman" w:cstheme="majorHAnsi"/>
          <w:lang w:eastAsia="en-AU"/>
        </w:rPr>
      </w:pPr>
      <w:r w:rsidRPr="007975C0">
        <w:rPr>
          <w:rFonts w:eastAsia="Times New Roman" w:cstheme="majorHAnsi"/>
          <w:lang w:eastAsia="en-AU"/>
        </w:rPr>
        <w:lastRenderedPageBreak/>
        <w:t xml:space="preserve">In addition, the program has set aside $400,000 of the direct funding for performance based funding for the MoH based on the achievement of targets, the findings of the independent progress report, and the extent to which the recommendations of the independent progress report are met.  This mid-term evaluation is the trigger for a decision on the first tranche ($200,000) of this </w:t>
      </w:r>
      <w:r w:rsidR="00C44750" w:rsidRPr="007975C0">
        <w:rPr>
          <w:rFonts w:eastAsia="Times New Roman" w:cstheme="majorHAnsi"/>
          <w:lang w:eastAsia="en-AU"/>
        </w:rPr>
        <w:t>performance-based</w:t>
      </w:r>
      <w:r w:rsidRPr="007975C0">
        <w:rPr>
          <w:rFonts w:eastAsia="Times New Roman" w:cstheme="majorHAnsi"/>
          <w:lang w:eastAsia="en-AU"/>
        </w:rPr>
        <w:t xml:space="preserve"> funding.</w:t>
      </w:r>
    </w:p>
    <w:p w14:paraId="5A664D55" w14:textId="77777777" w:rsidR="00D2231A" w:rsidRPr="007975C0" w:rsidRDefault="00D2231A" w:rsidP="00D2231A">
      <w:pPr>
        <w:rPr>
          <w:rFonts w:cstheme="majorHAnsi"/>
          <w:u w:val="single"/>
        </w:rPr>
      </w:pPr>
      <w:r w:rsidRPr="007975C0">
        <w:rPr>
          <w:rFonts w:cstheme="majorHAnsi"/>
          <w:u w:val="single"/>
        </w:rPr>
        <w:t>Linked Evaluations/Reviews</w:t>
      </w:r>
    </w:p>
    <w:p w14:paraId="21B19531" w14:textId="77777777" w:rsidR="00D2231A" w:rsidRPr="007975C0" w:rsidRDefault="00D2231A" w:rsidP="00D2231A">
      <w:pPr>
        <w:rPr>
          <w:rFonts w:cstheme="majorHAnsi"/>
        </w:rPr>
      </w:pPr>
      <w:r w:rsidRPr="007975C0">
        <w:rPr>
          <w:rFonts w:cstheme="majorHAnsi"/>
        </w:rPr>
        <w:t xml:space="preserve">This THSSP2 evaluation will occur at the same time with the national review of Tonga’s NCD strategy to be conducted by Tonga Health Promotion Foundation. The evaluation team will be expected to coordinate with the NCD strategy review including by conducting joint meetings with stakeholders or discussing findings if appropriate.  The Tonga Health evaluation will focus on reviewing the National NCD Strategy, and the success of Tonga Health Promotion Foundation in implementing and coordinating it. The THSSP2 evaluation will draw on this as appropriate and complement it with an evaluation of THSSP2 support to the provision of clinical and public health NCD services. </w:t>
      </w:r>
    </w:p>
    <w:p w14:paraId="34B52E13" w14:textId="77777777" w:rsidR="00D2231A" w:rsidRPr="007975C0" w:rsidRDefault="00D2231A" w:rsidP="00D2231A">
      <w:pPr>
        <w:rPr>
          <w:rFonts w:cstheme="majorHAnsi"/>
        </w:rPr>
      </w:pPr>
      <w:r w:rsidRPr="007975C0">
        <w:rPr>
          <w:rFonts w:cstheme="majorHAnsi"/>
        </w:rPr>
        <w:t xml:space="preserve">DFAT’s Office of Development Effectiveness (ODE) is also conducting a strategic evaluation of DFAT’s bilateral Pacific health investments over 2008-17.  Case studies in Tonga, Fiji and Solomon Islands will investigate factors affecting the effectiveness of health system strengthening investments, with particular attention to the following activities: </w:t>
      </w:r>
    </w:p>
    <w:p w14:paraId="25B56E5D" w14:textId="77777777" w:rsidR="00D2231A" w:rsidRPr="007975C0" w:rsidRDefault="00D2231A" w:rsidP="00AC0818">
      <w:pPr>
        <w:pStyle w:val="BodyText"/>
        <w:numPr>
          <w:ilvl w:val="0"/>
          <w:numId w:val="33"/>
        </w:numPr>
        <w:suppressAutoHyphens/>
        <w:spacing w:before="200" w:after="60" w:line="270" w:lineRule="atLeast"/>
        <w:jc w:val="both"/>
        <w:rPr>
          <w:rFonts w:cstheme="majorHAnsi"/>
          <w:szCs w:val="22"/>
        </w:rPr>
      </w:pPr>
      <w:r w:rsidRPr="007975C0">
        <w:rPr>
          <w:rFonts w:cstheme="majorHAnsi"/>
          <w:szCs w:val="22"/>
        </w:rPr>
        <w:t>Strengthening the Health Information System</w:t>
      </w:r>
    </w:p>
    <w:p w14:paraId="3C57A8FF" w14:textId="77777777" w:rsidR="00D2231A" w:rsidRPr="007975C0" w:rsidRDefault="00D2231A" w:rsidP="00AC0818">
      <w:pPr>
        <w:pStyle w:val="BodyText"/>
        <w:numPr>
          <w:ilvl w:val="0"/>
          <w:numId w:val="33"/>
        </w:numPr>
        <w:suppressAutoHyphens/>
        <w:spacing w:before="200" w:after="60" w:line="270" w:lineRule="atLeast"/>
        <w:jc w:val="both"/>
        <w:rPr>
          <w:rFonts w:cstheme="majorHAnsi"/>
          <w:szCs w:val="22"/>
        </w:rPr>
      </w:pPr>
      <w:r w:rsidRPr="007975C0">
        <w:rPr>
          <w:rFonts w:cstheme="majorHAnsi"/>
          <w:szCs w:val="22"/>
        </w:rPr>
        <w:t xml:space="preserve">Strengthening the health workforce to improve access to, and the supply of, health services </w:t>
      </w:r>
    </w:p>
    <w:p w14:paraId="09FB15DB" w14:textId="77777777" w:rsidR="00D2231A" w:rsidRPr="007975C0" w:rsidRDefault="00D2231A" w:rsidP="00AC0818">
      <w:pPr>
        <w:pStyle w:val="BodyText"/>
        <w:numPr>
          <w:ilvl w:val="0"/>
          <w:numId w:val="33"/>
        </w:numPr>
        <w:suppressAutoHyphens/>
        <w:spacing w:before="200" w:after="60" w:line="270" w:lineRule="atLeast"/>
        <w:jc w:val="both"/>
        <w:rPr>
          <w:rFonts w:cstheme="majorHAnsi"/>
          <w:szCs w:val="22"/>
        </w:rPr>
      </w:pPr>
      <w:r w:rsidRPr="007975C0">
        <w:rPr>
          <w:rFonts w:cstheme="majorHAnsi"/>
          <w:szCs w:val="22"/>
        </w:rPr>
        <w:t>Strengthening financial planning and management for health service delivery</w:t>
      </w:r>
    </w:p>
    <w:p w14:paraId="00823686" w14:textId="77777777" w:rsidR="00D2231A" w:rsidRPr="007975C0" w:rsidRDefault="00D2231A" w:rsidP="00AC0818">
      <w:pPr>
        <w:pStyle w:val="BodyText"/>
        <w:numPr>
          <w:ilvl w:val="0"/>
          <w:numId w:val="33"/>
        </w:numPr>
        <w:suppressAutoHyphens/>
        <w:spacing w:before="200" w:after="60" w:line="270" w:lineRule="atLeast"/>
        <w:jc w:val="both"/>
        <w:rPr>
          <w:rFonts w:cstheme="majorHAnsi"/>
          <w:szCs w:val="22"/>
        </w:rPr>
      </w:pPr>
      <w:r w:rsidRPr="007975C0">
        <w:rPr>
          <w:rFonts w:cstheme="majorHAnsi"/>
          <w:szCs w:val="22"/>
        </w:rPr>
        <w:t>Strengthening the management of pharmaceutical supplies</w:t>
      </w:r>
    </w:p>
    <w:p w14:paraId="1E725C7E" w14:textId="77777777" w:rsidR="00D2231A" w:rsidRPr="007975C0" w:rsidRDefault="00D2231A" w:rsidP="00B61DFB">
      <w:pPr>
        <w:pStyle w:val="BodyText"/>
        <w:spacing w:after="0"/>
        <w:rPr>
          <w:rFonts w:cstheme="majorHAnsi"/>
          <w:szCs w:val="22"/>
        </w:rPr>
      </w:pPr>
      <w:r w:rsidRPr="007975C0">
        <w:rPr>
          <w:rFonts w:cstheme="majorHAnsi"/>
          <w:szCs w:val="22"/>
        </w:rPr>
        <w:t xml:space="preserve">The entry point for the case studies are activities funded through bilateral investments but the evaluation team will also examine complementary activities funded through regional programs. The findings and recommendations will not be specific to any investment or country. However, the evaluation team is expected to be in Tonga prior to the THSSP2 evaluation, and some of team’s the insights of the effectiveness and sustainability of DFAT investments over the ten years may be relevant to this evaluation. </w:t>
      </w:r>
    </w:p>
    <w:p w14:paraId="24530EE4" w14:textId="77777777" w:rsidR="00D2231A" w:rsidRPr="007975C0" w:rsidRDefault="00D2231A" w:rsidP="00D2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40" w:lineRule="auto"/>
        <w:ind w:left="30" w:right="30"/>
        <w:rPr>
          <w:rFonts w:eastAsia="Times New Roman" w:cstheme="majorHAnsi"/>
          <w:lang w:eastAsia="en-AU"/>
        </w:rPr>
      </w:pPr>
    </w:p>
    <w:p w14:paraId="216EF9E3" w14:textId="77777777" w:rsidR="00D2231A" w:rsidRPr="007975C0" w:rsidRDefault="00D2231A" w:rsidP="00D2231A">
      <w:pPr>
        <w:contextualSpacing/>
        <w:rPr>
          <w:rFonts w:cstheme="majorHAnsi"/>
          <w:b/>
        </w:rPr>
      </w:pPr>
      <w:r w:rsidRPr="007975C0">
        <w:rPr>
          <w:rFonts w:cstheme="majorHAnsi"/>
          <w:b/>
        </w:rPr>
        <w:t>Purpose and Objectives</w:t>
      </w:r>
    </w:p>
    <w:p w14:paraId="39754C60" w14:textId="77777777" w:rsidR="00D2231A" w:rsidRPr="007975C0" w:rsidRDefault="00D2231A" w:rsidP="00D2231A">
      <w:pPr>
        <w:autoSpaceDE w:val="0"/>
        <w:autoSpaceDN w:val="0"/>
        <w:adjustRightInd w:val="0"/>
        <w:spacing w:before="60"/>
        <w:rPr>
          <w:rFonts w:cstheme="majorHAnsi"/>
          <w:lang w:eastAsia="en-AU"/>
        </w:rPr>
      </w:pPr>
      <w:r w:rsidRPr="007975C0">
        <w:rPr>
          <w:rFonts w:cstheme="majorHAnsi"/>
          <w:lang w:eastAsia="en-AU"/>
        </w:rPr>
        <w:t xml:space="preserve">The purpose of this Midterm Evaluation is to provide to the Ministry of Health Executive Team and Ministry of Finance and National Planning, The Board of Tonga Health Promotion Foundation (Tonga Health) and DFAT with information about the implementation of DFAT funded support to the health sector. This information will be used to improve Australia’s support to the MOH and Tonga Health and, subsequently, the delivery of Tonga’s National Health Strategic Plan 2015 – 2020.   </w:t>
      </w:r>
    </w:p>
    <w:p w14:paraId="63FFC4F8" w14:textId="77777777" w:rsidR="00D2231A" w:rsidRPr="007975C0" w:rsidRDefault="00D2231A" w:rsidP="00D2231A">
      <w:pPr>
        <w:autoSpaceDE w:val="0"/>
        <w:autoSpaceDN w:val="0"/>
        <w:adjustRightInd w:val="0"/>
        <w:spacing w:before="60"/>
        <w:rPr>
          <w:rFonts w:cstheme="majorHAnsi"/>
        </w:rPr>
      </w:pPr>
      <w:r w:rsidRPr="007975C0">
        <w:rPr>
          <w:rFonts w:cstheme="majorHAnsi"/>
          <w:lang w:eastAsia="en-AU"/>
        </w:rPr>
        <w:t>This will be the first review of THSSP2.</w:t>
      </w:r>
    </w:p>
    <w:p w14:paraId="66344831" w14:textId="77777777" w:rsidR="00D2231A" w:rsidRPr="007975C0" w:rsidRDefault="00D2231A" w:rsidP="00D2231A">
      <w:pPr>
        <w:autoSpaceDE w:val="0"/>
        <w:autoSpaceDN w:val="0"/>
        <w:adjustRightInd w:val="0"/>
        <w:spacing w:before="60"/>
        <w:rPr>
          <w:rFonts w:cstheme="majorHAnsi"/>
        </w:rPr>
      </w:pPr>
      <w:r w:rsidRPr="007975C0">
        <w:rPr>
          <w:rFonts w:cstheme="majorHAnsi"/>
        </w:rPr>
        <w:t>The objectives of this Midterm Evaluation are:</w:t>
      </w:r>
    </w:p>
    <w:p w14:paraId="7EC2616E" w14:textId="235E6198" w:rsidR="00D2231A" w:rsidRPr="00AC0818" w:rsidRDefault="00D2231A" w:rsidP="00AC0818">
      <w:pPr>
        <w:pStyle w:val="ListParagraph"/>
        <w:numPr>
          <w:ilvl w:val="0"/>
          <w:numId w:val="26"/>
        </w:numPr>
        <w:autoSpaceDE w:val="0"/>
        <w:autoSpaceDN w:val="0"/>
        <w:adjustRightInd w:val="0"/>
        <w:spacing w:before="60" w:after="120" w:line="276" w:lineRule="auto"/>
        <w:rPr>
          <w:rFonts w:cstheme="majorHAnsi"/>
        </w:rPr>
      </w:pPr>
      <w:r w:rsidRPr="00AC0818">
        <w:rPr>
          <w:rFonts w:cstheme="majorHAnsi"/>
          <w:lang w:eastAsia="en-AU"/>
        </w:rPr>
        <w:t>To review and document the performance of THSSP2 over the period 2015 – 2017, including the program’s achievement against agreed performance benchmarks to inform the 2018/19 Performance Based Payment.</w:t>
      </w:r>
    </w:p>
    <w:p w14:paraId="0220ACCE" w14:textId="77777777" w:rsidR="00D2231A" w:rsidRPr="007975C0" w:rsidRDefault="00D2231A" w:rsidP="00AC0818">
      <w:pPr>
        <w:pStyle w:val="ListParagraph"/>
        <w:numPr>
          <w:ilvl w:val="0"/>
          <w:numId w:val="26"/>
        </w:numPr>
        <w:spacing w:after="0" w:line="276" w:lineRule="auto"/>
        <w:jc w:val="both"/>
        <w:rPr>
          <w:rFonts w:cstheme="majorHAnsi"/>
        </w:rPr>
      </w:pPr>
      <w:r w:rsidRPr="007975C0">
        <w:rPr>
          <w:rFonts w:cstheme="majorHAnsi"/>
        </w:rPr>
        <w:t>Based on the review findings, provide recommendations for improvements that could be made by partners in the remaining implementation period to June 2020.</w:t>
      </w:r>
    </w:p>
    <w:p w14:paraId="3A92076B" w14:textId="77777777" w:rsidR="00D2231A" w:rsidRPr="007975C0" w:rsidRDefault="00D2231A" w:rsidP="00AC0818">
      <w:pPr>
        <w:pStyle w:val="ListParagraph"/>
        <w:numPr>
          <w:ilvl w:val="0"/>
          <w:numId w:val="26"/>
        </w:numPr>
        <w:autoSpaceDE w:val="0"/>
        <w:autoSpaceDN w:val="0"/>
        <w:adjustRightInd w:val="0"/>
        <w:spacing w:before="60" w:after="120" w:line="276" w:lineRule="auto"/>
        <w:ind w:left="357" w:hanging="357"/>
        <w:contextualSpacing w:val="0"/>
        <w:jc w:val="both"/>
        <w:rPr>
          <w:rFonts w:cstheme="majorHAnsi"/>
          <w:lang w:eastAsia="en-AU"/>
        </w:rPr>
      </w:pPr>
      <w:r w:rsidRPr="007975C0">
        <w:rPr>
          <w:rFonts w:cstheme="majorHAnsi"/>
          <w:lang w:eastAsia="en-AU"/>
        </w:rPr>
        <w:lastRenderedPageBreak/>
        <w:t>Provide advice on options for future support to the health sector in Tonga beyond June 2020, and in particular if the THSSP2 delivery modality is still appropriate.</w:t>
      </w:r>
    </w:p>
    <w:p w14:paraId="0F3370A3" w14:textId="77777777" w:rsidR="00D2231A" w:rsidRPr="007975C0" w:rsidRDefault="00D2231A" w:rsidP="00AC0818">
      <w:pPr>
        <w:pStyle w:val="ListParagraph"/>
        <w:numPr>
          <w:ilvl w:val="0"/>
          <w:numId w:val="26"/>
        </w:numPr>
        <w:autoSpaceDE w:val="0"/>
        <w:autoSpaceDN w:val="0"/>
        <w:adjustRightInd w:val="0"/>
        <w:spacing w:before="60" w:after="200" w:line="276" w:lineRule="auto"/>
        <w:jc w:val="both"/>
        <w:rPr>
          <w:rFonts w:cstheme="majorHAnsi"/>
          <w:lang w:eastAsia="en-AU"/>
        </w:rPr>
      </w:pPr>
      <w:r w:rsidRPr="007975C0">
        <w:rPr>
          <w:rFonts w:cstheme="majorHAnsi"/>
          <w:lang w:eastAsia="en-AU"/>
        </w:rPr>
        <w:t xml:space="preserve">Make recommendations for analytical products to be commissioned to inform a future health program design. </w:t>
      </w:r>
    </w:p>
    <w:p w14:paraId="4374E2C0" w14:textId="77777777" w:rsidR="00D2231A" w:rsidRPr="007975C0" w:rsidRDefault="00D2231A" w:rsidP="00D2231A">
      <w:pPr>
        <w:rPr>
          <w:rFonts w:cstheme="majorHAnsi"/>
          <w:u w:val="single"/>
        </w:rPr>
      </w:pPr>
      <w:r w:rsidRPr="007975C0">
        <w:rPr>
          <w:rFonts w:cstheme="majorHAnsi"/>
          <w:u w:val="single"/>
        </w:rPr>
        <w:t>Key evaluation questions</w:t>
      </w:r>
    </w:p>
    <w:p w14:paraId="762BA8CD" w14:textId="77777777" w:rsidR="00D2231A" w:rsidRPr="007975C0" w:rsidRDefault="00D2231A" w:rsidP="00D2231A">
      <w:pPr>
        <w:rPr>
          <w:rFonts w:cstheme="majorHAnsi"/>
          <w:i/>
          <w:u w:val="single"/>
        </w:rPr>
      </w:pPr>
      <w:r w:rsidRPr="007975C0">
        <w:rPr>
          <w:rFonts w:cstheme="majorHAnsi"/>
          <w:i/>
          <w:u w:val="single"/>
        </w:rPr>
        <w:t>Relevance</w:t>
      </w:r>
    </w:p>
    <w:p w14:paraId="03F7C480" w14:textId="77777777" w:rsidR="00D2231A" w:rsidRPr="007975C0" w:rsidRDefault="00D2231A" w:rsidP="00AC0818">
      <w:pPr>
        <w:pStyle w:val="ListParagraph"/>
        <w:numPr>
          <w:ilvl w:val="0"/>
          <w:numId w:val="30"/>
        </w:numPr>
        <w:spacing w:after="120"/>
        <w:ind w:left="714" w:hanging="357"/>
        <w:contextualSpacing w:val="0"/>
        <w:rPr>
          <w:rFonts w:cstheme="majorHAnsi"/>
        </w:rPr>
      </w:pPr>
      <w:r w:rsidRPr="007975C0">
        <w:rPr>
          <w:rFonts w:cstheme="majorHAnsi"/>
        </w:rPr>
        <w:t xml:space="preserve">Are the program’s five key development outcomes still relevant and appropriate? </w:t>
      </w:r>
    </w:p>
    <w:p w14:paraId="533A1813" w14:textId="77777777" w:rsidR="00D2231A" w:rsidRPr="007975C0" w:rsidRDefault="00D2231A" w:rsidP="00AC0818">
      <w:pPr>
        <w:pStyle w:val="ListParagraph"/>
        <w:numPr>
          <w:ilvl w:val="0"/>
          <w:numId w:val="30"/>
        </w:numPr>
        <w:spacing w:after="120"/>
        <w:ind w:left="714" w:hanging="357"/>
        <w:contextualSpacing w:val="0"/>
        <w:rPr>
          <w:rFonts w:cstheme="majorHAnsi"/>
        </w:rPr>
      </w:pPr>
      <w:r w:rsidRPr="007975C0">
        <w:rPr>
          <w:rFonts w:cstheme="majorHAnsi"/>
        </w:rPr>
        <w:t>Are the program activities and outputs consistent with the achievement of these development outcomes?</w:t>
      </w:r>
    </w:p>
    <w:p w14:paraId="76BA65DE" w14:textId="77777777" w:rsidR="00D2231A" w:rsidRPr="007975C0" w:rsidRDefault="00D2231A" w:rsidP="00AC0818">
      <w:pPr>
        <w:pStyle w:val="ListParagraph"/>
        <w:numPr>
          <w:ilvl w:val="0"/>
          <w:numId w:val="30"/>
        </w:numPr>
        <w:rPr>
          <w:rFonts w:cstheme="majorHAnsi"/>
        </w:rPr>
      </w:pPr>
      <w:r w:rsidRPr="007975C0">
        <w:rPr>
          <w:rFonts w:cstheme="majorHAnsi"/>
        </w:rPr>
        <w:t xml:space="preserve">Is the program theory of change still relevant and appropriate? </w:t>
      </w:r>
    </w:p>
    <w:p w14:paraId="67E2F519" w14:textId="77777777" w:rsidR="00D2231A" w:rsidRPr="007975C0" w:rsidRDefault="00D2231A" w:rsidP="00D2231A">
      <w:pPr>
        <w:rPr>
          <w:rFonts w:cstheme="majorHAnsi"/>
          <w:i/>
          <w:u w:val="single"/>
        </w:rPr>
      </w:pPr>
      <w:r w:rsidRPr="007975C0">
        <w:rPr>
          <w:rFonts w:cstheme="majorHAnsi"/>
          <w:i/>
          <w:u w:val="single"/>
        </w:rPr>
        <w:t xml:space="preserve">Effectiveness </w:t>
      </w:r>
    </w:p>
    <w:p w14:paraId="08E1BF3D" w14:textId="77777777" w:rsidR="00D2231A" w:rsidRPr="007975C0" w:rsidRDefault="00D2231A" w:rsidP="00AC0818">
      <w:pPr>
        <w:pStyle w:val="ListParagraph"/>
        <w:numPr>
          <w:ilvl w:val="0"/>
          <w:numId w:val="29"/>
        </w:numPr>
        <w:spacing w:after="120"/>
        <w:ind w:left="714" w:hanging="357"/>
        <w:contextualSpacing w:val="0"/>
        <w:rPr>
          <w:rFonts w:cstheme="majorHAnsi"/>
        </w:rPr>
      </w:pPr>
      <w:r w:rsidRPr="007975C0">
        <w:rPr>
          <w:rFonts w:cstheme="majorHAnsi"/>
        </w:rPr>
        <w:t>To what extent and in what ways is THSSP2 achieving progress against defined program targets as set out in the design document?</w:t>
      </w:r>
    </w:p>
    <w:p w14:paraId="57724400" w14:textId="77777777" w:rsidR="00D2231A" w:rsidRPr="007975C0" w:rsidRDefault="00D2231A" w:rsidP="00AC0818">
      <w:pPr>
        <w:pStyle w:val="ListParagraph"/>
        <w:numPr>
          <w:ilvl w:val="0"/>
          <w:numId w:val="29"/>
        </w:numPr>
        <w:spacing w:after="120"/>
        <w:ind w:left="714" w:hanging="357"/>
        <w:contextualSpacing w:val="0"/>
        <w:rPr>
          <w:rFonts w:cstheme="majorHAnsi"/>
        </w:rPr>
      </w:pPr>
      <w:r w:rsidRPr="007975C0">
        <w:rPr>
          <w:rFonts w:cstheme="majorHAnsi"/>
        </w:rPr>
        <w:t>Are the necessary components for the implementation of an effective health sector program (e.g. a platform for high-level policy dialogue, quality annual management plans, integrated budgets and systems for MoH and THSSP2 funds) in place? If not, why not and how is this affecting the program?</w:t>
      </w:r>
    </w:p>
    <w:p w14:paraId="55A7A0B8" w14:textId="77777777" w:rsidR="00D2231A" w:rsidRPr="007975C0" w:rsidRDefault="00D2231A" w:rsidP="00AC0818">
      <w:pPr>
        <w:pStyle w:val="ListParagraph"/>
        <w:numPr>
          <w:ilvl w:val="0"/>
          <w:numId w:val="29"/>
        </w:numPr>
        <w:spacing w:after="120"/>
        <w:ind w:left="714" w:hanging="357"/>
        <w:contextualSpacing w:val="0"/>
        <w:rPr>
          <w:rFonts w:cstheme="majorHAnsi"/>
        </w:rPr>
      </w:pPr>
      <w:r w:rsidRPr="007975C0">
        <w:rPr>
          <w:rFonts w:eastAsia="Times New Roman" w:cstheme="majorHAnsi"/>
          <w:lang w:eastAsia="en-AU"/>
        </w:rPr>
        <w:t>What factors are influencing the achievement or non-achievement of the targets?</w:t>
      </w:r>
    </w:p>
    <w:p w14:paraId="1ACDA231" w14:textId="77777777" w:rsidR="00D2231A" w:rsidRPr="007975C0" w:rsidRDefault="00D2231A" w:rsidP="00AC0818">
      <w:pPr>
        <w:pStyle w:val="ListParagraph"/>
        <w:numPr>
          <w:ilvl w:val="0"/>
          <w:numId w:val="29"/>
        </w:numPr>
        <w:spacing w:line="252" w:lineRule="auto"/>
        <w:rPr>
          <w:rFonts w:cstheme="majorHAnsi"/>
        </w:rPr>
      </w:pPr>
      <w:r w:rsidRPr="007975C0">
        <w:rPr>
          <w:rFonts w:cstheme="majorHAnsi"/>
        </w:rPr>
        <w:t>To what extent do the performance-based incentives drive overall performance?</w:t>
      </w:r>
    </w:p>
    <w:p w14:paraId="5DD3E221" w14:textId="77777777" w:rsidR="00D2231A" w:rsidRPr="007975C0" w:rsidRDefault="00D2231A" w:rsidP="00D2231A">
      <w:pPr>
        <w:pStyle w:val="ListParagraph"/>
        <w:spacing w:after="0"/>
        <w:ind w:left="714"/>
        <w:rPr>
          <w:rFonts w:cstheme="majorHAnsi"/>
        </w:rPr>
      </w:pPr>
    </w:p>
    <w:p w14:paraId="2496EBE6" w14:textId="77777777" w:rsidR="00D2231A" w:rsidRPr="007975C0" w:rsidRDefault="00D2231A" w:rsidP="00D2231A">
      <w:pPr>
        <w:rPr>
          <w:rFonts w:cstheme="majorHAnsi"/>
          <w:i/>
          <w:u w:val="single"/>
        </w:rPr>
      </w:pPr>
      <w:r w:rsidRPr="007975C0">
        <w:rPr>
          <w:rFonts w:cstheme="majorHAnsi"/>
          <w:i/>
          <w:u w:val="single"/>
        </w:rPr>
        <w:t xml:space="preserve">Efficiency </w:t>
      </w:r>
    </w:p>
    <w:p w14:paraId="4CE49D36" w14:textId="77777777" w:rsidR="00D2231A" w:rsidRPr="007975C0" w:rsidRDefault="00D2231A" w:rsidP="00AC0818">
      <w:pPr>
        <w:pStyle w:val="ListParagraph"/>
        <w:numPr>
          <w:ilvl w:val="0"/>
          <w:numId w:val="29"/>
        </w:numPr>
        <w:spacing w:after="120"/>
        <w:ind w:left="714" w:hanging="357"/>
        <w:contextualSpacing w:val="0"/>
        <w:rPr>
          <w:rFonts w:cstheme="majorHAnsi"/>
        </w:rPr>
      </w:pPr>
      <w:r w:rsidRPr="007975C0">
        <w:rPr>
          <w:rFonts w:cstheme="majorHAnsi"/>
        </w:rPr>
        <w:t>Is the investment making appropriate use of resources to achieve targets?</w:t>
      </w:r>
    </w:p>
    <w:p w14:paraId="79700578" w14:textId="77777777" w:rsidR="00D2231A" w:rsidRPr="007975C0" w:rsidRDefault="00D2231A" w:rsidP="00AC0818">
      <w:pPr>
        <w:pStyle w:val="ListParagraph"/>
        <w:numPr>
          <w:ilvl w:val="0"/>
          <w:numId w:val="29"/>
        </w:numPr>
        <w:spacing w:after="120"/>
        <w:ind w:left="714" w:hanging="357"/>
        <w:contextualSpacing w:val="0"/>
        <w:rPr>
          <w:rFonts w:cstheme="majorHAnsi"/>
        </w:rPr>
      </w:pPr>
      <w:r w:rsidRPr="007975C0">
        <w:rPr>
          <w:rFonts w:cstheme="majorHAnsi"/>
        </w:rPr>
        <w:t>Is program governance, donor coordination and management appropriate for achieving the program targets?</w:t>
      </w:r>
    </w:p>
    <w:p w14:paraId="598EB92A" w14:textId="77777777" w:rsidR="00D2231A" w:rsidRPr="007975C0" w:rsidRDefault="00D2231A" w:rsidP="00AC0818">
      <w:pPr>
        <w:pStyle w:val="ListParagraph"/>
        <w:numPr>
          <w:ilvl w:val="0"/>
          <w:numId w:val="29"/>
        </w:numPr>
        <w:spacing w:after="120"/>
        <w:ind w:left="714" w:hanging="357"/>
        <w:contextualSpacing w:val="0"/>
        <w:rPr>
          <w:rFonts w:cstheme="majorHAnsi"/>
        </w:rPr>
      </w:pPr>
      <w:r w:rsidRPr="007975C0">
        <w:rPr>
          <w:rFonts w:cstheme="majorHAnsi"/>
        </w:rPr>
        <w:t>Is the Monitoring and Evaluation system fit for purpose and generating information which is being used by management for decision-making, learning and accountability purposes?</w:t>
      </w:r>
    </w:p>
    <w:p w14:paraId="536261BD" w14:textId="77777777" w:rsidR="00D2231A" w:rsidRPr="007975C0" w:rsidRDefault="00D2231A" w:rsidP="00D2231A">
      <w:pPr>
        <w:rPr>
          <w:rFonts w:cstheme="majorHAnsi"/>
          <w:i/>
          <w:u w:val="single"/>
        </w:rPr>
      </w:pPr>
      <w:r w:rsidRPr="007975C0">
        <w:rPr>
          <w:rFonts w:cstheme="majorHAnsi"/>
          <w:i/>
          <w:u w:val="single"/>
        </w:rPr>
        <w:t>Impact</w:t>
      </w:r>
    </w:p>
    <w:p w14:paraId="004C7591" w14:textId="77777777" w:rsidR="00D2231A" w:rsidRPr="007975C0" w:rsidRDefault="00D2231A" w:rsidP="00AC0818">
      <w:pPr>
        <w:pStyle w:val="ListParagraph"/>
        <w:numPr>
          <w:ilvl w:val="0"/>
          <w:numId w:val="29"/>
        </w:numPr>
        <w:spacing w:after="120"/>
        <w:ind w:left="714" w:hanging="357"/>
        <w:contextualSpacing w:val="0"/>
        <w:rPr>
          <w:rFonts w:eastAsia="Times New Roman" w:cstheme="majorHAnsi"/>
          <w:lang w:eastAsia="en-AU"/>
        </w:rPr>
      </w:pPr>
      <w:r w:rsidRPr="007975C0">
        <w:rPr>
          <w:rFonts w:eastAsia="Times New Roman" w:cstheme="majorHAnsi"/>
          <w:lang w:eastAsia="en-AU"/>
        </w:rPr>
        <w:t xml:space="preserve">Is there evidence of the program contributing to improved health status of the target population, including for women, people with disability and those living in outer islands? </w:t>
      </w:r>
    </w:p>
    <w:p w14:paraId="1046F05B" w14:textId="77777777" w:rsidR="00D2231A" w:rsidRPr="007975C0" w:rsidRDefault="00D2231A" w:rsidP="00AC0818">
      <w:pPr>
        <w:pStyle w:val="ListParagraph"/>
        <w:numPr>
          <w:ilvl w:val="0"/>
          <w:numId w:val="29"/>
        </w:numPr>
        <w:spacing w:after="120"/>
        <w:ind w:left="714" w:hanging="357"/>
        <w:contextualSpacing w:val="0"/>
        <w:rPr>
          <w:rFonts w:eastAsia="Times New Roman" w:cstheme="majorHAnsi"/>
          <w:lang w:eastAsia="en-AU"/>
        </w:rPr>
      </w:pPr>
      <w:r w:rsidRPr="007975C0">
        <w:rPr>
          <w:rFonts w:eastAsia="Times New Roman" w:cstheme="majorHAnsi"/>
          <w:lang w:eastAsia="en-AU"/>
        </w:rPr>
        <w:t>Are there any unintended consequences of program activities?</w:t>
      </w:r>
    </w:p>
    <w:p w14:paraId="0C7F7AC7" w14:textId="77777777" w:rsidR="00D2231A" w:rsidRPr="007975C0" w:rsidRDefault="00D2231A" w:rsidP="00D2231A">
      <w:pPr>
        <w:rPr>
          <w:rFonts w:cstheme="majorHAnsi"/>
          <w:i/>
          <w:u w:val="single"/>
        </w:rPr>
      </w:pPr>
      <w:r w:rsidRPr="007975C0">
        <w:rPr>
          <w:rFonts w:cstheme="majorHAnsi"/>
          <w:i/>
          <w:u w:val="single"/>
        </w:rPr>
        <w:t>Sustainability</w:t>
      </w:r>
    </w:p>
    <w:p w14:paraId="1195CA1E" w14:textId="77777777" w:rsidR="00D2231A" w:rsidRPr="007975C0" w:rsidRDefault="00D2231A" w:rsidP="00AC0818">
      <w:pPr>
        <w:pStyle w:val="ListParagraph"/>
        <w:numPr>
          <w:ilvl w:val="0"/>
          <w:numId w:val="29"/>
        </w:numPr>
        <w:spacing w:after="240" w:line="240" w:lineRule="auto"/>
        <w:contextualSpacing w:val="0"/>
        <w:jc w:val="both"/>
        <w:rPr>
          <w:rFonts w:cstheme="majorHAnsi"/>
        </w:rPr>
      </w:pPr>
      <w:r w:rsidRPr="007975C0">
        <w:rPr>
          <w:rFonts w:cstheme="majorHAnsi"/>
        </w:rPr>
        <w:t>Will any benefits of the investments be sustained beyond the life of Australian investment? Which factors constrain/facilitate sustainability?</w:t>
      </w:r>
    </w:p>
    <w:p w14:paraId="3A7791CF" w14:textId="77777777" w:rsidR="005D2D39" w:rsidRDefault="005D2D39">
      <w:pPr>
        <w:rPr>
          <w:rFonts w:cstheme="majorHAnsi"/>
          <w:i/>
          <w:u w:val="single"/>
        </w:rPr>
      </w:pPr>
      <w:r>
        <w:rPr>
          <w:rFonts w:cstheme="majorHAnsi"/>
          <w:i/>
          <w:u w:val="single"/>
        </w:rPr>
        <w:br w:type="page"/>
      </w:r>
    </w:p>
    <w:p w14:paraId="182184FB" w14:textId="77777777" w:rsidR="00D2231A" w:rsidRPr="007975C0" w:rsidRDefault="00D2231A" w:rsidP="00D2231A">
      <w:pPr>
        <w:spacing w:line="240" w:lineRule="auto"/>
        <w:rPr>
          <w:rFonts w:cstheme="majorHAnsi"/>
          <w:i/>
          <w:u w:val="single"/>
        </w:rPr>
      </w:pPr>
      <w:r w:rsidRPr="007975C0">
        <w:rPr>
          <w:rFonts w:cstheme="majorHAnsi"/>
          <w:i/>
          <w:u w:val="single"/>
        </w:rPr>
        <w:lastRenderedPageBreak/>
        <w:t>Cross Cutting Issues</w:t>
      </w:r>
    </w:p>
    <w:p w14:paraId="58F74183" w14:textId="77777777" w:rsidR="00D2231A" w:rsidRPr="007975C0" w:rsidRDefault="00D2231A" w:rsidP="00AC0818">
      <w:pPr>
        <w:pStyle w:val="ListParagraph"/>
        <w:numPr>
          <w:ilvl w:val="0"/>
          <w:numId w:val="29"/>
        </w:numPr>
        <w:spacing w:after="120" w:line="240" w:lineRule="auto"/>
        <w:ind w:left="714" w:hanging="357"/>
        <w:contextualSpacing w:val="0"/>
        <w:rPr>
          <w:rFonts w:cstheme="majorHAnsi"/>
        </w:rPr>
      </w:pPr>
      <w:r w:rsidRPr="007975C0">
        <w:rPr>
          <w:rFonts w:cstheme="majorHAnsi"/>
        </w:rPr>
        <w:t xml:space="preserve">Do program planning, implementation and governance processes include meaningful opportunities for the involvement and consideration of women, people with disability and currently underserved groups? </w:t>
      </w:r>
    </w:p>
    <w:p w14:paraId="20991E80" w14:textId="77777777" w:rsidR="00D2231A" w:rsidRPr="007975C0" w:rsidRDefault="00D2231A" w:rsidP="00AC0818">
      <w:pPr>
        <w:pStyle w:val="ListParagraph"/>
        <w:numPr>
          <w:ilvl w:val="0"/>
          <w:numId w:val="29"/>
        </w:numPr>
        <w:spacing w:after="120" w:line="240" w:lineRule="auto"/>
        <w:ind w:left="714" w:hanging="357"/>
        <w:contextualSpacing w:val="0"/>
        <w:rPr>
          <w:rFonts w:cstheme="majorHAnsi"/>
        </w:rPr>
      </w:pPr>
      <w:r w:rsidRPr="007975C0">
        <w:rPr>
          <w:rFonts w:cstheme="majorHAnsi"/>
        </w:rPr>
        <w:t>Are women, the disabled and disadvantaged benefiting from project activities proportionate to their need?</w:t>
      </w:r>
    </w:p>
    <w:p w14:paraId="2D33DB29" w14:textId="77777777" w:rsidR="00D2231A" w:rsidRDefault="00D2231A" w:rsidP="00AC0818">
      <w:pPr>
        <w:pStyle w:val="ListParagraph"/>
        <w:numPr>
          <w:ilvl w:val="0"/>
          <w:numId w:val="29"/>
        </w:numPr>
        <w:spacing w:after="120" w:line="240" w:lineRule="auto"/>
        <w:ind w:left="714" w:hanging="357"/>
        <w:contextualSpacing w:val="0"/>
        <w:rPr>
          <w:rFonts w:cstheme="majorHAnsi"/>
        </w:rPr>
      </w:pPr>
      <w:r w:rsidRPr="007975C0">
        <w:rPr>
          <w:rFonts w:cstheme="majorHAnsi"/>
        </w:rPr>
        <w:t>Does the program adequately identify and respond to current and emerging risks to health due to climate change?  What more could future support do?</w:t>
      </w:r>
    </w:p>
    <w:p w14:paraId="396B7263" w14:textId="77777777" w:rsidR="00D2231A" w:rsidRPr="007975C0" w:rsidRDefault="00D2231A" w:rsidP="00D2231A">
      <w:pPr>
        <w:rPr>
          <w:rFonts w:cstheme="majorHAnsi"/>
        </w:rPr>
      </w:pPr>
      <w:r w:rsidRPr="007975C0">
        <w:rPr>
          <w:rFonts w:cstheme="majorHAnsi"/>
        </w:rPr>
        <w:t>Priority areas in which to focus these questions include:</w:t>
      </w:r>
    </w:p>
    <w:p w14:paraId="6A10062C" w14:textId="77777777" w:rsidR="00D2231A" w:rsidRPr="007975C0" w:rsidRDefault="00D2231A" w:rsidP="00AC0818">
      <w:pPr>
        <w:pStyle w:val="ListParagraph"/>
        <w:numPr>
          <w:ilvl w:val="0"/>
          <w:numId w:val="18"/>
        </w:numPr>
        <w:spacing w:after="120"/>
        <w:contextualSpacing w:val="0"/>
        <w:rPr>
          <w:rFonts w:cstheme="majorHAnsi"/>
        </w:rPr>
      </w:pPr>
      <w:r w:rsidRPr="007975C0">
        <w:rPr>
          <w:rFonts w:cstheme="majorHAnsi"/>
          <w:u w:val="single"/>
        </w:rPr>
        <w:t>Planning and budgeting</w:t>
      </w:r>
      <w:r w:rsidRPr="007975C0">
        <w:rPr>
          <w:rFonts w:cstheme="majorHAnsi"/>
        </w:rPr>
        <w:t xml:space="preserve"> (including influencing health expenditure policy, finance and accounting processes);</w:t>
      </w:r>
    </w:p>
    <w:p w14:paraId="03C9A765" w14:textId="77777777" w:rsidR="00D2231A" w:rsidRPr="007975C0" w:rsidRDefault="00D2231A" w:rsidP="00AC0818">
      <w:pPr>
        <w:pStyle w:val="ListParagraph"/>
        <w:numPr>
          <w:ilvl w:val="0"/>
          <w:numId w:val="18"/>
        </w:numPr>
        <w:spacing w:after="120"/>
        <w:contextualSpacing w:val="0"/>
        <w:rPr>
          <w:rFonts w:cstheme="majorHAnsi"/>
        </w:rPr>
      </w:pPr>
      <w:r w:rsidRPr="007975C0">
        <w:rPr>
          <w:rFonts w:cstheme="majorHAnsi"/>
          <w:u w:val="single"/>
        </w:rPr>
        <w:t>Governance</w:t>
      </w:r>
      <w:r w:rsidRPr="007975C0">
        <w:rPr>
          <w:rFonts w:cstheme="majorHAnsi"/>
        </w:rPr>
        <w:t>, strategic planning, process efficiency, linkages with other donor and DFAT regional programs,  and decision making (within both GoT and DFAT systems);</w:t>
      </w:r>
    </w:p>
    <w:p w14:paraId="6A278643" w14:textId="77777777" w:rsidR="00D2231A" w:rsidRPr="007975C0" w:rsidRDefault="00D2231A" w:rsidP="00AC0818">
      <w:pPr>
        <w:pStyle w:val="ListParagraph"/>
        <w:numPr>
          <w:ilvl w:val="0"/>
          <w:numId w:val="18"/>
        </w:numPr>
        <w:spacing w:after="120"/>
        <w:contextualSpacing w:val="0"/>
        <w:rPr>
          <w:rFonts w:cstheme="majorHAnsi"/>
        </w:rPr>
      </w:pPr>
      <w:r w:rsidRPr="007975C0">
        <w:rPr>
          <w:rFonts w:cstheme="majorHAnsi"/>
          <w:u w:val="single"/>
        </w:rPr>
        <w:t xml:space="preserve">Primary care service delivery </w:t>
      </w:r>
      <w:r w:rsidRPr="007975C0">
        <w:rPr>
          <w:rFonts w:cstheme="majorHAnsi"/>
        </w:rPr>
        <w:t>including early detection and management of NCDs, procurement and stock/asset management;</w:t>
      </w:r>
    </w:p>
    <w:p w14:paraId="09569781" w14:textId="77777777" w:rsidR="00D2231A" w:rsidRPr="007975C0" w:rsidRDefault="00D2231A" w:rsidP="00AC0818">
      <w:pPr>
        <w:pStyle w:val="ListParagraph"/>
        <w:numPr>
          <w:ilvl w:val="0"/>
          <w:numId w:val="18"/>
        </w:numPr>
        <w:spacing w:after="120"/>
        <w:contextualSpacing w:val="0"/>
        <w:rPr>
          <w:rFonts w:cstheme="majorHAnsi"/>
        </w:rPr>
      </w:pPr>
      <w:r w:rsidRPr="007975C0">
        <w:rPr>
          <w:rFonts w:cstheme="majorHAnsi"/>
          <w:u w:val="single"/>
        </w:rPr>
        <w:t>NCDs</w:t>
      </w:r>
      <w:r w:rsidRPr="007975C0">
        <w:rPr>
          <w:rFonts w:cstheme="majorHAnsi"/>
        </w:rPr>
        <w:t xml:space="preserve"> prevention and health promotion activities provided by both MoH and TongaHealth (as informed by the NCD Strategy review);</w:t>
      </w:r>
    </w:p>
    <w:p w14:paraId="59FED733" w14:textId="77777777" w:rsidR="00D2231A" w:rsidRPr="007975C0" w:rsidRDefault="00D2231A" w:rsidP="00AC0818">
      <w:pPr>
        <w:pStyle w:val="ListParagraph"/>
        <w:numPr>
          <w:ilvl w:val="0"/>
          <w:numId w:val="18"/>
        </w:numPr>
        <w:spacing w:after="120"/>
        <w:contextualSpacing w:val="0"/>
        <w:rPr>
          <w:rFonts w:cstheme="majorHAnsi"/>
        </w:rPr>
      </w:pPr>
      <w:r w:rsidRPr="007975C0">
        <w:rPr>
          <w:rFonts w:cstheme="majorHAnsi"/>
          <w:u w:val="single"/>
        </w:rPr>
        <w:t>Monitoring</w:t>
      </w:r>
      <w:r w:rsidRPr="007975C0">
        <w:rPr>
          <w:rFonts w:cstheme="majorHAnsi"/>
        </w:rPr>
        <w:t xml:space="preserve"> including National Health Indicators, Monitoring and evaluation framework and performance based funding;</w:t>
      </w:r>
    </w:p>
    <w:p w14:paraId="2092A73B" w14:textId="77777777" w:rsidR="00D2231A" w:rsidRDefault="00D2231A" w:rsidP="00AC0818">
      <w:pPr>
        <w:pStyle w:val="ListParagraph"/>
        <w:numPr>
          <w:ilvl w:val="0"/>
          <w:numId w:val="18"/>
        </w:numPr>
        <w:spacing w:after="120"/>
        <w:contextualSpacing w:val="0"/>
        <w:rPr>
          <w:rFonts w:cstheme="majorHAnsi"/>
        </w:rPr>
      </w:pPr>
      <w:r w:rsidRPr="007975C0">
        <w:rPr>
          <w:rFonts w:cstheme="majorHAnsi"/>
          <w:u w:val="single"/>
        </w:rPr>
        <w:t>Capacity development</w:t>
      </w:r>
      <w:r w:rsidRPr="007975C0">
        <w:rPr>
          <w:rFonts w:cstheme="majorHAnsi"/>
        </w:rPr>
        <w:t>, including technical assistance</w:t>
      </w:r>
      <w:r>
        <w:rPr>
          <w:rFonts w:cstheme="majorHAnsi"/>
        </w:rPr>
        <w:t>.</w:t>
      </w:r>
    </w:p>
    <w:p w14:paraId="352644E5" w14:textId="77777777" w:rsidR="00D2231A" w:rsidRPr="007975C0" w:rsidRDefault="00D2231A" w:rsidP="00C44750">
      <w:pPr>
        <w:pStyle w:val="ListParagraph"/>
        <w:spacing w:after="0"/>
        <w:rPr>
          <w:rFonts w:cstheme="majorHAnsi"/>
        </w:rPr>
      </w:pPr>
    </w:p>
    <w:p w14:paraId="182DE374" w14:textId="77777777" w:rsidR="00D2231A" w:rsidRPr="007975C0" w:rsidRDefault="00D2231A" w:rsidP="00D2231A">
      <w:pPr>
        <w:spacing w:after="0" w:line="240" w:lineRule="auto"/>
        <w:contextualSpacing/>
        <w:rPr>
          <w:rFonts w:eastAsia="Times New Roman" w:cstheme="majorHAnsi"/>
          <w:lang w:eastAsia="en-AU"/>
        </w:rPr>
      </w:pPr>
      <w:bookmarkStart w:id="80" w:name="_Toc227910810"/>
      <w:bookmarkStart w:id="81" w:name="_Toc227997090"/>
      <w:r w:rsidRPr="007975C0">
        <w:rPr>
          <w:rFonts w:eastAsia="Times New Roman" w:cstheme="majorHAnsi"/>
          <w:b/>
          <w:lang w:eastAsia="en-AU"/>
        </w:rPr>
        <w:t>Review Team</w:t>
      </w:r>
    </w:p>
    <w:p w14:paraId="337B9FF3" w14:textId="77777777" w:rsidR="00D2231A" w:rsidRPr="007975C0" w:rsidRDefault="00D2231A" w:rsidP="00D2231A">
      <w:pPr>
        <w:pStyle w:val="ListParagraph"/>
        <w:spacing w:after="0" w:line="240" w:lineRule="auto"/>
        <w:rPr>
          <w:rFonts w:eastAsia="Times New Roman" w:cstheme="majorHAnsi"/>
          <w:lang w:eastAsia="en-AU"/>
        </w:rPr>
      </w:pPr>
    </w:p>
    <w:p w14:paraId="28B3F9B5" w14:textId="77777777" w:rsidR="00D2231A" w:rsidRPr="007975C0" w:rsidRDefault="00D2231A" w:rsidP="00D2231A">
      <w:pPr>
        <w:spacing w:line="240" w:lineRule="auto"/>
        <w:rPr>
          <w:rFonts w:eastAsia="Times New Roman" w:cstheme="majorHAnsi"/>
          <w:lang w:eastAsia="en-AU"/>
        </w:rPr>
      </w:pPr>
      <w:r w:rsidRPr="007975C0">
        <w:rPr>
          <w:rFonts w:eastAsia="Times New Roman" w:cstheme="majorHAnsi"/>
          <w:lang w:eastAsia="en-AU"/>
        </w:rPr>
        <w:t>The review team will comprise three members covering the following expertise:</w:t>
      </w:r>
    </w:p>
    <w:p w14:paraId="1B7F52B9" w14:textId="77777777" w:rsidR="00D2231A" w:rsidRPr="007975C0" w:rsidRDefault="00D2231A" w:rsidP="00AC0818">
      <w:pPr>
        <w:pStyle w:val="ListParagraph"/>
        <w:numPr>
          <w:ilvl w:val="0"/>
          <w:numId w:val="31"/>
        </w:numPr>
        <w:spacing w:after="120" w:line="240" w:lineRule="auto"/>
        <w:ind w:left="714" w:hanging="357"/>
        <w:contextualSpacing w:val="0"/>
        <w:rPr>
          <w:rFonts w:eastAsia="Times New Roman" w:cstheme="majorHAnsi"/>
          <w:lang w:eastAsia="en-AU"/>
        </w:rPr>
      </w:pPr>
      <w:r w:rsidRPr="007975C0">
        <w:rPr>
          <w:rFonts w:eastAsia="Times New Roman" w:cstheme="majorHAnsi"/>
          <w:lang w:eastAsia="en-AU"/>
        </w:rPr>
        <w:t>Team Leadership/representation/negotiation/political acumen;</w:t>
      </w:r>
    </w:p>
    <w:p w14:paraId="7E953EFF" w14:textId="77777777" w:rsidR="00D2231A" w:rsidRPr="007975C0" w:rsidRDefault="00D2231A" w:rsidP="00AC0818">
      <w:pPr>
        <w:pStyle w:val="ListParagraph"/>
        <w:numPr>
          <w:ilvl w:val="0"/>
          <w:numId w:val="31"/>
        </w:numPr>
        <w:spacing w:after="120" w:line="240" w:lineRule="auto"/>
        <w:ind w:left="714" w:hanging="357"/>
        <w:contextualSpacing w:val="0"/>
        <w:rPr>
          <w:rFonts w:eastAsia="Times New Roman" w:cstheme="majorHAnsi"/>
          <w:lang w:eastAsia="en-AU"/>
        </w:rPr>
      </w:pPr>
      <w:r w:rsidRPr="007975C0">
        <w:rPr>
          <w:rFonts w:eastAsia="Times New Roman" w:cstheme="majorHAnsi"/>
          <w:lang w:eastAsia="en-AU"/>
        </w:rPr>
        <w:t>Health systems strengthening including governance, supply chain, and working in partner government systems preferably in the Pacific;</w:t>
      </w:r>
    </w:p>
    <w:p w14:paraId="3E9EBAE4" w14:textId="77777777" w:rsidR="00D2231A" w:rsidRPr="007975C0" w:rsidRDefault="00D2231A" w:rsidP="00AC0818">
      <w:pPr>
        <w:pStyle w:val="ListParagraph"/>
        <w:numPr>
          <w:ilvl w:val="0"/>
          <w:numId w:val="31"/>
        </w:numPr>
        <w:spacing w:after="120" w:line="240" w:lineRule="auto"/>
        <w:ind w:left="714" w:hanging="357"/>
        <w:contextualSpacing w:val="0"/>
        <w:rPr>
          <w:rFonts w:eastAsia="Times New Roman" w:cstheme="majorHAnsi"/>
          <w:lang w:eastAsia="en-AU"/>
        </w:rPr>
      </w:pPr>
      <w:r w:rsidRPr="007975C0">
        <w:rPr>
          <w:rFonts w:eastAsia="Times New Roman" w:cstheme="majorHAnsi"/>
          <w:lang w:eastAsia="en-AU"/>
        </w:rPr>
        <w:t xml:space="preserve">Capacity development approaches at an institutional, organisational and individual level, including technical assistance; </w:t>
      </w:r>
    </w:p>
    <w:p w14:paraId="6A749936" w14:textId="77777777" w:rsidR="00D2231A" w:rsidRPr="007975C0" w:rsidRDefault="00D2231A" w:rsidP="00AC0818">
      <w:pPr>
        <w:pStyle w:val="ListParagraph"/>
        <w:numPr>
          <w:ilvl w:val="0"/>
          <w:numId w:val="31"/>
        </w:numPr>
        <w:spacing w:after="120" w:line="240" w:lineRule="auto"/>
        <w:ind w:left="714" w:hanging="357"/>
        <w:contextualSpacing w:val="0"/>
        <w:rPr>
          <w:rFonts w:eastAsia="Times New Roman" w:cstheme="majorHAnsi"/>
          <w:lang w:eastAsia="en-AU"/>
        </w:rPr>
      </w:pPr>
      <w:r w:rsidRPr="007975C0">
        <w:rPr>
          <w:rFonts w:eastAsia="Times New Roman" w:cstheme="majorHAnsi"/>
          <w:lang w:eastAsia="en-AU"/>
        </w:rPr>
        <w:t>Health financing, including sector budget support, pool funds, and performance based funding approaches;</w:t>
      </w:r>
    </w:p>
    <w:p w14:paraId="1626AB66" w14:textId="77777777" w:rsidR="00D2231A" w:rsidRPr="007975C0" w:rsidRDefault="00D2231A" w:rsidP="00AC0818">
      <w:pPr>
        <w:pStyle w:val="ListParagraph"/>
        <w:numPr>
          <w:ilvl w:val="0"/>
          <w:numId w:val="31"/>
        </w:numPr>
        <w:spacing w:after="120" w:line="240" w:lineRule="auto"/>
        <w:ind w:left="714" w:hanging="357"/>
        <w:contextualSpacing w:val="0"/>
        <w:rPr>
          <w:rFonts w:eastAsia="Times New Roman" w:cstheme="majorHAnsi"/>
          <w:lang w:eastAsia="en-AU"/>
        </w:rPr>
      </w:pPr>
      <w:r w:rsidRPr="007975C0">
        <w:rPr>
          <w:rFonts w:eastAsia="Times New Roman" w:cstheme="majorHAnsi"/>
          <w:lang w:eastAsia="en-AU"/>
        </w:rPr>
        <w:t>Monitoring and evaluation including theory of change, indicator and target setting and performance based funding approaches;</w:t>
      </w:r>
    </w:p>
    <w:p w14:paraId="648A286B" w14:textId="77777777" w:rsidR="00D2231A" w:rsidRPr="007975C0" w:rsidRDefault="00D2231A" w:rsidP="00AC0818">
      <w:pPr>
        <w:pStyle w:val="ListParagraph"/>
        <w:numPr>
          <w:ilvl w:val="0"/>
          <w:numId w:val="31"/>
        </w:numPr>
        <w:spacing w:after="120" w:line="240" w:lineRule="auto"/>
        <w:ind w:left="714" w:hanging="357"/>
        <w:contextualSpacing w:val="0"/>
        <w:rPr>
          <w:rFonts w:eastAsia="Times New Roman" w:cstheme="majorHAnsi"/>
          <w:lang w:eastAsia="en-AU"/>
        </w:rPr>
      </w:pPr>
      <w:r w:rsidRPr="007975C0">
        <w:rPr>
          <w:rFonts w:eastAsia="Times New Roman" w:cstheme="majorHAnsi"/>
          <w:lang w:eastAsia="en-AU"/>
        </w:rPr>
        <w:t>Primary care service delivery including planning, quality, accessibility, and monitoring with a particular focus on NCD detection and management.</w:t>
      </w:r>
    </w:p>
    <w:p w14:paraId="233D6BD6" w14:textId="77777777" w:rsidR="00D2231A" w:rsidRPr="007975C0" w:rsidRDefault="00D2231A" w:rsidP="00AC0818">
      <w:pPr>
        <w:pStyle w:val="ListParagraph"/>
        <w:numPr>
          <w:ilvl w:val="0"/>
          <w:numId w:val="31"/>
        </w:numPr>
        <w:spacing w:after="0" w:line="240" w:lineRule="auto"/>
        <w:ind w:left="714" w:hanging="357"/>
        <w:contextualSpacing w:val="0"/>
        <w:rPr>
          <w:rFonts w:eastAsia="Times New Roman" w:cstheme="majorHAnsi"/>
          <w:lang w:eastAsia="en-AU"/>
        </w:rPr>
      </w:pPr>
      <w:r w:rsidRPr="007975C0">
        <w:rPr>
          <w:rFonts w:eastAsia="Times New Roman" w:cstheme="majorHAnsi"/>
          <w:lang w:eastAsia="en-AU"/>
        </w:rPr>
        <w:t>Gender equality, disability and social inclusion strategies and measurement.</w:t>
      </w:r>
    </w:p>
    <w:p w14:paraId="065EB7DA" w14:textId="77777777" w:rsidR="00D2231A" w:rsidRPr="007975C0" w:rsidRDefault="00D2231A" w:rsidP="00D2231A">
      <w:pPr>
        <w:pStyle w:val="ListParagraph"/>
        <w:spacing w:after="0" w:line="240" w:lineRule="auto"/>
        <w:ind w:left="714"/>
        <w:rPr>
          <w:rFonts w:eastAsia="Times New Roman" w:cstheme="majorHAnsi"/>
          <w:lang w:eastAsia="en-AU"/>
        </w:rPr>
      </w:pPr>
    </w:p>
    <w:p w14:paraId="7ABFE821" w14:textId="77777777" w:rsidR="00D2231A" w:rsidRPr="007975C0" w:rsidRDefault="00D2231A" w:rsidP="00D2231A">
      <w:pPr>
        <w:spacing w:line="240" w:lineRule="auto"/>
        <w:rPr>
          <w:rFonts w:eastAsia="Times New Roman" w:cstheme="majorHAnsi"/>
          <w:lang w:eastAsia="en-AU"/>
        </w:rPr>
      </w:pPr>
      <w:r w:rsidRPr="007975C0">
        <w:rPr>
          <w:rFonts w:eastAsia="Times New Roman" w:cstheme="majorHAnsi"/>
          <w:lang w:eastAsia="en-AU"/>
        </w:rPr>
        <w:t>This will result in a team with the following configuration:</w:t>
      </w:r>
    </w:p>
    <w:p w14:paraId="2F393433" w14:textId="77777777" w:rsidR="00D2231A" w:rsidRPr="007975C0" w:rsidRDefault="00D2231A" w:rsidP="00D2231A">
      <w:pPr>
        <w:pStyle w:val="ListParagraph"/>
        <w:numPr>
          <w:ilvl w:val="0"/>
          <w:numId w:val="15"/>
        </w:numPr>
        <w:spacing w:after="120" w:line="240" w:lineRule="auto"/>
        <w:rPr>
          <w:rFonts w:eastAsia="Times New Roman" w:cstheme="majorHAnsi"/>
          <w:lang w:eastAsia="en-AU"/>
        </w:rPr>
      </w:pPr>
      <w:r w:rsidRPr="007975C0">
        <w:rPr>
          <w:rFonts w:eastAsia="Times New Roman" w:cstheme="majorHAnsi"/>
          <w:lang w:eastAsia="en-AU"/>
        </w:rPr>
        <w:t xml:space="preserve">Team Leader/Evaluation Specialist; </w:t>
      </w:r>
    </w:p>
    <w:p w14:paraId="409445E5" w14:textId="77777777" w:rsidR="00D2231A" w:rsidRPr="007975C0" w:rsidRDefault="00D2231A" w:rsidP="00D2231A">
      <w:pPr>
        <w:pStyle w:val="ListParagraph"/>
        <w:numPr>
          <w:ilvl w:val="0"/>
          <w:numId w:val="15"/>
        </w:numPr>
        <w:spacing w:after="120" w:line="240" w:lineRule="auto"/>
        <w:rPr>
          <w:rFonts w:eastAsia="Times New Roman" w:cstheme="majorHAnsi"/>
          <w:lang w:eastAsia="en-AU"/>
        </w:rPr>
      </w:pPr>
      <w:r w:rsidRPr="007975C0">
        <w:rPr>
          <w:rFonts w:eastAsia="Times New Roman" w:cstheme="majorHAnsi"/>
          <w:lang w:eastAsia="en-AU"/>
        </w:rPr>
        <w:t xml:space="preserve">A Health Financing Specialist; and </w:t>
      </w:r>
    </w:p>
    <w:p w14:paraId="134A32F8" w14:textId="77777777" w:rsidR="00D2231A" w:rsidRPr="007975C0" w:rsidRDefault="00D2231A" w:rsidP="00D2231A">
      <w:pPr>
        <w:pStyle w:val="ListParagraph"/>
        <w:numPr>
          <w:ilvl w:val="0"/>
          <w:numId w:val="15"/>
        </w:numPr>
        <w:spacing w:after="120" w:line="240" w:lineRule="auto"/>
        <w:rPr>
          <w:rFonts w:eastAsia="Times New Roman" w:cstheme="majorHAnsi"/>
          <w:lang w:eastAsia="en-AU"/>
        </w:rPr>
      </w:pPr>
      <w:r w:rsidRPr="007975C0">
        <w:rPr>
          <w:rFonts w:eastAsia="Times New Roman" w:cstheme="majorHAnsi"/>
          <w:lang w:eastAsia="en-AU"/>
        </w:rPr>
        <w:t>An NCD Service Delivery Specialist.</w:t>
      </w:r>
    </w:p>
    <w:p w14:paraId="2092003B" w14:textId="77777777" w:rsidR="00D2231A" w:rsidRDefault="00D2231A" w:rsidP="00D2231A">
      <w:pPr>
        <w:contextualSpacing/>
        <w:rPr>
          <w:rFonts w:eastAsia="Times New Roman" w:cstheme="majorHAnsi"/>
          <w:b/>
          <w:lang w:eastAsia="en-AU"/>
        </w:rPr>
      </w:pPr>
    </w:p>
    <w:p w14:paraId="1C1F8A63" w14:textId="77777777" w:rsidR="00D2231A" w:rsidRPr="007975C0" w:rsidRDefault="00D2231A" w:rsidP="00D2231A">
      <w:pPr>
        <w:contextualSpacing/>
        <w:rPr>
          <w:rFonts w:eastAsia="Times New Roman" w:cstheme="majorHAnsi"/>
          <w:b/>
          <w:lang w:eastAsia="en-AU"/>
        </w:rPr>
      </w:pPr>
      <w:r w:rsidRPr="007975C0">
        <w:rPr>
          <w:rFonts w:eastAsia="Times New Roman" w:cstheme="majorHAnsi"/>
          <w:b/>
          <w:lang w:eastAsia="en-AU"/>
        </w:rPr>
        <w:t>Roles, responsibilities and requirements of the team</w:t>
      </w:r>
      <w:r w:rsidRPr="007975C0">
        <w:rPr>
          <w:rStyle w:val="FootnoteReference"/>
          <w:rFonts w:eastAsia="Times New Roman" w:cstheme="majorHAnsi"/>
          <w:lang w:eastAsia="en-AU"/>
        </w:rPr>
        <w:footnoteReference w:id="1"/>
      </w:r>
    </w:p>
    <w:p w14:paraId="010CBF3A" w14:textId="77777777" w:rsidR="00D2231A" w:rsidRDefault="00D2231A" w:rsidP="00C44750">
      <w:pPr>
        <w:spacing w:after="0" w:line="240" w:lineRule="auto"/>
        <w:rPr>
          <w:rFonts w:eastAsia="Times New Roman" w:cstheme="majorHAnsi"/>
          <w:lang w:eastAsia="en-AU"/>
        </w:rPr>
      </w:pPr>
      <w:r w:rsidRPr="007975C0">
        <w:rPr>
          <w:rFonts w:eastAsia="Times New Roman" w:cstheme="majorHAnsi"/>
          <w:lang w:eastAsia="en-AU"/>
        </w:rPr>
        <w:t xml:space="preserve"> </w:t>
      </w:r>
    </w:p>
    <w:p w14:paraId="6110BD94" w14:textId="77777777" w:rsidR="00D2231A" w:rsidRPr="007975C0" w:rsidRDefault="00D2231A" w:rsidP="00D2231A">
      <w:pPr>
        <w:spacing w:line="240" w:lineRule="auto"/>
        <w:rPr>
          <w:rFonts w:eastAsia="Times New Roman" w:cstheme="majorHAnsi"/>
          <w:lang w:eastAsia="en-AU"/>
        </w:rPr>
      </w:pPr>
      <w:r w:rsidRPr="007975C0">
        <w:rPr>
          <w:rFonts w:eastAsia="Times New Roman" w:cstheme="majorHAnsi"/>
          <w:u w:val="single"/>
          <w:lang w:eastAsia="en-AU"/>
        </w:rPr>
        <w:t>Team Leader/Evaluation Specialist</w:t>
      </w:r>
    </w:p>
    <w:p w14:paraId="5A45C8BB" w14:textId="77777777" w:rsidR="00D2231A" w:rsidRPr="007975C0" w:rsidRDefault="00D2231A" w:rsidP="00D2231A">
      <w:pPr>
        <w:spacing w:line="240" w:lineRule="auto"/>
        <w:rPr>
          <w:rFonts w:eastAsia="Times New Roman" w:cstheme="majorHAnsi"/>
          <w:i/>
          <w:u w:val="single"/>
          <w:lang w:eastAsia="en-AU"/>
        </w:rPr>
      </w:pPr>
      <w:r w:rsidRPr="007975C0">
        <w:rPr>
          <w:rFonts w:eastAsia="Times New Roman" w:cstheme="majorHAnsi"/>
          <w:i/>
          <w:u w:val="single"/>
          <w:lang w:eastAsia="en-AU"/>
        </w:rPr>
        <w:t>Duties</w:t>
      </w:r>
    </w:p>
    <w:p w14:paraId="42329DCD" w14:textId="77777777" w:rsidR="00D2231A" w:rsidRPr="007975C0" w:rsidRDefault="00D2231A" w:rsidP="00AC0818">
      <w:pPr>
        <w:numPr>
          <w:ilvl w:val="0"/>
          <w:numId w:val="25"/>
        </w:numPr>
        <w:spacing w:after="120" w:line="240" w:lineRule="auto"/>
        <w:ind w:left="714" w:hanging="357"/>
        <w:rPr>
          <w:rFonts w:eastAsia="Times New Roman" w:cstheme="majorHAnsi"/>
          <w:lang w:eastAsia="en-AU"/>
        </w:rPr>
      </w:pPr>
      <w:r w:rsidRPr="007975C0">
        <w:rPr>
          <w:rFonts w:eastAsia="Times New Roman" w:cstheme="majorHAnsi"/>
          <w:lang w:eastAsia="en-AU"/>
        </w:rPr>
        <w:t>plan, guide and develop the overall approach and methodology for the evaluation, including developing and submitting an evaluation plan to DFAT;</w:t>
      </w:r>
    </w:p>
    <w:p w14:paraId="2ADCA295" w14:textId="77777777" w:rsidR="00D2231A" w:rsidRPr="007975C0" w:rsidRDefault="00D2231A" w:rsidP="00AC0818">
      <w:pPr>
        <w:numPr>
          <w:ilvl w:val="0"/>
          <w:numId w:val="25"/>
        </w:numPr>
        <w:spacing w:after="120" w:line="240" w:lineRule="auto"/>
        <w:ind w:left="714" w:hanging="357"/>
        <w:rPr>
          <w:rFonts w:eastAsia="Times New Roman" w:cstheme="majorHAnsi"/>
          <w:lang w:eastAsia="en-AU"/>
        </w:rPr>
      </w:pPr>
      <w:r w:rsidRPr="007975C0">
        <w:rPr>
          <w:rFonts w:eastAsia="Times New Roman" w:cstheme="majorHAnsi"/>
          <w:lang w:eastAsia="en-AU"/>
        </w:rPr>
        <w:t>be responsible for managing and directing the evaluations activities, representing the review team and leading consultations with government officials, other stakeholders and DFAT;</w:t>
      </w:r>
    </w:p>
    <w:p w14:paraId="6D55F130" w14:textId="77777777" w:rsidR="00D2231A" w:rsidRPr="007975C0" w:rsidRDefault="00D2231A" w:rsidP="00AC0818">
      <w:pPr>
        <w:numPr>
          <w:ilvl w:val="0"/>
          <w:numId w:val="25"/>
        </w:numPr>
        <w:spacing w:after="120" w:line="240" w:lineRule="auto"/>
        <w:rPr>
          <w:rFonts w:eastAsia="Times New Roman" w:cstheme="majorHAnsi"/>
          <w:lang w:eastAsia="en-AU"/>
        </w:rPr>
      </w:pPr>
      <w:r w:rsidRPr="007975C0">
        <w:rPr>
          <w:rFonts w:eastAsia="Times New Roman" w:cstheme="majorHAnsi"/>
          <w:lang w:eastAsia="en-AU"/>
        </w:rPr>
        <w:t>lead the team’s analysis, findings and recommendations related to the Program’s performance in:</w:t>
      </w:r>
    </w:p>
    <w:p w14:paraId="1512AE15" w14:textId="77777777" w:rsidR="00D2231A" w:rsidRPr="007975C0" w:rsidRDefault="00D2231A" w:rsidP="00AC0818">
      <w:pPr>
        <w:numPr>
          <w:ilvl w:val="1"/>
          <w:numId w:val="25"/>
        </w:numPr>
        <w:spacing w:after="120" w:line="240" w:lineRule="auto"/>
        <w:rPr>
          <w:rFonts w:eastAsia="Times New Roman" w:cstheme="majorHAnsi"/>
          <w:lang w:eastAsia="en-AU"/>
        </w:rPr>
      </w:pPr>
      <w:r w:rsidRPr="007975C0">
        <w:rPr>
          <w:rFonts w:eastAsia="Times New Roman" w:cstheme="majorHAnsi"/>
          <w:lang w:eastAsia="en-AU"/>
        </w:rPr>
        <w:t>governance and planning;</w:t>
      </w:r>
    </w:p>
    <w:p w14:paraId="08AD27FC" w14:textId="77777777" w:rsidR="00D2231A" w:rsidRPr="007975C0" w:rsidRDefault="00D2231A" w:rsidP="00AC0818">
      <w:pPr>
        <w:numPr>
          <w:ilvl w:val="1"/>
          <w:numId w:val="25"/>
        </w:numPr>
        <w:spacing w:after="120" w:line="240" w:lineRule="auto"/>
        <w:rPr>
          <w:rFonts w:eastAsia="Times New Roman" w:cstheme="majorHAnsi"/>
          <w:lang w:eastAsia="en-AU"/>
        </w:rPr>
      </w:pPr>
      <w:r w:rsidRPr="007975C0">
        <w:rPr>
          <w:rFonts w:eastAsia="Times New Roman" w:cstheme="majorHAnsi"/>
          <w:lang w:eastAsia="en-AU"/>
        </w:rPr>
        <w:t>monitoring and evaluation/theory of change;</w:t>
      </w:r>
    </w:p>
    <w:p w14:paraId="75E3A58B" w14:textId="77777777" w:rsidR="00D2231A" w:rsidRPr="007975C0" w:rsidRDefault="00D2231A" w:rsidP="00AC0818">
      <w:pPr>
        <w:numPr>
          <w:ilvl w:val="1"/>
          <w:numId w:val="25"/>
        </w:numPr>
        <w:spacing w:after="120" w:line="240" w:lineRule="auto"/>
        <w:rPr>
          <w:rFonts w:eastAsia="Times New Roman" w:cstheme="majorHAnsi"/>
          <w:lang w:eastAsia="en-AU"/>
        </w:rPr>
      </w:pPr>
      <w:r w:rsidRPr="007975C0">
        <w:rPr>
          <w:rFonts w:eastAsia="Times New Roman" w:cstheme="majorHAnsi"/>
          <w:lang w:eastAsia="en-AU"/>
        </w:rPr>
        <w:t>capacity development</w:t>
      </w:r>
    </w:p>
    <w:p w14:paraId="3952ABC6" w14:textId="77777777" w:rsidR="00D2231A" w:rsidRPr="007975C0" w:rsidRDefault="00D2231A" w:rsidP="00AC0818">
      <w:pPr>
        <w:numPr>
          <w:ilvl w:val="1"/>
          <w:numId w:val="25"/>
        </w:numPr>
        <w:spacing w:after="120" w:line="240" w:lineRule="auto"/>
        <w:rPr>
          <w:rFonts w:eastAsia="Times New Roman" w:cstheme="majorHAnsi"/>
          <w:lang w:eastAsia="en-AU"/>
        </w:rPr>
      </w:pPr>
      <w:r w:rsidRPr="007975C0">
        <w:rPr>
          <w:rFonts w:eastAsia="Times New Roman" w:cstheme="majorHAnsi"/>
          <w:lang w:eastAsia="en-AU"/>
        </w:rPr>
        <w:t>gender equity and social inclusion</w:t>
      </w:r>
    </w:p>
    <w:p w14:paraId="3394A286" w14:textId="77777777" w:rsidR="00D2231A" w:rsidRPr="007975C0" w:rsidRDefault="00D2231A" w:rsidP="00AC0818">
      <w:pPr>
        <w:numPr>
          <w:ilvl w:val="0"/>
          <w:numId w:val="25"/>
        </w:numPr>
        <w:spacing w:after="120" w:line="240" w:lineRule="auto"/>
        <w:ind w:left="714" w:hanging="357"/>
        <w:rPr>
          <w:rFonts w:eastAsia="Times New Roman" w:cstheme="majorHAnsi"/>
          <w:lang w:eastAsia="en-AU"/>
        </w:rPr>
      </w:pPr>
      <w:r w:rsidRPr="007975C0">
        <w:rPr>
          <w:rFonts w:eastAsia="Times New Roman" w:cstheme="majorHAnsi"/>
          <w:lang w:eastAsia="en-AU"/>
        </w:rPr>
        <w:t>lead and compile inputs from team members to complete the assessment of the program against the Performance Based Funding benchmarks;</w:t>
      </w:r>
    </w:p>
    <w:p w14:paraId="682BAF1E" w14:textId="77777777" w:rsidR="00D2231A" w:rsidRPr="007975C0" w:rsidRDefault="00D2231A" w:rsidP="00AC0818">
      <w:pPr>
        <w:numPr>
          <w:ilvl w:val="0"/>
          <w:numId w:val="25"/>
        </w:numPr>
        <w:spacing w:after="120" w:line="240" w:lineRule="auto"/>
        <w:ind w:left="714" w:hanging="357"/>
        <w:rPr>
          <w:rFonts w:eastAsia="Times New Roman" w:cstheme="majorHAnsi"/>
          <w:lang w:eastAsia="en-AU"/>
        </w:rPr>
      </w:pPr>
      <w:r w:rsidRPr="007975C0">
        <w:rPr>
          <w:rFonts w:eastAsia="Times New Roman" w:cstheme="majorHAnsi"/>
          <w:lang w:eastAsia="en-AU"/>
        </w:rPr>
        <w:t xml:space="preserve">be responsible for managing, compiling and editing inputs from other team members to ensure the quality of reporting outputs; </w:t>
      </w:r>
    </w:p>
    <w:p w14:paraId="6EE9F3D4" w14:textId="77777777" w:rsidR="00D2231A" w:rsidRPr="007975C0" w:rsidRDefault="00D2231A" w:rsidP="00AC0818">
      <w:pPr>
        <w:numPr>
          <w:ilvl w:val="0"/>
          <w:numId w:val="25"/>
        </w:numPr>
        <w:spacing w:after="120" w:line="240" w:lineRule="auto"/>
        <w:rPr>
          <w:rFonts w:eastAsia="Times New Roman" w:cstheme="majorHAnsi"/>
          <w:lang w:eastAsia="en-AU"/>
        </w:rPr>
      </w:pPr>
      <w:r w:rsidRPr="007975C0">
        <w:rPr>
          <w:rFonts w:eastAsia="Times New Roman" w:cstheme="majorHAnsi"/>
          <w:lang w:eastAsia="en-AU"/>
        </w:rPr>
        <w:t>be responsible for producing an aide memoire, and draft and final Midterm Evaluation Report.</w:t>
      </w:r>
    </w:p>
    <w:p w14:paraId="203BF55E" w14:textId="77777777" w:rsidR="00D2231A" w:rsidRPr="007975C0" w:rsidRDefault="00D2231A" w:rsidP="00D2231A">
      <w:pPr>
        <w:spacing w:after="0"/>
        <w:rPr>
          <w:rFonts w:cstheme="majorHAnsi"/>
          <w:i/>
        </w:rPr>
      </w:pPr>
      <w:r w:rsidRPr="007975C0">
        <w:rPr>
          <w:rFonts w:cstheme="majorHAnsi"/>
          <w:i/>
        </w:rPr>
        <w:t xml:space="preserve">Qualifications/Experience </w:t>
      </w:r>
    </w:p>
    <w:p w14:paraId="3740D99C" w14:textId="77777777" w:rsidR="00D2231A" w:rsidRPr="007975C0" w:rsidRDefault="00D2231A" w:rsidP="00AC0818">
      <w:pPr>
        <w:pStyle w:val="BodyText"/>
        <w:numPr>
          <w:ilvl w:val="0"/>
          <w:numId w:val="34"/>
        </w:numPr>
        <w:rPr>
          <w:b/>
          <w:i/>
        </w:rPr>
      </w:pPr>
      <w:r w:rsidRPr="007975C0">
        <w:t>program review/evaluation of health projects and programs in an international development context (preferably in the areas of health sector strengthening/ partner government implementation in the Pacific);</w:t>
      </w:r>
    </w:p>
    <w:p w14:paraId="4DE913EE" w14:textId="77777777" w:rsidR="00D2231A" w:rsidRPr="007975C0" w:rsidRDefault="00D2231A" w:rsidP="00AC0818">
      <w:pPr>
        <w:pStyle w:val="BodyText"/>
        <w:numPr>
          <w:ilvl w:val="0"/>
          <w:numId w:val="34"/>
        </w:numPr>
        <w:rPr>
          <w:b/>
          <w:i/>
        </w:rPr>
      </w:pPr>
      <w:r w:rsidRPr="007975C0">
        <w:t>experience in health program review and strategy development, preferably for DFAT or similar bilateral aid organisation;</w:t>
      </w:r>
    </w:p>
    <w:p w14:paraId="01AE7EA3" w14:textId="77777777" w:rsidR="00D2231A" w:rsidRPr="007975C0" w:rsidRDefault="00D2231A" w:rsidP="00AC0818">
      <w:pPr>
        <w:pStyle w:val="BodyText"/>
        <w:numPr>
          <w:ilvl w:val="0"/>
          <w:numId w:val="34"/>
        </w:numPr>
        <w:rPr>
          <w:b/>
          <w:i/>
        </w:rPr>
      </w:pPr>
      <w:r w:rsidRPr="007975C0">
        <w:t>extensive (+15 years) experience in health sector strengthening/capacity building/monitoring and evaluation and/or institutional strengthening in a development context;</w:t>
      </w:r>
    </w:p>
    <w:p w14:paraId="1E3CD948" w14:textId="77777777" w:rsidR="00D2231A" w:rsidRPr="007975C0" w:rsidRDefault="00D2231A" w:rsidP="00AC0818">
      <w:pPr>
        <w:pStyle w:val="BodyText"/>
        <w:numPr>
          <w:ilvl w:val="0"/>
          <w:numId w:val="34"/>
        </w:numPr>
        <w:rPr>
          <w:b/>
          <w:i/>
        </w:rPr>
      </w:pPr>
      <w:r w:rsidRPr="007975C0">
        <w:t>an understanding and relevant experience of assessing gender equality and social inclusion in health policies and programs; and</w:t>
      </w:r>
    </w:p>
    <w:p w14:paraId="1F685D20" w14:textId="77777777" w:rsidR="00D2231A" w:rsidRPr="007975C0" w:rsidRDefault="00D2231A" w:rsidP="00AC0818">
      <w:pPr>
        <w:pStyle w:val="BodyText"/>
        <w:numPr>
          <w:ilvl w:val="0"/>
          <w:numId w:val="34"/>
        </w:numPr>
        <w:rPr>
          <w:b/>
          <w:i/>
        </w:rPr>
      </w:pPr>
      <w:r w:rsidRPr="007975C0">
        <w:t>excellent interpersonal, cross-cultural, facilitation, representation, negotiation and written skills.</w:t>
      </w:r>
    </w:p>
    <w:p w14:paraId="01C9676D" w14:textId="77777777" w:rsidR="005D2D39" w:rsidRDefault="005D2D39">
      <w:pPr>
        <w:rPr>
          <w:rFonts w:eastAsia="Times New Roman" w:cstheme="majorHAnsi"/>
          <w:bCs/>
          <w:iCs/>
          <w:u w:val="single"/>
          <w:lang w:eastAsia="en-AU"/>
        </w:rPr>
      </w:pPr>
      <w:r>
        <w:rPr>
          <w:rFonts w:eastAsia="Times New Roman" w:cstheme="majorHAnsi"/>
          <w:bCs/>
          <w:iCs/>
          <w:u w:val="single"/>
          <w:lang w:eastAsia="en-AU"/>
        </w:rPr>
        <w:br w:type="page"/>
      </w:r>
    </w:p>
    <w:p w14:paraId="26916910" w14:textId="77777777" w:rsidR="00D2231A" w:rsidRPr="007975C0" w:rsidRDefault="00D2231A" w:rsidP="00D2231A">
      <w:pPr>
        <w:spacing w:after="0" w:line="240" w:lineRule="auto"/>
        <w:rPr>
          <w:rFonts w:eastAsia="Times New Roman" w:cstheme="majorHAnsi"/>
          <w:bCs/>
          <w:iCs/>
          <w:lang w:eastAsia="en-AU"/>
        </w:rPr>
      </w:pPr>
      <w:r w:rsidRPr="007975C0">
        <w:rPr>
          <w:rFonts w:eastAsia="Times New Roman" w:cstheme="majorHAnsi"/>
          <w:bCs/>
          <w:iCs/>
          <w:u w:val="single"/>
          <w:lang w:eastAsia="en-AU"/>
        </w:rPr>
        <w:lastRenderedPageBreak/>
        <w:t>Health Financing Specialist</w:t>
      </w:r>
    </w:p>
    <w:p w14:paraId="33784197" w14:textId="77777777" w:rsidR="00D2231A" w:rsidRPr="007975C0" w:rsidRDefault="00D2231A" w:rsidP="00D2231A">
      <w:pPr>
        <w:spacing w:after="0" w:line="240" w:lineRule="auto"/>
        <w:rPr>
          <w:rFonts w:eastAsia="Times New Roman" w:cstheme="majorHAnsi"/>
          <w:bCs/>
          <w:iCs/>
          <w:lang w:eastAsia="en-AU"/>
        </w:rPr>
      </w:pPr>
    </w:p>
    <w:p w14:paraId="2778FFDE" w14:textId="77777777" w:rsidR="00D2231A" w:rsidRPr="007975C0" w:rsidRDefault="00D2231A" w:rsidP="00D2231A">
      <w:pPr>
        <w:spacing w:after="0"/>
        <w:rPr>
          <w:rFonts w:cstheme="majorHAnsi"/>
          <w:i/>
        </w:rPr>
      </w:pPr>
      <w:r w:rsidRPr="007975C0">
        <w:rPr>
          <w:rFonts w:cstheme="majorHAnsi"/>
          <w:i/>
        </w:rPr>
        <w:t>Duties</w:t>
      </w:r>
    </w:p>
    <w:p w14:paraId="67FCC276" w14:textId="77777777" w:rsidR="00D2231A" w:rsidRPr="005D2D39" w:rsidRDefault="00D2231A" w:rsidP="00AC0818">
      <w:pPr>
        <w:pStyle w:val="BodyText"/>
        <w:numPr>
          <w:ilvl w:val="0"/>
          <w:numId w:val="35"/>
        </w:numPr>
        <w:rPr>
          <w:rFonts w:asciiTheme="minorHAnsi" w:hAnsiTheme="minorHAnsi" w:cstheme="minorHAnsi"/>
          <w:b/>
          <w:i/>
          <w:sz w:val="22"/>
          <w:szCs w:val="22"/>
        </w:rPr>
      </w:pPr>
      <w:r w:rsidRPr="005D2D39">
        <w:rPr>
          <w:rFonts w:asciiTheme="minorHAnsi" w:hAnsiTheme="minorHAnsi" w:cstheme="minorHAnsi"/>
          <w:sz w:val="22"/>
          <w:szCs w:val="22"/>
        </w:rPr>
        <w:t>contribute to the development of the evaluation methodology with a particular emphasis on the assessment of the program’s resource allocation, budgeting, expenditure, reporting and accountability;</w:t>
      </w:r>
    </w:p>
    <w:p w14:paraId="66BD0866" w14:textId="77777777" w:rsidR="00D2231A" w:rsidRPr="007975C0" w:rsidRDefault="00D2231A" w:rsidP="00AC0818">
      <w:pPr>
        <w:numPr>
          <w:ilvl w:val="0"/>
          <w:numId w:val="32"/>
        </w:numPr>
        <w:spacing w:after="120" w:line="240" w:lineRule="auto"/>
        <w:rPr>
          <w:rFonts w:eastAsia="Times New Roman" w:cstheme="majorHAnsi"/>
          <w:lang w:eastAsia="en-AU"/>
        </w:rPr>
      </w:pPr>
      <w:r w:rsidRPr="007975C0">
        <w:rPr>
          <w:rFonts w:eastAsia="Times New Roman" w:cstheme="majorHAnsi"/>
          <w:lang w:eastAsia="en-AU"/>
        </w:rPr>
        <w:t>lead the team’s analysis, findings and recommendations of the Program’s performance in:</w:t>
      </w:r>
    </w:p>
    <w:p w14:paraId="7CF82198" w14:textId="77777777" w:rsidR="00D2231A" w:rsidRPr="007975C0" w:rsidRDefault="00D2231A" w:rsidP="00AC0818">
      <w:pPr>
        <w:pStyle w:val="ListParagraph"/>
        <w:numPr>
          <w:ilvl w:val="1"/>
          <w:numId w:val="32"/>
        </w:numPr>
        <w:spacing w:after="120"/>
        <w:ind w:left="1434" w:hanging="357"/>
        <w:contextualSpacing w:val="0"/>
        <w:rPr>
          <w:rFonts w:cstheme="majorHAnsi"/>
        </w:rPr>
      </w:pPr>
      <w:r w:rsidRPr="007975C0">
        <w:rPr>
          <w:rFonts w:cstheme="majorHAnsi"/>
        </w:rPr>
        <w:t>resource allocation and budgeting – equity, efficiency and link to outcomes;</w:t>
      </w:r>
    </w:p>
    <w:p w14:paraId="562DBDAD" w14:textId="77777777" w:rsidR="00D2231A" w:rsidRPr="007975C0" w:rsidRDefault="00D2231A" w:rsidP="00AC0818">
      <w:pPr>
        <w:pStyle w:val="ListParagraph"/>
        <w:numPr>
          <w:ilvl w:val="1"/>
          <w:numId w:val="32"/>
        </w:numPr>
        <w:spacing w:after="120"/>
        <w:ind w:left="1434" w:hanging="357"/>
        <w:contextualSpacing w:val="0"/>
        <w:rPr>
          <w:rFonts w:cstheme="majorHAnsi"/>
        </w:rPr>
      </w:pPr>
      <w:r w:rsidRPr="007975C0">
        <w:rPr>
          <w:rFonts w:cstheme="majorHAnsi"/>
        </w:rPr>
        <w:t>financial management – efficiency, effectiveness, accountability;</w:t>
      </w:r>
    </w:p>
    <w:p w14:paraId="33D2809F" w14:textId="77777777" w:rsidR="00D2231A" w:rsidRPr="007975C0" w:rsidRDefault="00D2231A" w:rsidP="00AC0818">
      <w:pPr>
        <w:pStyle w:val="ListParagraph"/>
        <w:numPr>
          <w:ilvl w:val="1"/>
          <w:numId w:val="32"/>
        </w:numPr>
        <w:spacing w:after="120"/>
        <w:ind w:left="1434" w:hanging="357"/>
        <w:contextualSpacing w:val="0"/>
        <w:rPr>
          <w:rFonts w:cstheme="majorHAnsi"/>
        </w:rPr>
      </w:pPr>
      <w:r w:rsidRPr="007975C0">
        <w:rPr>
          <w:rFonts w:cstheme="majorHAnsi"/>
        </w:rPr>
        <w:t>flow of funds within MoH and service delivery units;</w:t>
      </w:r>
    </w:p>
    <w:p w14:paraId="2D9D2762" w14:textId="77777777" w:rsidR="00D2231A" w:rsidRPr="007975C0" w:rsidRDefault="00D2231A" w:rsidP="00AC0818">
      <w:pPr>
        <w:pStyle w:val="ListParagraph"/>
        <w:numPr>
          <w:ilvl w:val="1"/>
          <w:numId w:val="32"/>
        </w:numPr>
        <w:spacing w:after="120"/>
        <w:ind w:left="1434" w:hanging="357"/>
        <w:contextualSpacing w:val="0"/>
        <w:rPr>
          <w:rFonts w:cstheme="majorHAnsi"/>
        </w:rPr>
      </w:pPr>
      <w:r w:rsidRPr="007975C0">
        <w:rPr>
          <w:rFonts w:cstheme="majorHAnsi"/>
        </w:rPr>
        <w:t>building/supporting GoT budgeting and financial management capacity and</w:t>
      </w:r>
    </w:p>
    <w:p w14:paraId="00FCA95B" w14:textId="77777777" w:rsidR="00D2231A" w:rsidRPr="007975C0" w:rsidRDefault="00D2231A" w:rsidP="00AC0818">
      <w:pPr>
        <w:numPr>
          <w:ilvl w:val="1"/>
          <w:numId w:val="32"/>
        </w:numPr>
        <w:spacing w:after="120" w:line="240" w:lineRule="auto"/>
        <w:rPr>
          <w:rFonts w:eastAsia="Times New Roman" w:cstheme="majorHAnsi"/>
          <w:lang w:eastAsia="en-AU"/>
        </w:rPr>
      </w:pPr>
      <w:r w:rsidRPr="007975C0">
        <w:rPr>
          <w:rFonts w:eastAsia="Times New Roman" w:cstheme="majorHAnsi"/>
          <w:lang w:eastAsia="en-AU"/>
        </w:rPr>
        <w:t xml:space="preserve">providing consideration of gender equity and social inclusion. </w:t>
      </w:r>
    </w:p>
    <w:p w14:paraId="77F9B7DC" w14:textId="77777777" w:rsidR="00D2231A" w:rsidRPr="007975C0" w:rsidRDefault="00D2231A" w:rsidP="00AC0818">
      <w:pPr>
        <w:pStyle w:val="ListParagraph"/>
        <w:numPr>
          <w:ilvl w:val="0"/>
          <w:numId w:val="32"/>
        </w:numPr>
        <w:spacing w:after="120"/>
        <w:ind w:left="714" w:hanging="357"/>
        <w:contextualSpacing w:val="0"/>
        <w:rPr>
          <w:rFonts w:cstheme="majorHAnsi"/>
        </w:rPr>
      </w:pPr>
      <w:r w:rsidRPr="007975C0">
        <w:rPr>
          <w:rFonts w:cstheme="majorHAnsi"/>
        </w:rPr>
        <w:t>contribute to the analysis, findings and recommendation related to:</w:t>
      </w:r>
    </w:p>
    <w:p w14:paraId="420F6EC8" w14:textId="77777777" w:rsidR="00D2231A" w:rsidRPr="007975C0" w:rsidRDefault="00D2231A" w:rsidP="00AC0818">
      <w:pPr>
        <w:pStyle w:val="ListParagraph"/>
        <w:numPr>
          <w:ilvl w:val="1"/>
          <w:numId w:val="32"/>
        </w:numPr>
        <w:spacing w:after="120"/>
        <w:contextualSpacing w:val="0"/>
        <w:rPr>
          <w:rFonts w:cstheme="majorHAnsi"/>
        </w:rPr>
      </w:pPr>
      <w:r w:rsidRPr="007975C0">
        <w:rPr>
          <w:rFonts w:cstheme="majorHAnsi"/>
        </w:rPr>
        <w:t>the assessment against the performance-based funding benchmarks.</w:t>
      </w:r>
    </w:p>
    <w:p w14:paraId="6519B769" w14:textId="77777777" w:rsidR="00D2231A" w:rsidRPr="007975C0" w:rsidRDefault="00D2231A" w:rsidP="00AC0818">
      <w:pPr>
        <w:pStyle w:val="ListParagraph"/>
        <w:numPr>
          <w:ilvl w:val="0"/>
          <w:numId w:val="32"/>
        </w:numPr>
        <w:rPr>
          <w:rFonts w:cstheme="majorHAnsi"/>
        </w:rPr>
      </w:pPr>
      <w:r w:rsidRPr="007975C0">
        <w:rPr>
          <w:rFonts w:cstheme="majorHAnsi"/>
        </w:rPr>
        <w:t xml:space="preserve">provide written input as required from the team leader toward the </w:t>
      </w:r>
      <w:r w:rsidRPr="007975C0">
        <w:rPr>
          <w:rFonts w:eastAsia="Times New Roman" w:cstheme="majorHAnsi"/>
          <w:lang w:eastAsia="en-AU"/>
        </w:rPr>
        <w:t>aide memoire and a draft and final Midterm Evaluation Report.</w:t>
      </w:r>
    </w:p>
    <w:p w14:paraId="269E1F4C" w14:textId="77777777" w:rsidR="00D2231A" w:rsidRPr="007975C0" w:rsidRDefault="00D2231A" w:rsidP="00D2231A">
      <w:pPr>
        <w:spacing w:after="0"/>
        <w:rPr>
          <w:rFonts w:cstheme="majorHAnsi"/>
          <w:i/>
        </w:rPr>
      </w:pPr>
      <w:r w:rsidRPr="007975C0">
        <w:rPr>
          <w:rFonts w:cstheme="majorHAnsi"/>
          <w:i/>
        </w:rPr>
        <w:t xml:space="preserve">Qualifications/Experience </w:t>
      </w:r>
    </w:p>
    <w:p w14:paraId="1B236C85" w14:textId="77777777" w:rsidR="00D2231A" w:rsidRPr="007975C0" w:rsidRDefault="00D2231A" w:rsidP="00AC0818">
      <w:pPr>
        <w:pStyle w:val="ListParagraph"/>
        <w:numPr>
          <w:ilvl w:val="0"/>
          <w:numId w:val="32"/>
        </w:numPr>
        <w:spacing w:after="120" w:line="240" w:lineRule="auto"/>
        <w:contextualSpacing w:val="0"/>
        <w:rPr>
          <w:rFonts w:cstheme="majorHAnsi"/>
        </w:rPr>
      </w:pPr>
      <w:r w:rsidRPr="007975C0">
        <w:rPr>
          <w:rFonts w:cstheme="majorHAnsi"/>
          <w:lang w:bidi="en-US"/>
        </w:rPr>
        <w:t>post-graduate qualifications in accounting, financial management, applied public sector health economics, or equivalent experience;</w:t>
      </w:r>
    </w:p>
    <w:p w14:paraId="3906EFDA" w14:textId="77777777" w:rsidR="00D2231A" w:rsidRPr="007975C0" w:rsidRDefault="00D2231A" w:rsidP="00AC0818">
      <w:pPr>
        <w:pStyle w:val="ListParagraph"/>
        <w:numPr>
          <w:ilvl w:val="0"/>
          <w:numId w:val="32"/>
        </w:numPr>
        <w:spacing w:after="120" w:line="240" w:lineRule="auto"/>
        <w:contextualSpacing w:val="0"/>
        <w:rPr>
          <w:rFonts w:cstheme="majorHAnsi"/>
        </w:rPr>
      </w:pPr>
      <w:r w:rsidRPr="007975C0">
        <w:rPr>
          <w:rFonts w:cstheme="majorHAnsi"/>
        </w:rPr>
        <w:t>extensive (+10 years) senior level health financing/budgeting experience, preferably in a low-middle income country setting, preferably in PNG/Pacific;</w:t>
      </w:r>
    </w:p>
    <w:p w14:paraId="5A2C4740" w14:textId="77777777" w:rsidR="00D2231A" w:rsidRPr="005D2D39" w:rsidRDefault="00D2231A" w:rsidP="00AC0818">
      <w:pPr>
        <w:pStyle w:val="Style1"/>
        <w:numPr>
          <w:ilvl w:val="0"/>
          <w:numId w:val="32"/>
        </w:numPr>
        <w:adjustRightInd/>
        <w:spacing w:before="120" w:after="120" w:line="276" w:lineRule="auto"/>
        <w:ind w:right="-6"/>
        <w:rPr>
          <w:rFonts w:asciiTheme="minorHAnsi" w:hAnsiTheme="minorHAnsi" w:cstheme="minorHAnsi"/>
          <w:sz w:val="22"/>
          <w:szCs w:val="22"/>
        </w:rPr>
      </w:pPr>
      <w:r w:rsidRPr="005D2D39">
        <w:rPr>
          <w:rFonts w:asciiTheme="minorHAnsi" w:hAnsiTheme="minorHAnsi" w:cstheme="minorHAnsi"/>
          <w:sz w:val="22"/>
          <w:szCs w:val="22"/>
        </w:rPr>
        <w:t>understanding of financing institutional development in low or middle income countries context, including sector budget support and pool financing arrangements;</w:t>
      </w:r>
    </w:p>
    <w:p w14:paraId="6FB63FE8" w14:textId="77777777" w:rsidR="00D2231A" w:rsidRPr="007975C0" w:rsidRDefault="00D2231A" w:rsidP="00AC0818">
      <w:pPr>
        <w:pStyle w:val="ListParagraph"/>
        <w:numPr>
          <w:ilvl w:val="0"/>
          <w:numId w:val="32"/>
        </w:numPr>
        <w:spacing w:after="120" w:line="240" w:lineRule="auto"/>
        <w:rPr>
          <w:rFonts w:eastAsia="Times New Roman" w:cstheme="majorHAnsi"/>
          <w:bCs/>
          <w:iCs/>
          <w:lang w:eastAsia="en-AU"/>
        </w:rPr>
      </w:pPr>
      <w:r w:rsidRPr="007975C0">
        <w:rPr>
          <w:rFonts w:cstheme="majorHAnsi"/>
        </w:rPr>
        <w:t>excellent interpersonal, cross-cultural, communication and written skills.</w:t>
      </w:r>
    </w:p>
    <w:p w14:paraId="3DBEA96F" w14:textId="77777777" w:rsidR="00D2231A" w:rsidRPr="007975C0" w:rsidRDefault="00D2231A" w:rsidP="00D2231A">
      <w:pPr>
        <w:spacing w:after="0" w:line="240" w:lineRule="auto"/>
        <w:rPr>
          <w:rFonts w:eastAsia="Times New Roman" w:cstheme="majorHAnsi"/>
          <w:bCs/>
          <w:iCs/>
          <w:u w:val="single"/>
          <w:lang w:eastAsia="en-AU"/>
        </w:rPr>
      </w:pPr>
    </w:p>
    <w:p w14:paraId="5676CE6E" w14:textId="77777777" w:rsidR="00D2231A" w:rsidRPr="007975C0" w:rsidRDefault="00D2231A" w:rsidP="00D2231A">
      <w:pPr>
        <w:spacing w:after="0" w:line="240" w:lineRule="auto"/>
        <w:rPr>
          <w:rFonts w:eastAsia="Times New Roman" w:cstheme="majorHAnsi"/>
          <w:bCs/>
          <w:iCs/>
          <w:lang w:eastAsia="en-AU"/>
        </w:rPr>
      </w:pPr>
      <w:r w:rsidRPr="007975C0">
        <w:rPr>
          <w:rFonts w:eastAsia="Times New Roman" w:cstheme="majorHAnsi"/>
          <w:bCs/>
          <w:iCs/>
          <w:u w:val="single"/>
          <w:lang w:eastAsia="en-AU"/>
        </w:rPr>
        <w:t>NCD Service Delivery Specialist</w:t>
      </w:r>
      <w:r w:rsidRPr="007975C0">
        <w:rPr>
          <w:rFonts w:eastAsia="Times New Roman" w:cstheme="majorHAnsi"/>
          <w:bCs/>
          <w:iCs/>
          <w:lang w:eastAsia="en-AU"/>
        </w:rPr>
        <w:t>:</w:t>
      </w:r>
    </w:p>
    <w:p w14:paraId="26DA3A43" w14:textId="77777777" w:rsidR="00D2231A" w:rsidRPr="007975C0" w:rsidRDefault="00D2231A" w:rsidP="00D2231A">
      <w:pPr>
        <w:spacing w:after="0" w:line="240" w:lineRule="auto"/>
        <w:rPr>
          <w:rFonts w:eastAsia="Times New Roman" w:cstheme="majorHAnsi"/>
          <w:bCs/>
          <w:iCs/>
          <w:lang w:eastAsia="en-AU"/>
        </w:rPr>
      </w:pPr>
    </w:p>
    <w:p w14:paraId="1CF9F030" w14:textId="77777777" w:rsidR="00D2231A" w:rsidRPr="007975C0" w:rsidRDefault="00D2231A" w:rsidP="00D2231A">
      <w:pPr>
        <w:spacing w:after="0"/>
        <w:rPr>
          <w:rFonts w:cstheme="majorHAnsi"/>
          <w:i/>
        </w:rPr>
      </w:pPr>
      <w:r w:rsidRPr="007975C0">
        <w:rPr>
          <w:rFonts w:cstheme="majorHAnsi"/>
          <w:i/>
        </w:rPr>
        <w:t>Duties</w:t>
      </w:r>
    </w:p>
    <w:p w14:paraId="3B801EBB" w14:textId="77777777" w:rsidR="00D2231A" w:rsidRPr="007975C0" w:rsidRDefault="00D2231A" w:rsidP="00AC0818">
      <w:pPr>
        <w:pStyle w:val="BodyText"/>
        <w:numPr>
          <w:ilvl w:val="0"/>
          <w:numId w:val="36"/>
        </w:numPr>
        <w:rPr>
          <w:b/>
          <w:i/>
        </w:rPr>
      </w:pPr>
      <w:r w:rsidRPr="007975C0">
        <w:t>contribute to the development of the evaluation methodology with a particular emphasis on the assessment of the program performance in strengthening the delivery of NCDs services;</w:t>
      </w:r>
    </w:p>
    <w:p w14:paraId="3D27B5BD" w14:textId="77777777" w:rsidR="00D2231A" w:rsidRPr="007975C0" w:rsidRDefault="00D2231A" w:rsidP="00AC0818">
      <w:pPr>
        <w:numPr>
          <w:ilvl w:val="0"/>
          <w:numId w:val="32"/>
        </w:numPr>
        <w:spacing w:after="120" w:line="240" w:lineRule="auto"/>
        <w:rPr>
          <w:rFonts w:eastAsia="Times New Roman" w:cstheme="majorHAnsi"/>
          <w:lang w:eastAsia="en-AU"/>
        </w:rPr>
      </w:pPr>
      <w:r w:rsidRPr="007975C0">
        <w:rPr>
          <w:rFonts w:eastAsia="Times New Roman" w:cstheme="majorHAnsi"/>
          <w:lang w:eastAsia="en-AU"/>
        </w:rPr>
        <w:t>lead the team’s analysis, findings and recommendations of the Program’s performance in:</w:t>
      </w:r>
    </w:p>
    <w:p w14:paraId="3773EA47" w14:textId="77777777" w:rsidR="00D2231A" w:rsidRPr="007975C0" w:rsidRDefault="00D2231A" w:rsidP="00AC0818">
      <w:pPr>
        <w:pStyle w:val="ListParagraph"/>
        <w:numPr>
          <w:ilvl w:val="1"/>
          <w:numId w:val="32"/>
        </w:numPr>
        <w:spacing w:after="120"/>
        <w:ind w:left="1434" w:hanging="357"/>
        <w:contextualSpacing w:val="0"/>
        <w:rPr>
          <w:rFonts w:cstheme="majorHAnsi"/>
        </w:rPr>
      </w:pPr>
      <w:r w:rsidRPr="007975C0">
        <w:rPr>
          <w:rFonts w:cstheme="majorHAnsi"/>
        </w:rPr>
        <w:t>planning for an appropriate package of essential health services (including NCD’s) at the primary and referral / secondary level services;</w:t>
      </w:r>
    </w:p>
    <w:p w14:paraId="74EF7EBB" w14:textId="77777777" w:rsidR="00D2231A" w:rsidRPr="007975C0" w:rsidRDefault="00D2231A" w:rsidP="00AC0818">
      <w:pPr>
        <w:pStyle w:val="ListParagraph"/>
        <w:numPr>
          <w:ilvl w:val="1"/>
          <w:numId w:val="32"/>
        </w:numPr>
        <w:spacing w:after="120"/>
        <w:ind w:left="1434" w:hanging="357"/>
        <w:contextualSpacing w:val="0"/>
        <w:rPr>
          <w:rFonts w:cstheme="majorHAnsi"/>
        </w:rPr>
      </w:pPr>
      <w:r w:rsidRPr="007975C0">
        <w:rPr>
          <w:rFonts w:cstheme="majorHAnsi"/>
        </w:rPr>
        <w:t>providing appropriate inputs for primary and secondary services to deliver quality services (including NCDs), including to remote and difficult to reach areas and groups;</w:t>
      </w:r>
    </w:p>
    <w:p w14:paraId="22DDBD14" w14:textId="77777777" w:rsidR="00D2231A" w:rsidRPr="007975C0" w:rsidRDefault="00D2231A" w:rsidP="00AC0818">
      <w:pPr>
        <w:pStyle w:val="ListParagraph"/>
        <w:numPr>
          <w:ilvl w:val="1"/>
          <w:numId w:val="32"/>
        </w:numPr>
        <w:spacing w:after="120"/>
        <w:ind w:left="1434" w:hanging="357"/>
        <w:contextualSpacing w:val="0"/>
        <w:rPr>
          <w:rFonts w:cstheme="majorHAnsi"/>
        </w:rPr>
      </w:pPr>
      <w:r w:rsidRPr="007975C0">
        <w:rPr>
          <w:rFonts w:cstheme="majorHAnsi"/>
        </w:rPr>
        <w:t>the availability of appropriate medicine and supplies at the primary and secondary level (including for NCDs), and addressing any supply chain constraints;</w:t>
      </w:r>
    </w:p>
    <w:p w14:paraId="2FAB6688" w14:textId="77777777" w:rsidR="00D2231A" w:rsidRPr="007975C0" w:rsidRDefault="00D2231A" w:rsidP="00AC0818">
      <w:pPr>
        <w:numPr>
          <w:ilvl w:val="1"/>
          <w:numId w:val="32"/>
        </w:numPr>
        <w:spacing w:after="120" w:line="240" w:lineRule="auto"/>
        <w:rPr>
          <w:rFonts w:eastAsia="Times New Roman" w:cstheme="majorHAnsi"/>
          <w:lang w:eastAsia="en-AU"/>
        </w:rPr>
      </w:pPr>
      <w:r w:rsidRPr="007975C0">
        <w:rPr>
          <w:rFonts w:eastAsia="Times New Roman" w:cstheme="majorHAnsi"/>
          <w:lang w:eastAsia="en-AU"/>
        </w:rPr>
        <w:t xml:space="preserve">providing consideration of gender equity and social inclusion and  </w:t>
      </w:r>
    </w:p>
    <w:p w14:paraId="5D894712" w14:textId="77777777" w:rsidR="00D2231A" w:rsidRPr="007975C0" w:rsidRDefault="00D2231A" w:rsidP="00AC0818">
      <w:pPr>
        <w:pStyle w:val="ListParagraph"/>
        <w:numPr>
          <w:ilvl w:val="1"/>
          <w:numId w:val="32"/>
        </w:numPr>
        <w:spacing w:after="120"/>
        <w:ind w:left="1434" w:hanging="357"/>
        <w:contextualSpacing w:val="0"/>
        <w:rPr>
          <w:rFonts w:cstheme="majorHAnsi"/>
        </w:rPr>
      </w:pPr>
      <w:r w:rsidRPr="007975C0">
        <w:rPr>
          <w:rFonts w:cstheme="majorHAnsi"/>
        </w:rPr>
        <w:lastRenderedPageBreak/>
        <w:t>supporting appropriate health promotion and healthy public policies to address NCDs.</w:t>
      </w:r>
    </w:p>
    <w:p w14:paraId="76786B4E" w14:textId="77777777" w:rsidR="00D2231A" w:rsidRPr="007975C0" w:rsidRDefault="00D2231A" w:rsidP="00AC0818">
      <w:pPr>
        <w:pStyle w:val="ListParagraph"/>
        <w:numPr>
          <w:ilvl w:val="0"/>
          <w:numId w:val="32"/>
        </w:numPr>
        <w:spacing w:after="120"/>
        <w:ind w:left="714" w:hanging="357"/>
        <w:contextualSpacing w:val="0"/>
        <w:rPr>
          <w:rFonts w:cstheme="majorHAnsi"/>
        </w:rPr>
      </w:pPr>
      <w:r w:rsidRPr="007975C0">
        <w:rPr>
          <w:rFonts w:cstheme="majorHAnsi"/>
        </w:rPr>
        <w:t>contribute to the analysis, findings and recommendation related to:</w:t>
      </w:r>
    </w:p>
    <w:p w14:paraId="04B99383" w14:textId="77777777" w:rsidR="00D2231A" w:rsidRPr="007975C0" w:rsidRDefault="00D2231A" w:rsidP="00AC0818">
      <w:pPr>
        <w:pStyle w:val="ListParagraph"/>
        <w:numPr>
          <w:ilvl w:val="1"/>
          <w:numId w:val="32"/>
        </w:numPr>
        <w:spacing w:after="120"/>
        <w:contextualSpacing w:val="0"/>
        <w:rPr>
          <w:rFonts w:cstheme="majorHAnsi"/>
        </w:rPr>
      </w:pPr>
      <w:r w:rsidRPr="007975C0">
        <w:rPr>
          <w:rFonts w:cstheme="majorHAnsi"/>
        </w:rPr>
        <w:t>the assessment against the performance-based funding benchmarks.</w:t>
      </w:r>
    </w:p>
    <w:p w14:paraId="5E5CCBF3" w14:textId="77777777" w:rsidR="00D2231A" w:rsidRPr="007975C0" w:rsidRDefault="00D2231A" w:rsidP="00AC0818">
      <w:pPr>
        <w:pStyle w:val="ListParagraph"/>
        <w:numPr>
          <w:ilvl w:val="0"/>
          <w:numId w:val="32"/>
        </w:numPr>
        <w:spacing w:after="0"/>
        <w:rPr>
          <w:rFonts w:cstheme="majorHAnsi"/>
        </w:rPr>
      </w:pPr>
      <w:r w:rsidRPr="007975C0">
        <w:rPr>
          <w:rFonts w:cstheme="majorHAnsi"/>
        </w:rPr>
        <w:t xml:space="preserve">provide written input as required from the team leader toward the </w:t>
      </w:r>
      <w:r w:rsidRPr="007975C0">
        <w:rPr>
          <w:rFonts w:eastAsia="Times New Roman" w:cstheme="majorHAnsi"/>
          <w:lang w:eastAsia="en-AU"/>
        </w:rPr>
        <w:t>aide memoire and a draft and final Midterm Evaluation Report.</w:t>
      </w:r>
    </w:p>
    <w:p w14:paraId="29090E6F" w14:textId="77777777" w:rsidR="00D2231A" w:rsidRDefault="00D2231A" w:rsidP="00D2231A">
      <w:pPr>
        <w:contextualSpacing/>
        <w:rPr>
          <w:rFonts w:cstheme="majorHAnsi"/>
        </w:rPr>
      </w:pPr>
    </w:p>
    <w:p w14:paraId="5B7B740A" w14:textId="77777777" w:rsidR="00D2231A" w:rsidRPr="007975C0" w:rsidRDefault="00D2231A" w:rsidP="00D2231A">
      <w:pPr>
        <w:spacing w:after="0"/>
        <w:rPr>
          <w:rFonts w:cstheme="majorHAnsi"/>
          <w:i/>
        </w:rPr>
      </w:pPr>
      <w:r w:rsidRPr="007975C0">
        <w:rPr>
          <w:rFonts w:cstheme="majorHAnsi"/>
          <w:i/>
        </w:rPr>
        <w:t xml:space="preserve">Qualifications/Experience </w:t>
      </w:r>
    </w:p>
    <w:p w14:paraId="2A1F9AEC" w14:textId="77777777" w:rsidR="00D2231A" w:rsidRPr="007975C0" w:rsidRDefault="00D2231A" w:rsidP="00AC0818">
      <w:pPr>
        <w:pStyle w:val="ListParagraph"/>
        <w:numPr>
          <w:ilvl w:val="0"/>
          <w:numId w:val="32"/>
        </w:numPr>
        <w:spacing w:after="120" w:line="240" w:lineRule="auto"/>
        <w:contextualSpacing w:val="0"/>
        <w:rPr>
          <w:rFonts w:cstheme="majorHAnsi"/>
        </w:rPr>
      </w:pPr>
      <w:r w:rsidRPr="007975C0">
        <w:rPr>
          <w:rFonts w:cstheme="majorHAnsi"/>
          <w:lang w:bidi="en-US"/>
        </w:rPr>
        <w:t>post-graduate qualifications in public health, or health service management or equivalent experience;</w:t>
      </w:r>
    </w:p>
    <w:p w14:paraId="198709CE" w14:textId="77777777" w:rsidR="00D2231A" w:rsidRPr="007975C0" w:rsidRDefault="00D2231A" w:rsidP="00AC0818">
      <w:pPr>
        <w:pStyle w:val="ListParagraph"/>
        <w:numPr>
          <w:ilvl w:val="0"/>
          <w:numId w:val="32"/>
        </w:numPr>
        <w:spacing w:after="120" w:line="240" w:lineRule="auto"/>
        <w:contextualSpacing w:val="0"/>
        <w:rPr>
          <w:rFonts w:cstheme="majorHAnsi"/>
        </w:rPr>
      </w:pPr>
      <w:r w:rsidRPr="007975C0">
        <w:rPr>
          <w:rFonts w:cstheme="majorHAnsi"/>
        </w:rPr>
        <w:t xml:space="preserve">extensive (+10 years) senior level health service delivery experience, preferably involving NCDs in a low-middle income country setting, preferably in the Pacific; </w:t>
      </w:r>
    </w:p>
    <w:p w14:paraId="6C8FF4E8" w14:textId="77777777" w:rsidR="00D2231A" w:rsidRPr="005C6B62" w:rsidRDefault="00D2231A" w:rsidP="00AC0818">
      <w:pPr>
        <w:pStyle w:val="Style1"/>
        <w:numPr>
          <w:ilvl w:val="0"/>
          <w:numId w:val="32"/>
        </w:numPr>
        <w:adjustRightInd/>
        <w:spacing w:before="120" w:after="120" w:line="276" w:lineRule="auto"/>
        <w:ind w:right="-6"/>
        <w:rPr>
          <w:rFonts w:asciiTheme="minorHAnsi" w:hAnsiTheme="minorHAnsi" w:cstheme="minorHAnsi"/>
          <w:sz w:val="22"/>
          <w:szCs w:val="22"/>
        </w:rPr>
      </w:pPr>
      <w:r w:rsidRPr="005C6B62">
        <w:rPr>
          <w:rFonts w:asciiTheme="minorHAnsi" w:hAnsiTheme="minorHAnsi" w:cstheme="minorHAnsi"/>
          <w:sz w:val="22"/>
          <w:szCs w:val="22"/>
        </w:rPr>
        <w:t>understanding of service delivery institutional development in low or middle income countries context;</w:t>
      </w:r>
    </w:p>
    <w:p w14:paraId="69B356A6" w14:textId="77777777" w:rsidR="00D2231A" w:rsidRPr="007975C0" w:rsidRDefault="00D2231A" w:rsidP="00AC0818">
      <w:pPr>
        <w:pStyle w:val="ListParagraph"/>
        <w:numPr>
          <w:ilvl w:val="0"/>
          <w:numId w:val="32"/>
        </w:numPr>
        <w:spacing w:after="120"/>
        <w:ind w:left="714" w:hanging="357"/>
        <w:contextualSpacing w:val="0"/>
        <w:rPr>
          <w:rFonts w:cstheme="majorHAnsi"/>
        </w:rPr>
      </w:pPr>
      <w:r w:rsidRPr="007975C0">
        <w:rPr>
          <w:rFonts w:cstheme="majorHAnsi"/>
        </w:rPr>
        <w:t>excellent interpersonal, cross-cultural, communication and written skills;</w:t>
      </w:r>
    </w:p>
    <w:p w14:paraId="20100D93" w14:textId="77777777" w:rsidR="00D2231A" w:rsidRPr="007975C0" w:rsidRDefault="00D2231A" w:rsidP="00AC0818">
      <w:pPr>
        <w:pStyle w:val="ListParagraph"/>
        <w:numPr>
          <w:ilvl w:val="0"/>
          <w:numId w:val="32"/>
        </w:numPr>
        <w:rPr>
          <w:rFonts w:cstheme="majorHAnsi"/>
        </w:rPr>
      </w:pPr>
      <w:r w:rsidRPr="007975C0">
        <w:rPr>
          <w:rFonts w:cstheme="majorHAnsi"/>
        </w:rPr>
        <w:t>relevant clinical qualifications and experience would be an advantage.</w:t>
      </w:r>
    </w:p>
    <w:p w14:paraId="22E59021" w14:textId="77777777" w:rsidR="00D2231A" w:rsidRDefault="00D2231A" w:rsidP="00C44750">
      <w:pPr>
        <w:spacing w:after="0"/>
        <w:rPr>
          <w:rFonts w:cstheme="majorHAnsi"/>
        </w:rPr>
      </w:pPr>
      <w:r w:rsidRPr="007975C0">
        <w:rPr>
          <w:rFonts w:cstheme="majorHAnsi"/>
        </w:rPr>
        <w:t>The consultants will report to the Second Secretary Development, Australian High Commission Tonga.</w:t>
      </w:r>
    </w:p>
    <w:p w14:paraId="5BD6FFA7" w14:textId="77777777" w:rsidR="00D2231A" w:rsidRPr="007975C0" w:rsidRDefault="00D2231A" w:rsidP="00C44750">
      <w:pPr>
        <w:spacing w:after="0"/>
        <w:rPr>
          <w:rFonts w:cstheme="majorHAnsi"/>
        </w:rPr>
      </w:pPr>
    </w:p>
    <w:p w14:paraId="621A9650" w14:textId="77777777" w:rsidR="00D2231A" w:rsidRPr="007975C0" w:rsidRDefault="00D2231A" w:rsidP="00D2231A">
      <w:pPr>
        <w:contextualSpacing/>
        <w:rPr>
          <w:rFonts w:eastAsia="Times New Roman" w:cstheme="majorHAnsi"/>
          <w:b/>
          <w:bCs/>
          <w:iCs/>
          <w:lang w:eastAsia="en-AU"/>
        </w:rPr>
      </w:pPr>
      <w:r w:rsidRPr="007975C0">
        <w:rPr>
          <w:rFonts w:eastAsia="Times New Roman" w:cstheme="majorHAnsi"/>
          <w:b/>
          <w:bCs/>
          <w:iCs/>
          <w:lang w:eastAsia="en-AU"/>
        </w:rPr>
        <w:t>Review method</w:t>
      </w:r>
      <w:bookmarkEnd w:id="80"/>
      <w:bookmarkEnd w:id="81"/>
      <w:r w:rsidRPr="007975C0">
        <w:rPr>
          <w:rFonts w:eastAsia="Times New Roman" w:cstheme="majorHAnsi"/>
          <w:b/>
          <w:bCs/>
          <w:iCs/>
          <w:lang w:eastAsia="en-AU"/>
        </w:rPr>
        <w:t xml:space="preserve"> (including inputs and timeframe)</w:t>
      </w:r>
    </w:p>
    <w:p w14:paraId="31056370" w14:textId="77777777" w:rsidR="00D2231A" w:rsidRPr="007975C0" w:rsidRDefault="00D2231A" w:rsidP="00D2231A">
      <w:pPr>
        <w:spacing w:after="0" w:line="240" w:lineRule="auto"/>
        <w:rPr>
          <w:rFonts w:eastAsia="Times New Roman" w:cstheme="majorHAnsi"/>
          <w:lang w:eastAsia="en-AU"/>
        </w:rPr>
      </w:pPr>
      <w:r w:rsidRPr="007975C0">
        <w:rPr>
          <w:rFonts w:eastAsia="Times New Roman" w:cstheme="majorHAnsi"/>
          <w:lang w:eastAsia="en-AU"/>
        </w:rPr>
        <w:t>The review process will take up to 31 days for the Team Leader, Health Financing Specialist and the NCD Service Delivery Specialist team members. The review will commence no later than 22</w:t>
      </w:r>
      <w:r w:rsidRPr="007975C0">
        <w:rPr>
          <w:rFonts w:eastAsia="Times New Roman" w:cstheme="majorHAnsi"/>
          <w:vertAlign w:val="superscript"/>
          <w:lang w:eastAsia="en-AU"/>
        </w:rPr>
        <w:t>nd</w:t>
      </w:r>
      <w:r w:rsidRPr="007975C0">
        <w:rPr>
          <w:rFonts w:eastAsia="Times New Roman" w:cstheme="majorHAnsi"/>
          <w:lang w:eastAsia="en-AU"/>
        </w:rPr>
        <w:t xml:space="preserve"> October 2018 with the final report completed by 11</w:t>
      </w:r>
      <w:r w:rsidRPr="007975C0">
        <w:rPr>
          <w:rFonts w:eastAsia="Times New Roman" w:cstheme="majorHAnsi"/>
          <w:vertAlign w:val="superscript"/>
          <w:lang w:eastAsia="en-AU"/>
        </w:rPr>
        <w:t>th</w:t>
      </w:r>
      <w:r w:rsidRPr="007975C0">
        <w:rPr>
          <w:rFonts w:eastAsia="Times New Roman" w:cstheme="majorHAnsi"/>
          <w:lang w:eastAsia="en-AU"/>
        </w:rPr>
        <w:t xml:space="preserve"> February 2019.</w:t>
      </w:r>
    </w:p>
    <w:p w14:paraId="36C49A80" w14:textId="77777777" w:rsidR="00D2231A" w:rsidRPr="007975C0" w:rsidRDefault="00D2231A" w:rsidP="00D2231A">
      <w:pPr>
        <w:tabs>
          <w:tab w:val="left" w:pos="1695"/>
        </w:tabs>
        <w:spacing w:before="120" w:after="0" w:line="360" w:lineRule="auto"/>
        <w:rPr>
          <w:rFonts w:eastAsia="Times New Roman" w:cstheme="majorHAnsi"/>
          <w:lang w:eastAsia="en-AU"/>
        </w:rPr>
      </w:pPr>
      <w:r w:rsidRPr="007975C0">
        <w:rPr>
          <w:rFonts w:eastAsia="Times New Roman" w:cstheme="majorHAnsi"/>
          <w:lang w:eastAsia="en-AU"/>
        </w:rPr>
        <w:t>In undertaking the review, it is proposed that the team will:</w:t>
      </w:r>
    </w:p>
    <w:p w14:paraId="2F680009" w14:textId="77777777" w:rsidR="00D2231A" w:rsidRPr="007975C0" w:rsidRDefault="00D2231A" w:rsidP="00AC0818">
      <w:pPr>
        <w:numPr>
          <w:ilvl w:val="0"/>
          <w:numId w:val="27"/>
        </w:numPr>
        <w:spacing w:after="120" w:line="240" w:lineRule="auto"/>
        <w:jc w:val="both"/>
        <w:rPr>
          <w:rFonts w:eastAsia="Times New Roman" w:cstheme="majorHAnsi"/>
          <w:lang w:eastAsia="en-AU"/>
        </w:rPr>
      </w:pPr>
      <w:r w:rsidRPr="007975C0">
        <w:rPr>
          <w:rFonts w:eastAsia="Times New Roman" w:cstheme="majorHAnsi"/>
          <w:lang w:eastAsia="en-AU"/>
        </w:rPr>
        <w:t>Consult with DFAT program staff, health advisors and team members of linked evaluation teams.</w:t>
      </w:r>
    </w:p>
    <w:p w14:paraId="43D62373" w14:textId="77777777" w:rsidR="00D2231A" w:rsidRPr="007975C0" w:rsidRDefault="00D2231A" w:rsidP="00AC0818">
      <w:pPr>
        <w:numPr>
          <w:ilvl w:val="0"/>
          <w:numId w:val="27"/>
        </w:numPr>
        <w:spacing w:after="120" w:line="240" w:lineRule="auto"/>
        <w:jc w:val="both"/>
        <w:rPr>
          <w:rFonts w:eastAsia="Times New Roman" w:cstheme="majorHAnsi"/>
          <w:lang w:eastAsia="en-AU"/>
        </w:rPr>
      </w:pPr>
      <w:r w:rsidRPr="007975C0">
        <w:rPr>
          <w:rFonts w:eastAsia="Times New Roman" w:cstheme="majorHAnsi"/>
          <w:lang w:eastAsia="en-AU"/>
        </w:rPr>
        <w:t>Conduct a desk review of relevant documentation, including but not limited to documents included in the reading list attached.</w:t>
      </w:r>
    </w:p>
    <w:p w14:paraId="091AC5E0" w14:textId="77777777" w:rsidR="00D2231A" w:rsidRPr="007975C0" w:rsidRDefault="00D2231A" w:rsidP="00AC0818">
      <w:pPr>
        <w:numPr>
          <w:ilvl w:val="0"/>
          <w:numId w:val="27"/>
        </w:numPr>
        <w:spacing w:after="120" w:line="240" w:lineRule="auto"/>
        <w:jc w:val="both"/>
        <w:rPr>
          <w:rFonts w:eastAsia="Times New Roman" w:cstheme="majorHAnsi"/>
          <w:lang w:eastAsia="en-AU"/>
        </w:rPr>
      </w:pPr>
      <w:r w:rsidRPr="007975C0">
        <w:rPr>
          <w:rFonts w:eastAsia="Times New Roman" w:cstheme="majorHAnsi"/>
          <w:lang w:eastAsia="en-AU"/>
        </w:rPr>
        <w:t xml:space="preserve">Develop an evaluation plan, which will include methodology and report outline, indicate how the specific questions listed in the </w:t>
      </w:r>
      <w:r w:rsidR="00760392">
        <w:rPr>
          <w:rFonts w:eastAsia="Times New Roman" w:cstheme="majorHAnsi"/>
          <w:lang w:eastAsia="en-AU"/>
        </w:rPr>
        <w:t>‘</w:t>
      </w:r>
      <w:r w:rsidRPr="007975C0">
        <w:rPr>
          <w:rFonts w:eastAsia="Times New Roman" w:cstheme="majorHAnsi"/>
          <w:lang w:eastAsia="en-AU"/>
        </w:rPr>
        <w:t>Scope</w:t>
      </w:r>
      <w:r w:rsidR="00760392">
        <w:rPr>
          <w:rFonts w:eastAsia="Times New Roman" w:cstheme="majorHAnsi"/>
          <w:lang w:eastAsia="en-AU"/>
        </w:rPr>
        <w:t>’</w:t>
      </w:r>
      <w:r w:rsidRPr="007975C0">
        <w:rPr>
          <w:rFonts w:eastAsia="Times New Roman" w:cstheme="majorHAnsi"/>
          <w:lang w:eastAsia="en-AU"/>
        </w:rPr>
        <w:t xml:space="preserve"> section will be addressed and identify key respondents and further documentation as required.  It is expected the Program’s Monitoring and Evaluation Framework will form part of the evaluation plan and methodology but not be the only source of program performance measures.</w:t>
      </w:r>
    </w:p>
    <w:p w14:paraId="6325E6B5" w14:textId="77777777" w:rsidR="00D2231A" w:rsidRPr="007975C0" w:rsidRDefault="00D2231A" w:rsidP="00AC0818">
      <w:pPr>
        <w:numPr>
          <w:ilvl w:val="0"/>
          <w:numId w:val="27"/>
        </w:numPr>
        <w:spacing w:after="120" w:line="240" w:lineRule="auto"/>
        <w:jc w:val="both"/>
        <w:rPr>
          <w:rFonts w:eastAsia="Times New Roman" w:cstheme="majorHAnsi"/>
          <w:lang w:eastAsia="en-AU"/>
        </w:rPr>
      </w:pPr>
      <w:r w:rsidRPr="007975C0">
        <w:rPr>
          <w:rFonts w:eastAsia="Times New Roman" w:cstheme="majorHAnsi"/>
          <w:lang w:eastAsia="en-AU"/>
        </w:rPr>
        <w:t>Undertake one in-country visit to gather data in line with the review methodology.</w:t>
      </w:r>
      <w:r w:rsidRPr="007975C0" w:rsidDel="00D275B3">
        <w:rPr>
          <w:rFonts w:eastAsia="Times New Roman" w:cstheme="majorHAnsi"/>
          <w:lang w:eastAsia="en-AU"/>
        </w:rPr>
        <w:t xml:space="preserve"> </w:t>
      </w:r>
    </w:p>
    <w:p w14:paraId="4010A0C5" w14:textId="77777777" w:rsidR="00D2231A" w:rsidRPr="007975C0" w:rsidRDefault="00D2231A" w:rsidP="00AC0818">
      <w:pPr>
        <w:numPr>
          <w:ilvl w:val="0"/>
          <w:numId w:val="27"/>
        </w:numPr>
        <w:spacing w:after="120" w:line="240" w:lineRule="auto"/>
        <w:jc w:val="both"/>
        <w:rPr>
          <w:rFonts w:eastAsia="Times New Roman" w:cstheme="majorHAnsi"/>
          <w:lang w:eastAsia="en-AU"/>
        </w:rPr>
      </w:pPr>
      <w:r w:rsidRPr="007975C0">
        <w:rPr>
          <w:rFonts w:eastAsia="Times New Roman" w:cstheme="majorHAnsi"/>
          <w:lang w:eastAsia="en-AU"/>
        </w:rPr>
        <w:t>Develop an aide memoire summarising the key findings and recommendations to be presented at the debrief with key stakeholders in Tonga.</w:t>
      </w:r>
    </w:p>
    <w:p w14:paraId="58F47870" w14:textId="77777777" w:rsidR="00D2231A" w:rsidRPr="007975C0" w:rsidRDefault="00D2231A" w:rsidP="00AC0818">
      <w:pPr>
        <w:numPr>
          <w:ilvl w:val="0"/>
          <w:numId w:val="27"/>
        </w:numPr>
        <w:spacing w:after="0" w:line="240" w:lineRule="auto"/>
        <w:jc w:val="both"/>
        <w:rPr>
          <w:rFonts w:eastAsia="Times New Roman" w:cstheme="majorHAnsi"/>
          <w:lang w:eastAsia="en-AU"/>
        </w:rPr>
      </w:pPr>
      <w:r w:rsidRPr="007975C0">
        <w:rPr>
          <w:rFonts w:eastAsia="Times New Roman" w:cstheme="majorHAnsi"/>
          <w:lang w:eastAsia="en-AU"/>
        </w:rPr>
        <w:t xml:space="preserve">Draft a report for DFAT and the MoH detailing the key findings and recommendations.  </w:t>
      </w:r>
    </w:p>
    <w:p w14:paraId="35BD367B" w14:textId="77777777" w:rsidR="00D2231A" w:rsidRPr="007975C0" w:rsidRDefault="00D2231A" w:rsidP="00D2231A">
      <w:pPr>
        <w:spacing w:after="0" w:line="240" w:lineRule="auto"/>
        <w:rPr>
          <w:rFonts w:eastAsia="Times New Roman" w:cstheme="majorHAnsi"/>
          <w:lang w:eastAsia="en-AU"/>
        </w:rPr>
      </w:pPr>
    </w:p>
    <w:p w14:paraId="36DFE5B3" w14:textId="77777777" w:rsidR="005D2D39" w:rsidRDefault="005D2D39">
      <w:pPr>
        <w:rPr>
          <w:rFonts w:eastAsia="Times New Roman" w:cstheme="majorHAnsi"/>
          <w:lang w:eastAsia="en-AU"/>
        </w:rPr>
      </w:pPr>
      <w:r>
        <w:rPr>
          <w:rFonts w:eastAsia="Times New Roman" w:cstheme="majorHAnsi"/>
          <w:lang w:eastAsia="en-AU"/>
        </w:rPr>
        <w:br w:type="page"/>
      </w:r>
    </w:p>
    <w:p w14:paraId="467BD5C6" w14:textId="77777777" w:rsidR="00D2231A" w:rsidRPr="007975C0" w:rsidRDefault="00D2231A" w:rsidP="00D2231A">
      <w:pPr>
        <w:spacing w:after="0" w:line="360" w:lineRule="auto"/>
        <w:rPr>
          <w:rFonts w:eastAsia="Times New Roman" w:cstheme="majorHAnsi"/>
          <w:lang w:eastAsia="en-AU"/>
        </w:rPr>
      </w:pPr>
      <w:r w:rsidRPr="007975C0">
        <w:rPr>
          <w:rFonts w:eastAsia="Times New Roman" w:cstheme="majorHAnsi"/>
          <w:lang w:eastAsia="en-AU"/>
        </w:rPr>
        <w:lastRenderedPageBreak/>
        <w:t>The proposed inputs by activity is as follows:</w:t>
      </w:r>
    </w:p>
    <w:p w14:paraId="17C4ED4A" w14:textId="77777777" w:rsidR="00D2231A" w:rsidRPr="007975C0" w:rsidRDefault="00D2231A" w:rsidP="00D2231A">
      <w:pPr>
        <w:rPr>
          <w:rFonts w:cstheme="majorHAnsi"/>
          <w:b/>
        </w:rPr>
      </w:pPr>
      <w:bookmarkStart w:id="82" w:name="_Hlk525805863"/>
      <w:r w:rsidRPr="007975C0">
        <w:rPr>
          <w:rFonts w:cstheme="majorHAnsi"/>
          <w:b/>
        </w:rPr>
        <w:t>Appendix A: Proposed inputs by activity</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693"/>
        <w:gridCol w:w="1276"/>
        <w:gridCol w:w="1701"/>
        <w:gridCol w:w="1701"/>
        <w:gridCol w:w="1701"/>
      </w:tblGrid>
      <w:tr w:rsidR="00D2231A" w:rsidRPr="007975C0" w14:paraId="71C5023E" w14:textId="77777777" w:rsidTr="00ED187E">
        <w:trPr>
          <w:trHeight w:val="603"/>
        </w:trPr>
        <w:tc>
          <w:tcPr>
            <w:tcW w:w="1413" w:type="dxa"/>
            <w:vMerge w:val="restart"/>
            <w:shd w:val="clear" w:color="auto" w:fill="E6E6E6"/>
            <w:vAlign w:val="center"/>
          </w:tcPr>
          <w:p w14:paraId="78CFF9FC" w14:textId="77777777" w:rsidR="00D2231A" w:rsidRPr="007975C0" w:rsidRDefault="00D2231A" w:rsidP="00ED187E">
            <w:pPr>
              <w:spacing w:before="120" w:line="240" w:lineRule="auto"/>
              <w:jc w:val="center"/>
              <w:rPr>
                <w:rFonts w:cstheme="majorHAnsi"/>
                <w:b/>
              </w:rPr>
            </w:pPr>
            <w:r w:rsidRPr="007975C0">
              <w:rPr>
                <w:rFonts w:cstheme="majorHAnsi"/>
                <w:b/>
              </w:rPr>
              <w:t>Dates</w:t>
            </w:r>
          </w:p>
        </w:tc>
        <w:tc>
          <w:tcPr>
            <w:tcW w:w="2693" w:type="dxa"/>
            <w:vMerge w:val="restart"/>
            <w:shd w:val="clear" w:color="auto" w:fill="E6E6E6"/>
            <w:vAlign w:val="center"/>
          </w:tcPr>
          <w:p w14:paraId="5DB62B09" w14:textId="77777777" w:rsidR="00D2231A" w:rsidRPr="007975C0" w:rsidRDefault="00D2231A" w:rsidP="00ED187E">
            <w:pPr>
              <w:spacing w:before="120" w:line="240" w:lineRule="auto"/>
              <w:jc w:val="center"/>
              <w:rPr>
                <w:rFonts w:cstheme="majorHAnsi"/>
                <w:b/>
              </w:rPr>
            </w:pPr>
            <w:r w:rsidRPr="007975C0">
              <w:rPr>
                <w:rFonts w:cstheme="majorHAnsi"/>
                <w:b/>
              </w:rPr>
              <w:t>Activity</w:t>
            </w:r>
          </w:p>
        </w:tc>
        <w:tc>
          <w:tcPr>
            <w:tcW w:w="1276" w:type="dxa"/>
            <w:vMerge w:val="restart"/>
            <w:shd w:val="clear" w:color="auto" w:fill="E6E6E6"/>
            <w:vAlign w:val="center"/>
          </w:tcPr>
          <w:p w14:paraId="309DE717" w14:textId="77777777" w:rsidR="00D2231A" w:rsidRPr="007975C0" w:rsidRDefault="00D2231A" w:rsidP="00ED187E">
            <w:pPr>
              <w:spacing w:before="120" w:line="240" w:lineRule="auto"/>
              <w:jc w:val="center"/>
              <w:rPr>
                <w:rFonts w:cstheme="majorHAnsi"/>
                <w:b/>
              </w:rPr>
            </w:pPr>
            <w:r w:rsidRPr="007975C0">
              <w:rPr>
                <w:rFonts w:cstheme="majorHAnsi"/>
                <w:b/>
              </w:rPr>
              <w:t>Location</w:t>
            </w:r>
          </w:p>
        </w:tc>
        <w:tc>
          <w:tcPr>
            <w:tcW w:w="5103" w:type="dxa"/>
            <w:gridSpan w:val="3"/>
            <w:shd w:val="clear" w:color="auto" w:fill="E6E6E6"/>
          </w:tcPr>
          <w:p w14:paraId="34B729A2" w14:textId="77777777" w:rsidR="00D2231A" w:rsidRPr="007975C0" w:rsidRDefault="00D2231A" w:rsidP="00ED187E">
            <w:pPr>
              <w:spacing w:before="120" w:line="240" w:lineRule="auto"/>
              <w:jc w:val="center"/>
              <w:rPr>
                <w:rFonts w:cstheme="majorHAnsi"/>
                <w:b/>
              </w:rPr>
            </w:pPr>
            <w:r w:rsidRPr="007975C0">
              <w:rPr>
                <w:rFonts w:cstheme="majorHAnsi"/>
                <w:b/>
              </w:rPr>
              <w:t>Maximum No of Days</w:t>
            </w:r>
          </w:p>
        </w:tc>
      </w:tr>
      <w:tr w:rsidR="00D2231A" w:rsidRPr="007975C0" w14:paraId="6EFB2DE5" w14:textId="77777777" w:rsidTr="00ED187E">
        <w:trPr>
          <w:trHeight w:val="527"/>
        </w:trPr>
        <w:tc>
          <w:tcPr>
            <w:tcW w:w="1413" w:type="dxa"/>
            <w:vMerge/>
            <w:shd w:val="clear" w:color="auto" w:fill="auto"/>
            <w:vAlign w:val="center"/>
          </w:tcPr>
          <w:p w14:paraId="2DF3EEEC" w14:textId="77777777" w:rsidR="00D2231A" w:rsidRPr="007975C0" w:rsidRDefault="00D2231A" w:rsidP="00ED187E">
            <w:pPr>
              <w:spacing w:before="120" w:line="240" w:lineRule="auto"/>
              <w:rPr>
                <w:rFonts w:cstheme="majorHAnsi"/>
                <w:b/>
              </w:rPr>
            </w:pPr>
          </w:p>
        </w:tc>
        <w:tc>
          <w:tcPr>
            <w:tcW w:w="2693" w:type="dxa"/>
            <w:vMerge/>
            <w:shd w:val="clear" w:color="auto" w:fill="auto"/>
            <w:vAlign w:val="center"/>
          </w:tcPr>
          <w:p w14:paraId="0221AAE1" w14:textId="77777777" w:rsidR="00D2231A" w:rsidRPr="007975C0" w:rsidRDefault="00D2231A" w:rsidP="00ED187E">
            <w:pPr>
              <w:spacing w:before="120" w:line="240" w:lineRule="auto"/>
              <w:rPr>
                <w:rFonts w:cstheme="majorHAnsi"/>
                <w:b/>
              </w:rPr>
            </w:pPr>
          </w:p>
        </w:tc>
        <w:tc>
          <w:tcPr>
            <w:tcW w:w="1276" w:type="dxa"/>
            <w:vMerge/>
            <w:shd w:val="clear" w:color="auto" w:fill="auto"/>
            <w:vAlign w:val="center"/>
          </w:tcPr>
          <w:p w14:paraId="60A536BA" w14:textId="77777777" w:rsidR="00D2231A" w:rsidRPr="007975C0" w:rsidRDefault="00D2231A" w:rsidP="00ED187E">
            <w:pPr>
              <w:spacing w:before="120" w:line="240" w:lineRule="auto"/>
              <w:rPr>
                <w:rFonts w:cstheme="majorHAnsi"/>
                <w:b/>
              </w:rPr>
            </w:pPr>
          </w:p>
        </w:tc>
        <w:tc>
          <w:tcPr>
            <w:tcW w:w="1701" w:type="dxa"/>
            <w:shd w:val="clear" w:color="auto" w:fill="E6E6E6"/>
            <w:vAlign w:val="center"/>
          </w:tcPr>
          <w:p w14:paraId="3D31783B" w14:textId="77777777" w:rsidR="00D2231A" w:rsidRPr="007975C0" w:rsidRDefault="00D2231A" w:rsidP="00ED187E">
            <w:pPr>
              <w:spacing w:after="0" w:line="240" w:lineRule="auto"/>
              <w:rPr>
                <w:rFonts w:cstheme="majorHAnsi"/>
                <w:b/>
              </w:rPr>
            </w:pPr>
            <w:r w:rsidRPr="007975C0">
              <w:rPr>
                <w:rFonts w:cstheme="majorHAnsi"/>
                <w:b/>
              </w:rPr>
              <w:t xml:space="preserve">Team Leader </w:t>
            </w:r>
          </w:p>
        </w:tc>
        <w:tc>
          <w:tcPr>
            <w:tcW w:w="1701" w:type="dxa"/>
            <w:shd w:val="clear" w:color="auto" w:fill="E6E6E6"/>
          </w:tcPr>
          <w:p w14:paraId="2DDE472D" w14:textId="77777777" w:rsidR="00D2231A" w:rsidRPr="007975C0" w:rsidRDefault="00D2231A" w:rsidP="00ED187E">
            <w:pPr>
              <w:spacing w:before="120" w:line="240" w:lineRule="auto"/>
              <w:rPr>
                <w:rFonts w:cstheme="majorHAnsi"/>
                <w:b/>
              </w:rPr>
            </w:pPr>
            <w:r w:rsidRPr="007975C0">
              <w:rPr>
                <w:rFonts w:cstheme="majorHAnsi"/>
                <w:b/>
              </w:rPr>
              <w:t>Health financing specialist</w:t>
            </w:r>
          </w:p>
        </w:tc>
        <w:tc>
          <w:tcPr>
            <w:tcW w:w="1701" w:type="dxa"/>
            <w:shd w:val="clear" w:color="auto" w:fill="E6E6E6"/>
          </w:tcPr>
          <w:p w14:paraId="435D57B9" w14:textId="77777777" w:rsidR="00D2231A" w:rsidRPr="007975C0" w:rsidRDefault="00D2231A" w:rsidP="00ED187E">
            <w:pPr>
              <w:spacing w:before="120" w:line="240" w:lineRule="auto"/>
              <w:rPr>
                <w:rFonts w:cstheme="majorHAnsi"/>
                <w:b/>
              </w:rPr>
            </w:pPr>
            <w:r w:rsidRPr="007975C0">
              <w:rPr>
                <w:rFonts w:cstheme="majorHAnsi"/>
                <w:b/>
              </w:rPr>
              <w:t>NCD Service Delivery Specialist</w:t>
            </w:r>
          </w:p>
        </w:tc>
      </w:tr>
      <w:tr w:rsidR="00D2231A" w:rsidRPr="007975C0" w14:paraId="53A14E8B" w14:textId="77777777" w:rsidTr="00ED187E">
        <w:tc>
          <w:tcPr>
            <w:tcW w:w="1413" w:type="dxa"/>
            <w:shd w:val="clear" w:color="auto" w:fill="auto"/>
            <w:vAlign w:val="center"/>
          </w:tcPr>
          <w:p w14:paraId="351C944A" w14:textId="77777777" w:rsidR="00D2231A" w:rsidRPr="007975C0" w:rsidRDefault="00D2231A" w:rsidP="00ED187E">
            <w:pPr>
              <w:spacing w:before="120" w:line="240" w:lineRule="auto"/>
              <w:jc w:val="center"/>
              <w:rPr>
                <w:rFonts w:cstheme="majorHAnsi"/>
              </w:rPr>
            </w:pPr>
            <w:r w:rsidRPr="007975C0">
              <w:rPr>
                <w:rFonts w:cstheme="majorHAnsi"/>
              </w:rPr>
              <w:t>22 October -1 November 2018</w:t>
            </w:r>
          </w:p>
        </w:tc>
        <w:tc>
          <w:tcPr>
            <w:tcW w:w="2693" w:type="dxa"/>
            <w:shd w:val="clear" w:color="auto" w:fill="auto"/>
            <w:vAlign w:val="center"/>
          </w:tcPr>
          <w:p w14:paraId="2471BC84" w14:textId="77777777" w:rsidR="00D2231A" w:rsidRPr="007975C0" w:rsidRDefault="00D2231A" w:rsidP="00ED187E">
            <w:pPr>
              <w:spacing w:before="120" w:line="240" w:lineRule="auto"/>
              <w:jc w:val="center"/>
              <w:rPr>
                <w:rFonts w:cstheme="majorHAnsi"/>
              </w:rPr>
            </w:pPr>
            <w:r w:rsidRPr="007975C0">
              <w:rPr>
                <w:rFonts w:cstheme="majorHAnsi"/>
              </w:rPr>
              <w:t>Background reading / /Briefing/Review plan</w:t>
            </w:r>
          </w:p>
        </w:tc>
        <w:tc>
          <w:tcPr>
            <w:tcW w:w="1276" w:type="dxa"/>
            <w:shd w:val="clear" w:color="auto" w:fill="auto"/>
            <w:vAlign w:val="center"/>
          </w:tcPr>
          <w:p w14:paraId="3A59E16E" w14:textId="77777777" w:rsidR="00D2231A" w:rsidRPr="007975C0" w:rsidRDefault="00D2231A" w:rsidP="00ED187E">
            <w:pPr>
              <w:spacing w:before="120" w:line="240" w:lineRule="auto"/>
              <w:jc w:val="center"/>
              <w:rPr>
                <w:rFonts w:cstheme="majorHAnsi"/>
              </w:rPr>
            </w:pPr>
            <w:r w:rsidRPr="007975C0">
              <w:rPr>
                <w:rFonts w:cstheme="majorHAnsi"/>
              </w:rPr>
              <w:t>At base</w:t>
            </w:r>
          </w:p>
        </w:tc>
        <w:tc>
          <w:tcPr>
            <w:tcW w:w="1701" w:type="dxa"/>
            <w:shd w:val="clear" w:color="auto" w:fill="auto"/>
            <w:vAlign w:val="center"/>
          </w:tcPr>
          <w:p w14:paraId="252A0BC2" w14:textId="77777777" w:rsidR="00D2231A" w:rsidRPr="007975C0" w:rsidRDefault="00D2231A" w:rsidP="00ED187E">
            <w:pPr>
              <w:spacing w:before="120" w:line="240" w:lineRule="auto"/>
              <w:jc w:val="center"/>
              <w:rPr>
                <w:rFonts w:cstheme="majorHAnsi"/>
              </w:rPr>
            </w:pPr>
            <w:r w:rsidRPr="007975C0">
              <w:rPr>
                <w:rFonts w:cstheme="majorHAnsi"/>
              </w:rPr>
              <w:t>Up to 3 days</w:t>
            </w:r>
          </w:p>
        </w:tc>
        <w:tc>
          <w:tcPr>
            <w:tcW w:w="1701" w:type="dxa"/>
            <w:vAlign w:val="center"/>
          </w:tcPr>
          <w:p w14:paraId="5911E04D" w14:textId="77777777" w:rsidR="00D2231A" w:rsidRPr="007975C0" w:rsidRDefault="00D2231A" w:rsidP="00ED187E">
            <w:pPr>
              <w:spacing w:before="120" w:line="240" w:lineRule="auto"/>
              <w:jc w:val="center"/>
              <w:rPr>
                <w:rFonts w:cstheme="majorHAnsi"/>
              </w:rPr>
            </w:pPr>
            <w:r w:rsidRPr="007975C0">
              <w:rPr>
                <w:rFonts w:cstheme="majorHAnsi"/>
              </w:rPr>
              <w:t>Up to 3 days</w:t>
            </w:r>
          </w:p>
        </w:tc>
        <w:tc>
          <w:tcPr>
            <w:tcW w:w="1701" w:type="dxa"/>
            <w:vAlign w:val="center"/>
          </w:tcPr>
          <w:p w14:paraId="1DD6C71C" w14:textId="77777777" w:rsidR="00D2231A" w:rsidRPr="007975C0" w:rsidRDefault="00D2231A" w:rsidP="00ED187E">
            <w:pPr>
              <w:spacing w:before="120" w:line="240" w:lineRule="auto"/>
              <w:jc w:val="center"/>
              <w:rPr>
                <w:rFonts w:cstheme="majorHAnsi"/>
              </w:rPr>
            </w:pPr>
            <w:r w:rsidRPr="007975C0">
              <w:rPr>
                <w:rFonts w:cstheme="majorHAnsi"/>
              </w:rPr>
              <w:t>Up to 3 days</w:t>
            </w:r>
          </w:p>
        </w:tc>
      </w:tr>
      <w:tr w:rsidR="00D2231A" w:rsidRPr="007975C0" w14:paraId="3727BD20" w14:textId="77777777" w:rsidTr="00ED187E">
        <w:tc>
          <w:tcPr>
            <w:tcW w:w="1413" w:type="dxa"/>
            <w:shd w:val="clear" w:color="auto" w:fill="auto"/>
            <w:vAlign w:val="center"/>
          </w:tcPr>
          <w:p w14:paraId="6E4F0E5F" w14:textId="77777777" w:rsidR="00D2231A" w:rsidRPr="007975C0" w:rsidRDefault="00D2231A" w:rsidP="00ED187E">
            <w:pPr>
              <w:spacing w:before="120" w:line="240" w:lineRule="auto"/>
              <w:jc w:val="center"/>
              <w:rPr>
                <w:rFonts w:cstheme="majorHAnsi"/>
              </w:rPr>
            </w:pPr>
            <w:r w:rsidRPr="007975C0">
              <w:rPr>
                <w:rFonts w:cstheme="majorHAnsi"/>
              </w:rPr>
              <w:t>22 October -8 November 2018</w:t>
            </w:r>
          </w:p>
        </w:tc>
        <w:tc>
          <w:tcPr>
            <w:tcW w:w="2693" w:type="dxa"/>
            <w:shd w:val="clear" w:color="auto" w:fill="auto"/>
            <w:vAlign w:val="center"/>
          </w:tcPr>
          <w:p w14:paraId="69E75795" w14:textId="77777777" w:rsidR="00D2231A" w:rsidRPr="007975C0" w:rsidRDefault="00D2231A" w:rsidP="00ED187E">
            <w:pPr>
              <w:spacing w:before="120" w:line="240" w:lineRule="auto"/>
              <w:jc w:val="center"/>
              <w:rPr>
                <w:rFonts w:cstheme="majorHAnsi"/>
              </w:rPr>
            </w:pPr>
            <w:r w:rsidRPr="007975C0">
              <w:rPr>
                <w:rFonts w:cstheme="majorHAnsi"/>
              </w:rPr>
              <w:t>Preparation/Submit of Evaluation Plan</w:t>
            </w:r>
          </w:p>
        </w:tc>
        <w:tc>
          <w:tcPr>
            <w:tcW w:w="1276" w:type="dxa"/>
            <w:shd w:val="clear" w:color="auto" w:fill="auto"/>
            <w:vAlign w:val="center"/>
          </w:tcPr>
          <w:p w14:paraId="6B17DFBE" w14:textId="77777777" w:rsidR="00D2231A" w:rsidRPr="007975C0" w:rsidRDefault="00D2231A" w:rsidP="00ED187E">
            <w:pPr>
              <w:spacing w:before="120" w:line="240" w:lineRule="auto"/>
              <w:jc w:val="center"/>
              <w:rPr>
                <w:rFonts w:cstheme="majorHAnsi"/>
              </w:rPr>
            </w:pPr>
            <w:r w:rsidRPr="007975C0">
              <w:rPr>
                <w:rFonts w:cstheme="majorHAnsi"/>
              </w:rPr>
              <w:t>At base</w:t>
            </w:r>
          </w:p>
        </w:tc>
        <w:tc>
          <w:tcPr>
            <w:tcW w:w="1701" w:type="dxa"/>
            <w:shd w:val="clear" w:color="auto" w:fill="auto"/>
            <w:vAlign w:val="center"/>
          </w:tcPr>
          <w:p w14:paraId="0DEF7C74" w14:textId="77777777" w:rsidR="00D2231A" w:rsidRPr="007975C0" w:rsidRDefault="00D2231A" w:rsidP="00ED187E">
            <w:pPr>
              <w:spacing w:before="120" w:line="240" w:lineRule="auto"/>
              <w:jc w:val="center"/>
              <w:rPr>
                <w:rFonts w:cstheme="majorHAnsi"/>
              </w:rPr>
            </w:pPr>
            <w:r w:rsidRPr="007975C0">
              <w:rPr>
                <w:rFonts w:cstheme="majorHAnsi"/>
              </w:rPr>
              <w:t>Up to 2 days</w:t>
            </w:r>
          </w:p>
        </w:tc>
        <w:tc>
          <w:tcPr>
            <w:tcW w:w="1701" w:type="dxa"/>
            <w:vAlign w:val="center"/>
          </w:tcPr>
          <w:p w14:paraId="37862E81" w14:textId="77777777" w:rsidR="00D2231A" w:rsidRPr="007975C0" w:rsidRDefault="00D2231A" w:rsidP="00ED187E">
            <w:pPr>
              <w:spacing w:before="120" w:line="240" w:lineRule="auto"/>
              <w:jc w:val="center"/>
              <w:rPr>
                <w:rFonts w:cstheme="majorHAnsi"/>
              </w:rPr>
            </w:pPr>
            <w:r w:rsidRPr="007975C0">
              <w:rPr>
                <w:rFonts w:cstheme="majorHAnsi"/>
              </w:rPr>
              <w:t>Up to 2 day</w:t>
            </w:r>
          </w:p>
        </w:tc>
        <w:tc>
          <w:tcPr>
            <w:tcW w:w="1701" w:type="dxa"/>
            <w:vAlign w:val="center"/>
          </w:tcPr>
          <w:p w14:paraId="31B2E5D4" w14:textId="77777777" w:rsidR="00D2231A" w:rsidRPr="007975C0" w:rsidRDefault="00D2231A" w:rsidP="00ED187E">
            <w:pPr>
              <w:spacing w:before="120" w:line="240" w:lineRule="auto"/>
              <w:jc w:val="center"/>
              <w:rPr>
                <w:rFonts w:cstheme="majorHAnsi"/>
              </w:rPr>
            </w:pPr>
            <w:r w:rsidRPr="007975C0">
              <w:rPr>
                <w:rFonts w:cstheme="majorHAnsi"/>
              </w:rPr>
              <w:t>Up to 2 day</w:t>
            </w:r>
          </w:p>
        </w:tc>
      </w:tr>
      <w:tr w:rsidR="00D2231A" w:rsidRPr="007975C0" w14:paraId="5C89F098" w14:textId="77777777" w:rsidTr="00ED187E">
        <w:tc>
          <w:tcPr>
            <w:tcW w:w="1413" w:type="dxa"/>
            <w:shd w:val="clear" w:color="auto" w:fill="auto"/>
            <w:vAlign w:val="center"/>
          </w:tcPr>
          <w:p w14:paraId="0A8F3691" w14:textId="77777777" w:rsidR="00D2231A" w:rsidRPr="007975C0" w:rsidRDefault="00D2231A" w:rsidP="00ED187E">
            <w:pPr>
              <w:spacing w:before="120" w:line="240" w:lineRule="auto"/>
              <w:jc w:val="center"/>
              <w:rPr>
                <w:rFonts w:cstheme="majorHAnsi"/>
              </w:rPr>
            </w:pPr>
            <w:r w:rsidRPr="007975C0">
              <w:rPr>
                <w:rFonts w:cstheme="majorHAnsi"/>
              </w:rPr>
              <w:t>17-18 November</w:t>
            </w:r>
          </w:p>
        </w:tc>
        <w:tc>
          <w:tcPr>
            <w:tcW w:w="2693" w:type="dxa"/>
            <w:shd w:val="clear" w:color="auto" w:fill="auto"/>
            <w:vAlign w:val="center"/>
          </w:tcPr>
          <w:p w14:paraId="332D0629" w14:textId="77777777" w:rsidR="00D2231A" w:rsidRPr="007975C0" w:rsidRDefault="00D2231A" w:rsidP="00ED187E">
            <w:pPr>
              <w:spacing w:before="120" w:line="240" w:lineRule="auto"/>
              <w:jc w:val="center"/>
              <w:rPr>
                <w:rFonts w:cstheme="majorHAnsi"/>
              </w:rPr>
            </w:pPr>
            <w:r w:rsidRPr="007975C0">
              <w:rPr>
                <w:rFonts w:cstheme="majorHAnsi"/>
              </w:rPr>
              <w:t>Travel to Tonga</w:t>
            </w:r>
          </w:p>
        </w:tc>
        <w:tc>
          <w:tcPr>
            <w:tcW w:w="1276" w:type="dxa"/>
            <w:shd w:val="clear" w:color="auto" w:fill="auto"/>
            <w:vAlign w:val="center"/>
          </w:tcPr>
          <w:p w14:paraId="6152102F" w14:textId="77777777" w:rsidR="00D2231A" w:rsidRPr="007975C0" w:rsidRDefault="00D2231A" w:rsidP="00ED187E">
            <w:pPr>
              <w:spacing w:before="120" w:line="240" w:lineRule="auto"/>
              <w:jc w:val="center"/>
              <w:rPr>
                <w:rFonts w:cstheme="majorHAnsi"/>
              </w:rPr>
            </w:pPr>
          </w:p>
        </w:tc>
        <w:tc>
          <w:tcPr>
            <w:tcW w:w="1701" w:type="dxa"/>
            <w:shd w:val="clear" w:color="auto" w:fill="auto"/>
            <w:vAlign w:val="center"/>
          </w:tcPr>
          <w:p w14:paraId="2443CB3E" w14:textId="77777777" w:rsidR="00D2231A" w:rsidRPr="007975C0" w:rsidRDefault="00D2231A" w:rsidP="00ED187E">
            <w:pPr>
              <w:spacing w:before="120" w:line="240" w:lineRule="auto"/>
              <w:jc w:val="center"/>
              <w:rPr>
                <w:rFonts w:cstheme="majorHAnsi"/>
              </w:rPr>
            </w:pPr>
            <w:r w:rsidRPr="007975C0">
              <w:rPr>
                <w:rFonts w:cstheme="majorHAnsi"/>
              </w:rPr>
              <w:t>Up to 2 days</w:t>
            </w:r>
          </w:p>
        </w:tc>
        <w:tc>
          <w:tcPr>
            <w:tcW w:w="1701" w:type="dxa"/>
            <w:vAlign w:val="center"/>
          </w:tcPr>
          <w:p w14:paraId="57D8E024" w14:textId="77777777" w:rsidR="00D2231A" w:rsidRPr="007975C0" w:rsidRDefault="00D2231A" w:rsidP="00ED187E">
            <w:pPr>
              <w:spacing w:before="120" w:line="240" w:lineRule="auto"/>
              <w:jc w:val="center"/>
              <w:rPr>
                <w:rFonts w:cstheme="majorHAnsi"/>
              </w:rPr>
            </w:pPr>
            <w:r w:rsidRPr="007975C0">
              <w:rPr>
                <w:rFonts w:cstheme="majorHAnsi"/>
              </w:rPr>
              <w:t>Up to 2 days</w:t>
            </w:r>
          </w:p>
        </w:tc>
        <w:tc>
          <w:tcPr>
            <w:tcW w:w="1701" w:type="dxa"/>
            <w:vAlign w:val="center"/>
          </w:tcPr>
          <w:p w14:paraId="361B9E05" w14:textId="77777777" w:rsidR="00D2231A" w:rsidRPr="007975C0" w:rsidRDefault="00D2231A" w:rsidP="00ED187E">
            <w:pPr>
              <w:spacing w:before="120" w:line="240" w:lineRule="auto"/>
              <w:jc w:val="center"/>
              <w:rPr>
                <w:rFonts w:cstheme="majorHAnsi"/>
              </w:rPr>
            </w:pPr>
            <w:r w:rsidRPr="007975C0">
              <w:rPr>
                <w:rFonts w:cstheme="majorHAnsi"/>
              </w:rPr>
              <w:t>Up to 2 days</w:t>
            </w:r>
          </w:p>
        </w:tc>
      </w:tr>
      <w:tr w:rsidR="00D2231A" w:rsidRPr="007975C0" w14:paraId="30650C93" w14:textId="77777777" w:rsidTr="00ED187E">
        <w:trPr>
          <w:trHeight w:val="480"/>
        </w:trPr>
        <w:tc>
          <w:tcPr>
            <w:tcW w:w="1413" w:type="dxa"/>
            <w:shd w:val="clear" w:color="auto" w:fill="auto"/>
            <w:vAlign w:val="center"/>
          </w:tcPr>
          <w:p w14:paraId="32DFDBB3" w14:textId="77777777" w:rsidR="00D2231A" w:rsidRPr="007975C0" w:rsidRDefault="00D2231A" w:rsidP="00ED187E">
            <w:pPr>
              <w:spacing w:before="120" w:line="240" w:lineRule="auto"/>
              <w:jc w:val="center"/>
              <w:rPr>
                <w:rFonts w:cstheme="majorHAnsi"/>
              </w:rPr>
            </w:pPr>
            <w:r w:rsidRPr="007975C0">
              <w:rPr>
                <w:rFonts w:cstheme="majorHAnsi"/>
              </w:rPr>
              <w:t>19-30 November</w:t>
            </w:r>
          </w:p>
        </w:tc>
        <w:tc>
          <w:tcPr>
            <w:tcW w:w="2693" w:type="dxa"/>
            <w:shd w:val="clear" w:color="auto" w:fill="auto"/>
            <w:vAlign w:val="center"/>
          </w:tcPr>
          <w:p w14:paraId="50FC2BC2" w14:textId="77777777" w:rsidR="00D2231A" w:rsidRPr="007975C0" w:rsidRDefault="00D2231A" w:rsidP="00ED187E">
            <w:pPr>
              <w:spacing w:before="120" w:line="240" w:lineRule="auto"/>
              <w:jc w:val="center"/>
              <w:rPr>
                <w:rFonts w:cstheme="majorHAnsi"/>
              </w:rPr>
            </w:pPr>
            <w:r w:rsidRPr="007975C0">
              <w:rPr>
                <w:rFonts w:cstheme="majorHAnsi"/>
              </w:rPr>
              <w:t>On-island mission. Stand Up Steering Committee</w:t>
            </w:r>
          </w:p>
        </w:tc>
        <w:tc>
          <w:tcPr>
            <w:tcW w:w="1276" w:type="dxa"/>
            <w:shd w:val="clear" w:color="auto" w:fill="auto"/>
            <w:vAlign w:val="center"/>
          </w:tcPr>
          <w:p w14:paraId="7527811F" w14:textId="77777777" w:rsidR="00D2231A" w:rsidRPr="007975C0" w:rsidRDefault="00D2231A" w:rsidP="00ED187E">
            <w:pPr>
              <w:spacing w:before="120" w:line="240" w:lineRule="auto"/>
              <w:jc w:val="center"/>
              <w:rPr>
                <w:rFonts w:cstheme="majorHAnsi"/>
              </w:rPr>
            </w:pPr>
            <w:r w:rsidRPr="007975C0">
              <w:rPr>
                <w:rFonts w:cstheme="majorHAnsi"/>
              </w:rPr>
              <w:t>Tonga</w:t>
            </w:r>
          </w:p>
        </w:tc>
        <w:tc>
          <w:tcPr>
            <w:tcW w:w="1701" w:type="dxa"/>
            <w:shd w:val="clear" w:color="auto" w:fill="auto"/>
            <w:vAlign w:val="center"/>
          </w:tcPr>
          <w:p w14:paraId="079185B1" w14:textId="77777777" w:rsidR="00D2231A" w:rsidRPr="007975C0" w:rsidRDefault="00D2231A" w:rsidP="00ED187E">
            <w:pPr>
              <w:spacing w:before="120" w:line="240" w:lineRule="auto"/>
              <w:jc w:val="center"/>
              <w:rPr>
                <w:rFonts w:cstheme="majorHAnsi"/>
              </w:rPr>
            </w:pPr>
            <w:r w:rsidRPr="007975C0">
              <w:rPr>
                <w:rFonts w:cstheme="majorHAnsi"/>
              </w:rPr>
              <w:t>Up to 12 days</w:t>
            </w:r>
          </w:p>
        </w:tc>
        <w:tc>
          <w:tcPr>
            <w:tcW w:w="1701" w:type="dxa"/>
            <w:vAlign w:val="center"/>
          </w:tcPr>
          <w:p w14:paraId="74C27B7D" w14:textId="77777777" w:rsidR="00D2231A" w:rsidRPr="007975C0" w:rsidRDefault="00D2231A" w:rsidP="00ED187E">
            <w:pPr>
              <w:spacing w:before="120" w:line="240" w:lineRule="auto"/>
              <w:jc w:val="center"/>
              <w:rPr>
                <w:rFonts w:cstheme="majorHAnsi"/>
              </w:rPr>
            </w:pPr>
            <w:r w:rsidRPr="007975C0">
              <w:rPr>
                <w:rFonts w:cstheme="majorHAnsi"/>
              </w:rPr>
              <w:t>Up to 12 days</w:t>
            </w:r>
          </w:p>
        </w:tc>
        <w:tc>
          <w:tcPr>
            <w:tcW w:w="1701" w:type="dxa"/>
            <w:vAlign w:val="center"/>
          </w:tcPr>
          <w:p w14:paraId="64086058" w14:textId="77777777" w:rsidR="00D2231A" w:rsidRPr="007975C0" w:rsidRDefault="00D2231A" w:rsidP="00ED187E">
            <w:pPr>
              <w:spacing w:before="120" w:line="240" w:lineRule="auto"/>
              <w:jc w:val="center"/>
              <w:rPr>
                <w:rFonts w:cstheme="majorHAnsi"/>
              </w:rPr>
            </w:pPr>
            <w:r w:rsidRPr="007975C0">
              <w:rPr>
                <w:rFonts w:cstheme="majorHAnsi"/>
              </w:rPr>
              <w:t>Up to 12 days</w:t>
            </w:r>
          </w:p>
        </w:tc>
      </w:tr>
      <w:tr w:rsidR="00D2231A" w:rsidRPr="007975C0" w14:paraId="14BA2102" w14:textId="77777777" w:rsidTr="00ED187E">
        <w:trPr>
          <w:trHeight w:val="480"/>
        </w:trPr>
        <w:tc>
          <w:tcPr>
            <w:tcW w:w="1413" w:type="dxa"/>
            <w:shd w:val="clear" w:color="auto" w:fill="auto"/>
            <w:vAlign w:val="center"/>
          </w:tcPr>
          <w:p w14:paraId="2FA03FDD" w14:textId="77777777" w:rsidR="00D2231A" w:rsidRPr="007975C0" w:rsidRDefault="00D2231A" w:rsidP="00ED187E">
            <w:pPr>
              <w:spacing w:before="120" w:line="240" w:lineRule="auto"/>
              <w:jc w:val="center"/>
              <w:rPr>
                <w:rFonts w:cstheme="majorHAnsi"/>
              </w:rPr>
            </w:pPr>
            <w:r w:rsidRPr="007975C0">
              <w:rPr>
                <w:rFonts w:cstheme="majorHAnsi"/>
              </w:rPr>
              <w:t>30 November</w:t>
            </w:r>
          </w:p>
        </w:tc>
        <w:tc>
          <w:tcPr>
            <w:tcW w:w="2693" w:type="dxa"/>
            <w:shd w:val="clear" w:color="auto" w:fill="auto"/>
            <w:vAlign w:val="center"/>
          </w:tcPr>
          <w:p w14:paraId="31BEE0AC" w14:textId="77777777" w:rsidR="00D2231A" w:rsidRPr="007975C0" w:rsidRDefault="00D2231A" w:rsidP="00ED187E">
            <w:pPr>
              <w:spacing w:before="120" w:line="240" w:lineRule="auto"/>
              <w:jc w:val="center"/>
              <w:rPr>
                <w:rFonts w:cstheme="majorHAnsi"/>
              </w:rPr>
            </w:pPr>
            <w:r w:rsidRPr="007975C0">
              <w:rPr>
                <w:rFonts w:cstheme="majorHAnsi"/>
              </w:rPr>
              <w:t>Aide Memoire presentation findings &amp; preliminary recommendations</w:t>
            </w:r>
          </w:p>
        </w:tc>
        <w:tc>
          <w:tcPr>
            <w:tcW w:w="1276" w:type="dxa"/>
            <w:shd w:val="clear" w:color="auto" w:fill="auto"/>
            <w:vAlign w:val="center"/>
          </w:tcPr>
          <w:p w14:paraId="02BDE2BB" w14:textId="77777777" w:rsidR="00D2231A" w:rsidRPr="007975C0" w:rsidRDefault="00D2231A" w:rsidP="00ED187E">
            <w:pPr>
              <w:spacing w:before="120" w:line="240" w:lineRule="auto"/>
              <w:jc w:val="center"/>
              <w:rPr>
                <w:rFonts w:cstheme="majorHAnsi"/>
              </w:rPr>
            </w:pPr>
            <w:r w:rsidRPr="007975C0">
              <w:rPr>
                <w:rFonts w:cstheme="majorHAnsi"/>
              </w:rPr>
              <w:t>Tonga</w:t>
            </w:r>
          </w:p>
        </w:tc>
        <w:tc>
          <w:tcPr>
            <w:tcW w:w="1701" w:type="dxa"/>
            <w:shd w:val="clear" w:color="auto" w:fill="auto"/>
            <w:vAlign w:val="center"/>
          </w:tcPr>
          <w:p w14:paraId="49AFD4E8" w14:textId="77777777" w:rsidR="00D2231A" w:rsidRPr="007975C0" w:rsidRDefault="00D2231A" w:rsidP="00ED187E">
            <w:pPr>
              <w:spacing w:before="120" w:line="240" w:lineRule="auto"/>
              <w:jc w:val="center"/>
              <w:rPr>
                <w:rFonts w:cstheme="majorHAnsi"/>
              </w:rPr>
            </w:pPr>
          </w:p>
        </w:tc>
        <w:tc>
          <w:tcPr>
            <w:tcW w:w="1701" w:type="dxa"/>
            <w:vAlign w:val="center"/>
          </w:tcPr>
          <w:p w14:paraId="7987B23B" w14:textId="77777777" w:rsidR="00D2231A" w:rsidRPr="007975C0" w:rsidRDefault="00D2231A" w:rsidP="00ED187E">
            <w:pPr>
              <w:spacing w:before="120" w:line="240" w:lineRule="auto"/>
              <w:jc w:val="center"/>
              <w:rPr>
                <w:rFonts w:cstheme="majorHAnsi"/>
              </w:rPr>
            </w:pPr>
          </w:p>
        </w:tc>
        <w:tc>
          <w:tcPr>
            <w:tcW w:w="1701" w:type="dxa"/>
            <w:vAlign w:val="center"/>
          </w:tcPr>
          <w:p w14:paraId="65CD6C21" w14:textId="77777777" w:rsidR="00D2231A" w:rsidRPr="007975C0" w:rsidRDefault="00D2231A" w:rsidP="00ED187E">
            <w:pPr>
              <w:spacing w:before="120" w:line="240" w:lineRule="auto"/>
              <w:jc w:val="center"/>
              <w:rPr>
                <w:rFonts w:cstheme="majorHAnsi"/>
              </w:rPr>
            </w:pPr>
          </w:p>
        </w:tc>
      </w:tr>
      <w:tr w:rsidR="00D2231A" w:rsidRPr="007975C0" w14:paraId="583033F5" w14:textId="77777777" w:rsidTr="00ED187E">
        <w:trPr>
          <w:trHeight w:val="480"/>
        </w:trPr>
        <w:tc>
          <w:tcPr>
            <w:tcW w:w="1413" w:type="dxa"/>
            <w:shd w:val="clear" w:color="auto" w:fill="auto"/>
            <w:vAlign w:val="center"/>
          </w:tcPr>
          <w:p w14:paraId="4390F63C" w14:textId="77777777" w:rsidR="00D2231A" w:rsidRPr="007975C0" w:rsidRDefault="00D2231A" w:rsidP="00ED187E">
            <w:pPr>
              <w:spacing w:before="120" w:line="240" w:lineRule="auto"/>
              <w:jc w:val="center"/>
              <w:rPr>
                <w:rFonts w:cstheme="majorHAnsi"/>
              </w:rPr>
            </w:pPr>
            <w:r w:rsidRPr="007975C0">
              <w:rPr>
                <w:rFonts w:cstheme="majorHAnsi"/>
              </w:rPr>
              <w:t>1-2 December</w:t>
            </w:r>
          </w:p>
        </w:tc>
        <w:tc>
          <w:tcPr>
            <w:tcW w:w="2693" w:type="dxa"/>
            <w:shd w:val="clear" w:color="auto" w:fill="auto"/>
            <w:vAlign w:val="center"/>
          </w:tcPr>
          <w:p w14:paraId="2B433197" w14:textId="77777777" w:rsidR="00D2231A" w:rsidRPr="007975C0" w:rsidRDefault="00D2231A" w:rsidP="00ED187E">
            <w:pPr>
              <w:spacing w:before="120" w:line="240" w:lineRule="auto"/>
              <w:jc w:val="center"/>
              <w:rPr>
                <w:rFonts w:cstheme="majorHAnsi"/>
              </w:rPr>
            </w:pPr>
            <w:r w:rsidRPr="007975C0">
              <w:rPr>
                <w:rFonts w:cstheme="majorHAnsi"/>
              </w:rPr>
              <w:t>Travel to base location</w:t>
            </w:r>
          </w:p>
        </w:tc>
        <w:tc>
          <w:tcPr>
            <w:tcW w:w="1276" w:type="dxa"/>
            <w:shd w:val="clear" w:color="auto" w:fill="auto"/>
            <w:vAlign w:val="center"/>
          </w:tcPr>
          <w:p w14:paraId="4BD246DF" w14:textId="77777777" w:rsidR="00D2231A" w:rsidRPr="007975C0" w:rsidRDefault="00D2231A" w:rsidP="00ED187E">
            <w:pPr>
              <w:spacing w:before="120" w:line="240" w:lineRule="auto"/>
              <w:jc w:val="center"/>
              <w:rPr>
                <w:rFonts w:cstheme="majorHAnsi"/>
              </w:rPr>
            </w:pPr>
          </w:p>
        </w:tc>
        <w:tc>
          <w:tcPr>
            <w:tcW w:w="1701" w:type="dxa"/>
            <w:shd w:val="clear" w:color="auto" w:fill="auto"/>
            <w:vAlign w:val="center"/>
          </w:tcPr>
          <w:p w14:paraId="5CF5AAC2" w14:textId="77777777" w:rsidR="00D2231A" w:rsidRPr="007975C0" w:rsidRDefault="00D2231A" w:rsidP="00ED187E">
            <w:pPr>
              <w:spacing w:before="120" w:line="240" w:lineRule="auto"/>
              <w:jc w:val="center"/>
              <w:rPr>
                <w:rFonts w:cstheme="majorHAnsi"/>
              </w:rPr>
            </w:pPr>
            <w:r w:rsidRPr="007975C0">
              <w:rPr>
                <w:rFonts w:cstheme="majorHAnsi"/>
              </w:rPr>
              <w:t>Up to 2 days</w:t>
            </w:r>
          </w:p>
        </w:tc>
        <w:tc>
          <w:tcPr>
            <w:tcW w:w="1701" w:type="dxa"/>
            <w:vAlign w:val="center"/>
          </w:tcPr>
          <w:p w14:paraId="57A4B4D5" w14:textId="77777777" w:rsidR="00D2231A" w:rsidRPr="007975C0" w:rsidRDefault="00D2231A" w:rsidP="00ED187E">
            <w:pPr>
              <w:spacing w:before="120" w:line="240" w:lineRule="auto"/>
              <w:jc w:val="center"/>
              <w:rPr>
                <w:rFonts w:cstheme="majorHAnsi"/>
              </w:rPr>
            </w:pPr>
            <w:r w:rsidRPr="007975C0">
              <w:rPr>
                <w:rFonts w:cstheme="majorHAnsi"/>
              </w:rPr>
              <w:t>Up to 2 days</w:t>
            </w:r>
          </w:p>
        </w:tc>
        <w:tc>
          <w:tcPr>
            <w:tcW w:w="1701" w:type="dxa"/>
            <w:vAlign w:val="center"/>
          </w:tcPr>
          <w:p w14:paraId="64BA3FD8" w14:textId="77777777" w:rsidR="00D2231A" w:rsidRPr="007975C0" w:rsidRDefault="00D2231A" w:rsidP="00ED187E">
            <w:pPr>
              <w:spacing w:before="120" w:line="240" w:lineRule="auto"/>
              <w:jc w:val="center"/>
              <w:rPr>
                <w:rFonts w:cstheme="majorHAnsi"/>
              </w:rPr>
            </w:pPr>
            <w:r w:rsidRPr="007975C0">
              <w:rPr>
                <w:rFonts w:cstheme="majorHAnsi"/>
              </w:rPr>
              <w:t>Up to 2 days</w:t>
            </w:r>
          </w:p>
        </w:tc>
      </w:tr>
      <w:tr w:rsidR="00D2231A" w:rsidRPr="007975C0" w14:paraId="33F7E776" w14:textId="77777777" w:rsidTr="00ED187E">
        <w:trPr>
          <w:trHeight w:val="480"/>
        </w:trPr>
        <w:tc>
          <w:tcPr>
            <w:tcW w:w="1413" w:type="dxa"/>
            <w:shd w:val="clear" w:color="auto" w:fill="auto"/>
            <w:vAlign w:val="center"/>
          </w:tcPr>
          <w:p w14:paraId="4C462CD3" w14:textId="77777777" w:rsidR="00D2231A" w:rsidRPr="007975C0" w:rsidRDefault="00D2231A" w:rsidP="00ED187E">
            <w:pPr>
              <w:spacing w:before="120" w:line="240" w:lineRule="auto"/>
              <w:jc w:val="center"/>
              <w:rPr>
                <w:rFonts w:cstheme="majorHAnsi"/>
              </w:rPr>
            </w:pPr>
            <w:r w:rsidRPr="007975C0">
              <w:rPr>
                <w:rFonts w:cstheme="majorHAnsi"/>
              </w:rPr>
              <w:t>1 December– 20 December</w:t>
            </w:r>
          </w:p>
        </w:tc>
        <w:tc>
          <w:tcPr>
            <w:tcW w:w="2693" w:type="dxa"/>
            <w:shd w:val="clear" w:color="auto" w:fill="auto"/>
            <w:vAlign w:val="center"/>
          </w:tcPr>
          <w:p w14:paraId="3B3266EE" w14:textId="77777777" w:rsidR="00D2231A" w:rsidRPr="007975C0" w:rsidRDefault="00D2231A" w:rsidP="00ED187E">
            <w:pPr>
              <w:spacing w:before="120" w:line="240" w:lineRule="auto"/>
              <w:jc w:val="center"/>
              <w:rPr>
                <w:rFonts w:cstheme="majorHAnsi"/>
              </w:rPr>
            </w:pPr>
            <w:r w:rsidRPr="007975C0">
              <w:rPr>
                <w:rFonts w:cstheme="majorHAnsi"/>
              </w:rPr>
              <w:t>Finalise written inputs and submit draft Report to DFAT by 20</w:t>
            </w:r>
            <w:r w:rsidRPr="007975C0">
              <w:rPr>
                <w:rFonts w:cstheme="majorHAnsi"/>
                <w:vertAlign w:val="superscript"/>
              </w:rPr>
              <w:t>th</w:t>
            </w:r>
            <w:r w:rsidRPr="007975C0">
              <w:rPr>
                <w:rFonts w:cstheme="majorHAnsi"/>
              </w:rPr>
              <w:t xml:space="preserve"> December</w:t>
            </w:r>
          </w:p>
        </w:tc>
        <w:tc>
          <w:tcPr>
            <w:tcW w:w="1276" w:type="dxa"/>
            <w:shd w:val="clear" w:color="auto" w:fill="auto"/>
            <w:vAlign w:val="center"/>
          </w:tcPr>
          <w:p w14:paraId="17A38EDB" w14:textId="77777777" w:rsidR="00D2231A" w:rsidRPr="007975C0" w:rsidRDefault="00D2231A" w:rsidP="00ED187E">
            <w:pPr>
              <w:spacing w:before="120" w:line="240" w:lineRule="auto"/>
              <w:jc w:val="center"/>
              <w:rPr>
                <w:rFonts w:cstheme="majorHAnsi"/>
              </w:rPr>
            </w:pPr>
            <w:r w:rsidRPr="007975C0">
              <w:rPr>
                <w:rFonts w:cstheme="majorHAnsi"/>
              </w:rPr>
              <w:t>Base location</w:t>
            </w:r>
          </w:p>
        </w:tc>
        <w:tc>
          <w:tcPr>
            <w:tcW w:w="1701" w:type="dxa"/>
            <w:shd w:val="clear" w:color="auto" w:fill="auto"/>
            <w:vAlign w:val="center"/>
          </w:tcPr>
          <w:p w14:paraId="78AC2B97" w14:textId="77777777" w:rsidR="00D2231A" w:rsidRPr="007975C0" w:rsidRDefault="00D2231A" w:rsidP="00ED187E">
            <w:pPr>
              <w:spacing w:before="120" w:line="240" w:lineRule="auto"/>
              <w:jc w:val="center"/>
              <w:rPr>
                <w:rFonts w:cstheme="majorHAnsi"/>
              </w:rPr>
            </w:pPr>
            <w:r w:rsidRPr="007975C0">
              <w:rPr>
                <w:rFonts w:cstheme="majorHAnsi"/>
              </w:rPr>
              <w:t>Up to 7 days</w:t>
            </w:r>
          </w:p>
        </w:tc>
        <w:tc>
          <w:tcPr>
            <w:tcW w:w="1701" w:type="dxa"/>
            <w:vAlign w:val="center"/>
          </w:tcPr>
          <w:p w14:paraId="00113D5D" w14:textId="77777777" w:rsidR="00D2231A" w:rsidRPr="007975C0" w:rsidRDefault="00D2231A" w:rsidP="00ED187E">
            <w:pPr>
              <w:spacing w:before="120" w:line="240" w:lineRule="auto"/>
              <w:jc w:val="center"/>
              <w:rPr>
                <w:rFonts w:cstheme="majorHAnsi"/>
              </w:rPr>
            </w:pPr>
            <w:r w:rsidRPr="007975C0">
              <w:rPr>
                <w:rFonts w:cstheme="majorHAnsi"/>
              </w:rPr>
              <w:t>Up to 7 days</w:t>
            </w:r>
          </w:p>
        </w:tc>
        <w:tc>
          <w:tcPr>
            <w:tcW w:w="1701" w:type="dxa"/>
            <w:vAlign w:val="center"/>
          </w:tcPr>
          <w:p w14:paraId="306BD5DA" w14:textId="77777777" w:rsidR="00D2231A" w:rsidRPr="007975C0" w:rsidRDefault="00D2231A" w:rsidP="00ED187E">
            <w:pPr>
              <w:spacing w:before="120" w:line="240" w:lineRule="auto"/>
              <w:jc w:val="center"/>
              <w:rPr>
                <w:rFonts w:cstheme="majorHAnsi"/>
              </w:rPr>
            </w:pPr>
            <w:r w:rsidRPr="007975C0">
              <w:rPr>
                <w:rFonts w:cstheme="majorHAnsi"/>
              </w:rPr>
              <w:t>Up to7 days</w:t>
            </w:r>
          </w:p>
        </w:tc>
      </w:tr>
      <w:tr w:rsidR="00D2231A" w:rsidRPr="007975C0" w14:paraId="25AD44CC" w14:textId="77777777" w:rsidTr="00ED187E">
        <w:trPr>
          <w:trHeight w:val="375"/>
        </w:trPr>
        <w:tc>
          <w:tcPr>
            <w:tcW w:w="1413" w:type="dxa"/>
            <w:shd w:val="clear" w:color="auto" w:fill="auto"/>
            <w:vAlign w:val="center"/>
          </w:tcPr>
          <w:p w14:paraId="4877641F" w14:textId="77777777" w:rsidR="00D2231A" w:rsidRPr="007975C0" w:rsidRDefault="00D2231A" w:rsidP="00ED187E">
            <w:pPr>
              <w:spacing w:before="120" w:line="240" w:lineRule="auto"/>
              <w:jc w:val="center"/>
              <w:rPr>
                <w:rFonts w:cstheme="majorHAnsi"/>
              </w:rPr>
            </w:pPr>
            <w:r w:rsidRPr="007975C0">
              <w:rPr>
                <w:rFonts w:cstheme="majorHAnsi"/>
              </w:rPr>
              <w:t>21 January 2018</w:t>
            </w:r>
          </w:p>
        </w:tc>
        <w:tc>
          <w:tcPr>
            <w:tcW w:w="2693" w:type="dxa"/>
            <w:shd w:val="clear" w:color="auto" w:fill="auto"/>
            <w:vAlign w:val="center"/>
          </w:tcPr>
          <w:p w14:paraId="2748D354" w14:textId="77777777" w:rsidR="00D2231A" w:rsidRPr="007975C0" w:rsidRDefault="00D2231A" w:rsidP="00ED187E">
            <w:pPr>
              <w:spacing w:before="120" w:line="240" w:lineRule="auto"/>
              <w:jc w:val="center"/>
              <w:rPr>
                <w:rFonts w:cstheme="majorHAnsi"/>
              </w:rPr>
            </w:pPr>
            <w:r w:rsidRPr="007975C0">
              <w:rPr>
                <w:rFonts w:cstheme="majorHAnsi"/>
              </w:rPr>
              <w:t>Receipt of coordinated feedback from Steering Committee /Peer Review and DFAT/ MOH on draft report (4 weeks)</w:t>
            </w:r>
          </w:p>
        </w:tc>
        <w:tc>
          <w:tcPr>
            <w:tcW w:w="1276" w:type="dxa"/>
            <w:shd w:val="clear" w:color="auto" w:fill="auto"/>
            <w:vAlign w:val="center"/>
          </w:tcPr>
          <w:p w14:paraId="2FDFFDBB" w14:textId="77777777" w:rsidR="00D2231A" w:rsidRPr="007975C0" w:rsidRDefault="00D2231A" w:rsidP="00ED187E">
            <w:pPr>
              <w:spacing w:before="120" w:line="240" w:lineRule="auto"/>
              <w:jc w:val="center"/>
              <w:rPr>
                <w:rFonts w:cstheme="majorHAnsi"/>
              </w:rPr>
            </w:pPr>
            <w:r w:rsidRPr="007975C0">
              <w:rPr>
                <w:rFonts w:cstheme="majorHAnsi"/>
              </w:rPr>
              <w:t>Via email</w:t>
            </w:r>
          </w:p>
        </w:tc>
        <w:tc>
          <w:tcPr>
            <w:tcW w:w="1701" w:type="dxa"/>
            <w:shd w:val="clear" w:color="auto" w:fill="auto"/>
            <w:vAlign w:val="center"/>
          </w:tcPr>
          <w:p w14:paraId="3F15BBF6" w14:textId="77777777" w:rsidR="00D2231A" w:rsidRPr="007975C0" w:rsidRDefault="00D2231A" w:rsidP="00ED187E">
            <w:pPr>
              <w:spacing w:before="120" w:line="240" w:lineRule="auto"/>
              <w:jc w:val="center"/>
              <w:rPr>
                <w:rFonts w:cstheme="majorHAnsi"/>
              </w:rPr>
            </w:pPr>
          </w:p>
        </w:tc>
        <w:tc>
          <w:tcPr>
            <w:tcW w:w="1701" w:type="dxa"/>
            <w:vAlign w:val="center"/>
          </w:tcPr>
          <w:p w14:paraId="3FD89BB7" w14:textId="77777777" w:rsidR="00D2231A" w:rsidRPr="007975C0" w:rsidRDefault="00D2231A" w:rsidP="00ED187E">
            <w:pPr>
              <w:spacing w:before="120" w:line="360" w:lineRule="auto"/>
              <w:jc w:val="center"/>
              <w:rPr>
                <w:rFonts w:cstheme="majorHAnsi"/>
              </w:rPr>
            </w:pPr>
          </w:p>
        </w:tc>
        <w:tc>
          <w:tcPr>
            <w:tcW w:w="1701" w:type="dxa"/>
            <w:vAlign w:val="center"/>
          </w:tcPr>
          <w:p w14:paraId="73DAA307" w14:textId="77777777" w:rsidR="00D2231A" w:rsidRPr="007975C0" w:rsidRDefault="00D2231A" w:rsidP="00ED187E">
            <w:pPr>
              <w:spacing w:before="120" w:line="240" w:lineRule="auto"/>
              <w:jc w:val="center"/>
              <w:rPr>
                <w:rFonts w:cstheme="majorHAnsi"/>
              </w:rPr>
            </w:pPr>
          </w:p>
        </w:tc>
      </w:tr>
      <w:tr w:rsidR="00D2231A" w:rsidRPr="007975C0" w14:paraId="6A031066" w14:textId="77777777" w:rsidTr="00ED187E">
        <w:tc>
          <w:tcPr>
            <w:tcW w:w="1413" w:type="dxa"/>
            <w:shd w:val="clear" w:color="auto" w:fill="auto"/>
            <w:vAlign w:val="center"/>
          </w:tcPr>
          <w:p w14:paraId="03350654" w14:textId="77777777" w:rsidR="00D2231A" w:rsidRPr="007975C0" w:rsidRDefault="00D2231A" w:rsidP="00ED187E">
            <w:pPr>
              <w:spacing w:before="120" w:line="240" w:lineRule="auto"/>
              <w:jc w:val="center"/>
              <w:rPr>
                <w:rFonts w:cstheme="majorHAnsi"/>
              </w:rPr>
            </w:pPr>
            <w:r w:rsidRPr="007975C0">
              <w:rPr>
                <w:rFonts w:cstheme="majorHAnsi"/>
              </w:rPr>
              <w:t>11 February 2019</w:t>
            </w:r>
          </w:p>
        </w:tc>
        <w:tc>
          <w:tcPr>
            <w:tcW w:w="2693" w:type="dxa"/>
            <w:shd w:val="clear" w:color="auto" w:fill="auto"/>
            <w:vAlign w:val="center"/>
          </w:tcPr>
          <w:p w14:paraId="24406B2E" w14:textId="77777777" w:rsidR="00D2231A" w:rsidRPr="007975C0" w:rsidRDefault="00D2231A" w:rsidP="00ED187E">
            <w:pPr>
              <w:spacing w:before="120" w:line="240" w:lineRule="auto"/>
              <w:jc w:val="center"/>
              <w:rPr>
                <w:rFonts w:cstheme="majorHAnsi"/>
              </w:rPr>
            </w:pPr>
            <w:r w:rsidRPr="007975C0">
              <w:rPr>
                <w:rFonts w:cstheme="majorHAnsi"/>
              </w:rPr>
              <w:t>Respond to feedback, finalise inputs as required and submit final Report by 11 February 2019</w:t>
            </w:r>
          </w:p>
        </w:tc>
        <w:tc>
          <w:tcPr>
            <w:tcW w:w="1276" w:type="dxa"/>
            <w:shd w:val="clear" w:color="auto" w:fill="auto"/>
            <w:vAlign w:val="center"/>
          </w:tcPr>
          <w:p w14:paraId="565C9310" w14:textId="77777777" w:rsidR="00D2231A" w:rsidRPr="007975C0" w:rsidRDefault="00D2231A" w:rsidP="00ED187E">
            <w:pPr>
              <w:spacing w:before="120" w:line="240" w:lineRule="auto"/>
              <w:jc w:val="center"/>
              <w:rPr>
                <w:rFonts w:cstheme="majorHAnsi"/>
              </w:rPr>
            </w:pPr>
            <w:r w:rsidRPr="007975C0">
              <w:rPr>
                <w:rFonts w:cstheme="majorHAnsi"/>
              </w:rPr>
              <w:t>Base location</w:t>
            </w:r>
          </w:p>
        </w:tc>
        <w:tc>
          <w:tcPr>
            <w:tcW w:w="1701" w:type="dxa"/>
            <w:shd w:val="clear" w:color="auto" w:fill="auto"/>
            <w:vAlign w:val="center"/>
          </w:tcPr>
          <w:p w14:paraId="3882A501" w14:textId="77777777" w:rsidR="00D2231A" w:rsidRPr="007975C0" w:rsidRDefault="00D2231A" w:rsidP="00ED187E">
            <w:pPr>
              <w:spacing w:before="120" w:line="240" w:lineRule="auto"/>
              <w:jc w:val="center"/>
              <w:rPr>
                <w:rFonts w:cstheme="majorHAnsi"/>
              </w:rPr>
            </w:pPr>
            <w:r w:rsidRPr="007975C0">
              <w:rPr>
                <w:rFonts w:cstheme="majorHAnsi"/>
              </w:rPr>
              <w:t>Up to 3 days</w:t>
            </w:r>
          </w:p>
        </w:tc>
        <w:tc>
          <w:tcPr>
            <w:tcW w:w="1701" w:type="dxa"/>
            <w:vAlign w:val="center"/>
          </w:tcPr>
          <w:p w14:paraId="0700E930" w14:textId="77777777" w:rsidR="00D2231A" w:rsidRPr="007975C0" w:rsidRDefault="00D2231A" w:rsidP="00ED187E">
            <w:pPr>
              <w:spacing w:before="120" w:line="240" w:lineRule="auto"/>
              <w:jc w:val="center"/>
              <w:rPr>
                <w:rFonts w:cstheme="majorHAnsi"/>
              </w:rPr>
            </w:pPr>
            <w:r w:rsidRPr="007975C0">
              <w:rPr>
                <w:rFonts w:cstheme="majorHAnsi"/>
              </w:rPr>
              <w:t>Up to 3 days</w:t>
            </w:r>
          </w:p>
        </w:tc>
        <w:tc>
          <w:tcPr>
            <w:tcW w:w="1701" w:type="dxa"/>
            <w:vAlign w:val="center"/>
          </w:tcPr>
          <w:p w14:paraId="48FE9766" w14:textId="77777777" w:rsidR="00D2231A" w:rsidRPr="007975C0" w:rsidRDefault="00D2231A" w:rsidP="00ED187E">
            <w:pPr>
              <w:spacing w:before="120" w:line="240" w:lineRule="auto"/>
              <w:jc w:val="center"/>
              <w:rPr>
                <w:rFonts w:cstheme="majorHAnsi"/>
              </w:rPr>
            </w:pPr>
            <w:r w:rsidRPr="007975C0">
              <w:rPr>
                <w:rFonts w:cstheme="majorHAnsi"/>
              </w:rPr>
              <w:t>Up to 3 days</w:t>
            </w:r>
          </w:p>
        </w:tc>
      </w:tr>
      <w:tr w:rsidR="00D2231A" w:rsidRPr="007975C0" w14:paraId="45E5BC0D" w14:textId="77777777" w:rsidTr="00ED187E">
        <w:tc>
          <w:tcPr>
            <w:tcW w:w="5382" w:type="dxa"/>
            <w:gridSpan w:val="3"/>
            <w:shd w:val="clear" w:color="auto" w:fill="auto"/>
            <w:vAlign w:val="center"/>
          </w:tcPr>
          <w:p w14:paraId="12990BEC" w14:textId="77777777" w:rsidR="00D2231A" w:rsidRPr="007975C0" w:rsidRDefault="00D2231A" w:rsidP="00ED187E">
            <w:pPr>
              <w:spacing w:before="120" w:line="240" w:lineRule="auto"/>
              <w:jc w:val="center"/>
              <w:rPr>
                <w:rFonts w:cstheme="majorHAnsi"/>
                <w:b/>
              </w:rPr>
            </w:pPr>
            <w:r w:rsidRPr="007975C0">
              <w:rPr>
                <w:rFonts w:cstheme="majorHAnsi"/>
                <w:b/>
              </w:rPr>
              <w:t>Total</w:t>
            </w:r>
          </w:p>
        </w:tc>
        <w:tc>
          <w:tcPr>
            <w:tcW w:w="1701" w:type="dxa"/>
            <w:shd w:val="clear" w:color="auto" w:fill="auto"/>
            <w:vAlign w:val="center"/>
          </w:tcPr>
          <w:p w14:paraId="146B21AC" w14:textId="77777777" w:rsidR="00D2231A" w:rsidRPr="007975C0" w:rsidRDefault="00D2231A" w:rsidP="00ED187E">
            <w:pPr>
              <w:spacing w:before="120" w:line="240" w:lineRule="auto"/>
              <w:jc w:val="center"/>
              <w:rPr>
                <w:rFonts w:cstheme="majorHAnsi"/>
              </w:rPr>
            </w:pPr>
            <w:r w:rsidRPr="007975C0">
              <w:rPr>
                <w:rFonts w:cstheme="majorHAnsi"/>
              </w:rPr>
              <w:t>Up to 31days</w:t>
            </w:r>
          </w:p>
        </w:tc>
        <w:tc>
          <w:tcPr>
            <w:tcW w:w="1701" w:type="dxa"/>
            <w:vAlign w:val="center"/>
          </w:tcPr>
          <w:p w14:paraId="6CF77B27" w14:textId="77777777" w:rsidR="00D2231A" w:rsidRPr="007975C0" w:rsidRDefault="00D2231A" w:rsidP="00ED187E">
            <w:pPr>
              <w:spacing w:before="120" w:line="240" w:lineRule="auto"/>
              <w:jc w:val="center"/>
              <w:rPr>
                <w:rFonts w:cstheme="majorHAnsi"/>
              </w:rPr>
            </w:pPr>
            <w:r w:rsidRPr="007975C0">
              <w:rPr>
                <w:rFonts w:cstheme="majorHAnsi"/>
              </w:rPr>
              <w:t>Up to 31 days</w:t>
            </w:r>
          </w:p>
        </w:tc>
        <w:tc>
          <w:tcPr>
            <w:tcW w:w="1701" w:type="dxa"/>
            <w:vAlign w:val="center"/>
          </w:tcPr>
          <w:p w14:paraId="6D3C85CB" w14:textId="77777777" w:rsidR="00D2231A" w:rsidRPr="007975C0" w:rsidRDefault="00D2231A" w:rsidP="00ED187E">
            <w:pPr>
              <w:spacing w:before="120" w:line="240" w:lineRule="auto"/>
              <w:jc w:val="center"/>
              <w:rPr>
                <w:rFonts w:cstheme="majorHAnsi"/>
              </w:rPr>
            </w:pPr>
            <w:r w:rsidRPr="007975C0">
              <w:rPr>
                <w:rFonts w:cstheme="majorHAnsi"/>
              </w:rPr>
              <w:t>Up to 31 days</w:t>
            </w:r>
          </w:p>
        </w:tc>
      </w:tr>
      <w:bookmarkEnd w:id="82"/>
    </w:tbl>
    <w:p w14:paraId="196C0994" w14:textId="77777777" w:rsidR="00D2231A" w:rsidRPr="007975C0" w:rsidRDefault="00D2231A" w:rsidP="00D2231A">
      <w:pPr>
        <w:rPr>
          <w:rFonts w:cstheme="majorHAnsi"/>
        </w:rPr>
      </w:pPr>
    </w:p>
    <w:p w14:paraId="60B837D9" w14:textId="77777777" w:rsidR="00D2231A" w:rsidRPr="007975C0" w:rsidRDefault="00D2231A" w:rsidP="00D2231A">
      <w:pPr>
        <w:pStyle w:val="ListParagraph"/>
        <w:rPr>
          <w:rFonts w:cstheme="majorHAnsi"/>
          <w:b/>
        </w:rPr>
      </w:pPr>
    </w:p>
    <w:p w14:paraId="16436BCE" w14:textId="77777777" w:rsidR="00D2231A" w:rsidRPr="007975C0" w:rsidRDefault="00D2231A" w:rsidP="00D2231A">
      <w:pPr>
        <w:contextualSpacing/>
        <w:rPr>
          <w:rFonts w:cstheme="majorHAnsi"/>
          <w:b/>
        </w:rPr>
      </w:pPr>
      <w:r w:rsidRPr="007975C0">
        <w:rPr>
          <w:rFonts w:cstheme="majorHAnsi"/>
          <w:b/>
        </w:rPr>
        <w:lastRenderedPageBreak/>
        <w:t>Outputs</w:t>
      </w:r>
    </w:p>
    <w:p w14:paraId="338B8DDC" w14:textId="77777777" w:rsidR="00D2231A" w:rsidRPr="007975C0" w:rsidRDefault="00D2231A" w:rsidP="00D2231A">
      <w:pPr>
        <w:spacing w:after="0" w:line="240" w:lineRule="auto"/>
        <w:rPr>
          <w:rFonts w:cstheme="majorHAnsi"/>
        </w:rPr>
      </w:pPr>
      <w:r w:rsidRPr="007975C0">
        <w:rPr>
          <w:rFonts w:cstheme="majorHAnsi"/>
        </w:rPr>
        <w:t>The following deliverables are to be delivered:</w:t>
      </w:r>
    </w:p>
    <w:p w14:paraId="0BCE0A77" w14:textId="77777777" w:rsidR="00D2231A" w:rsidRPr="007975C0" w:rsidRDefault="00D2231A" w:rsidP="00D2231A">
      <w:pPr>
        <w:spacing w:after="0" w:line="240" w:lineRule="auto"/>
        <w:rPr>
          <w:rFonts w:cstheme="majorHAnsi"/>
        </w:rPr>
      </w:pPr>
    </w:p>
    <w:tbl>
      <w:tblPr>
        <w:tblStyle w:val="Tablewithnoheader"/>
        <w:tblW w:w="10065" w:type="dxa"/>
        <w:tblInd w:w="-147" w:type="dxa"/>
        <w:tblLook w:val="04A0" w:firstRow="1" w:lastRow="0" w:firstColumn="1" w:lastColumn="0" w:noHBand="0" w:noVBand="1"/>
      </w:tblPr>
      <w:tblGrid>
        <w:gridCol w:w="2187"/>
        <w:gridCol w:w="2491"/>
        <w:gridCol w:w="5387"/>
      </w:tblGrid>
      <w:tr w:rsidR="00D2231A" w:rsidRPr="005D2D39" w14:paraId="113F0F4B" w14:textId="77777777" w:rsidTr="00ED187E">
        <w:tc>
          <w:tcPr>
            <w:tcW w:w="2187" w:type="dxa"/>
            <w:shd w:val="clear" w:color="auto" w:fill="D9D9D9" w:themeFill="background1" w:themeFillShade="D9"/>
          </w:tcPr>
          <w:p w14:paraId="7A742D07" w14:textId="77777777" w:rsidR="00D2231A" w:rsidRPr="005D2D39" w:rsidRDefault="00D2231A" w:rsidP="00ED187E">
            <w:pPr>
              <w:spacing w:after="100"/>
              <w:contextualSpacing/>
              <w:rPr>
                <w:rFonts w:asciiTheme="minorHAnsi" w:hAnsiTheme="minorHAnsi" w:cstheme="minorHAnsi"/>
                <w:szCs w:val="22"/>
              </w:rPr>
            </w:pPr>
            <w:r w:rsidRPr="005D2D39">
              <w:rPr>
                <w:rFonts w:asciiTheme="minorHAnsi" w:hAnsiTheme="minorHAnsi" w:cstheme="minorHAnsi"/>
                <w:szCs w:val="22"/>
              </w:rPr>
              <w:t>Indicative Date</w:t>
            </w:r>
          </w:p>
        </w:tc>
        <w:tc>
          <w:tcPr>
            <w:tcW w:w="2491" w:type="dxa"/>
            <w:shd w:val="clear" w:color="auto" w:fill="D9D9D9" w:themeFill="background1" w:themeFillShade="D9"/>
          </w:tcPr>
          <w:p w14:paraId="55F04F6A"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 xml:space="preserve"> Milestone</w:t>
            </w:r>
          </w:p>
        </w:tc>
        <w:tc>
          <w:tcPr>
            <w:tcW w:w="5387" w:type="dxa"/>
            <w:shd w:val="clear" w:color="auto" w:fill="D9D9D9" w:themeFill="background1" w:themeFillShade="D9"/>
          </w:tcPr>
          <w:p w14:paraId="7F2388AB"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Verifiable Indicator</w:t>
            </w:r>
          </w:p>
        </w:tc>
      </w:tr>
      <w:tr w:rsidR="00D2231A" w:rsidRPr="005D2D39" w14:paraId="7571BCC6" w14:textId="77777777" w:rsidTr="00ED187E">
        <w:tc>
          <w:tcPr>
            <w:tcW w:w="2187" w:type="dxa"/>
          </w:tcPr>
          <w:p w14:paraId="3B3A7DCC"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1 November 2018</w:t>
            </w:r>
          </w:p>
        </w:tc>
        <w:tc>
          <w:tcPr>
            <w:tcW w:w="2491" w:type="dxa"/>
          </w:tcPr>
          <w:p w14:paraId="4DF8D4DF"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Evaluation Plan</w:t>
            </w:r>
          </w:p>
        </w:tc>
        <w:tc>
          <w:tcPr>
            <w:tcW w:w="5387" w:type="dxa"/>
          </w:tcPr>
          <w:p w14:paraId="5E0B6014"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Acceptance by DFAT as per specifications below</w:t>
            </w:r>
          </w:p>
        </w:tc>
      </w:tr>
      <w:tr w:rsidR="00D2231A" w:rsidRPr="005D2D39" w14:paraId="2F95EDB7" w14:textId="77777777" w:rsidTr="00ED187E">
        <w:tc>
          <w:tcPr>
            <w:tcW w:w="2187" w:type="dxa"/>
          </w:tcPr>
          <w:p w14:paraId="2763EC25"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30 November 2018</w:t>
            </w:r>
          </w:p>
        </w:tc>
        <w:tc>
          <w:tcPr>
            <w:tcW w:w="2491" w:type="dxa"/>
          </w:tcPr>
          <w:p w14:paraId="3F6716CA"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Aide Memoire</w:t>
            </w:r>
          </w:p>
        </w:tc>
        <w:tc>
          <w:tcPr>
            <w:tcW w:w="5387" w:type="dxa"/>
          </w:tcPr>
          <w:p w14:paraId="70E22AEE"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Acceptance by DFAT as per specifications below</w:t>
            </w:r>
          </w:p>
        </w:tc>
      </w:tr>
      <w:tr w:rsidR="00D2231A" w:rsidRPr="005D2D39" w14:paraId="064B02DC" w14:textId="77777777" w:rsidTr="00ED187E">
        <w:tc>
          <w:tcPr>
            <w:tcW w:w="2187" w:type="dxa"/>
          </w:tcPr>
          <w:p w14:paraId="25CD45B2"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20 December 2018</w:t>
            </w:r>
          </w:p>
        </w:tc>
        <w:tc>
          <w:tcPr>
            <w:tcW w:w="2491" w:type="dxa"/>
          </w:tcPr>
          <w:p w14:paraId="4EF78AB1"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Draft Evaluation Report</w:t>
            </w:r>
          </w:p>
        </w:tc>
        <w:tc>
          <w:tcPr>
            <w:tcW w:w="5387" w:type="dxa"/>
          </w:tcPr>
          <w:p w14:paraId="099077A7"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Acceptance by DFAT as per specifications below</w:t>
            </w:r>
          </w:p>
        </w:tc>
      </w:tr>
      <w:tr w:rsidR="00D2231A" w:rsidRPr="005D2D39" w14:paraId="5842496E" w14:textId="77777777" w:rsidTr="00ED187E">
        <w:tc>
          <w:tcPr>
            <w:tcW w:w="2187" w:type="dxa"/>
          </w:tcPr>
          <w:p w14:paraId="06B96673"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11 February 2019</w:t>
            </w:r>
          </w:p>
        </w:tc>
        <w:tc>
          <w:tcPr>
            <w:tcW w:w="2491" w:type="dxa"/>
          </w:tcPr>
          <w:p w14:paraId="119C09EB"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Final Evaluation Report</w:t>
            </w:r>
          </w:p>
        </w:tc>
        <w:tc>
          <w:tcPr>
            <w:tcW w:w="5387" w:type="dxa"/>
          </w:tcPr>
          <w:p w14:paraId="2A35426E" w14:textId="77777777" w:rsidR="00D2231A" w:rsidRPr="005D2D39" w:rsidRDefault="00D2231A" w:rsidP="00ED187E">
            <w:pPr>
              <w:spacing w:before="100" w:after="100"/>
              <w:contextualSpacing/>
              <w:rPr>
                <w:rFonts w:asciiTheme="minorHAnsi" w:hAnsiTheme="minorHAnsi" w:cstheme="minorHAnsi"/>
                <w:szCs w:val="22"/>
              </w:rPr>
            </w:pPr>
            <w:r w:rsidRPr="005D2D39">
              <w:rPr>
                <w:rFonts w:asciiTheme="minorHAnsi" w:hAnsiTheme="minorHAnsi" w:cstheme="minorHAnsi"/>
                <w:szCs w:val="22"/>
              </w:rPr>
              <w:t>Acceptance by DFAT</w:t>
            </w:r>
          </w:p>
        </w:tc>
      </w:tr>
    </w:tbl>
    <w:p w14:paraId="0207E824" w14:textId="77777777" w:rsidR="00D2231A" w:rsidRPr="007975C0" w:rsidRDefault="00D2231A" w:rsidP="00D2231A">
      <w:pPr>
        <w:spacing w:after="0" w:line="240" w:lineRule="auto"/>
        <w:rPr>
          <w:rFonts w:cstheme="majorHAnsi"/>
        </w:rPr>
      </w:pPr>
    </w:p>
    <w:p w14:paraId="04616521" w14:textId="77777777" w:rsidR="00D2231A" w:rsidRPr="007975C0" w:rsidRDefault="00D2231A" w:rsidP="00AC0818">
      <w:pPr>
        <w:numPr>
          <w:ilvl w:val="0"/>
          <w:numId w:val="28"/>
        </w:numPr>
        <w:spacing w:after="120" w:line="240" w:lineRule="auto"/>
        <w:jc w:val="both"/>
        <w:rPr>
          <w:rFonts w:cstheme="majorHAnsi"/>
        </w:rPr>
      </w:pPr>
      <w:r w:rsidRPr="007975C0">
        <w:rPr>
          <w:rFonts w:cstheme="majorHAnsi"/>
          <w:b/>
        </w:rPr>
        <w:t xml:space="preserve">An evaluation plan </w:t>
      </w:r>
      <w:r w:rsidRPr="007975C0">
        <w:rPr>
          <w:rFonts w:cstheme="majorHAnsi"/>
        </w:rPr>
        <w:t xml:space="preserve">– maximum 10 pages in length, to be submitted for agreement with DFAT prior to in-country mission.   </w:t>
      </w:r>
    </w:p>
    <w:p w14:paraId="27715160" w14:textId="77777777" w:rsidR="00D2231A" w:rsidRPr="007975C0" w:rsidRDefault="00D2231A" w:rsidP="00AC0818">
      <w:pPr>
        <w:numPr>
          <w:ilvl w:val="0"/>
          <w:numId w:val="28"/>
        </w:numPr>
        <w:spacing w:after="120" w:line="240" w:lineRule="auto"/>
        <w:jc w:val="both"/>
        <w:rPr>
          <w:rFonts w:cstheme="majorHAnsi"/>
        </w:rPr>
      </w:pPr>
      <w:r w:rsidRPr="007975C0">
        <w:rPr>
          <w:rFonts w:cstheme="majorHAnsi"/>
          <w:b/>
        </w:rPr>
        <w:t xml:space="preserve">Aide Memoire presentation findings and preliminary recommendations </w:t>
      </w:r>
      <w:r w:rsidRPr="007975C0">
        <w:rPr>
          <w:rFonts w:cstheme="majorHAnsi"/>
        </w:rPr>
        <w:t>by 30 November 2018.</w:t>
      </w:r>
    </w:p>
    <w:p w14:paraId="414B84B1" w14:textId="77777777" w:rsidR="00D2231A" w:rsidRPr="005D2D39" w:rsidRDefault="00D2231A" w:rsidP="00AC0818">
      <w:pPr>
        <w:pStyle w:val="NoSpacing"/>
        <w:numPr>
          <w:ilvl w:val="0"/>
          <w:numId w:val="28"/>
        </w:numPr>
        <w:spacing w:after="120"/>
        <w:jc w:val="both"/>
        <w:rPr>
          <w:rFonts w:cstheme="minorHAnsi"/>
        </w:rPr>
      </w:pPr>
      <w:r w:rsidRPr="005D2D39">
        <w:rPr>
          <w:rFonts w:cstheme="minorHAnsi"/>
          <w:b/>
        </w:rPr>
        <w:t xml:space="preserve">First draft report/annexes </w:t>
      </w:r>
      <w:r w:rsidRPr="005D2D39">
        <w:rPr>
          <w:rFonts w:cstheme="minorHAnsi"/>
        </w:rPr>
        <w:t>– overall evaluation report no more than 30 pages in length (excluding executive summary and annexes).  An executive Summary of up to 5 pages should be provided. The draft will be delivered to DFAT no later than 20</w:t>
      </w:r>
      <w:r w:rsidRPr="005D2D39">
        <w:rPr>
          <w:rFonts w:cstheme="minorHAnsi"/>
          <w:vertAlign w:val="superscript"/>
        </w:rPr>
        <w:t>th</w:t>
      </w:r>
      <w:r w:rsidRPr="005D2D39">
        <w:rPr>
          <w:rFonts w:cstheme="minorHAnsi"/>
        </w:rPr>
        <w:t xml:space="preserve"> December 2018.  Coordinated feedback from the DFAT and other stakeholders will be provided within four weeks of receipt.   Consultants should be prepared to submit data and analysis upon request. </w:t>
      </w:r>
    </w:p>
    <w:p w14:paraId="092E4712" w14:textId="77777777" w:rsidR="00D2231A" w:rsidRPr="007975C0" w:rsidRDefault="00D2231A" w:rsidP="00AC0818">
      <w:pPr>
        <w:pStyle w:val="NoSpacing"/>
        <w:numPr>
          <w:ilvl w:val="0"/>
          <w:numId w:val="28"/>
        </w:numPr>
        <w:spacing w:after="120"/>
        <w:jc w:val="both"/>
        <w:rPr>
          <w:rFonts w:asciiTheme="majorHAnsi" w:hAnsiTheme="majorHAnsi" w:cstheme="majorHAnsi"/>
        </w:rPr>
      </w:pPr>
      <w:r w:rsidRPr="007975C0">
        <w:rPr>
          <w:rFonts w:asciiTheme="majorHAnsi" w:hAnsiTheme="majorHAnsi" w:cstheme="majorHAnsi"/>
          <w:b/>
        </w:rPr>
        <w:t xml:space="preserve">Phone feedback session with stakeholders on the first draft report </w:t>
      </w:r>
      <w:r w:rsidRPr="007975C0">
        <w:rPr>
          <w:rFonts w:asciiTheme="majorHAnsi" w:hAnsiTheme="majorHAnsi" w:cstheme="majorHAnsi"/>
        </w:rPr>
        <w:t>in January 2019.</w:t>
      </w:r>
    </w:p>
    <w:p w14:paraId="4F69215B" w14:textId="77777777" w:rsidR="00D2231A" w:rsidRPr="005D2D39" w:rsidRDefault="00D2231A" w:rsidP="00AC0818">
      <w:pPr>
        <w:pStyle w:val="NoSpacing"/>
        <w:numPr>
          <w:ilvl w:val="0"/>
          <w:numId w:val="28"/>
        </w:numPr>
        <w:spacing w:after="120"/>
        <w:jc w:val="both"/>
        <w:rPr>
          <w:rFonts w:cstheme="minorHAnsi"/>
        </w:rPr>
      </w:pPr>
      <w:r w:rsidRPr="005D2D39">
        <w:rPr>
          <w:rFonts w:cstheme="minorHAnsi"/>
          <w:b/>
        </w:rPr>
        <w:t>Final draft report/annexes</w:t>
      </w:r>
      <w:r w:rsidRPr="005D2D39">
        <w:rPr>
          <w:rFonts w:cstheme="minorHAnsi"/>
        </w:rPr>
        <w:t xml:space="preserve"> – as above, revised to incorporate stakeholder feedback.  The final report should include an annex with Terms of Reference for required technical assistance for the remainder of the program to June 2020.  The Final draft of the report will be due by 11</w:t>
      </w:r>
      <w:r w:rsidRPr="005D2D39">
        <w:rPr>
          <w:rFonts w:cstheme="minorHAnsi"/>
          <w:vertAlign w:val="superscript"/>
        </w:rPr>
        <w:t>th</w:t>
      </w:r>
      <w:r w:rsidRPr="005D2D39">
        <w:rPr>
          <w:rFonts w:cstheme="minorHAnsi"/>
        </w:rPr>
        <w:t xml:space="preserve"> February 2019.</w:t>
      </w:r>
    </w:p>
    <w:p w14:paraId="0F317328" w14:textId="77777777" w:rsidR="00D2231A" w:rsidRPr="005D2D39" w:rsidRDefault="00D2231A" w:rsidP="00D2231A">
      <w:pPr>
        <w:pStyle w:val="NoSpacing"/>
        <w:spacing w:after="120"/>
        <w:jc w:val="both"/>
        <w:rPr>
          <w:rFonts w:cstheme="minorHAnsi"/>
        </w:rPr>
      </w:pPr>
      <w:r w:rsidRPr="005D2D39">
        <w:rPr>
          <w:rFonts w:cstheme="minorHAnsi"/>
        </w:rPr>
        <w:t>All deliverables should have regard to the relevant quality requirements set out in the DFAT Monitoring and Evaluation standards.</w:t>
      </w:r>
    </w:p>
    <w:p w14:paraId="771B89DD" w14:textId="77777777" w:rsidR="00D2231A" w:rsidRPr="007975C0" w:rsidRDefault="00D2231A" w:rsidP="00D2231A">
      <w:pPr>
        <w:pStyle w:val="NoSpacing"/>
        <w:ind w:left="360"/>
        <w:jc w:val="both"/>
        <w:rPr>
          <w:rFonts w:asciiTheme="majorHAnsi" w:hAnsiTheme="majorHAnsi" w:cstheme="majorHAnsi"/>
        </w:rPr>
      </w:pPr>
    </w:p>
    <w:p w14:paraId="7684D64C" w14:textId="77777777" w:rsidR="00D2231A" w:rsidRPr="007975C0" w:rsidRDefault="00D2231A" w:rsidP="00D2231A">
      <w:pPr>
        <w:rPr>
          <w:rFonts w:cstheme="majorHAnsi"/>
          <w:b/>
        </w:rPr>
      </w:pPr>
      <w:r w:rsidRPr="007975C0">
        <w:rPr>
          <w:rFonts w:cstheme="majorHAnsi"/>
          <w:b/>
        </w:rPr>
        <w:t>Key reference documents include:</w:t>
      </w:r>
    </w:p>
    <w:p w14:paraId="611E1AEB" w14:textId="77777777" w:rsidR="00D2231A" w:rsidRPr="007975C0" w:rsidRDefault="00D2231A" w:rsidP="00AC0818">
      <w:pPr>
        <w:pStyle w:val="ListParagraph"/>
        <w:numPr>
          <w:ilvl w:val="0"/>
          <w:numId w:val="24"/>
        </w:numPr>
        <w:rPr>
          <w:rFonts w:cstheme="majorHAnsi"/>
          <w:b/>
        </w:rPr>
      </w:pPr>
      <w:r w:rsidRPr="007975C0">
        <w:rPr>
          <w:rFonts w:cstheme="majorHAnsi"/>
        </w:rPr>
        <w:t>MOH Corporate Plan &amp; Budget 18/19</w:t>
      </w:r>
    </w:p>
    <w:p w14:paraId="5AFB8635" w14:textId="77777777" w:rsidR="00D2231A" w:rsidRPr="007975C0" w:rsidRDefault="00D2231A" w:rsidP="00AC0818">
      <w:pPr>
        <w:pStyle w:val="ListParagraph"/>
        <w:numPr>
          <w:ilvl w:val="0"/>
          <w:numId w:val="24"/>
        </w:numPr>
        <w:rPr>
          <w:rFonts w:cstheme="majorHAnsi"/>
        </w:rPr>
      </w:pPr>
      <w:r w:rsidRPr="007975C0">
        <w:rPr>
          <w:rFonts w:cstheme="majorHAnsi"/>
        </w:rPr>
        <w:t>DFA + Amendments (MOH and THPF)</w:t>
      </w:r>
    </w:p>
    <w:p w14:paraId="7E587B1D" w14:textId="77777777" w:rsidR="00D2231A" w:rsidRPr="007975C0" w:rsidRDefault="00D2231A" w:rsidP="00AC0818">
      <w:pPr>
        <w:pStyle w:val="ListParagraph"/>
        <w:numPr>
          <w:ilvl w:val="0"/>
          <w:numId w:val="24"/>
        </w:numPr>
        <w:rPr>
          <w:rFonts w:cstheme="majorHAnsi"/>
        </w:rPr>
      </w:pPr>
      <w:r w:rsidRPr="007975C0">
        <w:rPr>
          <w:rFonts w:cstheme="majorHAnsi"/>
        </w:rPr>
        <w:t>THSSP2 design and M&amp;E Framework</w:t>
      </w:r>
    </w:p>
    <w:p w14:paraId="2377FBE7" w14:textId="77777777" w:rsidR="00D2231A" w:rsidRPr="007975C0" w:rsidRDefault="00D2231A" w:rsidP="00AC0818">
      <w:pPr>
        <w:pStyle w:val="ListParagraph"/>
        <w:numPr>
          <w:ilvl w:val="0"/>
          <w:numId w:val="24"/>
        </w:numPr>
        <w:rPr>
          <w:rFonts w:cstheme="majorHAnsi"/>
        </w:rPr>
      </w:pPr>
      <w:r w:rsidRPr="007975C0">
        <w:rPr>
          <w:rFonts w:cstheme="majorHAnsi"/>
        </w:rPr>
        <w:t>Performance Based Funding Benchmarks</w:t>
      </w:r>
    </w:p>
    <w:p w14:paraId="4D0783D7" w14:textId="77777777" w:rsidR="00D2231A" w:rsidRPr="007975C0" w:rsidRDefault="00D2231A" w:rsidP="00AC0818">
      <w:pPr>
        <w:pStyle w:val="ListParagraph"/>
        <w:numPr>
          <w:ilvl w:val="0"/>
          <w:numId w:val="24"/>
        </w:numPr>
        <w:rPr>
          <w:rFonts w:cstheme="majorHAnsi"/>
        </w:rPr>
      </w:pPr>
      <w:r w:rsidRPr="007975C0">
        <w:rPr>
          <w:rFonts w:cstheme="majorHAnsi"/>
        </w:rPr>
        <w:t>Annual management plans (MOH and Tonga Health)</w:t>
      </w:r>
    </w:p>
    <w:p w14:paraId="3459AE6A" w14:textId="77777777" w:rsidR="00D2231A" w:rsidRPr="007975C0" w:rsidRDefault="00D2231A" w:rsidP="00AC0818">
      <w:pPr>
        <w:pStyle w:val="ListParagraph"/>
        <w:numPr>
          <w:ilvl w:val="0"/>
          <w:numId w:val="24"/>
        </w:numPr>
        <w:rPr>
          <w:rFonts w:cstheme="majorHAnsi"/>
        </w:rPr>
      </w:pPr>
      <w:r w:rsidRPr="007975C0">
        <w:rPr>
          <w:rFonts w:cstheme="majorHAnsi"/>
        </w:rPr>
        <w:t>Annual reports (MOH and Tonga Health)</w:t>
      </w:r>
    </w:p>
    <w:p w14:paraId="6F84F424" w14:textId="77777777" w:rsidR="00D2231A" w:rsidRPr="007975C0" w:rsidRDefault="00D2231A" w:rsidP="00AC0818">
      <w:pPr>
        <w:pStyle w:val="ListParagraph"/>
        <w:numPr>
          <w:ilvl w:val="0"/>
          <w:numId w:val="24"/>
        </w:numPr>
        <w:rPr>
          <w:rFonts w:cstheme="majorHAnsi"/>
        </w:rPr>
      </w:pPr>
      <w:r w:rsidRPr="007975C0">
        <w:rPr>
          <w:rFonts w:cstheme="majorHAnsi"/>
        </w:rPr>
        <w:t>Quarterly reports (MOH and Tonga Health)</w:t>
      </w:r>
    </w:p>
    <w:p w14:paraId="5A970EE6" w14:textId="77777777" w:rsidR="00D2231A" w:rsidRPr="007975C0" w:rsidRDefault="00D2231A" w:rsidP="00AC0818">
      <w:pPr>
        <w:pStyle w:val="ListParagraph"/>
        <w:numPr>
          <w:ilvl w:val="0"/>
          <w:numId w:val="24"/>
        </w:numPr>
        <w:rPr>
          <w:rFonts w:cstheme="majorHAnsi"/>
        </w:rPr>
      </w:pPr>
      <w:r w:rsidRPr="007975C0">
        <w:rPr>
          <w:rFonts w:cstheme="majorHAnsi"/>
        </w:rPr>
        <w:t>Financial acquittals and audits (MOH and Tonga Health)</w:t>
      </w:r>
    </w:p>
    <w:p w14:paraId="70237747" w14:textId="77777777" w:rsidR="00D2231A" w:rsidRPr="007975C0" w:rsidRDefault="00D2231A" w:rsidP="00AC0818">
      <w:pPr>
        <w:pStyle w:val="ListParagraph"/>
        <w:numPr>
          <w:ilvl w:val="0"/>
          <w:numId w:val="24"/>
        </w:numPr>
        <w:rPr>
          <w:rFonts w:cstheme="majorHAnsi"/>
        </w:rPr>
      </w:pPr>
      <w:r w:rsidRPr="007975C0">
        <w:rPr>
          <w:rFonts w:cstheme="majorHAnsi"/>
        </w:rPr>
        <w:t>Adviser contracts and reports</w:t>
      </w:r>
    </w:p>
    <w:p w14:paraId="1BA3C3F3" w14:textId="77777777" w:rsidR="00D2231A" w:rsidRPr="007975C0" w:rsidRDefault="00D2231A" w:rsidP="00AC0818">
      <w:pPr>
        <w:pStyle w:val="ListParagraph"/>
        <w:numPr>
          <w:ilvl w:val="0"/>
          <w:numId w:val="24"/>
        </w:numPr>
        <w:rPr>
          <w:rFonts w:cstheme="majorHAnsi"/>
        </w:rPr>
      </w:pPr>
      <w:r w:rsidRPr="007975C0">
        <w:rPr>
          <w:rFonts w:cstheme="majorHAnsi"/>
        </w:rPr>
        <w:t>Internal DFAT annual program quality reviews (2015 to 2018)</w:t>
      </w:r>
    </w:p>
    <w:p w14:paraId="74A0FD24" w14:textId="77777777" w:rsidR="00D2231A" w:rsidRPr="007975C0" w:rsidRDefault="00D2231A" w:rsidP="00AC0818">
      <w:pPr>
        <w:pStyle w:val="ListParagraph"/>
        <w:numPr>
          <w:ilvl w:val="0"/>
          <w:numId w:val="24"/>
        </w:numPr>
        <w:rPr>
          <w:rFonts w:cstheme="majorHAnsi"/>
        </w:rPr>
      </w:pPr>
      <w:r w:rsidRPr="007975C0">
        <w:rPr>
          <w:rFonts w:cstheme="majorHAnsi"/>
        </w:rPr>
        <w:t>THSSP1 evaluation</w:t>
      </w:r>
    </w:p>
    <w:p w14:paraId="5F1C534D" w14:textId="77777777" w:rsidR="00D2231A" w:rsidRPr="007975C0" w:rsidRDefault="00D2231A" w:rsidP="00AC0818">
      <w:pPr>
        <w:pStyle w:val="ListParagraph"/>
        <w:numPr>
          <w:ilvl w:val="0"/>
          <w:numId w:val="24"/>
        </w:numPr>
        <w:rPr>
          <w:rFonts w:cstheme="majorHAnsi"/>
        </w:rPr>
      </w:pPr>
      <w:r w:rsidRPr="007975C0">
        <w:rPr>
          <w:rFonts w:cstheme="majorHAnsi"/>
        </w:rPr>
        <w:t>DFAT’s Making Performance Count framework</w:t>
      </w:r>
    </w:p>
    <w:p w14:paraId="5CB48950" w14:textId="77777777" w:rsidR="00D2231A" w:rsidRPr="007975C0" w:rsidRDefault="00D2231A" w:rsidP="00AC0818">
      <w:pPr>
        <w:pStyle w:val="ListParagraph"/>
        <w:numPr>
          <w:ilvl w:val="0"/>
          <w:numId w:val="24"/>
        </w:numPr>
        <w:rPr>
          <w:rFonts w:cstheme="majorHAnsi"/>
        </w:rPr>
      </w:pPr>
      <w:r w:rsidRPr="007975C0">
        <w:rPr>
          <w:rFonts w:cstheme="majorHAnsi"/>
        </w:rPr>
        <w:t>DFAT’s Gender equality and women’s empowerment strategy</w:t>
      </w:r>
    </w:p>
    <w:p w14:paraId="1504A1D3" w14:textId="77777777" w:rsidR="00D2231A" w:rsidRPr="007975C0" w:rsidRDefault="00D2231A" w:rsidP="00AC0818">
      <w:pPr>
        <w:pStyle w:val="ListParagraph"/>
        <w:numPr>
          <w:ilvl w:val="0"/>
          <w:numId w:val="24"/>
        </w:numPr>
        <w:rPr>
          <w:rFonts w:cstheme="majorHAnsi"/>
        </w:rPr>
      </w:pPr>
      <w:r w:rsidRPr="007975C0">
        <w:rPr>
          <w:rFonts w:cstheme="majorHAnsi"/>
        </w:rPr>
        <w:t>Integrating Gender,</w:t>
      </w:r>
      <w:r w:rsidR="00BB2625">
        <w:rPr>
          <w:rFonts w:cstheme="majorHAnsi"/>
        </w:rPr>
        <w:t xml:space="preserve"> </w:t>
      </w:r>
      <w:r w:rsidRPr="007975C0">
        <w:rPr>
          <w:rFonts w:cstheme="majorHAnsi"/>
        </w:rPr>
        <w:t>Equity and Social Inclusion in the Health Sector: A Strategy Paper for DFAT in the Pacific</w:t>
      </w:r>
    </w:p>
    <w:p w14:paraId="6DC0D45F" w14:textId="77777777" w:rsidR="00D2231A" w:rsidRPr="007975C0" w:rsidRDefault="00D2231A" w:rsidP="00AC0818">
      <w:pPr>
        <w:pStyle w:val="ListParagraph"/>
        <w:numPr>
          <w:ilvl w:val="0"/>
          <w:numId w:val="24"/>
        </w:numPr>
        <w:rPr>
          <w:rFonts w:cstheme="majorHAnsi"/>
        </w:rPr>
      </w:pPr>
      <w:r w:rsidRPr="007975C0">
        <w:rPr>
          <w:rFonts w:cstheme="majorHAnsi"/>
        </w:rPr>
        <w:t>H4D Strategy, draft Pacific Health Strategy, Indo-Pacific Health Security Initiative</w:t>
      </w:r>
    </w:p>
    <w:p w14:paraId="19A02D9C" w14:textId="77777777" w:rsidR="00D2231A" w:rsidRPr="007975C0" w:rsidRDefault="00D2231A" w:rsidP="00AC0818">
      <w:pPr>
        <w:pStyle w:val="ListParagraph"/>
        <w:numPr>
          <w:ilvl w:val="0"/>
          <w:numId w:val="24"/>
        </w:numPr>
        <w:rPr>
          <w:rFonts w:cstheme="majorHAnsi"/>
        </w:rPr>
      </w:pPr>
      <w:r w:rsidRPr="007975C0">
        <w:rPr>
          <w:rFonts w:cstheme="majorHAnsi"/>
        </w:rPr>
        <w:t>DFAT Monitoring and Evaluation Standards (July 2018)</w:t>
      </w:r>
    </w:p>
    <w:p w14:paraId="31027F22" w14:textId="77777777" w:rsidR="00D2231A" w:rsidRPr="007975C0" w:rsidRDefault="00D2231A" w:rsidP="00AC0818">
      <w:pPr>
        <w:pStyle w:val="ListParagraph"/>
        <w:numPr>
          <w:ilvl w:val="0"/>
          <w:numId w:val="24"/>
        </w:numPr>
        <w:rPr>
          <w:rFonts w:cstheme="majorHAnsi"/>
        </w:rPr>
      </w:pPr>
      <w:r w:rsidRPr="007975C0">
        <w:rPr>
          <w:rFonts w:cstheme="majorHAnsi"/>
        </w:rPr>
        <w:lastRenderedPageBreak/>
        <w:t xml:space="preserve">World Bank Pacific Health Program of Advisory Services and Analytics 2018-2022 Tonga </w:t>
      </w:r>
      <w:r w:rsidR="00316A47" w:rsidRPr="007975C0">
        <w:rPr>
          <w:rFonts w:cstheme="majorHAnsi"/>
        </w:rPr>
        <w:t>work plan</w:t>
      </w:r>
      <w:r w:rsidRPr="007975C0">
        <w:rPr>
          <w:rFonts w:cstheme="majorHAnsi"/>
        </w:rPr>
        <w:t xml:space="preserve"> documents</w:t>
      </w:r>
    </w:p>
    <w:p w14:paraId="47D3FD70" w14:textId="77777777" w:rsidR="00D2231A" w:rsidRPr="007975C0" w:rsidRDefault="00D2231A" w:rsidP="00AC0818">
      <w:pPr>
        <w:pStyle w:val="ListParagraph"/>
        <w:numPr>
          <w:ilvl w:val="0"/>
          <w:numId w:val="24"/>
        </w:numPr>
        <w:rPr>
          <w:rFonts w:cstheme="majorHAnsi"/>
        </w:rPr>
      </w:pPr>
      <w:r w:rsidRPr="007975C0">
        <w:rPr>
          <w:rFonts w:cstheme="majorHAnsi"/>
        </w:rPr>
        <w:t>WHO country support agreement</w:t>
      </w:r>
    </w:p>
    <w:p w14:paraId="2AAE9378" w14:textId="77777777" w:rsidR="00D2231A" w:rsidRPr="007975C0" w:rsidRDefault="00D2231A" w:rsidP="00AC0818">
      <w:pPr>
        <w:pStyle w:val="ListParagraph"/>
        <w:numPr>
          <w:ilvl w:val="0"/>
          <w:numId w:val="24"/>
        </w:numPr>
        <w:rPr>
          <w:rFonts w:cstheme="majorHAnsi"/>
        </w:rPr>
      </w:pPr>
      <w:r w:rsidRPr="007975C0">
        <w:rPr>
          <w:rFonts w:cstheme="majorHAnsi"/>
        </w:rPr>
        <w:t>National Health Development Committee TORs</w:t>
      </w:r>
    </w:p>
    <w:p w14:paraId="065C3E03" w14:textId="77777777" w:rsidR="00D2231A" w:rsidRPr="007975C0" w:rsidRDefault="00D2231A" w:rsidP="00AC0818">
      <w:pPr>
        <w:pStyle w:val="ListParagraph"/>
        <w:numPr>
          <w:ilvl w:val="0"/>
          <w:numId w:val="24"/>
        </w:numPr>
        <w:rPr>
          <w:rFonts w:cstheme="majorHAnsi"/>
        </w:rPr>
      </w:pPr>
      <w:r w:rsidRPr="007975C0">
        <w:rPr>
          <w:rFonts w:cstheme="majorHAnsi"/>
        </w:rPr>
        <w:t>Package of Essential Health Services framework</w:t>
      </w:r>
    </w:p>
    <w:p w14:paraId="1BC39D48" w14:textId="77777777" w:rsidR="00D2231A" w:rsidRDefault="00D2231A" w:rsidP="00D2231A">
      <w:pPr>
        <w:pStyle w:val="ListParagraph"/>
        <w:rPr>
          <w:rFonts w:cstheme="majorHAnsi"/>
        </w:rPr>
      </w:pPr>
    </w:p>
    <w:p w14:paraId="3A75A2BB" w14:textId="77777777" w:rsidR="005D2D39" w:rsidRPr="007975C0" w:rsidRDefault="005D2D39" w:rsidP="00D2231A">
      <w:pPr>
        <w:pStyle w:val="ListParagraph"/>
        <w:rPr>
          <w:rFonts w:cstheme="majorHAnsi"/>
        </w:rPr>
      </w:pPr>
    </w:p>
    <w:p w14:paraId="4DF0B607" w14:textId="77777777" w:rsidR="005D2D39" w:rsidRDefault="005D2D39">
      <w:pPr>
        <w:rPr>
          <w:noProof/>
        </w:rPr>
        <w:sectPr w:rsidR="005D2D39" w:rsidSect="002E5221">
          <w:pgSz w:w="11906" w:h="16838"/>
          <w:pgMar w:top="1440" w:right="1440" w:bottom="1440" w:left="1440" w:header="708" w:footer="708" w:gutter="0"/>
          <w:cols w:space="708"/>
          <w:docGrid w:linePitch="360"/>
        </w:sectPr>
      </w:pPr>
    </w:p>
    <w:p w14:paraId="2683F912" w14:textId="77777777" w:rsidR="00ED187E" w:rsidRPr="00540206" w:rsidRDefault="00ED187E" w:rsidP="00ED187E">
      <w:pPr>
        <w:pStyle w:val="NumberedTitle"/>
        <w:jc w:val="left"/>
        <w:rPr>
          <w:sz w:val="26"/>
          <w:szCs w:val="26"/>
          <w:lang w:val="en-GB"/>
        </w:rPr>
      </w:pPr>
      <w:bookmarkStart w:id="83" w:name="_Toc536205480"/>
      <w:r w:rsidRPr="00540206">
        <w:rPr>
          <w:sz w:val="26"/>
          <w:szCs w:val="26"/>
          <w:lang w:val="en-GB"/>
        </w:rPr>
        <w:lastRenderedPageBreak/>
        <w:t>Annex B: Bibliography</w:t>
      </w:r>
      <w:bookmarkEnd w:id="83"/>
    </w:p>
    <w:p w14:paraId="2FF6E8CE" w14:textId="77777777" w:rsidR="00ED187E" w:rsidRDefault="00ED187E" w:rsidP="00C44750">
      <w:pPr>
        <w:spacing w:after="0"/>
      </w:pPr>
    </w:p>
    <w:p w14:paraId="2E4DE255" w14:textId="77777777" w:rsidR="00ED187E" w:rsidRPr="00592CC9" w:rsidRDefault="00523F7F" w:rsidP="00ED187E">
      <w:pPr>
        <w:rPr>
          <w:b/>
          <w:color w:val="3B3838" w:themeColor="background2" w:themeShade="40"/>
          <w:sz w:val="24"/>
          <w:szCs w:val="24"/>
        </w:rPr>
      </w:pPr>
      <w:r>
        <w:rPr>
          <w:b/>
          <w:color w:val="3B3838" w:themeColor="background2" w:themeShade="40"/>
          <w:sz w:val="24"/>
          <w:szCs w:val="24"/>
        </w:rPr>
        <w:t>Government of Australia</w:t>
      </w:r>
    </w:p>
    <w:p w14:paraId="7CF092E5" w14:textId="77777777" w:rsidR="00ED187E" w:rsidRPr="00F50467" w:rsidRDefault="00ED187E" w:rsidP="00ED187E">
      <w:r w:rsidRPr="00F50467">
        <w:t>Design Document: Tonga Health Systems Support Program 2</w:t>
      </w:r>
    </w:p>
    <w:p w14:paraId="344047FD" w14:textId="77777777" w:rsidR="00ED187E" w:rsidRPr="007F02A0" w:rsidRDefault="00ED187E" w:rsidP="00ED187E">
      <w:r w:rsidRPr="007F02A0">
        <w:t>Health for Development Strategy, 2015–2020. DFAT, June 2015.</w:t>
      </w:r>
    </w:p>
    <w:p w14:paraId="211684DC" w14:textId="77777777" w:rsidR="00ED187E" w:rsidRPr="007F02A0" w:rsidRDefault="00ED187E" w:rsidP="00ED187E">
      <w:r w:rsidRPr="007F02A0">
        <w:t>Making Performance Count: enhancing the accountability and effectiveness of Australian aid. DFAT, June 2014.</w:t>
      </w:r>
    </w:p>
    <w:p w14:paraId="77F3BE7D" w14:textId="77777777" w:rsidR="00ED187E" w:rsidRPr="00F50467" w:rsidRDefault="00ED187E" w:rsidP="00ED187E">
      <w:r w:rsidRPr="00F50467">
        <w:t>Waddington C &amp; Dodd R.</w:t>
      </w:r>
      <w:r>
        <w:t xml:space="preserve"> </w:t>
      </w:r>
      <w:r w:rsidRPr="00F50467">
        <w:t>(2013). Independent progress report of the Tonga Health Sector Support Program. AusAID Health Resource Facility.</w:t>
      </w:r>
    </w:p>
    <w:p w14:paraId="5CDFC80E" w14:textId="77777777" w:rsidR="00ED187E" w:rsidRPr="00F50467" w:rsidRDefault="00ED187E" w:rsidP="00ED187E">
      <w:r w:rsidRPr="00F50467">
        <w:t>Ministry of Health, Tonga</w:t>
      </w:r>
      <w:r>
        <w:t xml:space="preserve"> (</w:t>
      </w:r>
      <w:r w:rsidRPr="00F50467">
        <w:t xml:space="preserve">2013). Management Response: Independent progress report of the Tonga Health Sector Support Program.  </w:t>
      </w:r>
    </w:p>
    <w:p w14:paraId="100AAAAA" w14:textId="77777777" w:rsidR="00ED187E" w:rsidRPr="00F50467" w:rsidRDefault="00ED187E" w:rsidP="00ED187E">
      <w:r w:rsidRPr="00F50467">
        <w:t>Tupaia Phase 1 Final Report March 2017- June 2018</w:t>
      </w:r>
    </w:p>
    <w:p w14:paraId="0441EC9D" w14:textId="77777777" w:rsidR="00523F7F" w:rsidRDefault="00523F7F" w:rsidP="00523F7F">
      <w:r w:rsidRPr="007F02A0">
        <w:t>Tonga Health Sector analysis 2014</w:t>
      </w:r>
    </w:p>
    <w:p w14:paraId="701F06FE" w14:textId="77777777" w:rsidR="00ED187E" w:rsidRPr="00F50467" w:rsidRDefault="00ED187E" w:rsidP="00ED187E">
      <w:r w:rsidRPr="00F50467">
        <w:t>Tonga: Aid Program Performance Report 2017-18</w:t>
      </w:r>
    </w:p>
    <w:p w14:paraId="715C34CF" w14:textId="77777777" w:rsidR="00ED187E" w:rsidRPr="00F50467" w:rsidRDefault="00ED187E" w:rsidP="00ED187E">
      <w:r w:rsidRPr="00F50467">
        <w:t>Aid Quality Check for INL683- Tonga Health Systems Support Program II 2016</w:t>
      </w:r>
    </w:p>
    <w:p w14:paraId="7962D0D2" w14:textId="77777777" w:rsidR="00ED187E" w:rsidRPr="00F50467" w:rsidRDefault="00ED187E" w:rsidP="00ED187E">
      <w:r w:rsidRPr="00F50467">
        <w:t>Aid Quality Check for INL683- Tonga Health Systems Support Program II 2017</w:t>
      </w:r>
    </w:p>
    <w:p w14:paraId="5EF21095" w14:textId="77777777" w:rsidR="00ED187E" w:rsidRPr="00F50467" w:rsidRDefault="00ED187E" w:rsidP="00ED187E">
      <w:r w:rsidRPr="00F50467">
        <w:t>FY 16/17 Quarter 2 Acquittal (October to December 2016)</w:t>
      </w:r>
      <w:r>
        <w:t xml:space="preserve"> </w:t>
      </w:r>
      <w:r w:rsidRPr="00F50467">
        <w:t>- Tonga Health Systems Support Program II 2016</w:t>
      </w:r>
    </w:p>
    <w:p w14:paraId="07730D8F" w14:textId="77777777" w:rsidR="00ED187E" w:rsidRPr="00F50467" w:rsidRDefault="00ED187E" w:rsidP="00ED187E">
      <w:r w:rsidRPr="00F50467">
        <w:t>FY 16/17 Quarter 3 Acquittal (January to March 2017)</w:t>
      </w:r>
      <w:r>
        <w:t xml:space="preserve"> - </w:t>
      </w:r>
      <w:r w:rsidRPr="00F50467">
        <w:t>Tonga Health Systems Support Program II 2017</w:t>
      </w:r>
    </w:p>
    <w:p w14:paraId="63DBC9DD" w14:textId="77777777" w:rsidR="00ED187E" w:rsidRPr="007F02A0" w:rsidRDefault="00ED187E" w:rsidP="00C44750">
      <w:pPr>
        <w:spacing w:after="0"/>
      </w:pPr>
      <w:r w:rsidRPr="007F02A0">
        <w:t>THSSP M &amp;E evaluation framework review. SHS.</w:t>
      </w:r>
    </w:p>
    <w:p w14:paraId="01DC15DB" w14:textId="77777777" w:rsidR="00ED187E" w:rsidRPr="00F50467" w:rsidRDefault="00ED187E" w:rsidP="00C44750">
      <w:pPr>
        <w:spacing w:after="0"/>
      </w:pPr>
    </w:p>
    <w:p w14:paraId="733F1B9E" w14:textId="77777777" w:rsidR="00ED187E" w:rsidRPr="00592CC9" w:rsidRDefault="00ED187E" w:rsidP="00ED187E">
      <w:pPr>
        <w:rPr>
          <w:b/>
          <w:color w:val="3B3838" w:themeColor="background2" w:themeShade="40"/>
          <w:sz w:val="24"/>
          <w:szCs w:val="24"/>
        </w:rPr>
      </w:pPr>
      <w:r w:rsidRPr="00592CC9">
        <w:rPr>
          <w:b/>
          <w:color w:val="3B3838" w:themeColor="background2" w:themeShade="40"/>
          <w:sz w:val="24"/>
          <w:szCs w:val="24"/>
        </w:rPr>
        <w:t>Ministry of Health</w:t>
      </w:r>
    </w:p>
    <w:p w14:paraId="57136AEB" w14:textId="77777777" w:rsidR="00ED187E" w:rsidRPr="00F50467" w:rsidRDefault="00ED187E" w:rsidP="00ED187E">
      <w:r w:rsidRPr="00F50467">
        <w:t>Ministry of Health Annual Report 2016</w:t>
      </w:r>
    </w:p>
    <w:p w14:paraId="1EF9A725" w14:textId="77777777" w:rsidR="00ED187E" w:rsidRPr="00F50467" w:rsidRDefault="00ED187E" w:rsidP="00ED187E">
      <w:r w:rsidRPr="00F50467">
        <w:t>Ministry of Health Annual Report 2015</w:t>
      </w:r>
    </w:p>
    <w:p w14:paraId="6A8DEDE3" w14:textId="77777777" w:rsidR="00ED187E" w:rsidRPr="00F50467" w:rsidRDefault="00ED187E" w:rsidP="00ED187E">
      <w:r w:rsidRPr="00F50467">
        <w:t>THSSP2 activity plan budget- DFAT Funding full year 2017-18</w:t>
      </w:r>
    </w:p>
    <w:p w14:paraId="61EC0730" w14:textId="77777777" w:rsidR="00ED187E" w:rsidRPr="00F50467" w:rsidRDefault="00ED187E" w:rsidP="00ED187E">
      <w:r w:rsidRPr="00F50467">
        <w:t>TN7 THSSP Full Year Budget 2014-2015</w:t>
      </w:r>
    </w:p>
    <w:p w14:paraId="36DCA197" w14:textId="77777777" w:rsidR="00ED187E" w:rsidRPr="00F50467" w:rsidRDefault="00ED187E" w:rsidP="00ED187E">
      <w:r w:rsidRPr="00F50467">
        <w:t>Consolidated budget and AMP THSSP2 funds 2016-2017</w:t>
      </w:r>
    </w:p>
    <w:p w14:paraId="492FFFF0" w14:textId="77777777" w:rsidR="00ED187E" w:rsidRPr="00F50467" w:rsidRDefault="00ED187E" w:rsidP="00ED187E">
      <w:r w:rsidRPr="00F50467">
        <w:t>Full year 15-16 THSSP1 costed</w:t>
      </w:r>
    </w:p>
    <w:p w14:paraId="517A6B1C" w14:textId="77777777" w:rsidR="00ED187E" w:rsidRPr="00F50467" w:rsidRDefault="00ED187E" w:rsidP="00ED187E">
      <w:r w:rsidRPr="00F50467">
        <w:t>Ministry of Health Corporate Plan &amp; Budget 2017/18-2019/20</w:t>
      </w:r>
    </w:p>
    <w:p w14:paraId="606BF19A" w14:textId="77777777" w:rsidR="00ED187E" w:rsidRPr="00F50467" w:rsidRDefault="00ED187E" w:rsidP="00ED187E">
      <w:r w:rsidRPr="00F50467">
        <w:t>Ministry of Health Corporate Plan 2015/16-2019/20</w:t>
      </w:r>
    </w:p>
    <w:p w14:paraId="28209862" w14:textId="77777777" w:rsidR="00ED187E" w:rsidRPr="00F50467" w:rsidRDefault="00ED187E" w:rsidP="00ED187E">
      <w:r w:rsidRPr="00F50467">
        <w:t xml:space="preserve">Ministry of Health. Guidelines for Management of Diabetes in pregnancy for Tonga </w:t>
      </w:r>
    </w:p>
    <w:p w14:paraId="0582AF9D" w14:textId="77777777" w:rsidR="00931AC6" w:rsidRDefault="00931AC6" w:rsidP="00ED187E">
      <w:pPr>
        <w:rPr>
          <w:noProof/>
        </w:rPr>
      </w:pPr>
      <w:r>
        <w:rPr>
          <w:noProof/>
        </w:rPr>
        <w:t>Kingdom of Tonga (2018) Health Workforce Strategic Plan 2016-2020 (draft)</w:t>
      </w:r>
    </w:p>
    <w:p w14:paraId="0197BC82" w14:textId="77777777" w:rsidR="007D4A15" w:rsidRDefault="007D4A15" w:rsidP="00B2730F">
      <w:r>
        <w:lastRenderedPageBreak/>
        <w:t>Ministry of Health (2015) National Health Strategic Plan July 2015 to June 2020: Universal Health Coverage Version 4 11 May 2015</w:t>
      </w:r>
    </w:p>
    <w:p w14:paraId="3527699F" w14:textId="77777777" w:rsidR="00B2730F" w:rsidRDefault="00B2730F" w:rsidP="00B2730F">
      <w:r>
        <w:t>Ministry of Health (2018) Package of Essential Health Services – Tonga. Part 1: PEHS Service delineation &amp; service availability baseline assessment. August 2018 [DRAFT]</w:t>
      </w:r>
    </w:p>
    <w:p w14:paraId="440BBA8D" w14:textId="77777777" w:rsidR="00F02B7E" w:rsidRDefault="00F02B7E" w:rsidP="00B2730F">
      <w:pPr>
        <w:rPr>
          <w:noProof/>
        </w:rPr>
      </w:pPr>
    </w:p>
    <w:p w14:paraId="110084A3" w14:textId="77777777" w:rsidR="00ED187E" w:rsidRPr="00592CC9" w:rsidRDefault="00592CC9" w:rsidP="00ED187E">
      <w:pPr>
        <w:rPr>
          <w:b/>
          <w:color w:val="3B3838" w:themeColor="background2" w:themeShade="40"/>
          <w:sz w:val="24"/>
          <w:szCs w:val="24"/>
        </w:rPr>
      </w:pPr>
      <w:r>
        <w:rPr>
          <w:b/>
          <w:color w:val="3B3838" w:themeColor="background2" w:themeShade="40"/>
          <w:sz w:val="24"/>
          <w:szCs w:val="24"/>
        </w:rPr>
        <w:t>MoH Health Promotion Unit</w:t>
      </w:r>
    </w:p>
    <w:p w14:paraId="5BED0F12" w14:textId="77777777" w:rsidR="00ED187E" w:rsidRPr="00F50467" w:rsidRDefault="00ED187E" w:rsidP="00ED187E">
      <w:r w:rsidRPr="00F50467">
        <w:t xml:space="preserve">The University of Sydney, TongaHealth and Australian Aid (2016). An evaluation of the ‘Tuku Ifi Leva 2016’ second-hand smoking mass media campaign in the Kingdom of Tonga. Prevention Research Collaboration. </w:t>
      </w:r>
    </w:p>
    <w:p w14:paraId="306805AC" w14:textId="77777777" w:rsidR="00ED187E" w:rsidRPr="00F50467" w:rsidRDefault="00ED187E" w:rsidP="00ED187E">
      <w:r w:rsidRPr="00F50467">
        <w:t>Anti-tobacco evaluation</w:t>
      </w:r>
    </w:p>
    <w:p w14:paraId="21AE730D" w14:textId="77777777" w:rsidR="00ED187E" w:rsidRPr="00F50467" w:rsidRDefault="00ED187E" w:rsidP="00ED187E">
      <w:r w:rsidRPr="00F50467">
        <w:t xml:space="preserve">Health Promotion Unit (2018). Haofaki Mo’ui Program Phase 2 Report- church promoting health partnerships. </w:t>
      </w:r>
    </w:p>
    <w:p w14:paraId="3C806BDA" w14:textId="77777777" w:rsidR="00ED187E" w:rsidRPr="00F50467" w:rsidRDefault="00ED187E" w:rsidP="00C44750">
      <w:pPr>
        <w:spacing w:after="120"/>
      </w:pPr>
      <w:r w:rsidRPr="00F50467">
        <w:t>Fiefia sports program report 2016</w:t>
      </w:r>
    </w:p>
    <w:p w14:paraId="25B65187" w14:textId="77777777" w:rsidR="00ED187E" w:rsidRDefault="00ED187E" w:rsidP="00C44750">
      <w:pPr>
        <w:spacing w:after="0"/>
      </w:pPr>
    </w:p>
    <w:p w14:paraId="5E627EE2" w14:textId="77777777" w:rsidR="00ED187E" w:rsidRPr="00592CC9" w:rsidRDefault="00592CC9" w:rsidP="00ED187E">
      <w:pPr>
        <w:rPr>
          <w:b/>
          <w:color w:val="3B3838" w:themeColor="background2" w:themeShade="40"/>
          <w:sz w:val="24"/>
          <w:szCs w:val="24"/>
        </w:rPr>
      </w:pPr>
      <w:r>
        <w:rPr>
          <w:b/>
          <w:color w:val="3B3838" w:themeColor="background2" w:themeShade="40"/>
          <w:sz w:val="24"/>
          <w:szCs w:val="24"/>
        </w:rPr>
        <w:t xml:space="preserve">DFAT </w:t>
      </w:r>
      <w:r w:rsidR="00ED187E" w:rsidRPr="00592CC9">
        <w:rPr>
          <w:b/>
          <w:color w:val="3B3838" w:themeColor="background2" w:themeShade="40"/>
          <w:sz w:val="24"/>
          <w:szCs w:val="24"/>
        </w:rPr>
        <w:t xml:space="preserve">DID </w:t>
      </w:r>
      <w:r>
        <w:rPr>
          <w:b/>
          <w:color w:val="3B3838" w:themeColor="background2" w:themeShade="40"/>
          <w:sz w:val="24"/>
          <w:szCs w:val="24"/>
        </w:rPr>
        <w:t>Initiative</w:t>
      </w:r>
    </w:p>
    <w:p w14:paraId="03AA91F3" w14:textId="77777777" w:rsidR="00ED187E" w:rsidRPr="00F50467" w:rsidRDefault="00ED187E" w:rsidP="00ED187E">
      <w:r w:rsidRPr="00F50467">
        <w:t>Palu E &amp; Ford A (2016). Funding Proposal: Working together for disability inclusive health services in Tonga</w:t>
      </w:r>
    </w:p>
    <w:p w14:paraId="41ADD5B1" w14:textId="77777777" w:rsidR="00ED187E" w:rsidRPr="00F50467" w:rsidRDefault="00ED187E" w:rsidP="00ED187E">
      <w:r w:rsidRPr="00F50467">
        <w:t>Disability Inclusive Health Implementation Plan 2016-2020</w:t>
      </w:r>
    </w:p>
    <w:p w14:paraId="44EBCCE7" w14:textId="77777777" w:rsidR="00ED187E" w:rsidRPr="00F50467" w:rsidRDefault="00ED187E" w:rsidP="00ED187E">
      <w:r w:rsidRPr="00F50467">
        <w:t>Annex 1 Activity details</w:t>
      </w:r>
    </w:p>
    <w:p w14:paraId="25209F73" w14:textId="77777777" w:rsidR="00ED187E" w:rsidRPr="00F50467" w:rsidRDefault="00ED187E" w:rsidP="00ED187E">
      <w:r w:rsidRPr="00F50467">
        <w:t>Annex 2: Budget breakdown</w:t>
      </w:r>
    </w:p>
    <w:p w14:paraId="6F91B6F9" w14:textId="77777777" w:rsidR="00ED187E" w:rsidRPr="00F50467" w:rsidRDefault="00ED187E" w:rsidP="00ED187E">
      <w:r w:rsidRPr="00F50467">
        <w:t>Annex 3: CBM-NOSSAL THSSP2 disability options paper</w:t>
      </w:r>
    </w:p>
    <w:p w14:paraId="44255123" w14:textId="77777777" w:rsidR="00ED187E" w:rsidRPr="00F50467" w:rsidRDefault="00ED187E" w:rsidP="00ED187E">
      <w:r w:rsidRPr="00F50467">
        <w:t>Disabilities Inclusive Health- Activities status of implementation plan as at 11th October 2018.</w:t>
      </w:r>
    </w:p>
    <w:p w14:paraId="66A68E18" w14:textId="77777777" w:rsidR="00ED187E" w:rsidRPr="00F50467" w:rsidRDefault="00ED187E" w:rsidP="00ED187E">
      <w:r w:rsidRPr="00F50467">
        <w:t>Mines R (2028). Tonga Rehabilitation and Mobility Project Progress Report June 2018. Motivation Australia.</w:t>
      </w:r>
    </w:p>
    <w:p w14:paraId="1EA61B84" w14:textId="77777777" w:rsidR="00ED187E" w:rsidRPr="00F50467" w:rsidRDefault="00ED187E" w:rsidP="00C44750">
      <w:pPr>
        <w:spacing w:after="0"/>
      </w:pPr>
      <w:r w:rsidRPr="00F50467">
        <w:t>Ferguson J &amp; Hanley C (2017). Trip Report: technical assistance to Ton</w:t>
      </w:r>
      <w:r w:rsidR="00F02B7E">
        <w:t>ga MoH-DID Fund. CBM Australia</w:t>
      </w:r>
    </w:p>
    <w:p w14:paraId="657A66E6" w14:textId="77777777" w:rsidR="00ED187E" w:rsidRPr="00F50467" w:rsidRDefault="00ED187E" w:rsidP="00C44750">
      <w:pPr>
        <w:spacing w:after="0"/>
      </w:pPr>
    </w:p>
    <w:p w14:paraId="23CA7E7E" w14:textId="77777777" w:rsidR="00ED187E" w:rsidRPr="00592CC9" w:rsidRDefault="00ED187E" w:rsidP="00ED187E">
      <w:pPr>
        <w:rPr>
          <w:b/>
          <w:color w:val="3B3838" w:themeColor="background2" w:themeShade="40"/>
          <w:sz w:val="24"/>
          <w:szCs w:val="24"/>
        </w:rPr>
      </w:pPr>
      <w:r w:rsidRPr="00592CC9">
        <w:rPr>
          <w:b/>
          <w:color w:val="3B3838" w:themeColor="background2" w:themeShade="40"/>
          <w:sz w:val="24"/>
          <w:szCs w:val="24"/>
        </w:rPr>
        <w:t>TongaHealth</w:t>
      </w:r>
    </w:p>
    <w:p w14:paraId="2A6361B2" w14:textId="77777777" w:rsidR="00ED187E" w:rsidRPr="00F50467" w:rsidRDefault="00ED187E" w:rsidP="00ED187E">
      <w:r w:rsidRPr="00F50467">
        <w:t>Hala Fononga: National Strategy for Prevention and Control of Non-Communicable Diseases 2015-2020</w:t>
      </w:r>
    </w:p>
    <w:p w14:paraId="41A7ACCD" w14:textId="77777777" w:rsidR="00ED187E" w:rsidRPr="007F02A0" w:rsidRDefault="00ED187E" w:rsidP="00ED187E">
      <w:r w:rsidRPr="007F02A0">
        <w:t>Terms of Reference for the TongaHealth Review. TongaHealth, 2018.</w:t>
      </w:r>
    </w:p>
    <w:p w14:paraId="589D04B8" w14:textId="77777777" w:rsidR="00ED187E" w:rsidRPr="00F50467" w:rsidRDefault="00ED187E" w:rsidP="00ED187E">
      <w:r w:rsidRPr="00F50467">
        <w:t>TongaHealth Statement of corporate intent 2016-2017</w:t>
      </w:r>
    </w:p>
    <w:p w14:paraId="1ACAF54A" w14:textId="77777777" w:rsidR="00ED187E" w:rsidRPr="00F50467" w:rsidRDefault="00ED187E" w:rsidP="00ED187E">
      <w:r w:rsidRPr="00F50467">
        <w:t>Grants</w:t>
      </w:r>
      <w:r>
        <w:t xml:space="preserve"> Tracker (</w:t>
      </w:r>
      <w:r w:rsidRPr="00F50467">
        <w:t>to November 2018)</w:t>
      </w:r>
    </w:p>
    <w:p w14:paraId="7730E7AE" w14:textId="77777777" w:rsidR="00ED187E" w:rsidRPr="00F50467" w:rsidRDefault="00ED187E" w:rsidP="00ED187E">
      <w:r w:rsidRPr="00F50467">
        <w:t>TongaHealth 2017/18 Grant Report to DFAT</w:t>
      </w:r>
    </w:p>
    <w:p w14:paraId="2A34E936" w14:textId="77777777" w:rsidR="00ED187E" w:rsidRPr="00F50467" w:rsidRDefault="00ED187E" w:rsidP="00ED187E">
      <w:r w:rsidRPr="00F50467">
        <w:t>TongaHealth Promotion Foundation annual report July 2016- June 2017</w:t>
      </w:r>
    </w:p>
    <w:p w14:paraId="4AE37EC7" w14:textId="77777777" w:rsidR="00ED187E" w:rsidRPr="00F50467" w:rsidRDefault="00ED187E" w:rsidP="00ED187E">
      <w:r w:rsidRPr="00F50467">
        <w:lastRenderedPageBreak/>
        <w:t>TongaHealth Promotion Foundation annual report 2015</w:t>
      </w:r>
    </w:p>
    <w:p w14:paraId="1483810C" w14:textId="77777777" w:rsidR="00ED187E" w:rsidRPr="00F50467" w:rsidRDefault="00ED187E" w:rsidP="00ED187E">
      <w:r w:rsidRPr="00F50467">
        <w:t>Government of Tonga (2013). Tonga Health Strategic Health Communication Framework for NCD Control 2013-2018.</w:t>
      </w:r>
    </w:p>
    <w:p w14:paraId="13FA5A4A" w14:textId="77777777" w:rsidR="00ED187E" w:rsidRDefault="00ED187E" w:rsidP="00ED187E">
      <w:r w:rsidRPr="00F50467">
        <w:t xml:space="preserve">Tonga Health Promotion Foundation Act, </w:t>
      </w:r>
      <w:r w:rsidR="007C66F3">
        <w:t>2007 (</w:t>
      </w:r>
      <w:r w:rsidRPr="00F50467">
        <w:t>2016</w:t>
      </w:r>
      <w:r w:rsidR="007C66F3">
        <w:t xml:space="preserve"> consolidation)</w:t>
      </w:r>
    </w:p>
    <w:p w14:paraId="066693D1" w14:textId="77777777" w:rsidR="00F02B7E" w:rsidRDefault="00F02B7E" w:rsidP="00ED187E"/>
    <w:p w14:paraId="28415E9E" w14:textId="77777777" w:rsidR="00C20F9F" w:rsidRPr="00592CC9" w:rsidRDefault="00C20F9F" w:rsidP="00C20F9F">
      <w:pPr>
        <w:rPr>
          <w:b/>
          <w:color w:val="3B3838" w:themeColor="background2" w:themeShade="40"/>
          <w:sz w:val="24"/>
          <w:szCs w:val="24"/>
        </w:rPr>
      </w:pPr>
      <w:r>
        <w:rPr>
          <w:b/>
          <w:color w:val="3B3838" w:themeColor="background2" w:themeShade="40"/>
          <w:sz w:val="24"/>
          <w:szCs w:val="24"/>
        </w:rPr>
        <w:t>Other</w:t>
      </w:r>
    </w:p>
    <w:p w14:paraId="6ED794E2" w14:textId="77777777" w:rsidR="00C20F9F" w:rsidRPr="00F50467" w:rsidRDefault="00C20F9F" w:rsidP="00C20F9F">
      <w:r w:rsidRPr="00F50467">
        <w:t>Asia Pacific Observatory on Health Systems and Policies. The Kingdom of TongaHealth System Review. Health Systems in Transition. Vol 5,</w:t>
      </w:r>
      <w:r>
        <w:t xml:space="preserve"> </w:t>
      </w:r>
      <w:r w:rsidRPr="00F50467">
        <w:t>No</w:t>
      </w:r>
      <w:r>
        <w:t xml:space="preserve"> </w:t>
      </w:r>
      <w:r w:rsidRPr="00F50467">
        <w:t>6 2015.</w:t>
      </w:r>
    </w:p>
    <w:p w14:paraId="5F7798DC" w14:textId="77777777" w:rsidR="00ED187E" w:rsidRDefault="00ED187E">
      <w:pPr>
        <w:rPr>
          <w:noProof/>
        </w:rPr>
      </w:pPr>
    </w:p>
    <w:p w14:paraId="0A302C62" w14:textId="77777777" w:rsidR="000B54BD" w:rsidRDefault="000B54BD">
      <w:pPr>
        <w:rPr>
          <w:noProof/>
        </w:rPr>
        <w:sectPr w:rsidR="000B54BD" w:rsidSect="002E5221">
          <w:pgSz w:w="11906" w:h="16838"/>
          <w:pgMar w:top="1440" w:right="1440" w:bottom="1440" w:left="1440" w:header="708" w:footer="708" w:gutter="0"/>
          <w:cols w:space="708"/>
          <w:docGrid w:linePitch="360"/>
        </w:sectPr>
      </w:pPr>
    </w:p>
    <w:p w14:paraId="752353C3" w14:textId="77777777" w:rsidR="000B54BD" w:rsidRPr="00540206" w:rsidRDefault="000B54BD" w:rsidP="000B54BD">
      <w:pPr>
        <w:pStyle w:val="NumberedTitle"/>
        <w:jc w:val="left"/>
        <w:rPr>
          <w:sz w:val="26"/>
          <w:szCs w:val="26"/>
          <w:lang w:val="en-GB"/>
        </w:rPr>
      </w:pPr>
      <w:bookmarkStart w:id="84" w:name="_Toc536205481"/>
      <w:r w:rsidRPr="00540206">
        <w:rPr>
          <w:sz w:val="26"/>
          <w:szCs w:val="26"/>
          <w:lang w:val="en-GB"/>
        </w:rPr>
        <w:lastRenderedPageBreak/>
        <w:t>Annex C:  List of informants</w:t>
      </w:r>
      <w:bookmarkEnd w:id="84"/>
    </w:p>
    <w:p w14:paraId="67514777" w14:textId="77777777" w:rsidR="000B54BD" w:rsidRDefault="000B54BD" w:rsidP="000B54BD"/>
    <w:p w14:paraId="342F822A" w14:textId="77777777" w:rsidR="000B54BD" w:rsidRPr="00EF42D8" w:rsidRDefault="000B54BD" w:rsidP="000B54BD">
      <w:r>
        <w:t>The people and organisations consulted for the midterm evaluation are listed in the table below. If an individual was consulted in different capacities, that person is listed twice. Follow-up/repeat meetings are not recorded in the table.</w:t>
      </w:r>
    </w:p>
    <w:tbl>
      <w:tblPr>
        <w:tblStyle w:val="DPSTableGrid1"/>
        <w:tblW w:w="5000" w:type="pct"/>
        <w:tblLayout w:type="fixed"/>
        <w:tblLook w:val="04A0" w:firstRow="1" w:lastRow="0" w:firstColumn="1" w:lastColumn="0" w:noHBand="0" w:noVBand="1"/>
      </w:tblPr>
      <w:tblGrid>
        <w:gridCol w:w="1273"/>
        <w:gridCol w:w="2410"/>
        <w:gridCol w:w="4252"/>
        <w:gridCol w:w="2834"/>
        <w:gridCol w:w="3180"/>
      </w:tblGrid>
      <w:tr w:rsidR="000B54BD" w:rsidRPr="003940F5" w14:paraId="07BFA4B0" w14:textId="77777777" w:rsidTr="00BB2625">
        <w:trPr>
          <w:trHeight w:val="600"/>
          <w:tblHeader/>
        </w:trPr>
        <w:tc>
          <w:tcPr>
            <w:tcW w:w="456" w:type="pct"/>
            <w:shd w:val="clear" w:color="auto" w:fill="D9D9D9" w:themeFill="background1" w:themeFillShade="D9"/>
            <w:hideMark/>
          </w:tcPr>
          <w:p w14:paraId="1DA1483F" w14:textId="77777777" w:rsidR="000B54BD" w:rsidRPr="003940F5" w:rsidRDefault="000B54BD" w:rsidP="00E97A3B">
            <w:pPr>
              <w:jc w:val="center"/>
              <w:rPr>
                <w:rFonts w:ascii="Calibri" w:eastAsia="Times New Roman" w:hAnsi="Calibri" w:cs="Calibri"/>
                <w:b/>
                <w:bCs/>
                <w:color w:val="000000"/>
                <w:szCs w:val="22"/>
                <w:lang w:val="en-GB" w:eastAsia="en-GB"/>
              </w:rPr>
            </w:pPr>
            <w:r w:rsidRPr="003940F5">
              <w:rPr>
                <w:rFonts w:ascii="Calibri" w:eastAsia="Times New Roman" w:hAnsi="Calibri" w:cs="Calibri"/>
                <w:b/>
                <w:bCs/>
                <w:color w:val="000000"/>
                <w:szCs w:val="22"/>
                <w:lang w:val="en-GB" w:eastAsia="en-GB"/>
              </w:rPr>
              <w:t>Date consulted</w:t>
            </w:r>
          </w:p>
        </w:tc>
        <w:tc>
          <w:tcPr>
            <w:tcW w:w="864" w:type="pct"/>
            <w:shd w:val="clear" w:color="auto" w:fill="D9D9D9" w:themeFill="background1" w:themeFillShade="D9"/>
            <w:noWrap/>
            <w:hideMark/>
          </w:tcPr>
          <w:p w14:paraId="4F5D5B33" w14:textId="77777777" w:rsidR="000B54BD" w:rsidRPr="003940F5" w:rsidRDefault="000B54BD" w:rsidP="00E97A3B">
            <w:pPr>
              <w:rPr>
                <w:rFonts w:ascii="Calibri" w:eastAsia="Times New Roman" w:hAnsi="Calibri" w:cs="Calibri"/>
                <w:b/>
                <w:bCs/>
                <w:color w:val="000000"/>
                <w:szCs w:val="22"/>
                <w:lang w:val="en-GB" w:eastAsia="en-GB"/>
              </w:rPr>
            </w:pPr>
            <w:r w:rsidRPr="003940F5">
              <w:rPr>
                <w:rFonts w:ascii="Calibri" w:eastAsia="Times New Roman" w:hAnsi="Calibri" w:cs="Calibri"/>
                <w:b/>
                <w:bCs/>
                <w:color w:val="000000"/>
                <w:szCs w:val="22"/>
                <w:lang w:val="en-GB" w:eastAsia="en-GB"/>
              </w:rPr>
              <w:t>Name</w:t>
            </w:r>
          </w:p>
        </w:tc>
        <w:tc>
          <w:tcPr>
            <w:tcW w:w="1524" w:type="pct"/>
            <w:shd w:val="clear" w:color="auto" w:fill="D9D9D9" w:themeFill="background1" w:themeFillShade="D9"/>
            <w:noWrap/>
            <w:hideMark/>
          </w:tcPr>
          <w:p w14:paraId="4B8083DA" w14:textId="77777777" w:rsidR="000B54BD" w:rsidRPr="003940F5" w:rsidRDefault="000B54BD" w:rsidP="00E97A3B">
            <w:pPr>
              <w:rPr>
                <w:rFonts w:ascii="Calibri" w:eastAsia="Times New Roman" w:hAnsi="Calibri" w:cs="Calibri"/>
                <w:b/>
                <w:bCs/>
                <w:color w:val="000000"/>
                <w:szCs w:val="22"/>
                <w:lang w:val="en-GB" w:eastAsia="en-GB"/>
              </w:rPr>
            </w:pPr>
            <w:r w:rsidRPr="003940F5">
              <w:rPr>
                <w:rFonts w:ascii="Calibri" w:eastAsia="Times New Roman" w:hAnsi="Calibri" w:cs="Calibri"/>
                <w:b/>
                <w:bCs/>
                <w:color w:val="000000"/>
                <w:szCs w:val="22"/>
                <w:lang w:val="en-GB" w:eastAsia="en-GB"/>
              </w:rPr>
              <w:t>Position / title</w:t>
            </w:r>
          </w:p>
        </w:tc>
        <w:tc>
          <w:tcPr>
            <w:tcW w:w="1016" w:type="pct"/>
            <w:shd w:val="clear" w:color="auto" w:fill="D9D9D9" w:themeFill="background1" w:themeFillShade="D9"/>
            <w:noWrap/>
            <w:hideMark/>
          </w:tcPr>
          <w:p w14:paraId="1C4F113F" w14:textId="77777777" w:rsidR="000B54BD" w:rsidRPr="003940F5" w:rsidRDefault="000B54BD" w:rsidP="00E97A3B">
            <w:pPr>
              <w:rPr>
                <w:rFonts w:ascii="Calibri" w:eastAsia="Times New Roman" w:hAnsi="Calibri" w:cs="Calibri"/>
                <w:b/>
                <w:bCs/>
                <w:color w:val="000000"/>
                <w:szCs w:val="22"/>
                <w:lang w:val="en-GB" w:eastAsia="en-GB"/>
              </w:rPr>
            </w:pPr>
            <w:r w:rsidRPr="003940F5">
              <w:rPr>
                <w:rFonts w:ascii="Calibri" w:eastAsia="Times New Roman" w:hAnsi="Calibri" w:cs="Calibri"/>
                <w:b/>
                <w:bCs/>
                <w:color w:val="000000"/>
                <w:szCs w:val="22"/>
                <w:lang w:val="en-GB" w:eastAsia="en-GB"/>
              </w:rPr>
              <w:t>Organisation</w:t>
            </w:r>
          </w:p>
        </w:tc>
        <w:tc>
          <w:tcPr>
            <w:tcW w:w="1140" w:type="pct"/>
            <w:shd w:val="clear" w:color="auto" w:fill="D9D9D9" w:themeFill="background1" w:themeFillShade="D9"/>
            <w:noWrap/>
            <w:hideMark/>
          </w:tcPr>
          <w:p w14:paraId="20556991" w14:textId="77777777" w:rsidR="000B54BD" w:rsidRPr="003940F5" w:rsidRDefault="000B54BD" w:rsidP="00E97A3B">
            <w:pPr>
              <w:rPr>
                <w:rFonts w:ascii="Calibri" w:eastAsia="Times New Roman" w:hAnsi="Calibri" w:cs="Calibri"/>
                <w:b/>
                <w:bCs/>
                <w:color w:val="000000"/>
                <w:szCs w:val="22"/>
                <w:lang w:val="en-GB" w:eastAsia="en-GB"/>
              </w:rPr>
            </w:pPr>
            <w:r w:rsidRPr="003940F5">
              <w:rPr>
                <w:rFonts w:ascii="Calibri" w:eastAsia="Times New Roman" w:hAnsi="Calibri" w:cs="Calibri"/>
                <w:b/>
                <w:bCs/>
                <w:color w:val="000000"/>
                <w:szCs w:val="22"/>
                <w:lang w:val="en-GB" w:eastAsia="en-GB"/>
              </w:rPr>
              <w:t>Contact details</w:t>
            </w:r>
          </w:p>
        </w:tc>
      </w:tr>
      <w:tr w:rsidR="000B54BD" w:rsidRPr="003940F5" w14:paraId="1D52BB33" w14:textId="77777777" w:rsidTr="00BB2625">
        <w:trPr>
          <w:trHeight w:val="300"/>
        </w:trPr>
        <w:tc>
          <w:tcPr>
            <w:tcW w:w="456" w:type="pct"/>
            <w:hideMark/>
          </w:tcPr>
          <w:p w14:paraId="5E1DB293" w14:textId="77777777" w:rsidR="000B54BD" w:rsidRPr="00CA1876" w:rsidRDefault="000B54BD" w:rsidP="00E97A3B">
            <w:pPr>
              <w:jc w:val="center"/>
              <w:rPr>
                <w:rFonts w:eastAsia="Times New Roman" w:cstheme="minorHAnsi"/>
                <w:szCs w:val="22"/>
                <w:lang w:val="en-GB" w:eastAsia="en-GB"/>
              </w:rPr>
            </w:pPr>
            <w:r w:rsidRPr="00CA1876">
              <w:rPr>
                <w:rFonts w:eastAsia="Times New Roman" w:cstheme="minorHAnsi"/>
                <w:szCs w:val="22"/>
                <w:lang w:val="en-GB" w:eastAsia="en-GB"/>
              </w:rPr>
              <w:t>15-Nov-18</w:t>
            </w:r>
          </w:p>
        </w:tc>
        <w:tc>
          <w:tcPr>
            <w:tcW w:w="864" w:type="pct"/>
            <w:noWrap/>
            <w:hideMark/>
          </w:tcPr>
          <w:p w14:paraId="3458ABE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Jeanie McKenzie</w:t>
            </w:r>
          </w:p>
        </w:tc>
        <w:tc>
          <w:tcPr>
            <w:tcW w:w="1524" w:type="pct"/>
            <w:noWrap/>
            <w:hideMark/>
          </w:tcPr>
          <w:p w14:paraId="48C7E2C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PACTAM Adviser (NCDs / health promotion)</w:t>
            </w:r>
          </w:p>
        </w:tc>
        <w:tc>
          <w:tcPr>
            <w:tcW w:w="1016" w:type="pct"/>
            <w:noWrap/>
            <w:hideMark/>
          </w:tcPr>
          <w:p w14:paraId="3754FEE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TongaHealth</w:t>
            </w:r>
          </w:p>
        </w:tc>
        <w:tc>
          <w:tcPr>
            <w:tcW w:w="1140" w:type="pct"/>
            <w:noWrap/>
            <w:hideMark/>
          </w:tcPr>
          <w:p w14:paraId="52C2FC37" w14:textId="77777777" w:rsidR="000B54BD" w:rsidRPr="003940F5" w:rsidRDefault="001A663F" w:rsidP="00E97A3B">
            <w:pPr>
              <w:rPr>
                <w:rFonts w:ascii="Calibri" w:eastAsia="Times New Roman" w:hAnsi="Calibri" w:cs="Calibri"/>
                <w:color w:val="0563C1"/>
                <w:szCs w:val="22"/>
                <w:u w:val="single"/>
                <w:lang w:val="en-GB" w:eastAsia="en-GB"/>
              </w:rPr>
            </w:pPr>
            <w:hyperlink r:id="rId25" w:history="1">
              <w:r w:rsidR="000B54BD" w:rsidRPr="003940F5">
                <w:rPr>
                  <w:rFonts w:ascii="Calibri" w:eastAsia="Times New Roman" w:hAnsi="Calibri" w:cs="Calibri"/>
                  <w:color w:val="0563C1"/>
                  <w:szCs w:val="22"/>
                  <w:u w:val="single"/>
                  <w:lang w:val="en-GB" w:eastAsia="en-GB"/>
                </w:rPr>
                <w:t>jeanie.mckenzie@hotmail.com</w:t>
              </w:r>
            </w:hyperlink>
          </w:p>
        </w:tc>
      </w:tr>
      <w:tr w:rsidR="000B54BD" w:rsidRPr="003940F5" w14:paraId="2363D819" w14:textId="77777777" w:rsidTr="00BB2625">
        <w:trPr>
          <w:trHeight w:val="300"/>
        </w:trPr>
        <w:tc>
          <w:tcPr>
            <w:tcW w:w="456" w:type="pct"/>
            <w:hideMark/>
          </w:tcPr>
          <w:p w14:paraId="09E4589D"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182844A5"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5BDE3DF7"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77FC0644"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1A89613B" w14:textId="77777777" w:rsidR="000B54BD" w:rsidRPr="003940F5" w:rsidRDefault="000B54BD" w:rsidP="00E97A3B">
            <w:pPr>
              <w:rPr>
                <w:rFonts w:ascii="Times New Roman" w:eastAsia="Times New Roman" w:hAnsi="Times New Roman"/>
                <w:lang w:val="en-GB" w:eastAsia="en-GB"/>
              </w:rPr>
            </w:pPr>
          </w:p>
        </w:tc>
      </w:tr>
      <w:tr w:rsidR="000B54BD" w:rsidRPr="003940F5" w14:paraId="1490DF3C" w14:textId="77777777" w:rsidTr="00BB2625">
        <w:trPr>
          <w:trHeight w:val="300"/>
        </w:trPr>
        <w:tc>
          <w:tcPr>
            <w:tcW w:w="456" w:type="pct"/>
            <w:noWrap/>
            <w:hideMark/>
          </w:tcPr>
          <w:p w14:paraId="4865EB62" w14:textId="77777777" w:rsidR="000B54BD" w:rsidRPr="00CA1876" w:rsidRDefault="000B54BD" w:rsidP="00E97A3B">
            <w:pPr>
              <w:jc w:val="center"/>
              <w:rPr>
                <w:rFonts w:eastAsia="Times New Roman" w:cstheme="minorHAnsi"/>
                <w:szCs w:val="22"/>
                <w:lang w:val="en-GB" w:eastAsia="en-GB"/>
              </w:rPr>
            </w:pPr>
            <w:r w:rsidRPr="00CA1876">
              <w:rPr>
                <w:rFonts w:eastAsia="Times New Roman" w:cstheme="minorHAnsi"/>
                <w:szCs w:val="22"/>
                <w:lang w:val="en-GB" w:eastAsia="en-GB"/>
              </w:rPr>
              <w:t>19-Nov-18</w:t>
            </w:r>
          </w:p>
        </w:tc>
        <w:tc>
          <w:tcPr>
            <w:tcW w:w="864" w:type="pct"/>
            <w:noWrap/>
            <w:hideMark/>
          </w:tcPr>
          <w:p w14:paraId="0903E034"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Ofa Mafi</w:t>
            </w:r>
          </w:p>
        </w:tc>
        <w:tc>
          <w:tcPr>
            <w:tcW w:w="1524" w:type="pct"/>
            <w:noWrap/>
            <w:hideMark/>
          </w:tcPr>
          <w:p w14:paraId="74BCD6F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Program Manager TongaHealth</w:t>
            </w:r>
          </w:p>
        </w:tc>
        <w:tc>
          <w:tcPr>
            <w:tcW w:w="1016" w:type="pct"/>
            <w:noWrap/>
            <w:hideMark/>
          </w:tcPr>
          <w:p w14:paraId="0B8EFAA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Australian High Commission</w:t>
            </w:r>
          </w:p>
        </w:tc>
        <w:tc>
          <w:tcPr>
            <w:tcW w:w="1140" w:type="pct"/>
            <w:noWrap/>
            <w:hideMark/>
          </w:tcPr>
          <w:p w14:paraId="0731979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ofa.mafi@dfat.gov.au</w:t>
            </w:r>
          </w:p>
        </w:tc>
      </w:tr>
      <w:tr w:rsidR="000B54BD" w:rsidRPr="003940F5" w14:paraId="01F85270" w14:textId="77777777" w:rsidTr="00BB2625">
        <w:trPr>
          <w:trHeight w:val="300"/>
        </w:trPr>
        <w:tc>
          <w:tcPr>
            <w:tcW w:w="456" w:type="pct"/>
            <w:noWrap/>
            <w:hideMark/>
          </w:tcPr>
          <w:p w14:paraId="14D0CBCE"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29274A7F"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6361A780"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3463D0A3"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7447CFB5" w14:textId="77777777" w:rsidR="000B54BD" w:rsidRPr="003940F5" w:rsidRDefault="000B54BD" w:rsidP="00E97A3B">
            <w:pPr>
              <w:rPr>
                <w:rFonts w:ascii="Times New Roman" w:eastAsia="Times New Roman" w:hAnsi="Times New Roman"/>
                <w:lang w:val="en-GB" w:eastAsia="en-GB"/>
              </w:rPr>
            </w:pPr>
          </w:p>
        </w:tc>
      </w:tr>
      <w:tr w:rsidR="000B54BD" w:rsidRPr="003940F5" w14:paraId="0CB61F58" w14:textId="77777777" w:rsidTr="00BB2625">
        <w:trPr>
          <w:trHeight w:val="300"/>
        </w:trPr>
        <w:tc>
          <w:tcPr>
            <w:tcW w:w="456" w:type="pct"/>
            <w:noWrap/>
            <w:hideMark/>
          </w:tcPr>
          <w:p w14:paraId="2E7F3395" w14:textId="77777777" w:rsidR="000B54BD" w:rsidRPr="00CA1876" w:rsidRDefault="000B54BD" w:rsidP="00E97A3B">
            <w:pPr>
              <w:jc w:val="center"/>
              <w:rPr>
                <w:rFonts w:eastAsia="Times New Roman" w:cstheme="minorHAnsi"/>
                <w:szCs w:val="22"/>
                <w:lang w:val="en-GB" w:eastAsia="en-GB"/>
              </w:rPr>
            </w:pPr>
            <w:r w:rsidRPr="00CA1876">
              <w:rPr>
                <w:rFonts w:eastAsia="Times New Roman" w:cstheme="minorHAnsi"/>
                <w:szCs w:val="22"/>
                <w:lang w:val="en-GB" w:eastAsia="en-GB"/>
              </w:rPr>
              <w:t>20-Nov-18</w:t>
            </w:r>
          </w:p>
        </w:tc>
        <w:tc>
          <w:tcPr>
            <w:tcW w:w="864" w:type="pct"/>
            <w:noWrap/>
            <w:hideMark/>
          </w:tcPr>
          <w:p w14:paraId="60EAAB0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Andrew Ford</w:t>
            </w:r>
          </w:p>
        </w:tc>
        <w:tc>
          <w:tcPr>
            <w:tcW w:w="1524" w:type="pct"/>
            <w:noWrap/>
            <w:hideMark/>
          </w:tcPr>
          <w:p w14:paraId="25AF27F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High Commissioner</w:t>
            </w:r>
          </w:p>
        </w:tc>
        <w:tc>
          <w:tcPr>
            <w:tcW w:w="1016" w:type="pct"/>
            <w:noWrap/>
            <w:hideMark/>
          </w:tcPr>
          <w:p w14:paraId="4B9D306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Australian High Commission</w:t>
            </w:r>
          </w:p>
        </w:tc>
        <w:tc>
          <w:tcPr>
            <w:tcW w:w="1140" w:type="pct"/>
            <w:noWrap/>
            <w:hideMark/>
          </w:tcPr>
          <w:p w14:paraId="6857D5E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andrew.ford@dfat.gov.au</w:t>
            </w:r>
          </w:p>
        </w:tc>
      </w:tr>
      <w:tr w:rsidR="000B54BD" w:rsidRPr="003940F5" w14:paraId="44D7E4B1" w14:textId="77777777" w:rsidTr="00BB2625">
        <w:trPr>
          <w:trHeight w:val="300"/>
        </w:trPr>
        <w:tc>
          <w:tcPr>
            <w:tcW w:w="456" w:type="pct"/>
            <w:noWrap/>
            <w:hideMark/>
          </w:tcPr>
          <w:p w14:paraId="41DD2253"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5B7A9C3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Madeleine Scott</w:t>
            </w:r>
          </w:p>
        </w:tc>
        <w:tc>
          <w:tcPr>
            <w:tcW w:w="1524" w:type="pct"/>
            <w:noWrap/>
            <w:hideMark/>
          </w:tcPr>
          <w:p w14:paraId="09C7266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Second Secretary Development</w:t>
            </w:r>
          </w:p>
        </w:tc>
        <w:tc>
          <w:tcPr>
            <w:tcW w:w="1016" w:type="pct"/>
            <w:noWrap/>
            <w:hideMark/>
          </w:tcPr>
          <w:p w14:paraId="3818D0A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Australian High Commission</w:t>
            </w:r>
          </w:p>
        </w:tc>
        <w:tc>
          <w:tcPr>
            <w:tcW w:w="1140" w:type="pct"/>
            <w:noWrap/>
            <w:hideMark/>
          </w:tcPr>
          <w:p w14:paraId="2B0A4A7A"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madeleine.scott@dfat.gov.au</w:t>
            </w:r>
          </w:p>
        </w:tc>
      </w:tr>
      <w:tr w:rsidR="000B54BD" w:rsidRPr="003940F5" w14:paraId="4F8E7F60" w14:textId="77777777" w:rsidTr="00BB2625">
        <w:trPr>
          <w:trHeight w:val="300"/>
        </w:trPr>
        <w:tc>
          <w:tcPr>
            <w:tcW w:w="456" w:type="pct"/>
            <w:noWrap/>
            <w:hideMark/>
          </w:tcPr>
          <w:p w14:paraId="296D20E3"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5A935BF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Debra Allan</w:t>
            </w:r>
          </w:p>
        </w:tc>
        <w:tc>
          <w:tcPr>
            <w:tcW w:w="1524" w:type="pct"/>
            <w:noWrap/>
            <w:hideMark/>
          </w:tcPr>
          <w:p w14:paraId="623CC33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Program Manager Health</w:t>
            </w:r>
          </w:p>
        </w:tc>
        <w:tc>
          <w:tcPr>
            <w:tcW w:w="1016" w:type="pct"/>
            <w:noWrap/>
            <w:hideMark/>
          </w:tcPr>
          <w:p w14:paraId="501ADC3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Australian High Commission</w:t>
            </w:r>
          </w:p>
        </w:tc>
        <w:tc>
          <w:tcPr>
            <w:tcW w:w="1140" w:type="pct"/>
            <w:noWrap/>
            <w:hideMark/>
          </w:tcPr>
          <w:p w14:paraId="317E264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debra.allan@dfat.gov.au</w:t>
            </w:r>
          </w:p>
        </w:tc>
      </w:tr>
      <w:tr w:rsidR="000B54BD" w:rsidRPr="003940F5" w14:paraId="7F05B9CB" w14:textId="77777777" w:rsidTr="00BB2625">
        <w:trPr>
          <w:trHeight w:val="300"/>
        </w:trPr>
        <w:tc>
          <w:tcPr>
            <w:tcW w:w="456" w:type="pct"/>
            <w:noWrap/>
            <w:hideMark/>
          </w:tcPr>
          <w:p w14:paraId="28B97811"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6E3FF71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Dr Siale 'Akau'ola</w:t>
            </w:r>
          </w:p>
        </w:tc>
        <w:tc>
          <w:tcPr>
            <w:tcW w:w="1524" w:type="pct"/>
            <w:noWrap/>
            <w:hideMark/>
          </w:tcPr>
          <w:p w14:paraId="26F83D0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Chief Executive Officer</w:t>
            </w:r>
          </w:p>
        </w:tc>
        <w:tc>
          <w:tcPr>
            <w:tcW w:w="1016" w:type="pct"/>
            <w:noWrap/>
            <w:hideMark/>
          </w:tcPr>
          <w:p w14:paraId="1C49E43A"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59C53EC4" w14:textId="77777777" w:rsidR="000B54BD" w:rsidRPr="003940F5" w:rsidRDefault="001A663F" w:rsidP="00E97A3B">
            <w:pPr>
              <w:rPr>
                <w:rFonts w:ascii="Calibri" w:eastAsia="Times New Roman" w:hAnsi="Calibri" w:cs="Calibri"/>
                <w:color w:val="0563C1"/>
                <w:szCs w:val="22"/>
                <w:u w:val="single"/>
                <w:lang w:val="en-GB" w:eastAsia="en-GB"/>
              </w:rPr>
            </w:pPr>
            <w:hyperlink r:id="rId26" w:history="1">
              <w:r w:rsidR="000B54BD" w:rsidRPr="003940F5">
                <w:rPr>
                  <w:rFonts w:ascii="Calibri" w:eastAsia="Times New Roman" w:hAnsi="Calibri" w:cs="Calibri"/>
                  <w:color w:val="0563C1"/>
                  <w:szCs w:val="22"/>
                  <w:u w:val="single"/>
                  <w:lang w:val="en-GB" w:eastAsia="en-GB"/>
                </w:rPr>
                <w:t>sialeakauola@yahoo.com</w:t>
              </w:r>
            </w:hyperlink>
          </w:p>
        </w:tc>
      </w:tr>
      <w:tr w:rsidR="000B54BD" w:rsidRPr="003940F5" w14:paraId="1BA61583" w14:textId="77777777" w:rsidTr="00BB2625">
        <w:trPr>
          <w:trHeight w:val="300"/>
        </w:trPr>
        <w:tc>
          <w:tcPr>
            <w:tcW w:w="456" w:type="pct"/>
            <w:noWrap/>
            <w:hideMark/>
          </w:tcPr>
          <w:p w14:paraId="19B5A3B9"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6856B72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Dr Amelia Tu'ipulotu Afuha'amango</w:t>
            </w:r>
          </w:p>
        </w:tc>
        <w:tc>
          <w:tcPr>
            <w:tcW w:w="1524" w:type="pct"/>
            <w:noWrap/>
            <w:hideMark/>
          </w:tcPr>
          <w:p w14:paraId="61BDA09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Chief Nursing Officer</w:t>
            </w:r>
          </w:p>
        </w:tc>
        <w:tc>
          <w:tcPr>
            <w:tcW w:w="1016" w:type="pct"/>
            <w:noWrap/>
            <w:hideMark/>
          </w:tcPr>
          <w:p w14:paraId="42C7CFD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067D9AB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amyafuhaamango@gmail.com</w:t>
            </w:r>
          </w:p>
        </w:tc>
      </w:tr>
      <w:tr w:rsidR="000B54BD" w:rsidRPr="003940F5" w14:paraId="7E99F05B" w14:textId="77777777" w:rsidTr="00BB2625">
        <w:trPr>
          <w:trHeight w:val="300"/>
        </w:trPr>
        <w:tc>
          <w:tcPr>
            <w:tcW w:w="456" w:type="pct"/>
            <w:noWrap/>
            <w:hideMark/>
          </w:tcPr>
          <w:p w14:paraId="4D93F5B1"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40455C7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Julie Bowen</w:t>
            </w:r>
          </w:p>
        </w:tc>
        <w:tc>
          <w:tcPr>
            <w:tcW w:w="1524" w:type="pct"/>
            <w:noWrap/>
            <w:hideMark/>
          </w:tcPr>
          <w:p w14:paraId="3FFA3BC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PACTAM Adviser (health planning)</w:t>
            </w:r>
          </w:p>
        </w:tc>
        <w:tc>
          <w:tcPr>
            <w:tcW w:w="1016" w:type="pct"/>
            <w:noWrap/>
            <w:hideMark/>
          </w:tcPr>
          <w:p w14:paraId="7DD3C0EA"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3F9CD4BB" w14:textId="77777777" w:rsidR="000B54BD" w:rsidRPr="003940F5" w:rsidRDefault="001A663F" w:rsidP="00E97A3B">
            <w:pPr>
              <w:rPr>
                <w:rFonts w:ascii="Calibri" w:eastAsia="Times New Roman" w:hAnsi="Calibri" w:cs="Calibri"/>
                <w:color w:val="0563C1"/>
                <w:szCs w:val="22"/>
                <w:u w:val="single"/>
                <w:lang w:val="en-GB" w:eastAsia="en-GB"/>
              </w:rPr>
            </w:pPr>
            <w:hyperlink r:id="rId27" w:history="1">
              <w:r w:rsidR="000B54BD" w:rsidRPr="003940F5">
                <w:rPr>
                  <w:rFonts w:ascii="Calibri" w:eastAsia="Times New Roman" w:hAnsi="Calibri" w:cs="Calibri"/>
                  <w:color w:val="0563C1"/>
                  <w:szCs w:val="22"/>
                  <w:u w:val="single"/>
                  <w:lang w:val="en-GB" w:eastAsia="en-GB"/>
                </w:rPr>
                <w:t>juliebowen@outlook.com.au</w:t>
              </w:r>
            </w:hyperlink>
          </w:p>
        </w:tc>
      </w:tr>
      <w:tr w:rsidR="000B54BD" w:rsidRPr="003940F5" w14:paraId="05F53F7A" w14:textId="77777777" w:rsidTr="00BB2625">
        <w:trPr>
          <w:trHeight w:val="300"/>
        </w:trPr>
        <w:tc>
          <w:tcPr>
            <w:tcW w:w="456" w:type="pct"/>
            <w:noWrap/>
            <w:hideMark/>
          </w:tcPr>
          <w:p w14:paraId="72A6DEDF"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06C10F1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Patinia Patelisio</w:t>
            </w:r>
          </w:p>
        </w:tc>
        <w:tc>
          <w:tcPr>
            <w:tcW w:w="1524" w:type="pct"/>
            <w:noWrap/>
            <w:hideMark/>
          </w:tcPr>
          <w:p w14:paraId="376DC05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Public Health Division</w:t>
            </w:r>
          </w:p>
        </w:tc>
        <w:tc>
          <w:tcPr>
            <w:tcW w:w="1016" w:type="pct"/>
            <w:noWrap/>
            <w:hideMark/>
          </w:tcPr>
          <w:p w14:paraId="0878F6F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23A82DE4"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49109FB3" w14:textId="77777777" w:rsidTr="00BB2625">
        <w:trPr>
          <w:trHeight w:val="300"/>
        </w:trPr>
        <w:tc>
          <w:tcPr>
            <w:tcW w:w="456" w:type="pct"/>
            <w:noWrap/>
            <w:hideMark/>
          </w:tcPr>
          <w:p w14:paraId="2C90CEEA" w14:textId="77777777" w:rsidR="000B54BD" w:rsidRPr="00CA1876" w:rsidRDefault="000B54BD" w:rsidP="00E97A3B">
            <w:pPr>
              <w:jc w:val="center"/>
              <w:rPr>
                <w:rFonts w:eastAsia="Times New Roman" w:cstheme="minorHAnsi"/>
                <w:lang w:val="en-GB" w:eastAsia="en-GB"/>
              </w:rPr>
            </w:pPr>
          </w:p>
        </w:tc>
        <w:tc>
          <w:tcPr>
            <w:tcW w:w="864" w:type="pct"/>
            <w:noWrap/>
            <w:hideMark/>
          </w:tcPr>
          <w:p w14:paraId="4A5EA53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Dr Susitina Piukala</w:t>
            </w:r>
          </w:p>
        </w:tc>
        <w:tc>
          <w:tcPr>
            <w:tcW w:w="1524" w:type="pct"/>
            <w:noWrap/>
            <w:hideMark/>
          </w:tcPr>
          <w:p w14:paraId="2BF4663A"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A/g Chief Dental Officer</w:t>
            </w:r>
          </w:p>
        </w:tc>
        <w:tc>
          <w:tcPr>
            <w:tcW w:w="1016" w:type="pct"/>
            <w:noWrap/>
            <w:hideMark/>
          </w:tcPr>
          <w:p w14:paraId="5A028A9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2E8BED05"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6D631392" w14:textId="77777777" w:rsidTr="00BB2625">
        <w:trPr>
          <w:trHeight w:val="300"/>
        </w:trPr>
        <w:tc>
          <w:tcPr>
            <w:tcW w:w="456" w:type="pct"/>
            <w:noWrap/>
            <w:hideMark/>
          </w:tcPr>
          <w:p w14:paraId="1DCB696D" w14:textId="77777777" w:rsidR="000B54BD" w:rsidRPr="00CA1876" w:rsidRDefault="000B54BD" w:rsidP="00E97A3B">
            <w:pPr>
              <w:jc w:val="center"/>
              <w:rPr>
                <w:rFonts w:eastAsia="Times New Roman" w:cstheme="minorHAnsi"/>
                <w:lang w:val="en-GB" w:eastAsia="en-GB"/>
              </w:rPr>
            </w:pPr>
          </w:p>
        </w:tc>
        <w:tc>
          <w:tcPr>
            <w:tcW w:w="864" w:type="pct"/>
            <w:noWrap/>
            <w:hideMark/>
          </w:tcPr>
          <w:p w14:paraId="1F98347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Ofeina Filimoehala</w:t>
            </w:r>
          </w:p>
        </w:tc>
        <w:tc>
          <w:tcPr>
            <w:tcW w:w="1524" w:type="pct"/>
            <w:noWrap/>
            <w:hideMark/>
          </w:tcPr>
          <w:p w14:paraId="2D20B59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Chief Executive Officer</w:t>
            </w:r>
          </w:p>
        </w:tc>
        <w:tc>
          <w:tcPr>
            <w:tcW w:w="1016" w:type="pct"/>
            <w:noWrap/>
            <w:hideMark/>
          </w:tcPr>
          <w:p w14:paraId="5AE2E97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TongaHealth</w:t>
            </w:r>
          </w:p>
        </w:tc>
        <w:tc>
          <w:tcPr>
            <w:tcW w:w="1140" w:type="pct"/>
            <w:noWrap/>
            <w:hideMark/>
          </w:tcPr>
          <w:p w14:paraId="4E249B3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ofeina.filimoehala@tongahealth.org.to</w:t>
            </w:r>
          </w:p>
        </w:tc>
      </w:tr>
      <w:tr w:rsidR="000B54BD" w:rsidRPr="003940F5" w14:paraId="40BF9E85" w14:textId="77777777" w:rsidTr="00BB2625">
        <w:trPr>
          <w:trHeight w:val="300"/>
        </w:trPr>
        <w:tc>
          <w:tcPr>
            <w:tcW w:w="456" w:type="pct"/>
            <w:noWrap/>
            <w:hideMark/>
          </w:tcPr>
          <w:p w14:paraId="0CF2C7A5"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58E1C54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Monica Tu’ipulotu</w:t>
            </w:r>
          </w:p>
        </w:tc>
        <w:tc>
          <w:tcPr>
            <w:tcW w:w="1524" w:type="pct"/>
            <w:noWrap/>
            <w:hideMark/>
          </w:tcPr>
          <w:p w14:paraId="685B1C4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Project Coordinator</w:t>
            </w:r>
          </w:p>
        </w:tc>
        <w:tc>
          <w:tcPr>
            <w:tcW w:w="1016" w:type="pct"/>
            <w:noWrap/>
            <w:hideMark/>
          </w:tcPr>
          <w:p w14:paraId="0A597D1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TongaHealth</w:t>
            </w:r>
          </w:p>
        </w:tc>
        <w:tc>
          <w:tcPr>
            <w:tcW w:w="1140" w:type="pct"/>
            <w:noWrap/>
            <w:hideMark/>
          </w:tcPr>
          <w:p w14:paraId="26205091" w14:textId="77777777" w:rsidR="000B54BD" w:rsidRPr="003940F5" w:rsidRDefault="001A663F" w:rsidP="00E97A3B">
            <w:pPr>
              <w:rPr>
                <w:rFonts w:ascii="Calibri" w:eastAsia="Times New Roman" w:hAnsi="Calibri" w:cs="Calibri"/>
                <w:color w:val="0563C1"/>
                <w:szCs w:val="22"/>
                <w:u w:val="single"/>
                <w:lang w:val="en-GB" w:eastAsia="en-GB"/>
              </w:rPr>
            </w:pPr>
            <w:hyperlink r:id="rId28" w:history="1">
              <w:r w:rsidR="000B54BD" w:rsidRPr="003940F5">
                <w:rPr>
                  <w:rFonts w:ascii="Calibri" w:eastAsia="Times New Roman" w:hAnsi="Calibri" w:cs="Calibri"/>
                  <w:color w:val="0563C1"/>
                  <w:szCs w:val="22"/>
                  <w:u w:val="single"/>
                  <w:lang w:val="en-GB" w:eastAsia="en-GB"/>
                </w:rPr>
                <w:t>monicat@tongahealth.org.to</w:t>
              </w:r>
            </w:hyperlink>
          </w:p>
        </w:tc>
      </w:tr>
      <w:tr w:rsidR="000B54BD" w:rsidRPr="003940F5" w14:paraId="664D4CC7" w14:textId="77777777" w:rsidTr="00BB2625">
        <w:trPr>
          <w:trHeight w:val="300"/>
        </w:trPr>
        <w:tc>
          <w:tcPr>
            <w:tcW w:w="456" w:type="pct"/>
            <w:noWrap/>
            <w:hideMark/>
          </w:tcPr>
          <w:p w14:paraId="123137F9"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053D1544"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Dr Ofa Tukia</w:t>
            </w:r>
          </w:p>
        </w:tc>
        <w:tc>
          <w:tcPr>
            <w:tcW w:w="1524" w:type="pct"/>
            <w:noWrap/>
            <w:hideMark/>
          </w:tcPr>
          <w:p w14:paraId="136581F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Medical Officer In-charge, NCD/Health Promotion</w:t>
            </w:r>
          </w:p>
        </w:tc>
        <w:tc>
          <w:tcPr>
            <w:tcW w:w="1016" w:type="pct"/>
            <w:noWrap/>
            <w:hideMark/>
          </w:tcPr>
          <w:p w14:paraId="38376CF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415B4AB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o.tukia@gmail.com</w:t>
            </w:r>
          </w:p>
        </w:tc>
      </w:tr>
      <w:tr w:rsidR="000B54BD" w:rsidRPr="003940F5" w14:paraId="415253B2" w14:textId="77777777" w:rsidTr="00BB2625">
        <w:trPr>
          <w:trHeight w:val="300"/>
        </w:trPr>
        <w:tc>
          <w:tcPr>
            <w:tcW w:w="456" w:type="pct"/>
            <w:noWrap/>
            <w:hideMark/>
          </w:tcPr>
          <w:p w14:paraId="3E875E63"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6A3CCB9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Fusi Kau</w:t>
            </w:r>
          </w:p>
        </w:tc>
        <w:tc>
          <w:tcPr>
            <w:tcW w:w="1524" w:type="pct"/>
            <w:noWrap/>
            <w:hideMark/>
          </w:tcPr>
          <w:p w14:paraId="395C231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Supervisor, Nurse Practitioners</w:t>
            </w:r>
          </w:p>
        </w:tc>
        <w:tc>
          <w:tcPr>
            <w:tcW w:w="1016" w:type="pct"/>
            <w:noWrap/>
            <w:hideMark/>
          </w:tcPr>
          <w:p w14:paraId="1EBB407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10A5BD0D"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0F923D7F" w14:textId="77777777" w:rsidTr="00BB2625">
        <w:trPr>
          <w:trHeight w:val="300"/>
        </w:trPr>
        <w:tc>
          <w:tcPr>
            <w:tcW w:w="456" w:type="pct"/>
            <w:noWrap/>
            <w:hideMark/>
          </w:tcPr>
          <w:p w14:paraId="0E61A171" w14:textId="77777777" w:rsidR="000B54BD" w:rsidRPr="00CA1876" w:rsidRDefault="000B54BD" w:rsidP="00E97A3B">
            <w:pPr>
              <w:jc w:val="center"/>
              <w:rPr>
                <w:rFonts w:eastAsia="Times New Roman" w:cstheme="minorHAnsi"/>
                <w:lang w:val="en-GB" w:eastAsia="en-GB"/>
              </w:rPr>
            </w:pPr>
          </w:p>
        </w:tc>
        <w:tc>
          <w:tcPr>
            <w:tcW w:w="864" w:type="pct"/>
            <w:noWrap/>
            <w:hideMark/>
          </w:tcPr>
          <w:p w14:paraId="527B345B"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Manafonu Siola'a</w:t>
            </w:r>
          </w:p>
        </w:tc>
        <w:tc>
          <w:tcPr>
            <w:tcW w:w="1524" w:type="pct"/>
            <w:noWrap/>
            <w:hideMark/>
          </w:tcPr>
          <w:p w14:paraId="5B946BC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Supervisor, Sexual &amp; Reproductive Health Nurses</w:t>
            </w:r>
          </w:p>
        </w:tc>
        <w:tc>
          <w:tcPr>
            <w:tcW w:w="1016" w:type="pct"/>
            <w:noWrap/>
            <w:hideMark/>
          </w:tcPr>
          <w:p w14:paraId="67F6F67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085A699C"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5E476D1F" w14:textId="77777777" w:rsidTr="00BB2625">
        <w:trPr>
          <w:trHeight w:val="300"/>
        </w:trPr>
        <w:tc>
          <w:tcPr>
            <w:tcW w:w="456" w:type="pct"/>
            <w:noWrap/>
            <w:hideMark/>
          </w:tcPr>
          <w:p w14:paraId="784DF0F9" w14:textId="77777777" w:rsidR="000B54BD" w:rsidRPr="00CA1876" w:rsidRDefault="000B54BD" w:rsidP="00E97A3B">
            <w:pPr>
              <w:jc w:val="center"/>
              <w:rPr>
                <w:rFonts w:eastAsia="Times New Roman" w:cstheme="minorHAnsi"/>
                <w:lang w:val="en-GB" w:eastAsia="en-GB"/>
              </w:rPr>
            </w:pPr>
          </w:p>
        </w:tc>
        <w:tc>
          <w:tcPr>
            <w:tcW w:w="864" w:type="pct"/>
            <w:noWrap/>
            <w:hideMark/>
          </w:tcPr>
          <w:p w14:paraId="6122775E"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024A352F"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73E6EBFE"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7CF857A6" w14:textId="77777777" w:rsidR="000B54BD" w:rsidRPr="003940F5" w:rsidRDefault="000B54BD" w:rsidP="00E97A3B">
            <w:pPr>
              <w:rPr>
                <w:rFonts w:ascii="Times New Roman" w:eastAsia="Times New Roman" w:hAnsi="Times New Roman"/>
                <w:lang w:val="en-GB" w:eastAsia="en-GB"/>
              </w:rPr>
            </w:pPr>
          </w:p>
        </w:tc>
      </w:tr>
      <w:tr w:rsidR="000B54BD" w:rsidRPr="003940F5" w14:paraId="37207D99" w14:textId="77777777" w:rsidTr="00BB2625">
        <w:trPr>
          <w:trHeight w:val="300"/>
        </w:trPr>
        <w:tc>
          <w:tcPr>
            <w:tcW w:w="456" w:type="pct"/>
            <w:noWrap/>
            <w:hideMark/>
          </w:tcPr>
          <w:p w14:paraId="753214CD" w14:textId="77777777" w:rsidR="000B54BD" w:rsidRPr="00CA1876" w:rsidRDefault="000B54BD" w:rsidP="00E97A3B">
            <w:pPr>
              <w:jc w:val="center"/>
              <w:rPr>
                <w:rFonts w:eastAsia="Times New Roman" w:cstheme="minorHAnsi"/>
                <w:szCs w:val="22"/>
                <w:lang w:val="en-GB" w:eastAsia="en-GB"/>
              </w:rPr>
            </w:pPr>
            <w:r w:rsidRPr="00CA1876">
              <w:rPr>
                <w:rFonts w:eastAsia="Times New Roman" w:cstheme="minorHAnsi"/>
                <w:szCs w:val="22"/>
                <w:lang w:val="en-GB" w:eastAsia="en-GB"/>
              </w:rPr>
              <w:t>21-Nov-18</w:t>
            </w:r>
          </w:p>
        </w:tc>
        <w:tc>
          <w:tcPr>
            <w:tcW w:w="864" w:type="pct"/>
            <w:noWrap/>
            <w:hideMark/>
          </w:tcPr>
          <w:p w14:paraId="1D54F4C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Semisi Fukofuka</w:t>
            </w:r>
          </w:p>
        </w:tc>
        <w:tc>
          <w:tcPr>
            <w:tcW w:w="1524" w:type="pct"/>
            <w:noWrap/>
            <w:hideMark/>
          </w:tcPr>
          <w:p w14:paraId="5F40783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Director Corporate Services</w:t>
            </w:r>
          </w:p>
        </w:tc>
        <w:tc>
          <w:tcPr>
            <w:tcW w:w="1016" w:type="pct"/>
            <w:noWrap/>
            <w:hideMark/>
          </w:tcPr>
          <w:p w14:paraId="4751FAE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2F144179" w14:textId="77777777" w:rsidR="000B54BD" w:rsidRPr="003940F5" w:rsidRDefault="001A663F" w:rsidP="00E97A3B">
            <w:pPr>
              <w:rPr>
                <w:rFonts w:ascii="Calibri" w:eastAsia="Times New Roman" w:hAnsi="Calibri" w:cs="Calibri"/>
                <w:color w:val="0563C1"/>
                <w:szCs w:val="22"/>
                <w:u w:val="single"/>
                <w:lang w:val="en-GB" w:eastAsia="en-GB"/>
              </w:rPr>
            </w:pPr>
            <w:hyperlink r:id="rId29" w:history="1">
              <w:r w:rsidR="000B54BD" w:rsidRPr="003940F5">
                <w:rPr>
                  <w:rFonts w:ascii="Calibri" w:eastAsia="Times New Roman" w:hAnsi="Calibri" w:cs="Calibri"/>
                  <w:color w:val="0563C1"/>
                  <w:szCs w:val="22"/>
                  <w:u w:val="single"/>
                  <w:lang w:val="en-GB" w:eastAsia="en-GB"/>
                </w:rPr>
                <w:t>sfukofuka@health.gov.to</w:t>
              </w:r>
            </w:hyperlink>
          </w:p>
        </w:tc>
      </w:tr>
      <w:tr w:rsidR="000B54BD" w:rsidRPr="003940F5" w14:paraId="7C4FDC94" w14:textId="77777777" w:rsidTr="00BB2625">
        <w:trPr>
          <w:trHeight w:val="300"/>
        </w:trPr>
        <w:tc>
          <w:tcPr>
            <w:tcW w:w="456" w:type="pct"/>
            <w:noWrap/>
            <w:hideMark/>
          </w:tcPr>
          <w:p w14:paraId="747F2AB9"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4D96FAB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Dr Yutaro Setoya</w:t>
            </w:r>
          </w:p>
        </w:tc>
        <w:tc>
          <w:tcPr>
            <w:tcW w:w="1524" w:type="pct"/>
            <w:noWrap/>
            <w:hideMark/>
          </w:tcPr>
          <w:p w14:paraId="341DDE2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Technical Officer</w:t>
            </w:r>
          </w:p>
        </w:tc>
        <w:tc>
          <w:tcPr>
            <w:tcW w:w="1016" w:type="pct"/>
            <w:noWrap/>
            <w:hideMark/>
          </w:tcPr>
          <w:p w14:paraId="78DF7E0A"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World Health Organization</w:t>
            </w:r>
          </w:p>
        </w:tc>
        <w:tc>
          <w:tcPr>
            <w:tcW w:w="1140" w:type="pct"/>
            <w:noWrap/>
            <w:hideMark/>
          </w:tcPr>
          <w:p w14:paraId="30F32E9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setoyay@who.int</w:t>
            </w:r>
          </w:p>
        </w:tc>
      </w:tr>
      <w:tr w:rsidR="000B54BD" w:rsidRPr="003940F5" w14:paraId="378B4BF4" w14:textId="77777777" w:rsidTr="00BB2625">
        <w:trPr>
          <w:trHeight w:val="300"/>
        </w:trPr>
        <w:tc>
          <w:tcPr>
            <w:tcW w:w="456" w:type="pct"/>
            <w:noWrap/>
            <w:hideMark/>
          </w:tcPr>
          <w:p w14:paraId="1ECE05AA" w14:textId="77777777" w:rsidR="000B54BD" w:rsidRPr="003940F5" w:rsidRDefault="000B54BD" w:rsidP="00E97A3B">
            <w:pPr>
              <w:jc w:val="center"/>
              <w:rPr>
                <w:rFonts w:ascii="Calibri" w:eastAsia="Times New Roman" w:hAnsi="Calibri" w:cs="Calibri"/>
                <w:color w:val="000000"/>
                <w:szCs w:val="22"/>
                <w:lang w:val="en-GB" w:eastAsia="en-GB"/>
              </w:rPr>
            </w:pPr>
          </w:p>
        </w:tc>
        <w:tc>
          <w:tcPr>
            <w:tcW w:w="864" w:type="pct"/>
            <w:noWrap/>
            <w:hideMark/>
          </w:tcPr>
          <w:p w14:paraId="60BC13D0"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Balwyn Fa'otusia</w:t>
            </w:r>
          </w:p>
        </w:tc>
        <w:tc>
          <w:tcPr>
            <w:tcW w:w="1524" w:type="pct"/>
            <w:noWrap/>
            <w:hideMark/>
          </w:tcPr>
          <w:p w14:paraId="2A50F03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Chief Executive Officer</w:t>
            </w:r>
          </w:p>
        </w:tc>
        <w:tc>
          <w:tcPr>
            <w:tcW w:w="1016" w:type="pct"/>
            <w:noWrap/>
            <w:hideMark/>
          </w:tcPr>
          <w:p w14:paraId="7E1C967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Finance</w:t>
            </w:r>
          </w:p>
        </w:tc>
        <w:tc>
          <w:tcPr>
            <w:tcW w:w="1140" w:type="pct"/>
            <w:noWrap/>
            <w:hideMark/>
          </w:tcPr>
          <w:p w14:paraId="29C64D2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balwyn.faotusia@finance.gov.to</w:t>
            </w:r>
          </w:p>
        </w:tc>
      </w:tr>
      <w:tr w:rsidR="000B54BD" w:rsidRPr="003940F5" w14:paraId="70C1F77D" w14:textId="77777777" w:rsidTr="00BB2625">
        <w:trPr>
          <w:trHeight w:val="300"/>
        </w:trPr>
        <w:tc>
          <w:tcPr>
            <w:tcW w:w="456" w:type="pct"/>
            <w:noWrap/>
            <w:hideMark/>
          </w:tcPr>
          <w:p w14:paraId="75EDA79A" w14:textId="77777777" w:rsidR="000B54BD" w:rsidRPr="003940F5" w:rsidRDefault="000B54BD" w:rsidP="00E97A3B">
            <w:pPr>
              <w:jc w:val="center"/>
              <w:rPr>
                <w:rFonts w:ascii="Calibri" w:eastAsia="Times New Roman" w:hAnsi="Calibri" w:cs="Calibri"/>
                <w:color w:val="000000"/>
                <w:szCs w:val="22"/>
                <w:lang w:val="en-GB" w:eastAsia="en-GB"/>
              </w:rPr>
            </w:pPr>
          </w:p>
        </w:tc>
        <w:tc>
          <w:tcPr>
            <w:tcW w:w="864" w:type="pct"/>
            <w:noWrap/>
            <w:hideMark/>
          </w:tcPr>
          <w:p w14:paraId="3943C89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Losaline Fonua</w:t>
            </w:r>
          </w:p>
        </w:tc>
        <w:tc>
          <w:tcPr>
            <w:tcW w:w="1524" w:type="pct"/>
            <w:noWrap/>
            <w:hideMark/>
          </w:tcPr>
          <w:p w14:paraId="7873164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Finance Manager</w:t>
            </w:r>
          </w:p>
        </w:tc>
        <w:tc>
          <w:tcPr>
            <w:tcW w:w="1016" w:type="pct"/>
            <w:noWrap/>
            <w:hideMark/>
          </w:tcPr>
          <w:p w14:paraId="7229ADC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TongaHealth</w:t>
            </w:r>
          </w:p>
        </w:tc>
        <w:tc>
          <w:tcPr>
            <w:tcW w:w="1140" w:type="pct"/>
            <w:noWrap/>
            <w:hideMark/>
          </w:tcPr>
          <w:p w14:paraId="43FD8AC8" w14:textId="77777777" w:rsidR="000B54BD" w:rsidRPr="003940F5" w:rsidRDefault="001A663F" w:rsidP="00E97A3B">
            <w:pPr>
              <w:rPr>
                <w:rFonts w:ascii="Calibri" w:eastAsia="Times New Roman" w:hAnsi="Calibri" w:cs="Calibri"/>
                <w:color w:val="0563C1"/>
                <w:szCs w:val="22"/>
                <w:u w:val="single"/>
                <w:lang w:val="en-GB" w:eastAsia="en-GB"/>
              </w:rPr>
            </w:pPr>
            <w:hyperlink r:id="rId30" w:history="1">
              <w:r w:rsidR="000B54BD" w:rsidRPr="003940F5">
                <w:rPr>
                  <w:rFonts w:ascii="Calibri" w:eastAsia="Times New Roman" w:hAnsi="Calibri" w:cs="Calibri"/>
                  <w:color w:val="0563C1"/>
                  <w:szCs w:val="22"/>
                  <w:u w:val="single"/>
                  <w:lang w:val="en-GB" w:eastAsia="en-GB"/>
                </w:rPr>
                <w:t>losaline.fonua@tongahealth.org.to</w:t>
              </w:r>
            </w:hyperlink>
          </w:p>
        </w:tc>
      </w:tr>
      <w:tr w:rsidR="000B54BD" w:rsidRPr="003940F5" w14:paraId="47E5CD90" w14:textId="77777777" w:rsidTr="00BB2625">
        <w:trPr>
          <w:trHeight w:val="300"/>
        </w:trPr>
        <w:tc>
          <w:tcPr>
            <w:tcW w:w="456" w:type="pct"/>
            <w:noWrap/>
            <w:hideMark/>
          </w:tcPr>
          <w:p w14:paraId="5C4078A2" w14:textId="77777777" w:rsidR="000B54BD" w:rsidRPr="00CA1876" w:rsidRDefault="000B54BD" w:rsidP="00E97A3B">
            <w:pPr>
              <w:jc w:val="center"/>
              <w:rPr>
                <w:rFonts w:ascii="Calibri" w:eastAsia="Times New Roman" w:hAnsi="Calibri" w:cs="Calibri"/>
                <w:szCs w:val="22"/>
                <w:u w:val="single"/>
                <w:lang w:val="en-GB" w:eastAsia="en-GB"/>
              </w:rPr>
            </w:pPr>
          </w:p>
        </w:tc>
        <w:tc>
          <w:tcPr>
            <w:tcW w:w="864" w:type="pct"/>
            <w:noWrap/>
            <w:hideMark/>
          </w:tcPr>
          <w:p w14:paraId="3060D35E"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0D9981F0"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551A7DEC"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745DA73D" w14:textId="77777777" w:rsidR="000B54BD" w:rsidRPr="003940F5" w:rsidRDefault="000B54BD" w:rsidP="00E97A3B">
            <w:pPr>
              <w:rPr>
                <w:rFonts w:ascii="Times New Roman" w:eastAsia="Times New Roman" w:hAnsi="Times New Roman"/>
                <w:lang w:val="en-GB" w:eastAsia="en-GB"/>
              </w:rPr>
            </w:pPr>
          </w:p>
        </w:tc>
      </w:tr>
      <w:tr w:rsidR="000B54BD" w:rsidRPr="003940F5" w14:paraId="7F851799" w14:textId="77777777" w:rsidTr="00BB2625">
        <w:trPr>
          <w:trHeight w:val="300"/>
        </w:trPr>
        <w:tc>
          <w:tcPr>
            <w:tcW w:w="456" w:type="pct"/>
            <w:noWrap/>
            <w:hideMark/>
          </w:tcPr>
          <w:p w14:paraId="560BF7A2" w14:textId="77777777" w:rsidR="000B54BD" w:rsidRPr="003940F5" w:rsidRDefault="000B54BD" w:rsidP="00E97A3B">
            <w:pPr>
              <w:jc w:val="cente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22-Nov-18</w:t>
            </w:r>
          </w:p>
        </w:tc>
        <w:tc>
          <w:tcPr>
            <w:tcW w:w="864" w:type="pct"/>
            <w:noWrap/>
            <w:hideMark/>
          </w:tcPr>
          <w:p w14:paraId="2427F864"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Amelia Tu'ipulotu</w:t>
            </w:r>
          </w:p>
        </w:tc>
        <w:tc>
          <w:tcPr>
            <w:tcW w:w="1524" w:type="pct"/>
            <w:noWrap/>
            <w:hideMark/>
          </w:tcPr>
          <w:p w14:paraId="2C70D57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Deputy Director Budget and Finance</w:t>
            </w:r>
          </w:p>
        </w:tc>
        <w:tc>
          <w:tcPr>
            <w:tcW w:w="1016" w:type="pct"/>
            <w:noWrap/>
            <w:hideMark/>
          </w:tcPr>
          <w:p w14:paraId="7FB923F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7CA5CBB7" w14:textId="77777777" w:rsidR="000B54BD" w:rsidRPr="003940F5" w:rsidRDefault="001A663F" w:rsidP="00E97A3B">
            <w:pPr>
              <w:rPr>
                <w:rFonts w:ascii="Calibri" w:eastAsia="Times New Roman" w:hAnsi="Calibri" w:cs="Calibri"/>
                <w:color w:val="0563C1"/>
                <w:szCs w:val="22"/>
                <w:u w:val="single"/>
                <w:lang w:val="en-GB" w:eastAsia="en-GB"/>
              </w:rPr>
            </w:pPr>
            <w:hyperlink r:id="rId31" w:history="1">
              <w:r w:rsidR="000B54BD" w:rsidRPr="003940F5">
                <w:rPr>
                  <w:rFonts w:ascii="Calibri" w:eastAsia="Times New Roman" w:hAnsi="Calibri" w:cs="Calibri"/>
                  <w:color w:val="0563C1"/>
                  <w:szCs w:val="22"/>
                  <w:u w:val="single"/>
                  <w:lang w:val="en-GB" w:eastAsia="en-GB"/>
                </w:rPr>
                <w:t>ameliahalakiumatatuitupou@gmail.com</w:t>
              </w:r>
            </w:hyperlink>
          </w:p>
        </w:tc>
      </w:tr>
      <w:tr w:rsidR="000B54BD" w:rsidRPr="003940F5" w14:paraId="6E8B6D37" w14:textId="77777777" w:rsidTr="00BB2625">
        <w:trPr>
          <w:trHeight w:val="300"/>
        </w:trPr>
        <w:tc>
          <w:tcPr>
            <w:tcW w:w="456" w:type="pct"/>
            <w:noWrap/>
            <w:hideMark/>
          </w:tcPr>
          <w:p w14:paraId="2FE74CFB"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5781118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Mita</w:t>
            </w:r>
          </w:p>
        </w:tc>
        <w:tc>
          <w:tcPr>
            <w:tcW w:w="1524" w:type="pct"/>
            <w:noWrap/>
            <w:hideMark/>
          </w:tcPr>
          <w:p w14:paraId="0D8A217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Accounts Officer (DFAT)</w:t>
            </w:r>
          </w:p>
        </w:tc>
        <w:tc>
          <w:tcPr>
            <w:tcW w:w="1016" w:type="pct"/>
            <w:noWrap/>
            <w:hideMark/>
          </w:tcPr>
          <w:p w14:paraId="0731A4C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168B06AA"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5BC394DB" w14:textId="77777777" w:rsidTr="00BB2625">
        <w:trPr>
          <w:trHeight w:val="300"/>
        </w:trPr>
        <w:tc>
          <w:tcPr>
            <w:tcW w:w="456" w:type="pct"/>
            <w:noWrap/>
            <w:hideMark/>
          </w:tcPr>
          <w:p w14:paraId="75E9BF6D" w14:textId="77777777" w:rsidR="000B54BD" w:rsidRPr="00CA1876" w:rsidRDefault="000B54BD" w:rsidP="00E97A3B">
            <w:pPr>
              <w:jc w:val="center"/>
              <w:rPr>
                <w:rFonts w:eastAsia="Times New Roman" w:cstheme="minorHAnsi"/>
                <w:lang w:val="en-GB" w:eastAsia="en-GB"/>
              </w:rPr>
            </w:pPr>
          </w:p>
        </w:tc>
        <w:tc>
          <w:tcPr>
            <w:tcW w:w="864" w:type="pct"/>
            <w:noWrap/>
            <w:hideMark/>
          </w:tcPr>
          <w:p w14:paraId="2361C0E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Dr Peter Mellon</w:t>
            </w:r>
          </w:p>
        </w:tc>
        <w:tc>
          <w:tcPr>
            <w:tcW w:w="1524" w:type="pct"/>
            <w:noWrap/>
            <w:hideMark/>
          </w:tcPr>
          <w:p w14:paraId="7831D440"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PACTAM Adviser (procurement &amp; contracts)</w:t>
            </w:r>
          </w:p>
        </w:tc>
        <w:tc>
          <w:tcPr>
            <w:tcW w:w="1016" w:type="pct"/>
            <w:noWrap/>
            <w:hideMark/>
          </w:tcPr>
          <w:p w14:paraId="2AA88AE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1EE53F8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pjmellon@aol.com</w:t>
            </w:r>
          </w:p>
        </w:tc>
      </w:tr>
      <w:tr w:rsidR="000B54BD" w:rsidRPr="003940F5" w14:paraId="2A7F60E8" w14:textId="77777777" w:rsidTr="00BB2625">
        <w:trPr>
          <w:trHeight w:val="300"/>
        </w:trPr>
        <w:tc>
          <w:tcPr>
            <w:tcW w:w="456" w:type="pct"/>
            <w:noWrap/>
            <w:hideMark/>
          </w:tcPr>
          <w:p w14:paraId="79327BD5"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20C5984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Sioape Kupu</w:t>
            </w:r>
          </w:p>
        </w:tc>
        <w:tc>
          <w:tcPr>
            <w:tcW w:w="1524" w:type="pct"/>
            <w:noWrap/>
            <w:hideMark/>
          </w:tcPr>
          <w:p w14:paraId="576EFBC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A/g Principal Health Planning Officer</w:t>
            </w:r>
          </w:p>
        </w:tc>
        <w:tc>
          <w:tcPr>
            <w:tcW w:w="1016" w:type="pct"/>
            <w:noWrap/>
            <w:hideMark/>
          </w:tcPr>
          <w:p w14:paraId="57BF1A40"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595EF23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sioapekupu@gmail.com</w:t>
            </w:r>
          </w:p>
        </w:tc>
      </w:tr>
      <w:tr w:rsidR="000B54BD" w:rsidRPr="003940F5" w14:paraId="7243FA2A" w14:textId="77777777" w:rsidTr="00BB2625">
        <w:trPr>
          <w:trHeight w:val="300"/>
        </w:trPr>
        <w:tc>
          <w:tcPr>
            <w:tcW w:w="456" w:type="pct"/>
            <w:noWrap/>
            <w:hideMark/>
          </w:tcPr>
          <w:p w14:paraId="73B562D8"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109DEC0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Pisila Otunuku</w:t>
            </w:r>
          </w:p>
        </w:tc>
        <w:tc>
          <w:tcPr>
            <w:tcW w:w="1524" w:type="pct"/>
            <w:noWrap/>
            <w:hideMark/>
          </w:tcPr>
          <w:p w14:paraId="1573E62A"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Head, Central Procurement Unit</w:t>
            </w:r>
          </w:p>
        </w:tc>
        <w:tc>
          <w:tcPr>
            <w:tcW w:w="1016" w:type="pct"/>
            <w:noWrap/>
            <w:hideMark/>
          </w:tcPr>
          <w:p w14:paraId="1A51A02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Finance</w:t>
            </w:r>
          </w:p>
        </w:tc>
        <w:tc>
          <w:tcPr>
            <w:tcW w:w="1140" w:type="pct"/>
            <w:noWrap/>
            <w:hideMark/>
          </w:tcPr>
          <w:p w14:paraId="4879587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potunuku@finance.gov.to</w:t>
            </w:r>
          </w:p>
        </w:tc>
      </w:tr>
      <w:tr w:rsidR="000B54BD" w:rsidRPr="003940F5" w14:paraId="280C3BAB" w14:textId="77777777" w:rsidTr="00BB2625">
        <w:trPr>
          <w:trHeight w:val="300"/>
        </w:trPr>
        <w:tc>
          <w:tcPr>
            <w:tcW w:w="456" w:type="pct"/>
            <w:noWrap/>
            <w:hideMark/>
          </w:tcPr>
          <w:p w14:paraId="34E0FFCA"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36C1BCD4"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Rheema Misser</w:t>
            </w:r>
          </w:p>
        </w:tc>
        <w:tc>
          <w:tcPr>
            <w:tcW w:w="1524" w:type="pct"/>
            <w:noWrap/>
            <w:hideMark/>
          </w:tcPr>
          <w:p w14:paraId="4175DFB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Disability advocate</w:t>
            </w:r>
          </w:p>
        </w:tc>
        <w:tc>
          <w:tcPr>
            <w:tcW w:w="1016" w:type="pct"/>
            <w:noWrap/>
            <w:hideMark/>
          </w:tcPr>
          <w:p w14:paraId="62135880"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Naunau 'o e 'Alamaite Tonga (NATA)</w:t>
            </w:r>
          </w:p>
        </w:tc>
        <w:tc>
          <w:tcPr>
            <w:tcW w:w="1140" w:type="pct"/>
            <w:noWrap/>
            <w:hideMark/>
          </w:tcPr>
          <w:p w14:paraId="1B37001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rhemamisser@yahoo.com</w:t>
            </w:r>
          </w:p>
        </w:tc>
      </w:tr>
      <w:tr w:rsidR="000B54BD" w:rsidRPr="003940F5" w14:paraId="4B2B570D" w14:textId="77777777" w:rsidTr="00BB2625">
        <w:trPr>
          <w:trHeight w:val="300"/>
        </w:trPr>
        <w:tc>
          <w:tcPr>
            <w:tcW w:w="456" w:type="pct"/>
            <w:noWrap/>
            <w:hideMark/>
          </w:tcPr>
          <w:p w14:paraId="7859CE82"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285444B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Ofa Leka</w:t>
            </w:r>
          </w:p>
        </w:tc>
        <w:tc>
          <w:tcPr>
            <w:tcW w:w="1524" w:type="pct"/>
            <w:noWrap/>
            <w:hideMark/>
          </w:tcPr>
          <w:p w14:paraId="43DC10B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Representative</w:t>
            </w:r>
          </w:p>
        </w:tc>
        <w:tc>
          <w:tcPr>
            <w:tcW w:w="1016" w:type="pct"/>
            <w:noWrap/>
            <w:hideMark/>
          </w:tcPr>
          <w:p w14:paraId="6C7940B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Tonga Vision Impairment Association</w:t>
            </w:r>
          </w:p>
        </w:tc>
        <w:tc>
          <w:tcPr>
            <w:tcW w:w="1140" w:type="pct"/>
            <w:noWrap/>
            <w:hideMark/>
          </w:tcPr>
          <w:p w14:paraId="02B3EA2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mr.ofa.leka@gmail.com</w:t>
            </w:r>
          </w:p>
        </w:tc>
      </w:tr>
      <w:tr w:rsidR="00BB2625" w:rsidRPr="003940F5" w14:paraId="758DD2E5" w14:textId="77777777" w:rsidTr="00BB2625">
        <w:trPr>
          <w:trHeight w:val="300"/>
        </w:trPr>
        <w:tc>
          <w:tcPr>
            <w:tcW w:w="456" w:type="pct"/>
            <w:noWrap/>
            <w:hideMark/>
          </w:tcPr>
          <w:p w14:paraId="58B768FD" w14:textId="77777777" w:rsidR="00BB2625" w:rsidRPr="00CA1876" w:rsidRDefault="00BB2625" w:rsidP="00E97A3B">
            <w:pPr>
              <w:jc w:val="center"/>
              <w:rPr>
                <w:rFonts w:eastAsia="Times New Roman" w:cstheme="minorHAnsi"/>
                <w:szCs w:val="22"/>
                <w:lang w:val="en-GB" w:eastAsia="en-GB"/>
              </w:rPr>
            </w:pPr>
          </w:p>
        </w:tc>
        <w:tc>
          <w:tcPr>
            <w:tcW w:w="864" w:type="pct"/>
            <w:noWrap/>
            <w:hideMark/>
          </w:tcPr>
          <w:p w14:paraId="0F438589" w14:textId="77777777" w:rsidR="00BB2625" w:rsidRPr="003940F5" w:rsidRDefault="00BB2625"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Una</w:t>
            </w:r>
          </w:p>
        </w:tc>
        <w:tc>
          <w:tcPr>
            <w:tcW w:w="1524" w:type="pct"/>
            <w:noWrap/>
            <w:hideMark/>
          </w:tcPr>
          <w:p w14:paraId="2C668128" w14:textId="77777777" w:rsidR="00BB2625" w:rsidRPr="003940F5" w:rsidRDefault="00BB2625"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Support worker</w:t>
            </w:r>
          </w:p>
        </w:tc>
        <w:tc>
          <w:tcPr>
            <w:tcW w:w="1016" w:type="pct"/>
            <w:noWrap/>
            <w:hideMark/>
          </w:tcPr>
          <w:p w14:paraId="7375B1B2" w14:textId="77777777" w:rsidR="00BB2625" w:rsidRPr="003940F5" w:rsidRDefault="00BB2625" w:rsidP="00E97A3B">
            <w:pPr>
              <w:rPr>
                <w:rFonts w:ascii="Calibri" w:eastAsia="Times New Roman" w:hAnsi="Calibri" w:cs="Calibri"/>
                <w:color w:val="000000"/>
                <w:lang w:eastAsia="en-GB"/>
              </w:rPr>
            </w:pPr>
            <w:r w:rsidRPr="003940F5">
              <w:rPr>
                <w:rFonts w:ascii="Calibri" w:eastAsia="Times New Roman" w:hAnsi="Calibri" w:cs="Calibri"/>
                <w:color w:val="000000"/>
                <w:szCs w:val="22"/>
                <w:lang w:val="en-GB" w:eastAsia="en-GB"/>
              </w:rPr>
              <w:t>Naunau 'o e 'Alamaite Tonga (NATA)</w:t>
            </w:r>
          </w:p>
        </w:tc>
        <w:tc>
          <w:tcPr>
            <w:tcW w:w="1140" w:type="pct"/>
          </w:tcPr>
          <w:p w14:paraId="052EF586" w14:textId="77777777" w:rsidR="00BB2625" w:rsidRPr="003940F5" w:rsidRDefault="00BB2625" w:rsidP="00E97A3B">
            <w:pPr>
              <w:rPr>
                <w:rFonts w:ascii="Calibri" w:eastAsia="Times New Roman" w:hAnsi="Calibri" w:cs="Calibri"/>
                <w:color w:val="000000"/>
                <w:szCs w:val="22"/>
                <w:lang w:val="en-GB" w:eastAsia="en-GB"/>
              </w:rPr>
            </w:pPr>
          </w:p>
        </w:tc>
      </w:tr>
      <w:tr w:rsidR="000B54BD" w:rsidRPr="003940F5" w14:paraId="3C6DC13B" w14:textId="77777777" w:rsidTr="00BB2625">
        <w:trPr>
          <w:trHeight w:val="300"/>
        </w:trPr>
        <w:tc>
          <w:tcPr>
            <w:tcW w:w="456" w:type="pct"/>
            <w:noWrap/>
            <w:hideMark/>
          </w:tcPr>
          <w:p w14:paraId="5CE08464"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2C43CB1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Makeleta Siliva</w:t>
            </w:r>
          </w:p>
        </w:tc>
        <w:tc>
          <w:tcPr>
            <w:tcW w:w="1524" w:type="pct"/>
            <w:noWrap/>
            <w:hideMark/>
          </w:tcPr>
          <w:p w14:paraId="3FD223B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Deputy CEO, Treasury</w:t>
            </w:r>
          </w:p>
        </w:tc>
        <w:tc>
          <w:tcPr>
            <w:tcW w:w="1016" w:type="pct"/>
            <w:noWrap/>
            <w:hideMark/>
          </w:tcPr>
          <w:p w14:paraId="7BB1FE5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Finance</w:t>
            </w:r>
          </w:p>
        </w:tc>
        <w:tc>
          <w:tcPr>
            <w:tcW w:w="1140" w:type="pct"/>
            <w:noWrap/>
            <w:hideMark/>
          </w:tcPr>
          <w:p w14:paraId="767688DF" w14:textId="77777777" w:rsidR="000B54BD" w:rsidRPr="003940F5" w:rsidRDefault="001A663F" w:rsidP="00E97A3B">
            <w:pPr>
              <w:rPr>
                <w:rFonts w:ascii="Calibri" w:eastAsia="Times New Roman" w:hAnsi="Calibri" w:cs="Calibri"/>
                <w:color w:val="0563C1"/>
                <w:szCs w:val="22"/>
                <w:u w:val="single"/>
                <w:lang w:val="en-GB" w:eastAsia="en-GB"/>
              </w:rPr>
            </w:pPr>
            <w:hyperlink r:id="rId32" w:history="1">
              <w:r w:rsidR="000B54BD" w:rsidRPr="003940F5">
                <w:rPr>
                  <w:rFonts w:ascii="Calibri" w:eastAsia="Times New Roman" w:hAnsi="Calibri" w:cs="Calibri"/>
                  <w:color w:val="0563C1"/>
                  <w:szCs w:val="22"/>
                  <w:u w:val="single"/>
                  <w:lang w:val="en-GB" w:eastAsia="en-GB"/>
                </w:rPr>
                <w:t>msiliva@finance.gov.to</w:t>
              </w:r>
            </w:hyperlink>
          </w:p>
        </w:tc>
      </w:tr>
      <w:tr w:rsidR="000B54BD" w:rsidRPr="003940F5" w14:paraId="42AE7674" w14:textId="77777777" w:rsidTr="00BB2625">
        <w:trPr>
          <w:trHeight w:val="300"/>
        </w:trPr>
        <w:tc>
          <w:tcPr>
            <w:tcW w:w="456" w:type="pct"/>
            <w:noWrap/>
            <w:hideMark/>
          </w:tcPr>
          <w:p w14:paraId="599AD5C4"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2407982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Losa Makakaufaki</w:t>
            </w:r>
          </w:p>
        </w:tc>
        <w:tc>
          <w:tcPr>
            <w:tcW w:w="1524" w:type="pct"/>
            <w:noWrap/>
            <w:hideMark/>
          </w:tcPr>
          <w:p w14:paraId="52658CE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Senior Accountant, Development</w:t>
            </w:r>
          </w:p>
        </w:tc>
        <w:tc>
          <w:tcPr>
            <w:tcW w:w="1016" w:type="pct"/>
            <w:noWrap/>
            <w:hideMark/>
          </w:tcPr>
          <w:p w14:paraId="1CDB473F" w14:textId="77777777" w:rsidR="000B54BD" w:rsidRPr="003940F5" w:rsidRDefault="000B54BD" w:rsidP="00E97A3B">
            <w:pPr>
              <w:rPr>
                <w:rFonts w:ascii="Calibri" w:eastAsia="Times New Roman" w:hAnsi="Calibri" w:cs="Calibri"/>
                <w:color w:val="000000"/>
                <w:szCs w:val="22"/>
                <w:lang w:val="en-GB" w:eastAsia="en-GB"/>
              </w:rPr>
            </w:pPr>
          </w:p>
        </w:tc>
        <w:tc>
          <w:tcPr>
            <w:tcW w:w="1140" w:type="pct"/>
            <w:noWrap/>
            <w:hideMark/>
          </w:tcPr>
          <w:p w14:paraId="234900BF" w14:textId="77777777" w:rsidR="000B54BD" w:rsidRPr="003940F5" w:rsidRDefault="000B54BD" w:rsidP="00E97A3B">
            <w:pPr>
              <w:rPr>
                <w:rFonts w:ascii="Times New Roman" w:eastAsia="Times New Roman" w:hAnsi="Times New Roman"/>
                <w:lang w:val="en-GB" w:eastAsia="en-GB"/>
              </w:rPr>
            </w:pPr>
          </w:p>
        </w:tc>
      </w:tr>
      <w:tr w:rsidR="000B54BD" w:rsidRPr="003940F5" w14:paraId="5A7E3932" w14:textId="77777777" w:rsidTr="00BB2625">
        <w:trPr>
          <w:trHeight w:val="300"/>
        </w:trPr>
        <w:tc>
          <w:tcPr>
            <w:tcW w:w="456" w:type="pct"/>
            <w:noWrap/>
            <w:hideMark/>
          </w:tcPr>
          <w:p w14:paraId="3A031C87" w14:textId="77777777" w:rsidR="000B54BD" w:rsidRPr="00CA1876" w:rsidRDefault="000B54BD" w:rsidP="00E97A3B">
            <w:pPr>
              <w:jc w:val="center"/>
              <w:rPr>
                <w:rFonts w:eastAsia="Times New Roman" w:cstheme="minorHAnsi"/>
                <w:lang w:val="en-GB" w:eastAsia="en-GB"/>
              </w:rPr>
            </w:pPr>
          </w:p>
        </w:tc>
        <w:tc>
          <w:tcPr>
            <w:tcW w:w="864" w:type="pct"/>
            <w:noWrap/>
            <w:hideMark/>
          </w:tcPr>
          <w:p w14:paraId="246A3F76"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1B11523C"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028C7C67"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628D1C29" w14:textId="77777777" w:rsidR="000B54BD" w:rsidRPr="003940F5" w:rsidRDefault="000B54BD" w:rsidP="00E97A3B">
            <w:pPr>
              <w:rPr>
                <w:rFonts w:ascii="Times New Roman" w:eastAsia="Times New Roman" w:hAnsi="Times New Roman"/>
                <w:lang w:val="en-GB" w:eastAsia="en-GB"/>
              </w:rPr>
            </w:pPr>
          </w:p>
        </w:tc>
      </w:tr>
      <w:tr w:rsidR="000B54BD" w:rsidRPr="003940F5" w14:paraId="25D3EE91" w14:textId="77777777" w:rsidTr="00BB2625">
        <w:trPr>
          <w:trHeight w:val="300"/>
        </w:trPr>
        <w:tc>
          <w:tcPr>
            <w:tcW w:w="456" w:type="pct"/>
            <w:noWrap/>
            <w:hideMark/>
          </w:tcPr>
          <w:p w14:paraId="37651E03" w14:textId="77777777" w:rsidR="000B54BD" w:rsidRPr="003940F5" w:rsidRDefault="000B54BD" w:rsidP="00E97A3B">
            <w:pPr>
              <w:jc w:val="cente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23-Nov-18</w:t>
            </w:r>
          </w:p>
        </w:tc>
        <w:tc>
          <w:tcPr>
            <w:tcW w:w="864" w:type="pct"/>
            <w:noWrap/>
            <w:hideMark/>
          </w:tcPr>
          <w:p w14:paraId="3D3D33A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Rev Dr Tu'ipulotu Katoanga</w:t>
            </w:r>
          </w:p>
        </w:tc>
        <w:tc>
          <w:tcPr>
            <w:tcW w:w="1524" w:type="pct"/>
            <w:noWrap/>
            <w:hideMark/>
          </w:tcPr>
          <w:p w14:paraId="6FF464D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Chair</w:t>
            </w:r>
          </w:p>
        </w:tc>
        <w:tc>
          <w:tcPr>
            <w:tcW w:w="1016" w:type="pct"/>
            <w:noWrap/>
            <w:hideMark/>
          </w:tcPr>
          <w:p w14:paraId="0DCD62A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Board of Directors, TongaHealth</w:t>
            </w:r>
          </w:p>
        </w:tc>
        <w:tc>
          <w:tcPr>
            <w:tcW w:w="1140" w:type="pct"/>
            <w:noWrap/>
            <w:hideMark/>
          </w:tcPr>
          <w:p w14:paraId="1B4E4C5B"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44763F70" w14:textId="77777777" w:rsidTr="00BB2625">
        <w:trPr>
          <w:trHeight w:val="300"/>
        </w:trPr>
        <w:tc>
          <w:tcPr>
            <w:tcW w:w="456" w:type="pct"/>
            <w:noWrap/>
            <w:hideMark/>
          </w:tcPr>
          <w:p w14:paraId="4E73EA4C" w14:textId="77777777" w:rsidR="000B54BD" w:rsidRPr="00CA1876" w:rsidRDefault="000B54BD" w:rsidP="00E97A3B">
            <w:pPr>
              <w:jc w:val="center"/>
              <w:rPr>
                <w:rFonts w:eastAsia="Times New Roman" w:cstheme="minorHAnsi"/>
                <w:lang w:val="en-GB" w:eastAsia="en-GB"/>
              </w:rPr>
            </w:pPr>
          </w:p>
        </w:tc>
        <w:tc>
          <w:tcPr>
            <w:tcW w:w="864" w:type="pct"/>
            <w:noWrap/>
            <w:hideMark/>
          </w:tcPr>
          <w:p w14:paraId="4FF0333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Dr Amelia Afuha'amango</w:t>
            </w:r>
          </w:p>
        </w:tc>
        <w:tc>
          <w:tcPr>
            <w:tcW w:w="1524" w:type="pct"/>
            <w:noWrap/>
            <w:hideMark/>
          </w:tcPr>
          <w:p w14:paraId="4CEA658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Member</w:t>
            </w:r>
          </w:p>
        </w:tc>
        <w:tc>
          <w:tcPr>
            <w:tcW w:w="1016" w:type="pct"/>
            <w:noWrap/>
            <w:hideMark/>
          </w:tcPr>
          <w:p w14:paraId="5745D8F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Board of Directors, TongaHealth</w:t>
            </w:r>
          </w:p>
        </w:tc>
        <w:tc>
          <w:tcPr>
            <w:tcW w:w="1140" w:type="pct"/>
            <w:noWrap/>
            <w:hideMark/>
          </w:tcPr>
          <w:p w14:paraId="2DA23FCC"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1DFDCE01" w14:textId="77777777" w:rsidTr="00BB2625">
        <w:trPr>
          <w:trHeight w:val="300"/>
        </w:trPr>
        <w:tc>
          <w:tcPr>
            <w:tcW w:w="456" w:type="pct"/>
            <w:noWrap/>
            <w:hideMark/>
          </w:tcPr>
          <w:p w14:paraId="076C8CB9" w14:textId="77777777" w:rsidR="000B54BD" w:rsidRPr="00CA1876" w:rsidRDefault="000B54BD" w:rsidP="00E97A3B">
            <w:pPr>
              <w:jc w:val="center"/>
              <w:rPr>
                <w:rFonts w:eastAsia="Times New Roman" w:cstheme="minorHAnsi"/>
                <w:lang w:val="en-GB" w:eastAsia="en-GB"/>
              </w:rPr>
            </w:pPr>
          </w:p>
        </w:tc>
        <w:tc>
          <w:tcPr>
            <w:tcW w:w="864" w:type="pct"/>
            <w:noWrap/>
            <w:hideMark/>
          </w:tcPr>
          <w:p w14:paraId="6A5F514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Ofeina Filimoehala</w:t>
            </w:r>
          </w:p>
        </w:tc>
        <w:tc>
          <w:tcPr>
            <w:tcW w:w="1524" w:type="pct"/>
            <w:noWrap/>
            <w:hideMark/>
          </w:tcPr>
          <w:p w14:paraId="65BEC45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Secretariat</w:t>
            </w:r>
          </w:p>
        </w:tc>
        <w:tc>
          <w:tcPr>
            <w:tcW w:w="1016" w:type="pct"/>
            <w:noWrap/>
            <w:hideMark/>
          </w:tcPr>
          <w:p w14:paraId="628062B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Board of Directors, TongaHealth</w:t>
            </w:r>
          </w:p>
        </w:tc>
        <w:tc>
          <w:tcPr>
            <w:tcW w:w="1140" w:type="pct"/>
            <w:noWrap/>
            <w:hideMark/>
          </w:tcPr>
          <w:p w14:paraId="72576655"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4BC502E5" w14:textId="77777777" w:rsidTr="00BB2625">
        <w:trPr>
          <w:trHeight w:val="300"/>
        </w:trPr>
        <w:tc>
          <w:tcPr>
            <w:tcW w:w="456" w:type="pct"/>
            <w:noWrap/>
            <w:hideMark/>
          </w:tcPr>
          <w:p w14:paraId="2CD4D169" w14:textId="77777777" w:rsidR="000B54BD" w:rsidRPr="00CA1876" w:rsidRDefault="000B54BD" w:rsidP="00E97A3B">
            <w:pPr>
              <w:jc w:val="center"/>
              <w:rPr>
                <w:rFonts w:eastAsia="Times New Roman" w:cstheme="minorHAnsi"/>
                <w:lang w:val="en-GB" w:eastAsia="en-GB"/>
              </w:rPr>
            </w:pPr>
          </w:p>
        </w:tc>
        <w:tc>
          <w:tcPr>
            <w:tcW w:w="864" w:type="pct"/>
            <w:noWrap/>
            <w:hideMark/>
          </w:tcPr>
          <w:p w14:paraId="7B7262D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 xml:space="preserve">Dr Siale </w:t>
            </w:r>
            <w:r w:rsidR="00474D41">
              <w:rPr>
                <w:rFonts w:ascii="Calibri" w:eastAsia="Times New Roman" w:hAnsi="Calibri" w:cs="Calibri"/>
                <w:color w:val="000000"/>
                <w:szCs w:val="22"/>
                <w:lang w:val="en-GB" w:eastAsia="en-GB"/>
              </w:rPr>
              <w:t>‘</w:t>
            </w:r>
            <w:r w:rsidRPr="003940F5">
              <w:rPr>
                <w:rFonts w:ascii="Calibri" w:eastAsia="Times New Roman" w:hAnsi="Calibri" w:cs="Calibri"/>
                <w:color w:val="000000"/>
                <w:szCs w:val="22"/>
                <w:lang w:val="en-GB" w:eastAsia="en-GB"/>
              </w:rPr>
              <w:t>Akau'ola</w:t>
            </w:r>
          </w:p>
        </w:tc>
        <w:tc>
          <w:tcPr>
            <w:tcW w:w="1524" w:type="pct"/>
            <w:noWrap/>
            <w:hideMark/>
          </w:tcPr>
          <w:p w14:paraId="6E46A6B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Chair</w:t>
            </w:r>
          </w:p>
        </w:tc>
        <w:tc>
          <w:tcPr>
            <w:tcW w:w="1016" w:type="pct"/>
            <w:noWrap/>
            <w:hideMark/>
          </w:tcPr>
          <w:p w14:paraId="2775FDB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National NCD Committee</w:t>
            </w:r>
          </w:p>
        </w:tc>
        <w:tc>
          <w:tcPr>
            <w:tcW w:w="1140" w:type="pct"/>
            <w:noWrap/>
            <w:hideMark/>
          </w:tcPr>
          <w:p w14:paraId="7493237A"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4CF0A348" w14:textId="77777777" w:rsidTr="00BB2625">
        <w:trPr>
          <w:trHeight w:val="300"/>
        </w:trPr>
        <w:tc>
          <w:tcPr>
            <w:tcW w:w="456" w:type="pct"/>
            <w:noWrap/>
            <w:hideMark/>
          </w:tcPr>
          <w:p w14:paraId="600CE388" w14:textId="77777777" w:rsidR="000B54BD" w:rsidRPr="00CA1876" w:rsidRDefault="000B54BD" w:rsidP="00E97A3B">
            <w:pPr>
              <w:jc w:val="center"/>
              <w:rPr>
                <w:rFonts w:eastAsia="Times New Roman" w:cstheme="minorHAnsi"/>
                <w:lang w:val="en-GB" w:eastAsia="en-GB"/>
              </w:rPr>
            </w:pPr>
          </w:p>
        </w:tc>
        <w:tc>
          <w:tcPr>
            <w:tcW w:w="864" w:type="pct"/>
            <w:noWrap/>
            <w:hideMark/>
          </w:tcPr>
          <w:p w14:paraId="6981B82A"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Alifaleti Fonua</w:t>
            </w:r>
          </w:p>
        </w:tc>
        <w:tc>
          <w:tcPr>
            <w:tcW w:w="1524" w:type="pct"/>
            <w:noWrap/>
            <w:hideMark/>
          </w:tcPr>
          <w:p w14:paraId="3083025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Representative, Ministry of Education &amp; Training</w:t>
            </w:r>
          </w:p>
        </w:tc>
        <w:tc>
          <w:tcPr>
            <w:tcW w:w="1016" w:type="pct"/>
            <w:noWrap/>
            <w:hideMark/>
          </w:tcPr>
          <w:p w14:paraId="2CFDB0B4"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National NCD Committee</w:t>
            </w:r>
          </w:p>
        </w:tc>
        <w:tc>
          <w:tcPr>
            <w:tcW w:w="1140" w:type="pct"/>
            <w:noWrap/>
            <w:hideMark/>
          </w:tcPr>
          <w:p w14:paraId="1B70AEDA"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3647AB2A" w14:textId="77777777" w:rsidTr="00BB2625">
        <w:trPr>
          <w:trHeight w:val="300"/>
        </w:trPr>
        <w:tc>
          <w:tcPr>
            <w:tcW w:w="456" w:type="pct"/>
            <w:noWrap/>
            <w:hideMark/>
          </w:tcPr>
          <w:p w14:paraId="46B4E2F0" w14:textId="77777777" w:rsidR="000B54BD" w:rsidRPr="00CA1876" w:rsidRDefault="000B54BD" w:rsidP="00E97A3B">
            <w:pPr>
              <w:jc w:val="center"/>
              <w:rPr>
                <w:rFonts w:eastAsia="Times New Roman" w:cstheme="minorHAnsi"/>
                <w:lang w:val="en-GB" w:eastAsia="en-GB"/>
              </w:rPr>
            </w:pPr>
          </w:p>
        </w:tc>
        <w:tc>
          <w:tcPr>
            <w:tcW w:w="864" w:type="pct"/>
            <w:noWrap/>
            <w:hideMark/>
          </w:tcPr>
          <w:p w14:paraId="2472EC9A"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Manaia Halafihi</w:t>
            </w:r>
          </w:p>
        </w:tc>
        <w:tc>
          <w:tcPr>
            <w:tcW w:w="1524" w:type="pct"/>
            <w:noWrap/>
            <w:hideMark/>
          </w:tcPr>
          <w:p w14:paraId="67EB9A7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Deputy CEO, Ministry of Agriculture</w:t>
            </w:r>
          </w:p>
        </w:tc>
        <w:tc>
          <w:tcPr>
            <w:tcW w:w="1016" w:type="pct"/>
            <w:noWrap/>
            <w:hideMark/>
          </w:tcPr>
          <w:p w14:paraId="5492F01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National NCD Committee</w:t>
            </w:r>
          </w:p>
        </w:tc>
        <w:tc>
          <w:tcPr>
            <w:tcW w:w="1140" w:type="pct"/>
            <w:noWrap/>
            <w:hideMark/>
          </w:tcPr>
          <w:p w14:paraId="2410DEFF"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2FD4433E" w14:textId="77777777" w:rsidTr="00BB2625">
        <w:trPr>
          <w:trHeight w:val="300"/>
        </w:trPr>
        <w:tc>
          <w:tcPr>
            <w:tcW w:w="456" w:type="pct"/>
            <w:noWrap/>
            <w:hideMark/>
          </w:tcPr>
          <w:p w14:paraId="767E2B84" w14:textId="77777777" w:rsidR="000B54BD" w:rsidRPr="00CA1876" w:rsidRDefault="000B54BD" w:rsidP="00E97A3B">
            <w:pPr>
              <w:jc w:val="center"/>
              <w:rPr>
                <w:rFonts w:eastAsia="Times New Roman" w:cstheme="minorHAnsi"/>
                <w:lang w:val="en-GB" w:eastAsia="en-GB"/>
              </w:rPr>
            </w:pPr>
          </w:p>
        </w:tc>
        <w:tc>
          <w:tcPr>
            <w:tcW w:w="864" w:type="pct"/>
            <w:noWrap/>
            <w:hideMark/>
          </w:tcPr>
          <w:p w14:paraId="61586F2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Ana Ika</w:t>
            </w:r>
          </w:p>
        </w:tc>
        <w:tc>
          <w:tcPr>
            <w:tcW w:w="1524" w:type="pct"/>
            <w:noWrap/>
            <w:hideMark/>
          </w:tcPr>
          <w:p w14:paraId="18ADCD8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Chief Economist, Project &amp; Aid Management Division, Ministry of Finance</w:t>
            </w:r>
          </w:p>
        </w:tc>
        <w:tc>
          <w:tcPr>
            <w:tcW w:w="1016" w:type="pct"/>
            <w:noWrap/>
            <w:hideMark/>
          </w:tcPr>
          <w:p w14:paraId="5EB2155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National NCD Committee</w:t>
            </w:r>
          </w:p>
        </w:tc>
        <w:tc>
          <w:tcPr>
            <w:tcW w:w="1140" w:type="pct"/>
            <w:noWrap/>
            <w:hideMark/>
          </w:tcPr>
          <w:p w14:paraId="70E8D8DB" w14:textId="77777777" w:rsidR="000B54BD" w:rsidRPr="003940F5" w:rsidRDefault="001A663F" w:rsidP="00E97A3B">
            <w:pPr>
              <w:rPr>
                <w:rFonts w:ascii="Calibri" w:eastAsia="Times New Roman" w:hAnsi="Calibri" w:cs="Calibri"/>
                <w:color w:val="0563C1"/>
                <w:szCs w:val="22"/>
                <w:u w:val="single"/>
                <w:lang w:val="en-GB" w:eastAsia="en-GB"/>
              </w:rPr>
            </w:pPr>
            <w:hyperlink r:id="rId33" w:history="1">
              <w:r w:rsidR="000B54BD" w:rsidRPr="003940F5">
                <w:rPr>
                  <w:rFonts w:ascii="Calibri" w:eastAsia="Times New Roman" w:hAnsi="Calibri" w:cs="Calibri"/>
                  <w:color w:val="0563C1"/>
                  <w:szCs w:val="22"/>
                  <w:u w:val="single"/>
                  <w:lang w:val="en-GB" w:eastAsia="en-GB"/>
                </w:rPr>
                <w:t>ebaker@finance.gov.to</w:t>
              </w:r>
            </w:hyperlink>
          </w:p>
        </w:tc>
      </w:tr>
      <w:tr w:rsidR="00CA1876" w:rsidRPr="003940F5" w14:paraId="2AA04905" w14:textId="77777777" w:rsidTr="00BB2625">
        <w:trPr>
          <w:trHeight w:val="300"/>
        </w:trPr>
        <w:tc>
          <w:tcPr>
            <w:tcW w:w="456" w:type="pct"/>
            <w:noWrap/>
            <w:hideMark/>
          </w:tcPr>
          <w:p w14:paraId="7D247AC2" w14:textId="77777777" w:rsidR="00CA1876" w:rsidRPr="00CA1876" w:rsidRDefault="00CA1876" w:rsidP="00CA1876">
            <w:pPr>
              <w:jc w:val="center"/>
              <w:rPr>
                <w:rFonts w:eastAsia="Times New Roman" w:cstheme="minorHAnsi"/>
                <w:szCs w:val="22"/>
                <w:u w:val="single"/>
                <w:lang w:val="en-GB" w:eastAsia="en-GB"/>
              </w:rPr>
            </w:pPr>
          </w:p>
        </w:tc>
        <w:tc>
          <w:tcPr>
            <w:tcW w:w="864" w:type="pct"/>
            <w:noWrap/>
            <w:hideMark/>
          </w:tcPr>
          <w:p w14:paraId="7B86717D" w14:textId="77777777" w:rsidR="00CA1876" w:rsidRPr="003940F5" w:rsidRDefault="00CA1876" w:rsidP="00CA1876">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Kilisitina Puleiku</w:t>
            </w:r>
          </w:p>
        </w:tc>
        <w:tc>
          <w:tcPr>
            <w:tcW w:w="1524" w:type="pct"/>
            <w:noWrap/>
            <w:hideMark/>
          </w:tcPr>
          <w:p w14:paraId="6FBCC2EA" w14:textId="77777777" w:rsidR="00CA1876" w:rsidRPr="003940F5" w:rsidRDefault="00CA1876" w:rsidP="00CA1876">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Principle Economist, Project &amp; Aid Management Division, Ministry of Finance</w:t>
            </w:r>
          </w:p>
        </w:tc>
        <w:tc>
          <w:tcPr>
            <w:tcW w:w="1016" w:type="pct"/>
            <w:noWrap/>
            <w:hideMark/>
          </w:tcPr>
          <w:p w14:paraId="378E8A9D" w14:textId="77777777" w:rsidR="00CA1876" w:rsidRPr="003940F5" w:rsidRDefault="00CA1876" w:rsidP="00CA1876">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National NCD Committee</w:t>
            </w:r>
          </w:p>
        </w:tc>
        <w:tc>
          <w:tcPr>
            <w:tcW w:w="1140" w:type="pct"/>
            <w:noWrap/>
            <w:hideMark/>
          </w:tcPr>
          <w:p w14:paraId="72686965" w14:textId="77777777" w:rsidR="00CA1876" w:rsidRPr="003940F5" w:rsidRDefault="001A663F" w:rsidP="00CA1876">
            <w:pPr>
              <w:rPr>
                <w:rFonts w:ascii="Calibri" w:eastAsia="Times New Roman" w:hAnsi="Calibri" w:cs="Calibri"/>
                <w:color w:val="0563C1"/>
                <w:szCs w:val="22"/>
                <w:u w:val="single"/>
                <w:lang w:val="en-GB" w:eastAsia="en-GB"/>
              </w:rPr>
            </w:pPr>
            <w:hyperlink r:id="rId34" w:history="1">
              <w:r w:rsidR="00CA1876" w:rsidRPr="003940F5">
                <w:rPr>
                  <w:rFonts w:ascii="Calibri" w:eastAsia="Times New Roman" w:hAnsi="Calibri" w:cs="Calibri"/>
                  <w:color w:val="0563C1"/>
                  <w:szCs w:val="22"/>
                  <w:u w:val="single"/>
                  <w:lang w:val="en-GB" w:eastAsia="en-GB"/>
                </w:rPr>
                <w:t>kpuleiku@finance.gov.to</w:t>
              </w:r>
            </w:hyperlink>
          </w:p>
        </w:tc>
      </w:tr>
      <w:tr w:rsidR="00CA1876" w:rsidRPr="003940F5" w14:paraId="2CE0E5BD" w14:textId="77777777" w:rsidTr="00BB2625">
        <w:trPr>
          <w:trHeight w:val="300"/>
        </w:trPr>
        <w:tc>
          <w:tcPr>
            <w:tcW w:w="456" w:type="pct"/>
            <w:noWrap/>
            <w:hideMark/>
          </w:tcPr>
          <w:p w14:paraId="621E0C12" w14:textId="77777777" w:rsidR="00CA1876" w:rsidRPr="00CA1876" w:rsidRDefault="00CA1876" w:rsidP="00CA1876">
            <w:pPr>
              <w:jc w:val="center"/>
              <w:rPr>
                <w:rFonts w:eastAsia="Times New Roman" w:cstheme="minorHAnsi"/>
                <w:szCs w:val="22"/>
                <w:u w:val="single"/>
                <w:lang w:val="en-GB" w:eastAsia="en-GB"/>
              </w:rPr>
            </w:pPr>
          </w:p>
        </w:tc>
        <w:tc>
          <w:tcPr>
            <w:tcW w:w="864" w:type="pct"/>
            <w:noWrap/>
            <w:hideMark/>
          </w:tcPr>
          <w:p w14:paraId="35C204C7" w14:textId="77777777" w:rsidR="00CA1876" w:rsidRPr="003940F5" w:rsidRDefault="00CA1876" w:rsidP="00CA1876">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Onetoto 'Anisi</w:t>
            </w:r>
          </w:p>
        </w:tc>
        <w:tc>
          <w:tcPr>
            <w:tcW w:w="1524" w:type="pct"/>
            <w:noWrap/>
            <w:hideMark/>
          </w:tcPr>
          <w:p w14:paraId="6F3E11E5" w14:textId="77777777" w:rsidR="00CA1876" w:rsidRPr="003940F5" w:rsidRDefault="00CA1876" w:rsidP="00CA1876">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Acting CEO, Ministry of Internal Affairs</w:t>
            </w:r>
          </w:p>
        </w:tc>
        <w:tc>
          <w:tcPr>
            <w:tcW w:w="1016" w:type="pct"/>
            <w:noWrap/>
            <w:hideMark/>
          </w:tcPr>
          <w:p w14:paraId="3B416299" w14:textId="77777777" w:rsidR="00CA1876" w:rsidRPr="003940F5" w:rsidRDefault="00CA1876" w:rsidP="00CA1876">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National NCD Committee</w:t>
            </w:r>
          </w:p>
        </w:tc>
        <w:tc>
          <w:tcPr>
            <w:tcW w:w="1140" w:type="pct"/>
            <w:noWrap/>
            <w:hideMark/>
          </w:tcPr>
          <w:p w14:paraId="56704A58" w14:textId="77777777" w:rsidR="00CA1876" w:rsidRPr="003940F5" w:rsidRDefault="00CA1876" w:rsidP="00CA1876">
            <w:pPr>
              <w:rPr>
                <w:rFonts w:ascii="Calibri" w:eastAsia="Times New Roman" w:hAnsi="Calibri" w:cs="Calibri"/>
                <w:color w:val="000000"/>
                <w:szCs w:val="22"/>
                <w:lang w:val="en-GB" w:eastAsia="en-GB"/>
              </w:rPr>
            </w:pPr>
          </w:p>
        </w:tc>
      </w:tr>
      <w:tr w:rsidR="000B54BD" w:rsidRPr="003940F5" w14:paraId="526232C4" w14:textId="77777777" w:rsidTr="00BB2625">
        <w:trPr>
          <w:trHeight w:val="300"/>
        </w:trPr>
        <w:tc>
          <w:tcPr>
            <w:tcW w:w="456" w:type="pct"/>
            <w:noWrap/>
            <w:hideMark/>
          </w:tcPr>
          <w:p w14:paraId="4ADA6059" w14:textId="77777777" w:rsidR="000B54BD" w:rsidRPr="00CA1876" w:rsidRDefault="000B54BD" w:rsidP="00E97A3B">
            <w:pPr>
              <w:jc w:val="center"/>
              <w:rPr>
                <w:rFonts w:eastAsia="Times New Roman" w:cstheme="minorHAnsi"/>
                <w:lang w:val="en-GB" w:eastAsia="en-GB"/>
              </w:rPr>
            </w:pPr>
          </w:p>
        </w:tc>
        <w:tc>
          <w:tcPr>
            <w:tcW w:w="864" w:type="pct"/>
            <w:noWrap/>
            <w:hideMark/>
          </w:tcPr>
          <w:p w14:paraId="36AF044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Emele Latu</w:t>
            </w:r>
          </w:p>
        </w:tc>
        <w:tc>
          <w:tcPr>
            <w:tcW w:w="1524" w:type="pct"/>
            <w:noWrap/>
            <w:hideMark/>
          </w:tcPr>
          <w:p w14:paraId="73432E3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Program Manager, Civil Society Forum of Tonga</w:t>
            </w:r>
          </w:p>
        </w:tc>
        <w:tc>
          <w:tcPr>
            <w:tcW w:w="1016" w:type="pct"/>
            <w:noWrap/>
            <w:hideMark/>
          </w:tcPr>
          <w:p w14:paraId="7350F6C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National NCD Committee</w:t>
            </w:r>
          </w:p>
        </w:tc>
        <w:tc>
          <w:tcPr>
            <w:tcW w:w="1140" w:type="pct"/>
            <w:noWrap/>
            <w:hideMark/>
          </w:tcPr>
          <w:p w14:paraId="04191C60"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3D3D62DB" w14:textId="77777777" w:rsidTr="00BB2625">
        <w:trPr>
          <w:trHeight w:val="300"/>
        </w:trPr>
        <w:tc>
          <w:tcPr>
            <w:tcW w:w="456" w:type="pct"/>
            <w:noWrap/>
            <w:hideMark/>
          </w:tcPr>
          <w:p w14:paraId="1C426345" w14:textId="77777777" w:rsidR="000B54BD" w:rsidRPr="00CA1876" w:rsidRDefault="000B54BD" w:rsidP="00E97A3B">
            <w:pPr>
              <w:jc w:val="center"/>
              <w:rPr>
                <w:rFonts w:eastAsia="Times New Roman" w:cstheme="minorHAnsi"/>
                <w:lang w:val="en-GB" w:eastAsia="en-GB"/>
              </w:rPr>
            </w:pPr>
          </w:p>
        </w:tc>
        <w:tc>
          <w:tcPr>
            <w:tcW w:w="864" w:type="pct"/>
            <w:noWrap/>
            <w:hideMark/>
          </w:tcPr>
          <w:p w14:paraId="39E70E4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Rev Lilo</w:t>
            </w:r>
          </w:p>
        </w:tc>
        <w:tc>
          <w:tcPr>
            <w:tcW w:w="1524" w:type="pct"/>
            <w:noWrap/>
            <w:hideMark/>
          </w:tcPr>
          <w:p w14:paraId="701BAD2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Internal Affairs</w:t>
            </w:r>
          </w:p>
        </w:tc>
        <w:tc>
          <w:tcPr>
            <w:tcW w:w="1016" w:type="pct"/>
            <w:noWrap/>
            <w:hideMark/>
          </w:tcPr>
          <w:p w14:paraId="70CFB36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National NCD Committee</w:t>
            </w:r>
          </w:p>
        </w:tc>
        <w:tc>
          <w:tcPr>
            <w:tcW w:w="1140" w:type="pct"/>
            <w:noWrap/>
            <w:hideMark/>
          </w:tcPr>
          <w:p w14:paraId="6B231DDC"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479E4948" w14:textId="77777777" w:rsidTr="00BB2625">
        <w:trPr>
          <w:trHeight w:val="300"/>
        </w:trPr>
        <w:tc>
          <w:tcPr>
            <w:tcW w:w="456" w:type="pct"/>
            <w:noWrap/>
            <w:hideMark/>
          </w:tcPr>
          <w:p w14:paraId="77062E9E" w14:textId="77777777" w:rsidR="000B54BD" w:rsidRPr="00CA1876" w:rsidRDefault="000B54BD" w:rsidP="00E97A3B">
            <w:pPr>
              <w:jc w:val="center"/>
              <w:rPr>
                <w:rFonts w:eastAsia="Times New Roman" w:cstheme="minorHAnsi"/>
                <w:lang w:val="en-GB" w:eastAsia="en-GB"/>
              </w:rPr>
            </w:pPr>
          </w:p>
        </w:tc>
        <w:tc>
          <w:tcPr>
            <w:tcW w:w="864" w:type="pct"/>
            <w:noWrap/>
            <w:hideMark/>
          </w:tcPr>
          <w:p w14:paraId="4337530B"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Sunia Soakai</w:t>
            </w:r>
          </w:p>
        </w:tc>
        <w:tc>
          <w:tcPr>
            <w:tcW w:w="1524" w:type="pct"/>
            <w:noWrap/>
            <w:hideMark/>
          </w:tcPr>
          <w:p w14:paraId="3C79995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Deputy Director, NCD Program</w:t>
            </w:r>
          </w:p>
        </w:tc>
        <w:tc>
          <w:tcPr>
            <w:tcW w:w="1016" w:type="pct"/>
            <w:noWrap/>
            <w:hideMark/>
          </w:tcPr>
          <w:p w14:paraId="1FFCC8B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The Pacific Community (SPC)</w:t>
            </w:r>
          </w:p>
        </w:tc>
        <w:tc>
          <w:tcPr>
            <w:tcW w:w="1140" w:type="pct"/>
            <w:noWrap/>
            <w:hideMark/>
          </w:tcPr>
          <w:p w14:paraId="3FAC1494"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2BBA1598" w14:textId="77777777" w:rsidTr="00BB2625">
        <w:trPr>
          <w:trHeight w:val="300"/>
        </w:trPr>
        <w:tc>
          <w:tcPr>
            <w:tcW w:w="456" w:type="pct"/>
            <w:noWrap/>
            <w:hideMark/>
          </w:tcPr>
          <w:p w14:paraId="1E6E2EFE" w14:textId="77777777" w:rsidR="000B54BD" w:rsidRPr="00CA1876" w:rsidRDefault="000B54BD" w:rsidP="00E97A3B">
            <w:pPr>
              <w:jc w:val="center"/>
              <w:rPr>
                <w:rFonts w:eastAsia="Times New Roman" w:cstheme="minorHAnsi"/>
                <w:lang w:val="en-GB" w:eastAsia="en-GB"/>
              </w:rPr>
            </w:pPr>
          </w:p>
        </w:tc>
        <w:tc>
          <w:tcPr>
            <w:tcW w:w="864" w:type="pct"/>
            <w:noWrap/>
            <w:hideMark/>
          </w:tcPr>
          <w:p w14:paraId="040D85F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Elena Procuta</w:t>
            </w:r>
          </w:p>
        </w:tc>
        <w:tc>
          <w:tcPr>
            <w:tcW w:w="1524" w:type="pct"/>
            <w:noWrap/>
            <w:hideMark/>
          </w:tcPr>
          <w:p w14:paraId="15D9175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Deputy High Commissioner</w:t>
            </w:r>
          </w:p>
        </w:tc>
        <w:tc>
          <w:tcPr>
            <w:tcW w:w="1016" w:type="pct"/>
            <w:noWrap/>
            <w:hideMark/>
          </w:tcPr>
          <w:p w14:paraId="446150C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New Zealand High Commission</w:t>
            </w:r>
          </w:p>
        </w:tc>
        <w:tc>
          <w:tcPr>
            <w:tcW w:w="1140" w:type="pct"/>
            <w:noWrap/>
            <w:hideMark/>
          </w:tcPr>
          <w:p w14:paraId="6465AD6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Elena.Procuta@mfat.govt.nz</w:t>
            </w:r>
          </w:p>
        </w:tc>
      </w:tr>
      <w:tr w:rsidR="000B54BD" w:rsidRPr="003940F5" w14:paraId="506D26A9" w14:textId="77777777" w:rsidTr="00BB2625">
        <w:trPr>
          <w:trHeight w:val="300"/>
        </w:trPr>
        <w:tc>
          <w:tcPr>
            <w:tcW w:w="456" w:type="pct"/>
            <w:noWrap/>
            <w:hideMark/>
          </w:tcPr>
          <w:p w14:paraId="1CDB4582"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2306452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Tileda</w:t>
            </w:r>
          </w:p>
        </w:tc>
        <w:tc>
          <w:tcPr>
            <w:tcW w:w="1524" w:type="pct"/>
            <w:noWrap/>
            <w:hideMark/>
          </w:tcPr>
          <w:p w14:paraId="4298849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Program Manager Health</w:t>
            </w:r>
          </w:p>
        </w:tc>
        <w:tc>
          <w:tcPr>
            <w:tcW w:w="1016" w:type="pct"/>
            <w:noWrap/>
            <w:hideMark/>
          </w:tcPr>
          <w:p w14:paraId="7024A73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New Zealand High Commission</w:t>
            </w:r>
          </w:p>
        </w:tc>
        <w:tc>
          <w:tcPr>
            <w:tcW w:w="1140" w:type="pct"/>
            <w:noWrap/>
            <w:hideMark/>
          </w:tcPr>
          <w:p w14:paraId="492FF8EB"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50446944" w14:textId="77777777" w:rsidTr="00BB2625">
        <w:trPr>
          <w:trHeight w:val="300"/>
        </w:trPr>
        <w:tc>
          <w:tcPr>
            <w:tcW w:w="456" w:type="pct"/>
            <w:noWrap/>
            <w:hideMark/>
          </w:tcPr>
          <w:p w14:paraId="067112B1" w14:textId="77777777" w:rsidR="000B54BD" w:rsidRPr="00CA1876" w:rsidRDefault="000B54BD" w:rsidP="00E97A3B">
            <w:pPr>
              <w:jc w:val="center"/>
              <w:rPr>
                <w:rFonts w:eastAsia="Times New Roman" w:cstheme="minorHAnsi"/>
                <w:lang w:val="en-GB" w:eastAsia="en-GB"/>
              </w:rPr>
            </w:pPr>
          </w:p>
        </w:tc>
        <w:tc>
          <w:tcPr>
            <w:tcW w:w="864" w:type="pct"/>
            <w:noWrap/>
            <w:hideMark/>
          </w:tcPr>
          <w:p w14:paraId="3AE6B5FE"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3FE092C3"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256B133D"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17CDE12E" w14:textId="77777777" w:rsidR="000B54BD" w:rsidRPr="003940F5" w:rsidRDefault="000B54BD" w:rsidP="00E97A3B">
            <w:pPr>
              <w:rPr>
                <w:rFonts w:ascii="Times New Roman" w:eastAsia="Times New Roman" w:hAnsi="Times New Roman"/>
                <w:lang w:val="en-GB" w:eastAsia="en-GB"/>
              </w:rPr>
            </w:pPr>
          </w:p>
        </w:tc>
      </w:tr>
      <w:tr w:rsidR="000B54BD" w:rsidRPr="003940F5" w14:paraId="66ABD387" w14:textId="77777777" w:rsidTr="00BB2625">
        <w:trPr>
          <w:trHeight w:val="300"/>
        </w:trPr>
        <w:tc>
          <w:tcPr>
            <w:tcW w:w="456" w:type="pct"/>
            <w:noWrap/>
            <w:hideMark/>
          </w:tcPr>
          <w:p w14:paraId="6B874173" w14:textId="77777777" w:rsidR="000B54BD" w:rsidRPr="00CA1876" w:rsidRDefault="000B54BD" w:rsidP="00E97A3B">
            <w:pPr>
              <w:jc w:val="center"/>
              <w:rPr>
                <w:rFonts w:eastAsia="Times New Roman" w:cstheme="minorHAnsi"/>
                <w:szCs w:val="22"/>
                <w:lang w:val="en-GB" w:eastAsia="en-GB"/>
              </w:rPr>
            </w:pPr>
            <w:r w:rsidRPr="00CA1876">
              <w:rPr>
                <w:rFonts w:eastAsia="Times New Roman" w:cstheme="minorHAnsi"/>
                <w:szCs w:val="22"/>
                <w:lang w:val="en-GB" w:eastAsia="en-GB"/>
              </w:rPr>
              <w:t>26-Nov-18</w:t>
            </w:r>
          </w:p>
        </w:tc>
        <w:tc>
          <w:tcPr>
            <w:tcW w:w="864" w:type="pct"/>
            <w:noWrap/>
            <w:hideMark/>
          </w:tcPr>
          <w:p w14:paraId="3EE6BA4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Maureen Perrin</w:t>
            </w:r>
          </w:p>
        </w:tc>
        <w:tc>
          <w:tcPr>
            <w:tcW w:w="1524" w:type="pct"/>
            <w:noWrap/>
            <w:hideMark/>
          </w:tcPr>
          <w:p w14:paraId="34845BF4"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Associate Managing Partner</w:t>
            </w:r>
          </w:p>
        </w:tc>
        <w:tc>
          <w:tcPr>
            <w:tcW w:w="1016" w:type="pct"/>
            <w:noWrap/>
            <w:hideMark/>
          </w:tcPr>
          <w:p w14:paraId="54C881A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Gevity Consulting Inc</w:t>
            </w:r>
          </w:p>
        </w:tc>
        <w:tc>
          <w:tcPr>
            <w:tcW w:w="1140" w:type="pct"/>
            <w:noWrap/>
            <w:hideMark/>
          </w:tcPr>
          <w:p w14:paraId="2B22874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mperrin@gevityinc.com</w:t>
            </w:r>
          </w:p>
        </w:tc>
      </w:tr>
      <w:tr w:rsidR="000B54BD" w:rsidRPr="003940F5" w14:paraId="66EFCABE" w14:textId="77777777" w:rsidTr="00BB2625">
        <w:trPr>
          <w:trHeight w:val="300"/>
        </w:trPr>
        <w:tc>
          <w:tcPr>
            <w:tcW w:w="456" w:type="pct"/>
            <w:noWrap/>
            <w:hideMark/>
          </w:tcPr>
          <w:p w14:paraId="68DED91A"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483BAC5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Ma'u Leha</w:t>
            </w:r>
          </w:p>
        </w:tc>
        <w:tc>
          <w:tcPr>
            <w:tcW w:w="1524" w:type="pct"/>
            <w:noWrap/>
            <w:hideMark/>
          </w:tcPr>
          <w:p w14:paraId="344F3CA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Head, National Planning Unit</w:t>
            </w:r>
          </w:p>
        </w:tc>
        <w:tc>
          <w:tcPr>
            <w:tcW w:w="1016" w:type="pct"/>
            <w:noWrap/>
            <w:hideMark/>
          </w:tcPr>
          <w:p w14:paraId="5ED7A61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Office of the Prime Minister</w:t>
            </w:r>
          </w:p>
        </w:tc>
        <w:tc>
          <w:tcPr>
            <w:tcW w:w="1140" w:type="pct"/>
            <w:noWrap/>
            <w:hideMark/>
          </w:tcPr>
          <w:p w14:paraId="120BBA1E" w14:textId="77777777" w:rsidR="000B54BD" w:rsidRPr="003940F5" w:rsidRDefault="001A663F" w:rsidP="00E97A3B">
            <w:pPr>
              <w:rPr>
                <w:rFonts w:ascii="Calibri" w:eastAsia="Times New Roman" w:hAnsi="Calibri" w:cs="Calibri"/>
                <w:color w:val="0563C1"/>
                <w:szCs w:val="22"/>
                <w:u w:val="single"/>
                <w:lang w:val="en-GB" w:eastAsia="en-GB"/>
              </w:rPr>
            </w:pPr>
            <w:hyperlink r:id="rId35" w:history="1">
              <w:r w:rsidR="000B54BD" w:rsidRPr="003940F5">
                <w:rPr>
                  <w:rFonts w:ascii="Calibri" w:eastAsia="Times New Roman" w:hAnsi="Calibri" w:cs="Calibri"/>
                  <w:color w:val="0563C1"/>
                  <w:szCs w:val="22"/>
                  <w:u w:val="single"/>
                  <w:lang w:val="en-GB" w:eastAsia="en-GB"/>
                </w:rPr>
                <w:t>mau.alipate@gmail.com</w:t>
              </w:r>
            </w:hyperlink>
          </w:p>
        </w:tc>
      </w:tr>
      <w:tr w:rsidR="000B54BD" w:rsidRPr="003940F5" w14:paraId="6C8F02BF" w14:textId="77777777" w:rsidTr="00BB2625">
        <w:trPr>
          <w:trHeight w:val="300"/>
        </w:trPr>
        <w:tc>
          <w:tcPr>
            <w:tcW w:w="456" w:type="pct"/>
            <w:noWrap/>
            <w:hideMark/>
          </w:tcPr>
          <w:p w14:paraId="1841BD8F"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2D11C4F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Dr Veisinia Matoto</w:t>
            </w:r>
          </w:p>
        </w:tc>
        <w:tc>
          <w:tcPr>
            <w:tcW w:w="1524" w:type="pct"/>
            <w:noWrap/>
            <w:hideMark/>
          </w:tcPr>
          <w:p w14:paraId="1DBDB2B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Director, Community Health</w:t>
            </w:r>
          </w:p>
        </w:tc>
        <w:tc>
          <w:tcPr>
            <w:tcW w:w="1016" w:type="pct"/>
            <w:noWrap/>
            <w:hideMark/>
          </w:tcPr>
          <w:p w14:paraId="117DC37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20BF78EE" w14:textId="77777777" w:rsidR="000B54BD" w:rsidRPr="003940F5" w:rsidRDefault="001A663F" w:rsidP="00E97A3B">
            <w:pPr>
              <w:rPr>
                <w:rFonts w:ascii="Calibri" w:eastAsia="Times New Roman" w:hAnsi="Calibri" w:cs="Calibri"/>
                <w:color w:val="0563C1"/>
                <w:szCs w:val="22"/>
                <w:u w:val="single"/>
                <w:lang w:val="en-GB" w:eastAsia="en-GB"/>
              </w:rPr>
            </w:pPr>
            <w:hyperlink r:id="rId36" w:history="1">
              <w:r w:rsidR="000B54BD" w:rsidRPr="003940F5">
                <w:rPr>
                  <w:rFonts w:ascii="Calibri" w:eastAsia="Times New Roman" w:hAnsi="Calibri" w:cs="Calibri"/>
                  <w:color w:val="0563C1"/>
                  <w:szCs w:val="22"/>
                  <w:u w:val="single"/>
                  <w:lang w:val="en-GB" w:eastAsia="en-GB"/>
                </w:rPr>
                <w:t>matotov@gmail.com</w:t>
              </w:r>
            </w:hyperlink>
          </w:p>
        </w:tc>
      </w:tr>
      <w:tr w:rsidR="000B54BD" w:rsidRPr="003940F5" w14:paraId="30C93E77" w14:textId="77777777" w:rsidTr="00BB2625">
        <w:trPr>
          <w:trHeight w:val="300"/>
        </w:trPr>
        <w:tc>
          <w:tcPr>
            <w:tcW w:w="456" w:type="pct"/>
            <w:noWrap/>
            <w:hideMark/>
          </w:tcPr>
          <w:p w14:paraId="456953BF"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74BE91B0"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Seilini Soakai</w:t>
            </w:r>
          </w:p>
        </w:tc>
        <w:tc>
          <w:tcPr>
            <w:tcW w:w="1524" w:type="pct"/>
            <w:noWrap/>
            <w:hideMark/>
          </w:tcPr>
          <w:p w14:paraId="4DE7FBD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NCD Nursing Supervisor</w:t>
            </w:r>
          </w:p>
        </w:tc>
        <w:tc>
          <w:tcPr>
            <w:tcW w:w="1016" w:type="pct"/>
            <w:noWrap/>
            <w:hideMark/>
          </w:tcPr>
          <w:p w14:paraId="57B4EDA0"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530CE565" w14:textId="77777777" w:rsidR="000B54BD" w:rsidRPr="003940F5" w:rsidRDefault="001A663F" w:rsidP="00E97A3B">
            <w:pPr>
              <w:rPr>
                <w:rFonts w:ascii="Calibri" w:eastAsia="Times New Roman" w:hAnsi="Calibri" w:cs="Calibri"/>
                <w:color w:val="0563C1"/>
                <w:szCs w:val="22"/>
                <w:u w:val="single"/>
                <w:lang w:val="en-GB" w:eastAsia="en-GB"/>
              </w:rPr>
            </w:pPr>
            <w:hyperlink r:id="rId37" w:history="1">
              <w:r w:rsidR="000B54BD" w:rsidRPr="003940F5">
                <w:rPr>
                  <w:rFonts w:ascii="Calibri" w:eastAsia="Times New Roman" w:hAnsi="Calibri" w:cs="Calibri"/>
                  <w:color w:val="0563C1"/>
                  <w:szCs w:val="22"/>
                  <w:u w:val="single"/>
                  <w:lang w:val="en-GB" w:eastAsia="en-GB"/>
                </w:rPr>
                <w:t>sayline23031966@gmail.com</w:t>
              </w:r>
            </w:hyperlink>
          </w:p>
        </w:tc>
      </w:tr>
      <w:tr w:rsidR="000B54BD" w:rsidRPr="003940F5" w14:paraId="14709D70" w14:textId="77777777" w:rsidTr="00BB2625">
        <w:trPr>
          <w:trHeight w:val="300"/>
        </w:trPr>
        <w:tc>
          <w:tcPr>
            <w:tcW w:w="456" w:type="pct"/>
            <w:noWrap/>
            <w:hideMark/>
          </w:tcPr>
          <w:p w14:paraId="336E2EDA"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25082FF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Elisi Tupou</w:t>
            </w:r>
          </w:p>
        </w:tc>
        <w:tc>
          <w:tcPr>
            <w:tcW w:w="1524" w:type="pct"/>
            <w:noWrap/>
            <w:hideMark/>
          </w:tcPr>
          <w:p w14:paraId="46242D1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Country Representative</w:t>
            </w:r>
          </w:p>
        </w:tc>
        <w:tc>
          <w:tcPr>
            <w:tcW w:w="1016" w:type="pct"/>
            <w:noWrap/>
            <w:hideMark/>
          </w:tcPr>
          <w:p w14:paraId="74E2541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UNFPA</w:t>
            </w:r>
          </w:p>
        </w:tc>
        <w:tc>
          <w:tcPr>
            <w:tcW w:w="1140" w:type="pct"/>
            <w:noWrap/>
            <w:hideMark/>
          </w:tcPr>
          <w:p w14:paraId="29C20CC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tupou@unfpa.org</w:t>
            </w:r>
          </w:p>
        </w:tc>
      </w:tr>
      <w:tr w:rsidR="000B54BD" w:rsidRPr="003940F5" w14:paraId="2FB8777E" w14:textId="77777777" w:rsidTr="00BB2625">
        <w:trPr>
          <w:trHeight w:val="300"/>
        </w:trPr>
        <w:tc>
          <w:tcPr>
            <w:tcW w:w="456" w:type="pct"/>
            <w:noWrap/>
            <w:hideMark/>
          </w:tcPr>
          <w:p w14:paraId="3F548A2F"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29460544"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7E44D385"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3173A302"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3C4149C9" w14:textId="77777777" w:rsidR="000B54BD" w:rsidRPr="003940F5" w:rsidRDefault="000B54BD" w:rsidP="00E97A3B">
            <w:pPr>
              <w:rPr>
                <w:rFonts w:ascii="Times New Roman" w:eastAsia="Times New Roman" w:hAnsi="Times New Roman"/>
                <w:lang w:val="en-GB" w:eastAsia="en-GB"/>
              </w:rPr>
            </w:pPr>
          </w:p>
        </w:tc>
      </w:tr>
      <w:tr w:rsidR="000B54BD" w:rsidRPr="003940F5" w14:paraId="1082459B" w14:textId="77777777" w:rsidTr="00BB2625">
        <w:trPr>
          <w:trHeight w:val="300"/>
        </w:trPr>
        <w:tc>
          <w:tcPr>
            <w:tcW w:w="456" w:type="pct"/>
            <w:noWrap/>
            <w:hideMark/>
          </w:tcPr>
          <w:p w14:paraId="52CCDD96" w14:textId="77777777" w:rsidR="000B54BD" w:rsidRPr="00CA1876" w:rsidRDefault="000B54BD" w:rsidP="00E97A3B">
            <w:pPr>
              <w:jc w:val="center"/>
              <w:rPr>
                <w:rFonts w:eastAsia="Times New Roman" w:cstheme="minorHAnsi"/>
                <w:szCs w:val="22"/>
                <w:lang w:val="en-GB" w:eastAsia="en-GB"/>
              </w:rPr>
            </w:pPr>
            <w:r w:rsidRPr="00CA1876">
              <w:rPr>
                <w:rFonts w:eastAsia="Times New Roman" w:cstheme="minorHAnsi"/>
                <w:szCs w:val="22"/>
                <w:lang w:val="en-GB" w:eastAsia="en-GB"/>
              </w:rPr>
              <w:t>27-Nov-18</w:t>
            </w:r>
          </w:p>
        </w:tc>
        <w:tc>
          <w:tcPr>
            <w:tcW w:w="864" w:type="pct"/>
            <w:noWrap/>
            <w:hideMark/>
          </w:tcPr>
          <w:p w14:paraId="185DA1E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Walter Hurrell</w:t>
            </w:r>
          </w:p>
        </w:tc>
        <w:tc>
          <w:tcPr>
            <w:tcW w:w="1524" w:type="pct"/>
            <w:noWrap/>
            <w:hideMark/>
          </w:tcPr>
          <w:p w14:paraId="5B18EFA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Chief Information Officer, Health ICT and Data Management</w:t>
            </w:r>
          </w:p>
        </w:tc>
        <w:tc>
          <w:tcPr>
            <w:tcW w:w="1016" w:type="pct"/>
            <w:noWrap/>
            <w:hideMark/>
          </w:tcPr>
          <w:p w14:paraId="66AF10F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6529D2A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shurrell@health.gov.to</w:t>
            </w:r>
          </w:p>
        </w:tc>
      </w:tr>
      <w:tr w:rsidR="000B54BD" w:rsidRPr="003940F5" w14:paraId="42AD577B" w14:textId="77777777" w:rsidTr="00BB2625">
        <w:trPr>
          <w:trHeight w:val="300"/>
        </w:trPr>
        <w:tc>
          <w:tcPr>
            <w:tcW w:w="456" w:type="pct"/>
            <w:noWrap/>
            <w:hideMark/>
          </w:tcPr>
          <w:p w14:paraId="70B4F9FC"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69E73EF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Lia Maka</w:t>
            </w:r>
          </w:p>
        </w:tc>
        <w:tc>
          <w:tcPr>
            <w:tcW w:w="1524" w:type="pct"/>
            <w:noWrap/>
            <w:hideMark/>
          </w:tcPr>
          <w:p w14:paraId="676784D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Commissioner</w:t>
            </w:r>
          </w:p>
        </w:tc>
        <w:tc>
          <w:tcPr>
            <w:tcW w:w="1016" w:type="pct"/>
            <w:noWrap/>
            <w:hideMark/>
          </w:tcPr>
          <w:p w14:paraId="095FF04B"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Public Service Commission</w:t>
            </w:r>
          </w:p>
        </w:tc>
        <w:tc>
          <w:tcPr>
            <w:tcW w:w="1140" w:type="pct"/>
            <w:noWrap/>
            <w:hideMark/>
          </w:tcPr>
          <w:p w14:paraId="40922BF6"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36B5460C" w14:textId="77777777" w:rsidTr="00BB2625">
        <w:trPr>
          <w:trHeight w:val="300"/>
        </w:trPr>
        <w:tc>
          <w:tcPr>
            <w:tcW w:w="456" w:type="pct"/>
            <w:noWrap/>
            <w:hideMark/>
          </w:tcPr>
          <w:p w14:paraId="0F01DEBB" w14:textId="77777777" w:rsidR="000B54BD" w:rsidRPr="00CA1876" w:rsidRDefault="000B54BD" w:rsidP="00E97A3B">
            <w:pPr>
              <w:jc w:val="center"/>
              <w:rPr>
                <w:rFonts w:eastAsia="Times New Roman" w:cstheme="minorHAnsi"/>
                <w:lang w:val="en-GB" w:eastAsia="en-GB"/>
              </w:rPr>
            </w:pPr>
          </w:p>
        </w:tc>
        <w:tc>
          <w:tcPr>
            <w:tcW w:w="864" w:type="pct"/>
            <w:noWrap/>
            <w:hideMark/>
          </w:tcPr>
          <w:p w14:paraId="55CA65A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Tilema Cama &amp; colleagues</w:t>
            </w:r>
          </w:p>
        </w:tc>
        <w:tc>
          <w:tcPr>
            <w:tcW w:w="1524" w:type="pct"/>
            <w:noWrap/>
            <w:hideMark/>
          </w:tcPr>
          <w:p w14:paraId="50A9A61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Principal</w:t>
            </w:r>
          </w:p>
        </w:tc>
        <w:tc>
          <w:tcPr>
            <w:tcW w:w="1016" w:type="pct"/>
            <w:noWrap/>
            <w:hideMark/>
          </w:tcPr>
          <w:p w14:paraId="1755503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Queen Salote Institute of Nursing &amp; Allied Health</w:t>
            </w:r>
          </w:p>
        </w:tc>
        <w:tc>
          <w:tcPr>
            <w:tcW w:w="1140" w:type="pct"/>
            <w:noWrap/>
            <w:hideMark/>
          </w:tcPr>
          <w:p w14:paraId="3EF4217B" w14:textId="77777777" w:rsidR="000B54BD" w:rsidRPr="003940F5" w:rsidRDefault="001A663F" w:rsidP="00E97A3B">
            <w:pPr>
              <w:rPr>
                <w:rFonts w:ascii="Calibri" w:eastAsia="Times New Roman" w:hAnsi="Calibri" w:cs="Calibri"/>
                <w:color w:val="0563C1"/>
                <w:szCs w:val="22"/>
                <w:u w:val="single"/>
                <w:lang w:val="en-GB" w:eastAsia="en-GB"/>
              </w:rPr>
            </w:pPr>
            <w:hyperlink r:id="rId38" w:history="1">
              <w:r w:rsidR="000B54BD" w:rsidRPr="003940F5">
                <w:rPr>
                  <w:rFonts w:ascii="Calibri" w:eastAsia="Times New Roman" w:hAnsi="Calibri" w:cs="Calibri"/>
                  <w:color w:val="0563C1"/>
                  <w:szCs w:val="22"/>
                  <w:u w:val="single"/>
                  <w:lang w:val="en-GB" w:eastAsia="en-GB"/>
                </w:rPr>
                <w:t>tilimacama@yahoo.co.nz</w:t>
              </w:r>
            </w:hyperlink>
          </w:p>
        </w:tc>
      </w:tr>
      <w:tr w:rsidR="00395C8D" w:rsidRPr="003940F5" w14:paraId="1032F37E" w14:textId="77777777" w:rsidTr="00CA1876">
        <w:trPr>
          <w:trHeight w:val="300"/>
        </w:trPr>
        <w:tc>
          <w:tcPr>
            <w:tcW w:w="456" w:type="pct"/>
            <w:noWrap/>
            <w:hideMark/>
          </w:tcPr>
          <w:p w14:paraId="634D1672" w14:textId="77777777" w:rsidR="00395C8D" w:rsidRPr="00CA1876" w:rsidRDefault="00395C8D" w:rsidP="00E97A3B">
            <w:pPr>
              <w:jc w:val="center"/>
              <w:rPr>
                <w:rFonts w:eastAsia="Times New Roman" w:cstheme="minorHAnsi"/>
                <w:szCs w:val="22"/>
                <w:u w:val="single"/>
                <w:lang w:val="en-GB" w:eastAsia="en-GB"/>
              </w:rPr>
            </w:pPr>
          </w:p>
        </w:tc>
        <w:tc>
          <w:tcPr>
            <w:tcW w:w="864" w:type="pct"/>
            <w:noWrap/>
            <w:hideMark/>
          </w:tcPr>
          <w:p w14:paraId="1F62F652" w14:textId="77777777" w:rsidR="00395C8D" w:rsidRPr="003940F5" w:rsidRDefault="00395C8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Various</w:t>
            </w:r>
          </w:p>
        </w:tc>
        <w:tc>
          <w:tcPr>
            <w:tcW w:w="1524" w:type="pct"/>
            <w:noWrap/>
            <w:hideMark/>
          </w:tcPr>
          <w:p w14:paraId="329078A3" w14:textId="77777777" w:rsidR="00395C8D" w:rsidRPr="003940F5" w:rsidRDefault="00395C8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Nursing officers</w:t>
            </w:r>
          </w:p>
        </w:tc>
        <w:tc>
          <w:tcPr>
            <w:tcW w:w="1016" w:type="pct"/>
            <w:noWrap/>
            <w:hideMark/>
          </w:tcPr>
          <w:p w14:paraId="6B70DEAD" w14:textId="77777777" w:rsidR="00395C8D" w:rsidRPr="003940F5" w:rsidRDefault="00395C8D" w:rsidP="00E97A3B">
            <w:pPr>
              <w:rPr>
                <w:rFonts w:ascii="Calibri" w:eastAsia="Times New Roman" w:hAnsi="Calibri" w:cs="Calibri"/>
                <w:color w:val="000000"/>
                <w:lang w:eastAsia="en-GB"/>
              </w:rPr>
            </w:pPr>
            <w:r w:rsidRPr="003940F5">
              <w:rPr>
                <w:rFonts w:ascii="Calibri" w:eastAsia="Times New Roman" w:hAnsi="Calibri" w:cs="Calibri"/>
                <w:color w:val="000000"/>
                <w:szCs w:val="22"/>
                <w:lang w:val="en-GB" w:eastAsia="en-GB"/>
              </w:rPr>
              <w:t>Queen Salote Institute of Nursing &amp; Allied Health</w:t>
            </w:r>
          </w:p>
        </w:tc>
        <w:tc>
          <w:tcPr>
            <w:tcW w:w="1140" w:type="pct"/>
          </w:tcPr>
          <w:p w14:paraId="641B8E67" w14:textId="77777777" w:rsidR="00395C8D" w:rsidRPr="003940F5" w:rsidRDefault="00395C8D" w:rsidP="00E97A3B">
            <w:pPr>
              <w:rPr>
                <w:rFonts w:ascii="Calibri" w:eastAsia="Times New Roman" w:hAnsi="Calibri" w:cs="Calibri"/>
                <w:color w:val="000000"/>
                <w:szCs w:val="22"/>
                <w:lang w:val="en-GB" w:eastAsia="en-GB"/>
              </w:rPr>
            </w:pPr>
          </w:p>
        </w:tc>
      </w:tr>
      <w:tr w:rsidR="000B54BD" w:rsidRPr="003940F5" w14:paraId="7B5FFF43" w14:textId="77777777" w:rsidTr="00BB2625">
        <w:trPr>
          <w:trHeight w:val="300"/>
        </w:trPr>
        <w:tc>
          <w:tcPr>
            <w:tcW w:w="456" w:type="pct"/>
            <w:noWrap/>
            <w:hideMark/>
          </w:tcPr>
          <w:p w14:paraId="0DB3D5BC"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471B402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Amelia Hoponoa</w:t>
            </w:r>
          </w:p>
        </w:tc>
        <w:tc>
          <w:tcPr>
            <w:tcW w:w="1524" w:type="pct"/>
            <w:noWrap/>
            <w:hideMark/>
          </w:tcPr>
          <w:p w14:paraId="7B79BEA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Executive Director</w:t>
            </w:r>
          </w:p>
        </w:tc>
        <w:tc>
          <w:tcPr>
            <w:tcW w:w="1016" w:type="pct"/>
            <w:noWrap/>
            <w:hideMark/>
          </w:tcPr>
          <w:p w14:paraId="0893473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Tonga Family Planning Association</w:t>
            </w:r>
          </w:p>
        </w:tc>
        <w:tc>
          <w:tcPr>
            <w:tcW w:w="1140" w:type="pct"/>
            <w:noWrap/>
            <w:hideMark/>
          </w:tcPr>
          <w:p w14:paraId="151FADEC" w14:textId="77777777" w:rsidR="000B54BD" w:rsidRPr="003940F5" w:rsidRDefault="001A663F" w:rsidP="00E97A3B">
            <w:pPr>
              <w:rPr>
                <w:rFonts w:ascii="Calibri" w:eastAsia="Times New Roman" w:hAnsi="Calibri" w:cs="Calibri"/>
                <w:color w:val="0563C1"/>
                <w:szCs w:val="22"/>
                <w:u w:val="single"/>
                <w:lang w:val="en-GB" w:eastAsia="en-GB"/>
              </w:rPr>
            </w:pPr>
            <w:hyperlink r:id="rId39" w:history="1">
              <w:r w:rsidR="000B54BD" w:rsidRPr="003940F5">
                <w:rPr>
                  <w:rFonts w:ascii="Calibri" w:eastAsia="Times New Roman" w:hAnsi="Calibri" w:cs="Calibri"/>
                  <w:color w:val="0563C1"/>
                  <w:szCs w:val="22"/>
                  <w:u w:val="single"/>
                  <w:lang w:val="en-GB" w:eastAsia="en-GB"/>
                </w:rPr>
                <w:t>ahoponoa@tongafamilyhealth.org.to</w:t>
              </w:r>
            </w:hyperlink>
          </w:p>
        </w:tc>
      </w:tr>
      <w:tr w:rsidR="000B54BD" w:rsidRPr="003940F5" w14:paraId="7CF28A49" w14:textId="77777777" w:rsidTr="00BB2625">
        <w:trPr>
          <w:trHeight w:val="330"/>
        </w:trPr>
        <w:tc>
          <w:tcPr>
            <w:tcW w:w="456" w:type="pct"/>
            <w:noWrap/>
            <w:hideMark/>
          </w:tcPr>
          <w:p w14:paraId="2CD0A6F3"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5BA18A9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Dr Reynold 'Ofanoa</w:t>
            </w:r>
          </w:p>
        </w:tc>
        <w:tc>
          <w:tcPr>
            <w:tcW w:w="1524" w:type="pct"/>
            <w:noWrap/>
            <w:hideMark/>
          </w:tcPr>
          <w:p w14:paraId="5F4FE780"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Chief Medical Officer (Public Health)</w:t>
            </w:r>
          </w:p>
        </w:tc>
        <w:tc>
          <w:tcPr>
            <w:tcW w:w="1016" w:type="pct"/>
            <w:noWrap/>
            <w:hideMark/>
          </w:tcPr>
          <w:p w14:paraId="17710F5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676731E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reynoldofanoa@gmail.com</w:t>
            </w:r>
          </w:p>
        </w:tc>
      </w:tr>
      <w:tr w:rsidR="000B54BD" w:rsidRPr="003940F5" w14:paraId="43E9ED78" w14:textId="77777777" w:rsidTr="00BB2625">
        <w:trPr>
          <w:trHeight w:val="330"/>
        </w:trPr>
        <w:tc>
          <w:tcPr>
            <w:tcW w:w="456" w:type="pct"/>
            <w:noWrap/>
            <w:hideMark/>
          </w:tcPr>
          <w:p w14:paraId="7FB02021" w14:textId="77777777" w:rsidR="000B54BD" w:rsidRPr="003940F5" w:rsidRDefault="000B54BD" w:rsidP="00E97A3B">
            <w:pPr>
              <w:jc w:val="center"/>
              <w:rPr>
                <w:rFonts w:ascii="Calibri" w:eastAsia="Times New Roman" w:hAnsi="Calibri" w:cs="Calibri"/>
                <w:color w:val="000000"/>
                <w:szCs w:val="22"/>
                <w:lang w:val="en-GB" w:eastAsia="en-GB"/>
              </w:rPr>
            </w:pPr>
          </w:p>
        </w:tc>
        <w:tc>
          <w:tcPr>
            <w:tcW w:w="864" w:type="pct"/>
            <w:noWrap/>
            <w:hideMark/>
          </w:tcPr>
          <w:p w14:paraId="22CD9DE2"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452E9F5F"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28A4E92A"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5991A814" w14:textId="77777777" w:rsidR="000B54BD" w:rsidRPr="003940F5" w:rsidRDefault="000B54BD" w:rsidP="00E97A3B">
            <w:pPr>
              <w:rPr>
                <w:rFonts w:ascii="Times New Roman" w:eastAsia="Times New Roman" w:hAnsi="Times New Roman"/>
                <w:lang w:val="en-GB" w:eastAsia="en-GB"/>
              </w:rPr>
            </w:pPr>
          </w:p>
        </w:tc>
      </w:tr>
      <w:tr w:rsidR="000B54BD" w:rsidRPr="003940F5" w14:paraId="54C63860" w14:textId="77777777" w:rsidTr="00BB2625">
        <w:trPr>
          <w:trHeight w:val="330"/>
        </w:trPr>
        <w:tc>
          <w:tcPr>
            <w:tcW w:w="456" w:type="pct"/>
            <w:noWrap/>
            <w:hideMark/>
          </w:tcPr>
          <w:p w14:paraId="0047E525" w14:textId="77777777" w:rsidR="000B54BD" w:rsidRPr="003940F5" w:rsidRDefault="000B54BD" w:rsidP="00E97A3B">
            <w:pPr>
              <w:jc w:val="cente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28-Nov-18</w:t>
            </w:r>
          </w:p>
        </w:tc>
        <w:tc>
          <w:tcPr>
            <w:tcW w:w="864" w:type="pct"/>
            <w:noWrap/>
            <w:hideMark/>
          </w:tcPr>
          <w:p w14:paraId="612E7A0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Inaise</w:t>
            </w:r>
          </w:p>
        </w:tc>
        <w:tc>
          <w:tcPr>
            <w:tcW w:w="1524" w:type="pct"/>
            <w:noWrap/>
            <w:hideMark/>
          </w:tcPr>
          <w:p w14:paraId="4F0C6A9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Senior Nurse In-charge</w:t>
            </w:r>
          </w:p>
        </w:tc>
        <w:tc>
          <w:tcPr>
            <w:tcW w:w="1016" w:type="pct"/>
            <w:noWrap/>
            <w:hideMark/>
          </w:tcPr>
          <w:p w14:paraId="2A61D10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Niu'ui Hospital, Ha'apai</w:t>
            </w:r>
          </w:p>
        </w:tc>
        <w:tc>
          <w:tcPr>
            <w:tcW w:w="1140" w:type="pct"/>
            <w:noWrap/>
            <w:hideMark/>
          </w:tcPr>
          <w:p w14:paraId="059C35BD"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2F338C3D" w14:textId="77777777" w:rsidTr="00BB2625">
        <w:trPr>
          <w:trHeight w:val="330"/>
        </w:trPr>
        <w:tc>
          <w:tcPr>
            <w:tcW w:w="456" w:type="pct"/>
            <w:noWrap/>
            <w:hideMark/>
          </w:tcPr>
          <w:p w14:paraId="536D94DD" w14:textId="77777777" w:rsidR="000B54BD" w:rsidRPr="003940F5" w:rsidRDefault="000B54BD" w:rsidP="00E97A3B">
            <w:pPr>
              <w:jc w:val="center"/>
              <w:rPr>
                <w:rFonts w:ascii="Times New Roman" w:eastAsia="Times New Roman" w:hAnsi="Times New Roman"/>
                <w:lang w:val="en-GB" w:eastAsia="en-GB"/>
              </w:rPr>
            </w:pPr>
          </w:p>
        </w:tc>
        <w:tc>
          <w:tcPr>
            <w:tcW w:w="864" w:type="pct"/>
            <w:noWrap/>
            <w:hideMark/>
          </w:tcPr>
          <w:p w14:paraId="2DF4C1E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Soko</w:t>
            </w:r>
          </w:p>
        </w:tc>
        <w:tc>
          <w:tcPr>
            <w:tcW w:w="1524" w:type="pct"/>
            <w:noWrap/>
            <w:hideMark/>
          </w:tcPr>
          <w:p w14:paraId="21BF3F5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Senior Midwife</w:t>
            </w:r>
          </w:p>
        </w:tc>
        <w:tc>
          <w:tcPr>
            <w:tcW w:w="1016" w:type="pct"/>
            <w:noWrap/>
            <w:hideMark/>
          </w:tcPr>
          <w:p w14:paraId="40EDBB9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Niu'ui Hospital, Ha'apai</w:t>
            </w:r>
          </w:p>
        </w:tc>
        <w:tc>
          <w:tcPr>
            <w:tcW w:w="1140" w:type="pct"/>
            <w:noWrap/>
            <w:hideMark/>
          </w:tcPr>
          <w:p w14:paraId="7B4207D6"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62089982" w14:textId="77777777" w:rsidTr="00BB2625">
        <w:trPr>
          <w:trHeight w:val="330"/>
        </w:trPr>
        <w:tc>
          <w:tcPr>
            <w:tcW w:w="456" w:type="pct"/>
            <w:noWrap/>
            <w:hideMark/>
          </w:tcPr>
          <w:p w14:paraId="6797BE6C" w14:textId="77777777" w:rsidR="000B54BD" w:rsidRPr="003940F5" w:rsidRDefault="000B54BD" w:rsidP="00E97A3B">
            <w:pPr>
              <w:jc w:val="center"/>
              <w:rPr>
                <w:rFonts w:ascii="Times New Roman" w:eastAsia="Times New Roman" w:hAnsi="Times New Roman"/>
                <w:lang w:val="en-GB" w:eastAsia="en-GB"/>
              </w:rPr>
            </w:pPr>
          </w:p>
        </w:tc>
        <w:tc>
          <w:tcPr>
            <w:tcW w:w="864" w:type="pct"/>
            <w:noWrap/>
            <w:hideMark/>
          </w:tcPr>
          <w:p w14:paraId="43713344"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Dr Lander</w:t>
            </w:r>
          </w:p>
        </w:tc>
        <w:tc>
          <w:tcPr>
            <w:tcW w:w="1524" w:type="pct"/>
            <w:noWrap/>
            <w:hideMark/>
          </w:tcPr>
          <w:p w14:paraId="68C87F1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A/g Medical Officer In-charge</w:t>
            </w:r>
          </w:p>
        </w:tc>
        <w:tc>
          <w:tcPr>
            <w:tcW w:w="1016" w:type="pct"/>
            <w:noWrap/>
            <w:hideMark/>
          </w:tcPr>
          <w:p w14:paraId="6EC132FB"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Niu'ui Hospital, Ha'apai</w:t>
            </w:r>
          </w:p>
        </w:tc>
        <w:tc>
          <w:tcPr>
            <w:tcW w:w="1140" w:type="pct"/>
            <w:noWrap/>
            <w:hideMark/>
          </w:tcPr>
          <w:p w14:paraId="04CDB0E9"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53DB80F4" w14:textId="77777777" w:rsidTr="00BB2625">
        <w:trPr>
          <w:trHeight w:val="330"/>
        </w:trPr>
        <w:tc>
          <w:tcPr>
            <w:tcW w:w="456" w:type="pct"/>
            <w:noWrap/>
            <w:hideMark/>
          </w:tcPr>
          <w:p w14:paraId="7EF5F946" w14:textId="77777777" w:rsidR="000B54BD" w:rsidRPr="003940F5" w:rsidRDefault="000B54BD" w:rsidP="00E97A3B">
            <w:pPr>
              <w:jc w:val="center"/>
              <w:rPr>
                <w:rFonts w:ascii="Times New Roman" w:eastAsia="Times New Roman" w:hAnsi="Times New Roman"/>
                <w:lang w:val="en-GB" w:eastAsia="en-GB"/>
              </w:rPr>
            </w:pPr>
          </w:p>
        </w:tc>
        <w:tc>
          <w:tcPr>
            <w:tcW w:w="864" w:type="pct"/>
            <w:noWrap/>
            <w:hideMark/>
          </w:tcPr>
          <w:p w14:paraId="3D68E59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Mele</w:t>
            </w:r>
          </w:p>
        </w:tc>
        <w:tc>
          <w:tcPr>
            <w:tcW w:w="1524" w:type="pct"/>
            <w:noWrap/>
            <w:hideMark/>
          </w:tcPr>
          <w:p w14:paraId="7C3CD91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Senior NCD Nurse</w:t>
            </w:r>
          </w:p>
        </w:tc>
        <w:tc>
          <w:tcPr>
            <w:tcW w:w="1016" w:type="pct"/>
            <w:noWrap/>
            <w:hideMark/>
          </w:tcPr>
          <w:p w14:paraId="45618EF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Niu'ui Hospital, Ha'apai</w:t>
            </w:r>
          </w:p>
        </w:tc>
        <w:tc>
          <w:tcPr>
            <w:tcW w:w="1140" w:type="pct"/>
            <w:noWrap/>
            <w:hideMark/>
          </w:tcPr>
          <w:p w14:paraId="4AB66F60"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0829A26F" w14:textId="77777777" w:rsidTr="00BB2625">
        <w:trPr>
          <w:trHeight w:val="330"/>
        </w:trPr>
        <w:tc>
          <w:tcPr>
            <w:tcW w:w="456" w:type="pct"/>
            <w:noWrap/>
            <w:hideMark/>
          </w:tcPr>
          <w:p w14:paraId="26EEEAA2" w14:textId="77777777" w:rsidR="000B54BD" w:rsidRPr="003940F5" w:rsidRDefault="000B54BD" w:rsidP="00E97A3B">
            <w:pPr>
              <w:jc w:val="center"/>
              <w:rPr>
                <w:rFonts w:ascii="Times New Roman" w:eastAsia="Times New Roman" w:hAnsi="Times New Roman"/>
                <w:lang w:val="en-GB" w:eastAsia="en-GB"/>
              </w:rPr>
            </w:pPr>
          </w:p>
        </w:tc>
        <w:tc>
          <w:tcPr>
            <w:tcW w:w="864" w:type="pct"/>
            <w:noWrap/>
            <w:hideMark/>
          </w:tcPr>
          <w:p w14:paraId="36AC021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Pesi Baker</w:t>
            </w:r>
          </w:p>
        </w:tc>
        <w:tc>
          <w:tcPr>
            <w:tcW w:w="1524" w:type="pct"/>
            <w:noWrap/>
            <w:hideMark/>
          </w:tcPr>
          <w:p w14:paraId="7FD94A3A"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Aid Coordination</w:t>
            </w:r>
          </w:p>
        </w:tc>
        <w:tc>
          <w:tcPr>
            <w:tcW w:w="1016" w:type="pct"/>
            <w:noWrap/>
            <w:hideMark/>
          </w:tcPr>
          <w:p w14:paraId="4E01886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Finance</w:t>
            </w:r>
          </w:p>
        </w:tc>
        <w:tc>
          <w:tcPr>
            <w:tcW w:w="1140" w:type="pct"/>
            <w:noWrap/>
            <w:hideMark/>
          </w:tcPr>
          <w:p w14:paraId="2BDAE901"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4822A49C" w14:textId="77777777" w:rsidTr="00BB2625">
        <w:trPr>
          <w:trHeight w:val="330"/>
        </w:trPr>
        <w:tc>
          <w:tcPr>
            <w:tcW w:w="456" w:type="pct"/>
            <w:noWrap/>
            <w:hideMark/>
          </w:tcPr>
          <w:p w14:paraId="40493259" w14:textId="77777777" w:rsidR="000B54BD" w:rsidRPr="00CA1876" w:rsidRDefault="000B54BD" w:rsidP="00E97A3B">
            <w:pPr>
              <w:jc w:val="center"/>
              <w:rPr>
                <w:rFonts w:eastAsia="Times New Roman" w:cstheme="minorHAnsi"/>
                <w:lang w:val="en-GB" w:eastAsia="en-GB"/>
              </w:rPr>
            </w:pPr>
          </w:p>
        </w:tc>
        <w:tc>
          <w:tcPr>
            <w:tcW w:w="864" w:type="pct"/>
            <w:noWrap/>
            <w:hideMark/>
          </w:tcPr>
          <w:p w14:paraId="531D58B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Toakase Palelei</w:t>
            </w:r>
          </w:p>
        </w:tc>
        <w:tc>
          <w:tcPr>
            <w:tcW w:w="1524" w:type="pct"/>
            <w:noWrap/>
            <w:hideMark/>
          </w:tcPr>
          <w:p w14:paraId="27E27E1D"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Acting Head of Budget</w:t>
            </w:r>
          </w:p>
        </w:tc>
        <w:tc>
          <w:tcPr>
            <w:tcW w:w="1016" w:type="pct"/>
            <w:noWrap/>
            <w:hideMark/>
          </w:tcPr>
          <w:p w14:paraId="370CF980"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Finance</w:t>
            </w:r>
          </w:p>
        </w:tc>
        <w:tc>
          <w:tcPr>
            <w:tcW w:w="1140" w:type="pct"/>
            <w:noWrap/>
            <w:hideMark/>
          </w:tcPr>
          <w:p w14:paraId="07CC6A9C" w14:textId="77777777" w:rsidR="000B54BD" w:rsidRPr="003940F5" w:rsidRDefault="001A663F" w:rsidP="00E97A3B">
            <w:pPr>
              <w:rPr>
                <w:rFonts w:ascii="Calibri" w:eastAsia="Times New Roman" w:hAnsi="Calibri" w:cs="Calibri"/>
                <w:color w:val="0563C1"/>
                <w:szCs w:val="22"/>
                <w:u w:val="single"/>
                <w:lang w:val="en-GB" w:eastAsia="en-GB"/>
              </w:rPr>
            </w:pPr>
            <w:hyperlink r:id="rId40" w:history="1">
              <w:r w:rsidR="000B54BD" w:rsidRPr="003940F5">
                <w:rPr>
                  <w:rFonts w:ascii="Calibri" w:eastAsia="Times New Roman" w:hAnsi="Calibri" w:cs="Calibri"/>
                  <w:color w:val="0563C1"/>
                  <w:szCs w:val="22"/>
                  <w:u w:val="single"/>
                  <w:lang w:val="en-GB" w:eastAsia="en-GB"/>
                </w:rPr>
                <w:t>toa.pele@gmail.com</w:t>
              </w:r>
            </w:hyperlink>
          </w:p>
        </w:tc>
      </w:tr>
      <w:tr w:rsidR="000B54BD" w:rsidRPr="003940F5" w14:paraId="6C2E102B" w14:textId="77777777" w:rsidTr="00BB2625">
        <w:trPr>
          <w:trHeight w:val="330"/>
        </w:trPr>
        <w:tc>
          <w:tcPr>
            <w:tcW w:w="456" w:type="pct"/>
            <w:noWrap/>
            <w:hideMark/>
          </w:tcPr>
          <w:p w14:paraId="7411C884"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6946539B"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Sisila Feiloaki</w:t>
            </w:r>
          </w:p>
        </w:tc>
        <w:tc>
          <w:tcPr>
            <w:tcW w:w="1524" w:type="pct"/>
            <w:noWrap/>
            <w:hideMark/>
          </w:tcPr>
          <w:p w14:paraId="4A0251A0"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Senior Auditor</w:t>
            </w:r>
          </w:p>
        </w:tc>
        <w:tc>
          <w:tcPr>
            <w:tcW w:w="1016" w:type="pct"/>
            <w:noWrap/>
            <w:hideMark/>
          </w:tcPr>
          <w:p w14:paraId="56024BA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Auditor General's Office</w:t>
            </w:r>
          </w:p>
        </w:tc>
        <w:tc>
          <w:tcPr>
            <w:tcW w:w="1140" w:type="pct"/>
            <w:noWrap/>
            <w:hideMark/>
          </w:tcPr>
          <w:p w14:paraId="311E22E9"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0DAD1C19" w14:textId="77777777" w:rsidTr="00BB2625">
        <w:trPr>
          <w:trHeight w:val="330"/>
        </w:trPr>
        <w:tc>
          <w:tcPr>
            <w:tcW w:w="456" w:type="pct"/>
            <w:noWrap/>
            <w:hideMark/>
          </w:tcPr>
          <w:p w14:paraId="3E2F456C" w14:textId="77777777" w:rsidR="000B54BD" w:rsidRPr="00CA1876" w:rsidRDefault="000B54BD" w:rsidP="00E97A3B">
            <w:pPr>
              <w:jc w:val="center"/>
              <w:rPr>
                <w:rFonts w:eastAsia="Times New Roman" w:cstheme="minorHAnsi"/>
                <w:lang w:val="en-GB" w:eastAsia="en-GB"/>
              </w:rPr>
            </w:pPr>
          </w:p>
        </w:tc>
        <w:tc>
          <w:tcPr>
            <w:tcW w:w="864" w:type="pct"/>
            <w:noWrap/>
            <w:hideMark/>
          </w:tcPr>
          <w:p w14:paraId="3687073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Ana Lemani</w:t>
            </w:r>
          </w:p>
        </w:tc>
        <w:tc>
          <w:tcPr>
            <w:tcW w:w="1524" w:type="pct"/>
            <w:noWrap/>
            <w:hideMark/>
          </w:tcPr>
          <w:p w14:paraId="752BBD2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Financial Management</w:t>
            </w:r>
          </w:p>
        </w:tc>
        <w:tc>
          <w:tcPr>
            <w:tcW w:w="1016" w:type="pct"/>
            <w:noWrap/>
            <w:hideMark/>
          </w:tcPr>
          <w:p w14:paraId="2A04D05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Finance</w:t>
            </w:r>
          </w:p>
        </w:tc>
        <w:tc>
          <w:tcPr>
            <w:tcW w:w="1140" w:type="pct"/>
            <w:noWrap/>
            <w:hideMark/>
          </w:tcPr>
          <w:p w14:paraId="15B9A2F4"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3C991501" w14:textId="77777777" w:rsidTr="00BB2625">
        <w:trPr>
          <w:trHeight w:val="330"/>
        </w:trPr>
        <w:tc>
          <w:tcPr>
            <w:tcW w:w="456" w:type="pct"/>
            <w:noWrap/>
            <w:hideMark/>
          </w:tcPr>
          <w:p w14:paraId="451B9A10" w14:textId="77777777" w:rsidR="000B54BD" w:rsidRPr="00CA1876" w:rsidRDefault="000B54BD" w:rsidP="00E97A3B">
            <w:pPr>
              <w:jc w:val="center"/>
              <w:rPr>
                <w:rFonts w:eastAsia="Times New Roman" w:cstheme="minorHAnsi"/>
                <w:lang w:val="en-GB" w:eastAsia="en-GB"/>
              </w:rPr>
            </w:pPr>
          </w:p>
        </w:tc>
        <w:tc>
          <w:tcPr>
            <w:tcW w:w="864" w:type="pct"/>
            <w:noWrap/>
            <w:hideMark/>
          </w:tcPr>
          <w:p w14:paraId="4EF22D61"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3BC3CCB6"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6191403A"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1C59D04F" w14:textId="77777777" w:rsidR="000B54BD" w:rsidRPr="003940F5" w:rsidRDefault="000B54BD" w:rsidP="00E97A3B">
            <w:pPr>
              <w:rPr>
                <w:rFonts w:ascii="Times New Roman" w:eastAsia="Times New Roman" w:hAnsi="Times New Roman"/>
                <w:lang w:val="en-GB" w:eastAsia="en-GB"/>
              </w:rPr>
            </w:pPr>
          </w:p>
        </w:tc>
      </w:tr>
      <w:tr w:rsidR="000B54BD" w:rsidRPr="003940F5" w14:paraId="44DA1BCD" w14:textId="77777777" w:rsidTr="00BB2625">
        <w:trPr>
          <w:trHeight w:val="330"/>
        </w:trPr>
        <w:tc>
          <w:tcPr>
            <w:tcW w:w="456" w:type="pct"/>
            <w:noWrap/>
            <w:hideMark/>
          </w:tcPr>
          <w:p w14:paraId="57C7AAF1" w14:textId="77777777" w:rsidR="000B54BD" w:rsidRPr="00CA1876" w:rsidRDefault="000B54BD" w:rsidP="00E97A3B">
            <w:pPr>
              <w:jc w:val="center"/>
              <w:rPr>
                <w:rFonts w:eastAsia="Times New Roman" w:cstheme="minorHAnsi"/>
                <w:szCs w:val="22"/>
                <w:lang w:val="en-GB" w:eastAsia="en-GB"/>
              </w:rPr>
            </w:pPr>
            <w:r w:rsidRPr="00CA1876">
              <w:rPr>
                <w:rFonts w:eastAsia="Times New Roman" w:cstheme="minorHAnsi"/>
                <w:szCs w:val="22"/>
                <w:lang w:val="en-GB" w:eastAsia="en-GB"/>
              </w:rPr>
              <w:t>29-Nov-18</w:t>
            </w:r>
          </w:p>
        </w:tc>
        <w:tc>
          <w:tcPr>
            <w:tcW w:w="864" w:type="pct"/>
            <w:noWrap/>
            <w:hideMark/>
          </w:tcPr>
          <w:p w14:paraId="21F5C8C1"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Rhona McPhee</w:t>
            </w:r>
          </w:p>
        </w:tc>
        <w:tc>
          <w:tcPr>
            <w:tcW w:w="1524" w:type="pct"/>
            <w:noWrap/>
            <w:hideMark/>
          </w:tcPr>
          <w:p w14:paraId="6D23487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Deputy High Commissioner</w:t>
            </w:r>
          </w:p>
        </w:tc>
        <w:tc>
          <w:tcPr>
            <w:tcW w:w="1016" w:type="pct"/>
            <w:noWrap/>
            <w:hideMark/>
          </w:tcPr>
          <w:p w14:paraId="7DA0BBF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Australian High Commission</w:t>
            </w:r>
          </w:p>
        </w:tc>
        <w:tc>
          <w:tcPr>
            <w:tcW w:w="1140" w:type="pct"/>
            <w:noWrap/>
            <w:hideMark/>
          </w:tcPr>
          <w:p w14:paraId="1A583446"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rhona.mcphee@dfat.gov.au</w:t>
            </w:r>
          </w:p>
        </w:tc>
      </w:tr>
      <w:tr w:rsidR="000B54BD" w:rsidRPr="003940F5" w14:paraId="1164F151" w14:textId="77777777" w:rsidTr="00BB2625">
        <w:trPr>
          <w:trHeight w:val="300"/>
        </w:trPr>
        <w:tc>
          <w:tcPr>
            <w:tcW w:w="456" w:type="pct"/>
            <w:noWrap/>
            <w:hideMark/>
          </w:tcPr>
          <w:p w14:paraId="7E694E0D"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28E44CF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Una Halafihi</w:t>
            </w:r>
          </w:p>
        </w:tc>
        <w:tc>
          <w:tcPr>
            <w:tcW w:w="1524" w:type="pct"/>
            <w:noWrap/>
            <w:hideMark/>
          </w:tcPr>
          <w:p w14:paraId="5969B6D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President</w:t>
            </w:r>
          </w:p>
        </w:tc>
        <w:tc>
          <w:tcPr>
            <w:tcW w:w="1016" w:type="pct"/>
            <w:noWrap/>
            <w:hideMark/>
          </w:tcPr>
          <w:p w14:paraId="4798FDEC"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Naunau 'o e 'Alamaite Tonga (NATA)</w:t>
            </w:r>
          </w:p>
        </w:tc>
        <w:tc>
          <w:tcPr>
            <w:tcW w:w="1140" w:type="pct"/>
            <w:noWrap/>
            <w:hideMark/>
          </w:tcPr>
          <w:p w14:paraId="53522511" w14:textId="77777777" w:rsidR="000B54BD" w:rsidRPr="003940F5" w:rsidRDefault="001A663F" w:rsidP="00E97A3B">
            <w:pPr>
              <w:rPr>
                <w:rFonts w:ascii="Calibri" w:eastAsia="Times New Roman" w:hAnsi="Calibri" w:cs="Calibri"/>
                <w:color w:val="0563C1"/>
                <w:szCs w:val="22"/>
                <w:u w:val="single"/>
                <w:lang w:val="en-GB" w:eastAsia="en-GB"/>
              </w:rPr>
            </w:pPr>
            <w:hyperlink r:id="rId41" w:history="1">
              <w:r w:rsidR="000B54BD" w:rsidRPr="003940F5">
                <w:rPr>
                  <w:rFonts w:ascii="Calibri" w:eastAsia="Times New Roman" w:hAnsi="Calibri" w:cs="Calibri"/>
                  <w:color w:val="0563C1"/>
                  <w:szCs w:val="22"/>
                  <w:u w:val="single"/>
                  <w:lang w:val="en-GB" w:eastAsia="en-GB"/>
                </w:rPr>
                <w:t>alamaite_tonga@yahoo.com</w:t>
              </w:r>
            </w:hyperlink>
          </w:p>
        </w:tc>
      </w:tr>
      <w:tr w:rsidR="00A76565" w:rsidRPr="003940F5" w14:paraId="73E6BDD9" w14:textId="77777777" w:rsidTr="00395C8D">
        <w:trPr>
          <w:trHeight w:val="300"/>
        </w:trPr>
        <w:tc>
          <w:tcPr>
            <w:tcW w:w="456" w:type="pct"/>
            <w:noWrap/>
            <w:hideMark/>
          </w:tcPr>
          <w:p w14:paraId="688A78BB" w14:textId="77777777" w:rsidR="00A76565" w:rsidRPr="00CA1876" w:rsidRDefault="00A76565" w:rsidP="00E97A3B">
            <w:pPr>
              <w:jc w:val="center"/>
              <w:rPr>
                <w:rFonts w:eastAsia="Times New Roman" w:cstheme="minorHAnsi"/>
                <w:szCs w:val="22"/>
                <w:u w:val="single"/>
                <w:lang w:val="en-GB" w:eastAsia="en-GB"/>
              </w:rPr>
            </w:pPr>
          </w:p>
        </w:tc>
        <w:tc>
          <w:tcPr>
            <w:tcW w:w="864" w:type="pct"/>
            <w:noWrap/>
            <w:hideMark/>
          </w:tcPr>
          <w:p w14:paraId="234682A4" w14:textId="77777777" w:rsidR="00A76565" w:rsidRPr="003940F5" w:rsidRDefault="00A76565"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 xml:space="preserve">Finau </w:t>
            </w:r>
          </w:p>
        </w:tc>
        <w:tc>
          <w:tcPr>
            <w:tcW w:w="1524" w:type="pct"/>
            <w:noWrap/>
            <w:hideMark/>
          </w:tcPr>
          <w:p w14:paraId="630E85D9" w14:textId="77777777" w:rsidR="00A76565" w:rsidRPr="003940F5" w:rsidRDefault="00A76565"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Representative</w:t>
            </w:r>
          </w:p>
        </w:tc>
        <w:tc>
          <w:tcPr>
            <w:tcW w:w="1016" w:type="pct"/>
            <w:noWrap/>
            <w:hideMark/>
          </w:tcPr>
          <w:p w14:paraId="3F31BF7B" w14:textId="77777777" w:rsidR="00A76565" w:rsidRPr="003940F5" w:rsidRDefault="00A76565" w:rsidP="00E97A3B">
            <w:pPr>
              <w:rPr>
                <w:rFonts w:ascii="Calibri" w:eastAsia="Times New Roman" w:hAnsi="Calibri" w:cs="Calibri"/>
                <w:color w:val="000000"/>
                <w:lang w:eastAsia="en-GB"/>
              </w:rPr>
            </w:pPr>
            <w:r w:rsidRPr="003940F5">
              <w:rPr>
                <w:rFonts w:ascii="Calibri" w:eastAsia="Times New Roman" w:hAnsi="Calibri" w:cs="Calibri"/>
                <w:color w:val="000000"/>
                <w:szCs w:val="22"/>
                <w:lang w:val="en-GB" w:eastAsia="en-GB"/>
              </w:rPr>
              <w:t>Naunau 'o e 'Alamaite Tonga (NATA)</w:t>
            </w:r>
          </w:p>
        </w:tc>
        <w:tc>
          <w:tcPr>
            <w:tcW w:w="1140" w:type="pct"/>
          </w:tcPr>
          <w:p w14:paraId="728BAFDE" w14:textId="77777777" w:rsidR="00A76565" w:rsidRPr="003940F5" w:rsidRDefault="00A76565" w:rsidP="00E97A3B">
            <w:pPr>
              <w:rPr>
                <w:rFonts w:ascii="Calibri" w:eastAsia="Times New Roman" w:hAnsi="Calibri" w:cs="Calibri"/>
                <w:color w:val="000000"/>
                <w:szCs w:val="22"/>
                <w:lang w:val="en-GB" w:eastAsia="en-GB"/>
              </w:rPr>
            </w:pPr>
          </w:p>
        </w:tc>
      </w:tr>
      <w:tr w:rsidR="000B54BD" w:rsidRPr="003940F5" w14:paraId="1DCDEE96" w14:textId="77777777" w:rsidTr="00BB2625">
        <w:trPr>
          <w:trHeight w:val="300"/>
        </w:trPr>
        <w:tc>
          <w:tcPr>
            <w:tcW w:w="456" w:type="pct"/>
            <w:noWrap/>
            <w:hideMark/>
          </w:tcPr>
          <w:p w14:paraId="760E24BE"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17A4710E"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1A91EC72"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6B289A64"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0FB7EB63" w14:textId="77777777" w:rsidR="000B54BD" w:rsidRPr="003940F5" w:rsidRDefault="000B54BD" w:rsidP="00E97A3B">
            <w:pPr>
              <w:rPr>
                <w:rFonts w:ascii="Times New Roman" w:eastAsia="Times New Roman" w:hAnsi="Times New Roman"/>
                <w:lang w:val="en-GB" w:eastAsia="en-GB"/>
              </w:rPr>
            </w:pPr>
          </w:p>
        </w:tc>
      </w:tr>
      <w:tr w:rsidR="000B54BD" w:rsidRPr="003940F5" w14:paraId="51F482F4" w14:textId="77777777" w:rsidTr="00BB2625">
        <w:trPr>
          <w:trHeight w:val="300"/>
        </w:trPr>
        <w:tc>
          <w:tcPr>
            <w:tcW w:w="456" w:type="pct"/>
            <w:noWrap/>
            <w:hideMark/>
          </w:tcPr>
          <w:p w14:paraId="0046BE1F" w14:textId="77777777" w:rsidR="000B54BD" w:rsidRPr="00CA1876" w:rsidRDefault="000B54BD" w:rsidP="00E97A3B">
            <w:pPr>
              <w:jc w:val="center"/>
              <w:rPr>
                <w:rFonts w:eastAsia="Times New Roman" w:cstheme="minorHAnsi"/>
                <w:lang w:val="en-GB" w:eastAsia="en-GB"/>
              </w:rPr>
            </w:pPr>
          </w:p>
        </w:tc>
        <w:tc>
          <w:tcPr>
            <w:tcW w:w="864" w:type="pct"/>
            <w:noWrap/>
            <w:hideMark/>
          </w:tcPr>
          <w:p w14:paraId="34F865A2"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385FBE70"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4C199498"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0C66771E" w14:textId="77777777" w:rsidR="000B54BD" w:rsidRPr="003940F5" w:rsidRDefault="000B54BD" w:rsidP="00E97A3B">
            <w:pPr>
              <w:rPr>
                <w:rFonts w:ascii="Times New Roman" w:eastAsia="Times New Roman" w:hAnsi="Times New Roman"/>
                <w:lang w:val="en-GB" w:eastAsia="en-GB"/>
              </w:rPr>
            </w:pPr>
          </w:p>
        </w:tc>
      </w:tr>
      <w:tr w:rsidR="000B54BD" w:rsidRPr="003940F5" w14:paraId="6742FBEF" w14:textId="77777777" w:rsidTr="00BB2625">
        <w:trPr>
          <w:trHeight w:val="300"/>
        </w:trPr>
        <w:tc>
          <w:tcPr>
            <w:tcW w:w="1320" w:type="pct"/>
            <w:gridSpan w:val="2"/>
            <w:noWrap/>
            <w:hideMark/>
          </w:tcPr>
          <w:p w14:paraId="2C50A84D" w14:textId="77777777" w:rsidR="000B54BD" w:rsidRPr="003940F5" w:rsidRDefault="000B54BD" w:rsidP="00E97A3B">
            <w:pPr>
              <w:jc w:val="center"/>
              <w:rPr>
                <w:rFonts w:ascii="Calibri" w:eastAsia="Times New Roman" w:hAnsi="Calibri" w:cs="Calibri"/>
                <w:b/>
                <w:bCs/>
                <w:color w:val="000000"/>
                <w:szCs w:val="22"/>
                <w:lang w:val="en-GB" w:eastAsia="en-GB"/>
              </w:rPr>
            </w:pPr>
            <w:r w:rsidRPr="003940F5">
              <w:rPr>
                <w:rFonts w:ascii="Calibri" w:eastAsia="Times New Roman" w:hAnsi="Calibri" w:cs="Calibri"/>
                <w:b/>
                <w:bCs/>
                <w:color w:val="000000"/>
                <w:szCs w:val="22"/>
                <w:lang w:val="en-GB" w:eastAsia="en-GB"/>
              </w:rPr>
              <w:t>Meetings requested but not held</w:t>
            </w:r>
          </w:p>
        </w:tc>
        <w:tc>
          <w:tcPr>
            <w:tcW w:w="1524" w:type="pct"/>
            <w:noWrap/>
            <w:hideMark/>
          </w:tcPr>
          <w:p w14:paraId="2D556DC3" w14:textId="77777777" w:rsidR="000B54BD" w:rsidRPr="003940F5" w:rsidRDefault="000B54BD" w:rsidP="00E97A3B">
            <w:pPr>
              <w:rPr>
                <w:rFonts w:ascii="Calibri" w:eastAsia="Times New Roman" w:hAnsi="Calibri" w:cs="Calibri"/>
                <w:b/>
                <w:bCs/>
                <w:color w:val="000000"/>
                <w:szCs w:val="22"/>
                <w:lang w:val="en-GB" w:eastAsia="en-GB"/>
              </w:rPr>
            </w:pPr>
          </w:p>
        </w:tc>
        <w:tc>
          <w:tcPr>
            <w:tcW w:w="1016" w:type="pct"/>
            <w:noWrap/>
            <w:hideMark/>
          </w:tcPr>
          <w:p w14:paraId="416098DF"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31D58458" w14:textId="77777777" w:rsidR="000B54BD" w:rsidRPr="003940F5" w:rsidRDefault="000B54BD" w:rsidP="00E97A3B">
            <w:pPr>
              <w:rPr>
                <w:rFonts w:ascii="Times New Roman" w:eastAsia="Times New Roman" w:hAnsi="Times New Roman"/>
                <w:lang w:val="en-GB" w:eastAsia="en-GB"/>
              </w:rPr>
            </w:pPr>
          </w:p>
        </w:tc>
      </w:tr>
      <w:tr w:rsidR="000B54BD" w:rsidRPr="003940F5" w14:paraId="7E8CB5E4" w14:textId="77777777" w:rsidTr="00BB2625">
        <w:trPr>
          <w:trHeight w:val="300"/>
        </w:trPr>
        <w:tc>
          <w:tcPr>
            <w:tcW w:w="456" w:type="pct"/>
            <w:noWrap/>
            <w:hideMark/>
          </w:tcPr>
          <w:p w14:paraId="0FC7E31C" w14:textId="77777777" w:rsidR="000B54BD" w:rsidRPr="00CA1876" w:rsidRDefault="000B54BD" w:rsidP="00E97A3B">
            <w:pPr>
              <w:jc w:val="center"/>
              <w:rPr>
                <w:rFonts w:eastAsia="Times New Roman" w:cstheme="minorHAnsi"/>
                <w:lang w:val="en-GB" w:eastAsia="en-GB"/>
              </w:rPr>
            </w:pPr>
          </w:p>
        </w:tc>
        <w:tc>
          <w:tcPr>
            <w:tcW w:w="864" w:type="pct"/>
            <w:noWrap/>
            <w:hideMark/>
          </w:tcPr>
          <w:p w14:paraId="02605024"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Melenaite Mahe</w:t>
            </w:r>
          </w:p>
        </w:tc>
        <w:tc>
          <w:tcPr>
            <w:tcW w:w="1524" w:type="pct"/>
            <w:noWrap/>
            <w:hideMark/>
          </w:tcPr>
          <w:p w14:paraId="43EF139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Principal Pharmacist</w:t>
            </w:r>
          </w:p>
        </w:tc>
        <w:tc>
          <w:tcPr>
            <w:tcW w:w="1016" w:type="pct"/>
            <w:noWrap/>
            <w:hideMark/>
          </w:tcPr>
          <w:p w14:paraId="45CEC57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287A7FFC" w14:textId="77777777" w:rsidR="000B54BD" w:rsidRPr="003940F5" w:rsidRDefault="001A663F" w:rsidP="00E97A3B">
            <w:pPr>
              <w:rPr>
                <w:rFonts w:ascii="Calibri" w:eastAsia="Times New Roman" w:hAnsi="Calibri" w:cs="Calibri"/>
                <w:color w:val="0563C1"/>
                <w:szCs w:val="22"/>
                <w:u w:val="single"/>
                <w:lang w:val="en-GB" w:eastAsia="en-GB"/>
              </w:rPr>
            </w:pPr>
            <w:hyperlink r:id="rId42" w:history="1">
              <w:r w:rsidR="000B54BD" w:rsidRPr="003940F5">
                <w:rPr>
                  <w:rFonts w:ascii="Calibri" w:eastAsia="Times New Roman" w:hAnsi="Calibri" w:cs="Calibri"/>
                  <w:color w:val="0563C1"/>
                  <w:szCs w:val="22"/>
                  <w:u w:val="single"/>
                  <w:lang w:val="en-GB" w:eastAsia="en-GB"/>
                </w:rPr>
                <w:t>melenaitemahe@gmail.com</w:t>
              </w:r>
            </w:hyperlink>
          </w:p>
        </w:tc>
      </w:tr>
      <w:tr w:rsidR="000B54BD" w:rsidRPr="003940F5" w14:paraId="7C862B3A" w14:textId="77777777" w:rsidTr="00BB2625">
        <w:trPr>
          <w:trHeight w:val="300"/>
        </w:trPr>
        <w:tc>
          <w:tcPr>
            <w:tcW w:w="456" w:type="pct"/>
            <w:noWrap/>
            <w:hideMark/>
          </w:tcPr>
          <w:p w14:paraId="772AF9BD"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46BBC910"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Losaline</w:t>
            </w:r>
          </w:p>
        </w:tc>
        <w:tc>
          <w:tcPr>
            <w:tcW w:w="1524" w:type="pct"/>
            <w:noWrap/>
            <w:hideMark/>
          </w:tcPr>
          <w:p w14:paraId="2D1D38F7" w14:textId="77777777" w:rsidR="000B54BD" w:rsidRPr="003940F5" w:rsidRDefault="004F6568" w:rsidP="00E97A3B">
            <w:pPr>
              <w:rPr>
                <w:rFonts w:ascii="Calibri" w:eastAsia="Times New Roman" w:hAnsi="Calibri" w:cs="Calibri"/>
                <w:color w:val="000000"/>
                <w:szCs w:val="22"/>
                <w:lang w:val="en-GB" w:eastAsia="en-GB"/>
              </w:rPr>
            </w:pPr>
            <w:r>
              <w:rPr>
                <w:rFonts w:ascii="Calibri" w:eastAsia="Times New Roman" w:hAnsi="Calibri" w:cs="Calibri"/>
                <w:color w:val="000000"/>
                <w:szCs w:val="22"/>
                <w:lang w:val="en-GB" w:eastAsia="en-GB"/>
              </w:rPr>
              <w:t xml:space="preserve">Pharmacist / </w:t>
            </w:r>
            <w:r w:rsidR="000B54BD" w:rsidRPr="003940F5">
              <w:rPr>
                <w:rFonts w:ascii="Calibri" w:eastAsia="Times New Roman" w:hAnsi="Calibri" w:cs="Calibri"/>
                <w:color w:val="000000"/>
                <w:szCs w:val="22"/>
                <w:lang w:val="en-GB" w:eastAsia="en-GB"/>
              </w:rPr>
              <w:t>mSupply</w:t>
            </w:r>
          </w:p>
        </w:tc>
        <w:tc>
          <w:tcPr>
            <w:tcW w:w="1016" w:type="pct"/>
            <w:noWrap/>
            <w:hideMark/>
          </w:tcPr>
          <w:p w14:paraId="551F2084"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Health</w:t>
            </w:r>
          </w:p>
        </w:tc>
        <w:tc>
          <w:tcPr>
            <w:tcW w:w="1140" w:type="pct"/>
            <w:noWrap/>
            <w:hideMark/>
          </w:tcPr>
          <w:p w14:paraId="262F380E"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62493F6C" w14:textId="77777777" w:rsidTr="00BB2625">
        <w:trPr>
          <w:trHeight w:val="300"/>
        </w:trPr>
        <w:tc>
          <w:tcPr>
            <w:tcW w:w="456" w:type="pct"/>
            <w:noWrap/>
            <w:hideMark/>
          </w:tcPr>
          <w:p w14:paraId="42354E79" w14:textId="77777777" w:rsidR="000B54BD" w:rsidRPr="00CA1876" w:rsidRDefault="000B54BD" w:rsidP="00E97A3B">
            <w:pPr>
              <w:jc w:val="center"/>
              <w:rPr>
                <w:rFonts w:eastAsia="Times New Roman" w:cstheme="minorHAnsi"/>
                <w:lang w:val="en-GB" w:eastAsia="en-GB"/>
              </w:rPr>
            </w:pPr>
          </w:p>
        </w:tc>
        <w:tc>
          <w:tcPr>
            <w:tcW w:w="864" w:type="pct"/>
            <w:noWrap/>
            <w:hideMark/>
          </w:tcPr>
          <w:p w14:paraId="12106249"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Lu'isa Manuofetoa</w:t>
            </w:r>
          </w:p>
        </w:tc>
        <w:tc>
          <w:tcPr>
            <w:tcW w:w="1524" w:type="pct"/>
            <w:noWrap/>
            <w:hideMark/>
          </w:tcPr>
          <w:p w14:paraId="19973455"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Director of Social Protection &amp; Disability Unit</w:t>
            </w:r>
          </w:p>
        </w:tc>
        <w:tc>
          <w:tcPr>
            <w:tcW w:w="1016" w:type="pct"/>
            <w:noWrap/>
            <w:hideMark/>
          </w:tcPr>
          <w:p w14:paraId="58BF61F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Internal Affairs</w:t>
            </w:r>
          </w:p>
        </w:tc>
        <w:tc>
          <w:tcPr>
            <w:tcW w:w="1140" w:type="pct"/>
            <w:noWrap/>
            <w:hideMark/>
          </w:tcPr>
          <w:p w14:paraId="411F2132"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lmanuofetoa2015@gmail.com</w:t>
            </w:r>
          </w:p>
        </w:tc>
      </w:tr>
      <w:tr w:rsidR="000B54BD" w:rsidRPr="003940F5" w14:paraId="583CD8BB" w14:textId="77777777" w:rsidTr="00BB2625">
        <w:trPr>
          <w:trHeight w:val="300"/>
        </w:trPr>
        <w:tc>
          <w:tcPr>
            <w:tcW w:w="456" w:type="pct"/>
            <w:noWrap/>
            <w:hideMark/>
          </w:tcPr>
          <w:p w14:paraId="2F12FE48"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06B1E727"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Malakai Kaifusi</w:t>
            </w:r>
          </w:p>
        </w:tc>
        <w:tc>
          <w:tcPr>
            <w:tcW w:w="1524" w:type="pct"/>
            <w:noWrap/>
            <w:hideMark/>
          </w:tcPr>
          <w:p w14:paraId="71FD7238"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Social Protection Officer</w:t>
            </w:r>
          </w:p>
        </w:tc>
        <w:tc>
          <w:tcPr>
            <w:tcW w:w="1016" w:type="pct"/>
            <w:noWrap/>
            <w:hideMark/>
          </w:tcPr>
          <w:p w14:paraId="2313D13F"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Internal Affairs</w:t>
            </w:r>
          </w:p>
        </w:tc>
        <w:tc>
          <w:tcPr>
            <w:tcW w:w="1140" w:type="pct"/>
            <w:noWrap/>
            <w:hideMark/>
          </w:tcPr>
          <w:p w14:paraId="4A4F1DF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malakai.kaufusi@gmail.com</w:t>
            </w:r>
          </w:p>
        </w:tc>
      </w:tr>
      <w:tr w:rsidR="000B54BD" w:rsidRPr="003940F5" w14:paraId="2E91C81E" w14:textId="77777777" w:rsidTr="00BB2625">
        <w:trPr>
          <w:trHeight w:val="300"/>
        </w:trPr>
        <w:tc>
          <w:tcPr>
            <w:tcW w:w="456" w:type="pct"/>
            <w:noWrap/>
            <w:hideMark/>
          </w:tcPr>
          <w:p w14:paraId="31535587" w14:textId="77777777" w:rsidR="000B54BD" w:rsidRPr="00CA1876" w:rsidRDefault="000B54BD" w:rsidP="00E97A3B">
            <w:pPr>
              <w:jc w:val="center"/>
              <w:rPr>
                <w:rFonts w:eastAsia="Times New Roman" w:cstheme="minorHAnsi"/>
                <w:szCs w:val="22"/>
                <w:lang w:val="en-GB" w:eastAsia="en-GB"/>
              </w:rPr>
            </w:pPr>
          </w:p>
        </w:tc>
        <w:tc>
          <w:tcPr>
            <w:tcW w:w="864" w:type="pct"/>
            <w:noWrap/>
            <w:hideMark/>
          </w:tcPr>
          <w:p w14:paraId="6504DC7B"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Vika Fale</w:t>
            </w:r>
          </w:p>
        </w:tc>
        <w:tc>
          <w:tcPr>
            <w:tcW w:w="1524" w:type="pct"/>
            <w:noWrap/>
            <w:hideMark/>
          </w:tcPr>
          <w:p w14:paraId="068B3C9E"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CBR Officer</w:t>
            </w:r>
          </w:p>
        </w:tc>
        <w:tc>
          <w:tcPr>
            <w:tcW w:w="1016" w:type="pct"/>
            <w:noWrap/>
            <w:hideMark/>
          </w:tcPr>
          <w:p w14:paraId="26A13C6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Ministry of Internal Affairs</w:t>
            </w:r>
          </w:p>
        </w:tc>
        <w:tc>
          <w:tcPr>
            <w:tcW w:w="1140" w:type="pct"/>
            <w:noWrap/>
            <w:hideMark/>
          </w:tcPr>
          <w:p w14:paraId="12966448" w14:textId="77777777" w:rsidR="000B54BD" w:rsidRPr="003940F5" w:rsidRDefault="001A663F" w:rsidP="00E97A3B">
            <w:pPr>
              <w:rPr>
                <w:rFonts w:ascii="Calibri" w:eastAsia="Times New Roman" w:hAnsi="Calibri" w:cs="Calibri"/>
                <w:color w:val="0563C1"/>
                <w:szCs w:val="22"/>
                <w:u w:val="single"/>
                <w:lang w:val="en-GB" w:eastAsia="en-GB"/>
              </w:rPr>
            </w:pPr>
            <w:hyperlink r:id="rId43" w:history="1">
              <w:r w:rsidR="000B54BD" w:rsidRPr="003940F5">
                <w:rPr>
                  <w:rFonts w:ascii="Calibri" w:eastAsia="Times New Roman" w:hAnsi="Calibri" w:cs="Calibri"/>
                  <w:color w:val="0563C1"/>
                  <w:szCs w:val="22"/>
                  <w:u w:val="single"/>
                  <w:lang w:val="en-GB" w:eastAsia="en-GB"/>
                </w:rPr>
                <w:t>fukofukavika@gmail.com</w:t>
              </w:r>
            </w:hyperlink>
          </w:p>
        </w:tc>
      </w:tr>
      <w:tr w:rsidR="000B54BD" w:rsidRPr="003940F5" w14:paraId="12893758" w14:textId="77777777" w:rsidTr="00BB2625">
        <w:trPr>
          <w:trHeight w:val="300"/>
        </w:trPr>
        <w:tc>
          <w:tcPr>
            <w:tcW w:w="456" w:type="pct"/>
            <w:noWrap/>
            <w:hideMark/>
          </w:tcPr>
          <w:p w14:paraId="29B6F5F3" w14:textId="77777777" w:rsidR="000B54BD" w:rsidRPr="00CA1876" w:rsidRDefault="000B54BD" w:rsidP="00E97A3B">
            <w:pPr>
              <w:jc w:val="center"/>
              <w:rPr>
                <w:rFonts w:eastAsia="Times New Roman" w:cstheme="minorHAnsi"/>
                <w:szCs w:val="22"/>
                <w:u w:val="single"/>
                <w:lang w:val="en-GB" w:eastAsia="en-GB"/>
              </w:rPr>
            </w:pPr>
          </w:p>
        </w:tc>
        <w:tc>
          <w:tcPr>
            <w:tcW w:w="864" w:type="pct"/>
            <w:noWrap/>
            <w:hideMark/>
          </w:tcPr>
          <w:p w14:paraId="6B0636F4"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Dr Tevita Vakasiuola</w:t>
            </w:r>
          </w:p>
        </w:tc>
        <w:tc>
          <w:tcPr>
            <w:tcW w:w="1524" w:type="pct"/>
            <w:noWrap/>
            <w:hideMark/>
          </w:tcPr>
          <w:p w14:paraId="68771A03"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Medical Officer In-charge</w:t>
            </w:r>
          </w:p>
        </w:tc>
        <w:tc>
          <w:tcPr>
            <w:tcW w:w="1016" w:type="pct"/>
            <w:noWrap/>
            <w:hideMark/>
          </w:tcPr>
          <w:p w14:paraId="3C2DCA2B" w14:textId="77777777" w:rsidR="000B54BD" w:rsidRPr="003940F5" w:rsidRDefault="000B54BD" w:rsidP="00E97A3B">
            <w:pPr>
              <w:rPr>
                <w:rFonts w:ascii="Calibri" w:eastAsia="Times New Roman" w:hAnsi="Calibri" w:cs="Calibri"/>
                <w:color w:val="000000"/>
                <w:szCs w:val="22"/>
                <w:lang w:val="en-GB" w:eastAsia="en-GB"/>
              </w:rPr>
            </w:pPr>
            <w:r w:rsidRPr="003940F5">
              <w:rPr>
                <w:rFonts w:ascii="Calibri" w:eastAsia="Times New Roman" w:hAnsi="Calibri" w:cs="Calibri"/>
                <w:color w:val="000000"/>
                <w:szCs w:val="22"/>
                <w:lang w:val="en-GB" w:eastAsia="en-GB"/>
              </w:rPr>
              <w:t>Niu'ui Hospital, Ha'apai</w:t>
            </w:r>
          </w:p>
        </w:tc>
        <w:tc>
          <w:tcPr>
            <w:tcW w:w="1140" w:type="pct"/>
            <w:noWrap/>
            <w:hideMark/>
          </w:tcPr>
          <w:p w14:paraId="43B1AEBC" w14:textId="77777777" w:rsidR="000B54BD" w:rsidRPr="003940F5" w:rsidRDefault="000B54BD" w:rsidP="00E97A3B">
            <w:pPr>
              <w:rPr>
                <w:rFonts w:ascii="Calibri" w:eastAsia="Times New Roman" w:hAnsi="Calibri" w:cs="Calibri"/>
                <w:color w:val="000000"/>
                <w:szCs w:val="22"/>
                <w:lang w:val="en-GB" w:eastAsia="en-GB"/>
              </w:rPr>
            </w:pPr>
          </w:p>
        </w:tc>
      </w:tr>
      <w:tr w:rsidR="000B54BD" w:rsidRPr="003940F5" w14:paraId="59154DC7" w14:textId="77777777" w:rsidTr="00BB2625">
        <w:trPr>
          <w:trHeight w:val="300"/>
        </w:trPr>
        <w:tc>
          <w:tcPr>
            <w:tcW w:w="456" w:type="pct"/>
            <w:noWrap/>
            <w:hideMark/>
          </w:tcPr>
          <w:p w14:paraId="351CE4AA" w14:textId="77777777" w:rsidR="000B54BD" w:rsidRPr="00CA1876" w:rsidRDefault="000B54BD" w:rsidP="00E97A3B">
            <w:pPr>
              <w:jc w:val="center"/>
              <w:rPr>
                <w:rFonts w:eastAsia="Times New Roman" w:cstheme="minorHAnsi"/>
                <w:lang w:val="en-GB" w:eastAsia="en-GB"/>
              </w:rPr>
            </w:pPr>
          </w:p>
        </w:tc>
        <w:tc>
          <w:tcPr>
            <w:tcW w:w="864" w:type="pct"/>
            <w:noWrap/>
            <w:hideMark/>
          </w:tcPr>
          <w:p w14:paraId="307D225A" w14:textId="77777777" w:rsidR="000B54BD" w:rsidRPr="003940F5" w:rsidRDefault="000B54BD" w:rsidP="00E97A3B">
            <w:pPr>
              <w:rPr>
                <w:rFonts w:ascii="Times New Roman" w:eastAsia="Times New Roman" w:hAnsi="Times New Roman"/>
                <w:lang w:val="en-GB" w:eastAsia="en-GB"/>
              </w:rPr>
            </w:pPr>
          </w:p>
        </w:tc>
        <w:tc>
          <w:tcPr>
            <w:tcW w:w="1524" w:type="pct"/>
            <w:noWrap/>
            <w:hideMark/>
          </w:tcPr>
          <w:p w14:paraId="4B9BB34E" w14:textId="77777777" w:rsidR="000B54BD" w:rsidRPr="003940F5" w:rsidRDefault="000B54BD" w:rsidP="00E97A3B">
            <w:pPr>
              <w:rPr>
                <w:rFonts w:ascii="Times New Roman" w:eastAsia="Times New Roman" w:hAnsi="Times New Roman"/>
                <w:lang w:val="en-GB" w:eastAsia="en-GB"/>
              </w:rPr>
            </w:pPr>
          </w:p>
        </w:tc>
        <w:tc>
          <w:tcPr>
            <w:tcW w:w="1016" w:type="pct"/>
            <w:noWrap/>
            <w:hideMark/>
          </w:tcPr>
          <w:p w14:paraId="2F3AA4A8" w14:textId="77777777" w:rsidR="000B54BD" w:rsidRPr="003940F5" w:rsidRDefault="000B54BD" w:rsidP="00E97A3B">
            <w:pPr>
              <w:rPr>
                <w:rFonts w:ascii="Times New Roman" w:eastAsia="Times New Roman" w:hAnsi="Times New Roman"/>
                <w:lang w:val="en-GB" w:eastAsia="en-GB"/>
              </w:rPr>
            </w:pPr>
          </w:p>
        </w:tc>
        <w:tc>
          <w:tcPr>
            <w:tcW w:w="1140" w:type="pct"/>
            <w:noWrap/>
            <w:hideMark/>
          </w:tcPr>
          <w:p w14:paraId="77CB9B64" w14:textId="77777777" w:rsidR="000B54BD" w:rsidRPr="003940F5" w:rsidRDefault="000B54BD" w:rsidP="00E97A3B">
            <w:pPr>
              <w:rPr>
                <w:rFonts w:ascii="Times New Roman" w:eastAsia="Times New Roman" w:hAnsi="Times New Roman"/>
                <w:lang w:val="en-GB" w:eastAsia="en-GB"/>
              </w:rPr>
            </w:pPr>
          </w:p>
        </w:tc>
      </w:tr>
    </w:tbl>
    <w:p w14:paraId="2155AE47" w14:textId="77777777" w:rsidR="000B54BD" w:rsidRDefault="000B54BD" w:rsidP="000B54BD">
      <w:pPr>
        <w:spacing w:line="240" w:lineRule="auto"/>
        <w:rPr>
          <w:sz w:val="20"/>
        </w:rPr>
      </w:pPr>
    </w:p>
    <w:p w14:paraId="6F0B8B3E" w14:textId="77777777" w:rsidR="005D2D39" w:rsidRDefault="005D2D39" w:rsidP="000B54BD">
      <w:pPr>
        <w:spacing w:line="240" w:lineRule="auto"/>
        <w:rPr>
          <w:sz w:val="20"/>
        </w:rPr>
        <w:sectPr w:rsidR="005D2D39" w:rsidSect="00E97A3B">
          <w:headerReference w:type="even" r:id="rId44"/>
          <w:footerReference w:type="default" r:id="rId45"/>
          <w:headerReference w:type="first" r:id="rId46"/>
          <w:pgSz w:w="16839" w:h="11907" w:orient="landscape" w:code="9"/>
          <w:pgMar w:top="1247" w:right="1440" w:bottom="1247" w:left="1440" w:header="709" w:footer="709" w:gutter="0"/>
          <w:cols w:space="708"/>
          <w:docGrid w:linePitch="360"/>
        </w:sectPr>
      </w:pPr>
    </w:p>
    <w:p w14:paraId="28E9C53B" w14:textId="77777777" w:rsidR="000B54BD" w:rsidRPr="00540206" w:rsidRDefault="000B54BD" w:rsidP="000B54BD">
      <w:pPr>
        <w:pStyle w:val="NumberedTitle"/>
        <w:jc w:val="left"/>
        <w:rPr>
          <w:sz w:val="26"/>
          <w:szCs w:val="26"/>
          <w:lang w:val="en-GB"/>
        </w:rPr>
      </w:pPr>
      <w:bookmarkStart w:id="85" w:name="_Toc536205482"/>
      <w:r w:rsidRPr="00540206">
        <w:rPr>
          <w:sz w:val="26"/>
          <w:szCs w:val="26"/>
          <w:lang w:val="en-GB"/>
        </w:rPr>
        <w:lastRenderedPageBreak/>
        <w:t xml:space="preserve">Annex </w:t>
      </w:r>
      <w:r w:rsidR="00C44750" w:rsidRPr="00540206">
        <w:rPr>
          <w:sz w:val="26"/>
          <w:szCs w:val="26"/>
          <w:lang w:val="en-GB"/>
        </w:rPr>
        <w:t>D</w:t>
      </w:r>
      <w:r w:rsidRPr="00540206">
        <w:rPr>
          <w:sz w:val="26"/>
          <w:szCs w:val="26"/>
          <w:lang w:val="en-GB"/>
        </w:rPr>
        <w:t>: THSSP2 performance measured using the M&amp;E framework</w:t>
      </w:r>
      <w:bookmarkEnd w:id="85"/>
    </w:p>
    <w:p w14:paraId="2B403E14" w14:textId="77777777" w:rsidR="000B54BD" w:rsidRDefault="000B54BD" w:rsidP="000B54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92"/>
        <w:gridCol w:w="3484"/>
        <w:gridCol w:w="3491"/>
      </w:tblGrid>
      <w:tr w:rsidR="000B54BD" w:rsidRPr="003F08BB" w14:paraId="13BA150D" w14:textId="77777777" w:rsidTr="00E97A3B">
        <w:trPr>
          <w:trHeight w:val="454"/>
        </w:trPr>
        <w:tc>
          <w:tcPr>
            <w:tcW w:w="3543" w:type="dxa"/>
            <w:shd w:val="clear" w:color="auto" w:fill="FF7C80"/>
            <w:vAlign w:val="center"/>
          </w:tcPr>
          <w:p w14:paraId="5A9A5058" w14:textId="77777777" w:rsidR="000B54BD" w:rsidRPr="003F08BB" w:rsidRDefault="000B54BD" w:rsidP="00E97A3B">
            <w:pPr>
              <w:rPr>
                <w:sz w:val="18"/>
                <w:szCs w:val="18"/>
              </w:rPr>
            </w:pPr>
            <w:r>
              <w:rPr>
                <w:sz w:val="18"/>
                <w:szCs w:val="18"/>
              </w:rPr>
              <w:t xml:space="preserve">Red: </w:t>
            </w:r>
            <w:r w:rsidRPr="003F08BB">
              <w:rPr>
                <w:sz w:val="18"/>
                <w:szCs w:val="18"/>
              </w:rPr>
              <w:t>not expected to meet target</w:t>
            </w:r>
          </w:p>
        </w:tc>
        <w:tc>
          <w:tcPr>
            <w:tcW w:w="3544" w:type="dxa"/>
            <w:shd w:val="clear" w:color="auto" w:fill="FFFF66"/>
            <w:vAlign w:val="center"/>
          </w:tcPr>
          <w:p w14:paraId="6D0919F5" w14:textId="77777777" w:rsidR="000B54BD" w:rsidRPr="003F08BB" w:rsidRDefault="000B54BD" w:rsidP="00E97A3B">
            <w:pPr>
              <w:rPr>
                <w:sz w:val="18"/>
                <w:szCs w:val="18"/>
              </w:rPr>
            </w:pPr>
            <w:r>
              <w:rPr>
                <w:sz w:val="18"/>
                <w:szCs w:val="18"/>
              </w:rPr>
              <w:t xml:space="preserve">Amber: </w:t>
            </w:r>
            <w:r w:rsidRPr="003F08BB">
              <w:rPr>
                <w:sz w:val="18"/>
                <w:szCs w:val="18"/>
              </w:rPr>
              <w:t>progress</w:t>
            </w:r>
            <w:r>
              <w:rPr>
                <w:sz w:val="18"/>
                <w:szCs w:val="18"/>
              </w:rPr>
              <w:t>ing but below target</w:t>
            </w:r>
            <w:r w:rsidRPr="003F08BB">
              <w:rPr>
                <w:sz w:val="18"/>
                <w:szCs w:val="18"/>
              </w:rPr>
              <w:t xml:space="preserve"> </w:t>
            </w:r>
          </w:p>
        </w:tc>
        <w:tc>
          <w:tcPr>
            <w:tcW w:w="3544" w:type="dxa"/>
            <w:tcBorders>
              <w:right w:val="single" w:sz="4" w:space="0" w:color="auto"/>
            </w:tcBorders>
            <w:shd w:val="clear" w:color="auto" w:fill="CCFFCC"/>
            <w:vAlign w:val="center"/>
          </w:tcPr>
          <w:p w14:paraId="1135AB9E" w14:textId="77777777" w:rsidR="000B54BD" w:rsidRPr="003F08BB" w:rsidRDefault="000B54BD" w:rsidP="00E97A3B">
            <w:pPr>
              <w:rPr>
                <w:sz w:val="18"/>
                <w:szCs w:val="18"/>
              </w:rPr>
            </w:pPr>
            <w:r w:rsidRPr="003F08BB">
              <w:rPr>
                <w:sz w:val="18"/>
                <w:szCs w:val="18"/>
              </w:rPr>
              <w:t>G</w:t>
            </w:r>
            <w:r>
              <w:rPr>
                <w:sz w:val="18"/>
                <w:szCs w:val="18"/>
              </w:rPr>
              <w:t xml:space="preserve">reen: </w:t>
            </w:r>
            <w:r w:rsidRPr="003F08BB">
              <w:rPr>
                <w:sz w:val="18"/>
                <w:szCs w:val="18"/>
              </w:rPr>
              <w:t>on target</w:t>
            </w:r>
          </w:p>
        </w:tc>
        <w:tc>
          <w:tcPr>
            <w:tcW w:w="3544" w:type="dxa"/>
            <w:tcBorders>
              <w:top w:val="single" w:sz="4" w:space="0" w:color="auto"/>
              <w:left w:val="single" w:sz="4" w:space="0" w:color="auto"/>
              <w:bottom w:val="single" w:sz="4" w:space="0" w:color="auto"/>
              <w:right w:val="single" w:sz="4" w:space="0" w:color="auto"/>
            </w:tcBorders>
            <w:vAlign w:val="center"/>
          </w:tcPr>
          <w:p w14:paraId="5305772F" w14:textId="77777777" w:rsidR="000B54BD" w:rsidRPr="003F08BB" w:rsidRDefault="000B54BD" w:rsidP="00E97A3B">
            <w:pPr>
              <w:rPr>
                <w:sz w:val="18"/>
                <w:szCs w:val="18"/>
              </w:rPr>
            </w:pPr>
            <w:r w:rsidRPr="003F08BB">
              <w:rPr>
                <w:sz w:val="18"/>
                <w:szCs w:val="18"/>
              </w:rPr>
              <w:t>Not coloured: insufficient data</w:t>
            </w:r>
          </w:p>
        </w:tc>
      </w:tr>
    </w:tbl>
    <w:p w14:paraId="64C6586E" w14:textId="77777777" w:rsidR="000B54BD" w:rsidRPr="003F08BB" w:rsidRDefault="000B54BD" w:rsidP="000B54BD"/>
    <w:tbl>
      <w:tblPr>
        <w:tblStyle w:val="TableGrid"/>
        <w:tblW w:w="14175" w:type="dxa"/>
        <w:tblLayout w:type="fixed"/>
        <w:tblLook w:val="04A0" w:firstRow="1" w:lastRow="0" w:firstColumn="1" w:lastColumn="0" w:noHBand="0" w:noVBand="1"/>
      </w:tblPr>
      <w:tblGrid>
        <w:gridCol w:w="487"/>
        <w:gridCol w:w="1418"/>
        <w:gridCol w:w="1492"/>
        <w:gridCol w:w="1178"/>
        <w:gridCol w:w="1283"/>
        <w:gridCol w:w="1234"/>
        <w:gridCol w:w="2088"/>
        <w:gridCol w:w="2268"/>
        <w:gridCol w:w="2727"/>
      </w:tblGrid>
      <w:tr w:rsidR="000B54BD" w:rsidRPr="00E1586C" w14:paraId="5AF5F63E" w14:textId="77777777" w:rsidTr="00E97A3B">
        <w:trPr>
          <w:trHeight w:val="293"/>
          <w:tblHeader/>
        </w:trPr>
        <w:tc>
          <w:tcPr>
            <w:tcW w:w="487" w:type="dxa"/>
          </w:tcPr>
          <w:p w14:paraId="283B6375" w14:textId="77777777" w:rsidR="000B54BD" w:rsidRPr="00E1586C" w:rsidRDefault="000B54BD" w:rsidP="00E97A3B">
            <w:pPr>
              <w:rPr>
                <w:rFonts w:cstheme="majorHAnsi"/>
                <w:b/>
                <w:sz w:val="18"/>
                <w:szCs w:val="18"/>
              </w:rPr>
            </w:pPr>
            <w:r w:rsidRPr="00E1586C">
              <w:rPr>
                <w:rFonts w:cstheme="majorHAnsi"/>
                <w:b/>
                <w:sz w:val="18"/>
                <w:szCs w:val="18"/>
              </w:rPr>
              <w:t>#</w:t>
            </w:r>
          </w:p>
        </w:tc>
        <w:tc>
          <w:tcPr>
            <w:tcW w:w="1418" w:type="dxa"/>
          </w:tcPr>
          <w:p w14:paraId="09633DC6" w14:textId="77777777" w:rsidR="000B54BD" w:rsidRPr="00E1586C" w:rsidRDefault="000B54BD" w:rsidP="00E97A3B">
            <w:pPr>
              <w:rPr>
                <w:rFonts w:cstheme="majorHAnsi"/>
                <w:b/>
                <w:sz w:val="18"/>
                <w:szCs w:val="18"/>
              </w:rPr>
            </w:pPr>
            <w:r w:rsidRPr="00E1586C">
              <w:rPr>
                <w:rFonts w:cstheme="majorHAnsi"/>
                <w:b/>
                <w:sz w:val="18"/>
                <w:szCs w:val="18"/>
              </w:rPr>
              <w:t>Indicator name</w:t>
            </w:r>
          </w:p>
        </w:tc>
        <w:tc>
          <w:tcPr>
            <w:tcW w:w="1492" w:type="dxa"/>
          </w:tcPr>
          <w:p w14:paraId="3F45863C" w14:textId="77777777" w:rsidR="000B54BD" w:rsidRPr="00E1586C" w:rsidRDefault="000B54BD" w:rsidP="00E97A3B">
            <w:pPr>
              <w:rPr>
                <w:rFonts w:cstheme="majorHAnsi"/>
                <w:b/>
                <w:sz w:val="18"/>
                <w:szCs w:val="18"/>
              </w:rPr>
            </w:pPr>
            <w:r w:rsidRPr="00E1586C">
              <w:rPr>
                <w:rFonts w:cstheme="majorHAnsi"/>
                <w:b/>
                <w:sz w:val="18"/>
                <w:szCs w:val="18"/>
              </w:rPr>
              <w:t>Definition</w:t>
            </w:r>
          </w:p>
        </w:tc>
        <w:tc>
          <w:tcPr>
            <w:tcW w:w="1178" w:type="dxa"/>
          </w:tcPr>
          <w:p w14:paraId="693B7334" w14:textId="77777777" w:rsidR="000B54BD" w:rsidRPr="00E1586C" w:rsidRDefault="000B54BD" w:rsidP="00E97A3B">
            <w:pPr>
              <w:rPr>
                <w:rFonts w:cstheme="majorHAnsi"/>
                <w:b/>
                <w:sz w:val="18"/>
                <w:szCs w:val="18"/>
              </w:rPr>
            </w:pPr>
            <w:r w:rsidRPr="00E1586C">
              <w:rPr>
                <w:rFonts w:cstheme="majorHAnsi"/>
                <w:b/>
                <w:sz w:val="18"/>
                <w:szCs w:val="18"/>
              </w:rPr>
              <w:t>Target</w:t>
            </w:r>
          </w:p>
        </w:tc>
        <w:tc>
          <w:tcPr>
            <w:tcW w:w="1283" w:type="dxa"/>
          </w:tcPr>
          <w:p w14:paraId="28BF6FB4" w14:textId="77777777" w:rsidR="000B54BD" w:rsidRPr="00E1586C" w:rsidRDefault="000B54BD" w:rsidP="00E97A3B">
            <w:pPr>
              <w:rPr>
                <w:rFonts w:cstheme="majorHAnsi"/>
                <w:b/>
                <w:sz w:val="18"/>
                <w:szCs w:val="18"/>
              </w:rPr>
            </w:pPr>
            <w:r w:rsidRPr="00E1586C">
              <w:rPr>
                <w:rFonts w:cstheme="majorHAnsi"/>
                <w:b/>
                <w:sz w:val="18"/>
                <w:szCs w:val="18"/>
              </w:rPr>
              <w:t>Data source/s used for midterm evaluation</w:t>
            </w:r>
          </w:p>
        </w:tc>
        <w:tc>
          <w:tcPr>
            <w:tcW w:w="1234" w:type="dxa"/>
          </w:tcPr>
          <w:p w14:paraId="532D0FC0" w14:textId="77777777" w:rsidR="000B54BD" w:rsidRPr="00E1586C" w:rsidRDefault="000B54BD" w:rsidP="00E97A3B">
            <w:pPr>
              <w:rPr>
                <w:rFonts w:cstheme="majorHAnsi"/>
                <w:b/>
                <w:sz w:val="18"/>
                <w:szCs w:val="18"/>
              </w:rPr>
            </w:pPr>
            <w:r w:rsidRPr="00E1586C">
              <w:rPr>
                <w:rFonts w:cstheme="majorHAnsi"/>
                <w:b/>
                <w:sz w:val="18"/>
                <w:szCs w:val="18"/>
              </w:rPr>
              <w:t>Baseline</w:t>
            </w:r>
          </w:p>
        </w:tc>
        <w:tc>
          <w:tcPr>
            <w:tcW w:w="2088" w:type="dxa"/>
          </w:tcPr>
          <w:p w14:paraId="02C21DE8" w14:textId="77777777" w:rsidR="000B54BD" w:rsidRPr="00E1586C" w:rsidRDefault="000B54BD" w:rsidP="00E97A3B">
            <w:pPr>
              <w:rPr>
                <w:rFonts w:cstheme="majorHAnsi"/>
                <w:b/>
                <w:sz w:val="18"/>
                <w:szCs w:val="18"/>
              </w:rPr>
            </w:pPr>
            <w:r w:rsidRPr="00E1586C">
              <w:rPr>
                <w:rFonts w:cstheme="majorHAnsi"/>
                <w:b/>
                <w:sz w:val="18"/>
                <w:szCs w:val="18"/>
              </w:rPr>
              <w:t>Year 1</w:t>
            </w:r>
          </w:p>
        </w:tc>
        <w:tc>
          <w:tcPr>
            <w:tcW w:w="2268" w:type="dxa"/>
          </w:tcPr>
          <w:p w14:paraId="6C0208FF" w14:textId="77777777" w:rsidR="000B54BD" w:rsidRPr="00E1586C" w:rsidRDefault="000B54BD" w:rsidP="00E97A3B">
            <w:pPr>
              <w:rPr>
                <w:rFonts w:cstheme="majorHAnsi"/>
                <w:b/>
                <w:sz w:val="18"/>
                <w:szCs w:val="18"/>
              </w:rPr>
            </w:pPr>
            <w:r w:rsidRPr="00E1586C">
              <w:rPr>
                <w:rFonts w:cstheme="majorHAnsi"/>
                <w:b/>
                <w:sz w:val="18"/>
                <w:szCs w:val="18"/>
              </w:rPr>
              <w:t>Year 2</w:t>
            </w:r>
          </w:p>
        </w:tc>
        <w:tc>
          <w:tcPr>
            <w:tcW w:w="2727" w:type="dxa"/>
          </w:tcPr>
          <w:p w14:paraId="252015ED" w14:textId="77777777" w:rsidR="000B54BD" w:rsidRPr="00E1586C" w:rsidRDefault="000B54BD" w:rsidP="00E97A3B">
            <w:pPr>
              <w:rPr>
                <w:rFonts w:cstheme="majorHAnsi"/>
                <w:b/>
                <w:sz w:val="18"/>
                <w:szCs w:val="18"/>
              </w:rPr>
            </w:pPr>
            <w:r w:rsidRPr="00E1586C">
              <w:rPr>
                <w:rFonts w:cstheme="majorHAnsi"/>
                <w:b/>
                <w:sz w:val="18"/>
                <w:szCs w:val="18"/>
              </w:rPr>
              <w:t>Year 3</w:t>
            </w:r>
          </w:p>
        </w:tc>
      </w:tr>
      <w:tr w:rsidR="000B54BD" w:rsidRPr="00E1586C" w14:paraId="4B58EBFE" w14:textId="77777777" w:rsidTr="00E97A3B">
        <w:trPr>
          <w:trHeight w:val="306"/>
        </w:trPr>
        <w:tc>
          <w:tcPr>
            <w:tcW w:w="14175" w:type="dxa"/>
            <w:gridSpan w:val="9"/>
            <w:shd w:val="clear" w:color="auto" w:fill="D9D9D9" w:themeFill="background1" w:themeFillShade="D9"/>
          </w:tcPr>
          <w:p w14:paraId="28F49DDD" w14:textId="77777777" w:rsidR="000B54BD" w:rsidRPr="00E1586C" w:rsidRDefault="000B54BD" w:rsidP="00E97A3B">
            <w:pPr>
              <w:rPr>
                <w:rFonts w:cstheme="majorHAnsi"/>
                <w:b/>
                <w:sz w:val="18"/>
                <w:szCs w:val="18"/>
              </w:rPr>
            </w:pPr>
            <w:r w:rsidRPr="00E1586C">
              <w:rPr>
                <w:rFonts w:cstheme="majorHAnsi"/>
                <w:b/>
                <w:sz w:val="18"/>
                <w:szCs w:val="18"/>
              </w:rPr>
              <w:t>1.0:  Health system performance indicators</w:t>
            </w:r>
          </w:p>
        </w:tc>
      </w:tr>
      <w:tr w:rsidR="000B54BD" w:rsidRPr="00E1586C" w14:paraId="5143137C" w14:textId="77777777" w:rsidTr="00E97A3B">
        <w:trPr>
          <w:trHeight w:val="2317"/>
        </w:trPr>
        <w:tc>
          <w:tcPr>
            <w:tcW w:w="487" w:type="dxa"/>
          </w:tcPr>
          <w:p w14:paraId="2D625EC5" w14:textId="77777777" w:rsidR="000B54BD" w:rsidRPr="00E1586C" w:rsidRDefault="000B54BD" w:rsidP="00E97A3B">
            <w:pPr>
              <w:rPr>
                <w:rFonts w:cstheme="majorHAnsi"/>
                <w:sz w:val="18"/>
                <w:szCs w:val="18"/>
              </w:rPr>
            </w:pPr>
            <w:r w:rsidRPr="00E1586C">
              <w:rPr>
                <w:rFonts w:cstheme="majorHAnsi"/>
                <w:sz w:val="18"/>
                <w:szCs w:val="18"/>
              </w:rPr>
              <w:t>1.1</w:t>
            </w:r>
          </w:p>
        </w:tc>
        <w:tc>
          <w:tcPr>
            <w:tcW w:w="1418" w:type="dxa"/>
          </w:tcPr>
          <w:p w14:paraId="31DA69D5"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 xml:space="preserve">PERFORMANCE:  THSSP </w:t>
            </w:r>
            <w:r w:rsidRPr="00E1586C">
              <w:rPr>
                <w:rFonts w:cstheme="majorHAnsi"/>
                <w:color w:val="000000"/>
                <w:sz w:val="18"/>
                <w:szCs w:val="18"/>
                <w:shd w:val="clear" w:color="auto" w:fill="FFFFFF"/>
              </w:rPr>
              <w:t>2 funding is channelled through regular MOH financial processes</w:t>
            </w:r>
          </w:p>
        </w:tc>
        <w:tc>
          <w:tcPr>
            <w:tcW w:w="1492" w:type="dxa"/>
          </w:tcPr>
          <w:p w14:paraId="231AE80C"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DFAT, Ministry of Finance and MOH will monitor the THSSP 2 funding to ensure the efficiencies of harmonising financial processes</w:t>
            </w:r>
          </w:p>
        </w:tc>
        <w:tc>
          <w:tcPr>
            <w:tcW w:w="1178" w:type="dxa"/>
          </w:tcPr>
          <w:p w14:paraId="5A44DBC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Maintained or increased</w:t>
            </w:r>
          </w:p>
        </w:tc>
        <w:tc>
          <w:tcPr>
            <w:tcW w:w="1283" w:type="dxa"/>
            <w:shd w:val="clear" w:color="auto" w:fill="auto"/>
          </w:tcPr>
          <w:p w14:paraId="1EAFCC0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As reported by DFAT, MOH and MOF</w:t>
            </w:r>
          </w:p>
        </w:tc>
        <w:tc>
          <w:tcPr>
            <w:tcW w:w="1234" w:type="dxa"/>
          </w:tcPr>
          <w:p w14:paraId="593278D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Yes</w:t>
            </w:r>
          </w:p>
          <w:p w14:paraId="0051A8B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2015/16</w:t>
            </w:r>
          </w:p>
        </w:tc>
        <w:tc>
          <w:tcPr>
            <w:tcW w:w="2088" w:type="dxa"/>
            <w:shd w:val="clear" w:color="auto" w:fill="CCFFCC"/>
          </w:tcPr>
          <w:p w14:paraId="57C2568F" w14:textId="77777777" w:rsidR="000B54BD" w:rsidRPr="00E1586C" w:rsidRDefault="000B54BD" w:rsidP="00E97A3B">
            <w:pPr>
              <w:jc w:val="center"/>
              <w:rPr>
                <w:rFonts w:cstheme="majorHAnsi"/>
                <w:color w:val="000000"/>
                <w:sz w:val="18"/>
                <w:szCs w:val="18"/>
                <w:shd w:val="clear" w:color="auto" w:fill="FFFFFF"/>
              </w:rPr>
            </w:pPr>
            <w:r w:rsidRPr="00E1586C">
              <w:rPr>
                <w:rFonts w:cstheme="majorHAnsi"/>
                <w:color w:val="000000"/>
                <w:sz w:val="18"/>
                <w:szCs w:val="18"/>
                <w:shd w:val="clear" w:color="auto" w:fill="FFFFFF"/>
              </w:rPr>
              <w:t>FY 16/17</w:t>
            </w:r>
          </w:p>
          <w:p w14:paraId="557FA33C" w14:textId="77777777" w:rsidR="000B54BD" w:rsidRPr="00E1586C" w:rsidRDefault="000B54BD" w:rsidP="00E97A3B">
            <w:pPr>
              <w:jc w:val="center"/>
              <w:rPr>
                <w:rFonts w:cstheme="majorHAnsi"/>
                <w:color w:val="000000"/>
                <w:sz w:val="18"/>
                <w:szCs w:val="18"/>
                <w:shd w:val="clear" w:color="auto" w:fill="FFFFFF"/>
              </w:rPr>
            </w:pPr>
            <w:r w:rsidRPr="00E1586C">
              <w:rPr>
                <w:rFonts w:cstheme="majorHAnsi"/>
                <w:color w:val="000000"/>
                <w:sz w:val="18"/>
                <w:szCs w:val="18"/>
                <w:shd w:val="clear" w:color="auto" w:fill="FFFFFF"/>
              </w:rPr>
              <w:t>Yes</w:t>
            </w:r>
          </w:p>
          <w:p w14:paraId="1CA6239E" w14:textId="77777777" w:rsidR="000B54BD" w:rsidRPr="00E1586C" w:rsidRDefault="000B54BD" w:rsidP="00E97A3B">
            <w:pPr>
              <w:jc w:val="center"/>
              <w:rPr>
                <w:rFonts w:cstheme="majorHAnsi"/>
                <w:color w:val="000000"/>
                <w:sz w:val="18"/>
                <w:szCs w:val="18"/>
                <w:shd w:val="clear" w:color="auto" w:fill="FFFFFF"/>
              </w:rPr>
            </w:pPr>
            <w:r w:rsidRPr="00E1586C">
              <w:rPr>
                <w:rFonts w:cstheme="majorHAnsi"/>
                <w:color w:val="000000"/>
                <w:sz w:val="18"/>
                <w:szCs w:val="18"/>
                <w:shd w:val="clear" w:color="auto" w:fill="FFFFFF"/>
              </w:rPr>
              <w:t>Funding has been channelled through regular MOH financial processes</w:t>
            </w:r>
          </w:p>
        </w:tc>
        <w:tc>
          <w:tcPr>
            <w:tcW w:w="2268" w:type="dxa"/>
            <w:shd w:val="clear" w:color="auto" w:fill="CCFFCC"/>
          </w:tcPr>
          <w:p w14:paraId="2CB130AD" w14:textId="77777777" w:rsidR="000B54BD" w:rsidRPr="00E1586C" w:rsidRDefault="000B54BD" w:rsidP="00E97A3B">
            <w:pPr>
              <w:jc w:val="center"/>
              <w:rPr>
                <w:rFonts w:cstheme="majorHAnsi"/>
                <w:color w:val="000000"/>
                <w:sz w:val="18"/>
                <w:szCs w:val="18"/>
                <w:shd w:val="clear" w:color="auto" w:fill="FFFFFF"/>
              </w:rPr>
            </w:pPr>
            <w:r w:rsidRPr="00E1586C">
              <w:rPr>
                <w:rFonts w:cstheme="majorHAnsi"/>
                <w:color w:val="000000"/>
                <w:sz w:val="18"/>
                <w:szCs w:val="18"/>
                <w:shd w:val="clear" w:color="auto" w:fill="FFFFFF"/>
              </w:rPr>
              <w:t>FY 17/18</w:t>
            </w:r>
          </w:p>
          <w:p w14:paraId="24A5333E" w14:textId="77777777" w:rsidR="000B54BD" w:rsidRPr="00E1586C" w:rsidRDefault="000B54BD" w:rsidP="00E97A3B">
            <w:pPr>
              <w:jc w:val="center"/>
              <w:rPr>
                <w:rFonts w:cstheme="majorHAnsi"/>
                <w:color w:val="000000"/>
                <w:sz w:val="18"/>
                <w:szCs w:val="18"/>
                <w:shd w:val="clear" w:color="auto" w:fill="FFFFFF"/>
              </w:rPr>
            </w:pPr>
            <w:r w:rsidRPr="00E1586C">
              <w:rPr>
                <w:rFonts w:cstheme="majorHAnsi"/>
                <w:color w:val="000000"/>
                <w:sz w:val="18"/>
                <w:szCs w:val="18"/>
                <w:shd w:val="clear" w:color="auto" w:fill="FFFFFF"/>
              </w:rPr>
              <w:t>Yes</w:t>
            </w:r>
          </w:p>
          <w:p w14:paraId="70AB958E" w14:textId="77777777" w:rsidR="000B54BD" w:rsidRPr="00E1586C" w:rsidRDefault="000B54BD" w:rsidP="00E97A3B">
            <w:pPr>
              <w:jc w:val="center"/>
              <w:rPr>
                <w:rFonts w:cstheme="majorHAnsi"/>
                <w:color w:val="000000"/>
                <w:sz w:val="18"/>
                <w:szCs w:val="18"/>
                <w:shd w:val="clear" w:color="auto" w:fill="FFFFFF"/>
              </w:rPr>
            </w:pPr>
            <w:r w:rsidRPr="00E1586C">
              <w:rPr>
                <w:rFonts w:cstheme="majorHAnsi"/>
                <w:color w:val="000000"/>
                <w:sz w:val="18"/>
                <w:szCs w:val="18"/>
                <w:shd w:val="clear" w:color="auto" w:fill="FFFFFF"/>
              </w:rPr>
              <w:t>Funding has been channelled through regular MOH financial processes</w:t>
            </w:r>
          </w:p>
        </w:tc>
        <w:tc>
          <w:tcPr>
            <w:tcW w:w="2727" w:type="dxa"/>
            <w:shd w:val="clear" w:color="auto" w:fill="CCFFCC"/>
          </w:tcPr>
          <w:p w14:paraId="01956618" w14:textId="77777777" w:rsidR="000B54BD" w:rsidRPr="00E1586C" w:rsidRDefault="000B54BD" w:rsidP="00E97A3B">
            <w:pPr>
              <w:jc w:val="center"/>
              <w:rPr>
                <w:rFonts w:cstheme="majorHAnsi"/>
                <w:color w:val="000000"/>
                <w:sz w:val="18"/>
                <w:szCs w:val="18"/>
                <w:shd w:val="clear" w:color="auto" w:fill="FFFFFF"/>
              </w:rPr>
            </w:pPr>
            <w:r w:rsidRPr="00E1586C">
              <w:rPr>
                <w:rFonts w:cstheme="majorHAnsi"/>
                <w:color w:val="000000"/>
                <w:sz w:val="18"/>
                <w:szCs w:val="18"/>
                <w:shd w:val="clear" w:color="auto" w:fill="FFFFFF"/>
              </w:rPr>
              <w:t>FY 18/19</w:t>
            </w:r>
          </w:p>
          <w:p w14:paraId="5B7A63C9" w14:textId="77777777" w:rsidR="000B54BD" w:rsidRPr="00E1586C" w:rsidRDefault="000B54BD" w:rsidP="00E97A3B">
            <w:pPr>
              <w:jc w:val="center"/>
              <w:rPr>
                <w:rFonts w:cstheme="majorHAnsi"/>
                <w:color w:val="000000"/>
                <w:sz w:val="18"/>
                <w:szCs w:val="18"/>
                <w:shd w:val="clear" w:color="auto" w:fill="FFFFFF"/>
              </w:rPr>
            </w:pPr>
            <w:r w:rsidRPr="00E1586C">
              <w:rPr>
                <w:rFonts w:cstheme="majorHAnsi"/>
                <w:color w:val="000000"/>
                <w:sz w:val="18"/>
                <w:szCs w:val="18"/>
                <w:shd w:val="clear" w:color="auto" w:fill="FFFFFF"/>
              </w:rPr>
              <w:t>(to date)</w:t>
            </w:r>
          </w:p>
          <w:p w14:paraId="0152F14A" w14:textId="77777777" w:rsidR="000B54BD" w:rsidRPr="00E1586C" w:rsidRDefault="000B54BD" w:rsidP="00E97A3B">
            <w:pPr>
              <w:jc w:val="center"/>
              <w:rPr>
                <w:rFonts w:cstheme="majorHAnsi"/>
                <w:color w:val="000000"/>
                <w:sz w:val="18"/>
                <w:szCs w:val="18"/>
                <w:shd w:val="clear" w:color="auto" w:fill="FFFFFF"/>
              </w:rPr>
            </w:pPr>
            <w:r w:rsidRPr="00E1586C">
              <w:rPr>
                <w:rFonts w:cstheme="majorHAnsi"/>
                <w:color w:val="000000"/>
                <w:sz w:val="18"/>
                <w:szCs w:val="18"/>
                <w:shd w:val="clear" w:color="auto" w:fill="FFFFFF"/>
              </w:rPr>
              <w:t>Yes</w:t>
            </w:r>
          </w:p>
          <w:p w14:paraId="65FF4599" w14:textId="77777777" w:rsidR="000B54BD" w:rsidRPr="00E1586C" w:rsidRDefault="000B54BD" w:rsidP="00E97A3B">
            <w:pPr>
              <w:jc w:val="center"/>
              <w:rPr>
                <w:rFonts w:cstheme="majorHAnsi"/>
                <w:color w:val="000000"/>
                <w:sz w:val="18"/>
                <w:szCs w:val="18"/>
                <w:shd w:val="clear" w:color="auto" w:fill="FFFFFF"/>
              </w:rPr>
            </w:pPr>
          </w:p>
          <w:p w14:paraId="0D1DF4C0" w14:textId="77777777" w:rsidR="000B54BD" w:rsidRPr="00E1586C" w:rsidRDefault="000B54BD" w:rsidP="00E97A3B">
            <w:pPr>
              <w:jc w:val="center"/>
              <w:rPr>
                <w:rFonts w:cstheme="majorHAnsi"/>
                <w:color w:val="000000"/>
                <w:sz w:val="18"/>
                <w:szCs w:val="18"/>
                <w:shd w:val="clear" w:color="auto" w:fill="FFFFFF"/>
              </w:rPr>
            </w:pPr>
            <w:r w:rsidRPr="00E1586C">
              <w:rPr>
                <w:rFonts w:cstheme="majorHAnsi"/>
                <w:color w:val="000000"/>
                <w:sz w:val="18"/>
                <w:szCs w:val="18"/>
                <w:shd w:val="clear" w:color="auto" w:fill="FFFFFF"/>
              </w:rPr>
              <w:t>Funding has been channelled through regular MOH financial processes</w:t>
            </w:r>
          </w:p>
        </w:tc>
      </w:tr>
      <w:tr w:rsidR="000B54BD" w:rsidRPr="00E1586C" w14:paraId="4D033920" w14:textId="77777777" w:rsidTr="00E97A3B">
        <w:trPr>
          <w:trHeight w:val="306"/>
        </w:trPr>
        <w:tc>
          <w:tcPr>
            <w:tcW w:w="487" w:type="dxa"/>
          </w:tcPr>
          <w:p w14:paraId="154F5C8F" w14:textId="77777777" w:rsidR="000B54BD" w:rsidRPr="00E1586C" w:rsidRDefault="000B54BD" w:rsidP="00E97A3B">
            <w:pPr>
              <w:rPr>
                <w:rFonts w:cstheme="majorHAnsi"/>
                <w:sz w:val="18"/>
                <w:szCs w:val="18"/>
              </w:rPr>
            </w:pPr>
            <w:r w:rsidRPr="00E1586C">
              <w:rPr>
                <w:rFonts w:cstheme="majorHAnsi"/>
                <w:sz w:val="18"/>
                <w:szCs w:val="18"/>
              </w:rPr>
              <w:t>1.2</w:t>
            </w:r>
          </w:p>
        </w:tc>
        <w:tc>
          <w:tcPr>
            <w:tcW w:w="1418" w:type="dxa"/>
          </w:tcPr>
          <w:p w14:paraId="209E8BA1" w14:textId="77777777" w:rsidR="000B54BD" w:rsidRPr="00E1586C" w:rsidRDefault="000B54BD" w:rsidP="00E97A3B">
            <w:pPr>
              <w:rPr>
                <w:rFonts w:cstheme="majorHAnsi"/>
                <w:sz w:val="18"/>
                <w:szCs w:val="18"/>
              </w:rPr>
            </w:pPr>
            <w:r w:rsidRPr="00E1586C">
              <w:rPr>
                <w:rFonts w:cstheme="majorHAnsi"/>
                <w:b/>
                <w:color w:val="000000"/>
                <w:sz w:val="18"/>
                <w:szCs w:val="18"/>
                <w:shd w:val="clear" w:color="auto" w:fill="FFFFFF"/>
              </w:rPr>
              <w:t>PERFORMANCE:</w:t>
            </w:r>
            <w:r w:rsidRPr="00E1586C">
              <w:rPr>
                <w:rFonts w:cstheme="majorHAnsi"/>
                <w:color w:val="000000"/>
                <w:sz w:val="18"/>
                <w:szCs w:val="18"/>
                <w:shd w:val="clear" w:color="auto" w:fill="FFFFFF"/>
              </w:rPr>
              <w:t xml:space="preserve"> Budget allocated to MOH and TongaHealth (considered separately) as a percentage of total government budget, in %</w:t>
            </w:r>
          </w:p>
        </w:tc>
        <w:tc>
          <w:tcPr>
            <w:tcW w:w="1492" w:type="dxa"/>
            <w:vAlign w:val="bottom"/>
          </w:tcPr>
          <w:p w14:paraId="7D5F635F"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Budget refers to an estimate of funding available to MOH and TongaHealth (excluding donor funds) and the expenditure planned for the period.</w:t>
            </w:r>
          </w:p>
          <w:p w14:paraId="4F74231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Numerator: Budget allocated to MOH (in local currency excluding donor funds) </w:t>
            </w:r>
          </w:p>
          <w:p w14:paraId="3572A1F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Denominator: Total government budget (in local currency excluding donor funds) x 100</w:t>
            </w:r>
          </w:p>
          <w:p w14:paraId="09BB4EB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Numerator: Budget allocated TongaHealth (in local currency excluding donor funds) </w:t>
            </w:r>
          </w:p>
          <w:p w14:paraId="71C7130C"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Total government budget (in local currency excluding donor funds) x 100</w:t>
            </w:r>
          </w:p>
          <w:p w14:paraId="7D32B462" w14:textId="77777777" w:rsidR="000B54BD" w:rsidRPr="00E1586C" w:rsidRDefault="000B54BD" w:rsidP="00E97A3B">
            <w:pPr>
              <w:rPr>
                <w:rFonts w:cstheme="majorHAnsi"/>
                <w:i/>
                <w:sz w:val="18"/>
                <w:szCs w:val="18"/>
              </w:rPr>
            </w:pPr>
            <w:r w:rsidRPr="00E1586C">
              <w:rPr>
                <w:rFonts w:cstheme="majorHAnsi"/>
                <w:i/>
                <w:color w:val="000000"/>
                <w:sz w:val="18"/>
                <w:szCs w:val="18"/>
                <w:shd w:val="clear" w:color="auto" w:fill="FFFFFF"/>
              </w:rPr>
              <w:t xml:space="preserve">NB: Funding available to MOH and TongaHealth is defined as </w:t>
            </w:r>
            <w:r w:rsidR="00760392">
              <w:rPr>
                <w:rFonts w:cstheme="majorHAnsi"/>
                <w:i/>
                <w:color w:val="000000"/>
                <w:sz w:val="18"/>
                <w:szCs w:val="18"/>
                <w:shd w:val="clear" w:color="auto" w:fill="FFFFFF"/>
              </w:rPr>
              <w:t>‘</w:t>
            </w:r>
            <w:r w:rsidRPr="00E1586C">
              <w:rPr>
                <w:rFonts w:cstheme="majorHAnsi"/>
                <w:i/>
                <w:color w:val="000000"/>
                <w:sz w:val="18"/>
                <w:szCs w:val="18"/>
                <w:shd w:val="clear" w:color="auto" w:fill="FFFFFF"/>
              </w:rPr>
              <w:t>Government Local Fund</w:t>
            </w:r>
            <w:r w:rsidR="00760392">
              <w:rPr>
                <w:rFonts w:cstheme="majorHAnsi"/>
                <w:i/>
                <w:color w:val="000000"/>
                <w:sz w:val="18"/>
                <w:szCs w:val="18"/>
                <w:shd w:val="clear" w:color="auto" w:fill="FFFFFF"/>
              </w:rPr>
              <w:t>’</w:t>
            </w:r>
            <w:r w:rsidRPr="00E1586C">
              <w:rPr>
                <w:rFonts w:cstheme="majorHAnsi"/>
                <w:i/>
                <w:color w:val="000000"/>
                <w:sz w:val="18"/>
                <w:szCs w:val="18"/>
                <w:shd w:val="clear" w:color="auto" w:fill="FFFFFF"/>
              </w:rPr>
              <w:t xml:space="preserve"> in the Program Budget of the Government of Tonga</w:t>
            </w:r>
            <w:r w:rsidR="00760392">
              <w:rPr>
                <w:rFonts w:cstheme="majorHAnsi"/>
                <w:i/>
                <w:color w:val="000000"/>
                <w:sz w:val="18"/>
                <w:szCs w:val="18"/>
                <w:shd w:val="clear" w:color="auto" w:fill="FFFFFF"/>
              </w:rPr>
              <w:t>’</w:t>
            </w:r>
            <w:r w:rsidRPr="00E1586C">
              <w:rPr>
                <w:rFonts w:cstheme="majorHAnsi"/>
                <w:i/>
                <w:color w:val="000000"/>
                <w:sz w:val="18"/>
                <w:szCs w:val="18"/>
                <w:shd w:val="clear" w:color="auto" w:fill="FFFFFF"/>
              </w:rPr>
              <w:t xml:space="preserve">. This excludes </w:t>
            </w:r>
            <w:r w:rsidR="00760392">
              <w:rPr>
                <w:rFonts w:cstheme="majorHAnsi"/>
                <w:i/>
                <w:color w:val="000000"/>
                <w:sz w:val="18"/>
                <w:szCs w:val="18"/>
                <w:shd w:val="clear" w:color="auto" w:fill="FFFFFF"/>
              </w:rPr>
              <w:t>‘</w:t>
            </w:r>
            <w:r w:rsidRPr="00E1586C">
              <w:rPr>
                <w:rFonts w:cstheme="majorHAnsi"/>
                <w:i/>
                <w:color w:val="000000"/>
                <w:sz w:val="18"/>
                <w:szCs w:val="18"/>
                <w:shd w:val="clear" w:color="auto" w:fill="FFFFFF"/>
              </w:rPr>
              <w:t>budget support</w:t>
            </w:r>
            <w:r w:rsidR="00760392">
              <w:rPr>
                <w:rFonts w:cstheme="majorHAnsi"/>
                <w:i/>
                <w:color w:val="000000"/>
                <w:sz w:val="18"/>
                <w:szCs w:val="18"/>
                <w:shd w:val="clear" w:color="auto" w:fill="FFFFFF"/>
              </w:rPr>
              <w:t>’</w:t>
            </w:r>
            <w:r w:rsidRPr="00E1586C">
              <w:rPr>
                <w:rFonts w:cstheme="majorHAnsi"/>
                <w:i/>
                <w:color w:val="000000"/>
                <w:sz w:val="18"/>
                <w:szCs w:val="18"/>
                <w:shd w:val="clear" w:color="auto" w:fill="FFFFFF"/>
              </w:rPr>
              <w:t>.</w:t>
            </w:r>
          </w:p>
        </w:tc>
        <w:tc>
          <w:tcPr>
            <w:tcW w:w="1178" w:type="dxa"/>
          </w:tcPr>
          <w:p w14:paraId="1D3F0BB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Maintained or increased</w:t>
            </w:r>
          </w:p>
        </w:tc>
        <w:tc>
          <w:tcPr>
            <w:tcW w:w="1283" w:type="dxa"/>
            <w:shd w:val="clear" w:color="auto" w:fill="auto"/>
          </w:tcPr>
          <w:p w14:paraId="16B1258E"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MOH and Ministry of Finance annual report &amp; Budget papers</w:t>
            </w:r>
          </w:p>
          <w:p w14:paraId="24FA634C" w14:textId="77777777" w:rsidR="000B54BD" w:rsidRPr="00E1586C" w:rsidRDefault="000B54BD" w:rsidP="00E97A3B">
            <w:pPr>
              <w:rPr>
                <w:rFonts w:cstheme="majorHAnsi"/>
                <w:i/>
                <w:color w:val="000000"/>
                <w:sz w:val="18"/>
                <w:szCs w:val="18"/>
                <w:shd w:val="clear" w:color="auto" w:fill="FFFFFF"/>
              </w:rPr>
            </w:pPr>
            <w:r w:rsidRPr="00E1586C">
              <w:rPr>
                <w:rFonts w:cstheme="majorHAnsi"/>
                <w:i/>
                <w:color w:val="000000"/>
                <w:sz w:val="18"/>
                <w:szCs w:val="18"/>
                <w:shd w:val="clear" w:color="auto" w:fill="FFFFFF"/>
              </w:rPr>
              <w:t>NB: Figures extracted from budget papers and Deputy Director Budget and Finance own files.</w:t>
            </w:r>
          </w:p>
        </w:tc>
        <w:tc>
          <w:tcPr>
            <w:tcW w:w="1234" w:type="dxa"/>
          </w:tcPr>
          <w:p w14:paraId="34C0229E"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MOH: 9.7% </w:t>
            </w:r>
          </w:p>
          <w:p w14:paraId="49FCD03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TH: 0.17%</w:t>
            </w:r>
          </w:p>
          <w:p w14:paraId="02CD303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(2015/2016) </w:t>
            </w:r>
          </w:p>
          <w:p w14:paraId="14BE8997" w14:textId="77777777" w:rsidR="000B54BD" w:rsidRPr="00E1586C" w:rsidRDefault="000B54BD" w:rsidP="00E97A3B">
            <w:pPr>
              <w:rPr>
                <w:rFonts w:cstheme="majorHAnsi"/>
                <w:color w:val="000000"/>
                <w:sz w:val="18"/>
                <w:szCs w:val="18"/>
                <w:shd w:val="clear" w:color="auto" w:fill="FFFFFF"/>
              </w:rPr>
            </w:pPr>
          </w:p>
          <w:p w14:paraId="6CB12BC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MOH: 9.8%</w:t>
            </w:r>
          </w:p>
          <w:p w14:paraId="63E8DAB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TH: 0.16%</w:t>
            </w:r>
          </w:p>
          <w:p w14:paraId="771C6B1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(2016/2017)</w:t>
            </w:r>
          </w:p>
          <w:p w14:paraId="18451073" w14:textId="77777777" w:rsidR="000B54BD" w:rsidRPr="00E1586C" w:rsidRDefault="000B54BD" w:rsidP="00E97A3B">
            <w:pPr>
              <w:rPr>
                <w:rFonts w:cstheme="majorHAnsi"/>
                <w:color w:val="000000"/>
                <w:sz w:val="18"/>
                <w:szCs w:val="18"/>
                <w:shd w:val="clear" w:color="auto" w:fill="FFFFFF"/>
              </w:rPr>
            </w:pPr>
          </w:p>
          <w:p w14:paraId="2C94BD28" w14:textId="77777777" w:rsidR="000B54BD" w:rsidRPr="00E1586C" w:rsidRDefault="000B54BD" w:rsidP="00E97A3B">
            <w:pPr>
              <w:rPr>
                <w:rFonts w:cstheme="majorHAnsi"/>
                <w:color w:val="000000"/>
                <w:sz w:val="18"/>
                <w:szCs w:val="18"/>
                <w:shd w:val="clear" w:color="auto" w:fill="FFFFFF"/>
              </w:rPr>
            </w:pPr>
          </w:p>
          <w:p w14:paraId="612975E8" w14:textId="77777777" w:rsidR="000B54BD" w:rsidRPr="00E1586C" w:rsidRDefault="000B54BD" w:rsidP="00E97A3B">
            <w:pPr>
              <w:rPr>
                <w:rFonts w:cstheme="majorHAnsi"/>
                <w:color w:val="000000"/>
                <w:sz w:val="18"/>
                <w:szCs w:val="18"/>
                <w:shd w:val="clear" w:color="auto" w:fill="FFFFFF"/>
              </w:rPr>
            </w:pPr>
          </w:p>
          <w:p w14:paraId="0E9D1EF9" w14:textId="77777777" w:rsidR="000B54BD" w:rsidRPr="00E1586C" w:rsidRDefault="000B54BD" w:rsidP="00E97A3B">
            <w:pPr>
              <w:rPr>
                <w:rFonts w:cstheme="majorHAnsi"/>
                <w:color w:val="000000"/>
                <w:sz w:val="18"/>
                <w:szCs w:val="18"/>
                <w:shd w:val="clear" w:color="auto" w:fill="FFFFFF"/>
              </w:rPr>
            </w:pPr>
          </w:p>
          <w:p w14:paraId="3CB9FA31" w14:textId="77777777" w:rsidR="000B54BD" w:rsidRPr="00E1586C" w:rsidRDefault="000B54BD" w:rsidP="00E97A3B">
            <w:pPr>
              <w:rPr>
                <w:rFonts w:cstheme="majorHAnsi"/>
                <w:color w:val="000000"/>
                <w:sz w:val="18"/>
                <w:szCs w:val="18"/>
                <w:shd w:val="clear" w:color="auto" w:fill="FFFFFF"/>
              </w:rPr>
            </w:pPr>
          </w:p>
          <w:p w14:paraId="45C00B6F" w14:textId="77777777" w:rsidR="000B54BD" w:rsidRPr="00E1586C" w:rsidRDefault="000B54BD" w:rsidP="00E97A3B">
            <w:pPr>
              <w:rPr>
                <w:rFonts w:cstheme="majorHAnsi"/>
                <w:i/>
                <w:color w:val="000000"/>
                <w:sz w:val="18"/>
                <w:szCs w:val="18"/>
                <w:shd w:val="clear" w:color="auto" w:fill="FFFFFF"/>
              </w:rPr>
            </w:pPr>
            <w:r w:rsidRPr="00E1586C">
              <w:rPr>
                <w:rFonts w:cstheme="majorHAnsi"/>
                <w:i/>
                <w:color w:val="000000"/>
                <w:sz w:val="18"/>
                <w:szCs w:val="18"/>
                <w:shd w:val="clear" w:color="auto" w:fill="FFFFFF"/>
              </w:rPr>
              <w:t xml:space="preserve">NB: Base Year figures (2015/16 and 2016/17) as at M&amp;E </w:t>
            </w:r>
            <w:r w:rsidRPr="00E1586C">
              <w:rPr>
                <w:rFonts w:cstheme="majorHAnsi"/>
                <w:i/>
                <w:color w:val="000000"/>
                <w:sz w:val="18"/>
                <w:szCs w:val="18"/>
                <w:shd w:val="clear" w:color="auto" w:fill="FFFFFF"/>
              </w:rPr>
              <w:lastRenderedPageBreak/>
              <w:t>Design do not agree with the same FY figures as at the Mid-Term Review. This is likely as government budget figures are commonly subsequently revised.</w:t>
            </w:r>
          </w:p>
        </w:tc>
        <w:tc>
          <w:tcPr>
            <w:tcW w:w="7083" w:type="dxa"/>
            <w:gridSpan w:val="3"/>
            <w:shd w:val="clear" w:color="auto" w:fill="auto"/>
          </w:tcPr>
          <w:tbl>
            <w:tblPr>
              <w:tblStyle w:val="TableGrid"/>
              <w:tblW w:w="0" w:type="auto"/>
              <w:tblLayout w:type="fixed"/>
              <w:tblLook w:val="04A0" w:firstRow="1" w:lastRow="0" w:firstColumn="1" w:lastColumn="0" w:noHBand="0" w:noVBand="1"/>
            </w:tblPr>
            <w:tblGrid>
              <w:gridCol w:w="1499"/>
              <w:gridCol w:w="1157"/>
              <w:gridCol w:w="1157"/>
              <w:gridCol w:w="1177"/>
              <w:gridCol w:w="1815"/>
            </w:tblGrid>
            <w:tr w:rsidR="000B54BD" w:rsidRPr="00E1586C" w14:paraId="59254AAA" w14:textId="77777777" w:rsidTr="00E97A3B">
              <w:trPr>
                <w:trHeight w:val="340"/>
              </w:trPr>
              <w:tc>
                <w:tcPr>
                  <w:tcW w:w="1499" w:type="dxa"/>
                  <w:shd w:val="clear" w:color="auto" w:fill="CCFFCC"/>
                </w:tcPr>
                <w:p w14:paraId="73836ECC"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lastRenderedPageBreak/>
                    <w:t>Budget allocations to MOH and THPF (TOP)</w:t>
                  </w:r>
                </w:p>
              </w:tc>
              <w:tc>
                <w:tcPr>
                  <w:tcW w:w="1157" w:type="dxa"/>
                  <w:shd w:val="clear" w:color="auto" w:fill="CCFFCC"/>
                </w:tcPr>
                <w:p w14:paraId="143E8145"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 15/16</w:t>
                  </w:r>
                </w:p>
                <w:p w14:paraId="3CF202F7"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(Provisional)</w:t>
                  </w:r>
                </w:p>
              </w:tc>
              <w:tc>
                <w:tcPr>
                  <w:tcW w:w="1157" w:type="dxa"/>
                  <w:shd w:val="clear" w:color="auto" w:fill="CCFFCC"/>
                </w:tcPr>
                <w:p w14:paraId="2B68A1D6"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FY16/17</w:t>
                  </w:r>
                </w:p>
                <w:p w14:paraId="68155BFE"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(Provisional)</w:t>
                  </w:r>
                </w:p>
              </w:tc>
              <w:tc>
                <w:tcPr>
                  <w:tcW w:w="1177" w:type="dxa"/>
                  <w:shd w:val="clear" w:color="auto" w:fill="CCFFCC"/>
                </w:tcPr>
                <w:p w14:paraId="16770388"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 17/18</w:t>
                  </w:r>
                </w:p>
                <w:p w14:paraId="6ECF2D3A"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(Revised Estimate)</w:t>
                  </w:r>
                </w:p>
              </w:tc>
              <w:tc>
                <w:tcPr>
                  <w:tcW w:w="1815" w:type="dxa"/>
                  <w:shd w:val="clear" w:color="auto" w:fill="CCFFCC"/>
                </w:tcPr>
                <w:p w14:paraId="1D070C73"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 18/19</w:t>
                  </w:r>
                </w:p>
                <w:p w14:paraId="32754D5A"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(Estimate)</w:t>
                  </w:r>
                </w:p>
              </w:tc>
            </w:tr>
            <w:tr w:rsidR="000B54BD" w:rsidRPr="00E1586C" w14:paraId="541012A4" w14:textId="77777777" w:rsidTr="00E97A3B">
              <w:trPr>
                <w:trHeight w:val="340"/>
              </w:trPr>
              <w:tc>
                <w:tcPr>
                  <w:tcW w:w="1499" w:type="dxa"/>
                  <w:shd w:val="clear" w:color="auto" w:fill="CCFFCC"/>
                </w:tcPr>
                <w:p w14:paraId="06AE34D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MOH % of local fund (excl. donor funds)</w:t>
                  </w:r>
                </w:p>
              </w:tc>
              <w:tc>
                <w:tcPr>
                  <w:tcW w:w="1157" w:type="dxa"/>
                  <w:shd w:val="clear" w:color="auto" w:fill="CCFFCC"/>
                </w:tcPr>
                <w:p w14:paraId="642E418C"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12.99</w:t>
                  </w:r>
                </w:p>
                <w:p w14:paraId="5D957418" w14:textId="77777777" w:rsidR="000B54BD" w:rsidRPr="00E1586C" w:rsidRDefault="000B54BD" w:rsidP="00E97A3B">
                  <w:pPr>
                    <w:rPr>
                      <w:rFonts w:cstheme="majorHAnsi"/>
                      <w:sz w:val="18"/>
                      <w:szCs w:val="18"/>
                    </w:rPr>
                  </w:pPr>
                </w:p>
              </w:tc>
              <w:tc>
                <w:tcPr>
                  <w:tcW w:w="1157" w:type="dxa"/>
                  <w:shd w:val="clear" w:color="auto" w:fill="CCFFCC"/>
                </w:tcPr>
                <w:p w14:paraId="4993AD8F"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13.1</w:t>
                  </w:r>
                </w:p>
              </w:tc>
              <w:tc>
                <w:tcPr>
                  <w:tcW w:w="1177" w:type="dxa"/>
                  <w:shd w:val="clear" w:color="auto" w:fill="CCFFCC"/>
                </w:tcPr>
                <w:p w14:paraId="417635E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13.2</w:t>
                  </w:r>
                </w:p>
              </w:tc>
              <w:tc>
                <w:tcPr>
                  <w:tcW w:w="1815" w:type="dxa"/>
                  <w:shd w:val="clear" w:color="auto" w:fill="CCFFCC"/>
                </w:tcPr>
                <w:p w14:paraId="6EFF5295"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10.9</w:t>
                  </w:r>
                </w:p>
              </w:tc>
            </w:tr>
            <w:tr w:rsidR="000B54BD" w:rsidRPr="00E1586C" w14:paraId="3FF5395C" w14:textId="77777777" w:rsidTr="00E97A3B">
              <w:trPr>
                <w:trHeight w:val="340"/>
              </w:trPr>
              <w:tc>
                <w:tcPr>
                  <w:tcW w:w="1499" w:type="dxa"/>
                  <w:shd w:val="clear" w:color="auto" w:fill="CCFFCC"/>
                </w:tcPr>
                <w:p w14:paraId="07A808CE"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MOH estimate of MOH local fund, TOP (excl. donor funds)</w:t>
                  </w:r>
                </w:p>
              </w:tc>
              <w:tc>
                <w:tcPr>
                  <w:tcW w:w="1157" w:type="dxa"/>
                  <w:shd w:val="clear" w:color="auto" w:fill="CCFFCC"/>
                </w:tcPr>
                <w:p w14:paraId="5466778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11.57</w:t>
                  </w:r>
                </w:p>
              </w:tc>
              <w:tc>
                <w:tcPr>
                  <w:tcW w:w="1157" w:type="dxa"/>
                  <w:shd w:val="clear" w:color="auto" w:fill="CCFFCC"/>
                </w:tcPr>
                <w:p w14:paraId="7A04C58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11.42</w:t>
                  </w:r>
                </w:p>
              </w:tc>
              <w:tc>
                <w:tcPr>
                  <w:tcW w:w="1177" w:type="dxa"/>
                  <w:shd w:val="clear" w:color="auto" w:fill="CCFFCC"/>
                </w:tcPr>
                <w:p w14:paraId="241A57BC"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11.30</w:t>
                  </w:r>
                </w:p>
              </w:tc>
              <w:tc>
                <w:tcPr>
                  <w:tcW w:w="1815" w:type="dxa"/>
                  <w:shd w:val="clear" w:color="auto" w:fill="CCFFCC"/>
                </w:tcPr>
                <w:p w14:paraId="21A487A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11.70</w:t>
                  </w:r>
                </w:p>
              </w:tc>
            </w:tr>
            <w:tr w:rsidR="000B54BD" w:rsidRPr="00E1586C" w14:paraId="65D9886B" w14:textId="77777777" w:rsidTr="00E97A3B">
              <w:trPr>
                <w:trHeight w:val="340"/>
              </w:trPr>
              <w:tc>
                <w:tcPr>
                  <w:tcW w:w="1499" w:type="dxa"/>
                  <w:shd w:val="clear" w:color="auto" w:fill="CCFFCC"/>
                </w:tcPr>
                <w:p w14:paraId="3DA6458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TongaHealth % excl. donor funds</w:t>
                  </w:r>
                </w:p>
              </w:tc>
              <w:tc>
                <w:tcPr>
                  <w:tcW w:w="1157" w:type="dxa"/>
                  <w:shd w:val="clear" w:color="auto" w:fill="CCFFCC"/>
                </w:tcPr>
                <w:p w14:paraId="2EC6345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0.20</w:t>
                  </w:r>
                </w:p>
              </w:tc>
              <w:tc>
                <w:tcPr>
                  <w:tcW w:w="1157" w:type="dxa"/>
                  <w:shd w:val="clear" w:color="auto" w:fill="CCFFCC"/>
                </w:tcPr>
                <w:p w14:paraId="04D2E7D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0.22</w:t>
                  </w:r>
                </w:p>
              </w:tc>
              <w:tc>
                <w:tcPr>
                  <w:tcW w:w="1177" w:type="dxa"/>
                  <w:shd w:val="clear" w:color="auto" w:fill="CCFFCC"/>
                </w:tcPr>
                <w:p w14:paraId="2A13FA3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0.23</w:t>
                  </w:r>
                </w:p>
              </w:tc>
              <w:tc>
                <w:tcPr>
                  <w:tcW w:w="1815" w:type="dxa"/>
                  <w:shd w:val="clear" w:color="auto" w:fill="CCFFCC"/>
                </w:tcPr>
                <w:p w14:paraId="5B73002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0.22</w:t>
                  </w:r>
                </w:p>
              </w:tc>
            </w:tr>
          </w:tbl>
          <w:p w14:paraId="6553702C" w14:textId="77777777" w:rsidR="000B54BD" w:rsidRPr="00E1586C" w:rsidRDefault="000B54BD" w:rsidP="00E97A3B">
            <w:pPr>
              <w:rPr>
                <w:rFonts w:cstheme="majorHAnsi"/>
                <w:color w:val="000000"/>
                <w:sz w:val="18"/>
                <w:szCs w:val="18"/>
                <w:shd w:val="clear" w:color="auto" w:fill="FFFFFF"/>
              </w:rPr>
            </w:pPr>
          </w:p>
        </w:tc>
      </w:tr>
      <w:tr w:rsidR="000B54BD" w:rsidRPr="00E1586C" w14:paraId="66CBB23A" w14:textId="77777777" w:rsidTr="00E97A3B">
        <w:trPr>
          <w:trHeight w:val="306"/>
        </w:trPr>
        <w:tc>
          <w:tcPr>
            <w:tcW w:w="487" w:type="dxa"/>
          </w:tcPr>
          <w:p w14:paraId="0FB3651B" w14:textId="77777777" w:rsidR="000B54BD" w:rsidRPr="00E1586C" w:rsidRDefault="000B54BD" w:rsidP="00E97A3B">
            <w:pPr>
              <w:rPr>
                <w:rFonts w:cstheme="majorHAnsi"/>
                <w:sz w:val="18"/>
                <w:szCs w:val="18"/>
              </w:rPr>
            </w:pPr>
            <w:r w:rsidRPr="00E1586C">
              <w:rPr>
                <w:rFonts w:cstheme="majorHAnsi"/>
                <w:sz w:val="18"/>
                <w:szCs w:val="18"/>
              </w:rPr>
              <w:t>1.3</w:t>
            </w:r>
          </w:p>
        </w:tc>
        <w:tc>
          <w:tcPr>
            <w:tcW w:w="1418" w:type="dxa"/>
          </w:tcPr>
          <w:p w14:paraId="703A8689" w14:textId="77777777" w:rsidR="000B54BD" w:rsidRPr="00E1586C" w:rsidRDefault="000B54BD" w:rsidP="00E97A3B">
            <w:pPr>
              <w:rPr>
                <w:rFonts w:cstheme="majorHAnsi"/>
                <w:sz w:val="18"/>
                <w:szCs w:val="18"/>
              </w:rPr>
            </w:pPr>
            <w:r w:rsidRPr="00E1586C">
              <w:rPr>
                <w:rFonts w:cstheme="majorHAnsi"/>
                <w:b/>
                <w:color w:val="000000"/>
                <w:sz w:val="18"/>
                <w:szCs w:val="18"/>
                <w:shd w:val="clear" w:color="auto" w:fill="FFFFFF"/>
              </w:rPr>
              <w:t>PERFORMANCE:</w:t>
            </w:r>
            <w:r w:rsidRPr="00E1586C">
              <w:rPr>
                <w:rFonts w:cstheme="majorHAnsi"/>
                <w:color w:val="000000"/>
                <w:sz w:val="18"/>
                <w:szCs w:val="18"/>
                <w:shd w:val="clear" w:color="auto" w:fill="FFFFFF"/>
              </w:rPr>
              <w:t xml:space="preserve"> Budget allocated to public health division as a </w:t>
            </w:r>
            <w:r w:rsidRPr="00E1586C">
              <w:rPr>
                <w:rFonts w:cstheme="majorHAnsi"/>
                <w:color w:val="000000"/>
                <w:sz w:val="18"/>
                <w:szCs w:val="18"/>
                <w:shd w:val="clear" w:color="auto" w:fill="FFFFFF"/>
              </w:rPr>
              <w:lastRenderedPageBreak/>
              <w:t>percentage of total MOH budget, in %</w:t>
            </w:r>
          </w:p>
        </w:tc>
        <w:tc>
          <w:tcPr>
            <w:tcW w:w="1492" w:type="dxa"/>
            <w:vAlign w:val="bottom"/>
          </w:tcPr>
          <w:p w14:paraId="10482BC9"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 xml:space="preserve">Budget refers to allocated amount in the past financial year and </w:t>
            </w:r>
            <w:r w:rsidRPr="00E1586C">
              <w:rPr>
                <w:rFonts w:cstheme="majorHAnsi"/>
                <w:color w:val="000000"/>
                <w:sz w:val="18"/>
                <w:szCs w:val="18"/>
                <w:shd w:val="clear" w:color="auto" w:fill="FFFFFF"/>
              </w:rPr>
              <w:lastRenderedPageBreak/>
              <w:t>excludes donor funds. Public health refers to preventative health care.</w:t>
            </w:r>
            <w:r w:rsidRPr="00E1586C">
              <w:rPr>
                <w:rFonts w:cstheme="majorHAnsi"/>
                <w:color w:val="000000"/>
                <w:sz w:val="18"/>
                <w:szCs w:val="18"/>
              </w:rPr>
              <w:br/>
            </w:r>
            <w:r w:rsidRPr="00E1586C">
              <w:rPr>
                <w:rFonts w:cstheme="majorHAnsi"/>
                <w:color w:val="000000"/>
                <w:sz w:val="18"/>
                <w:szCs w:val="18"/>
                <w:shd w:val="clear" w:color="auto" w:fill="FFFFFF"/>
              </w:rPr>
              <w:t xml:space="preserve">Numerator: Budget allocated to public health division (in local currency excluding donor funds) </w:t>
            </w:r>
          </w:p>
          <w:p w14:paraId="3BC474CB" w14:textId="77777777" w:rsidR="000B54BD" w:rsidRPr="00E1586C" w:rsidRDefault="000B54BD" w:rsidP="00E97A3B">
            <w:pPr>
              <w:rPr>
                <w:rFonts w:cstheme="majorHAnsi"/>
                <w:sz w:val="18"/>
                <w:szCs w:val="18"/>
              </w:rPr>
            </w:pPr>
            <w:r w:rsidRPr="00E1586C">
              <w:rPr>
                <w:rFonts w:cstheme="majorHAnsi"/>
                <w:color w:val="000000"/>
                <w:sz w:val="18"/>
                <w:szCs w:val="18"/>
                <w:shd w:val="clear" w:color="auto" w:fill="FFFFFF"/>
              </w:rPr>
              <w:t>Denominator: Total MOH budget (in local currency excluding donor funds) x 100</w:t>
            </w:r>
          </w:p>
        </w:tc>
        <w:tc>
          <w:tcPr>
            <w:tcW w:w="1178" w:type="dxa"/>
          </w:tcPr>
          <w:p w14:paraId="7AC1611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Maintained or increased</w:t>
            </w:r>
          </w:p>
        </w:tc>
        <w:tc>
          <w:tcPr>
            <w:tcW w:w="1283" w:type="dxa"/>
            <w:shd w:val="clear" w:color="auto" w:fill="auto"/>
          </w:tcPr>
          <w:p w14:paraId="67B79FC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MOH annual report</w:t>
            </w:r>
          </w:p>
          <w:p w14:paraId="0A797415" w14:textId="77777777" w:rsidR="000B54BD" w:rsidRPr="00E1586C" w:rsidRDefault="000B54BD" w:rsidP="00E97A3B">
            <w:pPr>
              <w:rPr>
                <w:rFonts w:cstheme="majorHAnsi"/>
                <w:color w:val="000000"/>
                <w:sz w:val="18"/>
                <w:szCs w:val="18"/>
                <w:shd w:val="clear" w:color="auto" w:fill="FFFFFF"/>
              </w:rPr>
            </w:pPr>
            <w:r w:rsidRPr="00E1586C">
              <w:rPr>
                <w:rFonts w:cstheme="majorHAnsi"/>
                <w:i/>
                <w:color w:val="000000"/>
                <w:sz w:val="18"/>
                <w:szCs w:val="18"/>
                <w:shd w:val="clear" w:color="auto" w:fill="FFFFFF"/>
              </w:rPr>
              <w:t xml:space="preserve">NB: Allocation to public health division </w:t>
            </w:r>
            <w:r w:rsidRPr="00E1586C">
              <w:rPr>
                <w:rFonts w:cstheme="majorHAnsi"/>
                <w:i/>
                <w:color w:val="000000"/>
                <w:sz w:val="18"/>
                <w:szCs w:val="18"/>
                <w:shd w:val="clear" w:color="auto" w:fill="FFFFFF"/>
              </w:rPr>
              <w:lastRenderedPageBreak/>
              <w:t>is not stipulated in the national budget documents. Public Health allocations had to be adjusted to remove costs of nurses working in other divisions of MOH. Figures are therefore extracted from Deputy Director Budget and Finance own files.</w:t>
            </w:r>
          </w:p>
        </w:tc>
        <w:tc>
          <w:tcPr>
            <w:tcW w:w="1234" w:type="dxa"/>
          </w:tcPr>
          <w:p w14:paraId="7066F47C"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10% (2015/2016)</w:t>
            </w:r>
          </w:p>
          <w:p w14:paraId="38BE355B" w14:textId="77777777" w:rsidR="000B54BD" w:rsidRPr="00E1586C" w:rsidRDefault="000B54BD" w:rsidP="00E97A3B">
            <w:pPr>
              <w:rPr>
                <w:rFonts w:cstheme="majorHAnsi"/>
                <w:color w:val="000000"/>
                <w:sz w:val="18"/>
                <w:szCs w:val="18"/>
                <w:shd w:val="clear" w:color="auto" w:fill="FFFFFF"/>
              </w:rPr>
            </w:pPr>
          </w:p>
          <w:p w14:paraId="7411A4B8" w14:textId="77777777" w:rsidR="000B54BD" w:rsidRPr="00E1586C" w:rsidRDefault="000B54BD" w:rsidP="00E97A3B">
            <w:pPr>
              <w:rPr>
                <w:rFonts w:cstheme="majorHAnsi"/>
                <w:color w:val="000000"/>
                <w:sz w:val="18"/>
                <w:szCs w:val="18"/>
                <w:shd w:val="clear" w:color="auto" w:fill="FFFFFF"/>
              </w:rPr>
            </w:pPr>
          </w:p>
          <w:p w14:paraId="63E91DAE" w14:textId="77777777" w:rsidR="000B54BD" w:rsidRPr="00E1586C" w:rsidRDefault="000B54BD" w:rsidP="00E97A3B">
            <w:pPr>
              <w:rPr>
                <w:rFonts w:cstheme="majorHAnsi"/>
                <w:color w:val="000000"/>
                <w:sz w:val="18"/>
                <w:szCs w:val="18"/>
                <w:shd w:val="clear" w:color="auto" w:fill="FFFFFF"/>
              </w:rPr>
            </w:pPr>
          </w:p>
          <w:p w14:paraId="0124795A" w14:textId="77777777" w:rsidR="000B54BD" w:rsidRPr="00E1586C" w:rsidRDefault="000B54BD" w:rsidP="00E97A3B">
            <w:pPr>
              <w:rPr>
                <w:rFonts w:cstheme="majorHAnsi"/>
                <w:i/>
                <w:color w:val="000000"/>
                <w:sz w:val="18"/>
                <w:szCs w:val="18"/>
                <w:shd w:val="clear" w:color="auto" w:fill="FFFFFF"/>
              </w:rPr>
            </w:pPr>
            <w:r w:rsidRPr="00E1586C">
              <w:rPr>
                <w:rFonts w:cstheme="majorHAnsi"/>
                <w:i/>
                <w:color w:val="000000"/>
                <w:sz w:val="18"/>
                <w:szCs w:val="18"/>
                <w:shd w:val="clear" w:color="auto" w:fill="FFFFFF"/>
              </w:rPr>
              <w:lastRenderedPageBreak/>
              <w:t>NB: Base Year figure as at M&amp;E Design does not agree with the same FY figure as at the Mid-Term Review. This is likely as government budget figures are commonly subsequently revised.</w:t>
            </w:r>
          </w:p>
        </w:tc>
        <w:tc>
          <w:tcPr>
            <w:tcW w:w="7083" w:type="dxa"/>
            <w:gridSpan w:val="3"/>
            <w:shd w:val="clear" w:color="auto" w:fill="auto"/>
          </w:tcPr>
          <w:tbl>
            <w:tblPr>
              <w:tblStyle w:val="TableGrid"/>
              <w:tblW w:w="0" w:type="auto"/>
              <w:tblLayout w:type="fixed"/>
              <w:tblLook w:val="04A0" w:firstRow="1" w:lastRow="0" w:firstColumn="1" w:lastColumn="0" w:noHBand="0" w:noVBand="1"/>
            </w:tblPr>
            <w:tblGrid>
              <w:gridCol w:w="1973"/>
              <w:gridCol w:w="1036"/>
              <w:gridCol w:w="1036"/>
              <w:gridCol w:w="1036"/>
              <w:gridCol w:w="1724"/>
            </w:tblGrid>
            <w:tr w:rsidR="000B54BD" w:rsidRPr="00E1586C" w14:paraId="139EB372" w14:textId="77777777" w:rsidTr="00E97A3B">
              <w:trPr>
                <w:trHeight w:val="340"/>
              </w:trPr>
              <w:tc>
                <w:tcPr>
                  <w:tcW w:w="1973" w:type="dxa"/>
                  <w:shd w:val="clear" w:color="auto" w:fill="CCFFCC"/>
                </w:tcPr>
                <w:p w14:paraId="6F501CB4"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lastRenderedPageBreak/>
                    <w:t>Budget allocation to public health (TOP m), excluding donor funds</w:t>
                  </w:r>
                </w:p>
              </w:tc>
              <w:tc>
                <w:tcPr>
                  <w:tcW w:w="1036" w:type="dxa"/>
                  <w:shd w:val="clear" w:color="auto" w:fill="CCFFCC"/>
                </w:tcPr>
                <w:p w14:paraId="6F6A0945"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 15/16</w:t>
                  </w:r>
                </w:p>
              </w:tc>
              <w:tc>
                <w:tcPr>
                  <w:tcW w:w="1036" w:type="dxa"/>
                  <w:shd w:val="clear" w:color="auto" w:fill="CCFFCC"/>
                </w:tcPr>
                <w:p w14:paraId="51F28664"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 16/17</w:t>
                  </w:r>
                </w:p>
              </w:tc>
              <w:tc>
                <w:tcPr>
                  <w:tcW w:w="1036" w:type="dxa"/>
                  <w:shd w:val="clear" w:color="auto" w:fill="CCFFCC"/>
                </w:tcPr>
                <w:p w14:paraId="601A7A93"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 17/18</w:t>
                  </w:r>
                </w:p>
                <w:p w14:paraId="72DD47D8"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(provl)</w:t>
                  </w:r>
                </w:p>
              </w:tc>
              <w:tc>
                <w:tcPr>
                  <w:tcW w:w="1724" w:type="dxa"/>
                  <w:shd w:val="clear" w:color="auto" w:fill="CCFFCC"/>
                </w:tcPr>
                <w:p w14:paraId="2E1A1FA2"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 18/19</w:t>
                  </w:r>
                </w:p>
                <w:p w14:paraId="3B3C4E90"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(est)</w:t>
                  </w:r>
                </w:p>
              </w:tc>
            </w:tr>
            <w:tr w:rsidR="000B54BD" w:rsidRPr="00E1586C" w14:paraId="5C9B49D3" w14:textId="77777777" w:rsidTr="00E97A3B">
              <w:trPr>
                <w:trHeight w:val="340"/>
              </w:trPr>
              <w:tc>
                <w:tcPr>
                  <w:tcW w:w="1973" w:type="dxa"/>
                  <w:shd w:val="clear" w:color="auto" w:fill="CCFFCC"/>
                </w:tcPr>
                <w:p w14:paraId="4A56DAAE"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Public Health Division % of MOH excl. donor funds</w:t>
                  </w:r>
                </w:p>
              </w:tc>
              <w:tc>
                <w:tcPr>
                  <w:tcW w:w="1036" w:type="dxa"/>
                  <w:shd w:val="clear" w:color="auto" w:fill="CCFFCC"/>
                </w:tcPr>
                <w:p w14:paraId="01101CE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8.29</w:t>
                  </w:r>
                </w:p>
              </w:tc>
              <w:tc>
                <w:tcPr>
                  <w:tcW w:w="1036" w:type="dxa"/>
                  <w:shd w:val="clear" w:color="auto" w:fill="CCFFCC"/>
                </w:tcPr>
                <w:p w14:paraId="6230AB25"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7.56</w:t>
                  </w:r>
                </w:p>
              </w:tc>
              <w:tc>
                <w:tcPr>
                  <w:tcW w:w="1036" w:type="dxa"/>
                  <w:shd w:val="clear" w:color="auto" w:fill="CCFFCC"/>
                </w:tcPr>
                <w:p w14:paraId="0022884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12.80</w:t>
                  </w:r>
                </w:p>
              </w:tc>
              <w:tc>
                <w:tcPr>
                  <w:tcW w:w="1724" w:type="dxa"/>
                  <w:shd w:val="clear" w:color="auto" w:fill="CCFFCC"/>
                </w:tcPr>
                <w:p w14:paraId="47D1F47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15.67</w:t>
                  </w:r>
                </w:p>
              </w:tc>
            </w:tr>
          </w:tbl>
          <w:p w14:paraId="4C6C0369" w14:textId="77777777" w:rsidR="000B54BD" w:rsidRPr="00E1586C" w:rsidRDefault="000B54BD" w:rsidP="00E97A3B">
            <w:pPr>
              <w:rPr>
                <w:rFonts w:cstheme="majorHAnsi"/>
                <w:color w:val="000000"/>
                <w:sz w:val="18"/>
                <w:szCs w:val="18"/>
                <w:shd w:val="clear" w:color="auto" w:fill="FFFFFF"/>
              </w:rPr>
            </w:pPr>
          </w:p>
        </w:tc>
      </w:tr>
      <w:tr w:rsidR="000B54BD" w:rsidRPr="00E1586C" w14:paraId="5BD2D3A5" w14:textId="77777777" w:rsidTr="00E97A3B">
        <w:trPr>
          <w:trHeight w:val="306"/>
        </w:trPr>
        <w:tc>
          <w:tcPr>
            <w:tcW w:w="487" w:type="dxa"/>
          </w:tcPr>
          <w:p w14:paraId="2F81482B" w14:textId="77777777" w:rsidR="000B54BD" w:rsidRPr="00E1586C" w:rsidRDefault="000B54BD" w:rsidP="00E97A3B">
            <w:pPr>
              <w:rPr>
                <w:rFonts w:cstheme="majorHAnsi"/>
                <w:sz w:val="18"/>
                <w:szCs w:val="18"/>
              </w:rPr>
            </w:pPr>
            <w:r w:rsidRPr="00E1586C">
              <w:rPr>
                <w:rFonts w:cstheme="majorHAnsi"/>
                <w:sz w:val="18"/>
                <w:szCs w:val="18"/>
              </w:rPr>
              <w:lastRenderedPageBreak/>
              <w:t>1.4</w:t>
            </w:r>
          </w:p>
        </w:tc>
        <w:tc>
          <w:tcPr>
            <w:tcW w:w="1418" w:type="dxa"/>
          </w:tcPr>
          <w:p w14:paraId="0DBA5F15"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PERFORMANCE:</w:t>
            </w:r>
            <w:r w:rsidRPr="00E1586C">
              <w:rPr>
                <w:rFonts w:cstheme="majorHAnsi"/>
                <w:color w:val="000000"/>
                <w:sz w:val="18"/>
                <w:szCs w:val="18"/>
                <w:shd w:val="clear" w:color="auto" w:fill="FFFFFF"/>
              </w:rPr>
              <w:t xml:space="preserve"> Latest annual report made available to the public  </w:t>
            </w:r>
          </w:p>
        </w:tc>
        <w:tc>
          <w:tcPr>
            <w:tcW w:w="1492" w:type="dxa"/>
            <w:vAlign w:val="bottom"/>
          </w:tcPr>
          <w:p w14:paraId="41DE6AB7" w14:textId="77777777" w:rsidR="000B54BD" w:rsidRPr="00E1586C" w:rsidRDefault="000B54BD" w:rsidP="00E97A3B">
            <w:pPr>
              <w:rPr>
                <w:rFonts w:cstheme="majorHAnsi"/>
                <w:color w:val="000000"/>
                <w:sz w:val="18"/>
                <w:szCs w:val="18"/>
                <w:shd w:val="clear" w:color="auto" w:fill="FFFFFF"/>
              </w:rPr>
            </w:pPr>
            <w:r w:rsidRPr="00A318B9">
              <w:rPr>
                <w:rFonts w:cstheme="majorHAnsi"/>
                <w:noProof/>
                <w:color w:val="000000"/>
                <w:sz w:val="18"/>
                <w:szCs w:val="18"/>
                <w:shd w:val="clear" w:color="auto" w:fill="FFFFFF"/>
              </w:rPr>
              <w:t>Report</w:t>
            </w:r>
            <w:r w:rsidRPr="00E1586C">
              <w:rPr>
                <w:rFonts w:cstheme="majorHAnsi"/>
                <w:color w:val="000000"/>
                <w:sz w:val="18"/>
                <w:szCs w:val="18"/>
                <w:shd w:val="clear" w:color="auto" w:fill="FFFFFF"/>
              </w:rPr>
              <w:t xml:space="preserve"> refers to MOH’s annual report published on the Ministry’s website </w:t>
            </w:r>
            <w:r w:rsidRPr="00A318B9">
              <w:rPr>
                <w:rFonts w:cstheme="majorHAnsi"/>
                <w:noProof/>
                <w:color w:val="000000"/>
                <w:sz w:val="18"/>
                <w:szCs w:val="18"/>
                <w:shd w:val="clear" w:color="auto" w:fill="FFFFFF"/>
              </w:rPr>
              <w:t>and/or</w:t>
            </w:r>
            <w:r w:rsidRPr="00E1586C">
              <w:rPr>
                <w:rFonts w:cstheme="majorHAnsi"/>
                <w:color w:val="000000"/>
                <w:sz w:val="18"/>
                <w:szCs w:val="18"/>
                <w:shd w:val="clear" w:color="auto" w:fill="FFFFFF"/>
              </w:rPr>
              <w:t xml:space="preserve"> in print form for public consumption by March of each year. The report should include information on indicators for monitoring MOH’s corporate plan and THSSP’s </w:t>
            </w:r>
            <w:r w:rsidRPr="00E1586C">
              <w:rPr>
                <w:rFonts w:cstheme="majorHAnsi"/>
                <w:color w:val="000000"/>
                <w:sz w:val="18"/>
                <w:szCs w:val="18"/>
                <w:shd w:val="clear" w:color="auto" w:fill="FFFFFF"/>
              </w:rPr>
              <w:lastRenderedPageBreak/>
              <w:t>over-arching objectives</w:t>
            </w:r>
          </w:p>
        </w:tc>
        <w:tc>
          <w:tcPr>
            <w:tcW w:w="1178" w:type="dxa"/>
            <w:shd w:val="clear" w:color="auto" w:fill="auto"/>
          </w:tcPr>
          <w:p w14:paraId="0CB0D04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Published online or in print form by March of each year.</w:t>
            </w:r>
          </w:p>
        </w:tc>
        <w:tc>
          <w:tcPr>
            <w:tcW w:w="1283" w:type="dxa"/>
            <w:shd w:val="clear" w:color="auto" w:fill="auto"/>
          </w:tcPr>
          <w:p w14:paraId="763275C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MOH annual report </w:t>
            </w:r>
          </w:p>
          <w:p w14:paraId="08DC37AC" w14:textId="77777777" w:rsidR="000B54BD" w:rsidRPr="00E1586C" w:rsidRDefault="000B54BD" w:rsidP="00E97A3B">
            <w:pPr>
              <w:rPr>
                <w:rFonts w:cstheme="majorHAnsi"/>
                <w:color w:val="000000"/>
                <w:sz w:val="18"/>
                <w:szCs w:val="18"/>
                <w:shd w:val="clear" w:color="auto" w:fill="FFFFFF"/>
              </w:rPr>
            </w:pPr>
          </w:p>
        </w:tc>
        <w:tc>
          <w:tcPr>
            <w:tcW w:w="1234" w:type="dxa"/>
          </w:tcPr>
          <w:p w14:paraId="03506AC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Last report published, (2011/12)</w:t>
            </w:r>
          </w:p>
        </w:tc>
        <w:tc>
          <w:tcPr>
            <w:tcW w:w="2088" w:type="dxa"/>
            <w:shd w:val="clear" w:color="auto" w:fill="FFFF66"/>
          </w:tcPr>
          <w:p w14:paraId="3F1CE4A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2015 released to Evaluation Team (not published on </w:t>
            </w:r>
            <w:r w:rsidRPr="00A318B9">
              <w:rPr>
                <w:rFonts w:cstheme="majorHAnsi"/>
                <w:noProof/>
                <w:color w:val="000000"/>
                <w:sz w:val="18"/>
                <w:szCs w:val="18"/>
                <w:shd w:val="clear" w:color="auto" w:fill="FFFFFF"/>
              </w:rPr>
              <w:t>website</w:t>
            </w:r>
            <w:r w:rsidRPr="00E1586C">
              <w:rPr>
                <w:rFonts w:cstheme="majorHAnsi"/>
                <w:color w:val="000000"/>
                <w:sz w:val="18"/>
                <w:szCs w:val="18"/>
                <w:shd w:val="clear" w:color="auto" w:fill="FFFFFF"/>
              </w:rPr>
              <w:t xml:space="preserve"> as at 6-12-18)</w:t>
            </w:r>
          </w:p>
        </w:tc>
        <w:tc>
          <w:tcPr>
            <w:tcW w:w="2268" w:type="dxa"/>
            <w:shd w:val="clear" w:color="auto" w:fill="FFFF66"/>
          </w:tcPr>
          <w:p w14:paraId="527BBEE5"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2016 released to Evaluation Team (not published on </w:t>
            </w:r>
            <w:r w:rsidRPr="00A318B9">
              <w:rPr>
                <w:rFonts w:cstheme="majorHAnsi"/>
                <w:noProof/>
                <w:color w:val="000000"/>
                <w:sz w:val="18"/>
                <w:szCs w:val="18"/>
                <w:shd w:val="clear" w:color="auto" w:fill="FFFFFF"/>
              </w:rPr>
              <w:t>website</w:t>
            </w:r>
            <w:r w:rsidRPr="00E1586C">
              <w:rPr>
                <w:rFonts w:cstheme="majorHAnsi"/>
                <w:color w:val="000000"/>
                <w:sz w:val="18"/>
                <w:szCs w:val="18"/>
                <w:shd w:val="clear" w:color="auto" w:fill="FFFFFF"/>
              </w:rPr>
              <w:t xml:space="preserve"> as at 6-12-18)</w:t>
            </w:r>
          </w:p>
        </w:tc>
        <w:tc>
          <w:tcPr>
            <w:tcW w:w="2727" w:type="dxa"/>
            <w:shd w:val="clear" w:color="auto" w:fill="FF7C80"/>
          </w:tcPr>
          <w:p w14:paraId="70572FD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2017 not prepared</w:t>
            </w:r>
          </w:p>
        </w:tc>
      </w:tr>
      <w:tr w:rsidR="000B54BD" w:rsidRPr="00E1586C" w14:paraId="1A43D486" w14:textId="77777777" w:rsidTr="00E97A3B">
        <w:trPr>
          <w:trHeight w:val="306"/>
        </w:trPr>
        <w:tc>
          <w:tcPr>
            <w:tcW w:w="487" w:type="dxa"/>
            <w:shd w:val="clear" w:color="auto" w:fill="auto"/>
          </w:tcPr>
          <w:p w14:paraId="420E560E" w14:textId="77777777" w:rsidR="000B54BD" w:rsidRPr="00E1586C" w:rsidRDefault="000B54BD" w:rsidP="00E97A3B">
            <w:pPr>
              <w:rPr>
                <w:rFonts w:cstheme="majorHAnsi"/>
                <w:sz w:val="18"/>
                <w:szCs w:val="18"/>
              </w:rPr>
            </w:pPr>
            <w:r w:rsidRPr="00E1586C">
              <w:rPr>
                <w:rFonts w:cstheme="majorHAnsi"/>
                <w:sz w:val="18"/>
                <w:szCs w:val="18"/>
              </w:rPr>
              <w:t>1.5</w:t>
            </w:r>
          </w:p>
        </w:tc>
        <w:tc>
          <w:tcPr>
            <w:tcW w:w="1418" w:type="dxa"/>
            <w:shd w:val="clear" w:color="auto" w:fill="auto"/>
          </w:tcPr>
          <w:p w14:paraId="3B082D41"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PERFORMANCE:</w:t>
            </w:r>
            <w:r w:rsidRPr="00E1586C">
              <w:rPr>
                <w:rFonts w:cstheme="majorHAnsi"/>
                <w:color w:val="000000"/>
                <w:sz w:val="18"/>
                <w:szCs w:val="18"/>
                <w:shd w:val="clear" w:color="auto" w:fill="FFFFFF"/>
              </w:rPr>
              <w:t xml:space="preserve"> Health facilities maintaining and reporting up-to-date records of screening and management of diabetes based on quarterly data, in % </w:t>
            </w:r>
          </w:p>
          <w:p w14:paraId="43BCEC1B" w14:textId="77777777" w:rsidR="000B54BD" w:rsidRPr="00E1586C" w:rsidRDefault="000B54BD" w:rsidP="00E97A3B">
            <w:pPr>
              <w:rPr>
                <w:rFonts w:cstheme="majorHAnsi"/>
                <w:color w:val="000000"/>
                <w:sz w:val="18"/>
                <w:szCs w:val="18"/>
                <w:shd w:val="clear" w:color="auto" w:fill="FFFFFF"/>
              </w:rPr>
            </w:pPr>
          </w:p>
        </w:tc>
        <w:tc>
          <w:tcPr>
            <w:tcW w:w="1492" w:type="dxa"/>
            <w:shd w:val="clear" w:color="auto" w:fill="auto"/>
            <w:vAlign w:val="bottom"/>
          </w:tcPr>
          <w:p w14:paraId="41BAAB5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Health facilities refer to all </w:t>
            </w:r>
            <w:r w:rsidRPr="00A318B9">
              <w:rPr>
                <w:rFonts w:cstheme="majorHAnsi"/>
                <w:noProof/>
                <w:color w:val="000000"/>
                <w:sz w:val="18"/>
                <w:szCs w:val="18"/>
                <w:shd w:val="clear" w:color="auto" w:fill="FFFFFF"/>
              </w:rPr>
              <w:t>4</w:t>
            </w:r>
            <w:r w:rsidRPr="00E1586C">
              <w:rPr>
                <w:rFonts w:cstheme="majorHAnsi"/>
                <w:color w:val="000000"/>
                <w:sz w:val="18"/>
                <w:szCs w:val="18"/>
                <w:shd w:val="clear" w:color="auto" w:fill="FFFFFF"/>
              </w:rPr>
              <w:t xml:space="preserve"> hospitals and Health clinics in the country.  Annual reports are to </w:t>
            </w:r>
            <w:r w:rsidRPr="00A318B9">
              <w:rPr>
                <w:rFonts w:cstheme="majorHAnsi"/>
                <w:noProof/>
                <w:color w:val="000000"/>
                <w:sz w:val="18"/>
                <w:szCs w:val="18"/>
                <w:shd w:val="clear" w:color="auto" w:fill="FFFFFF"/>
              </w:rPr>
              <w:t>be compiled</w:t>
            </w:r>
            <w:r w:rsidRPr="00E1586C">
              <w:rPr>
                <w:rFonts w:cstheme="majorHAnsi"/>
                <w:color w:val="000000"/>
                <w:sz w:val="18"/>
                <w:szCs w:val="18"/>
                <w:shd w:val="clear" w:color="auto" w:fill="FFFFFF"/>
              </w:rPr>
              <w:t xml:space="preserve"> </w:t>
            </w:r>
            <w:r w:rsidRPr="00A318B9">
              <w:rPr>
                <w:rFonts w:cstheme="majorHAnsi"/>
                <w:noProof/>
                <w:color w:val="000000"/>
                <w:sz w:val="18"/>
                <w:szCs w:val="18"/>
                <w:shd w:val="clear" w:color="auto" w:fill="FFFFFF"/>
              </w:rPr>
              <w:t>on the basis of</w:t>
            </w:r>
            <w:r w:rsidRPr="00E1586C">
              <w:rPr>
                <w:rFonts w:cstheme="majorHAnsi"/>
                <w:color w:val="000000"/>
                <w:sz w:val="18"/>
                <w:szCs w:val="18"/>
                <w:shd w:val="clear" w:color="auto" w:fill="FFFFFF"/>
              </w:rPr>
              <w:t xml:space="preserve"> </w:t>
            </w:r>
            <w:r w:rsidRPr="00A318B9">
              <w:rPr>
                <w:rFonts w:cstheme="majorHAnsi"/>
                <w:noProof/>
                <w:color w:val="000000"/>
                <w:sz w:val="18"/>
                <w:szCs w:val="18"/>
                <w:shd w:val="clear" w:color="auto" w:fill="FFFFFF"/>
              </w:rPr>
              <w:t>calendar</w:t>
            </w:r>
            <w:r w:rsidRPr="00E1586C">
              <w:rPr>
                <w:rFonts w:cstheme="majorHAnsi"/>
                <w:color w:val="000000"/>
                <w:sz w:val="18"/>
                <w:szCs w:val="18"/>
                <w:shd w:val="clear" w:color="auto" w:fill="FFFFFF"/>
              </w:rPr>
              <w:t xml:space="preserve"> year.</w:t>
            </w:r>
            <w:r w:rsidRPr="00E1586C">
              <w:rPr>
                <w:rFonts w:cstheme="majorHAnsi"/>
                <w:color w:val="000000"/>
                <w:sz w:val="18"/>
                <w:szCs w:val="18"/>
              </w:rPr>
              <w:br/>
            </w:r>
            <w:r w:rsidRPr="00E1586C">
              <w:rPr>
                <w:rFonts w:cstheme="majorHAnsi"/>
                <w:color w:val="000000"/>
                <w:sz w:val="18"/>
                <w:szCs w:val="18"/>
                <w:shd w:val="clear" w:color="auto" w:fill="FFFFFF"/>
              </w:rPr>
              <w:t xml:space="preserve">Numerator: Number of health facilities maintaining and reporting up-to-date records of screening and management of diabetes in the country based on quarterly data </w:t>
            </w:r>
          </w:p>
          <w:p w14:paraId="314AFE4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Total number of facilities in the country  x 100</w:t>
            </w:r>
          </w:p>
          <w:p w14:paraId="250A621B" w14:textId="77777777" w:rsidR="000B54BD" w:rsidRPr="00E1586C" w:rsidRDefault="000B54BD" w:rsidP="00E97A3B">
            <w:pPr>
              <w:rPr>
                <w:rFonts w:cstheme="majorHAnsi"/>
                <w:color w:val="000000"/>
                <w:sz w:val="18"/>
                <w:szCs w:val="18"/>
                <w:shd w:val="clear" w:color="auto" w:fill="FFFFFF"/>
              </w:rPr>
            </w:pPr>
          </w:p>
          <w:p w14:paraId="1A627E00" w14:textId="77777777" w:rsidR="000B54BD" w:rsidRPr="00E1586C" w:rsidRDefault="000B54BD" w:rsidP="00E97A3B">
            <w:pPr>
              <w:rPr>
                <w:rFonts w:cstheme="majorHAnsi"/>
                <w:color w:val="000000"/>
                <w:sz w:val="18"/>
                <w:szCs w:val="18"/>
                <w:shd w:val="clear" w:color="auto" w:fill="FFFFFF"/>
              </w:rPr>
            </w:pPr>
          </w:p>
        </w:tc>
        <w:tc>
          <w:tcPr>
            <w:tcW w:w="1178" w:type="dxa"/>
            <w:shd w:val="clear" w:color="auto" w:fill="auto"/>
          </w:tcPr>
          <w:p w14:paraId="4F8897D2" w14:textId="77777777" w:rsidR="000B54BD" w:rsidRPr="00E1586C" w:rsidRDefault="000B54BD" w:rsidP="00E97A3B">
            <w:pPr>
              <w:rPr>
                <w:rFonts w:cstheme="majorHAnsi"/>
                <w:b/>
                <w:sz w:val="18"/>
                <w:szCs w:val="18"/>
              </w:rPr>
            </w:pPr>
            <w:r w:rsidRPr="00E1586C">
              <w:rPr>
                <w:rFonts w:cstheme="majorHAnsi"/>
                <w:b/>
                <w:sz w:val="18"/>
                <w:szCs w:val="18"/>
              </w:rPr>
              <w:t>100%</w:t>
            </w:r>
          </w:p>
        </w:tc>
        <w:tc>
          <w:tcPr>
            <w:tcW w:w="1283" w:type="dxa"/>
            <w:shd w:val="clear" w:color="auto" w:fill="auto"/>
          </w:tcPr>
          <w:p w14:paraId="46353A9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Community health, MOH</w:t>
            </w:r>
          </w:p>
          <w:p w14:paraId="0316856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To come from NCD nurse reports and community health centre reports</w:t>
            </w:r>
          </w:p>
        </w:tc>
        <w:tc>
          <w:tcPr>
            <w:tcW w:w="1234" w:type="dxa"/>
            <w:shd w:val="clear" w:color="auto" w:fill="auto"/>
          </w:tcPr>
          <w:p w14:paraId="1207CD1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2015</w:t>
            </w:r>
          </w:p>
          <w:p w14:paraId="505449BF"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89%</w:t>
            </w:r>
          </w:p>
        </w:tc>
        <w:tc>
          <w:tcPr>
            <w:tcW w:w="2088" w:type="dxa"/>
            <w:shd w:val="clear" w:color="auto" w:fill="auto"/>
          </w:tcPr>
          <w:p w14:paraId="4C9DF310" w14:textId="77777777" w:rsidR="000B54BD" w:rsidRPr="00E1586C" w:rsidRDefault="000B54BD" w:rsidP="00E97A3B">
            <w:pPr>
              <w:rPr>
                <w:rFonts w:cstheme="majorHAnsi"/>
                <w:color w:val="000000"/>
                <w:sz w:val="18"/>
                <w:szCs w:val="18"/>
                <w:shd w:val="clear" w:color="auto" w:fill="FFFFFF"/>
              </w:rPr>
            </w:pPr>
          </w:p>
        </w:tc>
        <w:tc>
          <w:tcPr>
            <w:tcW w:w="2268" w:type="dxa"/>
            <w:shd w:val="clear" w:color="auto" w:fill="auto"/>
          </w:tcPr>
          <w:p w14:paraId="62827C03" w14:textId="77777777" w:rsidR="000B54BD" w:rsidRPr="00E1586C" w:rsidRDefault="000B54BD" w:rsidP="00E97A3B">
            <w:pPr>
              <w:rPr>
                <w:rFonts w:cstheme="majorHAnsi"/>
                <w:color w:val="000000"/>
                <w:sz w:val="18"/>
                <w:szCs w:val="18"/>
                <w:shd w:val="clear" w:color="auto" w:fill="FFFFFF"/>
              </w:rPr>
            </w:pPr>
          </w:p>
        </w:tc>
        <w:tc>
          <w:tcPr>
            <w:tcW w:w="2727" w:type="dxa"/>
            <w:shd w:val="clear" w:color="auto" w:fill="auto"/>
          </w:tcPr>
          <w:p w14:paraId="42DC58B4" w14:textId="77777777" w:rsidR="000B54BD" w:rsidRPr="00E1586C" w:rsidRDefault="0080075C" w:rsidP="00E97A3B">
            <w:pPr>
              <w:rPr>
                <w:rFonts w:cstheme="majorHAnsi"/>
                <w:color w:val="000000"/>
                <w:sz w:val="18"/>
                <w:szCs w:val="18"/>
                <w:shd w:val="clear" w:color="auto" w:fill="FFFFFF"/>
              </w:rPr>
            </w:pPr>
            <w:r>
              <w:rPr>
                <w:rFonts w:cstheme="majorHAnsi"/>
                <w:sz w:val="18"/>
                <w:szCs w:val="18"/>
              </w:rPr>
              <w:t>F</w:t>
            </w:r>
            <w:r w:rsidR="000B54BD" w:rsidRPr="00E1586C">
              <w:rPr>
                <w:rFonts w:cstheme="majorHAnsi"/>
                <w:sz w:val="18"/>
                <w:szCs w:val="18"/>
              </w:rPr>
              <w:t xml:space="preserve">eedback </w:t>
            </w:r>
            <w:r w:rsidR="00DA2CF2">
              <w:rPr>
                <w:rFonts w:cstheme="majorHAnsi"/>
                <w:sz w:val="18"/>
                <w:szCs w:val="18"/>
              </w:rPr>
              <w:t xml:space="preserve">from health workers </w:t>
            </w:r>
            <w:r w:rsidR="000B54BD" w:rsidRPr="00E1586C">
              <w:rPr>
                <w:rFonts w:cstheme="majorHAnsi"/>
                <w:sz w:val="18"/>
                <w:szCs w:val="18"/>
              </w:rPr>
              <w:t>suggests improvements. Reports not sighted.</w:t>
            </w:r>
          </w:p>
        </w:tc>
      </w:tr>
      <w:tr w:rsidR="000B54BD" w:rsidRPr="00E1586C" w14:paraId="3439F7A4" w14:textId="77777777" w:rsidTr="00E97A3B">
        <w:trPr>
          <w:trHeight w:val="306"/>
        </w:trPr>
        <w:tc>
          <w:tcPr>
            <w:tcW w:w="14175" w:type="dxa"/>
            <w:gridSpan w:val="9"/>
            <w:shd w:val="clear" w:color="auto" w:fill="D9D9D9" w:themeFill="background1" w:themeFillShade="D9"/>
          </w:tcPr>
          <w:p w14:paraId="373CD812" w14:textId="77777777" w:rsidR="000B54BD" w:rsidRPr="00E1586C" w:rsidRDefault="000B54BD" w:rsidP="00E97A3B">
            <w:pPr>
              <w:rPr>
                <w:rFonts w:cstheme="majorHAnsi"/>
                <w:color w:val="000000"/>
                <w:sz w:val="18"/>
                <w:szCs w:val="18"/>
                <w:shd w:val="clear" w:color="auto" w:fill="FFFFFF"/>
              </w:rPr>
            </w:pPr>
            <w:r w:rsidRPr="00E1586C">
              <w:rPr>
                <w:rFonts w:cstheme="majorHAnsi"/>
                <w:b/>
                <w:sz w:val="18"/>
                <w:szCs w:val="18"/>
              </w:rPr>
              <w:t>2.0: Decrease in percentage of population at high risk of developing a NCD, for both males and females.</w:t>
            </w:r>
          </w:p>
        </w:tc>
      </w:tr>
      <w:tr w:rsidR="000B54BD" w:rsidRPr="00E1586C" w14:paraId="13148E1C" w14:textId="77777777" w:rsidTr="00E97A3B">
        <w:trPr>
          <w:trHeight w:val="306"/>
        </w:trPr>
        <w:tc>
          <w:tcPr>
            <w:tcW w:w="487" w:type="dxa"/>
          </w:tcPr>
          <w:p w14:paraId="2EDE24E6" w14:textId="77777777" w:rsidR="000B54BD" w:rsidRPr="00E1586C" w:rsidRDefault="000B54BD" w:rsidP="00E97A3B">
            <w:pPr>
              <w:rPr>
                <w:rFonts w:cstheme="majorHAnsi"/>
                <w:sz w:val="18"/>
                <w:szCs w:val="18"/>
              </w:rPr>
            </w:pPr>
            <w:r w:rsidRPr="00E1586C">
              <w:rPr>
                <w:rFonts w:cstheme="majorHAnsi"/>
                <w:sz w:val="18"/>
                <w:szCs w:val="18"/>
              </w:rPr>
              <w:t>2.1</w:t>
            </w:r>
          </w:p>
        </w:tc>
        <w:tc>
          <w:tcPr>
            <w:tcW w:w="1418" w:type="dxa"/>
          </w:tcPr>
          <w:p w14:paraId="1B3A48A0"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 xml:space="preserve">OUTPUT: </w:t>
            </w:r>
            <w:r w:rsidRPr="00E1586C">
              <w:rPr>
                <w:rFonts w:cstheme="majorHAnsi"/>
                <w:color w:val="000000"/>
                <w:sz w:val="18"/>
                <w:szCs w:val="18"/>
                <w:shd w:val="clear" w:color="auto" w:fill="FFFFFF"/>
              </w:rPr>
              <w:t xml:space="preserve">Completion of a fully costed 2015-2020 National NCD Strategy and </w:t>
            </w:r>
            <w:r w:rsidRPr="00E1586C">
              <w:rPr>
                <w:rFonts w:cstheme="majorHAnsi"/>
                <w:color w:val="000000"/>
                <w:sz w:val="18"/>
                <w:szCs w:val="18"/>
                <w:shd w:val="clear" w:color="auto" w:fill="FFFFFF"/>
              </w:rPr>
              <w:lastRenderedPageBreak/>
              <w:t>M&amp;E Framework</w:t>
            </w:r>
          </w:p>
        </w:tc>
        <w:tc>
          <w:tcPr>
            <w:tcW w:w="1492" w:type="dxa"/>
          </w:tcPr>
          <w:p w14:paraId="2600D70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 xml:space="preserve">The National NCD Strategy guides government and nongovernment evidence-based actions to </w:t>
            </w:r>
            <w:r w:rsidRPr="00E1586C">
              <w:rPr>
                <w:rFonts w:cstheme="majorHAnsi"/>
                <w:color w:val="000000"/>
                <w:sz w:val="18"/>
                <w:szCs w:val="18"/>
                <w:shd w:val="clear" w:color="auto" w:fill="FFFFFF"/>
              </w:rPr>
              <w:lastRenderedPageBreak/>
              <w:t>prevent, treat and management NCDs according to the different needs by gender, location and, where possible, disability.</w:t>
            </w:r>
          </w:p>
        </w:tc>
        <w:tc>
          <w:tcPr>
            <w:tcW w:w="1178" w:type="dxa"/>
            <w:shd w:val="clear" w:color="auto" w:fill="auto"/>
          </w:tcPr>
          <w:p w14:paraId="0945E42A" w14:textId="77777777" w:rsidR="000B54BD" w:rsidRPr="00E1586C" w:rsidRDefault="000B54BD" w:rsidP="00E97A3B">
            <w:pPr>
              <w:rPr>
                <w:rFonts w:cstheme="majorHAnsi"/>
                <w:color w:val="000000"/>
                <w:sz w:val="18"/>
                <w:szCs w:val="18"/>
                <w:shd w:val="clear" w:color="auto" w:fill="FFFFFF"/>
              </w:rPr>
            </w:pPr>
          </w:p>
        </w:tc>
        <w:tc>
          <w:tcPr>
            <w:tcW w:w="1283" w:type="dxa"/>
            <w:shd w:val="clear" w:color="auto" w:fill="auto"/>
          </w:tcPr>
          <w:p w14:paraId="594ED0B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National NCD Strategy document</w:t>
            </w:r>
          </w:p>
        </w:tc>
        <w:tc>
          <w:tcPr>
            <w:tcW w:w="1234" w:type="dxa"/>
          </w:tcPr>
          <w:p w14:paraId="3FA9AB76"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Completed</w:t>
            </w:r>
          </w:p>
          <w:p w14:paraId="6B23A36F"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(2015/2016)</w:t>
            </w:r>
          </w:p>
          <w:p w14:paraId="5141C3CC" w14:textId="77777777" w:rsidR="000B54BD" w:rsidRPr="00E1586C" w:rsidRDefault="000B54BD" w:rsidP="00E97A3B">
            <w:pPr>
              <w:rPr>
                <w:rFonts w:cstheme="majorHAnsi"/>
                <w:color w:val="000000"/>
                <w:sz w:val="18"/>
                <w:szCs w:val="18"/>
                <w:shd w:val="clear" w:color="auto" w:fill="FFFFFF"/>
              </w:rPr>
            </w:pPr>
          </w:p>
        </w:tc>
        <w:tc>
          <w:tcPr>
            <w:tcW w:w="2088" w:type="dxa"/>
            <w:shd w:val="clear" w:color="auto" w:fill="CCFFCC"/>
          </w:tcPr>
          <w:p w14:paraId="6301474B" w14:textId="77777777" w:rsidR="000B54BD" w:rsidRPr="00E1586C" w:rsidRDefault="000B54BD" w:rsidP="00E97A3B">
            <w:pPr>
              <w:rPr>
                <w:rFonts w:cstheme="majorHAnsi"/>
                <w:sz w:val="18"/>
                <w:szCs w:val="18"/>
              </w:rPr>
            </w:pPr>
            <w:r w:rsidRPr="00E1586C">
              <w:rPr>
                <w:rFonts w:cstheme="majorHAnsi"/>
                <w:sz w:val="18"/>
                <w:szCs w:val="18"/>
              </w:rPr>
              <w:t>National NCD Strategy ‘Hala Fononga’ completed in 2015, including M&amp;E framework, and launched by Prime Minister in Feb 2016.</w:t>
            </w:r>
          </w:p>
        </w:tc>
        <w:tc>
          <w:tcPr>
            <w:tcW w:w="2268" w:type="dxa"/>
            <w:shd w:val="clear" w:color="auto" w:fill="CCFFCC"/>
          </w:tcPr>
          <w:p w14:paraId="4318EE73" w14:textId="77777777" w:rsidR="000B54BD" w:rsidRPr="00E1586C" w:rsidRDefault="000B54BD" w:rsidP="00E97A3B">
            <w:pPr>
              <w:rPr>
                <w:rFonts w:eastAsia="Times New Roman" w:cstheme="majorHAnsi"/>
                <w:sz w:val="18"/>
                <w:szCs w:val="18"/>
                <w:lang w:eastAsia="en-AU"/>
              </w:rPr>
            </w:pPr>
          </w:p>
        </w:tc>
        <w:tc>
          <w:tcPr>
            <w:tcW w:w="2727" w:type="dxa"/>
            <w:shd w:val="clear" w:color="auto" w:fill="CCFFCC"/>
          </w:tcPr>
          <w:p w14:paraId="2E808254" w14:textId="77777777" w:rsidR="000B54BD" w:rsidRPr="00E1586C" w:rsidRDefault="000B54BD" w:rsidP="00E97A3B">
            <w:pPr>
              <w:rPr>
                <w:rFonts w:cstheme="majorHAnsi"/>
                <w:sz w:val="18"/>
                <w:szCs w:val="18"/>
              </w:rPr>
            </w:pPr>
            <w:r w:rsidRPr="00E1586C">
              <w:rPr>
                <w:rFonts w:cstheme="majorHAnsi"/>
                <w:sz w:val="18"/>
                <w:szCs w:val="18"/>
              </w:rPr>
              <w:t>World Bank to undertake costing.</w:t>
            </w:r>
          </w:p>
        </w:tc>
      </w:tr>
      <w:tr w:rsidR="000B54BD" w:rsidRPr="00E1586C" w14:paraId="699CF53C" w14:textId="77777777" w:rsidTr="00E97A3B">
        <w:trPr>
          <w:trHeight w:val="306"/>
        </w:trPr>
        <w:tc>
          <w:tcPr>
            <w:tcW w:w="487" w:type="dxa"/>
          </w:tcPr>
          <w:p w14:paraId="169C877D" w14:textId="77777777" w:rsidR="000B54BD" w:rsidRPr="00E1586C" w:rsidRDefault="000B54BD" w:rsidP="00E97A3B">
            <w:pPr>
              <w:rPr>
                <w:rFonts w:cstheme="majorHAnsi"/>
                <w:sz w:val="18"/>
                <w:szCs w:val="18"/>
              </w:rPr>
            </w:pPr>
            <w:r w:rsidRPr="00E1586C">
              <w:rPr>
                <w:rFonts w:cstheme="majorHAnsi"/>
                <w:sz w:val="18"/>
                <w:szCs w:val="18"/>
              </w:rPr>
              <w:t>2.2</w:t>
            </w:r>
          </w:p>
        </w:tc>
        <w:tc>
          <w:tcPr>
            <w:tcW w:w="1418" w:type="dxa"/>
          </w:tcPr>
          <w:p w14:paraId="0E068C8C"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OUTCOME:</w:t>
            </w:r>
            <w:r w:rsidRPr="00E1586C">
              <w:rPr>
                <w:rFonts w:cstheme="majorHAnsi"/>
                <w:color w:val="000000"/>
                <w:sz w:val="18"/>
                <w:szCs w:val="18"/>
                <w:shd w:val="clear" w:color="auto" w:fill="FFFFFF"/>
              </w:rPr>
              <w:t xml:space="preserve"> Adults with 3 or more NCD risk factors, %</w:t>
            </w:r>
          </w:p>
        </w:tc>
        <w:tc>
          <w:tcPr>
            <w:tcW w:w="1492" w:type="dxa"/>
          </w:tcPr>
          <w:p w14:paraId="2C4A8AF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Adults refer to population aged 25 – 64 years. A person is considered to be at risk if they have three or more of the following risk profiles: is current smoker, is overweight (i.e. has BMI ≥ 25 Kg/m</w:t>
            </w:r>
            <w:r w:rsidRPr="00E1586C">
              <w:rPr>
                <w:rFonts w:cstheme="majorHAnsi"/>
                <w:color w:val="000000"/>
                <w:sz w:val="18"/>
                <w:szCs w:val="18"/>
                <w:shd w:val="clear" w:color="auto" w:fill="FFFFFF"/>
                <w:vertAlign w:val="superscript"/>
              </w:rPr>
              <w:t>2</w:t>
            </w:r>
            <w:r w:rsidRPr="00E1586C">
              <w:rPr>
                <w:rFonts w:cstheme="majorHAnsi"/>
                <w:color w:val="000000"/>
                <w:sz w:val="18"/>
                <w:szCs w:val="18"/>
                <w:shd w:val="clear" w:color="auto" w:fill="FFFFFF"/>
              </w:rPr>
              <w:t xml:space="preserve">), has raised blood pressure (i.e. SBP ≥ 140 and/or DPB ≥  90 mmHg or currently in medication), consumed less than five combined servings of fruit and vegetables per day, and performs low level of activity (i.e. ≤ 600 MET </w:t>
            </w:r>
            <w:r w:rsidRPr="00E1586C">
              <w:rPr>
                <w:rFonts w:cstheme="majorHAnsi"/>
                <w:color w:val="000000"/>
                <w:sz w:val="18"/>
                <w:szCs w:val="18"/>
                <w:shd w:val="clear" w:color="auto" w:fill="FFFFFF"/>
              </w:rPr>
              <w:lastRenderedPageBreak/>
              <w:t xml:space="preserve">minutes per week)  </w:t>
            </w:r>
            <w:r w:rsidRPr="00E1586C">
              <w:rPr>
                <w:rFonts w:cstheme="majorHAnsi"/>
                <w:color w:val="000000"/>
                <w:sz w:val="18"/>
                <w:szCs w:val="18"/>
              </w:rPr>
              <w:br/>
            </w:r>
          </w:p>
          <w:p w14:paraId="42C0D5E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Numerator: Number of adults aged 25-64 years with 3 or more NCD risk factors </w:t>
            </w:r>
          </w:p>
          <w:p w14:paraId="7AD9F785"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Total number of adults aged 25-64 years</w:t>
            </w:r>
          </w:p>
        </w:tc>
        <w:tc>
          <w:tcPr>
            <w:tcW w:w="1178" w:type="dxa"/>
            <w:shd w:val="clear" w:color="auto" w:fill="auto"/>
          </w:tcPr>
          <w:p w14:paraId="16F9A0E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Halt the increase</w:t>
            </w:r>
          </w:p>
        </w:tc>
        <w:tc>
          <w:tcPr>
            <w:tcW w:w="1283" w:type="dxa"/>
            <w:shd w:val="clear" w:color="auto" w:fill="auto"/>
          </w:tcPr>
          <w:p w14:paraId="019E93D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STEPS 2012, 2016 and 2020</w:t>
            </w:r>
          </w:p>
          <w:p w14:paraId="3B9B45E0" w14:textId="77777777" w:rsidR="000B54BD" w:rsidRPr="00E1586C" w:rsidRDefault="000B54BD" w:rsidP="00E97A3B">
            <w:pPr>
              <w:rPr>
                <w:rFonts w:cstheme="majorHAnsi"/>
                <w:color w:val="000000"/>
                <w:sz w:val="18"/>
                <w:szCs w:val="18"/>
                <w:shd w:val="clear" w:color="auto" w:fill="FFFFFF"/>
              </w:rPr>
            </w:pPr>
          </w:p>
          <w:p w14:paraId="4ED46BE1" w14:textId="77777777" w:rsidR="000B54BD" w:rsidRPr="00E1586C" w:rsidRDefault="000B54BD" w:rsidP="00E97A3B">
            <w:pPr>
              <w:rPr>
                <w:rFonts w:cstheme="majorHAnsi"/>
                <w:color w:val="000000"/>
                <w:sz w:val="18"/>
                <w:szCs w:val="18"/>
                <w:shd w:val="clear" w:color="auto" w:fill="FFFFFF"/>
              </w:rPr>
            </w:pPr>
          </w:p>
          <w:p w14:paraId="463B834F" w14:textId="77777777" w:rsidR="000B54BD" w:rsidRPr="00E1586C" w:rsidRDefault="000B54BD" w:rsidP="00E97A3B">
            <w:pPr>
              <w:rPr>
                <w:rFonts w:cstheme="majorHAnsi"/>
                <w:color w:val="000000"/>
                <w:sz w:val="18"/>
                <w:szCs w:val="18"/>
                <w:shd w:val="clear" w:color="auto" w:fill="FFFFFF"/>
              </w:rPr>
            </w:pPr>
          </w:p>
        </w:tc>
        <w:tc>
          <w:tcPr>
            <w:tcW w:w="1234" w:type="dxa"/>
          </w:tcPr>
          <w:p w14:paraId="74294F1A"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STEPS 2012 Data</w:t>
            </w:r>
          </w:p>
          <w:p w14:paraId="6FCC9DB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25-44 years</w:t>
            </w:r>
            <w:r w:rsidRPr="00E1586C">
              <w:rPr>
                <w:rFonts w:cstheme="majorHAnsi"/>
                <w:color w:val="000000"/>
                <w:sz w:val="18"/>
                <w:szCs w:val="18"/>
                <w:shd w:val="clear" w:color="auto" w:fill="FFFFFF"/>
              </w:rPr>
              <w:br/>
              <w:t>Males: 51.7%</w:t>
            </w:r>
            <w:r w:rsidRPr="00E1586C">
              <w:rPr>
                <w:rFonts w:cstheme="majorHAnsi"/>
                <w:color w:val="000000"/>
                <w:sz w:val="18"/>
                <w:szCs w:val="18"/>
                <w:shd w:val="clear" w:color="auto" w:fill="FFFFFF"/>
              </w:rPr>
              <w:br/>
              <w:t>Females: 55.4 %</w:t>
            </w:r>
            <w:r w:rsidRPr="00E1586C">
              <w:rPr>
                <w:rFonts w:cstheme="majorHAnsi"/>
                <w:color w:val="000000"/>
                <w:sz w:val="18"/>
                <w:szCs w:val="18"/>
                <w:shd w:val="clear" w:color="auto" w:fill="FFFFFF"/>
              </w:rPr>
              <w:br/>
              <w:t>Both sexes: 52.8 %</w:t>
            </w:r>
          </w:p>
          <w:p w14:paraId="17CC614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45-64</w:t>
            </w:r>
            <w:r w:rsidRPr="00E1586C">
              <w:rPr>
                <w:rFonts w:cstheme="majorHAnsi"/>
                <w:color w:val="000000"/>
                <w:sz w:val="18"/>
                <w:szCs w:val="18"/>
                <w:shd w:val="clear" w:color="auto" w:fill="FFFFFF"/>
              </w:rPr>
              <w:br/>
              <w:t>Males: 64.7%</w:t>
            </w:r>
            <w:r w:rsidRPr="00E1586C">
              <w:rPr>
                <w:rFonts w:cstheme="majorHAnsi"/>
                <w:color w:val="000000"/>
                <w:sz w:val="18"/>
                <w:szCs w:val="18"/>
                <w:shd w:val="clear" w:color="auto" w:fill="FFFFFF"/>
              </w:rPr>
              <w:br/>
              <w:t>Females: 75.0 %</w:t>
            </w:r>
            <w:r w:rsidRPr="00E1586C">
              <w:rPr>
                <w:rFonts w:cstheme="majorHAnsi"/>
                <w:color w:val="000000"/>
                <w:sz w:val="18"/>
                <w:szCs w:val="18"/>
                <w:shd w:val="clear" w:color="auto" w:fill="FFFFFF"/>
              </w:rPr>
              <w:br/>
              <w:t>Both sexes:</w:t>
            </w:r>
          </w:p>
          <w:p w14:paraId="16BBF5B9"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66.9 %</w:t>
            </w:r>
          </w:p>
        </w:tc>
        <w:tc>
          <w:tcPr>
            <w:tcW w:w="2088" w:type="dxa"/>
            <w:shd w:val="clear" w:color="auto" w:fill="auto"/>
          </w:tcPr>
          <w:p w14:paraId="43CE7E64" w14:textId="77777777" w:rsidR="000B54BD" w:rsidRPr="00E1586C" w:rsidRDefault="000B54BD" w:rsidP="00E97A3B">
            <w:pPr>
              <w:rPr>
                <w:rFonts w:cstheme="majorHAnsi"/>
                <w:sz w:val="18"/>
                <w:szCs w:val="18"/>
              </w:rPr>
            </w:pPr>
            <w:r w:rsidRPr="00E1586C">
              <w:rPr>
                <w:rFonts w:cstheme="majorHAnsi"/>
                <w:sz w:val="18"/>
                <w:szCs w:val="18"/>
              </w:rPr>
              <w:t>-</w:t>
            </w:r>
          </w:p>
        </w:tc>
        <w:tc>
          <w:tcPr>
            <w:tcW w:w="2268" w:type="dxa"/>
            <w:shd w:val="clear" w:color="auto" w:fill="auto"/>
          </w:tcPr>
          <w:p w14:paraId="63D3A768" w14:textId="77777777" w:rsidR="000B54BD" w:rsidRPr="00E1586C" w:rsidRDefault="000B54BD" w:rsidP="00E97A3B">
            <w:pPr>
              <w:rPr>
                <w:rFonts w:cstheme="majorHAnsi"/>
                <w:sz w:val="18"/>
                <w:szCs w:val="18"/>
              </w:rPr>
            </w:pPr>
            <w:r w:rsidRPr="00E1586C">
              <w:rPr>
                <w:rFonts w:cstheme="majorHAnsi"/>
                <w:sz w:val="18"/>
                <w:szCs w:val="18"/>
              </w:rPr>
              <w:t>Data collection completed for 2016 STEPS survey. Report is due for publication in early 2019.</w:t>
            </w:r>
          </w:p>
        </w:tc>
        <w:tc>
          <w:tcPr>
            <w:tcW w:w="2727" w:type="dxa"/>
            <w:shd w:val="clear" w:color="auto" w:fill="auto"/>
          </w:tcPr>
          <w:p w14:paraId="49CA1BE5" w14:textId="77777777" w:rsidR="000B54BD" w:rsidRPr="00E1586C" w:rsidRDefault="000B54BD" w:rsidP="00E97A3B">
            <w:pPr>
              <w:rPr>
                <w:rFonts w:cstheme="majorHAnsi"/>
                <w:sz w:val="18"/>
                <w:szCs w:val="18"/>
              </w:rPr>
            </w:pPr>
            <w:r w:rsidRPr="00E1586C">
              <w:rPr>
                <w:rFonts w:cstheme="majorHAnsi"/>
                <w:sz w:val="18"/>
                <w:szCs w:val="18"/>
              </w:rPr>
              <w:t>-</w:t>
            </w:r>
          </w:p>
        </w:tc>
      </w:tr>
      <w:tr w:rsidR="000B54BD" w:rsidRPr="00E1586C" w14:paraId="67B5D788" w14:textId="77777777" w:rsidTr="00E97A3B">
        <w:trPr>
          <w:trHeight w:val="306"/>
        </w:trPr>
        <w:tc>
          <w:tcPr>
            <w:tcW w:w="487" w:type="dxa"/>
          </w:tcPr>
          <w:p w14:paraId="4578DEDB" w14:textId="77777777" w:rsidR="000B54BD" w:rsidRPr="00E1586C" w:rsidRDefault="000B54BD" w:rsidP="00E97A3B">
            <w:pPr>
              <w:rPr>
                <w:rFonts w:cstheme="majorHAnsi"/>
                <w:sz w:val="18"/>
                <w:szCs w:val="18"/>
              </w:rPr>
            </w:pPr>
            <w:r w:rsidRPr="00E1586C">
              <w:rPr>
                <w:rFonts w:cstheme="majorHAnsi"/>
                <w:sz w:val="18"/>
                <w:szCs w:val="18"/>
              </w:rPr>
              <w:t>2.3</w:t>
            </w:r>
          </w:p>
        </w:tc>
        <w:tc>
          <w:tcPr>
            <w:tcW w:w="1418" w:type="dxa"/>
          </w:tcPr>
          <w:p w14:paraId="490A4C27"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OUTCOME:</w:t>
            </w:r>
            <w:r w:rsidRPr="00E1586C">
              <w:rPr>
                <w:rFonts w:cstheme="majorHAnsi"/>
                <w:color w:val="000000"/>
                <w:sz w:val="18"/>
                <w:szCs w:val="18"/>
                <w:shd w:val="clear" w:color="auto" w:fill="FFFFFF"/>
              </w:rPr>
              <w:t xml:space="preserve"> Prevalence of overweight and obesity in adolescents, %</w:t>
            </w:r>
          </w:p>
        </w:tc>
        <w:tc>
          <w:tcPr>
            <w:tcW w:w="1492" w:type="dxa"/>
          </w:tcPr>
          <w:p w14:paraId="2B1850C8" w14:textId="77777777" w:rsidR="000B54BD"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This indicator captures NCD risk in adolescents. Adolescents refers to population aged 13-17 years. A person is overweight if their BMI is ≥ 25 Kg/m</w:t>
            </w:r>
            <w:r w:rsidRPr="00E1586C">
              <w:rPr>
                <w:rFonts w:cstheme="majorHAnsi"/>
                <w:color w:val="000000"/>
                <w:sz w:val="18"/>
                <w:szCs w:val="18"/>
                <w:shd w:val="clear" w:color="auto" w:fill="FFFFFF"/>
                <w:vertAlign w:val="superscript"/>
              </w:rPr>
              <w:t>2</w:t>
            </w:r>
            <w:r w:rsidRPr="00E1586C">
              <w:rPr>
                <w:rFonts w:cstheme="majorHAnsi"/>
                <w:color w:val="000000"/>
                <w:sz w:val="18"/>
                <w:szCs w:val="18"/>
                <w:shd w:val="clear" w:color="auto" w:fill="FFFFFF"/>
              </w:rPr>
              <w:t xml:space="preserve"> or obese their BMI is ≥ 30 Kg/m)  </w:t>
            </w:r>
            <w:r w:rsidRPr="00E1586C">
              <w:rPr>
                <w:rFonts w:cstheme="majorHAnsi"/>
                <w:color w:val="000000"/>
                <w:sz w:val="18"/>
                <w:szCs w:val="18"/>
              </w:rPr>
              <w:br/>
            </w:r>
          </w:p>
          <w:p w14:paraId="5EDFCF9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Numerator: </w:t>
            </w:r>
            <w:r w:rsidRPr="00E1586C">
              <w:rPr>
                <w:rFonts w:cstheme="majorHAnsi"/>
                <w:sz w:val="18"/>
                <w:szCs w:val="18"/>
              </w:rPr>
              <w:t xml:space="preserve">Number of adolescents whose BMI is ≥ 25 Kg/m2 (for prevalence of adolescents who are overweight). Number of adolescents aged </w:t>
            </w:r>
            <w:r w:rsidRPr="00E1586C">
              <w:rPr>
                <w:rFonts w:cstheme="majorHAnsi"/>
                <w:sz w:val="18"/>
                <w:szCs w:val="18"/>
              </w:rPr>
              <w:lastRenderedPageBreak/>
              <w:t>13-17 whose BMI is ≥ 30 Kg/m2 (for prevalence of adolescents who are obese</w:t>
            </w:r>
            <w:r w:rsidRPr="00E1586C">
              <w:rPr>
                <w:rFonts w:cstheme="majorHAnsi"/>
                <w:color w:val="000000"/>
                <w:sz w:val="18"/>
                <w:szCs w:val="18"/>
                <w:shd w:val="clear" w:color="auto" w:fill="FFFFFF"/>
              </w:rPr>
              <w:t xml:space="preserve"> </w:t>
            </w:r>
          </w:p>
          <w:p w14:paraId="4B2C9466" w14:textId="77777777" w:rsidR="000B54BD" w:rsidRPr="00E1586C" w:rsidRDefault="000B54BD" w:rsidP="00E97A3B">
            <w:pPr>
              <w:pStyle w:val="CommentText"/>
              <w:spacing w:after="120"/>
              <w:rPr>
                <w:rFonts w:asciiTheme="majorHAnsi" w:hAnsiTheme="majorHAnsi" w:cstheme="majorHAnsi"/>
                <w:sz w:val="18"/>
                <w:szCs w:val="18"/>
                <w:shd w:val="clear" w:color="auto" w:fill="FFFFFF"/>
              </w:rPr>
            </w:pPr>
            <w:r w:rsidRPr="00E1586C">
              <w:rPr>
                <w:rFonts w:asciiTheme="majorHAnsi" w:hAnsiTheme="majorHAnsi" w:cstheme="majorHAnsi"/>
                <w:color w:val="000000"/>
                <w:sz w:val="18"/>
                <w:szCs w:val="18"/>
                <w:shd w:val="clear" w:color="auto" w:fill="FFFFFF"/>
              </w:rPr>
              <w:t>Denominator:</w:t>
            </w:r>
            <w:r w:rsidRPr="00E1586C">
              <w:rPr>
                <w:rFonts w:asciiTheme="majorHAnsi" w:hAnsiTheme="majorHAnsi" w:cstheme="majorHAnsi"/>
                <w:sz w:val="18"/>
                <w:szCs w:val="18"/>
              </w:rPr>
              <w:t xml:space="preserve"> Total number of adolescents aged 13-17</w:t>
            </w:r>
          </w:p>
        </w:tc>
        <w:tc>
          <w:tcPr>
            <w:tcW w:w="1178" w:type="dxa"/>
            <w:shd w:val="clear" w:color="auto" w:fill="auto"/>
          </w:tcPr>
          <w:p w14:paraId="0845E925"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Halt the increase</w:t>
            </w:r>
          </w:p>
        </w:tc>
        <w:tc>
          <w:tcPr>
            <w:tcW w:w="1283" w:type="dxa"/>
            <w:shd w:val="clear" w:color="auto" w:fill="auto"/>
          </w:tcPr>
          <w:p w14:paraId="7D0DECFB"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GSHS 2016 and 2020</w:t>
            </w:r>
          </w:p>
          <w:p w14:paraId="1A495066" w14:textId="77777777" w:rsidR="000B54BD" w:rsidRPr="00E1586C" w:rsidRDefault="000B54BD" w:rsidP="00E97A3B">
            <w:pPr>
              <w:rPr>
                <w:rFonts w:eastAsia="Times New Roman" w:cstheme="majorHAnsi"/>
                <w:sz w:val="18"/>
                <w:szCs w:val="18"/>
                <w:lang w:eastAsia="en-AU"/>
              </w:rPr>
            </w:pPr>
          </w:p>
          <w:p w14:paraId="099E0C3C" w14:textId="77777777" w:rsidR="000B54BD" w:rsidRPr="00E1586C" w:rsidRDefault="000B54BD" w:rsidP="00E97A3B">
            <w:pPr>
              <w:rPr>
                <w:rFonts w:eastAsia="Times New Roman" w:cstheme="majorHAnsi"/>
                <w:sz w:val="18"/>
                <w:szCs w:val="18"/>
                <w:lang w:eastAsia="en-AU"/>
              </w:rPr>
            </w:pPr>
          </w:p>
          <w:p w14:paraId="0F480F99" w14:textId="77777777" w:rsidR="000B54BD" w:rsidRPr="00E1586C" w:rsidRDefault="000B54BD" w:rsidP="00E97A3B">
            <w:pPr>
              <w:rPr>
                <w:rFonts w:cstheme="majorHAnsi"/>
                <w:i/>
                <w:sz w:val="18"/>
                <w:szCs w:val="18"/>
              </w:rPr>
            </w:pPr>
            <w:r w:rsidRPr="00E1586C">
              <w:rPr>
                <w:rFonts w:cstheme="majorHAnsi"/>
                <w:i/>
                <w:sz w:val="18"/>
                <w:szCs w:val="18"/>
              </w:rPr>
              <w:t>Note:  The GSHS measures adolescent BMI as (overweight: &gt;1SD from median for BMI by age and sex, Obese &gt;2SD). Numerator and denominator need to reflect the use of a GSHS sample as opposed to full population statistics.</w:t>
            </w:r>
            <w:r w:rsidRPr="00E1586C">
              <w:rPr>
                <w:rFonts w:cstheme="majorHAnsi"/>
                <w:i/>
                <w:sz w:val="18"/>
                <w:szCs w:val="18"/>
              </w:rPr>
              <w:br/>
            </w:r>
          </w:p>
          <w:p w14:paraId="5A8B2417" w14:textId="77777777" w:rsidR="000B54BD" w:rsidRPr="00E1586C" w:rsidRDefault="000B54BD" w:rsidP="00E97A3B">
            <w:pPr>
              <w:rPr>
                <w:rFonts w:cstheme="majorHAnsi"/>
                <w:color w:val="000000"/>
                <w:sz w:val="18"/>
                <w:szCs w:val="18"/>
                <w:shd w:val="clear" w:color="auto" w:fill="FFFFFF"/>
              </w:rPr>
            </w:pPr>
          </w:p>
        </w:tc>
        <w:tc>
          <w:tcPr>
            <w:tcW w:w="1234" w:type="dxa"/>
          </w:tcPr>
          <w:p w14:paraId="26F47972"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lastRenderedPageBreak/>
              <w:t>13 – 17</w:t>
            </w:r>
          </w:p>
          <w:p w14:paraId="0BE3E442"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 xml:space="preserve">Males: </w:t>
            </w:r>
            <w:r w:rsidRPr="00E1586C">
              <w:rPr>
                <w:rFonts w:eastAsia="Times New Roman" w:cstheme="majorHAnsi"/>
                <w:sz w:val="18"/>
                <w:szCs w:val="18"/>
                <w:lang w:eastAsia="en-AU"/>
              </w:rPr>
              <w:br/>
              <w:t>Data from GSHS 2016</w:t>
            </w:r>
          </w:p>
          <w:p w14:paraId="40B86349"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Females:</w:t>
            </w:r>
            <w:r w:rsidRPr="00E1586C">
              <w:rPr>
                <w:rFonts w:eastAsia="Times New Roman" w:cstheme="majorHAnsi"/>
                <w:sz w:val="18"/>
                <w:szCs w:val="18"/>
                <w:lang w:eastAsia="en-AU"/>
              </w:rPr>
              <w:br/>
              <w:t>Data from GSHS 2016</w:t>
            </w:r>
          </w:p>
          <w:p w14:paraId="7CC5C0E8"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Both sexes:</w:t>
            </w:r>
            <w:r w:rsidRPr="00E1586C">
              <w:rPr>
                <w:rFonts w:eastAsia="Times New Roman" w:cstheme="majorHAnsi"/>
                <w:sz w:val="18"/>
                <w:szCs w:val="18"/>
                <w:lang w:eastAsia="en-AU"/>
              </w:rPr>
              <w:br/>
              <w:t>Data from GSHS 2016</w:t>
            </w:r>
          </w:p>
          <w:p w14:paraId="498678DF" w14:textId="77777777" w:rsidR="000B54BD" w:rsidRPr="00E1586C" w:rsidRDefault="000B54BD" w:rsidP="00E97A3B">
            <w:pPr>
              <w:rPr>
                <w:rFonts w:cstheme="majorHAnsi"/>
                <w:color w:val="000000"/>
                <w:sz w:val="18"/>
                <w:szCs w:val="18"/>
                <w:shd w:val="clear" w:color="auto" w:fill="FFFFFF"/>
              </w:rPr>
            </w:pPr>
          </w:p>
        </w:tc>
        <w:tc>
          <w:tcPr>
            <w:tcW w:w="2088" w:type="dxa"/>
            <w:shd w:val="clear" w:color="auto" w:fill="auto"/>
          </w:tcPr>
          <w:p w14:paraId="46D7CEC4" w14:textId="77777777" w:rsidR="000B54BD" w:rsidRPr="00E1586C" w:rsidRDefault="000B54BD" w:rsidP="00E97A3B">
            <w:pPr>
              <w:rPr>
                <w:rFonts w:cstheme="majorHAnsi"/>
                <w:sz w:val="18"/>
                <w:szCs w:val="18"/>
              </w:rPr>
            </w:pPr>
            <w:r w:rsidRPr="00E1586C">
              <w:rPr>
                <w:rFonts w:cstheme="majorHAnsi"/>
                <w:sz w:val="18"/>
                <w:szCs w:val="18"/>
              </w:rPr>
              <w:t>-</w:t>
            </w:r>
          </w:p>
        </w:tc>
        <w:tc>
          <w:tcPr>
            <w:tcW w:w="2268" w:type="dxa"/>
            <w:shd w:val="clear" w:color="auto" w:fill="FF9999"/>
          </w:tcPr>
          <w:p w14:paraId="6024012E" w14:textId="77777777" w:rsidR="000B54BD" w:rsidRPr="00E1586C" w:rsidRDefault="000B54BD" w:rsidP="00E97A3B">
            <w:pPr>
              <w:rPr>
                <w:rFonts w:cstheme="majorHAnsi"/>
                <w:sz w:val="18"/>
                <w:szCs w:val="18"/>
              </w:rPr>
            </w:pPr>
            <w:r w:rsidRPr="00E1586C">
              <w:rPr>
                <w:rFonts w:cstheme="majorHAnsi"/>
                <w:sz w:val="18"/>
                <w:szCs w:val="18"/>
              </w:rPr>
              <w:t>Data collection completed for 2016 GSHS.</w:t>
            </w:r>
          </w:p>
        </w:tc>
        <w:tc>
          <w:tcPr>
            <w:tcW w:w="2727" w:type="dxa"/>
            <w:shd w:val="clear" w:color="auto" w:fill="FF9999"/>
          </w:tcPr>
          <w:p w14:paraId="604E2297" w14:textId="77777777" w:rsidR="000B54BD" w:rsidRPr="00E1586C" w:rsidRDefault="000B54BD" w:rsidP="00E97A3B">
            <w:pPr>
              <w:rPr>
                <w:rFonts w:cstheme="majorHAnsi"/>
                <w:sz w:val="18"/>
                <w:szCs w:val="18"/>
              </w:rPr>
            </w:pPr>
            <w:r w:rsidRPr="00E1586C">
              <w:rPr>
                <w:rFonts w:cstheme="majorHAnsi"/>
                <w:sz w:val="18"/>
                <w:szCs w:val="18"/>
              </w:rPr>
              <w:t>Adolescents, GSHS 2017</w:t>
            </w:r>
          </w:p>
          <w:p w14:paraId="3091F5BD" w14:textId="77777777" w:rsidR="000B54BD" w:rsidRPr="00E1586C" w:rsidRDefault="000B54BD" w:rsidP="00E97A3B">
            <w:pPr>
              <w:rPr>
                <w:rFonts w:cstheme="majorHAnsi"/>
                <w:sz w:val="18"/>
                <w:szCs w:val="18"/>
              </w:rPr>
            </w:pPr>
            <w:r w:rsidRPr="00E1586C">
              <w:rPr>
                <w:rFonts w:cstheme="majorHAnsi"/>
                <w:sz w:val="18"/>
                <w:szCs w:val="18"/>
              </w:rPr>
              <w:t>All adolescents (13-17 years), OVERWEIGHT (OBESE)</w:t>
            </w:r>
          </w:p>
          <w:p w14:paraId="6A8D294D" w14:textId="77777777" w:rsidR="000B54BD" w:rsidRPr="00E1586C" w:rsidRDefault="000B54BD" w:rsidP="00E97A3B">
            <w:pPr>
              <w:rPr>
                <w:rFonts w:cstheme="majorHAnsi"/>
                <w:sz w:val="18"/>
                <w:szCs w:val="18"/>
              </w:rPr>
            </w:pPr>
            <w:r w:rsidRPr="00E1586C">
              <w:rPr>
                <w:rFonts w:cstheme="majorHAnsi"/>
                <w:sz w:val="18"/>
                <w:szCs w:val="18"/>
              </w:rPr>
              <w:t>Male: 48.2% (21.4%)</w:t>
            </w:r>
          </w:p>
          <w:p w14:paraId="4476606A" w14:textId="77777777" w:rsidR="000B54BD" w:rsidRPr="00E1586C" w:rsidRDefault="000B54BD" w:rsidP="00E97A3B">
            <w:pPr>
              <w:rPr>
                <w:rFonts w:cstheme="majorHAnsi"/>
                <w:sz w:val="18"/>
                <w:szCs w:val="18"/>
              </w:rPr>
            </w:pPr>
            <w:r w:rsidRPr="00E1586C">
              <w:rPr>
                <w:rFonts w:cstheme="majorHAnsi"/>
                <w:sz w:val="18"/>
                <w:szCs w:val="18"/>
              </w:rPr>
              <w:t>Female: 63.3% (27.9%)</w:t>
            </w:r>
          </w:p>
          <w:p w14:paraId="0C5D9C80" w14:textId="77777777" w:rsidR="000B54BD" w:rsidRPr="00E1586C" w:rsidRDefault="000B54BD" w:rsidP="00E97A3B">
            <w:pPr>
              <w:rPr>
                <w:rFonts w:cstheme="majorHAnsi"/>
                <w:sz w:val="18"/>
                <w:szCs w:val="18"/>
              </w:rPr>
            </w:pPr>
            <w:r w:rsidRPr="00E1586C">
              <w:rPr>
                <w:rFonts w:cstheme="majorHAnsi"/>
                <w:sz w:val="18"/>
                <w:szCs w:val="18"/>
              </w:rPr>
              <w:t>All: 55.7% (24.6%)</w:t>
            </w:r>
          </w:p>
          <w:p w14:paraId="7E4993BE" w14:textId="77777777" w:rsidR="000B54BD" w:rsidRPr="00E1586C" w:rsidRDefault="000B54BD" w:rsidP="00E97A3B">
            <w:pPr>
              <w:rPr>
                <w:rFonts w:cstheme="majorHAnsi"/>
                <w:sz w:val="18"/>
                <w:szCs w:val="18"/>
              </w:rPr>
            </w:pPr>
            <w:r w:rsidRPr="00E1586C">
              <w:rPr>
                <w:rFonts w:cstheme="majorHAnsi"/>
                <w:b/>
                <w:sz w:val="18"/>
                <w:szCs w:val="18"/>
              </w:rPr>
              <w:t>Rating:</w:t>
            </w:r>
            <w:r w:rsidRPr="00E1586C">
              <w:rPr>
                <w:rFonts w:cstheme="majorHAnsi"/>
                <w:sz w:val="18"/>
                <w:szCs w:val="18"/>
              </w:rPr>
              <w:t xml:space="preserve"> This is a high level of overweight and obesity, and an increase in obesity for 13-15 year olds since 2010. No direct programmes to reduce adolescent obesity, coupled with lower physical activity rates compared to 2010, mean figures are unlikely to decline.</w:t>
            </w:r>
          </w:p>
        </w:tc>
      </w:tr>
      <w:tr w:rsidR="000B54BD" w:rsidRPr="00E1586C" w14:paraId="77201C9E" w14:textId="77777777" w:rsidTr="00E97A3B">
        <w:trPr>
          <w:trHeight w:val="306"/>
        </w:trPr>
        <w:tc>
          <w:tcPr>
            <w:tcW w:w="487" w:type="dxa"/>
          </w:tcPr>
          <w:p w14:paraId="461A71D2" w14:textId="77777777" w:rsidR="000B54BD" w:rsidRPr="00E1586C" w:rsidRDefault="000B54BD" w:rsidP="00E97A3B">
            <w:pPr>
              <w:rPr>
                <w:rFonts w:cstheme="majorHAnsi"/>
                <w:sz w:val="18"/>
                <w:szCs w:val="18"/>
              </w:rPr>
            </w:pPr>
            <w:r w:rsidRPr="00E1586C">
              <w:rPr>
                <w:rFonts w:eastAsia="Times New Roman" w:cstheme="majorHAnsi"/>
                <w:sz w:val="18"/>
                <w:szCs w:val="18"/>
                <w:lang w:eastAsia="en-AU"/>
              </w:rPr>
              <w:t>2.4</w:t>
            </w:r>
          </w:p>
        </w:tc>
        <w:tc>
          <w:tcPr>
            <w:tcW w:w="1418" w:type="dxa"/>
          </w:tcPr>
          <w:p w14:paraId="7F8D50F7" w14:textId="77777777" w:rsidR="000B54BD" w:rsidRPr="00E1586C" w:rsidRDefault="000B54BD" w:rsidP="00E97A3B">
            <w:pPr>
              <w:rPr>
                <w:rFonts w:cstheme="majorHAnsi"/>
                <w:b/>
                <w:color w:val="000000"/>
                <w:sz w:val="18"/>
                <w:szCs w:val="18"/>
                <w:shd w:val="clear" w:color="auto" w:fill="FFFFFF"/>
              </w:rPr>
            </w:pPr>
            <w:r w:rsidRPr="00E1586C">
              <w:rPr>
                <w:rFonts w:eastAsia="Times New Roman" w:cstheme="majorHAnsi"/>
                <w:b/>
                <w:sz w:val="18"/>
                <w:szCs w:val="18"/>
                <w:lang w:eastAsia="en-AU"/>
              </w:rPr>
              <w:t>OUTCOME:</w:t>
            </w:r>
            <w:r w:rsidRPr="00E1586C">
              <w:rPr>
                <w:rFonts w:eastAsia="Times New Roman" w:cstheme="majorHAnsi"/>
                <w:sz w:val="18"/>
                <w:szCs w:val="18"/>
                <w:lang w:eastAsia="en-AU"/>
              </w:rPr>
              <w:t xml:space="preserve"> Prevalence of current tobacco use among adults and adolescents </w:t>
            </w:r>
          </w:p>
        </w:tc>
        <w:tc>
          <w:tcPr>
            <w:tcW w:w="1492" w:type="dxa"/>
          </w:tcPr>
          <w:p w14:paraId="6B67FF1A"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Tobacco use defined as those who currently smoke</w:t>
            </w:r>
          </w:p>
          <w:p w14:paraId="0FB26D87" w14:textId="77777777" w:rsidR="000B54BD" w:rsidRPr="00E1586C" w:rsidRDefault="000B54BD" w:rsidP="00E97A3B">
            <w:pPr>
              <w:rPr>
                <w:rFonts w:eastAsia="Times New Roman" w:cstheme="majorHAnsi"/>
                <w:sz w:val="18"/>
                <w:szCs w:val="18"/>
                <w:lang w:eastAsia="en-AU"/>
              </w:rPr>
            </w:pPr>
          </w:p>
          <w:p w14:paraId="4B2088DE"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Numerator: Number of people currently smoke</w:t>
            </w:r>
          </w:p>
          <w:p w14:paraId="3A2F88A9" w14:textId="77777777" w:rsidR="000B54BD" w:rsidRPr="00E1586C" w:rsidRDefault="000B54BD" w:rsidP="00E97A3B">
            <w:pPr>
              <w:rPr>
                <w:rFonts w:eastAsia="Times New Roman" w:cstheme="majorHAnsi"/>
                <w:sz w:val="18"/>
                <w:szCs w:val="18"/>
                <w:lang w:eastAsia="en-AU"/>
              </w:rPr>
            </w:pPr>
          </w:p>
          <w:p w14:paraId="4C9A9755" w14:textId="77777777" w:rsidR="000B54BD" w:rsidRPr="00E1586C" w:rsidRDefault="000B54BD" w:rsidP="00E97A3B">
            <w:pPr>
              <w:rPr>
                <w:rFonts w:cstheme="majorHAnsi"/>
                <w:color w:val="000000"/>
                <w:sz w:val="18"/>
                <w:szCs w:val="18"/>
                <w:shd w:val="clear" w:color="auto" w:fill="FFFFFF"/>
              </w:rPr>
            </w:pPr>
            <w:r w:rsidRPr="00E1586C">
              <w:rPr>
                <w:rFonts w:eastAsia="Times New Roman" w:cstheme="majorHAnsi"/>
                <w:sz w:val="18"/>
                <w:szCs w:val="18"/>
                <w:lang w:eastAsia="en-AU"/>
              </w:rPr>
              <w:t>Denominator: Total number of people (for the defined age group)</w:t>
            </w:r>
          </w:p>
        </w:tc>
        <w:tc>
          <w:tcPr>
            <w:tcW w:w="1178" w:type="dxa"/>
            <w:shd w:val="clear" w:color="auto" w:fill="auto"/>
          </w:tcPr>
          <w:p w14:paraId="61AC6CD9" w14:textId="77777777" w:rsidR="000B54BD" w:rsidRPr="00E1586C" w:rsidRDefault="000B54BD" w:rsidP="00E97A3B">
            <w:pPr>
              <w:rPr>
                <w:rFonts w:eastAsia="Times New Roman" w:cstheme="majorHAnsi"/>
                <w:sz w:val="18"/>
                <w:szCs w:val="18"/>
                <w:lang w:eastAsia="en-AU"/>
              </w:rPr>
            </w:pPr>
            <w:r w:rsidRPr="00E1586C">
              <w:rPr>
                <w:rFonts w:cstheme="majorHAnsi"/>
                <w:color w:val="000000"/>
                <w:sz w:val="18"/>
                <w:szCs w:val="18"/>
                <w:shd w:val="clear" w:color="auto" w:fill="FFFFFF"/>
              </w:rPr>
              <w:t>Halt the increase</w:t>
            </w:r>
          </w:p>
        </w:tc>
        <w:tc>
          <w:tcPr>
            <w:tcW w:w="1283" w:type="dxa"/>
            <w:shd w:val="clear" w:color="auto" w:fill="auto"/>
          </w:tcPr>
          <w:p w14:paraId="2ED899EC"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STEPS 2014, 2016 and 2020</w:t>
            </w:r>
          </w:p>
          <w:p w14:paraId="4695CB73"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GSHS 2016 and 2020</w:t>
            </w:r>
          </w:p>
          <w:p w14:paraId="7BAAD703" w14:textId="77777777" w:rsidR="000B54BD" w:rsidRPr="00E1586C" w:rsidRDefault="000B54BD" w:rsidP="00E97A3B">
            <w:pPr>
              <w:rPr>
                <w:rFonts w:eastAsia="Times New Roman" w:cstheme="majorHAnsi"/>
                <w:sz w:val="18"/>
                <w:szCs w:val="18"/>
                <w:lang w:eastAsia="en-AU"/>
              </w:rPr>
            </w:pPr>
          </w:p>
        </w:tc>
        <w:tc>
          <w:tcPr>
            <w:tcW w:w="1234" w:type="dxa"/>
            <w:shd w:val="clear" w:color="auto" w:fill="FFFFFF" w:themeFill="background1"/>
          </w:tcPr>
          <w:p w14:paraId="64077EEE"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 xml:space="preserve">13 – 17 </w:t>
            </w:r>
            <w:r w:rsidRPr="00E1586C">
              <w:rPr>
                <w:rFonts w:eastAsia="Times New Roman" w:cstheme="majorHAnsi"/>
                <w:sz w:val="18"/>
                <w:szCs w:val="18"/>
                <w:lang w:eastAsia="en-AU"/>
              </w:rPr>
              <w:br/>
              <w:t>Males: Data from GSHS 2016</w:t>
            </w:r>
          </w:p>
          <w:p w14:paraId="0E9D5F95"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Females: Data from GSHS 2016</w:t>
            </w:r>
          </w:p>
          <w:p w14:paraId="466898EA"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Both sexes: Data from GSHS 2016</w:t>
            </w:r>
          </w:p>
          <w:p w14:paraId="35BF3548" w14:textId="77777777" w:rsidR="000B54BD" w:rsidRPr="00E1586C" w:rsidRDefault="000B54BD" w:rsidP="00E97A3B">
            <w:pPr>
              <w:rPr>
                <w:rFonts w:eastAsia="Times New Roman" w:cstheme="majorHAnsi"/>
                <w:sz w:val="18"/>
                <w:szCs w:val="18"/>
                <w:lang w:eastAsia="en-AU"/>
              </w:rPr>
            </w:pPr>
          </w:p>
          <w:p w14:paraId="036BD0B2"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 xml:space="preserve">18 – 24 </w:t>
            </w:r>
            <w:r w:rsidRPr="00E1586C">
              <w:rPr>
                <w:rFonts w:eastAsia="Times New Roman" w:cstheme="majorHAnsi"/>
                <w:sz w:val="18"/>
                <w:szCs w:val="18"/>
                <w:lang w:eastAsia="en-AU"/>
              </w:rPr>
              <w:br/>
              <w:t>Males: Data from STEPS 2016</w:t>
            </w:r>
          </w:p>
          <w:p w14:paraId="5A31DF5B"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Females: Data from STEPS 2016</w:t>
            </w:r>
          </w:p>
          <w:p w14:paraId="465283B8"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Both sexes: Data from STEPS 2016</w:t>
            </w:r>
          </w:p>
          <w:p w14:paraId="669405A1" w14:textId="77777777" w:rsidR="000B54BD" w:rsidRPr="00E1586C" w:rsidRDefault="000B54BD" w:rsidP="00E97A3B">
            <w:pPr>
              <w:rPr>
                <w:rFonts w:eastAsia="Times New Roman" w:cstheme="majorHAnsi"/>
                <w:sz w:val="18"/>
                <w:szCs w:val="18"/>
                <w:lang w:eastAsia="en-AU"/>
              </w:rPr>
            </w:pPr>
          </w:p>
          <w:p w14:paraId="57A8DEE2"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25-44</w:t>
            </w:r>
          </w:p>
          <w:p w14:paraId="047B6570"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Males: 40.9%</w:t>
            </w:r>
          </w:p>
          <w:p w14:paraId="0CEF2B4B"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Females:</w:t>
            </w:r>
          </w:p>
          <w:p w14:paraId="4E5C992A"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14.5 %</w:t>
            </w:r>
          </w:p>
          <w:p w14:paraId="516CAD95"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Both sexes:</w:t>
            </w:r>
          </w:p>
          <w:p w14:paraId="514C185A"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lastRenderedPageBreak/>
              <w:t>27.4 %</w:t>
            </w:r>
          </w:p>
          <w:p w14:paraId="6F4F0BC2" w14:textId="77777777" w:rsidR="000B54BD" w:rsidRPr="00E1586C" w:rsidRDefault="000B54BD" w:rsidP="00E97A3B">
            <w:pPr>
              <w:rPr>
                <w:rFonts w:eastAsia="Times New Roman" w:cstheme="majorHAnsi"/>
                <w:sz w:val="18"/>
                <w:szCs w:val="18"/>
                <w:lang w:eastAsia="en-AU"/>
              </w:rPr>
            </w:pPr>
          </w:p>
          <w:p w14:paraId="4683143A"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45-64</w:t>
            </w:r>
          </w:p>
          <w:p w14:paraId="2DABCD90"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Males: 44.6%</w:t>
            </w:r>
          </w:p>
          <w:p w14:paraId="32F9D4A5"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Females:</w:t>
            </w:r>
          </w:p>
          <w:p w14:paraId="355F94C9"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8.0 %</w:t>
            </w:r>
          </w:p>
          <w:p w14:paraId="2EDBAA81"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Both sexes:</w:t>
            </w:r>
          </w:p>
          <w:p w14:paraId="3C28D547" w14:textId="77777777" w:rsidR="000B54BD" w:rsidRPr="00E1586C" w:rsidRDefault="000B54BD" w:rsidP="00E97A3B">
            <w:pPr>
              <w:rPr>
                <w:rFonts w:cstheme="majorHAnsi"/>
                <w:color w:val="000000"/>
                <w:sz w:val="18"/>
                <w:szCs w:val="18"/>
                <w:shd w:val="clear" w:color="auto" w:fill="FFFFFF"/>
              </w:rPr>
            </w:pPr>
            <w:r w:rsidRPr="00E1586C">
              <w:rPr>
                <w:rFonts w:eastAsia="Times New Roman" w:cstheme="majorHAnsi"/>
                <w:sz w:val="18"/>
                <w:szCs w:val="18"/>
                <w:lang w:eastAsia="en-AU"/>
              </w:rPr>
              <w:t>25.3 %</w:t>
            </w:r>
          </w:p>
        </w:tc>
        <w:tc>
          <w:tcPr>
            <w:tcW w:w="2088" w:type="dxa"/>
            <w:shd w:val="clear" w:color="auto" w:fill="auto"/>
          </w:tcPr>
          <w:p w14:paraId="058AEA66" w14:textId="77777777" w:rsidR="000B54BD" w:rsidRPr="00E1586C" w:rsidRDefault="000B54BD" w:rsidP="00E97A3B">
            <w:pPr>
              <w:rPr>
                <w:rFonts w:cstheme="majorHAnsi"/>
                <w:sz w:val="18"/>
                <w:szCs w:val="18"/>
              </w:rPr>
            </w:pPr>
          </w:p>
        </w:tc>
        <w:tc>
          <w:tcPr>
            <w:tcW w:w="2268" w:type="dxa"/>
            <w:shd w:val="clear" w:color="auto" w:fill="FFFF66"/>
          </w:tcPr>
          <w:p w14:paraId="3D4F0A38" w14:textId="77777777" w:rsidR="000B54BD" w:rsidRPr="00E1586C" w:rsidRDefault="000B54BD" w:rsidP="00E97A3B">
            <w:pPr>
              <w:rPr>
                <w:rFonts w:cstheme="majorHAnsi"/>
                <w:sz w:val="18"/>
                <w:szCs w:val="18"/>
              </w:rPr>
            </w:pPr>
            <w:r w:rsidRPr="00E1586C">
              <w:rPr>
                <w:rFonts w:cstheme="majorHAnsi"/>
                <w:sz w:val="18"/>
                <w:szCs w:val="18"/>
              </w:rPr>
              <w:t>Adolescents: Data collection completed for 2016 GSHS.</w:t>
            </w:r>
          </w:p>
          <w:p w14:paraId="1C47E4E8" w14:textId="77777777" w:rsidR="000B54BD" w:rsidRPr="00E1586C" w:rsidRDefault="000B54BD" w:rsidP="00E97A3B">
            <w:pPr>
              <w:rPr>
                <w:rFonts w:cstheme="majorHAnsi"/>
                <w:sz w:val="18"/>
                <w:szCs w:val="18"/>
              </w:rPr>
            </w:pPr>
            <w:r w:rsidRPr="00E1586C">
              <w:rPr>
                <w:rFonts w:cstheme="majorHAnsi"/>
                <w:sz w:val="18"/>
                <w:szCs w:val="18"/>
              </w:rPr>
              <w:t>Adults: Data collection completed for 2016 STEPS survey. Report is due for publication in early 2019.</w:t>
            </w:r>
          </w:p>
        </w:tc>
        <w:tc>
          <w:tcPr>
            <w:tcW w:w="2727" w:type="dxa"/>
            <w:shd w:val="clear" w:color="auto" w:fill="FFFF66"/>
          </w:tcPr>
          <w:p w14:paraId="0D25549A" w14:textId="77777777" w:rsidR="000B54BD" w:rsidRPr="00E1586C" w:rsidRDefault="000B54BD" w:rsidP="00E97A3B">
            <w:pPr>
              <w:rPr>
                <w:rFonts w:cstheme="majorHAnsi"/>
                <w:sz w:val="18"/>
                <w:szCs w:val="18"/>
              </w:rPr>
            </w:pPr>
            <w:r w:rsidRPr="00E1586C">
              <w:rPr>
                <w:rFonts w:cstheme="majorHAnsi"/>
                <w:sz w:val="18"/>
                <w:szCs w:val="18"/>
              </w:rPr>
              <w:t>Adolescents: GSHS 2017 % who currently used any tobacco</w:t>
            </w:r>
          </w:p>
          <w:p w14:paraId="6C2B53E3" w14:textId="77777777" w:rsidR="000B54BD" w:rsidRPr="00E1586C" w:rsidRDefault="000B54BD" w:rsidP="00E97A3B">
            <w:pPr>
              <w:rPr>
                <w:rFonts w:cstheme="majorHAnsi"/>
                <w:sz w:val="18"/>
                <w:szCs w:val="18"/>
              </w:rPr>
            </w:pPr>
            <w:r w:rsidRPr="00E1586C">
              <w:rPr>
                <w:rFonts w:cstheme="majorHAnsi"/>
                <w:sz w:val="18"/>
                <w:szCs w:val="18"/>
              </w:rPr>
              <w:t>13-15 years</w:t>
            </w:r>
          </w:p>
          <w:p w14:paraId="553E114B" w14:textId="77777777" w:rsidR="000B54BD" w:rsidRPr="00E1586C" w:rsidRDefault="000B54BD" w:rsidP="00E97A3B">
            <w:pPr>
              <w:rPr>
                <w:rFonts w:cstheme="majorHAnsi"/>
                <w:sz w:val="18"/>
                <w:szCs w:val="18"/>
              </w:rPr>
            </w:pPr>
            <w:r w:rsidRPr="00E1586C">
              <w:rPr>
                <w:rFonts w:cstheme="majorHAnsi"/>
                <w:sz w:val="18"/>
                <w:szCs w:val="18"/>
              </w:rPr>
              <w:t>Male: 28.0%</w:t>
            </w:r>
            <w:r w:rsidRPr="00E1586C">
              <w:rPr>
                <w:rFonts w:cstheme="majorHAnsi"/>
                <w:sz w:val="18"/>
                <w:szCs w:val="18"/>
              </w:rPr>
              <w:br/>
              <w:t>Female: 8.4%</w:t>
            </w:r>
            <w:r w:rsidRPr="00E1586C">
              <w:rPr>
                <w:rFonts w:cstheme="majorHAnsi"/>
                <w:sz w:val="18"/>
                <w:szCs w:val="18"/>
              </w:rPr>
              <w:br/>
              <w:t>All: 18.5%</w:t>
            </w:r>
          </w:p>
          <w:p w14:paraId="492A3E64" w14:textId="77777777" w:rsidR="000B54BD" w:rsidRPr="00E1586C" w:rsidRDefault="000B54BD" w:rsidP="00E97A3B">
            <w:pPr>
              <w:rPr>
                <w:rFonts w:cstheme="majorHAnsi"/>
                <w:sz w:val="18"/>
                <w:szCs w:val="18"/>
              </w:rPr>
            </w:pPr>
            <w:r w:rsidRPr="00E1586C">
              <w:rPr>
                <w:rFonts w:cstheme="majorHAnsi"/>
                <w:sz w:val="18"/>
                <w:szCs w:val="18"/>
              </w:rPr>
              <w:t>16-17 years</w:t>
            </w:r>
          </w:p>
          <w:p w14:paraId="74A85B7D" w14:textId="77777777" w:rsidR="000B54BD" w:rsidRPr="00E1586C" w:rsidRDefault="000B54BD" w:rsidP="00E97A3B">
            <w:pPr>
              <w:rPr>
                <w:rFonts w:cstheme="majorHAnsi"/>
                <w:sz w:val="18"/>
                <w:szCs w:val="18"/>
              </w:rPr>
            </w:pPr>
            <w:r w:rsidRPr="00E1586C">
              <w:rPr>
                <w:rFonts w:cstheme="majorHAnsi"/>
                <w:sz w:val="18"/>
                <w:szCs w:val="18"/>
              </w:rPr>
              <w:t>Male: 42.5%</w:t>
            </w:r>
            <w:r w:rsidRPr="00E1586C">
              <w:rPr>
                <w:rFonts w:cstheme="majorHAnsi"/>
                <w:sz w:val="18"/>
                <w:szCs w:val="18"/>
              </w:rPr>
              <w:br/>
              <w:t>Female: 17.0%</w:t>
            </w:r>
            <w:r w:rsidRPr="00E1586C">
              <w:rPr>
                <w:rFonts w:cstheme="majorHAnsi"/>
                <w:sz w:val="18"/>
                <w:szCs w:val="18"/>
              </w:rPr>
              <w:br/>
              <w:t>All: 29.2%</w:t>
            </w:r>
          </w:p>
          <w:p w14:paraId="79CAD074" w14:textId="77777777" w:rsidR="000B54BD" w:rsidRPr="00E1586C" w:rsidRDefault="000B54BD" w:rsidP="00E97A3B">
            <w:pPr>
              <w:rPr>
                <w:rFonts w:cstheme="majorHAnsi"/>
                <w:sz w:val="18"/>
                <w:szCs w:val="18"/>
              </w:rPr>
            </w:pPr>
            <w:r w:rsidRPr="00E1586C">
              <w:rPr>
                <w:rFonts w:cstheme="majorHAnsi"/>
                <w:sz w:val="18"/>
                <w:szCs w:val="18"/>
              </w:rPr>
              <w:t>All 13-17 year olds</w:t>
            </w:r>
          </w:p>
          <w:p w14:paraId="74ABF0B1" w14:textId="77777777" w:rsidR="000B54BD" w:rsidRPr="00E1586C" w:rsidRDefault="000B54BD" w:rsidP="00E97A3B">
            <w:pPr>
              <w:rPr>
                <w:rFonts w:cstheme="majorHAnsi"/>
                <w:sz w:val="18"/>
                <w:szCs w:val="18"/>
              </w:rPr>
            </w:pPr>
            <w:r w:rsidRPr="00E1586C">
              <w:rPr>
                <w:rFonts w:cstheme="majorHAnsi"/>
                <w:sz w:val="18"/>
                <w:szCs w:val="18"/>
              </w:rPr>
              <w:t>Male: 32.4%</w:t>
            </w:r>
            <w:r w:rsidRPr="00E1586C">
              <w:rPr>
                <w:rFonts w:cstheme="majorHAnsi"/>
                <w:sz w:val="18"/>
                <w:szCs w:val="18"/>
              </w:rPr>
              <w:br/>
              <w:t>Female: 11.2%</w:t>
            </w:r>
            <w:r w:rsidRPr="00E1586C">
              <w:rPr>
                <w:rFonts w:cstheme="majorHAnsi"/>
                <w:sz w:val="18"/>
                <w:szCs w:val="18"/>
              </w:rPr>
              <w:br/>
              <w:t>All: 21.9% results</w:t>
            </w:r>
          </w:p>
          <w:p w14:paraId="033DAE91" w14:textId="77777777" w:rsidR="000B54BD" w:rsidRPr="00E1586C" w:rsidRDefault="000B54BD" w:rsidP="00E97A3B">
            <w:pPr>
              <w:rPr>
                <w:rFonts w:cstheme="majorHAnsi"/>
                <w:sz w:val="18"/>
                <w:szCs w:val="18"/>
              </w:rPr>
            </w:pPr>
            <w:r w:rsidRPr="00E1586C">
              <w:rPr>
                <w:rFonts w:cstheme="majorHAnsi"/>
                <w:sz w:val="18"/>
                <w:szCs w:val="18"/>
              </w:rPr>
              <w:t>For the 13-15 year age group, the percentage reporting they are current smokers has shown a marked 7% reduction since 2010, particularly in female students who reported a 17% reduction. This is also true for second hand smoking with 14.3% fewer 13-15 year old students reporting people have smoked in their presence.</w:t>
            </w:r>
          </w:p>
          <w:p w14:paraId="705E9251" w14:textId="77777777" w:rsidR="000B54BD" w:rsidRPr="00E1586C" w:rsidRDefault="000B54BD" w:rsidP="00E97A3B">
            <w:pPr>
              <w:rPr>
                <w:rFonts w:cstheme="majorHAnsi"/>
                <w:sz w:val="18"/>
                <w:szCs w:val="18"/>
              </w:rPr>
            </w:pPr>
            <w:r w:rsidRPr="00E1586C">
              <w:rPr>
                <w:rFonts w:cstheme="majorHAnsi"/>
                <w:sz w:val="18"/>
                <w:szCs w:val="18"/>
              </w:rPr>
              <w:t xml:space="preserve">Adults: awaiting STEPS survey though feedback </w:t>
            </w:r>
            <w:r w:rsidR="00DA2CF2">
              <w:rPr>
                <w:rFonts w:cstheme="majorHAnsi"/>
                <w:sz w:val="18"/>
                <w:szCs w:val="18"/>
              </w:rPr>
              <w:t xml:space="preserve">from </w:t>
            </w:r>
            <w:r w:rsidR="00DA2CF2">
              <w:rPr>
                <w:rFonts w:cstheme="majorHAnsi"/>
                <w:sz w:val="18"/>
                <w:szCs w:val="18"/>
              </w:rPr>
              <w:lastRenderedPageBreak/>
              <w:t xml:space="preserve">TongaHealth officers and NNCDC members </w:t>
            </w:r>
            <w:r w:rsidRPr="00E1586C">
              <w:rPr>
                <w:rFonts w:cstheme="majorHAnsi"/>
                <w:sz w:val="18"/>
                <w:szCs w:val="18"/>
              </w:rPr>
              <w:t>suggests slight improvements. This is supported by evaluation of the anti-tobacco campaign which identified a 3.5% reduction in smoking</w:t>
            </w:r>
          </w:p>
        </w:tc>
      </w:tr>
      <w:tr w:rsidR="000B54BD" w:rsidRPr="00E1586C" w14:paraId="03D9E10E" w14:textId="77777777" w:rsidTr="00E97A3B">
        <w:trPr>
          <w:trHeight w:val="306"/>
        </w:trPr>
        <w:tc>
          <w:tcPr>
            <w:tcW w:w="487" w:type="dxa"/>
          </w:tcPr>
          <w:p w14:paraId="25F6DF99" w14:textId="77777777" w:rsidR="000B54BD" w:rsidRPr="00E1586C" w:rsidRDefault="000B54BD" w:rsidP="00E97A3B">
            <w:pPr>
              <w:rPr>
                <w:rFonts w:cstheme="majorHAnsi"/>
                <w:sz w:val="18"/>
                <w:szCs w:val="18"/>
              </w:rPr>
            </w:pPr>
            <w:r w:rsidRPr="00E1586C">
              <w:rPr>
                <w:rFonts w:eastAsia="Times New Roman" w:cstheme="majorHAnsi"/>
                <w:sz w:val="18"/>
                <w:szCs w:val="18"/>
                <w:lang w:eastAsia="en-AU"/>
              </w:rPr>
              <w:lastRenderedPageBreak/>
              <w:t>2.5</w:t>
            </w:r>
          </w:p>
        </w:tc>
        <w:tc>
          <w:tcPr>
            <w:tcW w:w="1418" w:type="dxa"/>
          </w:tcPr>
          <w:p w14:paraId="0AECB059" w14:textId="77777777" w:rsidR="000B54BD" w:rsidRPr="00E1586C" w:rsidRDefault="000B54BD" w:rsidP="00E97A3B">
            <w:pPr>
              <w:rPr>
                <w:rFonts w:eastAsia="Times New Roman" w:cstheme="majorHAnsi"/>
                <w:b/>
                <w:sz w:val="18"/>
                <w:szCs w:val="18"/>
                <w:lang w:eastAsia="en-AU"/>
              </w:rPr>
            </w:pPr>
            <w:r w:rsidRPr="00E1586C">
              <w:rPr>
                <w:rFonts w:cstheme="majorHAnsi"/>
                <w:b/>
                <w:color w:val="000000"/>
                <w:sz w:val="18"/>
                <w:szCs w:val="18"/>
                <w:shd w:val="clear" w:color="auto" w:fill="FFFFFF"/>
              </w:rPr>
              <w:t xml:space="preserve">PROCESS: </w:t>
            </w:r>
            <w:r w:rsidRPr="00E1586C">
              <w:rPr>
                <w:rFonts w:cstheme="majorHAnsi"/>
                <w:color w:val="000000"/>
                <w:sz w:val="18"/>
                <w:szCs w:val="18"/>
                <w:shd w:val="clear" w:color="auto" w:fill="FFFFFF"/>
              </w:rPr>
              <w:t xml:space="preserve">Number of media awareness campaigns for NCD prevention conducted or commissioned </w:t>
            </w:r>
          </w:p>
        </w:tc>
        <w:tc>
          <w:tcPr>
            <w:tcW w:w="1492" w:type="dxa"/>
          </w:tcPr>
          <w:p w14:paraId="35360FEA" w14:textId="77777777" w:rsidR="000B54BD" w:rsidRPr="00E1586C" w:rsidRDefault="000B54BD" w:rsidP="00E97A3B">
            <w:pPr>
              <w:rPr>
                <w:rFonts w:eastAsia="Times New Roman" w:cstheme="majorHAnsi"/>
                <w:sz w:val="18"/>
                <w:szCs w:val="18"/>
                <w:lang w:eastAsia="en-AU"/>
              </w:rPr>
            </w:pPr>
            <w:r w:rsidRPr="00E1586C">
              <w:rPr>
                <w:rFonts w:cstheme="majorHAnsi"/>
                <w:color w:val="000000"/>
                <w:sz w:val="18"/>
                <w:szCs w:val="18"/>
                <w:shd w:val="clear" w:color="auto" w:fill="FFFFFF"/>
              </w:rPr>
              <w:t>This indicator captures the part of the activities planned by TongaHealth and the National NCD Strategy as well as any by MOH. Media campaigns may include all forms of media and may be stand-alone or multipronged programs.</w:t>
            </w:r>
          </w:p>
        </w:tc>
        <w:tc>
          <w:tcPr>
            <w:tcW w:w="1178" w:type="dxa"/>
            <w:shd w:val="clear" w:color="auto" w:fill="auto"/>
          </w:tcPr>
          <w:p w14:paraId="760D45B8" w14:textId="77777777" w:rsidR="000B54BD" w:rsidRPr="00E1586C" w:rsidRDefault="000B54BD" w:rsidP="00E97A3B">
            <w:pPr>
              <w:rPr>
                <w:rFonts w:eastAsia="Times New Roman" w:cstheme="majorHAnsi"/>
                <w:sz w:val="18"/>
                <w:szCs w:val="18"/>
                <w:lang w:eastAsia="en-AU"/>
              </w:rPr>
            </w:pPr>
          </w:p>
        </w:tc>
        <w:tc>
          <w:tcPr>
            <w:tcW w:w="1283" w:type="dxa"/>
            <w:shd w:val="clear" w:color="auto" w:fill="auto"/>
          </w:tcPr>
          <w:p w14:paraId="76388925"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MOH and TongaHealth program records</w:t>
            </w:r>
          </w:p>
          <w:p w14:paraId="71F24075" w14:textId="77777777" w:rsidR="000B54BD" w:rsidRPr="00E1586C" w:rsidRDefault="000B54BD" w:rsidP="00E97A3B">
            <w:pPr>
              <w:rPr>
                <w:rFonts w:cstheme="majorHAnsi"/>
                <w:color w:val="000000"/>
                <w:sz w:val="18"/>
                <w:szCs w:val="18"/>
                <w:shd w:val="clear" w:color="auto" w:fill="FFFFFF"/>
              </w:rPr>
            </w:pPr>
          </w:p>
          <w:p w14:paraId="759FB79F" w14:textId="77777777" w:rsidR="000B54BD" w:rsidRPr="00E1586C" w:rsidRDefault="000B54BD" w:rsidP="00E97A3B">
            <w:pPr>
              <w:rPr>
                <w:rFonts w:cstheme="majorHAnsi"/>
                <w:color w:val="000000"/>
                <w:sz w:val="18"/>
                <w:szCs w:val="18"/>
                <w:shd w:val="clear" w:color="auto" w:fill="FFFFFF"/>
              </w:rPr>
            </w:pPr>
          </w:p>
          <w:p w14:paraId="0B5436FE" w14:textId="77777777" w:rsidR="000B54BD" w:rsidRPr="00E1586C" w:rsidRDefault="000B54BD" w:rsidP="00E97A3B">
            <w:pPr>
              <w:rPr>
                <w:rFonts w:eastAsia="Times New Roman" w:cstheme="majorHAnsi"/>
                <w:i/>
                <w:sz w:val="18"/>
                <w:szCs w:val="18"/>
                <w:lang w:eastAsia="en-AU"/>
              </w:rPr>
            </w:pPr>
            <w:r w:rsidRPr="00E1586C">
              <w:rPr>
                <w:rFonts w:cstheme="majorHAnsi"/>
                <w:i/>
                <w:color w:val="000000"/>
                <w:sz w:val="18"/>
                <w:szCs w:val="18"/>
                <w:shd w:val="clear" w:color="auto" w:fill="FFFFFF"/>
              </w:rPr>
              <w:t>Note: There is no overall report that captures these measures and links to the August 2017 timeline. Results taken from available TongaHealth and HPU grant reports.</w:t>
            </w:r>
          </w:p>
        </w:tc>
        <w:tc>
          <w:tcPr>
            <w:tcW w:w="1234" w:type="dxa"/>
          </w:tcPr>
          <w:p w14:paraId="38CE54DD" w14:textId="77777777" w:rsidR="000B54BD" w:rsidRPr="00E1586C" w:rsidRDefault="000B54BD" w:rsidP="00E97A3B">
            <w:pPr>
              <w:rPr>
                <w:rFonts w:eastAsia="Times New Roman" w:cstheme="majorHAnsi"/>
                <w:sz w:val="18"/>
                <w:szCs w:val="18"/>
                <w:lang w:eastAsia="en-AU"/>
              </w:rPr>
            </w:pPr>
            <w:r w:rsidRPr="00E1586C">
              <w:rPr>
                <w:rFonts w:cstheme="majorHAnsi"/>
                <w:color w:val="000000"/>
                <w:sz w:val="18"/>
                <w:szCs w:val="18"/>
                <w:shd w:val="clear" w:color="auto" w:fill="FFFFFF"/>
              </w:rPr>
              <w:t>Data to be reported no later than August 2017</w:t>
            </w:r>
          </w:p>
        </w:tc>
        <w:tc>
          <w:tcPr>
            <w:tcW w:w="2088" w:type="dxa"/>
            <w:shd w:val="clear" w:color="auto" w:fill="auto"/>
          </w:tcPr>
          <w:p w14:paraId="5E9A6AAA" w14:textId="77777777" w:rsidR="000B54BD" w:rsidRPr="00E1586C" w:rsidRDefault="000B54BD" w:rsidP="00E97A3B">
            <w:pPr>
              <w:rPr>
                <w:rFonts w:eastAsia="Times New Roman" w:cstheme="majorHAnsi"/>
                <w:sz w:val="18"/>
                <w:szCs w:val="18"/>
                <w:lang w:eastAsia="en-AU"/>
              </w:rPr>
            </w:pPr>
          </w:p>
        </w:tc>
        <w:tc>
          <w:tcPr>
            <w:tcW w:w="2268" w:type="dxa"/>
            <w:shd w:val="clear" w:color="auto" w:fill="FFFF66"/>
          </w:tcPr>
          <w:p w14:paraId="64FAE76E" w14:textId="77777777" w:rsidR="000B54BD" w:rsidRPr="00E1586C" w:rsidRDefault="000B54BD" w:rsidP="00E97A3B">
            <w:pPr>
              <w:rPr>
                <w:rFonts w:cstheme="majorHAnsi"/>
                <w:sz w:val="18"/>
                <w:szCs w:val="18"/>
              </w:rPr>
            </w:pPr>
            <w:r w:rsidRPr="00E1586C">
              <w:rPr>
                <w:rFonts w:cstheme="majorHAnsi"/>
                <w:sz w:val="18"/>
                <w:szCs w:val="18"/>
              </w:rPr>
              <w:t>2016 Anti-tobacco Campaign</w:t>
            </w:r>
          </w:p>
          <w:p w14:paraId="088D417A" w14:textId="77777777" w:rsidR="000B54BD" w:rsidRPr="00E1586C" w:rsidRDefault="000B54BD" w:rsidP="00E97A3B">
            <w:pPr>
              <w:rPr>
                <w:rFonts w:cstheme="majorHAnsi"/>
                <w:sz w:val="18"/>
                <w:szCs w:val="18"/>
              </w:rPr>
            </w:pPr>
            <w:r w:rsidRPr="00E1586C">
              <w:rPr>
                <w:rFonts w:cstheme="majorHAnsi"/>
                <w:sz w:val="18"/>
                <w:szCs w:val="18"/>
              </w:rPr>
              <w:t>Fiefia Sports media awareness (MOH/MIA)</w:t>
            </w:r>
          </w:p>
          <w:p w14:paraId="2E15A8FB" w14:textId="77777777" w:rsidR="000B54BD" w:rsidRPr="00E1586C" w:rsidRDefault="000B54BD" w:rsidP="00E97A3B">
            <w:pPr>
              <w:rPr>
                <w:rFonts w:cstheme="majorHAnsi"/>
                <w:sz w:val="18"/>
                <w:szCs w:val="18"/>
              </w:rPr>
            </w:pPr>
            <w:r w:rsidRPr="00E1586C">
              <w:rPr>
                <w:rFonts w:cstheme="majorHAnsi"/>
                <w:sz w:val="18"/>
                <w:szCs w:val="18"/>
              </w:rPr>
              <w:t>Alcohol related harm awareness (Salvation Army/TNYC)</w:t>
            </w:r>
          </w:p>
        </w:tc>
        <w:tc>
          <w:tcPr>
            <w:tcW w:w="2727" w:type="dxa"/>
            <w:shd w:val="clear" w:color="auto" w:fill="FFFF66"/>
          </w:tcPr>
          <w:p w14:paraId="10007FDA" w14:textId="77777777" w:rsidR="000B54BD" w:rsidRPr="00E1586C" w:rsidRDefault="000B54BD" w:rsidP="00AC0818">
            <w:pPr>
              <w:pStyle w:val="ListParagraph"/>
              <w:numPr>
                <w:ilvl w:val="0"/>
                <w:numId w:val="39"/>
              </w:numPr>
              <w:spacing w:after="120" w:line="276" w:lineRule="auto"/>
              <w:contextualSpacing w:val="0"/>
              <w:rPr>
                <w:rFonts w:cstheme="majorHAnsi"/>
                <w:sz w:val="18"/>
                <w:szCs w:val="18"/>
              </w:rPr>
            </w:pPr>
            <w:r w:rsidRPr="00E1586C">
              <w:rPr>
                <w:rFonts w:cstheme="majorHAnsi"/>
                <w:sz w:val="18"/>
                <w:szCs w:val="18"/>
              </w:rPr>
              <w:t>2017 and 2018 Anti-tobacco Campaigns</w:t>
            </w:r>
          </w:p>
          <w:p w14:paraId="7E35796D" w14:textId="77777777" w:rsidR="000B54BD" w:rsidRPr="00E1586C" w:rsidRDefault="000B54BD" w:rsidP="00AC0818">
            <w:pPr>
              <w:pStyle w:val="ListParagraph"/>
              <w:numPr>
                <w:ilvl w:val="0"/>
                <w:numId w:val="39"/>
              </w:numPr>
              <w:spacing w:after="120" w:line="276" w:lineRule="auto"/>
              <w:contextualSpacing w:val="0"/>
              <w:rPr>
                <w:rFonts w:cstheme="majorHAnsi"/>
                <w:sz w:val="18"/>
                <w:szCs w:val="18"/>
              </w:rPr>
            </w:pPr>
            <w:r w:rsidRPr="00E1586C">
              <w:rPr>
                <w:rFonts w:cstheme="majorHAnsi"/>
                <w:sz w:val="18"/>
                <w:szCs w:val="18"/>
              </w:rPr>
              <w:t>Fiefia Sports media awareness (MOH/MIA)</w:t>
            </w:r>
          </w:p>
          <w:p w14:paraId="64804361" w14:textId="77777777" w:rsidR="000B54BD" w:rsidRPr="00E1586C" w:rsidRDefault="000B54BD" w:rsidP="00AC0818">
            <w:pPr>
              <w:pStyle w:val="ListParagraph"/>
              <w:numPr>
                <w:ilvl w:val="0"/>
                <w:numId w:val="39"/>
              </w:numPr>
              <w:spacing w:after="120" w:line="276" w:lineRule="auto"/>
              <w:contextualSpacing w:val="0"/>
              <w:rPr>
                <w:rFonts w:cstheme="majorHAnsi"/>
                <w:sz w:val="18"/>
                <w:szCs w:val="18"/>
              </w:rPr>
            </w:pPr>
            <w:r w:rsidRPr="00E1586C">
              <w:rPr>
                <w:rFonts w:cstheme="majorHAnsi"/>
                <w:sz w:val="18"/>
                <w:szCs w:val="18"/>
              </w:rPr>
              <w:t>Alcohol related harm TV series (commissioned by TH)</w:t>
            </w:r>
          </w:p>
          <w:p w14:paraId="27A5D8F3" w14:textId="77777777" w:rsidR="000B54BD" w:rsidRPr="00E1586C" w:rsidRDefault="000B54BD" w:rsidP="00E97A3B">
            <w:pPr>
              <w:rPr>
                <w:rFonts w:cstheme="majorHAnsi"/>
                <w:sz w:val="18"/>
                <w:szCs w:val="18"/>
              </w:rPr>
            </w:pPr>
          </w:p>
          <w:p w14:paraId="2080ADA8" w14:textId="77777777" w:rsidR="000B54BD" w:rsidRPr="00E1586C" w:rsidRDefault="000B54BD" w:rsidP="00AC0818">
            <w:pPr>
              <w:pStyle w:val="ListParagraph"/>
              <w:numPr>
                <w:ilvl w:val="0"/>
                <w:numId w:val="39"/>
              </w:numPr>
              <w:spacing w:after="120" w:line="276" w:lineRule="auto"/>
              <w:contextualSpacing w:val="0"/>
              <w:rPr>
                <w:rFonts w:cstheme="majorHAnsi"/>
                <w:sz w:val="18"/>
                <w:szCs w:val="18"/>
              </w:rPr>
            </w:pPr>
            <w:r w:rsidRPr="00E1586C">
              <w:rPr>
                <w:rFonts w:cstheme="majorHAnsi"/>
                <w:sz w:val="18"/>
                <w:szCs w:val="18"/>
              </w:rPr>
              <w:t>Commissioned for 2019: Healthy eating campaign with focus on sugar, salt and fat through television ads. TV Exercise Series also noted in grant tracker.</w:t>
            </w:r>
          </w:p>
          <w:p w14:paraId="0392D589" w14:textId="77777777" w:rsidR="000B54BD" w:rsidRPr="00E1586C" w:rsidRDefault="000B54BD" w:rsidP="00E97A3B">
            <w:pPr>
              <w:rPr>
                <w:rFonts w:cstheme="majorHAnsi"/>
                <w:sz w:val="18"/>
                <w:szCs w:val="18"/>
              </w:rPr>
            </w:pPr>
          </w:p>
          <w:p w14:paraId="33169188" w14:textId="77777777" w:rsidR="000B54BD" w:rsidRPr="00E1586C" w:rsidRDefault="000B54BD" w:rsidP="00E97A3B">
            <w:pPr>
              <w:rPr>
                <w:rFonts w:cstheme="majorHAnsi"/>
                <w:sz w:val="18"/>
                <w:szCs w:val="18"/>
              </w:rPr>
            </w:pPr>
            <w:r w:rsidRPr="00E1586C">
              <w:rPr>
                <w:rFonts w:cstheme="majorHAnsi"/>
                <w:sz w:val="18"/>
                <w:szCs w:val="18"/>
              </w:rPr>
              <w:t>Rating: no target set for indicator. High quality smoking campaigns delivered, and physical activity campaigns continue to strengthen in their coverage. Progress in healthy eating campaigns not sufficient to impact on behaviour- though planned for 2019.</w:t>
            </w:r>
          </w:p>
        </w:tc>
      </w:tr>
      <w:tr w:rsidR="000B54BD" w:rsidRPr="00E1586C" w14:paraId="04EE1FE1" w14:textId="77777777" w:rsidTr="00E97A3B">
        <w:trPr>
          <w:trHeight w:val="306"/>
        </w:trPr>
        <w:tc>
          <w:tcPr>
            <w:tcW w:w="487" w:type="dxa"/>
          </w:tcPr>
          <w:p w14:paraId="589B96F9" w14:textId="77777777" w:rsidR="000B54BD" w:rsidRPr="00E1586C" w:rsidRDefault="000B54BD" w:rsidP="00E97A3B">
            <w:pPr>
              <w:rPr>
                <w:rFonts w:cstheme="majorHAnsi"/>
                <w:sz w:val="18"/>
                <w:szCs w:val="18"/>
              </w:rPr>
            </w:pPr>
            <w:r w:rsidRPr="00E1586C">
              <w:rPr>
                <w:rFonts w:cstheme="majorHAnsi"/>
                <w:sz w:val="18"/>
                <w:szCs w:val="18"/>
              </w:rPr>
              <w:t>2.6</w:t>
            </w:r>
          </w:p>
        </w:tc>
        <w:tc>
          <w:tcPr>
            <w:tcW w:w="1418" w:type="dxa"/>
          </w:tcPr>
          <w:p w14:paraId="63FBB3D5"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b/>
                <w:sz w:val="18"/>
                <w:szCs w:val="18"/>
                <w:lang w:eastAsia="en-AU"/>
              </w:rPr>
              <w:t>INTERMEDIATE OUTCOME:</w:t>
            </w:r>
            <w:r w:rsidRPr="00E1586C">
              <w:rPr>
                <w:rFonts w:eastAsia="Times New Roman" w:cstheme="majorHAnsi"/>
                <w:sz w:val="18"/>
                <w:szCs w:val="18"/>
                <w:lang w:eastAsia="en-AU"/>
              </w:rPr>
              <w:t xml:space="preserve"> Knowledge of </w:t>
            </w:r>
            <w:r w:rsidRPr="00E1586C">
              <w:rPr>
                <w:rFonts w:eastAsia="Times New Roman" w:cstheme="majorHAnsi"/>
                <w:sz w:val="18"/>
                <w:szCs w:val="18"/>
                <w:lang w:eastAsia="en-AU"/>
              </w:rPr>
              <w:lastRenderedPageBreak/>
              <w:t>target population towards the health risks of physical inactivity, poor diet, smoking and alcohol misuse, %</w:t>
            </w:r>
          </w:p>
        </w:tc>
        <w:tc>
          <w:tcPr>
            <w:tcW w:w="1492" w:type="dxa"/>
          </w:tcPr>
          <w:p w14:paraId="4A2EE95D"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lastRenderedPageBreak/>
              <w:t xml:space="preserve">Target population refers to population </w:t>
            </w:r>
            <w:r w:rsidRPr="00E1586C">
              <w:rPr>
                <w:rFonts w:eastAsia="Times New Roman" w:cstheme="majorHAnsi"/>
                <w:sz w:val="18"/>
                <w:szCs w:val="18"/>
                <w:lang w:eastAsia="en-AU"/>
              </w:rPr>
              <w:lastRenderedPageBreak/>
              <w:t>aged 18 years or over who benefited from targeted health promotion interventions on key NCD risk factors.</w:t>
            </w:r>
          </w:p>
          <w:p w14:paraId="04BB7FB6" w14:textId="77777777" w:rsidR="000B54BD" w:rsidRPr="00E1586C" w:rsidRDefault="000B54BD" w:rsidP="00E97A3B">
            <w:pPr>
              <w:rPr>
                <w:rFonts w:eastAsia="Times New Roman" w:cstheme="majorHAnsi"/>
                <w:sz w:val="18"/>
                <w:szCs w:val="18"/>
                <w:lang w:eastAsia="en-AU"/>
              </w:rPr>
            </w:pPr>
          </w:p>
          <w:p w14:paraId="281F2450"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 xml:space="preserve">Numerator: Number of adults aged 18 or over years who knew (or are aware) of the given NCD risk factor of interest. </w:t>
            </w:r>
          </w:p>
          <w:p w14:paraId="4DC0D792" w14:textId="77777777" w:rsidR="000B54BD" w:rsidRPr="00E1586C" w:rsidRDefault="000B54BD" w:rsidP="00E97A3B">
            <w:pPr>
              <w:rPr>
                <w:rFonts w:eastAsia="Times New Roman" w:cstheme="majorHAnsi"/>
                <w:sz w:val="18"/>
                <w:szCs w:val="18"/>
                <w:lang w:eastAsia="en-AU"/>
              </w:rPr>
            </w:pPr>
          </w:p>
          <w:p w14:paraId="7A1AD2F4"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 xml:space="preserve">Denominator: Total number of adults aged 18 years or over who benefited from targeted health promotion interventions on key NCD risk factors.    </w:t>
            </w:r>
          </w:p>
        </w:tc>
        <w:tc>
          <w:tcPr>
            <w:tcW w:w="1178" w:type="dxa"/>
            <w:shd w:val="clear" w:color="auto" w:fill="auto"/>
          </w:tcPr>
          <w:p w14:paraId="721BCF7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Increase</w:t>
            </w:r>
          </w:p>
        </w:tc>
        <w:tc>
          <w:tcPr>
            <w:tcW w:w="1283" w:type="dxa"/>
            <w:shd w:val="clear" w:color="auto" w:fill="auto"/>
          </w:tcPr>
          <w:p w14:paraId="2FF275E0"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 xml:space="preserve">Pre/post survey for </w:t>
            </w:r>
            <w:r w:rsidRPr="00E1586C">
              <w:rPr>
                <w:rFonts w:eastAsia="Times New Roman" w:cstheme="majorHAnsi"/>
                <w:sz w:val="18"/>
                <w:szCs w:val="18"/>
                <w:lang w:eastAsia="en-AU"/>
              </w:rPr>
              <w:lastRenderedPageBreak/>
              <w:t>selected programs</w:t>
            </w:r>
          </w:p>
          <w:p w14:paraId="03A0D909" w14:textId="77777777" w:rsidR="000B54BD" w:rsidRPr="00E1586C" w:rsidRDefault="000B54BD" w:rsidP="00E97A3B">
            <w:pPr>
              <w:rPr>
                <w:rFonts w:eastAsia="Times New Roman" w:cstheme="majorHAnsi"/>
                <w:sz w:val="18"/>
                <w:szCs w:val="18"/>
                <w:lang w:eastAsia="en-AU"/>
              </w:rPr>
            </w:pPr>
          </w:p>
        </w:tc>
        <w:tc>
          <w:tcPr>
            <w:tcW w:w="1234" w:type="dxa"/>
          </w:tcPr>
          <w:p w14:paraId="4CB2ECC2"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lastRenderedPageBreak/>
              <w:t xml:space="preserve">Data to be provided as surveys </w:t>
            </w:r>
            <w:r w:rsidRPr="00E1586C">
              <w:rPr>
                <w:rFonts w:eastAsia="Times New Roman" w:cstheme="majorHAnsi"/>
                <w:sz w:val="18"/>
                <w:szCs w:val="18"/>
                <w:lang w:eastAsia="en-AU"/>
              </w:rPr>
              <w:lastRenderedPageBreak/>
              <w:t xml:space="preserve">completed. Data for pre survey for anti-tobacco campaign available late 2016. </w:t>
            </w:r>
          </w:p>
        </w:tc>
        <w:tc>
          <w:tcPr>
            <w:tcW w:w="2088" w:type="dxa"/>
            <w:shd w:val="clear" w:color="auto" w:fill="auto"/>
          </w:tcPr>
          <w:p w14:paraId="0731BB0D"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lastRenderedPageBreak/>
              <w:t>-</w:t>
            </w:r>
          </w:p>
        </w:tc>
        <w:tc>
          <w:tcPr>
            <w:tcW w:w="2268" w:type="dxa"/>
            <w:shd w:val="clear" w:color="auto" w:fill="auto"/>
          </w:tcPr>
          <w:p w14:paraId="19E19CC5" w14:textId="77777777" w:rsidR="000B54BD" w:rsidRPr="00E1586C" w:rsidRDefault="000B54BD" w:rsidP="00E97A3B">
            <w:pPr>
              <w:rPr>
                <w:rFonts w:eastAsia="Times New Roman" w:cstheme="majorHAnsi"/>
                <w:sz w:val="18"/>
                <w:szCs w:val="18"/>
                <w:lang w:eastAsia="en-AU"/>
              </w:rPr>
            </w:pPr>
            <w:r w:rsidRPr="00E1586C">
              <w:rPr>
                <w:rFonts w:cstheme="majorHAnsi"/>
                <w:sz w:val="18"/>
                <w:szCs w:val="18"/>
              </w:rPr>
              <w:t xml:space="preserve">This indicator is not routinely collected in population surveys or </w:t>
            </w:r>
            <w:r w:rsidRPr="00E1586C">
              <w:rPr>
                <w:rFonts w:cstheme="majorHAnsi"/>
                <w:sz w:val="18"/>
                <w:szCs w:val="18"/>
              </w:rPr>
              <w:lastRenderedPageBreak/>
              <w:t>campaign surveys.</w:t>
            </w:r>
            <w:r w:rsidRPr="00E1586C">
              <w:rPr>
                <w:rFonts w:eastAsia="Times New Roman" w:cstheme="majorHAnsi"/>
                <w:sz w:val="18"/>
                <w:szCs w:val="18"/>
                <w:lang w:eastAsia="en-AU"/>
              </w:rPr>
              <w:t xml:space="preserve"> 2016 campaign evaluation of ‘Tuku Ifi Leva 2016’ anti-tobacco campaign available. The evaluation reports on awareness of the campaign and its key messages, as opposed to awareness of smoking as an NCD risk factor.</w:t>
            </w:r>
          </w:p>
        </w:tc>
        <w:tc>
          <w:tcPr>
            <w:tcW w:w="2727" w:type="dxa"/>
            <w:shd w:val="clear" w:color="auto" w:fill="auto"/>
          </w:tcPr>
          <w:p w14:paraId="7F47EA22" w14:textId="77777777" w:rsidR="000B54BD" w:rsidRPr="00E1586C" w:rsidRDefault="000B54BD" w:rsidP="00E97A3B">
            <w:pPr>
              <w:rPr>
                <w:rFonts w:eastAsia="Times New Roman" w:cstheme="majorHAnsi"/>
                <w:sz w:val="18"/>
                <w:szCs w:val="18"/>
                <w:lang w:eastAsia="en-AU"/>
              </w:rPr>
            </w:pPr>
          </w:p>
        </w:tc>
      </w:tr>
      <w:tr w:rsidR="000B54BD" w:rsidRPr="00E1586C" w14:paraId="29E15A59" w14:textId="77777777" w:rsidTr="00E97A3B">
        <w:trPr>
          <w:trHeight w:val="306"/>
        </w:trPr>
        <w:tc>
          <w:tcPr>
            <w:tcW w:w="14175" w:type="dxa"/>
            <w:gridSpan w:val="9"/>
            <w:shd w:val="clear" w:color="auto" w:fill="D9D9D9" w:themeFill="background1" w:themeFillShade="D9"/>
          </w:tcPr>
          <w:p w14:paraId="3E49A23A" w14:textId="77777777" w:rsidR="000B54BD" w:rsidRPr="00E1586C" w:rsidRDefault="000B54BD" w:rsidP="00E97A3B">
            <w:pPr>
              <w:rPr>
                <w:rFonts w:cstheme="majorHAnsi"/>
                <w:b/>
                <w:sz w:val="18"/>
                <w:szCs w:val="18"/>
              </w:rPr>
            </w:pPr>
            <w:r w:rsidRPr="00E1586C">
              <w:rPr>
                <w:rFonts w:cstheme="majorHAnsi"/>
                <w:b/>
                <w:sz w:val="18"/>
                <w:szCs w:val="18"/>
              </w:rPr>
              <w:t>3.0: Downward trend in the rates of premature deaths and preventable disability related to NCDs in men and in women.</w:t>
            </w:r>
          </w:p>
        </w:tc>
      </w:tr>
      <w:tr w:rsidR="000B54BD" w:rsidRPr="00E1586C" w14:paraId="359B7BD3" w14:textId="77777777" w:rsidTr="00E97A3B">
        <w:trPr>
          <w:trHeight w:val="306"/>
        </w:trPr>
        <w:tc>
          <w:tcPr>
            <w:tcW w:w="487" w:type="dxa"/>
          </w:tcPr>
          <w:p w14:paraId="4553C28D" w14:textId="77777777" w:rsidR="000B54BD" w:rsidRPr="00E1586C" w:rsidRDefault="000B54BD" w:rsidP="00E97A3B">
            <w:pPr>
              <w:rPr>
                <w:rFonts w:cstheme="majorHAnsi"/>
                <w:sz w:val="18"/>
                <w:szCs w:val="18"/>
              </w:rPr>
            </w:pPr>
            <w:r w:rsidRPr="00E1586C">
              <w:rPr>
                <w:rFonts w:cstheme="majorHAnsi"/>
                <w:sz w:val="18"/>
                <w:szCs w:val="18"/>
              </w:rPr>
              <w:t>3.1</w:t>
            </w:r>
          </w:p>
        </w:tc>
        <w:tc>
          <w:tcPr>
            <w:tcW w:w="1418" w:type="dxa"/>
          </w:tcPr>
          <w:p w14:paraId="395B7A3C"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OUTCOME</w:t>
            </w:r>
            <w:r w:rsidRPr="00E1586C">
              <w:rPr>
                <w:rFonts w:cstheme="majorHAnsi"/>
                <w:color w:val="000000"/>
                <w:sz w:val="18"/>
                <w:szCs w:val="18"/>
                <w:shd w:val="clear" w:color="auto" w:fill="FFFFFF"/>
              </w:rPr>
              <w:t xml:space="preserve">: Incidence of GDM among pregnant women, in % </w:t>
            </w:r>
          </w:p>
        </w:tc>
        <w:tc>
          <w:tcPr>
            <w:tcW w:w="1492" w:type="dxa"/>
          </w:tcPr>
          <w:p w14:paraId="056D0F9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Gestational diabetes</w:t>
            </w:r>
            <w:r w:rsidRPr="00E1586C">
              <w:rPr>
                <w:rFonts w:cstheme="majorHAnsi"/>
                <w:color w:val="000000"/>
                <w:sz w:val="18"/>
                <w:szCs w:val="18"/>
              </w:rPr>
              <w:t> </w:t>
            </w:r>
            <w:r w:rsidRPr="00E1586C">
              <w:rPr>
                <w:rFonts w:cstheme="majorHAnsi"/>
                <w:color w:val="000000"/>
                <w:sz w:val="18"/>
                <w:szCs w:val="18"/>
                <w:shd w:val="clear" w:color="auto" w:fill="FFFFFF"/>
              </w:rPr>
              <w:t xml:space="preserve">mellitus (GDM) refers to glucose intolerance that has its onset (or </w:t>
            </w:r>
            <w:r w:rsidRPr="00E1586C">
              <w:rPr>
                <w:rFonts w:cstheme="majorHAnsi"/>
                <w:color w:val="000000"/>
                <w:sz w:val="18"/>
                <w:szCs w:val="18"/>
                <w:shd w:val="clear" w:color="auto" w:fill="FFFFFF"/>
              </w:rPr>
              <w:lastRenderedPageBreak/>
              <w:t>is first diagnosed) during pregnancy.</w:t>
            </w:r>
          </w:p>
          <w:p w14:paraId="43FAD0E4" w14:textId="77777777" w:rsidR="000B54BD" w:rsidRPr="00E1586C" w:rsidRDefault="000B54BD" w:rsidP="00E97A3B">
            <w:pPr>
              <w:rPr>
                <w:rFonts w:cstheme="majorHAnsi"/>
                <w:color w:val="000000"/>
                <w:sz w:val="18"/>
                <w:szCs w:val="18"/>
                <w:shd w:val="clear" w:color="auto" w:fill="FFFFFF"/>
              </w:rPr>
            </w:pPr>
            <w:r w:rsidRPr="00E1586C">
              <w:rPr>
                <w:rFonts w:cstheme="majorHAnsi"/>
                <w:sz w:val="18"/>
                <w:szCs w:val="18"/>
              </w:rPr>
              <w:t xml:space="preserve"> </w:t>
            </w:r>
            <w:r w:rsidRPr="00E1586C">
              <w:rPr>
                <w:rFonts w:cstheme="majorHAnsi"/>
                <w:color w:val="000000"/>
                <w:sz w:val="18"/>
                <w:szCs w:val="18"/>
                <w:shd w:val="clear" w:color="auto" w:fill="FFFFFF"/>
              </w:rPr>
              <w:t>Numerator: Number of pregnant women diagnosed with GDM</w:t>
            </w:r>
          </w:p>
          <w:p w14:paraId="082CA2E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Total number of pregnancies in the year x 100</w:t>
            </w:r>
          </w:p>
        </w:tc>
        <w:tc>
          <w:tcPr>
            <w:tcW w:w="1178" w:type="dxa"/>
            <w:shd w:val="clear" w:color="auto" w:fill="auto"/>
          </w:tcPr>
          <w:p w14:paraId="33725D39"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Reduction</w:t>
            </w:r>
          </w:p>
        </w:tc>
        <w:tc>
          <w:tcPr>
            <w:tcW w:w="1283" w:type="dxa"/>
            <w:shd w:val="clear" w:color="auto" w:fill="auto"/>
          </w:tcPr>
          <w:p w14:paraId="456F1D5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RH Nurse data</w:t>
            </w:r>
          </w:p>
        </w:tc>
        <w:tc>
          <w:tcPr>
            <w:tcW w:w="1234" w:type="dxa"/>
          </w:tcPr>
          <w:p w14:paraId="52C6417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7.1 % (2015)</w:t>
            </w:r>
          </w:p>
        </w:tc>
        <w:tc>
          <w:tcPr>
            <w:tcW w:w="2088" w:type="dxa"/>
            <w:shd w:val="clear" w:color="auto" w:fill="FF7C80"/>
          </w:tcPr>
          <w:p w14:paraId="1ACA536A" w14:textId="77777777" w:rsidR="000B54BD" w:rsidRPr="00E1586C" w:rsidRDefault="000B54BD" w:rsidP="00E97A3B">
            <w:pPr>
              <w:rPr>
                <w:rFonts w:cstheme="majorHAnsi"/>
                <w:sz w:val="18"/>
                <w:szCs w:val="18"/>
              </w:rPr>
            </w:pPr>
            <w:r w:rsidRPr="00E1586C">
              <w:rPr>
                <w:rFonts w:cstheme="majorHAnsi"/>
                <w:sz w:val="18"/>
                <w:szCs w:val="18"/>
              </w:rPr>
              <w:t>2016 study reported 8.4% of pregnancies affected by GDM</w:t>
            </w:r>
          </w:p>
        </w:tc>
        <w:tc>
          <w:tcPr>
            <w:tcW w:w="2268" w:type="dxa"/>
            <w:shd w:val="clear" w:color="auto" w:fill="auto"/>
          </w:tcPr>
          <w:p w14:paraId="5EEED389" w14:textId="77777777" w:rsidR="000B54BD" w:rsidRPr="00E1586C" w:rsidRDefault="000B54BD" w:rsidP="00E97A3B">
            <w:pPr>
              <w:rPr>
                <w:rFonts w:cstheme="majorHAnsi"/>
                <w:sz w:val="18"/>
                <w:szCs w:val="18"/>
              </w:rPr>
            </w:pPr>
            <w:r w:rsidRPr="00E1586C">
              <w:rPr>
                <w:rFonts w:cstheme="majorHAnsi"/>
                <w:sz w:val="18"/>
                <w:szCs w:val="18"/>
              </w:rPr>
              <w:t>Systematic screening introduced on Tongatapu</w:t>
            </w:r>
          </w:p>
        </w:tc>
        <w:tc>
          <w:tcPr>
            <w:tcW w:w="2727" w:type="dxa"/>
            <w:shd w:val="clear" w:color="auto" w:fill="auto"/>
          </w:tcPr>
          <w:p w14:paraId="0B361A4C" w14:textId="77777777" w:rsidR="000B54BD" w:rsidRPr="00E1586C" w:rsidRDefault="0080075C" w:rsidP="00E97A3B">
            <w:pPr>
              <w:rPr>
                <w:rFonts w:cstheme="majorHAnsi"/>
                <w:sz w:val="18"/>
                <w:szCs w:val="18"/>
              </w:rPr>
            </w:pPr>
            <w:r>
              <w:rPr>
                <w:rFonts w:cstheme="majorHAnsi"/>
                <w:sz w:val="18"/>
                <w:szCs w:val="18"/>
              </w:rPr>
              <w:t>I</w:t>
            </w:r>
            <w:r w:rsidR="000B54BD" w:rsidRPr="00E1586C">
              <w:rPr>
                <w:rFonts w:cstheme="majorHAnsi"/>
                <w:sz w:val="18"/>
                <w:szCs w:val="18"/>
              </w:rPr>
              <w:t xml:space="preserve">nformation </w:t>
            </w:r>
            <w:r w:rsidR="00DA2CF2">
              <w:rPr>
                <w:rFonts w:cstheme="majorHAnsi"/>
                <w:sz w:val="18"/>
                <w:szCs w:val="18"/>
              </w:rPr>
              <w:t xml:space="preserve">(from health workers) </w:t>
            </w:r>
            <w:r w:rsidR="000B54BD" w:rsidRPr="00E1586C">
              <w:rPr>
                <w:rFonts w:cstheme="majorHAnsi"/>
                <w:sz w:val="18"/>
                <w:szCs w:val="18"/>
              </w:rPr>
              <w:t xml:space="preserve">suggests systematic screening was rolled out in 2016 and screening data is collected by RH nurses and reported to the GDM taskforce. GDM screening </w:t>
            </w:r>
            <w:r w:rsidR="000B54BD" w:rsidRPr="00E1586C">
              <w:rPr>
                <w:rFonts w:cstheme="majorHAnsi"/>
                <w:sz w:val="18"/>
                <w:szCs w:val="18"/>
              </w:rPr>
              <w:lastRenderedPageBreak/>
              <w:t>guidelines received but report with incidence data not sighted, nor reported in MoH annual report. NCD Strategy review reports on broader GDM.</w:t>
            </w:r>
          </w:p>
        </w:tc>
      </w:tr>
      <w:tr w:rsidR="000B54BD" w:rsidRPr="00E1586C" w14:paraId="36CF5DAF" w14:textId="77777777" w:rsidTr="00E97A3B">
        <w:trPr>
          <w:trHeight w:val="306"/>
        </w:trPr>
        <w:tc>
          <w:tcPr>
            <w:tcW w:w="487" w:type="dxa"/>
          </w:tcPr>
          <w:p w14:paraId="28EA198E" w14:textId="77777777" w:rsidR="000B54BD" w:rsidRPr="00E1586C" w:rsidRDefault="000B54BD" w:rsidP="00E97A3B">
            <w:pPr>
              <w:rPr>
                <w:rFonts w:cstheme="majorHAnsi"/>
                <w:sz w:val="18"/>
                <w:szCs w:val="18"/>
                <w:highlight w:val="yellow"/>
              </w:rPr>
            </w:pPr>
            <w:r w:rsidRPr="00E1586C">
              <w:rPr>
                <w:rFonts w:cstheme="majorHAnsi"/>
                <w:sz w:val="18"/>
                <w:szCs w:val="18"/>
              </w:rPr>
              <w:lastRenderedPageBreak/>
              <w:t>3.2</w:t>
            </w:r>
          </w:p>
        </w:tc>
        <w:tc>
          <w:tcPr>
            <w:tcW w:w="1418" w:type="dxa"/>
          </w:tcPr>
          <w:p w14:paraId="37E33680"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IMPACT</w:t>
            </w:r>
            <w:r w:rsidRPr="00E1586C">
              <w:rPr>
                <w:rFonts w:cstheme="majorHAnsi"/>
                <w:color w:val="000000"/>
                <w:sz w:val="18"/>
                <w:szCs w:val="18"/>
                <w:shd w:val="clear" w:color="auto" w:fill="FFFFFF"/>
              </w:rPr>
              <w:t xml:space="preserve">: All-cause mortality rate between </w:t>
            </w:r>
            <w:r w:rsidRPr="00A318B9">
              <w:rPr>
                <w:rFonts w:cstheme="majorHAnsi"/>
                <w:noProof/>
                <w:color w:val="000000"/>
                <w:sz w:val="18"/>
                <w:szCs w:val="18"/>
                <w:shd w:val="clear" w:color="auto" w:fill="FFFFFF"/>
              </w:rPr>
              <w:t>ages</w:t>
            </w:r>
            <w:r w:rsidRPr="00E1586C">
              <w:rPr>
                <w:rFonts w:cstheme="majorHAnsi"/>
                <w:color w:val="000000"/>
                <w:sz w:val="18"/>
                <w:szCs w:val="18"/>
                <w:shd w:val="clear" w:color="auto" w:fill="FFFFFF"/>
              </w:rPr>
              <w:t xml:space="preserve"> of 30 and 69 years (probability of dying between 30 and 69 years per 1000 population)</w:t>
            </w:r>
          </w:p>
        </w:tc>
        <w:tc>
          <w:tcPr>
            <w:tcW w:w="1492" w:type="dxa"/>
            <w:vAlign w:val="bottom"/>
          </w:tcPr>
          <w:p w14:paraId="22AEA52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The probability that a person aged 30 years in a given year or period will die before reaching her/his 70</w:t>
            </w:r>
            <w:r w:rsidRPr="00E1586C">
              <w:rPr>
                <w:rFonts w:cstheme="majorHAnsi"/>
                <w:color w:val="000000"/>
                <w:sz w:val="18"/>
                <w:szCs w:val="18"/>
                <w:shd w:val="clear" w:color="auto" w:fill="FFFFFF"/>
                <w:vertAlign w:val="superscript"/>
              </w:rPr>
              <w:t>th</w:t>
            </w:r>
            <w:r w:rsidRPr="00E1586C">
              <w:rPr>
                <w:rFonts w:cstheme="majorHAnsi"/>
                <w:color w:val="000000"/>
                <w:sz w:val="18"/>
                <w:szCs w:val="18"/>
                <w:shd w:val="clear" w:color="auto" w:fill="FFFFFF"/>
              </w:rPr>
              <w:t xml:space="preserve"> birthday, if subject to age-specific mortality rates of that period.</w:t>
            </w:r>
          </w:p>
          <w:p w14:paraId="21022B59" w14:textId="77777777" w:rsidR="000B54BD" w:rsidRPr="00E1586C" w:rsidRDefault="000B54BD" w:rsidP="00E97A3B">
            <w:pPr>
              <w:rPr>
                <w:rFonts w:cstheme="majorHAnsi"/>
                <w:color w:val="000000"/>
                <w:sz w:val="18"/>
                <w:szCs w:val="18"/>
                <w:shd w:val="clear" w:color="auto" w:fill="FFFFFF"/>
              </w:rPr>
            </w:pPr>
          </w:p>
          <w:p w14:paraId="6B45C3EE"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The quantity </w:t>
            </w:r>
            <w:r w:rsidRPr="00A318B9">
              <w:rPr>
                <w:rFonts w:cstheme="majorHAnsi"/>
                <w:noProof/>
                <w:color w:val="000000"/>
                <w:sz w:val="18"/>
                <w:szCs w:val="18"/>
                <w:shd w:val="clear" w:color="auto" w:fill="FFFFFF"/>
              </w:rPr>
              <w:t>is estimated</w:t>
            </w:r>
            <w:r w:rsidRPr="00E1586C">
              <w:rPr>
                <w:rFonts w:cstheme="majorHAnsi"/>
                <w:color w:val="000000"/>
                <w:sz w:val="18"/>
                <w:szCs w:val="18"/>
                <w:shd w:val="clear" w:color="auto" w:fill="FFFFFF"/>
              </w:rPr>
              <w:t xml:space="preserve"> from all cause-specific mortality lifetable. It requires combining cause of death and population data by </w:t>
            </w:r>
            <w:r w:rsidRPr="00A318B9">
              <w:rPr>
                <w:rFonts w:cstheme="majorHAnsi"/>
                <w:noProof/>
                <w:color w:val="000000"/>
                <w:sz w:val="18"/>
                <w:szCs w:val="18"/>
                <w:shd w:val="clear" w:color="auto" w:fill="FFFFFF"/>
              </w:rPr>
              <w:t>age,</w:t>
            </w:r>
            <w:r w:rsidRPr="00E1586C">
              <w:rPr>
                <w:rFonts w:cstheme="majorHAnsi"/>
                <w:color w:val="000000"/>
                <w:sz w:val="18"/>
                <w:szCs w:val="18"/>
                <w:shd w:val="clear" w:color="auto" w:fill="FFFFFF"/>
              </w:rPr>
              <w:t xml:space="preserve"> and applying life table technique. </w:t>
            </w:r>
          </w:p>
        </w:tc>
        <w:tc>
          <w:tcPr>
            <w:tcW w:w="1178" w:type="dxa"/>
            <w:shd w:val="clear" w:color="auto" w:fill="auto"/>
          </w:tcPr>
          <w:p w14:paraId="6E7A700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Halt the increase</w:t>
            </w:r>
          </w:p>
        </w:tc>
        <w:tc>
          <w:tcPr>
            <w:tcW w:w="1283" w:type="dxa"/>
            <w:shd w:val="clear" w:color="auto" w:fill="auto"/>
          </w:tcPr>
          <w:p w14:paraId="6A29A6D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Vital registration</w:t>
            </w:r>
          </w:p>
          <w:p w14:paraId="5AF1A91E" w14:textId="77777777" w:rsidR="000B54BD" w:rsidRPr="00E1586C" w:rsidRDefault="000B54BD" w:rsidP="00E97A3B">
            <w:pPr>
              <w:rPr>
                <w:rFonts w:cstheme="majorHAnsi"/>
                <w:color w:val="000000"/>
                <w:sz w:val="18"/>
                <w:szCs w:val="18"/>
                <w:shd w:val="clear" w:color="auto" w:fill="FFFFFF"/>
              </w:rPr>
            </w:pPr>
          </w:p>
          <w:p w14:paraId="03F1D425" w14:textId="77777777" w:rsidR="000B54BD" w:rsidRPr="00E1586C" w:rsidRDefault="000B54BD" w:rsidP="00E97A3B">
            <w:pPr>
              <w:rPr>
                <w:rFonts w:cstheme="majorHAnsi"/>
                <w:color w:val="000000"/>
                <w:sz w:val="18"/>
                <w:szCs w:val="18"/>
                <w:shd w:val="clear" w:color="auto" w:fill="FFFFFF"/>
              </w:rPr>
            </w:pPr>
          </w:p>
          <w:p w14:paraId="6F6446A9" w14:textId="77777777" w:rsidR="000B54BD" w:rsidRPr="00E1586C" w:rsidRDefault="000B54BD" w:rsidP="00E97A3B">
            <w:pPr>
              <w:rPr>
                <w:rFonts w:cstheme="majorHAnsi"/>
                <w:color w:val="000000"/>
                <w:sz w:val="18"/>
                <w:szCs w:val="18"/>
                <w:shd w:val="clear" w:color="auto" w:fill="FFFFFF"/>
              </w:rPr>
            </w:pPr>
          </w:p>
          <w:p w14:paraId="74F7BC93" w14:textId="77777777" w:rsidR="000B54BD" w:rsidRPr="00E1586C" w:rsidRDefault="000B54BD" w:rsidP="00E97A3B">
            <w:pPr>
              <w:rPr>
                <w:rFonts w:cstheme="majorHAnsi"/>
                <w:i/>
                <w:color w:val="000000"/>
                <w:sz w:val="18"/>
                <w:szCs w:val="18"/>
                <w:shd w:val="clear" w:color="auto" w:fill="FFFFFF"/>
              </w:rPr>
            </w:pPr>
            <w:r w:rsidRPr="00E1586C">
              <w:rPr>
                <w:rFonts w:cstheme="majorHAnsi"/>
                <w:i/>
                <w:color w:val="000000"/>
                <w:sz w:val="18"/>
                <w:szCs w:val="18"/>
                <w:shd w:val="clear" w:color="auto" w:fill="FFFFFF"/>
              </w:rPr>
              <w:t xml:space="preserve">Note: The THSSP2 and NCD Strategy target is a reduction in NCD related (not all cause) premature mortality. </w:t>
            </w:r>
            <w:r w:rsidRPr="00A318B9">
              <w:rPr>
                <w:rFonts w:cstheme="majorHAnsi"/>
                <w:i/>
                <w:noProof/>
                <w:color w:val="000000"/>
                <w:sz w:val="18"/>
                <w:szCs w:val="18"/>
                <w:shd w:val="clear" w:color="auto" w:fill="FFFFFF"/>
              </w:rPr>
              <w:t>This</w:t>
            </w:r>
            <w:r w:rsidRPr="00E1586C">
              <w:rPr>
                <w:rFonts w:cstheme="majorHAnsi"/>
                <w:i/>
                <w:color w:val="000000"/>
                <w:sz w:val="18"/>
                <w:szCs w:val="18"/>
                <w:shd w:val="clear" w:color="auto" w:fill="FFFFFF"/>
              </w:rPr>
              <w:t xml:space="preserve"> also aligns to the SDG indicator routinely collected by the MoH</w:t>
            </w:r>
          </w:p>
        </w:tc>
        <w:tc>
          <w:tcPr>
            <w:tcW w:w="1234" w:type="dxa"/>
          </w:tcPr>
          <w:p w14:paraId="5F0A44E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2010-2014</w:t>
            </w:r>
          </w:p>
          <w:p w14:paraId="2802CC6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Females:</w:t>
            </w:r>
            <w:r w:rsidRPr="00E1586C">
              <w:rPr>
                <w:rFonts w:cstheme="majorHAnsi"/>
                <w:color w:val="000000"/>
                <w:sz w:val="18"/>
                <w:szCs w:val="18"/>
                <w:shd w:val="clear" w:color="auto" w:fill="FFFFFF"/>
              </w:rPr>
              <w:br/>
              <w:t xml:space="preserve">668.0 per 1000 </w:t>
            </w:r>
          </w:p>
          <w:p w14:paraId="0E686DE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Males:</w:t>
            </w:r>
            <w:r w:rsidRPr="00E1586C">
              <w:rPr>
                <w:rFonts w:cstheme="majorHAnsi"/>
                <w:color w:val="000000"/>
                <w:sz w:val="18"/>
                <w:szCs w:val="18"/>
                <w:shd w:val="clear" w:color="auto" w:fill="FFFFFF"/>
              </w:rPr>
              <w:br/>
              <w:t>545.8 per 1000</w:t>
            </w:r>
          </w:p>
          <w:p w14:paraId="574BF7C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Both sexes:</w:t>
            </w:r>
            <w:r w:rsidRPr="00E1586C">
              <w:rPr>
                <w:rFonts w:cstheme="majorHAnsi"/>
                <w:color w:val="000000"/>
                <w:sz w:val="18"/>
                <w:szCs w:val="18"/>
                <w:shd w:val="clear" w:color="auto" w:fill="FFFFFF"/>
              </w:rPr>
              <w:br/>
              <w:t>613.8 per 1000</w:t>
            </w:r>
          </w:p>
        </w:tc>
        <w:tc>
          <w:tcPr>
            <w:tcW w:w="2088" w:type="dxa"/>
            <w:shd w:val="clear" w:color="auto" w:fill="auto"/>
          </w:tcPr>
          <w:p w14:paraId="186D5920" w14:textId="77777777" w:rsidR="000B54BD" w:rsidRPr="00E1586C" w:rsidRDefault="000B54BD" w:rsidP="00E97A3B">
            <w:pPr>
              <w:rPr>
                <w:rFonts w:cstheme="majorHAnsi"/>
                <w:sz w:val="18"/>
                <w:szCs w:val="18"/>
              </w:rPr>
            </w:pPr>
          </w:p>
        </w:tc>
        <w:tc>
          <w:tcPr>
            <w:tcW w:w="2268" w:type="dxa"/>
            <w:shd w:val="clear" w:color="auto" w:fill="auto"/>
          </w:tcPr>
          <w:p w14:paraId="3600CD35" w14:textId="77777777" w:rsidR="000B54BD" w:rsidRPr="00E1586C" w:rsidRDefault="000B54BD" w:rsidP="00E97A3B">
            <w:pPr>
              <w:rPr>
                <w:rFonts w:cstheme="majorHAnsi"/>
                <w:sz w:val="18"/>
                <w:szCs w:val="18"/>
              </w:rPr>
            </w:pPr>
            <w:r w:rsidRPr="00A318B9">
              <w:rPr>
                <w:rFonts w:cstheme="majorHAnsi"/>
                <w:noProof/>
                <w:sz w:val="18"/>
                <w:szCs w:val="18"/>
              </w:rPr>
              <w:t>Indicator</w:t>
            </w:r>
            <w:r w:rsidRPr="00E1586C">
              <w:rPr>
                <w:rFonts w:cstheme="majorHAnsi"/>
                <w:sz w:val="18"/>
                <w:szCs w:val="18"/>
              </w:rPr>
              <w:t xml:space="preserve"> should be revised to reflect THSSP2 target which aims to reduce NCD related premature mortality. </w:t>
            </w:r>
            <w:r w:rsidRPr="00A318B9">
              <w:rPr>
                <w:rFonts w:cstheme="majorHAnsi"/>
                <w:noProof/>
                <w:sz w:val="18"/>
                <w:szCs w:val="18"/>
              </w:rPr>
              <w:t>This</w:t>
            </w:r>
            <w:r w:rsidRPr="00E1586C">
              <w:rPr>
                <w:rFonts w:cstheme="majorHAnsi"/>
                <w:sz w:val="18"/>
                <w:szCs w:val="18"/>
              </w:rPr>
              <w:t xml:space="preserve"> matches SDG indicator 3.4.1 and </w:t>
            </w:r>
            <w:r w:rsidRPr="00A318B9">
              <w:rPr>
                <w:rFonts w:cstheme="majorHAnsi"/>
                <w:noProof/>
                <w:sz w:val="18"/>
                <w:szCs w:val="18"/>
              </w:rPr>
              <w:t>is planned</w:t>
            </w:r>
            <w:r w:rsidRPr="00E1586C">
              <w:rPr>
                <w:rFonts w:cstheme="majorHAnsi"/>
                <w:sz w:val="18"/>
                <w:szCs w:val="18"/>
              </w:rPr>
              <w:t xml:space="preserve"> for inclusion in MoH Annual Reports.</w:t>
            </w:r>
          </w:p>
          <w:p w14:paraId="57CD4704" w14:textId="77777777" w:rsidR="000B54BD" w:rsidRPr="00E1586C" w:rsidRDefault="000B54BD" w:rsidP="00E97A3B">
            <w:pPr>
              <w:rPr>
                <w:rFonts w:cstheme="majorHAnsi"/>
                <w:sz w:val="18"/>
                <w:szCs w:val="18"/>
              </w:rPr>
            </w:pPr>
          </w:p>
          <w:p w14:paraId="792A3958" w14:textId="77777777" w:rsidR="000B54BD" w:rsidRPr="00E1586C" w:rsidRDefault="000B54BD" w:rsidP="00E97A3B">
            <w:pPr>
              <w:rPr>
                <w:rFonts w:cstheme="majorHAnsi"/>
                <w:sz w:val="18"/>
                <w:szCs w:val="18"/>
              </w:rPr>
            </w:pPr>
            <w:r w:rsidRPr="00E1586C">
              <w:rPr>
                <w:rFonts w:cstheme="majorHAnsi"/>
                <w:sz w:val="18"/>
                <w:szCs w:val="18"/>
              </w:rPr>
              <w:t>Data from SDG trackers suggest a slight reduction between 2010 and 2017 (536.5 deaths per 100,000 in 2017 vs 552.5 deaths per 100,000 (95% CI 512.4-596.3 in 2010)</w:t>
            </w:r>
          </w:p>
          <w:p w14:paraId="63E6DD74" w14:textId="77777777" w:rsidR="000B54BD" w:rsidRPr="00E1586C" w:rsidRDefault="000B54BD" w:rsidP="00E97A3B">
            <w:pPr>
              <w:rPr>
                <w:rFonts w:cstheme="majorHAnsi"/>
                <w:sz w:val="18"/>
                <w:szCs w:val="18"/>
              </w:rPr>
            </w:pPr>
            <w:r w:rsidRPr="00E1586C">
              <w:rPr>
                <w:rFonts w:cstheme="majorHAnsi"/>
                <w:sz w:val="18"/>
                <w:szCs w:val="18"/>
              </w:rPr>
              <w:t xml:space="preserve">Source: </w:t>
            </w:r>
            <w:hyperlink r:id="rId47" w:history="1">
              <w:r w:rsidRPr="00E1586C">
                <w:rPr>
                  <w:rStyle w:val="Hyperlink"/>
                  <w:rFonts w:cstheme="majorHAnsi"/>
                  <w:sz w:val="18"/>
                  <w:szCs w:val="18"/>
                </w:rPr>
                <w:t>https://vizhub.healthdata.org/sdg/</w:t>
              </w:r>
            </w:hyperlink>
            <w:r w:rsidRPr="00E1586C">
              <w:rPr>
                <w:rFonts w:cstheme="majorHAnsi"/>
                <w:sz w:val="18"/>
                <w:szCs w:val="18"/>
              </w:rPr>
              <w:t xml:space="preserve">  </w:t>
            </w:r>
          </w:p>
        </w:tc>
        <w:tc>
          <w:tcPr>
            <w:tcW w:w="2727" w:type="dxa"/>
            <w:shd w:val="clear" w:color="auto" w:fill="auto"/>
          </w:tcPr>
          <w:p w14:paraId="2ACA87FA" w14:textId="77777777" w:rsidR="000B54BD" w:rsidRPr="00E1586C" w:rsidRDefault="000B54BD" w:rsidP="00E97A3B">
            <w:pPr>
              <w:rPr>
                <w:rFonts w:cstheme="majorHAnsi"/>
                <w:sz w:val="18"/>
                <w:szCs w:val="18"/>
              </w:rPr>
            </w:pPr>
          </w:p>
        </w:tc>
      </w:tr>
      <w:tr w:rsidR="000B54BD" w:rsidRPr="00E1586C" w14:paraId="75BB69DC" w14:textId="77777777" w:rsidTr="00E97A3B">
        <w:trPr>
          <w:trHeight w:val="306"/>
        </w:trPr>
        <w:tc>
          <w:tcPr>
            <w:tcW w:w="487" w:type="dxa"/>
          </w:tcPr>
          <w:p w14:paraId="4C49D093" w14:textId="77777777" w:rsidR="000B54BD" w:rsidRPr="00E1586C" w:rsidRDefault="000B54BD" w:rsidP="00E97A3B">
            <w:pPr>
              <w:rPr>
                <w:rFonts w:cstheme="majorHAnsi"/>
                <w:sz w:val="18"/>
                <w:szCs w:val="18"/>
              </w:rPr>
            </w:pPr>
            <w:r w:rsidRPr="00E1586C">
              <w:rPr>
                <w:rFonts w:cstheme="majorHAnsi"/>
                <w:sz w:val="18"/>
                <w:szCs w:val="18"/>
              </w:rPr>
              <w:lastRenderedPageBreak/>
              <w:t>3.3</w:t>
            </w:r>
          </w:p>
        </w:tc>
        <w:tc>
          <w:tcPr>
            <w:tcW w:w="1418" w:type="dxa"/>
          </w:tcPr>
          <w:p w14:paraId="46D3749D"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IMPACT</w:t>
            </w:r>
            <w:r w:rsidRPr="00E1586C">
              <w:rPr>
                <w:rFonts w:cstheme="majorHAnsi"/>
                <w:color w:val="000000"/>
                <w:sz w:val="18"/>
                <w:szCs w:val="18"/>
                <w:shd w:val="clear" w:color="auto" w:fill="FFFFFF"/>
              </w:rPr>
              <w:t>: People with lower limb amputation as a percentage of total hospital admissions at Vaiola Hospital, per 100000</w:t>
            </w:r>
          </w:p>
        </w:tc>
        <w:tc>
          <w:tcPr>
            <w:tcW w:w="1492" w:type="dxa"/>
          </w:tcPr>
          <w:p w14:paraId="392D836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Lower limb amputation covers the following ICD-10 codes [Block 1484, 44370-00, 44373-00, 44367-00, BLOCK 1505, 44367-01, 44367-02, BLOCK 1533, 44338-00, 44358-00, 90557-00, 44361-00, 44364-00, 44364-01, 44362-02</w:t>
            </w:r>
          </w:p>
          <w:p w14:paraId="2215D9A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Numerator: Patients with diabetes who had lower limb amputations in a given year</w:t>
            </w:r>
          </w:p>
          <w:p w14:paraId="3B4AFAF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Total number of hospital discharges in the year x 100000</w:t>
            </w:r>
          </w:p>
          <w:p w14:paraId="46898FEB" w14:textId="77777777" w:rsidR="000B54BD" w:rsidRPr="00E1586C" w:rsidRDefault="000B54BD" w:rsidP="00E97A3B">
            <w:pPr>
              <w:rPr>
                <w:rFonts w:cstheme="majorHAnsi"/>
                <w:color w:val="000000"/>
                <w:sz w:val="18"/>
                <w:szCs w:val="18"/>
                <w:shd w:val="clear" w:color="auto" w:fill="FFFFFF"/>
              </w:rPr>
            </w:pPr>
          </w:p>
        </w:tc>
        <w:tc>
          <w:tcPr>
            <w:tcW w:w="1178" w:type="dxa"/>
            <w:shd w:val="clear" w:color="auto" w:fill="auto"/>
          </w:tcPr>
          <w:p w14:paraId="2663163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Reduction</w:t>
            </w:r>
          </w:p>
        </w:tc>
        <w:tc>
          <w:tcPr>
            <w:tcW w:w="1283" w:type="dxa"/>
            <w:shd w:val="clear" w:color="auto" w:fill="auto"/>
          </w:tcPr>
          <w:p w14:paraId="42573E4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The M&amp;E Framework intended that this measure </w:t>
            </w:r>
            <w:r w:rsidRPr="00A318B9">
              <w:rPr>
                <w:rFonts w:cstheme="majorHAnsi"/>
                <w:noProof/>
                <w:color w:val="000000"/>
                <w:sz w:val="18"/>
                <w:szCs w:val="18"/>
                <w:shd w:val="clear" w:color="auto" w:fill="FFFFFF"/>
              </w:rPr>
              <w:t>be</w:t>
            </w:r>
            <w:r w:rsidRPr="00E1586C">
              <w:rPr>
                <w:rFonts w:cstheme="majorHAnsi"/>
                <w:color w:val="000000"/>
                <w:sz w:val="18"/>
                <w:szCs w:val="18"/>
                <w:shd w:val="clear" w:color="auto" w:fill="FFFFFF"/>
              </w:rPr>
              <w:t xml:space="preserve"> sourced from the electronic patient activity database. During the evaluation, MoH advised that ICD10 coding for surgical procedures was too unreliable to provide representative data. The evaluation team made enquiries about access to data from a manual audit of amputations.</w:t>
            </w:r>
          </w:p>
        </w:tc>
        <w:tc>
          <w:tcPr>
            <w:tcW w:w="1234" w:type="dxa"/>
          </w:tcPr>
          <w:p w14:paraId="27FBFF09"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2010-2014</w:t>
            </w:r>
          </w:p>
          <w:p w14:paraId="0973B15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Both sexes:</w:t>
            </w:r>
          </w:p>
          <w:p w14:paraId="3666615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15.3 per 100000 population</w:t>
            </w:r>
          </w:p>
        </w:tc>
        <w:tc>
          <w:tcPr>
            <w:tcW w:w="2088" w:type="dxa"/>
            <w:shd w:val="clear" w:color="auto" w:fill="auto"/>
          </w:tcPr>
          <w:p w14:paraId="10B13C8C"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Not available</w:t>
            </w:r>
          </w:p>
        </w:tc>
        <w:tc>
          <w:tcPr>
            <w:tcW w:w="2268" w:type="dxa"/>
            <w:shd w:val="clear" w:color="auto" w:fill="auto"/>
          </w:tcPr>
          <w:p w14:paraId="7A6C769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Not available</w:t>
            </w:r>
          </w:p>
        </w:tc>
        <w:tc>
          <w:tcPr>
            <w:tcW w:w="2727" w:type="dxa"/>
            <w:shd w:val="clear" w:color="auto" w:fill="auto"/>
          </w:tcPr>
          <w:p w14:paraId="2E0E4D6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Not available</w:t>
            </w:r>
          </w:p>
        </w:tc>
      </w:tr>
      <w:tr w:rsidR="000B54BD" w:rsidRPr="00E1586C" w14:paraId="7272B89B" w14:textId="77777777" w:rsidTr="00E97A3B">
        <w:trPr>
          <w:trHeight w:val="306"/>
        </w:trPr>
        <w:tc>
          <w:tcPr>
            <w:tcW w:w="14175" w:type="dxa"/>
            <w:gridSpan w:val="9"/>
            <w:shd w:val="clear" w:color="auto" w:fill="D9D9D9" w:themeFill="background1" w:themeFillShade="D9"/>
          </w:tcPr>
          <w:p w14:paraId="31D92525" w14:textId="77777777" w:rsidR="000B54BD" w:rsidRPr="00E1586C" w:rsidRDefault="000B54BD" w:rsidP="00E97A3B">
            <w:pPr>
              <w:rPr>
                <w:rFonts w:cstheme="majorHAnsi"/>
                <w:b/>
                <w:sz w:val="18"/>
                <w:szCs w:val="18"/>
              </w:rPr>
            </w:pPr>
            <w:r w:rsidRPr="00E1586C">
              <w:rPr>
                <w:rFonts w:cstheme="majorHAnsi"/>
                <w:b/>
                <w:sz w:val="18"/>
                <w:szCs w:val="18"/>
              </w:rPr>
              <w:t>4.0: NCD management as part of Universal Health Coverage leads to cost savings in hospitals.</w:t>
            </w:r>
          </w:p>
        </w:tc>
      </w:tr>
      <w:tr w:rsidR="000B54BD" w:rsidRPr="00E1586C" w14:paraId="0F2FA389" w14:textId="77777777" w:rsidTr="00E97A3B">
        <w:trPr>
          <w:trHeight w:val="306"/>
        </w:trPr>
        <w:tc>
          <w:tcPr>
            <w:tcW w:w="487" w:type="dxa"/>
          </w:tcPr>
          <w:p w14:paraId="36210D0B" w14:textId="77777777" w:rsidR="000B54BD" w:rsidRPr="00E1586C" w:rsidRDefault="000B54BD" w:rsidP="00E97A3B">
            <w:pPr>
              <w:rPr>
                <w:rFonts w:cstheme="majorHAnsi"/>
                <w:sz w:val="18"/>
                <w:szCs w:val="18"/>
              </w:rPr>
            </w:pPr>
            <w:r w:rsidRPr="00E1586C">
              <w:rPr>
                <w:rFonts w:cstheme="majorHAnsi"/>
                <w:sz w:val="18"/>
                <w:szCs w:val="18"/>
              </w:rPr>
              <w:t>4.1</w:t>
            </w:r>
          </w:p>
        </w:tc>
        <w:tc>
          <w:tcPr>
            <w:tcW w:w="1418" w:type="dxa"/>
          </w:tcPr>
          <w:p w14:paraId="2CFE26DB"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 xml:space="preserve">INTERMEDIATE OUTCOME: </w:t>
            </w:r>
            <w:r w:rsidRPr="00E1586C">
              <w:rPr>
                <w:rFonts w:cstheme="majorHAnsi"/>
                <w:color w:val="000000"/>
                <w:sz w:val="18"/>
                <w:szCs w:val="18"/>
                <w:shd w:val="clear" w:color="auto" w:fill="FFFFFF"/>
              </w:rPr>
              <w:t xml:space="preserve">Standards for essential NCD care established </w:t>
            </w:r>
            <w:r w:rsidRPr="00E1586C">
              <w:rPr>
                <w:rFonts w:cstheme="majorHAnsi"/>
                <w:color w:val="000000"/>
                <w:sz w:val="18"/>
                <w:szCs w:val="18"/>
                <w:shd w:val="clear" w:color="auto" w:fill="FFFFFF"/>
              </w:rPr>
              <w:lastRenderedPageBreak/>
              <w:t>in all health care facilities</w:t>
            </w:r>
            <w:r w:rsidRPr="00E1586C">
              <w:rPr>
                <w:rFonts w:cstheme="majorHAnsi"/>
                <w:b/>
                <w:color w:val="000000"/>
                <w:sz w:val="18"/>
                <w:szCs w:val="18"/>
                <w:shd w:val="clear" w:color="auto" w:fill="FFFFFF"/>
              </w:rPr>
              <w:t xml:space="preserve"> </w:t>
            </w:r>
          </w:p>
        </w:tc>
        <w:tc>
          <w:tcPr>
            <w:tcW w:w="1492" w:type="dxa"/>
          </w:tcPr>
          <w:p w14:paraId="2D255A7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 xml:space="preserve">Approval of an essential package of services, including evidence-based </w:t>
            </w:r>
            <w:r w:rsidRPr="00E1586C">
              <w:rPr>
                <w:rFonts w:cstheme="majorHAnsi"/>
                <w:color w:val="000000"/>
                <w:sz w:val="18"/>
                <w:szCs w:val="18"/>
                <w:shd w:val="clear" w:color="auto" w:fill="FFFFFF"/>
              </w:rPr>
              <w:lastRenderedPageBreak/>
              <w:t>NCD care for health centres, along with a mechanism to monitor the capabilities of health facilities to provide the care</w:t>
            </w:r>
          </w:p>
        </w:tc>
        <w:tc>
          <w:tcPr>
            <w:tcW w:w="1178" w:type="dxa"/>
            <w:shd w:val="clear" w:color="auto" w:fill="auto"/>
          </w:tcPr>
          <w:p w14:paraId="0D0BE52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One-off</w:t>
            </w:r>
          </w:p>
        </w:tc>
        <w:tc>
          <w:tcPr>
            <w:tcW w:w="1283" w:type="dxa"/>
            <w:shd w:val="clear" w:color="auto" w:fill="auto"/>
          </w:tcPr>
          <w:p w14:paraId="1C62571E"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MOH</w:t>
            </w:r>
          </w:p>
        </w:tc>
        <w:tc>
          <w:tcPr>
            <w:tcW w:w="1234" w:type="dxa"/>
          </w:tcPr>
          <w:p w14:paraId="03B4E6D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Essential package of services being developed, not yet </w:t>
            </w:r>
            <w:r w:rsidRPr="00E1586C">
              <w:rPr>
                <w:rFonts w:cstheme="majorHAnsi"/>
                <w:color w:val="000000"/>
                <w:sz w:val="18"/>
                <w:szCs w:val="18"/>
                <w:shd w:val="clear" w:color="auto" w:fill="FFFFFF"/>
              </w:rPr>
              <w:lastRenderedPageBreak/>
              <w:t>approved (2015-16)</w:t>
            </w:r>
          </w:p>
        </w:tc>
        <w:tc>
          <w:tcPr>
            <w:tcW w:w="2088" w:type="dxa"/>
            <w:shd w:val="clear" w:color="auto" w:fill="auto"/>
          </w:tcPr>
          <w:p w14:paraId="4E090193" w14:textId="77777777" w:rsidR="000B54BD" w:rsidRPr="00E1586C" w:rsidRDefault="000B54BD" w:rsidP="00E97A3B">
            <w:pPr>
              <w:rPr>
                <w:rFonts w:cstheme="majorHAnsi"/>
                <w:sz w:val="18"/>
                <w:szCs w:val="18"/>
              </w:rPr>
            </w:pPr>
          </w:p>
        </w:tc>
        <w:tc>
          <w:tcPr>
            <w:tcW w:w="2268" w:type="dxa"/>
            <w:shd w:val="clear" w:color="auto" w:fill="auto"/>
          </w:tcPr>
          <w:p w14:paraId="4A8E5013" w14:textId="77777777" w:rsidR="000B54BD" w:rsidRPr="00E1586C" w:rsidRDefault="000B54BD" w:rsidP="00E97A3B">
            <w:pPr>
              <w:rPr>
                <w:rFonts w:cstheme="majorHAnsi"/>
                <w:sz w:val="18"/>
                <w:szCs w:val="18"/>
              </w:rPr>
            </w:pPr>
          </w:p>
        </w:tc>
        <w:tc>
          <w:tcPr>
            <w:tcW w:w="2727" w:type="dxa"/>
            <w:shd w:val="clear" w:color="auto" w:fill="CCFFCC"/>
          </w:tcPr>
          <w:p w14:paraId="50A2C36A" w14:textId="77777777" w:rsidR="000B54BD" w:rsidRPr="00E1586C" w:rsidRDefault="000B54BD" w:rsidP="00E97A3B">
            <w:pPr>
              <w:rPr>
                <w:rFonts w:cstheme="majorHAnsi"/>
                <w:sz w:val="18"/>
                <w:szCs w:val="18"/>
              </w:rPr>
            </w:pPr>
            <w:r w:rsidRPr="00E1586C">
              <w:rPr>
                <w:rFonts w:cstheme="majorHAnsi"/>
                <w:sz w:val="18"/>
                <w:szCs w:val="18"/>
              </w:rPr>
              <w:t>‘Package of Essential Health Services’ (PEHS) document at final drafting stage 2018; baseline readiness survey complet</w:t>
            </w:r>
            <w:r w:rsidR="0080075C">
              <w:rPr>
                <w:rFonts w:cstheme="majorHAnsi"/>
                <w:sz w:val="18"/>
                <w:szCs w:val="18"/>
              </w:rPr>
              <w:t>e. F</w:t>
            </w:r>
            <w:r w:rsidRPr="00E1586C">
              <w:rPr>
                <w:rFonts w:cstheme="majorHAnsi"/>
                <w:sz w:val="18"/>
                <w:szCs w:val="18"/>
              </w:rPr>
              <w:t xml:space="preserve">eedback </w:t>
            </w:r>
            <w:r w:rsidR="002E15BC">
              <w:rPr>
                <w:rFonts w:cstheme="majorHAnsi"/>
                <w:sz w:val="18"/>
                <w:szCs w:val="18"/>
              </w:rPr>
              <w:t xml:space="preserve">(from health workers) </w:t>
            </w:r>
            <w:r w:rsidRPr="00E1586C">
              <w:rPr>
                <w:rFonts w:cstheme="majorHAnsi"/>
                <w:sz w:val="18"/>
                <w:szCs w:val="18"/>
              </w:rPr>
              <w:t xml:space="preserve">suggests the guidelines for </w:t>
            </w:r>
            <w:r w:rsidRPr="00E1586C">
              <w:rPr>
                <w:rFonts w:cstheme="majorHAnsi"/>
                <w:sz w:val="18"/>
                <w:szCs w:val="18"/>
              </w:rPr>
              <w:lastRenderedPageBreak/>
              <w:t xml:space="preserve">diabetic care are having a beneficial effect on standards of care </w:t>
            </w:r>
            <w:r w:rsidRPr="00A318B9">
              <w:rPr>
                <w:rFonts w:cstheme="majorHAnsi"/>
                <w:noProof/>
                <w:sz w:val="18"/>
                <w:szCs w:val="18"/>
              </w:rPr>
              <w:t>though</w:t>
            </w:r>
            <w:r w:rsidRPr="00E1586C">
              <w:rPr>
                <w:rFonts w:cstheme="majorHAnsi"/>
                <w:sz w:val="18"/>
                <w:szCs w:val="18"/>
              </w:rPr>
              <w:t xml:space="preserve"> these were not sighted.</w:t>
            </w:r>
          </w:p>
        </w:tc>
      </w:tr>
      <w:tr w:rsidR="000B54BD" w:rsidRPr="00E1586C" w14:paraId="177A51F3" w14:textId="77777777" w:rsidTr="00E97A3B">
        <w:trPr>
          <w:trHeight w:val="306"/>
        </w:trPr>
        <w:tc>
          <w:tcPr>
            <w:tcW w:w="487" w:type="dxa"/>
          </w:tcPr>
          <w:p w14:paraId="31A17312" w14:textId="77777777" w:rsidR="000B54BD" w:rsidRPr="00E1586C" w:rsidRDefault="000B54BD" w:rsidP="00E97A3B">
            <w:pPr>
              <w:rPr>
                <w:rFonts w:cstheme="majorHAnsi"/>
                <w:sz w:val="18"/>
                <w:szCs w:val="18"/>
              </w:rPr>
            </w:pPr>
            <w:r w:rsidRPr="00E1586C">
              <w:rPr>
                <w:rFonts w:cstheme="majorHAnsi"/>
                <w:sz w:val="18"/>
                <w:szCs w:val="18"/>
              </w:rPr>
              <w:lastRenderedPageBreak/>
              <w:t>4.2</w:t>
            </w:r>
          </w:p>
        </w:tc>
        <w:tc>
          <w:tcPr>
            <w:tcW w:w="1418" w:type="dxa"/>
          </w:tcPr>
          <w:p w14:paraId="19C84B23"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OUTPUT:</w:t>
            </w:r>
            <w:r w:rsidRPr="00E1586C">
              <w:rPr>
                <w:rFonts w:cstheme="majorHAnsi"/>
                <w:color w:val="000000"/>
                <w:sz w:val="18"/>
                <w:szCs w:val="18"/>
                <w:shd w:val="clear" w:color="auto" w:fill="FFFFFF"/>
              </w:rPr>
              <w:t xml:space="preserve"> Health centres implementing PEN (adapted) as a percentage of total facilities, in %</w:t>
            </w:r>
          </w:p>
        </w:tc>
        <w:tc>
          <w:tcPr>
            <w:tcW w:w="1492" w:type="dxa"/>
          </w:tcPr>
          <w:p w14:paraId="33F7502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PEN (adapted) refers to a package of essential NCD interventions delivered through primary health care according to Tonga’s health systems context.</w:t>
            </w:r>
          </w:p>
          <w:p w14:paraId="31CA211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Numerator: Number of facilities implementing PEN (adapted) in a given year</w:t>
            </w:r>
          </w:p>
          <w:p w14:paraId="32632E3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Total number of facilities in the country in a given year x 100</w:t>
            </w:r>
          </w:p>
        </w:tc>
        <w:tc>
          <w:tcPr>
            <w:tcW w:w="1178" w:type="dxa"/>
            <w:shd w:val="clear" w:color="auto" w:fill="auto"/>
          </w:tcPr>
          <w:p w14:paraId="21EFDD4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Increase</w:t>
            </w:r>
          </w:p>
        </w:tc>
        <w:tc>
          <w:tcPr>
            <w:tcW w:w="1283" w:type="dxa"/>
            <w:shd w:val="clear" w:color="auto" w:fill="auto"/>
          </w:tcPr>
          <w:p w14:paraId="0A09A21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The M&amp;E Framework intended that this measure </w:t>
            </w:r>
            <w:r w:rsidRPr="00A318B9">
              <w:rPr>
                <w:rFonts w:cstheme="majorHAnsi"/>
                <w:noProof/>
                <w:color w:val="000000"/>
                <w:sz w:val="18"/>
                <w:szCs w:val="18"/>
                <w:shd w:val="clear" w:color="auto" w:fill="FFFFFF"/>
              </w:rPr>
              <w:t>be</w:t>
            </w:r>
            <w:r w:rsidRPr="00E1586C">
              <w:rPr>
                <w:rFonts w:cstheme="majorHAnsi"/>
                <w:color w:val="000000"/>
                <w:sz w:val="18"/>
                <w:szCs w:val="18"/>
                <w:shd w:val="clear" w:color="auto" w:fill="FFFFFF"/>
              </w:rPr>
              <w:t xml:space="preserve"> sourced from Community Health and MOH administrative records. The WHO PEN model has since </w:t>
            </w:r>
            <w:r w:rsidRPr="00A318B9">
              <w:rPr>
                <w:rFonts w:cstheme="majorHAnsi"/>
                <w:noProof/>
                <w:color w:val="000000"/>
                <w:sz w:val="18"/>
                <w:szCs w:val="18"/>
                <w:shd w:val="clear" w:color="auto" w:fill="FFFFFF"/>
              </w:rPr>
              <w:t>been absorbed</w:t>
            </w:r>
            <w:r w:rsidRPr="00E1586C">
              <w:rPr>
                <w:rFonts w:cstheme="majorHAnsi"/>
                <w:color w:val="000000"/>
                <w:sz w:val="18"/>
                <w:szCs w:val="18"/>
                <w:shd w:val="clear" w:color="auto" w:fill="FFFFFF"/>
              </w:rPr>
              <w:t xml:space="preserve"> into the PEHS.</w:t>
            </w:r>
          </w:p>
        </w:tc>
        <w:tc>
          <w:tcPr>
            <w:tcW w:w="1234" w:type="dxa"/>
            <w:shd w:val="clear" w:color="auto" w:fill="auto"/>
          </w:tcPr>
          <w:p w14:paraId="2E9C6BB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Will not be available until the essential package is determined and facility survey has </w:t>
            </w:r>
            <w:r w:rsidRPr="00A318B9">
              <w:rPr>
                <w:rFonts w:cstheme="majorHAnsi"/>
                <w:noProof/>
                <w:color w:val="000000"/>
                <w:sz w:val="18"/>
                <w:szCs w:val="18"/>
                <w:shd w:val="clear" w:color="auto" w:fill="FFFFFF"/>
              </w:rPr>
              <w:t>been conducted</w:t>
            </w:r>
          </w:p>
        </w:tc>
        <w:tc>
          <w:tcPr>
            <w:tcW w:w="2088" w:type="dxa"/>
            <w:shd w:val="clear" w:color="auto" w:fill="auto"/>
          </w:tcPr>
          <w:p w14:paraId="41DDA5D2" w14:textId="77777777" w:rsidR="000B54BD" w:rsidRPr="00E1586C" w:rsidRDefault="000B54BD" w:rsidP="00E97A3B">
            <w:pPr>
              <w:rPr>
                <w:rFonts w:cstheme="majorHAnsi"/>
                <w:color w:val="000000"/>
                <w:sz w:val="18"/>
                <w:szCs w:val="18"/>
                <w:shd w:val="clear" w:color="auto" w:fill="FFFFFF"/>
              </w:rPr>
            </w:pPr>
          </w:p>
        </w:tc>
        <w:tc>
          <w:tcPr>
            <w:tcW w:w="2268" w:type="dxa"/>
            <w:shd w:val="clear" w:color="auto" w:fill="auto"/>
          </w:tcPr>
          <w:p w14:paraId="6F2F4EAA" w14:textId="77777777" w:rsidR="000B54BD" w:rsidRPr="00E1586C" w:rsidRDefault="000B54BD" w:rsidP="00E97A3B">
            <w:pPr>
              <w:rPr>
                <w:rFonts w:cstheme="majorHAnsi"/>
                <w:color w:val="000000"/>
                <w:sz w:val="18"/>
                <w:szCs w:val="18"/>
                <w:shd w:val="clear" w:color="auto" w:fill="FFFFFF"/>
              </w:rPr>
            </w:pPr>
          </w:p>
        </w:tc>
        <w:tc>
          <w:tcPr>
            <w:tcW w:w="2727" w:type="dxa"/>
            <w:shd w:val="clear" w:color="auto" w:fill="auto"/>
          </w:tcPr>
          <w:p w14:paraId="04E9C6BF" w14:textId="77777777" w:rsidR="000B54BD" w:rsidRPr="00E1586C" w:rsidRDefault="000B54BD" w:rsidP="00E97A3B">
            <w:pPr>
              <w:rPr>
                <w:rFonts w:cstheme="majorHAnsi"/>
                <w:sz w:val="18"/>
                <w:szCs w:val="18"/>
              </w:rPr>
            </w:pPr>
            <w:r w:rsidRPr="00E1586C">
              <w:rPr>
                <w:rFonts w:cstheme="majorHAnsi"/>
                <w:sz w:val="18"/>
                <w:szCs w:val="18"/>
              </w:rPr>
              <w:t xml:space="preserve">This indicator is reliant upon and incorporated in the PEHS. The PEHS baseline study indicated that NCD services are not reliably available at all health facilities. The baseline indicated that the best performance was in </w:t>
            </w:r>
            <w:r w:rsidRPr="00A318B9">
              <w:rPr>
                <w:rFonts w:cstheme="majorHAnsi"/>
                <w:noProof/>
                <w:sz w:val="18"/>
                <w:szCs w:val="18"/>
              </w:rPr>
              <w:t>availability</w:t>
            </w:r>
            <w:r w:rsidRPr="00E1586C">
              <w:rPr>
                <w:rFonts w:cstheme="majorHAnsi"/>
                <w:sz w:val="18"/>
                <w:szCs w:val="18"/>
              </w:rPr>
              <w:t xml:space="preserve"> of drugs for cardiovascular conditions, diabetes and prevention of acute rheumatic fever.</w:t>
            </w:r>
          </w:p>
        </w:tc>
      </w:tr>
      <w:tr w:rsidR="000B54BD" w:rsidRPr="00E1586C" w14:paraId="1356BE79" w14:textId="77777777" w:rsidTr="00E97A3B">
        <w:trPr>
          <w:trHeight w:val="306"/>
        </w:trPr>
        <w:tc>
          <w:tcPr>
            <w:tcW w:w="487" w:type="dxa"/>
          </w:tcPr>
          <w:p w14:paraId="4AA69278" w14:textId="77777777" w:rsidR="000B54BD" w:rsidRPr="00E1586C" w:rsidRDefault="000B54BD" w:rsidP="00E97A3B">
            <w:pPr>
              <w:rPr>
                <w:rFonts w:cstheme="majorHAnsi"/>
                <w:sz w:val="18"/>
                <w:szCs w:val="18"/>
              </w:rPr>
            </w:pPr>
            <w:r w:rsidRPr="00E1586C">
              <w:rPr>
                <w:rFonts w:cstheme="majorHAnsi"/>
                <w:sz w:val="18"/>
                <w:szCs w:val="18"/>
              </w:rPr>
              <w:t>4.3</w:t>
            </w:r>
          </w:p>
        </w:tc>
        <w:tc>
          <w:tcPr>
            <w:tcW w:w="1418" w:type="dxa"/>
          </w:tcPr>
          <w:p w14:paraId="734DF276"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 xml:space="preserve">OUTCOME: </w:t>
            </w:r>
            <w:r w:rsidRPr="00E1586C">
              <w:rPr>
                <w:rFonts w:cstheme="majorHAnsi"/>
                <w:color w:val="000000"/>
                <w:sz w:val="18"/>
                <w:szCs w:val="18"/>
                <w:shd w:val="clear" w:color="auto" w:fill="FFFFFF"/>
              </w:rPr>
              <w:t>Ratio of new NCD cases to 1000 population</w:t>
            </w:r>
          </w:p>
        </w:tc>
        <w:tc>
          <w:tcPr>
            <w:tcW w:w="1492" w:type="dxa"/>
          </w:tcPr>
          <w:p w14:paraId="105B962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This indicator may initially rise as improved care results in cases </w:t>
            </w:r>
            <w:r w:rsidRPr="00A318B9">
              <w:rPr>
                <w:rFonts w:cstheme="majorHAnsi"/>
                <w:noProof/>
                <w:color w:val="000000"/>
                <w:sz w:val="18"/>
                <w:szCs w:val="18"/>
                <w:shd w:val="clear" w:color="auto" w:fill="FFFFFF"/>
              </w:rPr>
              <w:t>being detected</w:t>
            </w:r>
            <w:r w:rsidRPr="00E1586C">
              <w:rPr>
                <w:rFonts w:cstheme="majorHAnsi"/>
                <w:color w:val="000000"/>
                <w:sz w:val="18"/>
                <w:szCs w:val="18"/>
                <w:shd w:val="clear" w:color="auto" w:fill="FFFFFF"/>
              </w:rPr>
              <w:t xml:space="preserve"> earlier. Both </w:t>
            </w:r>
            <w:r w:rsidRPr="00E1586C">
              <w:rPr>
                <w:rFonts w:cstheme="majorHAnsi"/>
                <w:color w:val="000000"/>
                <w:sz w:val="18"/>
                <w:szCs w:val="18"/>
                <w:shd w:val="clear" w:color="auto" w:fill="FFFFFF"/>
              </w:rPr>
              <w:lastRenderedPageBreak/>
              <w:t xml:space="preserve">diabetes and hypertension (cardiovascular disease) </w:t>
            </w:r>
            <w:r w:rsidRPr="00A318B9">
              <w:rPr>
                <w:rFonts w:cstheme="majorHAnsi"/>
                <w:noProof/>
                <w:color w:val="000000"/>
                <w:sz w:val="18"/>
                <w:szCs w:val="18"/>
                <w:shd w:val="clear" w:color="auto" w:fill="FFFFFF"/>
              </w:rPr>
              <w:t>are included</w:t>
            </w:r>
            <w:r w:rsidRPr="00E1586C">
              <w:rPr>
                <w:rFonts w:cstheme="majorHAnsi"/>
                <w:color w:val="000000"/>
                <w:sz w:val="18"/>
                <w:szCs w:val="18"/>
                <w:shd w:val="clear" w:color="auto" w:fill="FFFFFF"/>
              </w:rPr>
              <w:t xml:space="preserve"> because many people have both conditions. The data provided do not double count individuals.</w:t>
            </w:r>
          </w:p>
          <w:p w14:paraId="249BFE4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Numerator: Number of new cases (diabetes </w:t>
            </w:r>
            <w:r w:rsidRPr="00A318B9">
              <w:rPr>
                <w:rFonts w:cstheme="majorHAnsi"/>
                <w:noProof/>
                <w:color w:val="000000"/>
                <w:sz w:val="18"/>
                <w:szCs w:val="18"/>
                <w:shd w:val="clear" w:color="auto" w:fill="FFFFFF"/>
              </w:rPr>
              <w:t>and/or</w:t>
            </w:r>
            <w:r w:rsidRPr="00E1586C">
              <w:rPr>
                <w:rFonts w:cstheme="majorHAnsi"/>
                <w:color w:val="000000"/>
                <w:sz w:val="18"/>
                <w:szCs w:val="18"/>
                <w:shd w:val="clear" w:color="auto" w:fill="FFFFFF"/>
              </w:rPr>
              <w:t xml:space="preserve"> hypertension) identified by NCD nurses and clinics in one year</w:t>
            </w:r>
          </w:p>
          <w:p w14:paraId="0F75E44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Current population estimate of the mid-year population</w:t>
            </w:r>
          </w:p>
        </w:tc>
        <w:tc>
          <w:tcPr>
            <w:tcW w:w="1178" w:type="dxa"/>
            <w:shd w:val="clear" w:color="auto" w:fill="auto"/>
          </w:tcPr>
          <w:p w14:paraId="38C3110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 xml:space="preserve">Initially increase as a result of earlier detection, </w:t>
            </w:r>
            <w:r w:rsidRPr="00E1586C">
              <w:rPr>
                <w:rFonts w:cstheme="majorHAnsi"/>
                <w:color w:val="000000"/>
                <w:sz w:val="18"/>
                <w:szCs w:val="18"/>
                <w:shd w:val="clear" w:color="auto" w:fill="FFFFFF"/>
              </w:rPr>
              <w:lastRenderedPageBreak/>
              <w:t>and then decline</w:t>
            </w:r>
          </w:p>
        </w:tc>
        <w:tc>
          <w:tcPr>
            <w:tcW w:w="1283" w:type="dxa"/>
            <w:shd w:val="clear" w:color="auto" w:fill="auto"/>
          </w:tcPr>
          <w:p w14:paraId="2E71B50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Community health, MOH</w:t>
            </w:r>
          </w:p>
        </w:tc>
        <w:tc>
          <w:tcPr>
            <w:tcW w:w="1234" w:type="dxa"/>
          </w:tcPr>
          <w:p w14:paraId="5B39B15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2014 (Only for </w:t>
            </w:r>
            <w:r w:rsidRPr="00A318B9">
              <w:rPr>
                <w:rFonts w:cstheme="majorHAnsi"/>
                <w:noProof/>
                <w:color w:val="000000"/>
                <w:sz w:val="18"/>
                <w:szCs w:val="18"/>
                <w:shd w:val="clear" w:color="auto" w:fill="FFFFFF"/>
              </w:rPr>
              <w:t>7</w:t>
            </w:r>
            <w:r w:rsidRPr="00E1586C">
              <w:rPr>
                <w:rFonts w:cstheme="majorHAnsi"/>
                <w:color w:val="000000"/>
                <w:sz w:val="18"/>
                <w:szCs w:val="18"/>
                <w:shd w:val="clear" w:color="auto" w:fill="FFFFFF"/>
              </w:rPr>
              <w:t xml:space="preserve"> clinics in Tongatapu Island)</w:t>
            </w:r>
          </w:p>
          <w:p w14:paraId="4F5454F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3.9 per 1000</w:t>
            </w:r>
          </w:p>
          <w:p w14:paraId="714CF1E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Diabetes (including diabetes and hypertension)</w:t>
            </w:r>
          </w:p>
          <w:p w14:paraId="2FE836A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2.3 per 1000</w:t>
            </w:r>
          </w:p>
          <w:p w14:paraId="7A849BEC"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Hypertension </w:t>
            </w:r>
            <w:r>
              <w:rPr>
                <w:rFonts w:cstheme="majorHAnsi"/>
                <w:color w:val="000000"/>
                <w:sz w:val="18"/>
                <w:szCs w:val="18"/>
                <w:shd w:val="clear" w:color="auto" w:fill="FFFFFF"/>
              </w:rPr>
              <w:t xml:space="preserve">- </w:t>
            </w:r>
            <w:r w:rsidRPr="00E1586C">
              <w:rPr>
                <w:rFonts w:cstheme="majorHAnsi"/>
                <w:color w:val="000000"/>
                <w:sz w:val="18"/>
                <w:szCs w:val="18"/>
                <w:shd w:val="clear" w:color="auto" w:fill="FFFFFF"/>
              </w:rPr>
              <w:t>including diabetes and hypertensio</w:t>
            </w:r>
            <w:r>
              <w:rPr>
                <w:rFonts w:cstheme="majorHAnsi"/>
                <w:color w:val="000000"/>
                <w:sz w:val="18"/>
                <w:szCs w:val="18"/>
                <w:shd w:val="clear" w:color="auto" w:fill="FFFFFF"/>
              </w:rPr>
              <w:t>n</w:t>
            </w:r>
          </w:p>
          <w:p w14:paraId="4C5E99F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2.3 per 1000</w:t>
            </w:r>
          </w:p>
          <w:p w14:paraId="644605BA" w14:textId="77777777" w:rsidR="000B54BD" w:rsidRPr="00E1586C" w:rsidRDefault="000B54BD" w:rsidP="00E97A3B">
            <w:pPr>
              <w:rPr>
                <w:rFonts w:cstheme="majorHAnsi"/>
                <w:color w:val="000000"/>
                <w:sz w:val="18"/>
                <w:szCs w:val="18"/>
                <w:shd w:val="clear" w:color="auto" w:fill="FFFFFF"/>
              </w:rPr>
            </w:pPr>
          </w:p>
        </w:tc>
        <w:tc>
          <w:tcPr>
            <w:tcW w:w="2088" w:type="dxa"/>
            <w:shd w:val="clear" w:color="auto" w:fill="auto"/>
          </w:tcPr>
          <w:p w14:paraId="6D569EB6" w14:textId="77777777" w:rsidR="000B54BD" w:rsidRPr="00E1586C" w:rsidRDefault="000B54BD" w:rsidP="00E97A3B">
            <w:pPr>
              <w:rPr>
                <w:rFonts w:cstheme="majorHAnsi"/>
                <w:color w:val="000000"/>
                <w:sz w:val="18"/>
                <w:szCs w:val="18"/>
                <w:shd w:val="clear" w:color="auto" w:fill="FFFFFF"/>
              </w:rPr>
            </w:pPr>
          </w:p>
        </w:tc>
        <w:tc>
          <w:tcPr>
            <w:tcW w:w="2268" w:type="dxa"/>
            <w:shd w:val="clear" w:color="auto" w:fill="auto"/>
          </w:tcPr>
          <w:p w14:paraId="2F13ACC5" w14:textId="77777777" w:rsidR="000B54BD" w:rsidRPr="00E1586C" w:rsidRDefault="000B54BD" w:rsidP="00E97A3B">
            <w:pPr>
              <w:jc w:val="center"/>
              <w:rPr>
                <w:rFonts w:cstheme="majorHAnsi"/>
                <w:sz w:val="18"/>
                <w:szCs w:val="18"/>
              </w:rPr>
            </w:pPr>
          </w:p>
        </w:tc>
        <w:tc>
          <w:tcPr>
            <w:tcW w:w="2727" w:type="dxa"/>
            <w:shd w:val="clear" w:color="auto" w:fill="auto"/>
          </w:tcPr>
          <w:p w14:paraId="20D7D6C3" w14:textId="77777777" w:rsidR="000B54BD" w:rsidRPr="00E1586C" w:rsidRDefault="000B54BD" w:rsidP="00E97A3B">
            <w:pPr>
              <w:rPr>
                <w:rFonts w:cstheme="majorHAnsi"/>
                <w:color w:val="000000"/>
                <w:sz w:val="18"/>
                <w:szCs w:val="18"/>
                <w:shd w:val="clear" w:color="auto" w:fill="FFFFFF"/>
              </w:rPr>
            </w:pPr>
            <w:r w:rsidRPr="00E1586C">
              <w:rPr>
                <w:rFonts w:cstheme="majorHAnsi"/>
                <w:sz w:val="18"/>
                <w:szCs w:val="18"/>
              </w:rPr>
              <w:t xml:space="preserve">New and existing cases of all NCDs reported by NCD nurses around the country but the number of new cases </w:t>
            </w:r>
            <w:r w:rsidRPr="00A318B9">
              <w:rPr>
                <w:rFonts w:cstheme="majorHAnsi"/>
                <w:noProof/>
                <w:sz w:val="18"/>
                <w:szCs w:val="18"/>
              </w:rPr>
              <w:t>is</w:t>
            </w:r>
            <w:r w:rsidRPr="00E1586C">
              <w:rPr>
                <w:rFonts w:cstheme="majorHAnsi"/>
                <w:sz w:val="18"/>
                <w:szCs w:val="18"/>
              </w:rPr>
              <w:t xml:space="preserve"> not reported in the MoH annual </w:t>
            </w:r>
            <w:r w:rsidRPr="00E1586C">
              <w:rPr>
                <w:rFonts w:cstheme="majorHAnsi"/>
                <w:sz w:val="18"/>
                <w:szCs w:val="18"/>
              </w:rPr>
              <w:lastRenderedPageBreak/>
              <w:t>report and relevant quarterly reports not accessible.</w:t>
            </w:r>
          </w:p>
        </w:tc>
      </w:tr>
      <w:tr w:rsidR="000B54BD" w:rsidRPr="00E1586C" w14:paraId="0BBA06DB" w14:textId="77777777" w:rsidTr="00E97A3B">
        <w:trPr>
          <w:trHeight w:val="306"/>
        </w:trPr>
        <w:tc>
          <w:tcPr>
            <w:tcW w:w="487" w:type="dxa"/>
          </w:tcPr>
          <w:p w14:paraId="01D5F450" w14:textId="77777777" w:rsidR="000B54BD" w:rsidRPr="00E1586C" w:rsidRDefault="000B54BD" w:rsidP="00E97A3B">
            <w:pPr>
              <w:rPr>
                <w:rFonts w:cstheme="majorHAnsi"/>
                <w:sz w:val="18"/>
                <w:szCs w:val="18"/>
              </w:rPr>
            </w:pPr>
            <w:r w:rsidRPr="00E1586C">
              <w:rPr>
                <w:rFonts w:cstheme="majorHAnsi"/>
                <w:sz w:val="18"/>
                <w:szCs w:val="18"/>
              </w:rPr>
              <w:lastRenderedPageBreak/>
              <w:t>4.4</w:t>
            </w:r>
          </w:p>
        </w:tc>
        <w:tc>
          <w:tcPr>
            <w:tcW w:w="1418" w:type="dxa"/>
          </w:tcPr>
          <w:p w14:paraId="080A5810"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OUTCOME:</w:t>
            </w:r>
            <w:r w:rsidRPr="00E1586C">
              <w:rPr>
                <w:rFonts w:cstheme="majorHAnsi"/>
                <w:color w:val="000000"/>
                <w:sz w:val="18"/>
                <w:szCs w:val="18"/>
                <w:shd w:val="clear" w:color="auto" w:fill="FFFFFF"/>
              </w:rPr>
              <w:t xml:space="preserve"> Default rate as % of all registered people with NCD, %</w:t>
            </w:r>
          </w:p>
        </w:tc>
        <w:tc>
          <w:tcPr>
            <w:tcW w:w="1492" w:type="dxa"/>
          </w:tcPr>
          <w:p w14:paraId="0FE11DB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NCD register refers to data on demographic characteristics, risk factors and clinical measurements for every NCD (i.e. diabetes and hypertension) in the country.</w:t>
            </w:r>
          </w:p>
          <w:p w14:paraId="4A3E571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Defaulters are those NCD patients who are in the NCD register but fail to visit NCD centres for health monitoring and management of diabetes or hypertension</w:t>
            </w:r>
          </w:p>
          <w:p w14:paraId="549F882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Numerator: Number of defaulters in a given year</w:t>
            </w:r>
          </w:p>
          <w:p w14:paraId="0736EEE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All registered people with diabetes and hypertension in a given year  x 100</w:t>
            </w:r>
          </w:p>
        </w:tc>
        <w:tc>
          <w:tcPr>
            <w:tcW w:w="1178" w:type="dxa"/>
            <w:shd w:val="clear" w:color="auto" w:fill="auto"/>
          </w:tcPr>
          <w:p w14:paraId="6178BAC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Reduction</w:t>
            </w:r>
          </w:p>
        </w:tc>
        <w:tc>
          <w:tcPr>
            <w:tcW w:w="1283" w:type="dxa"/>
            <w:shd w:val="clear" w:color="auto" w:fill="auto"/>
          </w:tcPr>
          <w:p w14:paraId="6FA19B4F"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Community Health, MOH</w:t>
            </w:r>
          </w:p>
          <w:p w14:paraId="25D0290D" w14:textId="77777777" w:rsidR="000B54BD" w:rsidRPr="00E1586C" w:rsidRDefault="000B54BD" w:rsidP="00E97A3B">
            <w:pPr>
              <w:rPr>
                <w:rFonts w:cstheme="majorHAnsi"/>
                <w:color w:val="000000"/>
                <w:sz w:val="18"/>
                <w:szCs w:val="18"/>
                <w:shd w:val="clear" w:color="auto" w:fill="FFFFFF"/>
              </w:rPr>
            </w:pPr>
          </w:p>
          <w:p w14:paraId="3DC39B3C" w14:textId="77777777" w:rsidR="000B54BD" w:rsidRPr="00E1586C" w:rsidRDefault="000B54BD" w:rsidP="00E97A3B">
            <w:pPr>
              <w:rPr>
                <w:rFonts w:cstheme="majorHAnsi"/>
                <w:color w:val="000000"/>
                <w:sz w:val="18"/>
                <w:szCs w:val="18"/>
                <w:shd w:val="clear" w:color="auto" w:fill="FFFFFF"/>
              </w:rPr>
            </w:pPr>
          </w:p>
        </w:tc>
        <w:tc>
          <w:tcPr>
            <w:tcW w:w="1234" w:type="dxa"/>
          </w:tcPr>
          <w:p w14:paraId="1427198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2014 (Only for </w:t>
            </w:r>
            <w:r w:rsidRPr="00A318B9">
              <w:rPr>
                <w:rFonts w:cstheme="majorHAnsi"/>
                <w:noProof/>
                <w:color w:val="000000"/>
                <w:sz w:val="18"/>
                <w:szCs w:val="18"/>
                <w:shd w:val="clear" w:color="auto" w:fill="FFFFFF"/>
              </w:rPr>
              <w:t>7</w:t>
            </w:r>
            <w:r w:rsidRPr="00E1586C">
              <w:rPr>
                <w:rFonts w:cstheme="majorHAnsi"/>
                <w:color w:val="000000"/>
                <w:sz w:val="18"/>
                <w:szCs w:val="18"/>
                <w:shd w:val="clear" w:color="auto" w:fill="FFFFFF"/>
              </w:rPr>
              <w:t xml:space="preserve"> clinics in Tongatapu Island)</w:t>
            </w:r>
          </w:p>
          <w:p w14:paraId="3B0B0385"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Females:</w:t>
            </w:r>
            <w:r w:rsidRPr="00E1586C">
              <w:rPr>
                <w:rFonts w:cstheme="majorHAnsi"/>
                <w:color w:val="000000"/>
                <w:sz w:val="18"/>
                <w:szCs w:val="18"/>
                <w:shd w:val="clear" w:color="auto" w:fill="FFFFFF"/>
              </w:rPr>
              <w:br/>
              <w:t>5.4 %</w:t>
            </w:r>
          </w:p>
          <w:p w14:paraId="3092D6F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Males:</w:t>
            </w:r>
            <w:r w:rsidRPr="00E1586C">
              <w:rPr>
                <w:rFonts w:cstheme="majorHAnsi"/>
                <w:color w:val="000000"/>
                <w:sz w:val="18"/>
                <w:szCs w:val="18"/>
                <w:shd w:val="clear" w:color="auto" w:fill="FFFFFF"/>
              </w:rPr>
              <w:br/>
              <w:t>6.4 %</w:t>
            </w:r>
          </w:p>
          <w:p w14:paraId="0C4E814E"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Both Sexes:</w:t>
            </w:r>
            <w:r w:rsidRPr="00E1586C">
              <w:rPr>
                <w:rFonts w:cstheme="majorHAnsi"/>
                <w:color w:val="000000"/>
                <w:sz w:val="18"/>
                <w:szCs w:val="18"/>
                <w:shd w:val="clear" w:color="auto" w:fill="FFFFFF"/>
              </w:rPr>
              <w:br/>
              <w:t>5.8 %</w:t>
            </w:r>
          </w:p>
          <w:p w14:paraId="3AC33533" w14:textId="77777777" w:rsidR="000B54BD" w:rsidRPr="00E1586C" w:rsidRDefault="000B54BD" w:rsidP="00E97A3B">
            <w:pPr>
              <w:rPr>
                <w:rFonts w:cstheme="majorHAnsi"/>
                <w:color w:val="000000"/>
                <w:sz w:val="18"/>
                <w:szCs w:val="18"/>
                <w:shd w:val="clear" w:color="auto" w:fill="FFFFFF"/>
              </w:rPr>
            </w:pPr>
          </w:p>
        </w:tc>
        <w:tc>
          <w:tcPr>
            <w:tcW w:w="2088" w:type="dxa"/>
            <w:shd w:val="clear" w:color="auto" w:fill="auto"/>
          </w:tcPr>
          <w:p w14:paraId="6DDCB147" w14:textId="77777777" w:rsidR="000B54BD" w:rsidRPr="00E1586C" w:rsidRDefault="000B54BD" w:rsidP="00E97A3B">
            <w:pPr>
              <w:rPr>
                <w:rFonts w:cstheme="majorHAnsi"/>
                <w:color w:val="000000"/>
                <w:sz w:val="18"/>
                <w:szCs w:val="18"/>
                <w:shd w:val="clear" w:color="auto" w:fill="FFFFFF"/>
              </w:rPr>
            </w:pPr>
          </w:p>
        </w:tc>
        <w:tc>
          <w:tcPr>
            <w:tcW w:w="2268" w:type="dxa"/>
            <w:shd w:val="clear" w:color="auto" w:fill="auto"/>
          </w:tcPr>
          <w:p w14:paraId="4689E322" w14:textId="77777777" w:rsidR="000B54BD" w:rsidRPr="00E1586C" w:rsidRDefault="000B54BD" w:rsidP="00E97A3B">
            <w:pPr>
              <w:rPr>
                <w:rFonts w:cstheme="majorHAnsi"/>
                <w:color w:val="000000"/>
                <w:sz w:val="18"/>
                <w:szCs w:val="18"/>
                <w:shd w:val="clear" w:color="auto" w:fill="FFFFFF"/>
              </w:rPr>
            </w:pPr>
          </w:p>
        </w:tc>
        <w:tc>
          <w:tcPr>
            <w:tcW w:w="2727" w:type="dxa"/>
            <w:shd w:val="clear" w:color="auto" w:fill="auto"/>
          </w:tcPr>
          <w:p w14:paraId="32DB7063" w14:textId="77777777" w:rsidR="000B54BD" w:rsidRPr="00E1586C" w:rsidRDefault="0080075C" w:rsidP="00E97A3B">
            <w:pPr>
              <w:rPr>
                <w:rFonts w:cstheme="majorHAnsi"/>
                <w:color w:val="000000"/>
                <w:sz w:val="18"/>
                <w:szCs w:val="18"/>
                <w:shd w:val="clear" w:color="auto" w:fill="FFFFFF"/>
              </w:rPr>
            </w:pPr>
            <w:r>
              <w:rPr>
                <w:rFonts w:cstheme="majorHAnsi"/>
                <w:sz w:val="18"/>
                <w:szCs w:val="18"/>
              </w:rPr>
              <w:t>I</w:t>
            </w:r>
            <w:r w:rsidR="000B54BD" w:rsidRPr="00E1586C">
              <w:rPr>
                <w:rFonts w:cstheme="majorHAnsi"/>
                <w:sz w:val="18"/>
                <w:szCs w:val="18"/>
              </w:rPr>
              <w:t xml:space="preserve">nformation </w:t>
            </w:r>
            <w:r w:rsidR="002E15BC">
              <w:rPr>
                <w:rFonts w:cstheme="majorHAnsi"/>
                <w:sz w:val="18"/>
                <w:szCs w:val="18"/>
              </w:rPr>
              <w:t xml:space="preserve">(from health workers) </w:t>
            </w:r>
            <w:r w:rsidR="000B54BD" w:rsidRPr="00E1586C">
              <w:rPr>
                <w:rFonts w:cstheme="majorHAnsi"/>
                <w:sz w:val="18"/>
                <w:szCs w:val="18"/>
              </w:rPr>
              <w:t xml:space="preserve">suggests this measure </w:t>
            </w:r>
            <w:r w:rsidR="000B54BD" w:rsidRPr="00A318B9">
              <w:rPr>
                <w:rFonts w:cstheme="majorHAnsi"/>
                <w:noProof/>
                <w:sz w:val="18"/>
                <w:szCs w:val="18"/>
              </w:rPr>
              <w:t>is captured</w:t>
            </w:r>
            <w:r w:rsidR="000B54BD" w:rsidRPr="00E1586C">
              <w:rPr>
                <w:rFonts w:cstheme="majorHAnsi"/>
                <w:sz w:val="18"/>
                <w:szCs w:val="18"/>
              </w:rPr>
              <w:t xml:space="preserve"> by NCD nurses but report not accessible.</w:t>
            </w:r>
          </w:p>
          <w:p w14:paraId="2773420F" w14:textId="77777777" w:rsidR="000B54BD" w:rsidRPr="00E1586C" w:rsidRDefault="000B54BD" w:rsidP="00E97A3B">
            <w:pPr>
              <w:rPr>
                <w:rFonts w:cstheme="majorHAnsi"/>
                <w:color w:val="000000"/>
                <w:sz w:val="18"/>
                <w:szCs w:val="18"/>
                <w:shd w:val="clear" w:color="auto" w:fill="FFFFFF"/>
              </w:rPr>
            </w:pPr>
          </w:p>
        </w:tc>
      </w:tr>
      <w:tr w:rsidR="000B54BD" w:rsidRPr="00E1586C" w14:paraId="22E42918" w14:textId="77777777" w:rsidTr="00E97A3B">
        <w:trPr>
          <w:trHeight w:val="306"/>
        </w:trPr>
        <w:tc>
          <w:tcPr>
            <w:tcW w:w="487" w:type="dxa"/>
          </w:tcPr>
          <w:p w14:paraId="7AA5A505" w14:textId="77777777" w:rsidR="000B54BD" w:rsidRPr="00E1586C" w:rsidRDefault="000B54BD" w:rsidP="00E97A3B">
            <w:pPr>
              <w:rPr>
                <w:rFonts w:cstheme="majorHAnsi"/>
                <w:sz w:val="18"/>
                <w:szCs w:val="18"/>
              </w:rPr>
            </w:pPr>
            <w:r w:rsidRPr="00E1586C">
              <w:rPr>
                <w:rFonts w:cstheme="majorHAnsi"/>
                <w:sz w:val="18"/>
                <w:szCs w:val="18"/>
              </w:rPr>
              <w:t>4.5</w:t>
            </w:r>
          </w:p>
        </w:tc>
        <w:tc>
          <w:tcPr>
            <w:tcW w:w="1418" w:type="dxa"/>
          </w:tcPr>
          <w:p w14:paraId="3FB8AA20"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IMPACT</w:t>
            </w:r>
            <w:r w:rsidRPr="00E1586C">
              <w:rPr>
                <w:rFonts w:cstheme="majorHAnsi"/>
                <w:color w:val="000000"/>
                <w:sz w:val="18"/>
                <w:szCs w:val="18"/>
                <w:shd w:val="clear" w:color="auto" w:fill="FFFFFF"/>
              </w:rPr>
              <w:t>: Average length of hospital stay due to medical and surgical conditions, mean</w:t>
            </w:r>
          </w:p>
        </w:tc>
        <w:tc>
          <w:tcPr>
            <w:tcW w:w="1492" w:type="dxa"/>
          </w:tcPr>
          <w:p w14:paraId="2A636A7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Length of hospital stay refers to the total number of days spent in hospital due to medical and surgical conditions. The data presented cover ONLY the main hospitals in the country.</w:t>
            </w:r>
          </w:p>
          <w:p w14:paraId="42F80CB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Numerator: Total number of days spent in hospital </w:t>
            </w:r>
            <w:r w:rsidRPr="00E1586C">
              <w:rPr>
                <w:rFonts w:cstheme="majorHAnsi"/>
                <w:color w:val="000000"/>
                <w:sz w:val="18"/>
                <w:szCs w:val="18"/>
                <w:shd w:val="clear" w:color="auto" w:fill="FFFFFF"/>
              </w:rPr>
              <w:lastRenderedPageBreak/>
              <w:t>due to medical and surgical conditions in a given year</w:t>
            </w:r>
          </w:p>
          <w:p w14:paraId="410D2FEF"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Total number of discharges in the year  x 100</w:t>
            </w:r>
          </w:p>
        </w:tc>
        <w:tc>
          <w:tcPr>
            <w:tcW w:w="1178" w:type="dxa"/>
            <w:shd w:val="clear" w:color="auto" w:fill="auto"/>
          </w:tcPr>
          <w:p w14:paraId="31F4C109"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Reduction</w:t>
            </w:r>
          </w:p>
        </w:tc>
        <w:tc>
          <w:tcPr>
            <w:tcW w:w="1283" w:type="dxa"/>
            <w:shd w:val="clear" w:color="auto" w:fill="auto"/>
          </w:tcPr>
          <w:p w14:paraId="159E4E9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Electronic medical record </w:t>
            </w:r>
          </w:p>
          <w:p w14:paraId="753A966D" w14:textId="77777777" w:rsidR="000B54BD" w:rsidRPr="00E1586C" w:rsidRDefault="000B54BD" w:rsidP="00E97A3B">
            <w:pPr>
              <w:rPr>
                <w:rFonts w:cstheme="majorHAnsi"/>
                <w:b/>
                <w:i/>
                <w:color w:val="000000"/>
                <w:sz w:val="18"/>
                <w:szCs w:val="18"/>
                <w:shd w:val="clear" w:color="auto" w:fill="FFFFFF"/>
              </w:rPr>
            </w:pPr>
            <w:r w:rsidRPr="00E1586C">
              <w:rPr>
                <w:rFonts w:cstheme="majorHAnsi"/>
                <w:b/>
                <w:i/>
                <w:color w:val="000000"/>
                <w:sz w:val="18"/>
                <w:szCs w:val="18"/>
                <w:shd w:val="clear" w:color="auto" w:fill="FFFFFF"/>
              </w:rPr>
              <w:t xml:space="preserve">In the absence of HIS data, MoH Annual Reports </w:t>
            </w:r>
            <w:r w:rsidRPr="00A318B9">
              <w:rPr>
                <w:rFonts w:cstheme="majorHAnsi"/>
                <w:b/>
                <w:i/>
                <w:noProof/>
                <w:color w:val="000000"/>
                <w:sz w:val="18"/>
                <w:szCs w:val="18"/>
                <w:shd w:val="clear" w:color="auto" w:fill="FFFFFF"/>
              </w:rPr>
              <w:t>were used</w:t>
            </w:r>
            <w:r w:rsidRPr="00E1586C">
              <w:rPr>
                <w:rFonts w:cstheme="majorHAnsi"/>
                <w:b/>
                <w:i/>
                <w:color w:val="000000"/>
                <w:sz w:val="18"/>
                <w:szCs w:val="18"/>
                <w:shd w:val="clear" w:color="auto" w:fill="FFFFFF"/>
              </w:rPr>
              <w:t xml:space="preserve"> </w:t>
            </w:r>
          </w:p>
        </w:tc>
        <w:tc>
          <w:tcPr>
            <w:tcW w:w="1234" w:type="dxa"/>
          </w:tcPr>
          <w:p w14:paraId="63A9D90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2015</w:t>
            </w:r>
          </w:p>
          <w:p w14:paraId="05F8682C"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Females:</w:t>
            </w:r>
            <w:r w:rsidRPr="00E1586C">
              <w:rPr>
                <w:rFonts w:cstheme="majorHAnsi"/>
                <w:color w:val="000000"/>
                <w:sz w:val="18"/>
                <w:szCs w:val="18"/>
                <w:shd w:val="clear" w:color="auto" w:fill="FFFFFF"/>
              </w:rPr>
              <w:br/>
              <w:t>13.93 days</w:t>
            </w:r>
          </w:p>
          <w:p w14:paraId="25C1060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Males:</w:t>
            </w:r>
            <w:r w:rsidRPr="00E1586C">
              <w:rPr>
                <w:rFonts w:cstheme="majorHAnsi"/>
                <w:color w:val="000000"/>
                <w:sz w:val="18"/>
                <w:szCs w:val="18"/>
                <w:shd w:val="clear" w:color="auto" w:fill="FFFFFF"/>
              </w:rPr>
              <w:br/>
              <w:t>12.59 days</w:t>
            </w:r>
          </w:p>
          <w:p w14:paraId="7911DEAF"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Both Sexes:</w:t>
            </w:r>
            <w:r w:rsidRPr="00E1586C">
              <w:rPr>
                <w:rFonts w:cstheme="majorHAnsi"/>
                <w:color w:val="000000"/>
                <w:sz w:val="18"/>
                <w:szCs w:val="18"/>
                <w:shd w:val="clear" w:color="auto" w:fill="FFFFFF"/>
              </w:rPr>
              <w:br/>
              <w:t>13.19 days</w:t>
            </w:r>
          </w:p>
          <w:p w14:paraId="3D98E818" w14:textId="77777777" w:rsidR="000B54BD" w:rsidRPr="00E1586C" w:rsidRDefault="000B54BD" w:rsidP="00E97A3B">
            <w:pPr>
              <w:rPr>
                <w:rFonts w:cstheme="majorHAnsi"/>
                <w:color w:val="000000"/>
                <w:sz w:val="18"/>
                <w:szCs w:val="18"/>
                <w:shd w:val="clear" w:color="auto" w:fill="FFFFFF"/>
              </w:rPr>
            </w:pPr>
          </w:p>
        </w:tc>
        <w:tc>
          <w:tcPr>
            <w:tcW w:w="2088" w:type="dxa"/>
            <w:shd w:val="clear" w:color="auto" w:fill="auto"/>
          </w:tcPr>
          <w:p w14:paraId="2E0CB8C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2015: Average length of stay for Vaiola Hospital:</w:t>
            </w:r>
          </w:p>
          <w:p w14:paraId="3918D4B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Medical ward 5.1 days (all)</w:t>
            </w:r>
          </w:p>
          <w:p w14:paraId="08A5ACC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Surgical ward was 8.0 days (all)</w:t>
            </w:r>
          </w:p>
          <w:p w14:paraId="56E2138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(Source: MoH Annual Report 2015)</w:t>
            </w:r>
          </w:p>
        </w:tc>
        <w:tc>
          <w:tcPr>
            <w:tcW w:w="2268" w:type="dxa"/>
            <w:shd w:val="clear" w:color="auto" w:fill="FFFF66"/>
          </w:tcPr>
          <w:p w14:paraId="3A13F59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2016: Average length of stay for Vaiola Hospital:</w:t>
            </w:r>
          </w:p>
          <w:p w14:paraId="2AC169A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Medical ward 5.1 days (all)</w:t>
            </w:r>
          </w:p>
          <w:p w14:paraId="58FE6C8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Surgical ward was 8.5 days (all)</w:t>
            </w:r>
          </w:p>
          <w:p w14:paraId="339565FC"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(Source: MoH Annual Report 2016)</w:t>
            </w:r>
          </w:p>
        </w:tc>
        <w:tc>
          <w:tcPr>
            <w:tcW w:w="2727" w:type="dxa"/>
            <w:shd w:val="clear" w:color="auto" w:fill="auto"/>
          </w:tcPr>
          <w:p w14:paraId="0576353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Not available</w:t>
            </w:r>
          </w:p>
        </w:tc>
      </w:tr>
      <w:tr w:rsidR="000B54BD" w:rsidRPr="00E1586C" w14:paraId="27C1EC00" w14:textId="77777777" w:rsidTr="00E97A3B">
        <w:trPr>
          <w:trHeight w:val="306"/>
        </w:trPr>
        <w:tc>
          <w:tcPr>
            <w:tcW w:w="487" w:type="dxa"/>
          </w:tcPr>
          <w:p w14:paraId="26093458" w14:textId="77777777" w:rsidR="000B54BD" w:rsidRPr="00E1586C" w:rsidRDefault="000B54BD" w:rsidP="00E97A3B">
            <w:pPr>
              <w:rPr>
                <w:rFonts w:cstheme="majorHAnsi"/>
                <w:sz w:val="18"/>
                <w:szCs w:val="18"/>
              </w:rPr>
            </w:pPr>
            <w:r w:rsidRPr="00E1586C">
              <w:rPr>
                <w:rFonts w:cstheme="majorHAnsi"/>
                <w:sz w:val="18"/>
                <w:szCs w:val="18"/>
              </w:rPr>
              <w:t>4.6</w:t>
            </w:r>
          </w:p>
        </w:tc>
        <w:tc>
          <w:tcPr>
            <w:tcW w:w="1418" w:type="dxa"/>
          </w:tcPr>
          <w:p w14:paraId="4A29D767"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IMPACT</w:t>
            </w:r>
            <w:r w:rsidRPr="00E1586C">
              <w:rPr>
                <w:rFonts w:cstheme="majorHAnsi"/>
                <w:color w:val="000000"/>
                <w:sz w:val="18"/>
                <w:szCs w:val="18"/>
                <w:shd w:val="clear" w:color="auto" w:fill="FFFFFF"/>
              </w:rPr>
              <w:t>: Potentially preventable hospital admissions related to NCDs (as defined by MOH) per 1000 of all hospital discharges, %</w:t>
            </w:r>
            <w:r w:rsidRPr="00E1586C">
              <w:rPr>
                <w:rFonts w:cstheme="majorHAnsi"/>
                <w:color w:val="000000"/>
                <w:sz w:val="18"/>
                <w:szCs w:val="18"/>
                <w:shd w:val="clear" w:color="auto" w:fill="FFFFFF"/>
                <w:vertAlign w:val="subscript"/>
              </w:rPr>
              <w:t>0</w:t>
            </w:r>
          </w:p>
        </w:tc>
        <w:tc>
          <w:tcPr>
            <w:tcW w:w="1492" w:type="dxa"/>
          </w:tcPr>
          <w:p w14:paraId="4239768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Potentially preventable hospital admissions refer to NCD admissions that could have been handled at lower level facilities as defined by the MOH essential service </w:t>
            </w:r>
            <w:r w:rsidRPr="00A318B9">
              <w:rPr>
                <w:rFonts w:cstheme="majorHAnsi"/>
                <w:noProof/>
                <w:color w:val="000000"/>
                <w:sz w:val="18"/>
                <w:szCs w:val="18"/>
                <w:shd w:val="clear" w:color="auto" w:fill="FFFFFF"/>
              </w:rPr>
              <w:t>provision,</w:t>
            </w:r>
            <w:r w:rsidRPr="00E1586C">
              <w:rPr>
                <w:rFonts w:cstheme="majorHAnsi"/>
                <w:color w:val="000000"/>
                <w:sz w:val="18"/>
                <w:szCs w:val="18"/>
                <w:shd w:val="clear" w:color="auto" w:fill="FFFFFF"/>
              </w:rPr>
              <w:t xml:space="preserve"> and include the ICD AM diagnoses codes provided on the footnote.</w:t>
            </w:r>
          </w:p>
          <w:p w14:paraId="31856A1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Numerator: Total number of hospital diagnosis with the ICD AM codes in a given year</w:t>
            </w:r>
          </w:p>
          <w:p w14:paraId="6643EC0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Denominator: Total number of hospital discharges in the year  x 1000 </w:t>
            </w:r>
          </w:p>
        </w:tc>
        <w:tc>
          <w:tcPr>
            <w:tcW w:w="1178" w:type="dxa"/>
            <w:shd w:val="clear" w:color="auto" w:fill="auto"/>
          </w:tcPr>
          <w:p w14:paraId="56C2325D" w14:textId="77777777" w:rsidR="000B54BD" w:rsidRPr="00E1586C" w:rsidRDefault="000B54BD" w:rsidP="00E97A3B">
            <w:pPr>
              <w:rPr>
                <w:rFonts w:cstheme="majorHAnsi"/>
                <w:b/>
                <w:sz w:val="18"/>
                <w:szCs w:val="18"/>
              </w:rPr>
            </w:pPr>
            <w:r w:rsidRPr="00E1586C">
              <w:rPr>
                <w:rFonts w:cstheme="majorHAnsi"/>
                <w:b/>
                <w:sz w:val="18"/>
                <w:szCs w:val="18"/>
              </w:rPr>
              <w:t>Reduction</w:t>
            </w:r>
          </w:p>
        </w:tc>
        <w:tc>
          <w:tcPr>
            <w:tcW w:w="1283" w:type="dxa"/>
            <w:shd w:val="clear" w:color="auto" w:fill="auto"/>
          </w:tcPr>
          <w:p w14:paraId="7312FC9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Electronic medical record</w:t>
            </w:r>
          </w:p>
          <w:p w14:paraId="3A72034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During the evaluation, MoH advised that ICD10 coding was too unreliable to provide representative data. Furthermore, the M&amp;E Framework does not define admission types that could have </w:t>
            </w:r>
            <w:r w:rsidRPr="00A318B9">
              <w:rPr>
                <w:rFonts w:cstheme="majorHAnsi"/>
                <w:noProof/>
                <w:color w:val="000000"/>
                <w:sz w:val="18"/>
                <w:szCs w:val="18"/>
                <w:shd w:val="clear" w:color="auto" w:fill="FFFFFF"/>
              </w:rPr>
              <w:t>been handled</w:t>
            </w:r>
            <w:r w:rsidRPr="00E1586C">
              <w:rPr>
                <w:rFonts w:cstheme="majorHAnsi"/>
                <w:color w:val="000000"/>
                <w:sz w:val="18"/>
                <w:szCs w:val="18"/>
                <w:shd w:val="clear" w:color="auto" w:fill="FFFFFF"/>
              </w:rPr>
              <w:t xml:space="preserve"> at lower level facilities.</w:t>
            </w:r>
          </w:p>
          <w:p w14:paraId="42F49887" w14:textId="77777777" w:rsidR="000B54BD" w:rsidRPr="00E1586C" w:rsidRDefault="000B54BD" w:rsidP="00E97A3B">
            <w:pPr>
              <w:rPr>
                <w:rFonts w:cstheme="majorHAnsi"/>
                <w:color w:val="000000"/>
                <w:sz w:val="18"/>
                <w:szCs w:val="18"/>
                <w:shd w:val="clear" w:color="auto" w:fill="FFFFFF"/>
              </w:rPr>
            </w:pPr>
          </w:p>
        </w:tc>
        <w:tc>
          <w:tcPr>
            <w:tcW w:w="1234" w:type="dxa"/>
            <w:shd w:val="clear" w:color="auto" w:fill="auto"/>
          </w:tcPr>
          <w:p w14:paraId="3C8C55CD" w14:textId="77777777" w:rsidR="000B54BD" w:rsidRPr="00E1586C" w:rsidRDefault="000B54BD" w:rsidP="00E97A3B">
            <w:pPr>
              <w:rPr>
                <w:rFonts w:cstheme="majorHAnsi"/>
                <w:color w:val="000000"/>
                <w:sz w:val="18"/>
                <w:szCs w:val="18"/>
                <w:shd w:val="clear" w:color="auto" w:fill="FFFFFF"/>
              </w:rPr>
            </w:pPr>
          </w:p>
          <w:p w14:paraId="6EC45C62" w14:textId="77777777" w:rsidR="000B54BD" w:rsidRPr="00E1586C" w:rsidRDefault="000B54BD" w:rsidP="00E97A3B">
            <w:pPr>
              <w:rPr>
                <w:rFonts w:cstheme="majorHAnsi"/>
                <w:color w:val="000000"/>
                <w:sz w:val="18"/>
                <w:szCs w:val="18"/>
                <w:shd w:val="clear" w:color="auto" w:fill="FFFFFF"/>
              </w:rPr>
            </w:pPr>
          </w:p>
        </w:tc>
        <w:tc>
          <w:tcPr>
            <w:tcW w:w="2088" w:type="dxa"/>
            <w:shd w:val="clear" w:color="auto" w:fill="auto"/>
          </w:tcPr>
          <w:p w14:paraId="7E18FD4E"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2015: 124 discharges from Vaiola Hospital surgical ward related to diabetic foot ulcers</w:t>
            </w:r>
          </w:p>
          <w:p w14:paraId="1FBA9425"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(Source: MoH Annual Report 2015)</w:t>
            </w:r>
          </w:p>
        </w:tc>
        <w:tc>
          <w:tcPr>
            <w:tcW w:w="2268" w:type="dxa"/>
            <w:shd w:val="clear" w:color="auto" w:fill="FFFF66"/>
          </w:tcPr>
          <w:p w14:paraId="53D21E3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2016: 134 discharges from Vaiola Hospital surgical ward related to diabetic foot ulcers</w:t>
            </w:r>
          </w:p>
          <w:p w14:paraId="3EDD13F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(Source: MoH Annual Report 2016)</w:t>
            </w:r>
          </w:p>
        </w:tc>
        <w:tc>
          <w:tcPr>
            <w:tcW w:w="2727" w:type="dxa"/>
            <w:shd w:val="clear" w:color="auto" w:fill="auto"/>
          </w:tcPr>
          <w:p w14:paraId="4253E69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Not available</w:t>
            </w:r>
          </w:p>
        </w:tc>
      </w:tr>
      <w:tr w:rsidR="000B54BD" w:rsidRPr="00E1586C" w14:paraId="490E5E82" w14:textId="77777777" w:rsidTr="00E97A3B">
        <w:trPr>
          <w:trHeight w:val="306"/>
        </w:trPr>
        <w:tc>
          <w:tcPr>
            <w:tcW w:w="14175" w:type="dxa"/>
            <w:gridSpan w:val="9"/>
            <w:shd w:val="clear" w:color="auto" w:fill="D9D9D9" w:themeFill="background1" w:themeFillShade="D9"/>
          </w:tcPr>
          <w:p w14:paraId="558777DE" w14:textId="77777777" w:rsidR="000B54BD" w:rsidRPr="00E1586C" w:rsidRDefault="000B54BD" w:rsidP="00E97A3B">
            <w:pPr>
              <w:rPr>
                <w:rFonts w:cstheme="majorHAnsi"/>
                <w:color w:val="000000"/>
                <w:sz w:val="18"/>
                <w:szCs w:val="18"/>
                <w:shd w:val="clear" w:color="auto" w:fill="FFFFFF"/>
              </w:rPr>
            </w:pPr>
            <w:r w:rsidRPr="00E1586C">
              <w:rPr>
                <w:rFonts w:cstheme="majorHAnsi"/>
                <w:b/>
                <w:sz w:val="18"/>
                <w:szCs w:val="18"/>
              </w:rPr>
              <w:lastRenderedPageBreak/>
              <w:t>5.0: Strengthened health system management, including planning, financial management, implementation, monitoring, health information, procurement and human resources (HR).  (Note: stronger health systems benefit both service delivery and the delivery of aid, which is why there are outcome indicators related to both.)</w:t>
            </w:r>
          </w:p>
        </w:tc>
      </w:tr>
      <w:tr w:rsidR="000B54BD" w:rsidRPr="00E1586C" w14:paraId="3FC62F69" w14:textId="77777777" w:rsidTr="00E97A3B">
        <w:trPr>
          <w:trHeight w:val="306"/>
        </w:trPr>
        <w:tc>
          <w:tcPr>
            <w:tcW w:w="487" w:type="dxa"/>
          </w:tcPr>
          <w:p w14:paraId="474C796B" w14:textId="77777777" w:rsidR="000B54BD" w:rsidRPr="00E1586C" w:rsidRDefault="000B54BD" w:rsidP="00E97A3B">
            <w:pPr>
              <w:rPr>
                <w:rFonts w:cstheme="majorHAnsi"/>
                <w:sz w:val="18"/>
                <w:szCs w:val="18"/>
              </w:rPr>
            </w:pPr>
            <w:r w:rsidRPr="00E1586C">
              <w:rPr>
                <w:rFonts w:cstheme="majorHAnsi"/>
                <w:sz w:val="18"/>
                <w:szCs w:val="18"/>
              </w:rPr>
              <w:t>5.1</w:t>
            </w:r>
          </w:p>
        </w:tc>
        <w:tc>
          <w:tcPr>
            <w:tcW w:w="1418" w:type="dxa"/>
            <w:shd w:val="clear" w:color="auto" w:fill="auto"/>
          </w:tcPr>
          <w:p w14:paraId="5BDACFB1"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OUTPUT:</w:t>
            </w:r>
            <w:r w:rsidRPr="00E1586C">
              <w:rPr>
                <w:rFonts w:cstheme="majorHAnsi"/>
                <w:color w:val="000000"/>
                <w:sz w:val="18"/>
                <w:szCs w:val="18"/>
                <w:shd w:val="clear" w:color="auto" w:fill="FFFFFF"/>
              </w:rPr>
              <w:t xml:space="preserve"> % of facilities that have a </w:t>
            </w:r>
            <w:r w:rsidRPr="00A318B9">
              <w:rPr>
                <w:rFonts w:cstheme="majorHAnsi"/>
                <w:noProof/>
                <w:color w:val="000000"/>
                <w:sz w:val="18"/>
                <w:szCs w:val="18"/>
                <w:shd w:val="clear" w:color="auto" w:fill="FFFFFF"/>
              </w:rPr>
              <w:t>cardio-vascular</w:t>
            </w:r>
            <w:r w:rsidRPr="00E1586C">
              <w:rPr>
                <w:rFonts w:cstheme="majorHAnsi"/>
                <w:color w:val="000000"/>
                <w:sz w:val="18"/>
                <w:szCs w:val="18"/>
                <w:shd w:val="clear" w:color="auto" w:fill="FFFFFF"/>
              </w:rPr>
              <w:t xml:space="preserve"> disease risk register </w:t>
            </w:r>
          </w:p>
        </w:tc>
        <w:tc>
          <w:tcPr>
            <w:tcW w:w="1492" w:type="dxa"/>
          </w:tcPr>
          <w:p w14:paraId="745EA0A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Cardio-vascular risk register refers to a risk register created and actively used by the facility to individually register patients by level of CVD risk and their socio-demographic characteristics</w:t>
            </w:r>
          </w:p>
          <w:p w14:paraId="6D45067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Numerator: Number of facilities that have a CVD risk register</w:t>
            </w:r>
          </w:p>
          <w:p w14:paraId="0C161C9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Total number of facilities in the country in a given year x 100</w:t>
            </w:r>
          </w:p>
        </w:tc>
        <w:tc>
          <w:tcPr>
            <w:tcW w:w="1178" w:type="dxa"/>
            <w:shd w:val="clear" w:color="auto" w:fill="auto"/>
          </w:tcPr>
          <w:p w14:paraId="47545F9E"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Maintain</w:t>
            </w:r>
          </w:p>
        </w:tc>
        <w:tc>
          <w:tcPr>
            <w:tcW w:w="1283" w:type="dxa"/>
            <w:shd w:val="clear" w:color="auto" w:fill="auto"/>
          </w:tcPr>
          <w:p w14:paraId="0AE50D2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Community health, MOH</w:t>
            </w:r>
          </w:p>
          <w:p w14:paraId="1036B2CB" w14:textId="77777777" w:rsidR="000B54BD" w:rsidRPr="00E1586C" w:rsidRDefault="000B54BD" w:rsidP="00E97A3B">
            <w:pPr>
              <w:rPr>
                <w:rFonts w:cstheme="majorHAnsi"/>
                <w:color w:val="000000"/>
                <w:sz w:val="18"/>
                <w:szCs w:val="18"/>
                <w:shd w:val="clear" w:color="auto" w:fill="FFFFFF"/>
              </w:rPr>
            </w:pPr>
          </w:p>
        </w:tc>
        <w:tc>
          <w:tcPr>
            <w:tcW w:w="1234" w:type="dxa"/>
            <w:shd w:val="clear" w:color="auto" w:fill="auto"/>
          </w:tcPr>
          <w:p w14:paraId="1D75C18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2015</w:t>
            </w:r>
          </w:p>
          <w:p w14:paraId="498D4EB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100%</w:t>
            </w:r>
          </w:p>
        </w:tc>
        <w:tc>
          <w:tcPr>
            <w:tcW w:w="2088" w:type="dxa"/>
            <w:shd w:val="clear" w:color="auto" w:fill="auto"/>
          </w:tcPr>
          <w:p w14:paraId="4D1104E4" w14:textId="77777777" w:rsidR="000B54BD" w:rsidRPr="00E1586C" w:rsidRDefault="000B54BD" w:rsidP="00E97A3B">
            <w:pPr>
              <w:rPr>
                <w:rFonts w:cstheme="majorHAnsi"/>
                <w:color w:val="000000"/>
                <w:sz w:val="18"/>
                <w:szCs w:val="18"/>
                <w:shd w:val="clear" w:color="auto" w:fill="FFFFFF"/>
              </w:rPr>
            </w:pPr>
          </w:p>
        </w:tc>
        <w:tc>
          <w:tcPr>
            <w:tcW w:w="2268" w:type="dxa"/>
            <w:shd w:val="clear" w:color="auto" w:fill="auto"/>
          </w:tcPr>
          <w:p w14:paraId="20F56CD5" w14:textId="77777777" w:rsidR="000B54BD" w:rsidRPr="00E1586C" w:rsidRDefault="000B54BD" w:rsidP="00E97A3B">
            <w:pPr>
              <w:rPr>
                <w:rFonts w:cstheme="majorHAnsi"/>
                <w:color w:val="000000"/>
                <w:sz w:val="18"/>
                <w:szCs w:val="18"/>
                <w:shd w:val="clear" w:color="auto" w:fill="FFFFFF"/>
              </w:rPr>
            </w:pPr>
          </w:p>
        </w:tc>
        <w:tc>
          <w:tcPr>
            <w:tcW w:w="2727" w:type="dxa"/>
            <w:shd w:val="clear" w:color="auto" w:fill="auto"/>
          </w:tcPr>
          <w:p w14:paraId="025CDE3B" w14:textId="77777777" w:rsidR="000B54BD" w:rsidRPr="00E1586C" w:rsidRDefault="000B54BD" w:rsidP="00E97A3B">
            <w:pPr>
              <w:rPr>
                <w:rFonts w:cstheme="majorHAnsi"/>
                <w:color w:val="000000"/>
                <w:sz w:val="18"/>
                <w:szCs w:val="18"/>
                <w:shd w:val="clear" w:color="auto" w:fill="FFFFFF"/>
              </w:rPr>
            </w:pPr>
          </w:p>
        </w:tc>
      </w:tr>
      <w:tr w:rsidR="000B54BD" w:rsidRPr="00E1586C" w14:paraId="5C3BBBE0" w14:textId="77777777" w:rsidTr="00E97A3B">
        <w:trPr>
          <w:trHeight w:val="306"/>
        </w:trPr>
        <w:tc>
          <w:tcPr>
            <w:tcW w:w="487" w:type="dxa"/>
            <w:shd w:val="clear" w:color="auto" w:fill="auto"/>
          </w:tcPr>
          <w:p w14:paraId="3115AEE8" w14:textId="77777777" w:rsidR="000B54BD" w:rsidRPr="00E1586C" w:rsidRDefault="000B54BD" w:rsidP="00E97A3B">
            <w:pPr>
              <w:rPr>
                <w:rFonts w:cstheme="majorHAnsi"/>
                <w:sz w:val="18"/>
                <w:szCs w:val="18"/>
              </w:rPr>
            </w:pPr>
            <w:r w:rsidRPr="00E1586C">
              <w:rPr>
                <w:rFonts w:cstheme="majorHAnsi"/>
                <w:sz w:val="18"/>
                <w:szCs w:val="18"/>
              </w:rPr>
              <w:t>5.2</w:t>
            </w:r>
          </w:p>
        </w:tc>
        <w:tc>
          <w:tcPr>
            <w:tcW w:w="1418" w:type="dxa"/>
            <w:shd w:val="clear" w:color="auto" w:fill="auto"/>
          </w:tcPr>
          <w:p w14:paraId="27E3CA02"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OUTPUT:</w:t>
            </w:r>
            <w:r w:rsidRPr="00E1586C">
              <w:rPr>
                <w:rFonts w:cstheme="majorHAnsi"/>
                <w:color w:val="000000"/>
                <w:sz w:val="18"/>
                <w:szCs w:val="18"/>
                <w:shd w:val="clear" w:color="auto" w:fill="FFFFFF"/>
              </w:rPr>
              <w:t xml:space="preserve"> % of actual expenditure compared to total MOH budget</w:t>
            </w:r>
          </w:p>
        </w:tc>
        <w:tc>
          <w:tcPr>
            <w:tcW w:w="1492" w:type="dxa"/>
            <w:shd w:val="clear" w:color="auto" w:fill="auto"/>
          </w:tcPr>
          <w:p w14:paraId="68C96C6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Numerator: Actual expenditure in the year (in </w:t>
            </w:r>
            <w:r w:rsidRPr="00A318B9">
              <w:rPr>
                <w:rFonts w:cstheme="majorHAnsi"/>
                <w:noProof/>
                <w:color w:val="000000"/>
                <w:sz w:val="18"/>
                <w:szCs w:val="18"/>
                <w:shd w:val="clear" w:color="auto" w:fill="FFFFFF"/>
              </w:rPr>
              <w:t>local</w:t>
            </w:r>
            <w:r w:rsidRPr="00E1586C">
              <w:rPr>
                <w:rFonts w:cstheme="majorHAnsi"/>
                <w:color w:val="000000"/>
                <w:sz w:val="18"/>
                <w:szCs w:val="18"/>
                <w:shd w:val="clear" w:color="auto" w:fill="FFFFFF"/>
              </w:rPr>
              <w:t xml:space="preserve"> currency)</w:t>
            </w:r>
          </w:p>
          <w:p w14:paraId="125024F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Denominator: Original budget in a given year (in </w:t>
            </w:r>
            <w:r w:rsidRPr="00A318B9">
              <w:rPr>
                <w:rFonts w:cstheme="majorHAnsi"/>
                <w:noProof/>
                <w:color w:val="000000"/>
                <w:sz w:val="18"/>
                <w:szCs w:val="18"/>
                <w:shd w:val="clear" w:color="auto" w:fill="FFFFFF"/>
              </w:rPr>
              <w:t>local</w:t>
            </w:r>
            <w:r w:rsidRPr="00E1586C">
              <w:rPr>
                <w:rFonts w:cstheme="majorHAnsi"/>
                <w:color w:val="000000"/>
                <w:sz w:val="18"/>
                <w:szCs w:val="18"/>
                <w:shd w:val="clear" w:color="auto" w:fill="FFFFFF"/>
              </w:rPr>
              <w:t xml:space="preserve"> currency) x 100</w:t>
            </w:r>
          </w:p>
        </w:tc>
        <w:tc>
          <w:tcPr>
            <w:tcW w:w="1178" w:type="dxa"/>
          </w:tcPr>
          <w:p w14:paraId="27A74CD5"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MOH expends at least 70 % of planned budget</w:t>
            </w:r>
          </w:p>
        </w:tc>
        <w:tc>
          <w:tcPr>
            <w:tcW w:w="1283" w:type="dxa"/>
            <w:shd w:val="clear" w:color="auto" w:fill="auto"/>
          </w:tcPr>
          <w:p w14:paraId="583B623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MOH Financial reports</w:t>
            </w:r>
          </w:p>
          <w:p w14:paraId="7932D155" w14:textId="77777777" w:rsidR="000B54BD" w:rsidRPr="00E1586C" w:rsidRDefault="000B54BD" w:rsidP="00E97A3B">
            <w:pPr>
              <w:rPr>
                <w:rFonts w:cstheme="majorHAnsi"/>
                <w:color w:val="000000"/>
                <w:sz w:val="18"/>
                <w:szCs w:val="18"/>
                <w:shd w:val="clear" w:color="auto" w:fill="FFFFFF"/>
              </w:rPr>
            </w:pPr>
          </w:p>
          <w:p w14:paraId="2D959A6C" w14:textId="77777777" w:rsidR="000B54BD" w:rsidRPr="00E1586C" w:rsidRDefault="000B54BD" w:rsidP="00E97A3B">
            <w:pPr>
              <w:rPr>
                <w:rFonts w:cstheme="majorHAnsi"/>
                <w:color w:val="000000"/>
                <w:sz w:val="18"/>
                <w:szCs w:val="18"/>
                <w:shd w:val="clear" w:color="auto" w:fill="FFFFFF"/>
              </w:rPr>
            </w:pPr>
            <w:r w:rsidRPr="00E1586C">
              <w:rPr>
                <w:rFonts w:cstheme="majorHAnsi"/>
                <w:i/>
                <w:color w:val="000000"/>
                <w:sz w:val="18"/>
                <w:szCs w:val="18"/>
                <w:shd w:val="clear" w:color="auto" w:fill="FFFFFF"/>
              </w:rPr>
              <w:t xml:space="preserve">NB: Figures extracted from budget papers and Deputy Director Budget and </w:t>
            </w:r>
            <w:r w:rsidRPr="00E1586C">
              <w:rPr>
                <w:rFonts w:cstheme="majorHAnsi"/>
                <w:i/>
                <w:color w:val="000000"/>
                <w:sz w:val="18"/>
                <w:szCs w:val="18"/>
                <w:shd w:val="clear" w:color="auto" w:fill="FFFFFF"/>
              </w:rPr>
              <w:lastRenderedPageBreak/>
              <w:t>Finance own files.</w:t>
            </w:r>
          </w:p>
        </w:tc>
        <w:tc>
          <w:tcPr>
            <w:tcW w:w="1234" w:type="dxa"/>
            <w:shd w:val="clear" w:color="auto" w:fill="auto"/>
          </w:tcPr>
          <w:p w14:paraId="5F51F47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2015/2016</w:t>
            </w:r>
          </w:p>
          <w:p w14:paraId="661CE4F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91.7</w:t>
            </w:r>
          </w:p>
          <w:p w14:paraId="7D884F69" w14:textId="77777777" w:rsidR="000B54BD" w:rsidRPr="00E1586C" w:rsidRDefault="000B54BD" w:rsidP="00E97A3B">
            <w:pPr>
              <w:rPr>
                <w:rFonts w:cstheme="majorHAnsi"/>
                <w:color w:val="000000"/>
                <w:sz w:val="18"/>
                <w:szCs w:val="18"/>
                <w:shd w:val="clear" w:color="auto" w:fill="FFFFFF"/>
              </w:rPr>
            </w:pPr>
          </w:p>
          <w:p w14:paraId="715B6920" w14:textId="77777777" w:rsidR="000B54BD" w:rsidRPr="00E1586C" w:rsidRDefault="000B54BD" w:rsidP="00E97A3B">
            <w:pPr>
              <w:rPr>
                <w:rFonts w:cstheme="majorHAnsi"/>
                <w:color w:val="000000"/>
                <w:sz w:val="18"/>
                <w:szCs w:val="18"/>
                <w:shd w:val="clear" w:color="auto" w:fill="FFFFFF"/>
              </w:rPr>
            </w:pPr>
            <w:r w:rsidRPr="00E1586C">
              <w:rPr>
                <w:rFonts w:cstheme="majorHAnsi"/>
                <w:i/>
                <w:color w:val="000000"/>
                <w:sz w:val="18"/>
                <w:szCs w:val="18"/>
                <w:shd w:val="clear" w:color="auto" w:fill="FFFFFF"/>
              </w:rPr>
              <w:t xml:space="preserve">NB: Base Year percentage as at M&amp;E Design does not agree with the same FY percentage as at the </w:t>
            </w:r>
            <w:r w:rsidRPr="00E1586C">
              <w:rPr>
                <w:rFonts w:cstheme="majorHAnsi"/>
                <w:i/>
                <w:color w:val="000000"/>
                <w:sz w:val="18"/>
                <w:szCs w:val="18"/>
                <w:shd w:val="clear" w:color="auto" w:fill="FFFFFF"/>
              </w:rPr>
              <w:lastRenderedPageBreak/>
              <w:t xml:space="preserve">Mid-Term Review. </w:t>
            </w:r>
            <w:r w:rsidRPr="00A318B9">
              <w:rPr>
                <w:rFonts w:cstheme="majorHAnsi"/>
                <w:i/>
                <w:noProof/>
                <w:color w:val="000000"/>
                <w:sz w:val="18"/>
                <w:szCs w:val="18"/>
                <w:shd w:val="clear" w:color="auto" w:fill="FFFFFF"/>
              </w:rPr>
              <w:t>This</w:t>
            </w:r>
            <w:r w:rsidRPr="00E1586C">
              <w:rPr>
                <w:rFonts w:cstheme="majorHAnsi"/>
                <w:i/>
                <w:color w:val="000000"/>
                <w:sz w:val="18"/>
                <w:szCs w:val="18"/>
                <w:shd w:val="clear" w:color="auto" w:fill="FFFFFF"/>
              </w:rPr>
              <w:t xml:space="preserve"> is likely as government budget figures are commonly subsequently revised.</w:t>
            </w:r>
          </w:p>
        </w:tc>
        <w:tc>
          <w:tcPr>
            <w:tcW w:w="7083" w:type="dxa"/>
            <w:gridSpan w:val="3"/>
            <w:shd w:val="clear" w:color="auto" w:fill="auto"/>
          </w:tcPr>
          <w:tbl>
            <w:tblPr>
              <w:tblStyle w:val="TableGrid"/>
              <w:tblW w:w="0" w:type="auto"/>
              <w:tblLayout w:type="fixed"/>
              <w:tblLook w:val="04A0" w:firstRow="1" w:lastRow="0" w:firstColumn="1" w:lastColumn="0" w:noHBand="0" w:noVBand="1"/>
            </w:tblPr>
            <w:tblGrid>
              <w:gridCol w:w="1853"/>
              <w:gridCol w:w="1036"/>
              <w:gridCol w:w="1036"/>
              <w:gridCol w:w="1086"/>
              <w:gridCol w:w="1794"/>
            </w:tblGrid>
            <w:tr w:rsidR="000B54BD" w:rsidRPr="00E1586C" w14:paraId="1945AC57" w14:textId="77777777" w:rsidTr="00E97A3B">
              <w:trPr>
                <w:trHeight w:val="340"/>
              </w:trPr>
              <w:tc>
                <w:tcPr>
                  <w:tcW w:w="1853" w:type="dxa"/>
                  <w:shd w:val="clear" w:color="auto" w:fill="CCFFCC"/>
                </w:tcPr>
                <w:p w14:paraId="5ADCE5BD"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lastRenderedPageBreak/>
                    <w:t>Actual v budgeted expenditure (TOP, m)</w:t>
                  </w:r>
                </w:p>
              </w:tc>
              <w:tc>
                <w:tcPr>
                  <w:tcW w:w="1036" w:type="dxa"/>
                  <w:shd w:val="clear" w:color="auto" w:fill="CCFFCC"/>
                </w:tcPr>
                <w:p w14:paraId="676659E7"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 15/16</w:t>
                  </w:r>
                </w:p>
              </w:tc>
              <w:tc>
                <w:tcPr>
                  <w:tcW w:w="1036" w:type="dxa"/>
                  <w:shd w:val="clear" w:color="auto" w:fill="CCFFCC"/>
                </w:tcPr>
                <w:p w14:paraId="5C93CF61"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 16/17</w:t>
                  </w:r>
                </w:p>
              </w:tc>
              <w:tc>
                <w:tcPr>
                  <w:tcW w:w="1086" w:type="dxa"/>
                  <w:shd w:val="clear" w:color="auto" w:fill="CCFFCC"/>
                </w:tcPr>
                <w:p w14:paraId="2D879BA0"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 17/18</w:t>
                  </w:r>
                </w:p>
                <w:p w14:paraId="466A055E"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 xml:space="preserve">Revised </w:t>
                  </w:r>
                </w:p>
                <w:p w14:paraId="6C5CC27C"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Actual by Dec</w:t>
                  </w:r>
                </w:p>
              </w:tc>
              <w:tc>
                <w:tcPr>
                  <w:tcW w:w="1794" w:type="dxa"/>
                  <w:shd w:val="clear" w:color="auto" w:fill="CCFFCC"/>
                </w:tcPr>
                <w:p w14:paraId="3D9DF8FF"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FY 18/19</w:t>
                  </w:r>
                </w:p>
                <w:p w14:paraId="7066227B"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To date</w:t>
                  </w:r>
                </w:p>
              </w:tc>
            </w:tr>
            <w:tr w:rsidR="000B54BD" w:rsidRPr="00E1586C" w14:paraId="7BB5A160" w14:textId="77777777" w:rsidTr="00E97A3B">
              <w:trPr>
                <w:trHeight w:val="340"/>
              </w:trPr>
              <w:tc>
                <w:tcPr>
                  <w:tcW w:w="1853" w:type="dxa"/>
                  <w:shd w:val="clear" w:color="auto" w:fill="CCFFCC"/>
                </w:tcPr>
                <w:p w14:paraId="20F14F9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MOH actual: budget % </w:t>
                  </w:r>
                </w:p>
              </w:tc>
              <w:tc>
                <w:tcPr>
                  <w:tcW w:w="1036" w:type="dxa"/>
                  <w:shd w:val="clear" w:color="auto" w:fill="CCFFCC"/>
                </w:tcPr>
                <w:p w14:paraId="6486058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109</w:t>
                  </w:r>
                </w:p>
              </w:tc>
              <w:tc>
                <w:tcPr>
                  <w:tcW w:w="1036" w:type="dxa"/>
                  <w:shd w:val="clear" w:color="auto" w:fill="CCFFCC"/>
                </w:tcPr>
                <w:p w14:paraId="048DF691"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110</w:t>
                  </w:r>
                </w:p>
              </w:tc>
              <w:tc>
                <w:tcPr>
                  <w:tcW w:w="1086" w:type="dxa"/>
                  <w:shd w:val="clear" w:color="auto" w:fill="CCFFCC"/>
                </w:tcPr>
                <w:p w14:paraId="5538BDD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112</w:t>
                  </w:r>
                </w:p>
              </w:tc>
              <w:tc>
                <w:tcPr>
                  <w:tcW w:w="1794" w:type="dxa"/>
                  <w:shd w:val="clear" w:color="auto" w:fill="CCFFCC"/>
                </w:tcPr>
                <w:p w14:paraId="7CD7BE8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27 (1</w:t>
                  </w:r>
                  <w:r w:rsidRPr="00E1586C">
                    <w:rPr>
                      <w:rFonts w:cstheme="majorHAnsi"/>
                      <w:color w:val="000000"/>
                      <w:sz w:val="18"/>
                      <w:szCs w:val="18"/>
                      <w:shd w:val="clear" w:color="auto" w:fill="FFFFFF"/>
                      <w:vertAlign w:val="superscript"/>
                    </w:rPr>
                    <w:t>st</w:t>
                  </w:r>
                  <w:r w:rsidRPr="00E1586C">
                    <w:rPr>
                      <w:rFonts w:cstheme="majorHAnsi"/>
                      <w:color w:val="000000"/>
                      <w:sz w:val="18"/>
                      <w:szCs w:val="18"/>
                      <w:shd w:val="clear" w:color="auto" w:fill="FFFFFF"/>
                    </w:rPr>
                    <w:t xml:space="preserve"> quarter)</w:t>
                  </w:r>
                </w:p>
              </w:tc>
            </w:tr>
          </w:tbl>
          <w:p w14:paraId="01FCD9CA" w14:textId="77777777" w:rsidR="000B54BD" w:rsidRPr="00E1586C" w:rsidRDefault="000B54BD" w:rsidP="00E97A3B">
            <w:pPr>
              <w:rPr>
                <w:rFonts w:cstheme="majorHAnsi"/>
                <w:color w:val="000000"/>
                <w:sz w:val="18"/>
                <w:szCs w:val="18"/>
                <w:shd w:val="clear" w:color="auto" w:fill="FFFFFF"/>
              </w:rPr>
            </w:pPr>
          </w:p>
        </w:tc>
      </w:tr>
      <w:tr w:rsidR="000B54BD" w:rsidRPr="00E1586C" w14:paraId="1E5A74E4" w14:textId="77777777" w:rsidTr="00E97A3B">
        <w:trPr>
          <w:trHeight w:val="306"/>
        </w:trPr>
        <w:tc>
          <w:tcPr>
            <w:tcW w:w="487" w:type="dxa"/>
          </w:tcPr>
          <w:p w14:paraId="7AA361A2" w14:textId="77777777" w:rsidR="000B54BD" w:rsidRPr="00E1586C" w:rsidRDefault="000B54BD" w:rsidP="00E97A3B">
            <w:pPr>
              <w:rPr>
                <w:rFonts w:cstheme="majorHAnsi"/>
                <w:sz w:val="18"/>
                <w:szCs w:val="18"/>
              </w:rPr>
            </w:pPr>
            <w:r w:rsidRPr="00E1586C">
              <w:rPr>
                <w:rFonts w:cstheme="majorHAnsi"/>
                <w:sz w:val="18"/>
                <w:szCs w:val="18"/>
              </w:rPr>
              <w:t>5.3.</w:t>
            </w:r>
          </w:p>
        </w:tc>
        <w:tc>
          <w:tcPr>
            <w:tcW w:w="1418" w:type="dxa"/>
          </w:tcPr>
          <w:p w14:paraId="68E56BDA"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OUTPUT:</w:t>
            </w:r>
            <w:r w:rsidRPr="00E1586C">
              <w:rPr>
                <w:rFonts w:cstheme="majorHAnsi"/>
                <w:color w:val="000000"/>
                <w:sz w:val="18"/>
                <w:szCs w:val="18"/>
                <w:shd w:val="clear" w:color="auto" w:fill="FFFFFF"/>
              </w:rPr>
              <w:t xml:space="preserve"> % of AMPs completed and reported</w:t>
            </w:r>
          </w:p>
        </w:tc>
        <w:tc>
          <w:tcPr>
            <w:tcW w:w="1492" w:type="dxa"/>
          </w:tcPr>
          <w:p w14:paraId="4467688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AMP refers Annual Management Plan by each of the divisions of MOH and TongaHealth</w:t>
            </w:r>
          </w:p>
          <w:p w14:paraId="4E21F72E"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Numerator: Total number of AMP activities completed and reported for the year</w:t>
            </w:r>
          </w:p>
          <w:p w14:paraId="08148E6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Total number of AMP activities planned for the year x 100</w:t>
            </w:r>
          </w:p>
        </w:tc>
        <w:tc>
          <w:tcPr>
            <w:tcW w:w="1178" w:type="dxa"/>
            <w:shd w:val="clear" w:color="auto" w:fill="auto"/>
          </w:tcPr>
          <w:p w14:paraId="17A703F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At least 80% of annual activities from AMP completed and reported</w:t>
            </w:r>
          </w:p>
        </w:tc>
        <w:tc>
          <w:tcPr>
            <w:tcW w:w="1283" w:type="dxa"/>
            <w:shd w:val="clear" w:color="auto" w:fill="auto"/>
          </w:tcPr>
          <w:p w14:paraId="7D4F132F"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MOH monitoring reports, HR information systems and DFAT</w:t>
            </w:r>
          </w:p>
        </w:tc>
        <w:tc>
          <w:tcPr>
            <w:tcW w:w="1234" w:type="dxa"/>
            <w:shd w:val="clear" w:color="auto" w:fill="auto"/>
          </w:tcPr>
          <w:p w14:paraId="5D9FDBB9"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77% of planned activities completed</w:t>
            </w:r>
          </w:p>
          <w:p w14:paraId="58BD268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18% of planned activities partly completed</w:t>
            </w:r>
          </w:p>
          <w:p w14:paraId="6B7C7045"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2015/2016</w:t>
            </w:r>
          </w:p>
          <w:p w14:paraId="1FEBF5BD" w14:textId="77777777" w:rsidR="000B54BD" w:rsidRPr="00E1586C" w:rsidRDefault="000B54BD" w:rsidP="00E97A3B">
            <w:pPr>
              <w:rPr>
                <w:rFonts w:cstheme="majorHAnsi"/>
                <w:color w:val="000000"/>
                <w:sz w:val="18"/>
                <w:szCs w:val="18"/>
                <w:shd w:val="clear" w:color="auto" w:fill="FFFFFF"/>
              </w:rPr>
            </w:pPr>
          </w:p>
        </w:tc>
        <w:tc>
          <w:tcPr>
            <w:tcW w:w="2088" w:type="dxa"/>
            <w:shd w:val="clear" w:color="auto" w:fill="auto"/>
          </w:tcPr>
          <w:p w14:paraId="3A3F121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2016 not available</w:t>
            </w:r>
          </w:p>
        </w:tc>
        <w:tc>
          <w:tcPr>
            <w:tcW w:w="2268" w:type="dxa"/>
            <w:shd w:val="clear" w:color="auto" w:fill="auto"/>
          </w:tcPr>
          <w:p w14:paraId="20A54882" w14:textId="77777777" w:rsidR="000B54BD" w:rsidRPr="00E1586C" w:rsidRDefault="000B54BD" w:rsidP="00E97A3B">
            <w:pPr>
              <w:rPr>
                <w:rFonts w:cstheme="majorHAnsi"/>
                <w:color w:val="000000"/>
                <w:sz w:val="18"/>
                <w:szCs w:val="18"/>
                <w:shd w:val="clear" w:color="auto" w:fill="FFFFFF"/>
              </w:rPr>
            </w:pPr>
          </w:p>
        </w:tc>
        <w:tc>
          <w:tcPr>
            <w:tcW w:w="2727" w:type="dxa"/>
            <w:shd w:val="clear" w:color="auto" w:fill="auto"/>
          </w:tcPr>
          <w:p w14:paraId="7FDB6263" w14:textId="77777777" w:rsidR="000B54BD" w:rsidRPr="00E1586C" w:rsidRDefault="000B54BD" w:rsidP="00E97A3B">
            <w:pPr>
              <w:rPr>
                <w:rFonts w:cstheme="majorHAnsi"/>
                <w:color w:val="000000"/>
                <w:sz w:val="18"/>
                <w:szCs w:val="18"/>
                <w:shd w:val="clear" w:color="auto" w:fill="FFFFFF"/>
              </w:rPr>
            </w:pPr>
          </w:p>
        </w:tc>
      </w:tr>
      <w:tr w:rsidR="000B54BD" w:rsidRPr="00E1586C" w14:paraId="57CEC809" w14:textId="77777777" w:rsidTr="00E97A3B">
        <w:trPr>
          <w:trHeight w:val="306"/>
        </w:trPr>
        <w:tc>
          <w:tcPr>
            <w:tcW w:w="487" w:type="dxa"/>
          </w:tcPr>
          <w:p w14:paraId="0F430B4C"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5.4</w:t>
            </w:r>
          </w:p>
        </w:tc>
        <w:tc>
          <w:tcPr>
            <w:tcW w:w="1418" w:type="dxa"/>
          </w:tcPr>
          <w:p w14:paraId="1A152C7E"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b/>
                <w:sz w:val="18"/>
                <w:szCs w:val="18"/>
                <w:lang w:eastAsia="en-AU"/>
              </w:rPr>
              <w:t xml:space="preserve">OUTPUT: </w:t>
            </w:r>
            <w:r w:rsidRPr="00E1586C">
              <w:rPr>
                <w:rFonts w:eastAsia="Times New Roman" w:cstheme="majorHAnsi"/>
                <w:sz w:val="18"/>
                <w:szCs w:val="18"/>
                <w:lang w:eastAsia="en-AU"/>
              </w:rPr>
              <w:t xml:space="preserve">% of planned AMP activities completed within 5% of planned budget </w:t>
            </w:r>
          </w:p>
        </w:tc>
        <w:tc>
          <w:tcPr>
            <w:tcW w:w="1492" w:type="dxa"/>
          </w:tcPr>
          <w:p w14:paraId="395894FF"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 xml:space="preserve">Numerator: Number of planned activities completed within 5% of </w:t>
            </w:r>
            <w:r w:rsidRPr="00A318B9">
              <w:rPr>
                <w:rFonts w:eastAsia="Times New Roman" w:cstheme="majorHAnsi"/>
                <w:noProof/>
                <w:sz w:val="18"/>
                <w:szCs w:val="18"/>
                <w:lang w:eastAsia="en-AU"/>
              </w:rPr>
              <w:t>budget</w:t>
            </w:r>
          </w:p>
          <w:p w14:paraId="1658CF75" w14:textId="77777777" w:rsidR="000B54BD" w:rsidRPr="00E1586C" w:rsidRDefault="000B54BD" w:rsidP="00E97A3B">
            <w:pPr>
              <w:rPr>
                <w:rFonts w:eastAsia="Times New Roman" w:cstheme="majorHAnsi"/>
                <w:sz w:val="18"/>
                <w:szCs w:val="18"/>
                <w:lang w:eastAsia="en-AU"/>
              </w:rPr>
            </w:pPr>
          </w:p>
          <w:p w14:paraId="681B86A8"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 xml:space="preserve">Denominator: Total number of </w:t>
            </w:r>
            <w:r w:rsidRPr="00E1586C">
              <w:rPr>
                <w:rFonts w:eastAsia="Times New Roman" w:cstheme="majorHAnsi"/>
                <w:sz w:val="18"/>
                <w:szCs w:val="18"/>
                <w:lang w:eastAsia="en-AU"/>
              </w:rPr>
              <w:lastRenderedPageBreak/>
              <w:t>planned activities</w:t>
            </w:r>
          </w:p>
          <w:p w14:paraId="0309BBFE" w14:textId="77777777" w:rsidR="000B54BD" w:rsidRPr="00E1586C" w:rsidRDefault="000B54BD" w:rsidP="00E97A3B">
            <w:pPr>
              <w:rPr>
                <w:rFonts w:eastAsia="Times New Roman" w:cstheme="majorHAnsi"/>
                <w:sz w:val="18"/>
                <w:szCs w:val="18"/>
                <w:lang w:eastAsia="en-AU"/>
              </w:rPr>
            </w:pPr>
          </w:p>
        </w:tc>
        <w:tc>
          <w:tcPr>
            <w:tcW w:w="1178" w:type="dxa"/>
            <w:shd w:val="clear" w:color="auto" w:fill="auto"/>
          </w:tcPr>
          <w:p w14:paraId="277DB46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 xml:space="preserve">At least 70% of planned activities </w:t>
            </w:r>
            <w:r w:rsidRPr="00A318B9">
              <w:rPr>
                <w:rFonts w:cstheme="majorHAnsi"/>
                <w:noProof/>
                <w:color w:val="000000"/>
                <w:sz w:val="18"/>
                <w:szCs w:val="18"/>
                <w:shd w:val="clear" w:color="auto" w:fill="FFFFFF"/>
              </w:rPr>
              <w:t>are completed</w:t>
            </w:r>
            <w:r w:rsidRPr="00E1586C">
              <w:rPr>
                <w:rFonts w:cstheme="majorHAnsi"/>
                <w:color w:val="000000"/>
                <w:sz w:val="18"/>
                <w:szCs w:val="18"/>
                <w:shd w:val="clear" w:color="auto" w:fill="FFFFFF"/>
              </w:rPr>
              <w:t xml:space="preserve"> within budget</w:t>
            </w:r>
          </w:p>
        </w:tc>
        <w:tc>
          <w:tcPr>
            <w:tcW w:w="1283" w:type="dxa"/>
            <w:shd w:val="clear" w:color="auto" w:fill="auto"/>
          </w:tcPr>
          <w:p w14:paraId="1C7E7E95" w14:textId="77777777" w:rsidR="000B54BD" w:rsidRPr="00E1586C" w:rsidRDefault="000B54BD" w:rsidP="00E97A3B">
            <w:pPr>
              <w:rPr>
                <w:rFonts w:eastAsia="Times New Roman" w:cstheme="majorHAnsi"/>
                <w:sz w:val="18"/>
                <w:szCs w:val="18"/>
                <w:lang w:eastAsia="en-AU"/>
              </w:rPr>
            </w:pPr>
            <w:r w:rsidRPr="00E1586C">
              <w:rPr>
                <w:rFonts w:cstheme="majorHAnsi"/>
                <w:color w:val="000000"/>
                <w:sz w:val="18"/>
                <w:szCs w:val="18"/>
                <w:shd w:val="clear" w:color="auto" w:fill="FFFFFF"/>
              </w:rPr>
              <w:t>MOH monitoring reports, HR information systems and DFAT</w:t>
            </w:r>
          </w:p>
        </w:tc>
        <w:tc>
          <w:tcPr>
            <w:tcW w:w="1234" w:type="dxa"/>
            <w:shd w:val="clear" w:color="auto" w:fill="auto"/>
          </w:tcPr>
          <w:p w14:paraId="3BCAD639"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39%</w:t>
            </w:r>
          </w:p>
          <w:p w14:paraId="6F89161B" w14:textId="77777777" w:rsidR="000B54BD" w:rsidRPr="00E1586C" w:rsidRDefault="000B54BD" w:rsidP="00E97A3B">
            <w:pPr>
              <w:rPr>
                <w:rFonts w:eastAsia="Times New Roman" w:cstheme="majorHAnsi"/>
                <w:sz w:val="18"/>
                <w:szCs w:val="18"/>
                <w:lang w:eastAsia="en-AU"/>
              </w:rPr>
            </w:pPr>
          </w:p>
          <w:p w14:paraId="7921FBFF"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2015/16</w:t>
            </w:r>
          </w:p>
        </w:tc>
        <w:tc>
          <w:tcPr>
            <w:tcW w:w="2088" w:type="dxa"/>
            <w:shd w:val="clear" w:color="auto" w:fill="auto"/>
          </w:tcPr>
          <w:p w14:paraId="27CD5EF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2016 not available</w:t>
            </w:r>
          </w:p>
        </w:tc>
        <w:tc>
          <w:tcPr>
            <w:tcW w:w="2268" w:type="dxa"/>
            <w:shd w:val="clear" w:color="auto" w:fill="auto"/>
          </w:tcPr>
          <w:p w14:paraId="0CC046C1" w14:textId="77777777" w:rsidR="000B54BD" w:rsidRPr="00E1586C" w:rsidRDefault="000B54BD" w:rsidP="00E97A3B">
            <w:pPr>
              <w:rPr>
                <w:rFonts w:eastAsia="Times New Roman" w:cstheme="majorHAnsi"/>
                <w:sz w:val="18"/>
                <w:szCs w:val="18"/>
                <w:lang w:eastAsia="en-AU"/>
              </w:rPr>
            </w:pPr>
          </w:p>
        </w:tc>
        <w:tc>
          <w:tcPr>
            <w:tcW w:w="2727" w:type="dxa"/>
            <w:shd w:val="clear" w:color="auto" w:fill="auto"/>
          </w:tcPr>
          <w:p w14:paraId="47670F9D" w14:textId="77777777" w:rsidR="000B54BD" w:rsidRPr="00E1586C" w:rsidRDefault="000B54BD" w:rsidP="00E97A3B">
            <w:pPr>
              <w:rPr>
                <w:rFonts w:cstheme="majorHAnsi"/>
                <w:color w:val="000000"/>
                <w:sz w:val="18"/>
                <w:szCs w:val="18"/>
                <w:shd w:val="clear" w:color="auto" w:fill="FFFFFF"/>
              </w:rPr>
            </w:pPr>
          </w:p>
        </w:tc>
      </w:tr>
      <w:tr w:rsidR="000B54BD" w:rsidRPr="00E1586C" w14:paraId="3948B9DF" w14:textId="77777777" w:rsidTr="00E97A3B">
        <w:trPr>
          <w:trHeight w:val="318"/>
        </w:trPr>
        <w:tc>
          <w:tcPr>
            <w:tcW w:w="487" w:type="dxa"/>
          </w:tcPr>
          <w:p w14:paraId="32DCDE7B" w14:textId="77777777" w:rsidR="000B54BD" w:rsidRPr="00E1586C" w:rsidRDefault="000B54BD" w:rsidP="00E97A3B">
            <w:pPr>
              <w:rPr>
                <w:rFonts w:cstheme="majorHAnsi"/>
                <w:sz w:val="18"/>
                <w:szCs w:val="18"/>
              </w:rPr>
            </w:pPr>
            <w:r w:rsidRPr="00E1586C">
              <w:rPr>
                <w:rFonts w:eastAsia="Times New Roman" w:cstheme="majorHAnsi"/>
                <w:sz w:val="18"/>
                <w:szCs w:val="18"/>
                <w:lang w:eastAsia="en-AU"/>
              </w:rPr>
              <w:t>5.5</w:t>
            </w:r>
          </w:p>
        </w:tc>
        <w:tc>
          <w:tcPr>
            <w:tcW w:w="1418" w:type="dxa"/>
          </w:tcPr>
          <w:p w14:paraId="5E4FED06" w14:textId="77777777" w:rsidR="000B54BD" w:rsidRPr="00E1586C" w:rsidRDefault="000B54BD" w:rsidP="00E97A3B">
            <w:pPr>
              <w:rPr>
                <w:rFonts w:cstheme="majorHAnsi"/>
                <w:b/>
                <w:color w:val="000000"/>
                <w:sz w:val="18"/>
                <w:szCs w:val="18"/>
                <w:shd w:val="clear" w:color="auto" w:fill="FFFFFF"/>
              </w:rPr>
            </w:pPr>
            <w:r w:rsidRPr="00E1586C">
              <w:rPr>
                <w:rFonts w:eastAsia="Times New Roman" w:cstheme="majorHAnsi"/>
                <w:b/>
                <w:sz w:val="18"/>
                <w:szCs w:val="18"/>
                <w:lang w:eastAsia="en-AU"/>
              </w:rPr>
              <w:t>OUTCOME:</w:t>
            </w:r>
            <w:r w:rsidRPr="00E1586C">
              <w:rPr>
                <w:rFonts w:eastAsia="Times New Roman" w:cstheme="majorHAnsi"/>
                <w:sz w:val="18"/>
                <w:szCs w:val="18"/>
                <w:lang w:eastAsia="en-AU"/>
              </w:rPr>
              <w:t xml:space="preserve"> % TongaHealth / National NCD Strategy grantees reporting and acquitting on time against agreed grant agreement </w:t>
            </w:r>
            <w:r w:rsidR="00662DC2" w:rsidRPr="00E1586C">
              <w:rPr>
                <w:rFonts w:eastAsia="Times New Roman" w:cstheme="majorHAnsi"/>
                <w:sz w:val="18"/>
                <w:szCs w:val="18"/>
                <w:lang w:eastAsia="en-AU"/>
              </w:rPr>
              <w:t>work plans</w:t>
            </w:r>
          </w:p>
        </w:tc>
        <w:tc>
          <w:tcPr>
            <w:tcW w:w="1492" w:type="dxa"/>
          </w:tcPr>
          <w:p w14:paraId="3B44DEF0"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 xml:space="preserve">Numerator: Number of grantees reports that report and acquit on time against agreed grant agreement </w:t>
            </w:r>
            <w:r w:rsidR="00662DC2" w:rsidRPr="00E1586C">
              <w:rPr>
                <w:rFonts w:eastAsia="Times New Roman" w:cstheme="majorHAnsi"/>
                <w:sz w:val="18"/>
                <w:szCs w:val="18"/>
                <w:lang w:eastAsia="en-AU"/>
              </w:rPr>
              <w:t>work plans</w:t>
            </w:r>
          </w:p>
          <w:p w14:paraId="5C297C45" w14:textId="77777777" w:rsidR="000B54BD" w:rsidRPr="00E1586C" w:rsidRDefault="000B54BD" w:rsidP="00E97A3B">
            <w:pPr>
              <w:rPr>
                <w:rFonts w:eastAsia="Times New Roman" w:cstheme="majorHAnsi"/>
                <w:sz w:val="18"/>
                <w:szCs w:val="18"/>
                <w:lang w:eastAsia="en-AU"/>
              </w:rPr>
            </w:pPr>
          </w:p>
          <w:p w14:paraId="3E91502A" w14:textId="77777777" w:rsidR="000B54BD" w:rsidRPr="00E1586C" w:rsidRDefault="000B54BD" w:rsidP="00E97A3B">
            <w:pPr>
              <w:rPr>
                <w:rFonts w:cstheme="majorHAnsi"/>
                <w:color w:val="000000"/>
                <w:sz w:val="18"/>
                <w:szCs w:val="18"/>
                <w:shd w:val="clear" w:color="auto" w:fill="FFFFFF"/>
              </w:rPr>
            </w:pPr>
            <w:r w:rsidRPr="00E1586C">
              <w:rPr>
                <w:rFonts w:eastAsia="Times New Roman" w:cstheme="majorHAnsi"/>
                <w:sz w:val="18"/>
                <w:szCs w:val="18"/>
                <w:lang w:eastAsia="en-AU"/>
              </w:rPr>
              <w:t xml:space="preserve">Denominator: Total number of grantees </w:t>
            </w:r>
          </w:p>
        </w:tc>
        <w:tc>
          <w:tcPr>
            <w:tcW w:w="1178" w:type="dxa"/>
            <w:shd w:val="clear" w:color="auto" w:fill="auto"/>
          </w:tcPr>
          <w:p w14:paraId="67BD20B7" w14:textId="77777777" w:rsidR="000B54BD" w:rsidRPr="00E1586C" w:rsidRDefault="000B54BD" w:rsidP="00E97A3B">
            <w:pPr>
              <w:rPr>
                <w:rFonts w:cstheme="majorHAnsi"/>
                <w:i/>
                <w:color w:val="000000"/>
                <w:sz w:val="18"/>
                <w:szCs w:val="18"/>
                <w:shd w:val="clear" w:color="auto" w:fill="FFFFFF"/>
              </w:rPr>
            </w:pPr>
            <w:r w:rsidRPr="00E1586C">
              <w:rPr>
                <w:rFonts w:cstheme="majorHAnsi"/>
                <w:i/>
                <w:color w:val="000000"/>
                <w:sz w:val="18"/>
                <w:szCs w:val="18"/>
                <w:shd w:val="clear" w:color="auto" w:fill="FFFFFF"/>
              </w:rPr>
              <w:t>What is the target?</w:t>
            </w:r>
          </w:p>
        </w:tc>
        <w:tc>
          <w:tcPr>
            <w:tcW w:w="1283" w:type="dxa"/>
            <w:shd w:val="clear" w:color="auto" w:fill="auto"/>
          </w:tcPr>
          <w:p w14:paraId="5D9CF4EE"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TongaHealth Grantee Reports</w:t>
            </w:r>
          </w:p>
          <w:p w14:paraId="696D303D" w14:textId="77777777" w:rsidR="000B54BD" w:rsidRPr="00E1586C" w:rsidRDefault="000B54BD" w:rsidP="00E97A3B">
            <w:pPr>
              <w:rPr>
                <w:rFonts w:eastAsia="Times New Roman" w:cstheme="majorHAnsi"/>
                <w:sz w:val="18"/>
                <w:szCs w:val="18"/>
                <w:lang w:eastAsia="en-AU"/>
              </w:rPr>
            </w:pPr>
          </w:p>
          <w:p w14:paraId="1CE095F0" w14:textId="77777777" w:rsidR="000B54BD" w:rsidRPr="00E1586C" w:rsidRDefault="000B54BD" w:rsidP="00E97A3B">
            <w:pPr>
              <w:rPr>
                <w:rFonts w:cstheme="majorHAnsi"/>
                <w:i/>
                <w:color w:val="000000"/>
                <w:sz w:val="18"/>
                <w:szCs w:val="18"/>
                <w:shd w:val="clear" w:color="auto" w:fill="FFFFFF"/>
              </w:rPr>
            </w:pPr>
            <w:r w:rsidRPr="00E1586C">
              <w:rPr>
                <w:rFonts w:eastAsia="Times New Roman" w:cstheme="majorHAnsi"/>
                <w:i/>
                <w:sz w:val="18"/>
                <w:szCs w:val="18"/>
                <w:lang w:eastAsia="en-AU"/>
              </w:rPr>
              <w:t>As reported in TongaHealth M&amp;E Framework</w:t>
            </w:r>
          </w:p>
        </w:tc>
        <w:tc>
          <w:tcPr>
            <w:tcW w:w="1234" w:type="dxa"/>
            <w:shd w:val="clear" w:color="auto" w:fill="auto"/>
          </w:tcPr>
          <w:p w14:paraId="6EE4E2BD" w14:textId="77777777" w:rsidR="000B54BD" w:rsidRPr="00E1586C" w:rsidRDefault="000B54BD" w:rsidP="00E97A3B">
            <w:pPr>
              <w:rPr>
                <w:rFonts w:eastAsia="Times New Roman" w:cstheme="majorHAnsi"/>
                <w:sz w:val="18"/>
                <w:szCs w:val="18"/>
                <w:lang w:eastAsia="en-AU"/>
              </w:rPr>
            </w:pPr>
            <w:r w:rsidRPr="00E1586C">
              <w:rPr>
                <w:rFonts w:eastAsia="Times New Roman" w:cstheme="majorHAnsi"/>
                <w:sz w:val="18"/>
                <w:szCs w:val="18"/>
                <w:lang w:eastAsia="en-AU"/>
              </w:rPr>
              <w:t xml:space="preserve">2015-16 data to </w:t>
            </w:r>
            <w:r w:rsidRPr="00A318B9">
              <w:rPr>
                <w:rFonts w:eastAsia="Times New Roman" w:cstheme="majorHAnsi"/>
                <w:noProof/>
                <w:sz w:val="18"/>
                <w:szCs w:val="18"/>
                <w:lang w:eastAsia="en-AU"/>
              </w:rPr>
              <w:t>be provided</w:t>
            </w:r>
            <w:r w:rsidRPr="00E1586C">
              <w:rPr>
                <w:rFonts w:eastAsia="Times New Roman" w:cstheme="majorHAnsi"/>
                <w:sz w:val="18"/>
                <w:szCs w:val="18"/>
                <w:lang w:eastAsia="en-AU"/>
              </w:rPr>
              <w:t xml:space="preserve"> no later than August 2017 </w:t>
            </w:r>
          </w:p>
        </w:tc>
        <w:tc>
          <w:tcPr>
            <w:tcW w:w="2088" w:type="dxa"/>
            <w:shd w:val="clear" w:color="auto" w:fill="FF7C80"/>
          </w:tcPr>
          <w:p w14:paraId="5DDB6299" w14:textId="77777777" w:rsidR="000B54BD" w:rsidRPr="00E1586C" w:rsidRDefault="000B54BD" w:rsidP="00E97A3B">
            <w:pPr>
              <w:rPr>
                <w:rFonts w:cstheme="majorHAnsi"/>
                <w:b/>
                <w:sz w:val="18"/>
                <w:szCs w:val="18"/>
              </w:rPr>
            </w:pPr>
            <w:r w:rsidRPr="00E1586C">
              <w:rPr>
                <w:rFonts w:cstheme="majorHAnsi"/>
                <w:b/>
                <w:sz w:val="18"/>
                <w:szCs w:val="18"/>
              </w:rPr>
              <w:t xml:space="preserve">Jan 2015-June16: </w:t>
            </w:r>
            <w:r w:rsidRPr="00E1586C">
              <w:rPr>
                <w:rFonts w:cstheme="majorHAnsi"/>
                <w:sz w:val="18"/>
                <w:szCs w:val="18"/>
              </w:rPr>
              <w:t>Staff recruitment.</w:t>
            </w:r>
          </w:p>
          <w:p w14:paraId="44625DD3" w14:textId="77777777" w:rsidR="000B54BD" w:rsidRPr="00E1586C" w:rsidRDefault="000B54BD" w:rsidP="00E97A3B">
            <w:pPr>
              <w:rPr>
                <w:rFonts w:cstheme="majorHAnsi"/>
                <w:b/>
                <w:sz w:val="18"/>
                <w:szCs w:val="18"/>
              </w:rPr>
            </w:pPr>
            <w:r w:rsidRPr="00E1586C">
              <w:rPr>
                <w:rFonts w:cstheme="majorHAnsi"/>
                <w:b/>
                <w:sz w:val="18"/>
                <w:szCs w:val="18"/>
              </w:rPr>
              <w:t>Oct-Dec 2016</w:t>
            </w:r>
          </w:p>
          <w:p w14:paraId="0CB6441E" w14:textId="77777777" w:rsidR="000B54BD" w:rsidRPr="00E1586C" w:rsidRDefault="000B54BD" w:rsidP="00E97A3B">
            <w:pPr>
              <w:rPr>
                <w:rFonts w:cstheme="majorHAnsi"/>
                <w:sz w:val="18"/>
                <w:szCs w:val="18"/>
              </w:rPr>
            </w:pPr>
            <w:r w:rsidRPr="00E1586C">
              <w:rPr>
                <w:rFonts w:cstheme="majorHAnsi"/>
                <w:sz w:val="18"/>
                <w:szCs w:val="18"/>
              </w:rPr>
              <w:t>100%</w:t>
            </w:r>
          </w:p>
          <w:p w14:paraId="475FEBEB" w14:textId="77777777" w:rsidR="000B54BD" w:rsidRPr="00E1586C" w:rsidRDefault="000B54BD" w:rsidP="00E97A3B">
            <w:pPr>
              <w:rPr>
                <w:rFonts w:cstheme="majorHAnsi"/>
                <w:sz w:val="18"/>
                <w:szCs w:val="18"/>
              </w:rPr>
            </w:pPr>
            <w:r w:rsidRPr="00E1586C">
              <w:rPr>
                <w:rFonts w:cstheme="majorHAnsi"/>
                <w:sz w:val="18"/>
                <w:szCs w:val="18"/>
              </w:rPr>
              <w:t xml:space="preserve">All program and </w:t>
            </w:r>
            <w:r w:rsidRPr="00A318B9">
              <w:rPr>
                <w:rFonts w:cstheme="majorHAnsi"/>
                <w:noProof/>
                <w:sz w:val="18"/>
                <w:szCs w:val="18"/>
              </w:rPr>
              <w:t>financial quarterly</w:t>
            </w:r>
            <w:r w:rsidRPr="00E1586C">
              <w:rPr>
                <w:rFonts w:cstheme="majorHAnsi"/>
                <w:sz w:val="18"/>
                <w:szCs w:val="18"/>
              </w:rPr>
              <w:t xml:space="preserve"> reports submitted on time</w:t>
            </w:r>
          </w:p>
          <w:p w14:paraId="45EA78FA" w14:textId="77777777" w:rsidR="000B54BD" w:rsidRPr="00E1586C" w:rsidRDefault="000B54BD" w:rsidP="00E97A3B">
            <w:pPr>
              <w:rPr>
                <w:rFonts w:cstheme="majorHAnsi"/>
                <w:color w:val="000000"/>
                <w:sz w:val="18"/>
                <w:szCs w:val="18"/>
                <w:shd w:val="clear" w:color="auto" w:fill="FFFFFF"/>
              </w:rPr>
            </w:pPr>
          </w:p>
        </w:tc>
        <w:tc>
          <w:tcPr>
            <w:tcW w:w="2268" w:type="dxa"/>
            <w:shd w:val="clear" w:color="auto" w:fill="FF7C80"/>
          </w:tcPr>
          <w:p w14:paraId="4F2FEA28" w14:textId="77777777" w:rsidR="000B54BD" w:rsidRPr="00E1586C" w:rsidRDefault="000B54BD" w:rsidP="00E97A3B">
            <w:pPr>
              <w:rPr>
                <w:rFonts w:cstheme="majorHAnsi"/>
                <w:b/>
                <w:sz w:val="18"/>
                <w:szCs w:val="18"/>
              </w:rPr>
            </w:pPr>
            <w:r w:rsidRPr="00E1586C">
              <w:rPr>
                <w:rFonts w:cstheme="majorHAnsi"/>
                <w:b/>
                <w:sz w:val="18"/>
                <w:szCs w:val="18"/>
              </w:rPr>
              <w:t>Jan-Mar 2017</w:t>
            </w:r>
          </w:p>
          <w:p w14:paraId="7C36EA7A" w14:textId="77777777" w:rsidR="000B54BD" w:rsidRPr="00E1586C" w:rsidRDefault="000B54BD" w:rsidP="00E97A3B">
            <w:pPr>
              <w:rPr>
                <w:rFonts w:cstheme="majorHAnsi"/>
                <w:sz w:val="18"/>
                <w:szCs w:val="18"/>
              </w:rPr>
            </w:pPr>
            <w:r w:rsidRPr="00E1586C">
              <w:rPr>
                <w:rFonts w:cstheme="majorHAnsi"/>
                <w:sz w:val="18"/>
                <w:szCs w:val="18"/>
              </w:rPr>
              <w:t>92% progress reports received</w:t>
            </w:r>
          </w:p>
          <w:p w14:paraId="61CE4460" w14:textId="77777777" w:rsidR="000B54BD" w:rsidRPr="00E1586C" w:rsidRDefault="000B54BD" w:rsidP="00E97A3B">
            <w:pPr>
              <w:rPr>
                <w:rFonts w:cstheme="majorHAnsi"/>
                <w:sz w:val="18"/>
                <w:szCs w:val="18"/>
              </w:rPr>
            </w:pPr>
            <w:r w:rsidRPr="00E1586C">
              <w:rPr>
                <w:rFonts w:cstheme="majorHAnsi"/>
                <w:sz w:val="18"/>
                <w:szCs w:val="18"/>
              </w:rPr>
              <w:t>21% financial acquittal received</w:t>
            </w:r>
          </w:p>
          <w:p w14:paraId="41221308" w14:textId="77777777" w:rsidR="000B54BD" w:rsidRPr="00E1586C" w:rsidRDefault="000B54BD" w:rsidP="00E97A3B">
            <w:pPr>
              <w:rPr>
                <w:rFonts w:cstheme="majorHAnsi"/>
                <w:sz w:val="18"/>
                <w:szCs w:val="18"/>
              </w:rPr>
            </w:pPr>
          </w:p>
          <w:p w14:paraId="5340F2EC" w14:textId="77777777" w:rsidR="000B54BD" w:rsidRPr="00E1586C" w:rsidRDefault="000B54BD" w:rsidP="00E97A3B">
            <w:pPr>
              <w:rPr>
                <w:rFonts w:cstheme="majorHAnsi"/>
                <w:b/>
                <w:sz w:val="18"/>
                <w:szCs w:val="18"/>
              </w:rPr>
            </w:pPr>
            <w:r w:rsidRPr="00E1586C">
              <w:rPr>
                <w:rFonts w:cstheme="majorHAnsi"/>
                <w:b/>
                <w:sz w:val="18"/>
                <w:szCs w:val="18"/>
              </w:rPr>
              <w:t>Apr-Jun 2017</w:t>
            </w:r>
          </w:p>
          <w:p w14:paraId="7DB4197A" w14:textId="77777777" w:rsidR="000B54BD" w:rsidRPr="00E1586C" w:rsidRDefault="000B54BD" w:rsidP="00E97A3B">
            <w:pPr>
              <w:rPr>
                <w:rFonts w:cstheme="majorHAnsi"/>
                <w:sz w:val="18"/>
                <w:szCs w:val="18"/>
              </w:rPr>
            </w:pPr>
            <w:r w:rsidRPr="00E1586C">
              <w:rPr>
                <w:rFonts w:cstheme="majorHAnsi"/>
                <w:sz w:val="18"/>
                <w:szCs w:val="18"/>
              </w:rPr>
              <w:t>14% financial acquittal received on time*</w:t>
            </w:r>
          </w:p>
          <w:p w14:paraId="0142640C" w14:textId="77777777" w:rsidR="000B54BD" w:rsidRPr="00E1586C" w:rsidRDefault="000B54BD" w:rsidP="00E97A3B">
            <w:pPr>
              <w:rPr>
                <w:rFonts w:cstheme="majorHAnsi"/>
                <w:i/>
                <w:sz w:val="18"/>
                <w:szCs w:val="18"/>
              </w:rPr>
            </w:pPr>
            <w:r w:rsidRPr="00E1586C">
              <w:rPr>
                <w:rFonts w:cstheme="majorHAnsi"/>
                <w:i/>
                <w:sz w:val="18"/>
                <w:szCs w:val="18"/>
              </w:rPr>
              <w:t xml:space="preserve">*Ministry financial processes take longer, especially over </w:t>
            </w:r>
            <w:r w:rsidRPr="00A318B9">
              <w:rPr>
                <w:rFonts w:cstheme="majorHAnsi"/>
                <w:i/>
                <w:noProof/>
                <w:sz w:val="18"/>
                <w:szCs w:val="18"/>
              </w:rPr>
              <w:t>financial</w:t>
            </w:r>
            <w:r w:rsidRPr="00E1586C">
              <w:rPr>
                <w:rFonts w:cstheme="majorHAnsi"/>
                <w:i/>
                <w:sz w:val="18"/>
                <w:szCs w:val="18"/>
              </w:rPr>
              <w:t xml:space="preserve"> year - 30 days after quarterly period seems to be unattainable for most.</w:t>
            </w:r>
          </w:p>
          <w:p w14:paraId="6B04C43F" w14:textId="77777777" w:rsidR="000B54BD" w:rsidRPr="00E1586C" w:rsidRDefault="000B54BD" w:rsidP="00E97A3B">
            <w:pPr>
              <w:rPr>
                <w:rFonts w:cstheme="majorHAnsi"/>
                <w:b/>
                <w:sz w:val="18"/>
                <w:szCs w:val="18"/>
              </w:rPr>
            </w:pPr>
            <w:r w:rsidRPr="00E1586C">
              <w:rPr>
                <w:rFonts w:cstheme="majorHAnsi"/>
                <w:b/>
                <w:sz w:val="18"/>
                <w:szCs w:val="18"/>
              </w:rPr>
              <w:t>July-Sep 2017</w:t>
            </w:r>
          </w:p>
          <w:p w14:paraId="30E9A551" w14:textId="77777777" w:rsidR="000B54BD" w:rsidRPr="00E1586C" w:rsidRDefault="000B54BD" w:rsidP="00E97A3B">
            <w:pPr>
              <w:rPr>
                <w:rFonts w:cstheme="majorHAnsi"/>
                <w:sz w:val="18"/>
                <w:szCs w:val="18"/>
              </w:rPr>
            </w:pPr>
            <w:r w:rsidRPr="00E1586C">
              <w:rPr>
                <w:rFonts w:cstheme="majorHAnsi"/>
                <w:sz w:val="18"/>
                <w:szCs w:val="18"/>
              </w:rPr>
              <w:t>46%</w:t>
            </w:r>
          </w:p>
          <w:p w14:paraId="0E77E02E" w14:textId="77777777" w:rsidR="000B54BD" w:rsidRPr="00E1586C" w:rsidRDefault="000B54BD" w:rsidP="00E97A3B">
            <w:pPr>
              <w:rPr>
                <w:rFonts w:cstheme="majorHAnsi"/>
                <w:b/>
                <w:sz w:val="18"/>
                <w:szCs w:val="18"/>
              </w:rPr>
            </w:pPr>
            <w:r w:rsidRPr="00E1586C">
              <w:rPr>
                <w:rFonts w:cstheme="majorHAnsi"/>
                <w:b/>
                <w:sz w:val="18"/>
                <w:szCs w:val="18"/>
              </w:rPr>
              <w:t>Oct-Dec 2017</w:t>
            </w:r>
          </w:p>
          <w:p w14:paraId="27E010B1" w14:textId="77777777" w:rsidR="000B54BD" w:rsidRPr="00E1586C" w:rsidRDefault="000B54BD" w:rsidP="00E97A3B">
            <w:pPr>
              <w:rPr>
                <w:rFonts w:cstheme="majorHAnsi"/>
                <w:sz w:val="18"/>
                <w:szCs w:val="18"/>
              </w:rPr>
            </w:pPr>
            <w:r w:rsidRPr="00E1586C">
              <w:rPr>
                <w:rFonts w:cstheme="majorHAnsi"/>
                <w:sz w:val="18"/>
                <w:szCs w:val="18"/>
              </w:rPr>
              <w:t>38%</w:t>
            </w:r>
          </w:p>
          <w:p w14:paraId="59ED10D2" w14:textId="77777777" w:rsidR="000B54BD" w:rsidRPr="00E1586C" w:rsidRDefault="000B54BD" w:rsidP="00E97A3B">
            <w:pPr>
              <w:rPr>
                <w:rFonts w:cstheme="majorHAnsi"/>
                <w:sz w:val="18"/>
                <w:szCs w:val="18"/>
                <w:shd w:val="clear" w:color="auto" w:fill="FFFFFF"/>
              </w:rPr>
            </w:pPr>
          </w:p>
        </w:tc>
        <w:tc>
          <w:tcPr>
            <w:tcW w:w="2727" w:type="dxa"/>
            <w:shd w:val="clear" w:color="auto" w:fill="FF7C80"/>
          </w:tcPr>
          <w:p w14:paraId="76AB1CCE" w14:textId="77777777" w:rsidR="000B54BD" w:rsidRPr="00E1586C" w:rsidRDefault="000B54BD" w:rsidP="00E97A3B">
            <w:pPr>
              <w:rPr>
                <w:rFonts w:cstheme="majorHAnsi"/>
                <w:b/>
                <w:sz w:val="18"/>
                <w:szCs w:val="18"/>
              </w:rPr>
            </w:pPr>
            <w:r w:rsidRPr="00E1586C">
              <w:rPr>
                <w:rFonts w:cstheme="majorHAnsi"/>
                <w:b/>
                <w:sz w:val="18"/>
                <w:szCs w:val="18"/>
              </w:rPr>
              <w:t>Jan-Mar 2018</w:t>
            </w:r>
          </w:p>
          <w:p w14:paraId="1D7D06D8" w14:textId="77777777" w:rsidR="000B54BD" w:rsidRPr="00E1586C" w:rsidRDefault="000B54BD" w:rsidP="00E97A3B">
            <w:pPr>
              <w:rPr>
                <w:rFonts w:cstheme="majorHAnsi"/>
                <w:sz w:val="18"/>
                <w:szCs w:val="18"/>
              </w:rPr>
            </w:pPr>
            <w:r w:rsidRPr="00E1586C">
              <w:rPr>
                <w:rFonts w:cstheme="majorHAnsi"/>
                <w:sz w:val="18"/>
                <w:szCs w:val="18"/>
              </w:rPr>
              <w:t>0% - still awaiting acquittals from 8 projects</w:t>
            </w:r>
          </w:p>
          <w:p w14:paraId="607C579F" w14:textId="77777777" w:rsidR="000B54BD" w:rsidRPr="00E1586C" w:rsidRDefault="000B54BD" w:rsidP="00E97A3B">
            <w:pPr>
              <w:rPr>
                <w:rFonts w:cstheme="majorHAnsi"/>
                <w:sz w:val="18"/>
                <w:szCs w:val="18"/>
              </w:rPr>
            </w:pPr>
          </w:p>
          <w:p w14:paraId="1D3A4FB9" w14:textId="77777777" w:rsidR="000B54BD" w:rsidRPr="00E1586C" w:rsidRDefault="000B54BD" w:rsidP="00E97A3B">
            <w:pPr>
              <w:rPr>
                <w:rFonts w:cstheme="majorHAnsi"/>
                <w:b/>
                <w:sz w:val="18"/>
                <w:szCs w:val="18"/>
              </w:rPr>
            </w:pPr>
            <w:r w:rsidRPr="00E1586C">
              <w:rPr>
                <w:rFonts w:cstheme="majorHAnsi"/>
                <w:b/>
                <w:sz w:val="18"/>
                <w:szCs w:val="18"/>
              </w:rPr>
              <w:t>Apr-June 2018</w:t>
            </w:r>
          </w:p>
          <w:p w14:paraId="61112154" w14:textId="77777777" w:rsidR="000B54BD" w:rsidRPr="00E1586C" w:rsidRDefault="000B54BD" w:rsidP="00E97A3B">
            <w:pPr>
              <w:rPr>
                <w:rFonts w:cstheme="majorHAnsi"/>
                <w:sz w:val="18"/>
                <w:szCs w:val="18"/>
              </w:rPr>
            </w:pPr>
            <w:r w:rsidRPr="00E1586C">
              <w:rPr>
                <w:rFonts w:cstheme="majorHAnsi"/>
                <w:sz w:val="18"/>
                <w:szCs w:val="18"/>
              </w:rPr>
              <w:t xml:space="preserve">Partners have until </w:t>
            </w:r>
            <w:r w:rsidRPr="00A318B9">
              <w:rPr>
                <w:rFonts w:cstheme="majorHAnsi"/>
                <w:noProof/>
                <w:sz w:val="18"/>
                <w:szCs w:val="18"/>
              </w:rPr>
              <w:t>end</w:t>
            </w:r>
            <w:r w:rsidRPr="00E1586C">
              <w:rPr>
                <w:rFonts w:cstheme="majorHAnsi"/>
                <w:sz w:val="18"/>
                <w:szCs w:val="18"/>
              </w:rPr>
              <w:t xml:space="preserve"> of July to acquit</w:t>
            </w:r>
          </w:p>
          <w:p w14:paraId="69388B66" w14:textId="77777777" w:rsidR="000B54BD" w:rsidRPr="00E1586C" w:rsidRDefault="000B54BD" w:rsidP="00E97A3B">
            <w:pPr>
              <w:rPr>
                <w:rFonts w:cstheme="majorHAnsi"/>
                <w:color w:val="000000"/>
                <w:sz w:val="18"/>
                <w:szCs w:val="18"/>
                <w:shd w:val="clear" w:color="auto" w:fill="FFFFFF"/>
              </w:rPr>
            </w:pPr>
          </w:p>
        </w:tc>
      </w:tr>
      <w:tr w:rsidR="000B54BD" w:rsidRPr="00E1586C" w14:paraId="772094A7" w14:textId="77777777" w:rsidTr="00E97A3B">
        <w:trPr>
          <w:trHeight w:val="306"/>
        </w:trPr>
        <w:tc>
          <w:tcPr>
            <w:tcW w:w="487" w:type="dxa"/>
          </w:tcPr>
          <w:p w14:paraId="360F767B" w14:textId="77777777" w:rsidR="000B54BD" w:rsidRPr="00E1586C" w:rsidRDefault="000B54BD" w:rsidP="00E97A3B">
            <w:pPr>
              <w:rPr>
                <w:rFonts w:cstheme="majorHAnsi"/>
                <w:sz w:val="18"/>
                <w:szCs w:val="18"/>
              </w:rPr>
            </w:pPr>
            <w:r w:rsidRPr="00E1586C">
              <w:rPr>
                <w:rFonts w:cstheme="majorHAnsi"/>
                <w:sz w:val="18"/>
                <w:szCs w:val="18"/>
              </w:rPr>
              <w:t>5.6</w:t>
            </w:r>
          </w:p>
        </w:tc>
        <w:tc>
          <w:tcPr>
            <w:tcW w:w="1418" w:type="dxa"/>
          </w:tcPr>
          <w:p w14:paraId="0A4117B1" w14:textId="77777777" w:rsidR="000B54BD" w:rsidRPr="00E1586C" w:rsidRDefault="000B54BD" w:rsidP="00E97A3B">
            <w:pPr>
              <w:rPr>
                <w:rFonts w:cstheme="majorHAnsi"/>
                <w:b/>
                <w:color w:val="000000"/>
                <w:sz w:val="18"/>
                <w:szCs w:val="18"/>
                <w:shd w:val="clear" w:color="auto" w:fill="FFFFFF"/>
              </w:rPr>
            </w:pPr>
            <w:r w:rsidRPr="00E1586C">
              <w:rPr>
                <w:rFonts w:cstheme="majorHAnsi"/>
                <w:b/>
                <w:color w:val="000000"/>
                <w:sz w:val="18"/>
                <w:szCs w:val="18"/>
                <w:shd w:val="clear" w:color="auto" w:fill="FFFFFF"/>
              </w:rPr>
              <w:t xml:space="preserve">OUTPUT: </w:t>
            </w:r>
            <w:r w:rsidRPr="00E1586C">
              <w:rPr>
                <w:rFonts w:cstheme="majorHAnsi"/>
                <w:color w:val="000000"/>
                <w:sz w:val="18"/>
                <w:szCs w:val="18"/>
                <w:shd w:val="clear" w:color="auto" w:fill="FFFFFF"/>
              </w:rPr>
              <w:t xml:space="preserve">% of essential NCD medicines available at the Central Pharmacy </w:t>
            </w:r>
          </w:p>
        </w:tc>
        <w:tc>
          <w:tcPr>
            <w:tcW w:w="1492" w:type="dxa"/>
          </w:tcPr>
          <w:p w14:paraId="7E368DF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Essential NCD medicines refer to a collection of 46 medications listed on the country’s essential drug list.  </w:t>
            </w:r>
          </w:p>
          <w:p w14:paraId="0DF0D3BD" w14:textId="77777777" w:rsidR="000B54BD" w:rsidRPr="00E1586C" w:rsidRDefault="000B54BD" w:rsidP="00E97A3B">
            <w:pPr>
              <w:rPr>
                <w:rFonts w:cstheme="majorHAnsi"/>
                <w:color w:val="000000"/>
                <w:sz w:val="18"/>
                <w:szCs w:val="18"/>
                <w:shd w:val="clear" w:color="auto" w:fill="FFFFFF"/>
              </w:rPr>
            </w:pPr>
          </w:p>
          <w:p w14:paraId="6AF7A42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Numerator: Number of essential NCD medicines available at the </w:t>
            </w:r>
            <w:r w:rsidRPr="00E1586C">
              <w:rPr>
                <w:rFonts w:cstheme="majorHAnsi"/>
                <w:color w:val="000000"/>
                <w:sz w:val="18"/>
                <w:szCs w:val="18"/>
                <w:shd w:val="clear" w:color="auto" w:fill="FFFFFF"/>
              </w:rPr>
              <w:lastRenderedPageBreak/>
              <w:t>Central Pharmacy  as of June 30th</w:t>
            </w:r>
          </w:p>
          <w:p w14:paraId="3960F8E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Number of all essential NCD medications listed on the country’s essential drug list x 100</w:t>
            </w:r>
          </w:p>
        </w:tc>
        <w:tc>
          <w:tcPr>
            <w:tcW w:w="1178" w:type="dxa"/>
            <w:shd w:val="clear" w:color="auto" w:fill="auto"/>
          </w:tcPr>
          <w:p w14:paraId="5839B1A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Maintain or increase</w:t>
            </w:r>
          </w:p>
        </w:tc>
        <w:tc>
          <w:tcPr>
            <w:tcW w:w="1283" w:type="dxa"/>
            <w:shd w:val="clear" w:color="auto" w:fill="auto"/>
          </w:tcPr>
          <w:p w14:paraId="38601CB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Central Pharmacy</w:t>
            </w:r>
          </w:p>
          <w:p w14:paraId="5A399CC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w:t>
            </w:r>
            <w:r w:rsidRPr="00A318B9">
              <w:rPr>
                <w:rFonts w:cstheme="majorHAnsi"/>
                <w:noProof/>
                <w:color w:val="000000"/>
                <w:sz w:val="18"/>
                <w:szCs w:val="18"/>
                <w:shd w:val="clear" w:color="auto" w:fill="FFFFFF"/>
              </w:rPr>
              <w:t>mSupply</w:t>
            </w:r>
            <w:r w:rsidRPr="00E1586C">
              <w:rPr>
                <w:rFonts w:cstheme="majorHAnsi"/>
                <w:color w:val="000000"/>
                <w:sz w:val="18"/>
                <w:szCs w:val="18"/>
                <w:shd w:val="clear" w:color="auto" w:fill="FFFFFF"/>
              </w:rPr>
              <w:t>)</w:t>
            </w:r>
          </w:p>
        </w:tc>
        <w:tc>
          <w:tcPr>
            <w:tcW w:w="1234" w:type="dxa"/>
            <w:shd w:val="clear" w:color="auto" w:fill="auto"/>
          </w:tcPr>
          <w:p w14:paraId="6F403609"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June 2016</w:t>
            </w:r>
          </w:p>
          <w:p w14:paraId="0D65FCDF"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91.3 %</w:t>
            </w:r>
          </w:p>
          <w:p w14:paraId="1CA2A565" w14:textId="77777777" w:rsidR="000B54BD" w:rsidRPr="00E1586C" w:rsidRDefault="000B54BD" w:rsidP="00E97A3B">
            <w:pPr>
              <w:rPr>
                <w:rFonts w:cstheme="majorHAnsi"/>
                <w:color w:val="000000"/>
                <w:sz w:val="18"/>
                <w:szCs w:val="18"/>
                <w:shd w:val="clear" w:color="auto" w:fill="FFFFFF"/>
              </w:rPr>
            </w:pPr>
          </w:p>
        </w:tc>
        <w:tc>
          <w:tcPr>
            <w:tcW w:w="2088" w:type="dxa"/>
            <w:shd w:val="clear" w:color="auto" w:fill="auto"/>
          </w:tcPr>
          <w:p w14:paraId="26AFD7E1" w14:textId="77777777" w:rsidR="000B54BD" w:rsidRPr="00E1586C" w:rsidRDefault="000B54BD" w:rsidP="00E97A3B">
            <w:pPr>
              <w:rPr>
                <w:rFonts w:cstheme="majorHAnsi"/>
                <w:color w:val="000000"/>
                <w:sz w:val="18"/>
                <w:szCs w:val="18"/>
                <w:shd w:val="clear" w:color="auto" w:fill="FFFFFF"/>
              </w:rPr>
            </w:pPr>
          </w:p>
        </w:tc>
        <w:tc>
          <w:tcPr>
            <w:tcW w:w="2268" w:type="dxa"/>
            <w:shd w:val="clear" w:color="auto" w:fill="auto"/>
          </w:tcPr>
          <w:p w14:paraId="42F99174" w14:textId="77777777" w:rsidR="000B54BD" w:rsidRPr="00E1586C" w:rsidRDefault="000B54BD" w:rsidP="00E97A3B">
            <w:pPr>
              <w:rPr>
                <w:rFonts w:cstheme="majorHAnsi"/>
                <w:color w:val="000000"/>
                <w:sz w:val="18"/>
                <w:szCs w:val="18"/>
                <w:shd w:val="clear" w:color="auto" w:fill="FFFFFF"/>
              </w:rPr>
            </w:pPr>
          </w:p>
        </w:tc>
        <w:tc>
          <w:tcPr>
            <w:tcW w:w="2727" w:type="dxa"/>
            <w:shd w:val="clear" w:color="auto" w:fill="auto"/>
          </w:tcPr>
          <w:p w14:paraId="7B4DEA40" w14:textId="77777777" w:rsidR="000B54BD" w:rsidRPr="00E1586C" w:rsidRDefault="000B54BD" w:rsidP="00E97A3B">
            <w:pPr>
              <w:rPr>
                <w:rFonts w:cstheme="majorHAnsi"/>
                <w:color w:val="000000"/>
                <w:sz w:val="18"/>
                <w:szCs w:val="18"/>
                <w:shd w:val="clear" w:color="auto" w:fill="FFFFFF"/>
              </w:rPr>
            </w:pPr>
          </w:p>
        </w:tc>
      </w:tr>
      <w:tr w:rsidR="000B54BD" w:rsidRPr="00E1586C" w14:paraId="5E654D0F" w14:textId="77777777" w:rsidTr="00E97A3B">
        <w:trPr>
          <w:trHeight w:val="306"/>
        </w:trPr>
        <w:tc>
          <w:tcPr>
            <w:tcW w:w="487" w:type="dxa"/>
          </w:tcPr>
          <w:p w14:paraId="37F3D12A" w14:textId="77777777" w:rsidR="000B54BD" w:rsidRPr="00E1586C" w:rsidRDefault="000B54BD" w:rsidP="00E97A3B">
            <w:pPr>
              <w:rPr>
                <w:rFonts w:cstheme="majorHAnsi"/>
                <w:sz w:val="18"/>
                <w:szCs w:val="18"/>
              </w:rPr>
            </w:pPr>
            <w:r w:rsidRPr="00E1586C">
              <w:rPr>
                <w:rFonts w:cstheme="majorHAnsi"/>
                <w:sz w:val="18"/>
                <w:szCs w:val="18"/>
              </w:rPr>
              <w:t>5.7</w:t>
            </w:r>
          </w:p>
        </w:tc>
        <w:tc>
          <w:tcPr>
            <w:tcW w:w="1418" w:type="dxa"/>
          </w:tcPr>
          <w:p w14:paraId="1FAC13E6"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OUTPUT:</w:t>
            </w:r>
            <w:r w:rsidRPr="00E1586C">
              <w:rPr>
                <w:rFonts w:cstheme="majorHAnsi"/>
                <w:color w:val="000000"/>
                <w:sz w:val="18"/>
                <w:szCs w:val="18"/>
                <w:shd w:val="clear" w:color="auto" w:fill="FFFFFF"/>
              </w:rPr>
              <w:t xml:space="preserve"> Quality of MDA Corporate Plans</w:t>
            </w:r>
            <w:r w:rsidRPr="00E1586C">
              <w:rPr>
                <w:rFonts w:cstheme="majorHAnsi"/>
                <w:color w:val="000000"/>
                <w:sz w:val="18"/>
                <w:szCs w:val="18"/>
                <w:shd w:val="clear" w:color="auto" w:fill="FFFFFF"/>
              </w:rPr>
              <w:tab/>
              <w:t xml:space="preserve"> </w:t>
            </w:r>
          </w:p>
        </w:tc>
        <w:tc>
          <w:tcPr>
            <w:tcW w:w="1492" w:type="dxa"/>
          </w:tcPr>
          <w:p w14:paraId="278417A7"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Quality of MDA corporate plan refers to a planning quality ranking accorded by the Ministry of Finance </w:t>
            </w:r>
          </w:p>
        </w:tc>
        <w:tc>
          <w:tcPr>
            <w:tcW w:w="1178" w:type="dxa"/>
          </w:tcPr>
          <w:p w14:paraId="118C24E2"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Improvement</w:t>
            </w:r>
          </w:p>
        </w:tc>
        <w:tc>
          <w:tcPr>
            <w:tcW w:w="1283" w:type="dxa"/>
            <w:shd w:val="clear" w:color="auto" w:fill="auto"/>
          </w:tcPr>
          <w:p w14:paraId="486FA2F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Budget Statement</w:t>
            </w:r>
          </w:p>
          <w:p w14:paraId="7DCB54F6" w14:textId="77777777" w:rsidR="000B54BD" w:rsidRPr="00E1586C" w:rsidRDefault="000B54BD" w:rsidP="00E97A3B">
            <w:pPr>
              <w:rPr>
                <w:rFonts w:cstheme="majorHAnsi"/>
                <w:i/>
                <w:color w:val="000000"/>
                <w:sz w:val="18"/>
                <w:szCs w:val="18"/>
                <w:shd w:val="clear" w:color="auto" w:fill="FFFFFF"/>
              </w:rPr>
            </w:pPr>
            <w:r w:rsidRPr="00E1586C">
              <w:rPr>
                <w:rFonts w:cstheme="majorHAnsi"/>
                <w:i/>
                <w:color w:val="000000"/>
                <w:sz w:val="18"/>
                <w:szCs w:val="18"/>
                <w:shd w:val="clear" w:color="auto" w:fill="FFFFFF"/>
              </w:rPr>
              <w:t xml:space="preserve">Prime Minister National Planning Office and </w:t>
            </w:r>
            <w:r w:rsidRPr="00A318B9">
              <w:rPr>
                <w:rFonts w:cstheme="majorHAnsi"/>
                <w:i/>
                <w:noProof/>
                <w:color w:val="000000"/>
                <w:sz w:val="18"/>
                <w:szCs w:val="18"/>
                <w:shd w:val="clear" w:color="auto" w:fill="FFFFFF"/>
              </w:rPr>
              <w:t>annual</w:t>
            </w:r>
            <w:r w:rsidRPr="00E1586C">
              <w:rPr>
                <w:rFonts w:cstheme="majorHAnsi"/>
                <w:i/>
                <w:color w:val="000000"/>
                <w:sz w:val="18"/>
                <w:szCs w:val="18"/>
                <w:shd w:val="clear" w:color="auto" w:fill="FFFFFF"/>
              </w:rPr>
              <w:t xml:space="preserve"> budget</w:t>
            </w:r>
          </w:p>
        </w:tc>
        <w:tc>
          <w:tcPr>
            <w:tcW w:w="1234" w:type="dxa"/>
          </w:tcPr>
          <w:p w14:paraId="7C8757E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2016/2017</w:t>
            </w:r>
          </w:p>
          <w:p w14:paraId="6F44208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-2</w:t>
            </w:r>
          </w:p>
          <w:p w14:paraId="23A1566E" w14:textId="77777777" w:rsidR="000B54BD" w:rsidRDefault="000B54BD" w:rsidP="00E97A3B">
            <w:pPr>
              <w:rPr>
                <w:rFonts w:cstheme="majorHAnsi"/>
                <w:i/>
                <w:color w:val="000000"/>
                <w:sz w:val="18"/>
                <w:szCs w:val="18"/>
                <w:shd w:val="clear" w:color="auto" w:fill="FFFFFF"/>
              </w:rPr>
            </w:pPr>
            <w:r w:rsidRPr="00E1586C">
              <w:rPr>
                <w:rFonts w:cstheme="majorHAnsi"/>
                <w:i/>
                <w:color w:val="000000"/>
                <w:sz w:val="18"/>
                <w:szCs w:val="18"/>
                <w:shd w:val="clear" w:color="auto" w:fill="FFFFFF"/>
              </w:rPr>
              <w:t>NB: Corporate Plan ratings have been colour coded since FY 16/17</w:t>
            </w:r>
          </w:p>
          <w:p w14:paraId="7F7D7D05" w14:textId="77777777" w:rsidR="000B54BD" w:rsidRDefault="000B54BD" w:rsidP="00E97A3B">
            <w:pPr>
              <w:rPr>
                <w:rFonts w:cstheme="majorHAnsi"/>
                <w:i/>
                <w:color w:val="000000"/>
                <w:sz w:val="18"/>
                <w:szCs w:val="18"/>
                <w:shd w:val="clear" w:color="auto" w:fill="FFFFFF"/>
              </w:rPr>
            </w:pPr>
          </w:p>
          <w:p w14:paraId="0C321877" w14:textId="77777777" w:rsidR="000B54BD" w:rsidRDefault="000B54BD" w:rsidP="00E97A3B">
            <w:pPr>
              <w:rPr>
                <w:rFonts w:cstheme="majorHAnsi"/>
                <w:i/>
                <w:color w:val="000000"/>
                <w:sz w:val="18"/>
                <w:szCs w:val="18"/>
                <w:shd w:val="clear" w:color="auto" w:fill="FFFFFF"/>
              </w:rPr>
            </w:pPr>
          </w:p>
          <w:p w14:paraId="78E13337" w14:textId="77777777" w:rsidR="000B54BD" w:rsidRDefault="000B54BD" w:rsidP="00E97A3B">
            <w:pPr>
              <w:rPr>
                <w:rFonts w:cstheme="majorHAnsi"/>
                <w:i/>
                <w:color w:val="000000"/>
                <w:sz w:val="18"/>
                <w:szCs w:val="18"/>
                <w:shd w:val="clear" w:color="auto" w:fill="FFFFFF"/>
              </w:rPr>
            </w:pPr>
          </w:p>
          <w:p w14:paraId="7276C8B4" w14:textId="77777777" w:rsidR="000B54BD" w:rsidRDefault="000B54BD" w:rsidP="00E97A3B">
            <w:pPr>
              <w:rPr>
                <w:rFonts w:cstheme="majorHAnsi"/>
                <w:i/>
                <w:color w:val="000000"/>
                <w:sz w:val="18"/>
                <w:szCs w:val="18"/>
                <w:shd w:val="clear" w:color="auto" w:fill="FFFFFF"/>
              </w:rPr>
            </w:pPr>
          </w:p>
          <w:p w14:paraId="51FE87D1" w14:textId="77777777" w:rsidR="000B54BD" w:rsidRPr="00E1586C" w:rsidRDefault="000B54BD" w:rsidP="00E97A3B">
            <w:pPr>
              <w:rPr>
                <w:rFonts w:cstheme="majorHAnsi"/>
                <w:i/>
                <w:color w:val="000000"/>
                <w:sz w:val="18"/>
                <w:szCs w:val="18"/>
                <w:shd w:val="clear" w:color="auto" w:fill="FFFFFF"/>
              </w:rPr>
            </w:pPr>
          </w:p>
        </w:tc>
        <w:tc>
          <w:tcPr>
            <w:tcW w:w="2088" w:type="dxa"/>
            <w:shd w:val="clear" w:color="auto" w:fill="FF7C80"/>
          </w:tcPr>
          <w:p w14:paraId="2CAD4275"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‘Red’</w:t>
            </w:r>
          </w:p>
        </w:tc>
        <w:tc>
          <w:tcPr>
            <w:tcW w:w="2268" w:type="dxa"/>
            <w:shd w:val="clear" w:color="auto" w:fill="CCFFCC"/>
          </w:tcPr>
          <w:p w14:paraId="0DDB3AB4"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‘Green’</w:t>
            </w:r>
          </w:p>
        </w:tc>
        <w:tc>
          <w:tcPr>
            <w:tcW w:w="2727" w:type="dxa"/>
            <w:shd w:val="clear" w:color="auto" w:fill="CCFFCC"/>
          </w:tcPr>
          <w:p w14:paraId="2E67C7B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‘Green’</w:t>
            </w:r>
          </w:p>
        </w:tc>
      </w:tr>
      <w:tr w:rsidR="000B54BD" w:rsidRPr="00E1586C" w14:paraId="09785DDE" w14:textId="77777777" w:rsidTr="00E97A3B">
        <w:trPr>
          <w:trHeight w:val="306"/>
        </w:trPr>
        <w:tc>
          <w:tcPr>
            <w:tcW w:w="14175" w:type="dxa"/>
            <w:gridSpan w:val="9"/>
            <w:shd w:val="clear" w:color="auto" w:fill="D9D9D9" w:themeFill="background1" w:themeFillShade="D9"/>
          </w:tcPr>
          <w:p w14:paraId="6F4A1E46" w14:textId="77777777" w:rsidR="000B54BD" w:rsidRPr="00E1586C" w:rsidRDefault="000B54BD" w:rsidP="00E97A3B">
            <w:pPr>
              <w:rPr>
                <w:rFonts w:cstheme="majorHAnsi"/>
                <w:color w:val="000000"/>
                <w:sz w:val="18"/>
                <w:szCs w:val="18"/>
                <w:shd w:val="clear" w:color="auto" w:fill="FFFFFF"/>
              </w:rPr>
            </w:pPr>
            <w:r w:rsidRPr="00E1586C">
              <w:rPr>
                <w:rFonts w:cstheme="majorHAnsi"/>
                <w:b/>
                <w:sz w:val="18"/>
                <w:szCs w:val="18"/>
              </w:rPr>
              <w:t xml:space="preserve">6.0: Development of GESI as a cross-cutting issue: at least 80% of annual plans from the Ministry of Health and TongaHealth reflect GESI considerations. (The most relevant GESI considerations for THSSP 2 are gender, geographic equity, and </w:t>
            </w:r>
            <w:r w:rsidRPr="00A318B9">
              <w:rPr>
                <w:rFonts w:cstheme="majorHAnsi"/>
                <w:b/>
                <w:noProof/>
                <w:sz w:val="18"/>
                <w:szCs w:val="18"/>
              </w:rPr>
              <w:t>inclusion</w:t>
            </w:r>
            <w:r w:rsidRPr="00E1586C">
              <w:rPr>
                <w:rFonts w:cstheme="majorHAnsi"/>
                <w:b/>
                <w:sz w:val="18"/>
                <w:szCs w:val="18"/>
              </w:rPr>
              <w:t xml:space="preserve"> of disabled and mentally ill people)</w:t>
            </w:r>
          </w:p>
        </w:tc>
      </w:tr>
      <w:tr w:rsidR="000B54BD" w:rsidRPr="00E1586C" w14:paraId="1D442C92" w14:textId="77777777" w:rsidTr="00E97A3B">
        <w:trPr>
          <w:trHeight w:val="306"/>
        </w:trPr>
        <w:tc>
          <w:tcPr>
            <w:tcW w:w="487" w:type="dxa"/>
          </w:tcPr>
          <w:p w14:paraId="69B5B9A1" w14:textId="77777777" w:rsidR="000B54BD" w:rsidRPr="00E1586C" w:rsidRDefault="000B54BD" w:rsidP="00E97A3B">
            <w:pPr>
              <w:rPr>
                <w:rFonts w:cstheme="majorHAnsi"/>
                <w:sz w:val="18"/>
                <w:szCs w:val="18"/>
              </w:rPr>
            </w:pPr>
            <w:r w:rsidRPr="00E1586C">
              <w:rPr>
                <w:rFonts w:cstheme="majorHAnsi"/>
                <w:sz w:val="18"/>
                <w:szCs w:val="18"/>
              </w:rPr>
              <w:t>6.1</w:t>
            </w:r>
          </w:p>
        </w:tc>
        <w:tc>
          <w:tcPr>
            <w:tcW w:w="1418" w:type="dxa"/>
          </w:tcPr>
          <w:p w14:paraId="7B9F473A"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OUTCOME:</w:t>
            </w:r>
            <w:r w:rsidRPr="00E1586C">
              <w:rPr>
                <w:rFonts w:cstheme="majorHAnsi"/>
                <w:color w:val="000000"/>
                <w:sz w:val="18"/>
                <w:szCs w:val="18"/>
                <w:shd w:val="clear" w:color="auto" w:fill="FFFFFF"/>
              </w:rPr>
              <w:t xml:space="preserve"> Service readiness of Vaiola Hospital Psychiatric Ward, (index of service readiness)  </w:t>
            </w:r>
          </w:p>
        </w:tc>
        <w:tc>
          <w:tcPr>
            <w:tcW w:w="1492" w:type="dxa"/>
          </w:tcPr>
          <w:p w14:paraId="287C71EF"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Service readiness refers to the overall availability and functionality of all the tracer items such as basic amenities, equipment, diagnostic </w:t>
            </w:r>
            <w:r w:rsidRPr="00E1586C">
              <w:rPr>
                <w:rFonts w:cstheme="majorHAnsi"/>
                <w:color w:val="000000"/>
                <w:sz w:val="18"/>
                <w:szCs w:val="18"/>
                <w:shd w:val="clear" w:color="auto" w:fill="FFFFFF"/>
              </w:rPr>
              <w:lastRenderedPageBreak/>
              <w:t xml:space="preserve">capacity, essential medicines and tools that are deemed necessary to provide mental health services for the population. </w:t>
            </w:r>
          </w:p>
          <w:p w14:paraId="492BAD0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Numerator: Total number of tracer items in the facility that are available and functional at the time of review</w:t>
            </w:r>
          </w:p>
          <w:p w14:paraId="2B9998CC"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Denominator Total number of all tracer items that are deemed necessary to provide mental health services to the population x 100</w:t>
            </w:r>
          </w:p>
        </w:tc>
        <w:tc>
          <w:tcPr>
            <w:tcW w:w="1178" w:type="dxa"/>
            <w:shd w:val="clear" w:color="auto" w:fill="auto"/>
          </w:tcPr>
          <w:p w14:paraId="3E8786E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Improvement</w:t>
            </w:r>
          </w:p>
        </w:tc>
        <w:tc>
          <w:tcPr>
            <w:tcW w:w="1283" w:type="dxa"/>
            <w:shd w:val="clear" w:color="auto" w:fill="auto"/>
          </w:tcPr>
          <w:p w14:paraId="704E2520"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Assess to be conducted as part of improving the mental health unit </w:t>
            </w:r>
          </w:p>
        </w:tc>
        <w:tc>
          <w:tcPr>
            <w:tcW w:w="1234" w:type="dxa"/>
            <w:shd w:val="clear" w:color="auto" w:fill="auto"/>
          </w:tcPr>
          <w:p w14:paraId="00F33018" w14:textId="77777777" w:rsidR="000B54BD" w:rsidRPr="00E1586C" w:rsidRDefault="000B54BD" w:rsidP="00E97A3B">
            <w:pPr>
              <w:rPr>
                <w:rFonts w:cstheme="majorHAnsi"/>
                <w:color w:val="000000" w:themeColor="text1"/>
                <w:sz w:val="18"/>
                <w:szCs w:val="18"/>
                <w:shd w:val="clear" w:color="auto" w:fill="FFFFFF"/>
              </w:rPr>
            </w:pPr>
            <w:r w:rsidRPr="00A318B9">
              <w:rPr>
                <w:rFonts w:cstheme="majorHAnsi"/>
                <w:noProof/>
                <w:color w:val="000000" w:themeColor="text1"/>
                <w:sz w:val="18"/>
                <w:szCs w:val="18"/>
                <w:shd w:val="clear" w:color="auto" w:fill="FFFFFF"/>
              </w:rPr>
              <w:t>Draft</w:t>
            </w:r>
            <w:r w:rsidRPr="00E1586C">
              <w:rPr>
                <w:rFonts w:cstheme="majorHAnsi"/>
                <w:color w:val="000000" w:themeColor="text1"/>
                <w:sz w:val="18"/>
                <w:szCs w:val="18"/>
                <w:shd w:val="clear" w:color="auto" w:fill="FFFFFF"/>
              </w:rPr>
              <w:t xml:space="preserve"> plan for Vaiola mental health unit  hospital completed </w:t>
            </w:r>
          </w:p>
          <w:p w14:paraId="0C88B8C0" w14:textId="77777777" w:rsidR="000B54BD" w:rsidRPr="00E1586C" w:rsidRDefault="000B54BD" w:rsidP="00E97A3B">
            <w:pPr>
              <w:rPr>
                <w:rFonts w:cstheme="majorHAnsi"/>
                <w:color w:val="000000"/>
                <w:sz w:val="18"/>
                <w:szCs w:val="18"/>
                <w:shd w:val="clear" w:color="auto" w:fill="FFFFFF"/>
              </w:rPr>
            </w:pPr>
          </w:p>
        </w:tc>
        <w:tc>
          <w:tcPr>
            <w:tcW w:w="2088" w:type="dxa"/>
            <w:shd w:val="clear" w:color="auto" w:fill="FFFF66"/>
          </w:tcPr>
          <w:p w14:paraId="742461C9"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Delayed</w:t>
            </w:r>
          </w:p>
        </w:tc>
        <w:tc>
          <w:tcPr>
            <w:tcW w:w="2268" w:type="dxa"/>
            <w:shd w:val="clear" w:color="auto" w:fill="FFFF66"/>
          </w:tcPr>
          <w:p w14:paraId="32C83EAA"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Delayed</w:t>
            </w:r>
          </w:p>
        </w:tc>
        <w:tc>
          <w:tcPr>
            <w:tcW w:w="2727" w:type="dxa"/>
            <w:shd w:val="clear" w:color="auto" w:fill="FFFF66"/>
          </w:tcPr>
          <w:p w14:paraId="4718CB83"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Delayed</w:t>
            </w:r>
          </w:p>
        </w:tc>
      </w:tr>
      <w:tr w:rsidR="000B54BD" w:rsidRPr="00E1586C" w14:paraId="76885A6F" w14:textId="77777777" w:rsidTr="00E97A3B">
        <w:trPr>
          <w:trHeight w:val="306"/>
        </w:trPr>
        <w:tc>
          <w:tcPr>
            <w:tcW w:w="487" w:type="dxa"/>
          </w:tcPr>
          <w:p w14:paraId="5B6E978F" w14:textId="77777777" w:rsidR="000B54BD" w:rsidRPr="00E1586C" w:rsidRDefault="000B54BD" w:rsidP="00E97A3B">
            <w:pPr>
              <w:rPr>
                <w:rFonts w:cstheme="majorHAnsi"/>
                <w:sz w:val="18"/>
                <w:szCs w:val="18"/>
              </w:rPr>
            </w:pPr>
            <w:r w:rsidRPr="00E1586C">
              <w:rPr>
                <w:rFonts w:cstheme="majorHAnsi"/>
                <w:sz w:val="18"/>
                <w:szCs w:val="18"/>
              </w:rPr>
              <w:t>6.2</w:t>
            </w:r>
          </w:p>
        </w:tc>
        <w:tc>
          <w:tcPr>
            <w:tcW w:w="1418" w:type="dxa"/>
          </w:tcPr>
          <w:p w14:paraId="3CB91D78" w14:textId="77777777" w:rsidR="000B54BD" w:rsidRPr="00E1586C" w:rsidRDefault="000B54BD" w:rsidP="00E97A3B">
            <w:pPr>
              <w:rPr>
                <w:rFonts w:cstheme="majorHAnsi"/>
                <w:color w:val="000000"/>
                <w:sz w:val="18"/>
                <w:szCs w:val="18"/>
                <w:shd w:val="clear" w:color="auto" w:fill="FFFFFF"/>
              </w:rPr>
            </w:pPr>
            <w:r w:rsidRPr="00E1586C">
              <w:rPr>
                <w:rFonts w:cstheme="majorHAnsi"/>
                <w:b/>
                <w:color w:val="000000"/>
                <w:sz w:val="18"/>
                <w:szCs w:val="18"/>
                <w:shd w:val="clear" w:color="auto" w:fill="FFFFFF"/>
              </w:rPr>
              <w:t>INTERMEDIATE OUTCOME:</w:t>
            </w:r>
            <w:r w:rsidRPr="00E1586C">
              <w:rPr>
                <w:rFonts w:cstheme="majorHAnsi"/>
                <w:color w:val="000000"/>
                <w:sz w:val="18"/>
                <w:szCs w:val="18"/>
                <w:shd w:val="clear" w:color="auto" w:fill="FFFFFF"/>
              </w:rPr>
              <w:t xml:space="preserve">  Percentage of annual plans which reflect relevant GESI considerations and report outcomes.</w:t>
            </w:r>
          </w:p>
        </w:tc>
        <w:tc>
          <w:tcPr>
            <w:tcW w:w="1492" w:type="dxa"/>
          </w:tcPr>
          <w:p w14:paraId="24AC5A3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Plans refer to annual plans of MOH </w:t>
            </w:r>
          </w:p>
          <w:p w14:paraId="030EA13E"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Numerator: Total number of AMPs that reflected and reported GESI outcomes in a given year</w:t>
            </w:r>
          </w:p>
          <w:p w14:paraId="634C7B2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Denominator Total number of </w:t>
            </w:r>
            <w:r w:rsidRPr="00E1586C">
              <w:rPr>
                <w:rFonts w:cstheme="majorHAnsi"/>
                <w:color w:val="000000"/>
                <w:sz w:val="18"/>
                <w:szCs w:val="18"/>
                <w:shd w:val="clear" w:color="auto" w:fill="FFFFFF"/>
              </w:rPr>
              <w:lastRenderedPageBreak/>
              <w:t>AMPs for the year x 100</w:t>
            </w:r>
          </w:p>
        </w:tc>
        <w:tc>
          <w:tcPr>
            <w:tcW w:w="1178" w:type="dxa"/>
            <w:shd w:val="clear" w:color="auto" w:fill="auto"/>
          </w:tcPr>
          <w:p w14:paraId="081D406B"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lastRenderedPageBreak/>
              <w:t>Increase</w:t>
            </w:r>
          </w:p>
        </w:tc>
        <w:tc>
          <w:tcPr>
            <w:tcW w:w="1283" w:type="dxa"/>
            <w:shd w:val="clear" w:color="auto" w:fill="auto"/>
          </w:tcPr>
          <w:p w14:paraId="653D0AA8"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MOH annual plans</w:t>
            </w:r>
          </w:p>
        </w:tc>
        <w:tc>
          <w:tcPr>
            <w:tcW w:w="1234" w:type="dxa"/>
            <w:shd w:val="clear" w:color="auto" w:fill="auto"/>
          </w:tcPr>
          <w:p w14:paraId="71CEBB4D"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23.2% </w:t>
            </w:r>
          </w:p>
          <w:p w14:paraId="22F464DF"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2015-16 </w:t>
            </w:r>
          </w:p>
        </w:tc>
        <w:tc>
          <w:tcPr>
            <w:tcW w:w="2088" w:type="dxa"/>
            <w:shd w:val="clear" w:color="auto" w:fill="auto"/>
          </w:tcPr>
          <w:p w14:paraId="14CE8812" w14:textId="77777777" w:rsidR="000B54BD" w:rsidRPr="00E1586C" w:rsidRDefault="000B54BD" w:rsidP="00E97A3B">
            <w:pPr>
              <w:rPr>
                <w:rFonts w:cstheme="majorHAnsi"/>
                <w:color w:val="000000"/>
                <w:sz w:val="18"/>
                <w:szCs w:val="18"/>
                <w:shd w:val="clear" w:color="auto" w:fill="FFFFFF"/>
              </w:rPr>
            </w:pPr>
          </w:p>
        </w:tc>
        <w:tc>
          <w:tcPr>
            <w:tcW w:w="2268" w:type="dxa"/>
            <w:shd w:val="clear" w:color="auto" w:fill="auto"/>
          </w:tcPr>
          <w:p w14:paraId="5246D1D6"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Unable to ascertain GESI implications based on </w:t>
            </w:r>
            <w:r w:rsidRPr="00A318B9">
              <w:rPr>
                <w:rFonts w:cstheme="majorHAnsi"/>
                <w:noProof/>
                <w:color w:val="000000"/>
                <w:sz w:val="18"/>
                <w:szCs w:val="18"/>
                <w:shd w:val="clear" w:color="auto" w:fill="FFFFFF"/>
              </w:rPr>
              <w:t>level</w:t>
            </w:r>
            <w:r w:rsidRPr="00E1586C">
              <w:rPr>
                <w:rFonts w:cstheme="majorHAnsi"/>
                <w:color w:val="000000"/>
                <w:sz w:val="18"/>
                <w:szCs w:val="18"/>
                <w:shd w:val="clear" w:color="auto" w:fill="FFFFFF"/>
              </w:rPr>
              <w:t xml:space="preserve"> of detail contained in MoH Corporate Plans 2016/17- 2018/19 and 2017/18- 2019/20</w:t>
            </w:r>
          </w:p>
        </w:tc>
        <w:tc>
          <w:tcPr>
            <w:tcW w:w="2727" w:type="dxa"/>
            <w:shd w:val="clear" w:color="auto" w:fill="auto"/>
          </w:tcPr>
          <w:p w14:paraId="01ECDA89" w14:textId="77777777" w:rsidR="000B54BD" w:rsidRPr="00E1586C" w:rsidRDefault="000B54BD" w:rsidP="00E97A3B">
            <w:pPr>
              <w:rPr>
                <w:rFonts w:cstheme="majorHAnsi"/>
                <w:color w:val="000000"/>
                <w:sz w:val="18"/>
                <w:szCs w:val="18"/>
                <w:shd w:val="clear" w:color="auto" w:fill="FFFFFF"/>
              </w:rPr>
            </w:pPr>
            <w:r w:rsidRPr="00E1586C">
              <w:rPr>
                <w:rFonts w:cstheme="majorHAnsi"/>
                <w:color w:val="000000"/>
                <w:sz w:val="18"/>
                <w:szCs w:val="18"/>
                <w:shd w:val="clear" w:color="auto" w:fill="FFFFFF"/>
              </w:rPr>
              <w:t xml:space="preserve">Unable to ascertain GESI implications based on </w:t>
            </w:r>
            <w:r w:rsidRPr="00A318B9">
              <w:rPr>
                <w:rFonts w:cstheme="majorHAnsi"/>
                <w:noProof/>
                <w:color w:val="000000"/>
                <w:sz w:val="18"/>
                <w:szCs w:val="18"/>
                <w:shd w:val="clear" w:color="auto" w:fill="FFFFFF"/>
              </w:rPr>
              <w:t>level</w:t>
            </w:r>
            <w:r w:rsidRPr="00E1586C">
              <w:rPr>
                <w:rFonts w:cstheme="majorHAnsi"/>
                <w:color w:val="000000"/>
                <w:sz w:val="18"/>
                <w:szCs w:val="18"/>
                <w:shd w:val="clear" w:color="auto" w:fill="FFFFFF"/>
              </w:rPr>
              <w:t xml:space="preserve"> of detail contained in MoH Corporate Plans 2016/17- 2018/19 and 2017/18- 2019/20</w:t>
            </w:r>
          </w:p>
        </w:tc>
      </w:tr>
    </w:tbl>
    <w:p w14:paraId="68025C05" w14:textId="77777777" w:rsidR="000B54BD" w:rsidRPr="0070799D" w:rsidRDefault="000B54BD" w:rsidP="000B54BD">
      <w:pPr>
        <w:spacing w:line="240" w:lineRule="auto"/>
        <w:rPr>
          <w:sz w:val="20"/>
        </w:rPr>
      </w:pPr>
    </w:p>
    <w:p w14:paraId="3D911AC9" w14:textId="77777777" w:rsidR="000B54BD" w:rsidRPr="0070799D" w:rsidRDefault="000B54BD" w:rsidP="000B54BD">
      <w:pPr>
        <w:spacing w:line="240" w:lineRule="auto"/>
        <w:rPr>
          <w:sz w:val="20"/>
        </w:rPr>
      </w:pPr>
    </w:p>
    <w:p w14:paraId="02BD6B3D" w14:textId="77777777" w:rsidR="000B54BD" w:rsidRDefault="000B54BD" w:rsidP="000B54BD">
      <w:pPr>
        <w:spacing w:before="40" w:line="288" w:lineRule="auto"/>
        <w:sectPr w:rsidR="000B54BD" w:rsidSect="00E97A3B">
          <w:pgSz w:w="16839" w:h="11907" w:orient="landscape" w:code="9"/>
          <w:pgMar w:top="1247" w:right="1440" w:bottom="1247" w:left="1440" w:header="709" w:footer="709" w:gutter="0"/>
          <w:cols w:space="708"/>
          <w:docGrid w:linePitch="360"/>
        </w:sectPr>
      </w:pPr>
    </w:p>
    <w:p w14:paraId="37C7AAF3" w14:textId="77777777" w:rsidR="000B54BD" w:rsidRPr="00C44750" w:rsidRDefault="000B54BD" w:rsidP="00C44750">
      <w:pPr>
        <w:rPr>
          <w:b/>
          <w:u w:val="single"/>
        </w:rPr>
      </w:pPr>
      <w:bookmarkStart w:id="86" w:name="_Toc461898985"/>
      <w:r w:rsidRPr="00C44750">
        <w:rPr>
          <w:b/>
          <w:u w:val="single"/>
        </w:rPr>
        <w:lastRenderedPageBreak/>
        <w:t>TongaHealth M&amp;E Framework</w:t>
      </w:r>
      <w:bookmarkEnd w:id="86"/>
    </w:p>
    <w:p w14:paraId="01F5F111" w14:textId="77777777" w:rsidR="000B54BD" w:rsidRPr="00172043" w:rsidRDefault="000B54BD" w:rsidP="000B54BD">
      <w:pPr>
        <w:rPr>
          <w:rFonts w:ascii="Arial Narrow" w:hAnsi="Arial Narrow"/>
          <w:b/>
          <w:sz w:val="20"/>
        </w:rPr>
      </w:pPr>
    </w:p>
    <w:tbl>
      <w:tblPr>
        <w:tblW w:w="5000" w:type="pct"/>
        <w:tblLayout w:type="fixed"/>
        <w:tblLook w:val="04A0" w:firstRow="1" w:lastRow="0" w:firstColumn="1" w:lastColumn="0" w:noHBand="0" w:noVBand="1"/>
      </w:tblPr>
      <w:tblGrid>
        <w:gridCol w:w="944"/>
        <w:gridCol w:w="1534"/>
        <w:gridCol w:w="2371"/>
        <w:gridCol w:w="1255"/>
        <w:gridCol w:w="1534"/>
        <w:gridCol w:w="1534"/>
        <w:gridCol w:w="1398"/>
        <w:gridCol w:w="1532"/>
        <w:gridCol w:w="1827"/>
        <w:gridCol w:w="14"/>
        <w:gridCol w:w="6"/>
      </w:tblGrid>
      <w:tr w:rsidR="000B54BD" w:rsidRPr="00457E15" w14:paraId="433029C2" w14:textId="77777777" w:rsidTr="00E97A3B">
        <w:trPr>
          <w:gridAfter w:val="2"/>
          <w:wAfter w:w="7" w:type="pct"/>
          <w:trHeight w:val="380"/>
          <w:tblHeader/>
        </w:trPr>
        <w:tc>
          <w:tcPr>
            <w:tcW w:w="338" w:type="pct"/>
            <w:tcBorders>
              <w:top w:val="single" w:sz="4" w:space="0" w:color="auto"/>
              <w:left w:val="single" w:sz="4" w:space="0" w:color="auto"/>
              <w:bottom w:val="single" w:sz="4" w:space="0" w:color="auto"/>
              <w:right w:val="single" w:sz="4" w:space="0" w:color="auto"/>
            </w:tcBorders>
            <w:shd w:val="clear" w:color="auto" w:fill="auto"/>
            <w:noWrap/>
          </w:tcPr>
          <w:p w14:paraId="532DD9EA" w14:textId="77777777" w:rsidR="000B54BD" w:rsidRPr="00457E15" w:rsidRDefault="000B54BD" w:rsidP="00E97A3B">
            <w:pPr>
              <w:spacing w:after="0" w:line="240" w:lineRule="auto"/>
              <w:rPr>
                <w:rFonts w:eastAsia="Times New Roman" w:cs="Arial"/>
                <w:b/>
                <w:bCs/>
                <w:sz w:val="18"/>
                <w:szCs w:val="18"/>
                <w:lang w:eastAsia="en-AU"/>
              </w:rPr>
            </w:pPr>
            <w:r>
              <w:rPr>
                <w:rFonts w:eastAsia="Times New Roman" w:cs="Arial"/>
                <w:b/>
                <w:bCs/>
                <w:sz w:val="18"/>
                <w:szCs w:val="18"/>
                <w:lang w:eastAsia="en-AU"/>
              </w:rPr>
              <w:t>Indicator number</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210DBD74" w14:textId="77777777" w:rsidR="000B54BD" w:rsidRPr="00457E15" w:rsidRDefault="000B54BD" w:rsidP="00E97A3B">
            <w:pPr>
              <w:spacing w:after="0" w:line="240" w:lineRule="auto"/>
              <w:rPr>
                <w:rFonts w:eastAsia="Times New Roman" w:cs="Arial"/>
                <w:b/>
                <w:bCs/>
                <w:sz w:val="18"/>
                <w:szCs w:val="18"/>
                <w:lang w:eastAsia="en-AU"/>
              </w:rPr>
            </w:pPr>
            <w:r w:rsidRPr="00457E15">
              <w:rPr>
                <w:rFonts w:eastAsia="Times New Roman" w:cs="Arial"/>
                <w:b/>
                <w:bCs/>
                <w:sz w:val="18"/>
                <w:szCs w:val="18"/>
                <w:lang w:eastAsia="en-AU"/>
              </w:rPr>
              <w:t>Indicator</w:t>
            </w:r>
            <w:r>
              <w:rPr>
                <w:rFonts w:eastAsia="Times New Roman" w:cs="Arial"/>
                <w:b/>
                <w:bCs/>
                <w:sz w:val="18"/>
                <w:szCs w:val="18"/>
                <w:lang w:eastAsia="en-AU"/>
              </w:rPr>
              <w:t xml:space="preserve"> name</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2729D4A6" w14:textId="77777777" w:rsidR="000B54BD" w:rsidRPr="00457E15" w:rsidRDefault="000B54BD" w:rsidP="00E97A3B">
            <w:pPr>
              <w:spacing w:after="0" w:line="240" w:lineRule="auto"/>
              <w:rPr>
                <w:rFonts w:eastAsia="Times New Roman" w:cs="Arial"/>
                <w:b/>
                <w:bCs/>
                <w:sz w:val="18"/>
                <w:szCs w:val="18"/>
                <w:lang w:eastAsia="en-AU"/>
              </w:rPr>
            </w:pPr>
            <w:r w:rsidRPr="00457E15">
              <w:rPr>
                <w:rFonts w:eastAsia="Times New Roman" w:cs="Arial"/>
                <w:b/>
                <w:bCs/>
                <w:sz w:val="18"/>
                <w:szCs w:val="18"/>
                <w:lang w:eastAsia="en-AU"/>
              </w:rPr>
              <w:t>Definition</w:t>
            </w:r>
          </w:p>
        </w:tc>
        <w:tc>
          <w:tcPr>
            <w:tcW w:w="450" w:type="pct"/>
            <w:tcBorders>
              <w:top w:val="single" w:sz="4" w:space="0" w:color="auto"/>
              <w:left w:val="single" w:sz="4" w:space="0" w:color="auto"/>
              <w:bottom w:val="single" w:sz="4" w:space="0" w:color="auto"/>
              <w:right w:val="single" w:sz="4" w:space="0" w:color="auto"/>
            </w:tcBorders>
          </w:tcPr>
          <w:p w14:paraId="0ACF9F0D" w14:textId="77777777" w:rsidR="000B54BD" w:rsidRPr="00457E15" w:rsidRDefault="000B54BD" w:rsidP="00E97A3B">
            <w:pPr>
              <w:spacing w:after="0" w:line="240" w:lineRule="auto"/>
              <w:rPr>
                <w:rFonts w:eastAsia="Times New Roman" w:cs="Arial"/>
                <w:b/>
                <w:bCs/>
                <w:sz w:val="18"/>
                <w:szCs w:val="18"/>
                <w:lang w:eastAsia="en-AU"/>
              </w:rPr>
            </w:pPr>
            <w:r w:rsidRPr="00457E15">
              <w:rPr>
                <w:rFonts w:eastAsia="Times New Roman" w:cs="Arial"/>
                <w:b/>
                <w:bCs/>
                <w:sz w:val="18"/>
                <w:szCs w:val="18"/>
                <w:lang w:eastAsia="en-AU"/>
              </w:rPr>
              <w:t xml:space="preserve">Target </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5A1578C8" w14:textId="77777777" w:rsidR="000B54BD" w:rsidRPr="00457E15" w:rsidRDefault="000B54BD" w:rsidP="00E97A3B">
            <w:pPr>
              <w:spacing w:after="0" w:line="240" w:lineRule="auto"/>
              <w:rPr>
                <w:rFonts w:eastAsia="Times New Roman" w:cs="Arial"/>
                <w:b/>
                <w:bCs/>
                <w:sz w:val="18"/>
                <w:szCs w:val="18"/>
                <w:lang w:eastAsia="en-AU"/>
              </w:rPr>
            </w:pPr>
            <w:r w:rsidRPr="00565E9F">
              <w:rPr>
                <w:b/>
                <w:sz w:val="18"/>
                <w:szCs w:val="18"/>
              </w:rPr>
              <w:t>Data source</w:t>
            </w:r>
            <w:r>
              <w:rPr>
                <w:b/>
                <w:sz w:val="18"/>
                <w:szCs w:val="18"/>
              </w:rPr>
              <w:t>/s used for midterm evaluation</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04C7804E" w14:textId="77777777" w:rsidR="000B54BD" w:rsidRPr="00457E15" w:rsidRDefault="000B54BD" w:rsidP="00E97A3B">
            <w:pPr>
              <w:spacing w:after="0" w:line="240" w:lineRule="auto"/>
              <w:rPr>
                <w:rFonts w:eastAsia="Times New Roman" w:cs="Arial"/>
                <w:b/>
                <w:bCs/>
                <w:sz w:val="18"/>
                <w:szCs w:val="18"/>
                <w:lang w:eastAsia="en-AU"/>
              </w:rPr>
            </w:pPr>
            <w:r>
              <w:rPr>
                <w:rFonts w:eastAsia="Times New Roman" w:cs="Arial"/>
                <w:b/>
                <w:bCs/>
                <w:sz w:val="18"/>
                <w:szCs w:val="18"/>
                <w:lang w:eastAsia="en-AU"/>
              </w:rPr>
              <w:t>Baseline</w:t>
            </w:r>
          </w:p>
        </w:tc>
        <w:tc>
          <w:tcPr>
            <w:tcW w:w="501" w:type="pct"/>
            <w:tcBorders>
              <w:top w:val="single" w:sz="4" w:space="0" w:color="auto"/>
              <w:bottom w:val="single" w:sz="4" w:space="0" w:color="auto"/>
              <w:right w:val="single" w:sz="4" w:space="0" w:color="auto"/>
            </w:tcBorders>
            <w:shd w:val="clear" w:color="auto" w:fill="auto"/>
          </w:tcPr>
          <w:p w14:paraId="7491D62C" w14:textId="77777777" w:rsidR="000B54BD" w:rsidRPr="00457E15" w:rsidRDefault="000B54BD" w:rsidP="00E97A3B">
            <w:pPr>
              <w:spacing w:after="0" w:line="240" w:lineRule="auto"/>
              <w:rPr>
                <w:rFonts w:eastAsia="Times New Roman" w:cs="Arial"/>
                <w:b/>
                <w:bCs/>
                <w:sz w:val="18"/>
                <w:szCs w:val="18"/>
                <w:lang w:eastAsia="en-AU"/>
              </w:rPr>
            </w:pPr>
            <w:r>
              <w:rPr>
                <w:rFonts w:eastAsia="Times New Roman" w:cs="Arial"/>
                <w:b/>
                <w:bCs/>
                <w:sz w:val="18"/>
                <w:szCs w:val="18"/>
                <w:lang w:eastAsia="en-AU"/>
              </w:rPr>
              <w:t>Year 1</w:t>
            </w:r>
          </w:p>
        </w:tc>
        <w:tc>
          <w:tcPr>
            <w:tcW w:w="549" w:type="pct"/>
            <w:tcBorders>
              <w:top w:val="single" w:sz="4" w:space="0" w:color="auto"/>
              <w:bottom w:val="single" w:sz="4" w:space="0" w:color="auto"/>
              <w:right w:val="single" w:sz="4" w:space="0" w:color="auto"/>
            </w:tcBorders>
            <w:shd w:val="clear" w:color="auto" w:fill="auto"/>
          </w:tcPr>
          <w:p w14:paraId="19D24BC6" w14:textId="77777777" w:rsidR="000B54BD" w:rsidRPr="00457E15" w:rsidRDefault="000B54BD" w:rsidP="00E97A3B">
            <w:pPr>
              <w:spacing w:after="0" w:line="240" w:lineRule="auto"/>
              <w:rPr>
                <w:rFonts w:eastAsia="Times New Roman" w:cs="Arial"/>
                <w:b/>
                <w:bCs/>
                <w:sz w:val="18"/>
                <w:szCs w:val="18"/>
                <w:lang w:eastAsia="en-AU"/>
              </w:rPr>
            </w:pPr>
            <w:r>
              <w:rPr>
                <w:rFonts w:eastAsia="Times New Roman" w:cs="Arial"/>
                <w:b/>
                <w:bCs/>
                <w:sz w:val="18"/>
                <w:szCs w:val="18"/>
                <w:lang w:eastAsia="en-AU"/>
              </w:rPr>
              <w:t>Year 2</w:t>
            </w:r>
          </w:p>
        </w:tc>
        <w:tc>
          <w:tcPr>
            <w:tcW w:w="655" w:type="pct"/>
            <w:tcBorders>
              <w:top w:val="single" w:sz="4" w:space="0" w:color="auto"/>
              <w:bottom w:val="single" w:sz="4" w:space="0" w:color="auto"/>
              <w:right w:val="single" w:sz="4" w:space="0" w:color="auto"/>
            </w:tcBorders>
            <w:shd w:val="clear" w:color="auto" w:fill="auto"/>
          </w:tcPr>
          <w:p w14:paraId="33B1B316" w14:textId="77777777" w:rsidR="000B54BD" w:rsidRPr="00457E15" w:rsidRDefault="000B54BD" w:rsidP="00E97A3B">
            <w:pPr>
              <w:spacing w:after="0" w:line="240" w:lineRule="auto"/>
              <w:rPr>
                <w:rFonts w:eastAsia="Times New Roman" w:cs="Arial"/>
                <w:b/>
                <w:bCs/>
                <w:sz w:val="18"/>
                <w:szCs w:val="18"/>
                <w:lang w:eastAsia="en-AU"/>
              </w:rPr>
            </w:pPr>
            <w:r>
              <w:rPr>
                <w:rFonts w:eastAsia="Times New Roman" w:cs="Arial"/>
                <w:b/>
                <w:bCs/>
                <w:sz w:val="18"/>
                <w:szCs w:val="18"/>
                <w:lang w:eastAsia="en-AU"/>
              </w:rPr>
              <w:t>Year 3</w:t>
            </w:r>
          </w:p>
        </w:tc>
      </w:tr>
      <w:tr w:rsidR="000B54BD" w:rsidRPr="00457E15" w14:paraId="1A650B99" w14:textId="77777777" w:rsidTr="00E97A3B">
        <w:trPr>
          <w:gridAfter w:val="2"/>
          <w:wAfter w:w="7" w:type="pct"/>
          <w:trHeight w:val="244"/>
        </w:trPr>
        <w:tc>
          <w:tcPr>
            <w:tcW w:w="4993"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9BEDE5B" w14:textId="77777777" w:rsidR="000B54BD" w:rsidRPr="00457E15" w:rsidRDefault="000B54BD" w:rsidP="00E97A3B">
            <w:pPr>
              <w:spacing w:after="0" w:line="240" w:lineRule="auto"/>
              <w:rPr>
                <w:rFonts w:eastAsia="Times New Roman" w:cs="Arial"/>
                <w:b/>
                <w:bCs/>
                <w:sz w:val="18"/>
                <w:szCs w:val="18"/>
                <w:lang w:eastAsia="en-AU"/>
              </w:rPr>
            </w:pPr>
            <w:r>
              <w:rPr>
                <w:rFonts w:eastAsia="Times New Roman" w:cs="Arial"/>
                <w:b/>
                <w:bCs/>
                <w:sz w:val="18"/>
                <w:szCs w:val="18"/>
                <w:lang w:eastAsia="en-AU"/>
              </w:rPr>
              <w:t>Institutional strengthening and health promotion</w:t>
            </w:r>
          </w:p>
        </w:tc>
      </w:tr>
      <w:tr w:rsidR="000B54BD" w:rsidRPr="00457E15" w14:paraId="4A101D77" w14:textId="77777777" w:rsidTr="00E97A3B">
        <w:trPr>
          <w:gridAfter w:val="2"/>
          <w:wAfter w:w="7" w:type="pct"/>
          <w:trHeight w:val="248"/>
        </w:trPr>
        <w:tc>
          <w:tcPr>
            <w:tcW w:w="4993"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17AAB73" w14:textId="77777777" w:rsidR="000B54BD" w:rsidRPr="00457E15" w:rsidRDefault="000B54BD" w:rsidP="00E97A3B">
            <w:pPr>
              <w:spacing w:after="0" w:line="240" w:lineRule="auto"/>
              <w:rPr>
                <w:rFonts w:eastAsia="Times New Roman" w:cs="Arial"/>
                <w:b/>
                <w:bCs/>
                <w:sz w:val="18"/>
                <w:szCs w:val="18"/>
                <w:lang w:eastAsia="en-AU"/>
              </w:rPr>
            </w:pPr>
            <w:r w:rsidRPr="00457E15">
              <w:rPr>
                <w:rFonts w:eastAsia="Times New Roman" w:cs="Arial"/>
                <w:b/>
                <w:bCs/>
                <w:sz w:val="18"/>
                <w:szCs w:val="18"/>
                <w:lang w:eastAsia="en-AU"/>
              </w:rPr>
              <w:t>Strategic priority 1: TongaHealth is an organisation of operational excellence, reliability, transparency and ethical practice</w:t>
            </w:r>
          </w:p>
        </w:tc>
      </w:tr>
      <w:tr w:rsidR="000B54BD" w:rsidRPr="00457E15" w14:paraId="304AB2B7" w14:textId="77777777" w:rsidTr="00E97A3B">
        <w:trPr>
          <w:gridAfter w:val="1"/>
          <w:wAfter w:w="2" w:type="pct"/>
          <w:trHeight w:val="167"/>
        </w:trPr>
        <w:tc>
          <w:tcPr>
            <w:tcW w:w="4998" w:type="pct"/>
            <w:gridSpan w:val="10"/>
            <w:tcBorders>
              <w:top w:val="single" w:sz="4" w:space="0" w:color="auto"/>
              <w:left w:val="single" w:sz="4" w:space="0" w:color="auto"/>
              <w:bottom w:val="single" w:sz="4" w:space="0" w:color="auto"/>
              <w:right w:val="single" w:sz="4" w:space="0" w:color="auto"/>
            </w:tcBorders>
            <w:shd w:val="clear" w:color="auto" w:fill="FFFFFF" w:themeFill="background1"/>
            <w:noWrap/>
          </w:tcPr>
          <w:p w14:paraId="67472B08" w14:textId="77777777" w:rsidR="000B54BD" w:rsidRPr="00457E15" w:rsidRDefault="000B54BD" w:rsidP="00E97A3B">
            <w:pPr>
              <w:spacing w:after="0" w:line="240" w:lineRule="auto"/>
              <w:rPr>
                <w:rFonts w:eastAsia="Times New Roman"/>
                <w:b/>
                <w:sz w:val="18"/>
                <w:szCs w:val="18"/>
                <w:lang w:eastAsia="en-AU"/>
              </w:rPr>
            </w:pPr>
            <w:r w:rsidRPr="00457E15">
              <w:rPr>
                <w:rFonts w:eastAsia="Times New Roman" w:cs="Arial"/>
                <w:b/>
                <w:sz w:val="18"/>
                <w:szCs w:val="18"/>
                <w:lang w:eastAsia="en-AU"/>
              </w:rPr>
              <w:t>Maintain a high standard of governance, probity and risk management</w:t>
            </w:r>
          </w:p>
        </w:tc>
      </w:tr>
      <w:tr w:rsidR="000B54BD" w:rsidRPr="00457E15" w14:paraId="52F1FF3A" w14:textId="77777777" w:rsidTr="00E97A3B">
        <w:trPr>
          <w:gridAfter w:val="2"/>
          <w:wAfter w:w="7" w:type="pct"/>
          <w:trHeight w:val="453"/>
        </w:trPr>
        <w:tc>
          <w:tcPr>
            <w:tcW w:w="338" w:type="pct"/>
            <w:tcBorders>
              <w:top w:val="single" w:sz="4" w:space="0" w:color="auto"/>
              <w:left w:val="single" w:sz="4" w:space="0" w:color="auto"/>
              <w:bottom w:val="single" w:sz="4" w:space="0" w:color="auto"/>
              <w:right w:val="nil"/>
            </w:tcBorders>
            <w:shd w:val="clear" w:color="auto" w:fill="auto"/>
            <w:noWrap/>
            <w:hideMark/>
          </w:tcPr>
          <w:p w14:paraId="3CB6E408" w14:textId="77777777" w:rsidR="000B54BD" w:rsidRPr="00457E15" w:rsidRDefault="000B54BD" w:rsidP="00E97A3B">
            <w:pPr>
              <w:spacing w:after="0" w:line="240" w:lineRule="auto"/>
              <w:rPr>
                <w:rFonts w:eastAsia="Times New Roman"/>
                <w:sz w:val="18"/>
                <w:szCs w:val="18"/>
                <w:lang w:eastAsia="en-AU"/>
              </w:rPr>
            </w:pPr>
            <w:r w:rsidRPr="00457E15">
              <w:rPr>
                <w:rFonts w:eastAsia="Times New Roman"/>
                <w:sz w:val="18"/>
                <w:szCs w:val="18"/>
                <w:lang w:eastAsia="en-AU"/>
              </w:rPr>
              <w:t>1</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4F56E0AB"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OUTPUT:</w:t>
            </w:r>
            <w:r w:rsidRPr="00457E15">
              <w:rPr>
                <w:rFonts w:eastAsia="Times New Roman" w:cs="Arial"/>
                <w:sz w:val="18"/>
                <w:szCs w:val="18"/>
                <w:lang w:eastAsia="en-AU"/>
              </w:rPr>
              <w:t xml:space="preserve"> Updated risk register and risk mitigation plan in place</w:t>
            </w:r>
            <w:r>
              <w:rPr>
                <w:rFonts w:eastAsia="Times New Roman" w:cs="Arial"/>
                <w:sz w:val="18"/>
                <w:szCs w:val="18"/>
                <w:lang w:eastAsia="en-AU"/>
              </w:rPr>
              <w:t xml:space="preserve"> and reviewed quarterly</w:t>
            </w:r>
          </w:p>
        </w:tc>
        <w:tc>
          <w:tcPr>
            <w:tcW w:w="850" w:type="pct"/>
            <w:tcBorders>
              <w:top w:val="nil"/>
              <w:left w:val="nil"/>
              <w:bottom w:val="single" w:sz="4" w:space="0" w:color="auto"/>
              <w:right w:val="single" w:sz="4" w:space="0" w:color="auto"/>
            </w:tcBorders>
            <w:shd w:val="clear" w:color="auto" w:fill="FFFFFF" w:themeFill="background1"/>
            <w:hideMark/>
          </w:tcPr>
          <w:p w14:paraId="52F5F130"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Measured by </w:t>
            </w:r>
            <w:r w:rsidRPr="00A318B9">
              <w:rPr>
                <w:rFonts w:eastAsia="Times New Roman" w:cs="Arial"/>
                <w:noProof/>
                <w:sz w:val="18"/>
                <w:szCs w:val="18"/>
                <w:lang w:eastAsia="en-AU"/>
              </w:rPr>
              <w:t>quarterly</w:t>
            </w:r>
            <w:r>
              <w:rPr>
                <w:rFonts w:eastAsia="Times New Roman" w:cs="Arial"/>
                <w:sz w:val="18"/>
                <w:szCs w:val="18"/>
                <w:lang w:eastAsia="en-AU"/>
              </w:rPr>
              <w:t xml:space="preserve"> update of r</w:t>
            </w:r>
            <w:r w:rsidRPr="00FC50A2">
              <w:rPr>
                <w:rFonts w:eastAsia="Times New Roman" w:cs="Arial"/>
                <w:sz w:val="18"/>
                <w:szCs w:val="18"/>
                <w:lang w:eastAsia="en-AU"/>
              </w:rPr>
              <w:t xml:space="preserve">isk register and risk mitigation </w:t>
            </w:r>
          </w:p>
        </w:tc>
        <w:tc>
          <w:tcPr>
            <w:tcW w:w="450" w:type="pct"/>
            <w:tcBorders>
              <w:top w:val="single" w:sz="4" w:space="0" w:color="auto"/>
              <w:left w:val="nil"/>
              <w:bottom w:val="single" w:sz="4" w:space="0" w:color="auto"/>
              <w:right w:val="single" w:sz="4" w:space="0" w:color="auto"/>
            </w:tcBorders>
            <w:shd w:val="clear" w:color="auto" w:fill="auto"/>
          </w:tcPr>
          <w:p w14:paraId="40329BF3"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0958720"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TongaHealth </w:t>
            </w:r>
            <w:r w:rsidRPr="00457E15">
              <w:rPr>
                <w:rFonts w:eastAsia="Times New Roman" w:cs="Arial"/>
                <w:sz w:val="18"/>
                <w:szCs w:val="18"/>
                <w:lang w:eastAsia="en-AU"/>
              </w:rPr>
              <w:t>Risk Register and Risk Mitigation Plan</w:t>
            </w:r>
          </w:p>
        </w:tc>
        <w:tc>
          <w:tcPr>
            <w:tcW w:w="550" w:type="pct"/>
            <w:tcBorders>
              <w:top w:val="single" w:sz="4" w:space="0" w:color="auto"/>
              <w:left w:val="nil"/>
              <w:bottom w:val="single" w:sz="4" w:space="0" w:color="auto"/>
              <w:right w:val="single" w:sz="4" w:space="0" w:color="auto"/>
            </w:tcBorders>
            <w:shd w:val="clear" w:color="auto" w:fill="auto"/>
          </w:tcPr>
          <w:p w14:paraId="336DCC43"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Risk register developed but not yet finalised (2016) </w:t>
            </w:r>
          </w:p>
        </w:tc>
        <w:tc>
          <w:tcPr>
            <w:tcW w:w="501" w:type="pct"/>
            <w:tcBorders>
              <w:top w:val="nil"/>
              <w:left w:val="nil"/>
              <w:bottom w:val="single" w:sz="4" w:space="0" w:color="auto"/>
              <w:right w:val="single" w:sz="4" w:space="0" w:color="auto"/>
            </w:tcBorders>
            <w:shd w:val="clear" w:color="auto" w:fill="FFFF66"/>
          </w:tcPr>
          <w:p w14:paraId="16420713" w14:textId="77777777" w:rsidR="000B54BD" w:rsidRPr="00D61571" w:rsidRDefault="000B54BD" w:rsidP="00E97A3B">
            <w:pPr>
              <w:spacing w:after="0" w:line="240" w:lineRule="auto"/>
              <w:rPr>
                <w:rFonts w:eastAsia="Times New Roman"/>
                <w:sz w:val="18"/>
                <w:szCs w:val="18"/>
                <w:lang w:eastAsia="en-AU"/>
              </w:rPr>
            </w:pPr>
            <w:r w:rsidRPr="00D61571">
              <w:rPr>
                <w:rFonts w:eastAsia="Times New Roman"/>
                <w:sz w:val="18"/>
                <w:szCs w:val="18"/>
                <w:lang w:eastAsia="en-AU"/>
              </w:rPr>
              <w:t xml:space="preserve">Risk register developed but not yet finalised </w:t>
            </w:r>
            <w:r>
              <w:rPr>
                <w:rFonts w:eastAsia="Times New Roman"/>
                <w:sz w:val="18"/>
                <w:szCs w:val="18"/>
                <w:lang w:eastAsia="en-AU"/>
              </w:rPr>
              <w:t>(2015-16)</w:t>
            </w:r>
          </w:p>
        </w:tc>
        <w:tc>
          <w:tcPr>
            <w:tcW w:w="549" w:type="pct"/>
            <w:tcBorders>
              <w:top w:val="nil"/>
              <w:left w:val="nil"/>
              <w:bottom w:val="single" w:sz="4" w:space="0" w:color="auto"/>
              <w:right w:val="single" w:sz="4" w:space="0" w:color="auto"/>
            </w:tcBorders>
            <w:shd w:val="clear" w:color="auto" w:fill="FF7C80"/>
          </w:tcPr>
          <w:p w14:paraId="7E162A7B" w14:textId="77777777" w:rsidR="000B54BD" w:rsidRPr="00D61571" w:rsidRDefault="000B54BD" w:rsidP="00E97A3B">
            <w:pPr>
              <w:spacing w:after="0" w:line="240" w:lineRule="auto"/>
              <w:rPr>
                <w:rFonts w:eastAsia="Times New Roman"/>
                <w:sz w:val="18"/>
                <w:szCs w:val="18"/>
                <w:lang w:eastAsia="en-AU"/>
              </w:rPr>
            </w:pPr>
            <w:r w:rsidRPr="00D61571">
              <w:rPr>
                <w:rFonts w:eastAsia="Times New Roman"/>
                <w:sz w:val="18"/>
                <w:szCs w:val="18"/>
                <w:lang w:eastAsia="en-AU"/>
              </w:rPr>
              <w:t>Currently being reviewed for submission to the board</w:t>
            </w:r>
            <w:r>
              <w:rPr>
                <w:rFonts w:eastAsia="Times New Roman"/>
                <w:sz w:val="18"/>
                <w:szCs w:val="18"/>
                <w:lang w:eastAsia="en-AU"/>
              </w:rPr>
              <w:t xml:space="preserve"> (2016-17)</w:t>
            </w:r>
          </w:p>
        </w:tc>
        <w:tc>
          <w:tcPr>
            <w:tcW w:w="655" w:type="pct"/>
            <w:tcBorders>
              <w:top w:val="nil"/>
              <w:left w:val="nil"/>
              <w:bottom w:val="single" w:sz="4" w:space="0" w:color="auto"/>
              <w:right w:val="single" w:sz="4" w:space="0" w:color="auto"/>
            </w:tcBorders>
            <w:shd w:val="clear" w:color="auto" w:fill="FF7C80"/>
          </w:tcPr>
          <w:p w14:paraId="3368B4EF" w14:textId="77777777" w:rsidR="000B54BD" w:rsidRPr="00D61571" w:rsidRDefault="000B54BD" w:rsidP="00E97A3B">
            <w:pPr>
              <w:spacing w:after="0" w:line="240" w:lineRule="auto"/>
              <w:rPr>
                <w:rFonts w:eastAsia="Times New Roman"/>
                <w:sz w:val="18"/>
                <w:szCs w:val="18"/>
                <w:lang w:eastAsia="en-AU"/>
              </w:rPr>
            </w:pPr>
            <w:r w:rsidRPr="00A318B9">
              <w:rPr>
                <w:rFonts w:eastAsia="Times New Roman"/>
                <w:noProof/>
                <w:sz w:val="18"/>
                <w:szCs w:val="18"/>
                <w:lang w:eastAsia="en-AU"/>
              </w:rPr>
              <w:t>Yet</w:t>
            </w:r>
            <w:r w:rsidRPr="00D61571">
              <w:rPr>
                <w:rFonts w:eastAsia="Times New Roman"/>
                <w:sz w:val="18"/>
                <w:szCs w:val="18"/>
                <w:lang w:eastAsia="en-AU"/>
              </w:rPr>
              <w:t xml:space="preserve"> to be updated</w:t>
            </w:r>
            <w:r>
              <w:rPr>
                <w:rFonts w:eastAsia="Times New Roman"/>
                <w:sz w:val="18"/>
                <w:szCs w:val="18"/>
                <w:lang w:eastAsia="en-AU"/>
              </w:rPr>
              <w:t xml:space="preserve"> (2017-18)</w:t>
            </w:r>
          </w:p>
        </w:tc>
      </w:tr>
      <w:tr w:rsidR="000B54BD" w:rsidRPr="00457E15" w14:paraId="41908906" w14:textId="77777777" w:rsidTr="00E97A3B">
        <w:trPr>
          <w:trHeight w:val="305"/>
        </w:trPr>
        <w:tc>
          <w:tcPr>
            <w:tcW w:w="338" w:type="pct"/>
            <w:tcBorders>
              <w:top w:val="single" w:sz="4" w:space="0" w:color="auto"/>
              <w:left w:val="single" w:sz="4" w:space="0" w:color="auto"/>
              <w:bottom w:val="single" w:sz="4" w:space="0" w:color="auto"/>
              <w:right w:val="nil"/>
            </w:tcBorders>
            <w:shd w:val="clear" w:color="auto" w:fill="auto"/>
            <w:noWrap/>
          </w:tcPr>
          <w:p w14:paraId="28D93C13"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30E25CE0"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OUTPUT:</w:t>
            </w:r>
            <w:r>
              <w:rPr>
                <w:rFonts w:eastAsia="Times New Roman" w:cs="Arial"/>
                <w:sz w:val="18"/>
                <w:szCs w:val="18"/>
                <w:lang w:eastAsia="en-AU"/>
              </w:rPr>
              <w:t xml:space="preserve"> TongaHealth</w:t>
            </w:r>
            <w:r w:rsidRPr="008812CB">
              <w:rPr>
                <w:rFonts w:eastAsia="Times New Roman" w:cs="Arial"/>
                <w:sz w:val="18"/>
                <w:szCs w:val="18"/>
                <w:lang w:eastAsia="en-AU"/>
              </w:rPr>
              <w:t xml:space="preserve"> administrative costs as an overall percentage of</w:t>
            </w:r>
            <w:r>
              <w:rPr>
                <w:rFonts w:eastAsia="Times New Roman" w:cs="Arial"/>
                <w:sz w:val="18"/>
                <w:szCs w:val="18"/>
                <w:lang w:eastAsia="en-AU"/>
              </w:rPr>
              <w:t xml:space="preserve"> DFAT</w:t>
            </w:r>
            <w:r w:rsidRPr="008812CB">
              <w:rPr>
                <w:rFonts w:eastAsia="Times New Roman" w:cs="Arial"/>
                <w:sz w:val="18"/>
                <w:szCs w:val="18"/>
                <w:lang w:eastAsia="en-AU"/>
              </w:rPr>
              <w:t xml:space="preserve"> grant funds</w:t>
            </w:r>
          </w:p>
        </w:tc>
        <w:tc>
          <w:tcPr>
            <w:tcW w:w="850" w:type="pct"/>
            <w:tcBorders>
              <w:top w:val="nil"/>
              <w:left w:val="nil"/>
              <w:bottom w:val="single" w:sz="4" w:space="0" w:color="auto"/>
              <w:right w:val="single" w:sz="4" w:space="0" w:color="auto"/>
            </w:tcBorders>
            <w:shd w:val="clear" w:color="auto" w:fill="auto"/>
          </w:tcPr>
          <w:p w14:paraId="7711CB26"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Numerator:</w:t>
            </w:r>
            <w:r>
              <w:t xml:space="preserve">  </w:t>
            </w:r>
            <w:r w:rsidRPr="00616A7D">
              <w:rPr>
                <w:rFonts w:eastAsia="Times New Roman" w:cs="Arial"/>
                <w:sz w:val="18"/>
                <w:szCs w:val="18"/>
                <w:lang w:eastAsia="en-AU"/>
              </w:rPr>
              <w:t>Amount of TongaHealth administrative costs</w:t>
            </w:r>
          </w:p>
          <w:p w14:paraId="00AB5F7A" w14:textId="77777777" w:rsidR="000B54BD" w:rsidRDefault="000B54BD" w:rsidP="00E97A3B">
            <w:pPr>
              <w:spacing w:after="0" w:line="240" w:lineRule="auto"/>
              <w:rPr>
                <w:rFonts w:eastAsia="Times New Roman" w:cs="Arial"/>
                <w:sz w:val="18"/>
                <w:szCs w:val="18"/>
                <w:lang w:eastAsia="en-AU"/>
              </w:rPr>
            </w:pPr>
          </w:p>
          <w:p w14:paraId="497A89BC"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Denominator: Total TongaHealth Budget x 100</w:t>
            </w:r>
          </w:p>
          <w:p w14:paraId="7D02D6E6" w14:textId="77777777" w:rsidR="000B54BD" w:rsidRDefault="000B54BD" w:rsidP="00E97A3B">
            <w:pPr>
              <w:spacing w:after="0" w:line="240" w:lineRule="auto"/>
              <w:rPr>
                <w:rFonts w:eastAsia="Times New Roman" w:cs="Arial"/>
                <w:sz w:val="18"/>
                <w:szCs w:val="18"/>
                <w:lang w:eastAsia="en-AU"/>
              </w:rPr>
            </w:pPr>
          </w:p>
          <w:p w14:paraId="70FB268B" w14:textId="77777777" w:rsidR="000B54BD" w:rsidRPr="00DE3C53" w:rsidRDefault="000B54BD" w:rsidP="00E97A3B">
            <w:pPr>
              <w:spacing w:after="0" w:line="240" w:lineRule="auto"/>
              <w:rPr>
                <w:rFonts w:eastAsia="Times New Roman"/>
                <w:i/>
                <w:sz w:val="18"/>
                <w:szCs w:val="18"/>
                <w:lang w:eastAsia="en-AU"/>
              </w:rPr>
            </w:pPr>
            <w:r w:rsidRPr="00DE3C53">
              <w:rPr>
                <w:rFonts w:eastAsia="Times New Roman" w:cs="Arial"/>
                <w:i/>
                <w:sz w:val="18"/>
                <w:szCs w:val="18"/>
                <w:lang w:eastAsia="en-AU"/>
              </w:rPr>
              <w:t xml:space="preserve">NB: </w:t>
            </w:r>
            <w:r>
              <w:rPr>
                <w:rFonts w:eastAsia="Times New Roman" w:cs="Arial"/>
                <w:i/>
                <w:sz w:val="18"/>
                <w:szCs w:val="18"/>
                <w:lang w:eastAsia="en-AU"/>
              </w:rPr>
              <w:t xml:space="preserve">The following problems </w:t>
            </w:r>
            <w:r w:rsidRPr="00A318B9">
              <w:rPr>
                <w:rFonts w:eastAsia="Times New Roman" w:cs="Arial"/>
                <w:i/>
                <w:noProof/>
                <w:sz w:val="18"/>
                <w:szCs w:val="18"/>
                <w:lang w:eastAsia="en-AU"/>
              </w:rPr>
              <w:t>were encountered</w:t>
            </w:r>
            <w:r>
              <w:rPr>
                <w:rFonts w:eastAsia="Times New Roman" w:cs="Arial"/>
                <w:i/>
                <w:sz w:val="18"/>
                <w:szCs w:val="18"/>
                <w:lang w:eastAsia="en-AU"/>
              </w:rPr>
              <w:t xml:space="preserve"> in evaluating this indicator: </w:t>
            </w:r>
            <w:r w:rsidRPr="00DE3C53">
              <w:rPr>
                <w:rFonts w:eastAsia="Times New Roman"/>
                <w:i/>
                <w:sz w:val="18"/>
                <w:szCs w:val="18"/>
                <w:lang w:eastAsia="en-AU"/>
              </w:rPr>
              <w:t>(i) Grant funds = total DFAT provision or DFAT+? (ii) Does the denominator refer to grant funds only or total budget</w:t>
            </w:r>
            <w:r>
              <w:rPr>
                <w:rFonts w:eastAsia="Times New Roman"/>
                <w:i/>
                <w:sz w:val="18"/>
                <w:szCs w:val="18"/>
                <w:lang w:eastAsia="en-AU"/>
              </w:rPr>
              <w:t xml:space="preserve"> as stated above</w:t>
            </w:r>
            <w:r w:rsidRPr="00DE3C53">
              <w:rPr>
                <w:rFonts w:eastAsia="Times New Roman"/>
                <w:i/>
                <w:sz w:val="18"/>
                <w:szCs w:val="18"/>
                <w:lang w:eastAsia="en-AU"/>
              </w:rPr>
              <w:t>?</w:t>
            </w:r>
            <w:r>
              <w:rPr>
                <w:rFonts w:eastAsia="Times New Roman"/>
                <w:i/>
                <w:sz w:val="18"/>
                <w:szCs w:val="18"/>
                <w:lang w:eastAsia="en-AU"/>
              </w:rPr>
              <w:t xml:space="preserve"> (iii) W</w:t>
            </w:r>
            <w:r w:rsidRPr="00DE3C53">
              <w:rPr>
                <w:rFonts w:eastAsia="Times New Roman"/>
                <w:i/>
                <w:sz w:val="18"/>
                <w:szCs w:val="18"/>
                <w:lang w:eastAsia="en-AU"/>
              </w:rPr>
              <w:t xml:space="preserve">hat is the definition of administrative costs? = Program 1: Leadership and Policy Advice or are administrative costs equal to that applicable to DFAT grants only or all administrative costs?; (iv) </w:t>
            </w:r>
            <w:r>
              <w:rPr>
                <w:rFonts w:eastAsia="Times New Roman"/>
                <w:i/>
                <w:sz w:val="18"/>
                <w:szCs w:val="18"/>
                <w:lang w:eastAsia="en-AU"/>
              </w:rPr>
              <w:t>W</w:t>
            </w:r>
            <w:r w:rsidRPr="00DE3C53">
              <w:rPr>
                <w:rFonts w:eastAsia="Times New Roman"/>
                <w:i/>
                <w:sz w:val="18"/>
                <w:szCs w:val="18"/>
                <w:lang w:eastAsia="en-AU"/>
              </w:rPr>
              <w:t xml:space="preserve">hat is the target? and (v) </w:t>
            </w:r>
            <w:r w:rsidRPr="00DE3C53">
              <w:rPr>
                <w:rFonts w:eastAsia="Times New Roman"/>
                <w:i/>
                <w:sz w:val="18"/>
                <w:szCs w:val="18"/>
                <w:lang w:eastAsia="en-AU"/>
              </w:rPr>
              <w:lastRenderedPageBreak/>
              <w:t xml:space="preserve">Given the variability in annual allocations due to roll-overs and delayed accounting should the baseline be </w:t>
            </w:r>
            <w:r>
              <w:rPr>
                <w:rFonts w:eastAsia="Times New Roman"/>
                <w:i/>
                <w:sz w:val="18"/>
                <w:szCs w:val="18"/>
                <w:lang w:eastAsia="en-AU"/>
              </w:rPr>
              <w:t xml:space="preserve">better </w:t>
            </w:r>
            <w:r w:rsidRPr="00DE3C53">
              <w:rPr>
                <w:rFonts w:eastAsia="Times New Roman"/>
                <w:i/>
                <w:sz w:val="18"/>
                <w:szCs w:val="18"/>
                <w:lang w:eastAsia="en-AU"/>
              </w:rPr>
              <w:t>compared with subsequent averages?</w:t>
            </w:r>
          </w:p>
          <w:p w14:paraId="6E029F66" w14:textId="77777777" w:rsidR="000B54BD" w:rsidRDefault="000B54BD" w:rsidP="00E97A3B">
            <w:pPr>
              <w:spacing w:after="0" w:line="240" w:lineRule="auto"/>
              <w:rPr>
                <w:rFonts w:eastAsia="Times New Roman" w:cs="Arial"/>
                <w:sz w:val="18"/>
                <w:szCs w:val="18"/>
                <w:lang w:eastAsia="en-AU"/>
              </w:rPr>
            </w:pPr>
          </w:p>
        </w:tc>
        <w:tc>
          <w:tcPr>
            <w:tcW w:w="450" w:type="pct"/>
            <w:tcBorders>
              <w:top w:val="nil"/>
              <w:left w:val="nil"/>
              <w:bottom w:val="single" w:sz="4" w:space="0" w:color="auto"/>
              <w:right w:val="single" w:sz="4" w:space="0" w:color="auto"/>
            </w:tcBorders>
          </w:tcPr>
          <w:p w14:paraId="75AA0476" w14:textId="77777777" w:rsidR="000B54BD"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167A1F2D" w14:textId="77777777" w:rsidR="000B54BD" w:rsidRDefault="000B54BD" w:rsidP="00E97A3B">
            <w:pPr>
              <w:spacing w:after="0" w:line="240" w:lineRule="auto"/>
              <w:rPr>
                <w:color w:val="000000"/>
                <w:sz w:val="18"/>
                <w:szCs w:val="18"/>
                <w:shd w:val="clear" w:color="auto" w:fill="FFFFFF"/>
              </w:rPr>
            </w:pPr>
            <w:r w:rsidRPr="00616A7D">
              <w:rPr>
                <w:color w:val="000000"/>
                <w:sz w:val="18"/>
                <w:szCs w:val="18"/>
                <w:shd w:val="clear" w:color="auto" w:fill="FFFFFF"/>
              </w:rPr>
              <w:t xml:space="preserve">TongaHealth </w:t>
            </w:r>
            <w:r>
              <w:rPr>
                <w:color w:val="000000"/>
                <w:sz w:val="18"/>
                <w:szCs w:val="18"/>
                <w:shd w:val="clear" w:color="auto" w:fill="FFFFFF"/>
              </w:rPr>
              <w:t>financial report</w:t>
            </w:r>
          </w:p>
          <w:p w14:paraId="660AC202" w14:textId="77777777" w:rsidR="000B54BD" w:rsidRDefault="000B54BD" w:rsidP="00E97A3B">
            <w:pPr>
              <w:spacing w:after="0" w:line="240" w:lineRule="auto"/>
              <w:rPr>
                <w:color w:val="000000"/>
                <w:sz w:val="18"/>
                <w:szCs w:val="18"/>
                <w:shd w:val="clear" w:color="auto" w:fill="FFFFFF"/>
              </w:rPr>
            </w:pPr>
          </w:p>
          <w:p w14:paraId="45C1BD90" w14:textId="77777777" w:rsidR="000B54BD" w:rsidRDefault="000B54BD" w:rsidP="00E97A3B">
            <w:pPr>
              <w:spacing w:after="0" w:line="240" w:lineRule="auto"/>
              <w:rPr>
                <w:color w:val="000000"/>
                <w:sz w:val="18"/>
                <w:szCs w:val="18"/>
                <w:shd w:val="clear" w:color="auto" w:fill="FFFFFF"/>
              </w:rPr>
            </w:pPr>
          </w:p>
          <w:p w14:paraId="34921A4D" w14:textId="77777777" w:rsidR="000B54BD" w:rsidRPr="00AE73C2" w:rsidRDefault="000B54BD" w:rsidP="00E97A3B">
            <w:pPr>
              <w:spacing w:after="0" w:line="240" w:lineRule="auto"/>
              <w:rPr>
                <w:i/>
                <w:color w:val="000000"/>
                <w:sz w:val="18"/>
                <w:szCs w:val="18"/>
                <w:shd w:val="clear" w:color="auto" w:fill="FFFFFF"/>
              </w:rPr>
            </w:pPr>
            <w:r w:rsidRPr="00AE73C2">
              <w:rPr>
                <w:i/>
                <w:color w:val="000000"/>
                <w:sz w:val="18"/>
                <w:szCs w:val="18"/>
                <w:shd w:val="clear" w:color="auto" w:fill="FFFFFF"/>
              </w:rPr>
              <w:t xml:space="preserve">NB: Figures extracted from TongaHealth Finance Manager’s </w:t>
            </w:r>
            <w:r w:rsidRPr="00A318B9">
              <w:rPr>
                <w:i/>
                <w:noProof/>
                <w:color w:val="000000"/>
                <w:sz w:val="18"/>
                <w:szCs w:val="18"/>
                <w:shd w:val="clear" w:color="auto" w:fill="FFFFFF"/>
              </w:rPr>
              <w:t>own</w:t>
            </w:r>
            <w:r w:rsidRPr="00AE73C2">
              <w:rPr>
                <w:i/>
                <w:color w:val="000000"/>
                <w:sz w:val="18"/>
                <w:szCs w:val="18"/>
                <w:shd w:val="clear" w:color="auto" w:fill="FFFFFF"/>
              </w:rPr>
              <w:t xml:space="preserve"> files.</w:t>
            </w:r>
          </w:p>
        </w:tc>
        <w:tc>
          <w:tcPr>
            <w:tcW w:w="550" w:type="pct"/>
            <w:tcBorders>
              <w:top w:val="nil"/>
              <w:left w:val="nil"/>
              <w:bottom w:val="single" w:sz="4" w:space="0" w:color="auto"/>
              <w:right w:val="single" w:sz="4" w:space="0" w:color="auto"/>
            </w:tcBorders>
            <w:shd w:val="clear" w:color="auto" w:fill="auto"/>
          </w:tcPr>
          <w:p w14:paraId="6407BF68"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Data for 2015/2016 to be provided following NNCDC approval of </w:t>
            </w:r>
            <w:r w:rsidRPr="00A318B9">
              <w:rPr>
                <w:rFonts w:eastAsia="Times New Roman"/>
                <w:noProof/>
                <w:sz w:val="18"/>
                <w:szCs w:val="18"/>
                <w:lang w:eastAsia="en-AU"/>
              </w:rPr>
              <w:t>financial</w:t>
            </w:r>
            <w:r>
              <w:rPr>
                <w:rFonts w:eastAsia="Times New Roman"/>
                <w:sz w:val="18"/>
                <w:szCs w:val="18"/>
                <w:lang w:eastAsia="en-AU"/>
              </w:rPr>
              <w:t xml:space="preserve"> report, expected December 2016 </w:t>
            </w:r>
          </w:p>
        </w:tc>
        <w:tc>
          <w:tcPr>
            <w:tcW w:w="1712" w:type="pct"/>
            <w:gridSpan w:val="5"/>
            <w:tcBorders>
              <w:top w:val="nil"/>
              <w:left w:val="nil"/>
              <w:bottom w:val="single" w:sz="4" w:space="0" w:color="auto"/>
              <w:right w:val="single" w:sz="4" w:space="0" w:color="auto"/>
            </w:tcBorders>
            <w:shd w:val="clear" w:color="auto" w:fill="auto"/>
          </w:tcPr>
          <w:p w14:paraId="1846E4E8" w14:textId="77777777" w:rsidR="000B54BD" w:rsidRPr="003119FC" w:rsidRDefault="000B54BD" w:rsidP="00E97A3B">
            <w:pPr>
              <w:spacing w:after="0" w:line="240" w:lineRule="auto"/>
              <w:rPr>
                <w:rFonts w:eastAsia="Times New Roman"/>
                <w:sz w:val="18"/>
                <w:szCs w:val="18"/>
                <w:lang w:eastAsia="en-AU"/>
              </w:rPr>
            </w:pPr>
          </w:p>
          <w:tbl>
            <w:tblPr>
              <w:tblStyle w:val="TableGrid"/>
              <w:tblW w:w="4528" w:type="dxa"/>
              <w:tblLayout w:type="fixed"/>
              <w:tblLook w:val="04A0" w:firstRow="1" w:lastRow="0" w:firstColumn="1" w:lastColumn="0" w:noHBand="0" w:noVBand="1"/>
            </w:tblPr>
            <w:tblGrid>
              <w:gridCol w:w="1132"/>
              <w:gridCol w:w="1132"/>
              <w:gridCol w:w="1132"/>
              <w:gridCol w:w="1132"/>
            </w:tblGrid>
            <w:tr w:rsidR="000B54BD" w:rsidRPr="00AE73C2" w14:paraId="0AD02E0F" w14:textId="77777777" w:rsidTr="00E97A3B">
              <w:trPr>
                <w:trHeight w:val="465"/>
              </w:trPr>
              <w:tc>
                <w:tcPr>
                  <w:tcW w:w="1132" w:type="dxa"/>
                  <w:shd w:val="clear" w:color="auto" w:fill="auto"/>
                </w:tcPr>
                <w:p w14:paraId="72C84FE0" w14:textId="77777777" w:rsidR="000B54BD" w:rsidRPr="00AE73C2" w:rsidRDefault="000B54BD" w:rsidP="00E97A3B">
                  <w:pPr>
                    <w:rPr>
                      <w:rFonts w:eastAsia="Times New Roman"/>
                      <w:b/>
                      <w:sz w:val="16"/>
                      <w:szCs w:val="16"/>
                      <w:lang w:eastAsia="en-AU"/>
                    </w:rPr>
                  </w:pPr>
                  <w:r w:rsidRPr="00AE73C2">
                    <w:rPr>
                      <w:rFonts w:eastAsia="Times New Roman"/>
                      <w:b/>
                      <w:sz w:val="16"/>
                      <w:szCs w:val="16"/>
                      <w:lang w:eastAsia="en-AU"/>
                    </w:rPr>
                    <w:t>FY 15/16</w:t>
                  </w:r>
                </w:p>
              </w:tc>
              <w:tc>
                <w:tcPr>
                  <w:tcW w:w="1132" w:type="dxa"/>
                  <w:shd w:val="clear" w:color="auto" w:fill="auto"/>
                </w:tcPr>
                <w:p w14:paraId="09AD3C0A" w14:textId="77777777" w:rsidR="000B54BD" w:rsidRPr="00AE73C2" w:rsidRDefault="000B54BD" w:rsidP="00E97A3B">
                  <w:pPr>
                    <w:rPr>
                      <w:rFonts w:eastAsia="Times New Roman"/>
                      <w:b/>
                      <w:sz w:val="16"/>
                      <w:szCs w:val="16"/>
                      <w:lang w:eastAsia="en-AU"/>
                    </w:rPr>
                  </w:pPr>
                  <w:r w:rsidRPr="00AE73C2">
                    <w:rPr>
                      <w:rFonts w:eastAsia="Times New Roman"/>
                      <w:b/>
                      <w:sz w:val="16"/>
                      <w:szCs w:val="16"/>
                      <w:lang w:eastAsia="en-AU"/>
                    </w:rPr>
                    <w:t>FY 16/17</w:t>
                  </w:r>
                </w:p>
              </w:tc>
              <w:tc>
                <w:tcPr>
                  <w:tcW w:w="1132" w:type="dxa"/>
                  <w:shd w:val="clear" w:color="auto" w:fill="auto"/>
                </w:tcPr>
                <w:p w14:paraId="55E50241" w14:textId="77777777" w:rsidR="000B54BD" w:rsidRPr="00AE73C2" w:rsidRDefault="000B54BD" w:rsidP="00E97A3B">
                  <w:pPr>
                    <w:rPr>
                      <w:rFonts w:eastAsia="Times New Roman"/>
                      <w:b/>
                      <w:sz w:val="16"/>
                      <w:szCs w:val="16"/>
                      <w:lang w:eastAsia="en-AU"/>
                    </w:rPr>
                  </w:pPr>
                  <w:r w:rsidRPr="00AE73C2">
                    <w:rPr>
                      <w:rFonts w:eastAsia="Times New Roman"/>
                      <w:b/>
                      <w:sz w:val="16"/>
                      <w:szCs w:val="16"/>
                      <w:lang w:eastAsia="en-AU"/>
                    </w:rPr>
                    <w:t>FY 17/18</w:t>
                  </w:r>
                </w:p>
                <w:p w14:paraId="4D946169" w14:textId="77777777" w:rsidR="000B54BD" w:rsidRPr="00AE73C2" w:rsidRDefault="000B54BD" w:rsidP="00E97A3B">
                  <w:pPr>
                    <w:rPr>
                      <w:rFonts w:eastAsia="Times New Roman"/>
                      <w:b/>
                      <w:sz w:val="16"/>
                      <w:szCs w:val="16"/>
                      <w:lang w:eastAsia="en-AU"/>
                    </w:rPr>
                  </w:pPr>
                  <w:r w:rsidRPr="00AE73C2">
                    <w:rPr>
                      <w:rFonts w:eastAsia="Times New Roman"/>
                      <w:b/>
                      <w:sz w:val="16"/>
                      <w:szCs w:val="16"/>
                      <w:lang w:eastAsia="en-AU"/>
                    </w:rPr>
                    <w:t>(budget)</w:t>
                  </w:r>
                </w:p>
              </w:tc>
              <w:tc>
                <w:tcPr>
                  <w:tcW w:w="1132" w:type="dxa"/>
                  <w:shd w:val="clear" w:color="auto" w:fill="auto"/>
                </w:tcPr>
                <w:p w14:paraId="5069E544" w14:textId="77777777" w:rsidR="000B54BD" w:rsidRPr="00AE73C2" w:rsidRDefault="000B54BD" w:rsidP="00E97A3B">
                  <w:pPr>
                    <w:rPr>
                      <w:rFonts w:eastAsia="Times New Roman"/>
                      <w:b/>
                      <w:sz w:val="16"/>
                      <w:szCs w:val="16"/>
                      <w:lang w:eastAsia="en-AU"/>
                    </w:rPr>
                  </w:pPr>
                  <w:r w:rsidRPr="00AE73C2">
                    <w:rPr>
                      <w:rFonts w:eastAsia="Times New Roman"/>
                      <w:b/>
                      <w:sz w:val="16"/>
                      <w:szCs w:val="16"/>
                      <w:lang w:eastAsia="en-AU"/>
                    </w:rPr>
                    <w:t>FY 18/19</w:t>
                  </w:r>
                </w:p>
                <w:p w14:paraId="098D3FAB" w14:textId="77777777" w:rsidR="000B54BD" w:rsidRPr="00AE73C2" w:rsidRDefault="000B54BD" w:rsidP="00E97A3B">
                  <w:pPr>
                    <w:rPr>
                      <w:rFonts w:eastAsia="Times New Roman"/>
                      <w:b/>
                      <w:sz w:val="16"/>
                      <w:szCs w:val="16"/>
                      <w:lang w:eastAsia="en-AU"/>
                    </w:rPr>
                  </w:pPr>
                  <w:r w:rsidRPr="00AE73C2">
                    <w:rPr>
                      <w:rFonts w:eastAsia="Times New Roman"/>
                      <w:b/>
                      <w:sz w:val="16"/>
                      <w:szCs w:val="16"/>
                      <w:lang w:eastAsia="en-AU"/>
                    </w:rPr>
                    <w:t>(budget)</w:t>
                  </w:r>
                </w:p>
              </w:tc>
            </w:tr>
            <w:tr w:rsidR="000B54BD" w:rsidRPr="00AE73C2" w14:paraId="6DF17B5A" w14:textId="77777777" w:rsidTr="00E97A3B">
              <w:trPr>
                <w:trHeight w:val="465"/>
              </w:trPr>
              <w:tc>
                <w:tcPr>
                  <w:tcW w:w="1132" w:type="dxa"/>
                  <w:shd w:val="clear" w:color="auto" w:fill="auto"/>
                </w:tcPr>
                <w:p w14:paraId="6F83ABFF" w14:textId="77777777" w:rsidR="000B54BD" w:rsidRPr="00AE73C2" w:rsidRDefault="000B54BD" w:rsidP="00E97A3B">
                  <w:pPr>
                    <w:rPr>
                      <w:rFonts w:eastAsia="Times New Roman"/>
                      <w:sz w:val="16"/>
                      <w:szCs w:val="16"/>
                      <w:lang w:eastAsia="en-AU"/>
                    </w:rPr>
                  </w:pPr>
                  <w:r w:rsidRPr="00AE73C2">
                    <w:rPr>
                      <w:rFonts w:eastAsia="Times New Roman"/>
                      <w:sz w:val="16"/>
                      <w:szCs w:val="16"/>
                      <w:lang w:eastAsia="en-AU"/>
                    </w:rPr>
                    <w:t>64</w:t>
                  </w:r>
                </w:p>
              </w:tc>
              <w:tc>
                <w:tcPr>
                  <w:tcW w:w="1132" w:type="dxa"/>
                  <w:shd w:val="clear" w:color="auto" w:fill="auto"/>
                </w:tcPr>
                <w:p w14:paraId="296A3878" w14:textId="77777777" w:rsidR="000B54BD" w:rsidRPr="00AE73C2" w:rsidRDefault="000B54BD" w:rsidP="00E97A3B">
                  <w:pPr>
                    <w:rPr>
                      <w:rFonts w:eastAsia="Times New Roman"/>
                      <w:sz w:val="16"/>
                      <w:szCs w:val="16"/>
                      <w:lang w:eastAsia="en-AU"/>
                    </w:rPr>
                  </w:pPr>
                  <w:r w:rsidRPr="00AE73C2">
                    <w:rPr>
                      <w:rFonts w:eastAsia="Times New Roman"/>
                      <w:sz w:val="16"/>
                      <w:szCs w:val="16"/>
                      <w:lang w:eastAsia="en-AU"/>
                    </w:rPr>
                    <w:t>41</w:t>
                  </w:r>
                </w:p>
              </w:tc>
              <w:tc>
                <w:tcPr>
                  <w:tcW w:w="1132" w:type="dxa"/>
                  <w:shd w:val="clear" w:color="auto" w:fill="auto"/>
                </w:tcPr>
                <w:p w14:paraId="6B051D8C" w14:textId="77777777" w:rsidR="000B54BD" w:rsidRPr="00AE73C2" w:rsidRDefault="000B54BD" w:rsidP="00E97A3B">
                  <w:pPr>
                    <w:rPr>
                      <w:rFonts w:eastAsia="Times New Roman"/>
                      <w:sz w:val="16"/>
                      <w:szCs w:val="16"/>
                      <w:lang w:eastAsia="en-AU"/>
                    </w:rPr>
                  </w:pPr>
                  <w:r w:rsidRPr="00AE73C2">
                    <w:rPr>
                      <w:rFonts w:eastAsia="Times New Roman"/>
                      <w:sz w:val="16"/>
                      <w:szCs w:val="16"/>
                      <w:lang w:eastAsia="en-AU"/>
                    </w:rPr>
                    <w:t>45</w:t>
                  </w:r>
                </w:p>
              </w:tc>
              <w:tc>
                <w:tcPr>
                  <w:tcW w:w="1132" w:type="dxa"/>
                  <w:shd w:val="clear" w:color="auto" w:fill="auto"/>
                </w:tcPr>
                <w:p w14:paraId="3E4B686A" w14:textId="77777777" w:rsidR="000B54BD" w:rsidRPr="00AE73C2" w:rsidRDefault="000B54BD" w:rsidP="00E97A3B">
                  <w:pPr>
                    <w:rPr>
                      <w:rFonts w:eastAsia="Times New Roman"/>
                      <w:sz w:val="16"/>
                      <w:szCs w:val="16"/>
                      <w:lang w:eastAsia="en-AU"/>
                    </w:rPr>
                  </w:pPr>
                  <w:r w:rsidRPr="00AE73C2">
                    <w:rPr>
                      <w:rFonts w:eastAsia="Times New Roman"/>
                      <w:sz w:val="16"/>
                      <w:szCs w:val="16"/>
                      <w:lang w:eastAsia="en-AU"/>
                    </w:rPr>
                    <w:t>78</w:t>
                  </w:r>
                </w:p>
              </w:tc>
            </w:tr>
          </w:tbl>
          <w:p w14:paraId="64162B85" w14:textId="77777777" w:rsidR="000B54BD" w:rsidRDefault="000B54BD" w:rsidP="00E97A3B">
            <w:pPr>
              <w:spacing w:after="0" w:line="240" w:lineRule="auto"/>
              <w:rPr>
                <w:rFonts w:eastAsia="Times New Roman"/>
                <w:sz w:val="18"/>
                <w:szCs w:val="18"/>
                <w:lang w:eastAsia="en-AU"/>
              </w:rPr>
            </w:pPr>
          </w:p>
        </w:tc>
      </w:tr>
      <w:tr w:rsidR="000B54BD" w:rsidRPr="00457E15" w14:paraId="47F611E5" w14:textId="77777777" w:rsidTr="00E97A3B">
        <w:trPr>
          <w:trHeight w:val="660"/>
        </w:trPr>
        <w:tc>
          <w:tcPr>
            <w:tcW w:w="338" w:type="pct"/>
            <w:tcBorders>
              <w:top w:val="single" w:sz="4" w:space="0" w:color="auto"/>
              <w:left w:val="single" w:sz="4" w:space="0" w:color="auto"/>
              <w:bottom w:val="single" w:sz="4" w:space="0" w:color="auto"/>
              <w:right w:val="nil"/>
            </w:tcBorders>
            <w:shd w:val="clear" w:color="auto" w:fill="auto"/>
            <w:noWrap/>
            <w:hideMark/>
          </w:tcPr>
          <w:p w14:paraId="60E580BF"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3</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5F8909DC" w14:textId="77777777" w:rsidR="000B54BD" w:rsidRPr="00DF505F"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OUTPUT</w:t>
            </w:r>
            <w:r w:rsidRPr="00457E15">
              <w:rPr>
                <w:rFonts w:eastAsia="Times New Roman" w:cs="Arial"/>
                <w:sz w:val="18"/>
                <w:szCs w:val="18"/>
                <w:lang w:eastAsia="en-AU"/>
              </w:rPr>
              <w:t>: Compliance to legislative and</w:t>
            </w:r>
            <w:r>
              <w:rPr>
                <w:rFonts w:eastAsia="Times New Roman" w:cs="Arial"/>
                <w:sz w:val="18"/>
                <w:szCs w:val="18"/>
                <w:lang w:eastAsia="en-AU"/>
              </w:rPr>
              <w:t xml:space="preserve"> DFAT</w:t>
            </w:r>
            <w:r w:rsidRPr="00457E15">
              <w:rPr>
                <w:rFonts w:eastAsia="Times New Roman" w:cs="Arial"/>
                <w:sz w:val="18"/>
                <w:szCs w:val="18"/>
                <w:lang w:eastAsia="en-AU"/>
              </w:rPr>
              <w:t xml:space="preserve"> contractual requirements </w:t>
            </w:r>
          </w:p>
        </w:tc>
        <w:tc>
          <w:tcPr>
            <w:tcW w:w="850" w:type="pct"/>
            <w:tcBorders>
              <w:top w:val="nil"/>
              <w:left w:val="nil"/>
              <w:bottom w:val="single" w:sz="4" w:space="0" w:color="auto"/>
              <w:right w:val="single" w:sz="4" w:space="0" w:color="auto"/>
            </w:tcBorders>
            <w:shd w:val="clear" w:color="auto" w:fill="FFFFFF" w:themeFill="background1"/>
            <w:hideMark/>
          </w:tcPr>
          <w:p w14:paraId="274C1B09"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 xml:space="preserve">Compliance to legislative and contractual requirements measured by: </w:t>
            </w:r>
          </w:p>
          <w:p w14:paraId="2DB5E124" w14:textId="77777777" w:rsidR="000B54BD" w:rsidRPr="008812CB" w:rsidRDefault="000B54BD" w:rsidP="00AC0818">
            <w:pPr>
              <w:pStyle w:val="ListParagraph"/>
              <w:numPr>
                <w:ilvl w:val="0"/>
                <w:numId w:val="38"/>
              </w:numPr>
              <w:spacing w:after="0" w:line="240" w:lineRule="auto"/>
              <w:rPr>
                <w:rFonts w:eastAsia="Times New Roman" w:cs="Arial"/>
                <w:sz w:val="18"/>
                <w:szCs w:val="18"/>
                <w:lang w:eastAsia="en-AU"/>
              </w:rPr>
            </w:pPr>
            <w:r w:rsidRPr="00457E15">
              <w:rPr>
                <w:rFonts w:eastAsia="Times New Roman" w:cs="Arial"/>
                <w:sz w:val="18"/>
                <w:szCs w:val="18"/>
                <w:lang w:eastAsia="en-AU"/>
              </w:rPr>
              <w:t xml:space="preserve">Budget and Statement of Corporate </w:t>
            </w:r>
            <w:r w:rsidRPr="008812CB">
              <w:rPr>
                <w:rFonts w:eastAsia="Times New Roman" w:cs="Arial"/>
                <w:sz w:val="18"/>
                <w:szCs w:val="18"/>
                <w:lang w:eastAsia="en-AU"/>
              </w:rPr>
              <w:t xml:space="preserve">Intent submitted to Minister on time (1 June before </w:t>
            </w:r>
            <w:r w:rsidRPr="00A318B9">
              <w:rPr>
                <w:rFonts w:eastAsia="Times New Roman" w:cs="Arial"/>
                <w:noProof/>
                <w:sz w:val="18"/>
                <w:szCs w:val="18"/>
                <w:lang w:eastAsia="en-AU"/>
              </w:rPr>
              <w:t>new</w:t>
            </w:r>
            <w:r w:rsidRPr="008812CB">
              <w:rPr>
                <w:rFonts w:eastAsia="Times New Roman" w:cs="Arial"/>
                <w:sz w:val="18"/>
                <w:szCs w:val="18"/>
                <w:lang w:eastAsia="en-AU"/>
              </w:rPr>
              <w:t xml:space="preserve"> financial year)</w:t>
            </w:r>
          </w:p>
          <w:p w14:paraId="358AF6C0" w14:textId="77777777" w:rsidR="000B54BD" w:rsidRPr="008812CB" w:rsidRDefault="000B54BD" w:rsidP="00AC0818">
            <w:pPr>
              <w:pStyle w:val="ListParagraph"/>
              <w:numPr>
                <w:ilvl w:val="0"/>
                <w:numId w:val="38"/>
              </w:numPr>
              <w:spacing w:after="0" w:line="240" w:lineRule="auto"/>
              <w:rPr>
                <w:rFonts w:eastAsia="Times New Roman" w:cs="Arial"/>
                <w:sz w:val="18"/>
                <w:szCs w:val="18"/>
                <w:lang w:eastAsia="en-AU"/>
              </w:rPr>
            </w:pPr>
            <w:r w:rsidRPr="008812CB">
              <w:rPr>
                <w:rFonts w:eastAsia="Times New Roman" w:cs="Arial"/>
                <w:sz w:val="18"/>
                <w:szCs w:val="18"/>
                <w:lang w:eastAsia="en-AU"/>
              </w:rPr>
              <w:t>Annual Report published on time (31 March of following financial year)</w:t>
            </w:r>
          </w:p>
          <w:p w14:paraId="2F28E0F8" w14:textId="77777777" w:rsidR="000B54BD" w:rsidRPr="00DF505F" w:rsidRDefault="000B54BD" w:rsidP="00AC0818">
            <w:pPr>
              <w:pStyle w:val="ListParagraph"/>
              <w:numPr>
                <w:ilvl w:val="0"/>
                <w:numId w:val="38"/>
              </w:numPr>
              <w:spacing w:after="0" w:line="240" w:lineRule="auto"/>
              <w:rPr>
                <w:rFonts w:eastAsia="Times New Roman" w:cs="Arial"/>
                <w:sz w:val="18"/>
                <w:szCs w:val="18"/>
                <w:lang w:eastAsia="en-AU"/>
              </w:rPr>
            </w:pPr>
            <w:r w:rsidRPr="008812CB">
              <w:rPr>
                <w:rFonts w:eastAsia="Times New Roman" w:cs="Arial"/>
                <w:sz w:val="18"/>
                <w:szCs w:val="18"/>
                <w:lang w:eastAsia="en-AU"/>
              </w:rPr>
              <w:t>Audit of accounts conducted on time (31 December of following financial year)</w:t>
            </w:r>
          </w:p>
        </w:tc>
        <w:tc>
          <w:tcPr>
            <w:tcW w:w="450" w:type="pct"/>
            <w:tcBorders>
              <w:top w:val="nil"/>
              <w:left w:val="nil"/>
              <w:bottom w:val="single" w:sz="4" w:space="0" w:color="auto"/>
              <w:right w:val="single" w:sz="4" w:space="0" w:color="auto"/>
            </w:tcBorders>
          </w:tcPr>
          <w:p w14:paraId="4E4B4CEE"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All submitted on time</w:t>
            </w:r>
          </w:p>
        </w:tc>
        <w:tc>
          <w:tcPr>
            <w:tcW w:w="550" w:type="pct"/>
            <w:tcBorders>
              <w:top w:val="nil"/>
              <w:left w:val="single" w:sz="4" w:space="0" w:color="auto"/>
              <w:bottom w:val="single" w:sz="4" w:space="0" w:color="auto"/>
              <w:right w:val="single" w:sz="4" w:space="0" w:color="auto"/>
            </w:tcBorders>
            <w:shd w:val="clear" w:color="auto" w:fill="auto"/>
          </w:tcPr>
          <w:p w14:paraId="39D32133" w14:textId="77777777" w:rsidR="000B54BD"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 xml:space="preserve">Budget and Statement of Corporate Intent, </w:t>
            </w:r>
            <w:r>
              <w:rPr>
                <w:rFonts w:eastAsia="Times New Roman" w:cs="Arial"/>
                <w:sz w:val="18"/>
                <w:szCs w:val="18"/>
                <w:lang w:eastAsia="en-AU"/>
              </w:rPr>
              <w:t xml:space="preserve">TongaHealth </w:t>
            </w:r>
            <w:r w:rsidRPr="00457E15">
              <w:rPr>
                <w:rFonts w:eastAsia="Times New Roman" w:cs="Arial"/>
                <w:sz w:val="18"/>
                <w:szCs w:val="18"/>
                <w:lang w:eastAsia="en-AU"/>
              </w:rPr>
              <w:t xml:space="preserve">Annual Report, </w:t>
            </w:r>
            <w:r w:rsidRPr="00A318B9">
              <w:rPr>
                <w:rFonts w:eastAsia="Times New Roman" w:cs="Arial"/>
                <w:noProof/>
                <w:sz w:val="18"/>
                <w:szCs w:val="18"/>
                <w:lang w:eastAsia="en-AU"/>
              </w:rPr>
              <w:t>audit</w:t>
            </w:r>
            <w:r w:rsidRPr="00457E15">
              <w:rPr>
                <w:rFonts w:eastAsia="Times New Roman" w:cs="Arial"/>
                <w:sz w:val="18"/>
                <w:szCs w:val="18"/>
                <w:lang w:eastAsia="en-AU"/>
              </w:rPr>
              <w:t xml:space="preserve"> of accounts </w:t>
            </w:r>
          </w:p>
          <w:p w14:paraId="73AD7A17" w14:textId="77777777" w:rsidR="000B54BD" w:rsidRDefault="000B54BD" w:rsidP="00E97A3B">
            <w:pPr>
              <w:spacing w:after="0" w:line="240" w:lineRule="auto"/>
              <w:rPr>
                <w:rFonts w:eastAsia="Times New Roman" w:cs="Arial"/>
                <w:sz w:val="18"/>
                <w:szCs w:val="18"/>
                <w:lang w:eastAsia="en-AU"/>
              </w:rPr>
            </w:pPr>
          </w:p>
          <w:p w14:paraId="6131B904" w14:textId="77777777" w:rsidR="000B54BD" w:rsidRPr="00CD00E1" w:rsidRDefault="000B54BD" w:rsidP="00E97A3B">
            <w:pPr>
              <w:spacing w:after="0" w:line="240" w:lineRule="auto"/>
              <w:rPr>
                <w:rFonts w:eastAsia="Times New Roman" w:cs="Arial"/>
                <w:i/>
                <w:sz w:val="18"/>
                <w:szCs w:val="18"/>
                <w:lang w:eastAsia="en-AU"/>
              </w:rPr>
            </w:pPr>
            <w:r w:rsidRPr="00CD00E1">
              <w:rPr>
                <w:rFonts w:eastAsia="Times New Roman"/>
                <w:i/>
                <w:sz w:val="18"/>
                <w:szCs w:val="18"/>
                <w:lang w:eastAsia="en-AU"/>
              </w:rPr>
              <w:t xml:space="preserve">NB: FY is July 1 to June 30. </w:t>
            </w:r>
            <w:r w:rsidRPr="00A318B9">
              <w:rPr>
                <w:rFonts w:eastAsia="Times New Roman"/>
                <w:i/>
                <w:noProof/>
                <w:sz w:val="18"/>
                <w:szCs w:val="18"/>
                <w:lang w:eastAsia="en-AU"/>
              </w:rPr>
              <w:t>Annual</w:t>
            </w:r>
            <w:r w:rsidRPr="00CD00E1">
              <w:rPr>
                <w:rFonts w:eastAsia="Times New Roman"/>
                <w:i/>
                <w:sz w:val="18"/>
                <w:szCs w:val="18"/>
                <w:lang w:eastAsia="en-AU"/>
              </w:rPr>
              <w:t xml:space="preserve"> report is to </w:t>
            </w:r>
            <w:r w:rsidRPr="00A318B9">
              <w:rPr>
                <w:rFonts w:eastAsia="Times New Roman"/>
                <w:i/>
                <w:noProof/>
                <w:sz w:val="18"/>
                <w:szCs w:val="18"/>
                <w:lang w:eastAsia="en-AU"/>
              </w:rPr>
              <w:t>be published</w:t>
            </w:r>
            <w:r w:rsidRPr="00CD00E1">
              <w:rPr>
                <w:rFonts w:eastAsia="Times New Roman"/>
                <w:i/>
                <w:sz w:val="18"/>
                <w:szCs w:val="18"/>
                <w:lang w:eastAsia="en-AU"/>
              </w:rPr>
              <w:t xml:space="preserve"> by 31 March of following FY (e.g. 31 March 2017 for FY 15/16 accounts). </w:t>
            </w:r>
            <w:r w:rsidRPr="00A318B9">
              <w:rPr>
                <w:rFonts w:eastAsia="Times New Roman"/>
                <w:i/>
                <w:noProof/>
                <w:sz w:val="18"/>
                <w:szCs w:val="18"/>
                <w:lang w:eastAsia="en-AU"/>
              </w:rPr>
              <w:t>Audit</w:t>
            </w:r>
            <w:r w:rsidRPr="00CD00E1">
              <w:rPr>
                <w:rFonts w:eastAsia="Times New Roman"/>
                <w:i/>
                <w:sz w:val="18"/>
                <w:szCs w:val="18"/>
                <w:lang w:eastAsia="en-AU"/>
              </w:rPr>
              <w:t xml:space="preserve"> is to be ready in December of the following FY? (This would have to be FY two years removed </w:t>
            </w:r>
            <w:r w:rsidRPr="00A318B9">
              <w:rPr>
                <w:rFonts w:eastAsia="Times New Roman"/>
                <w:i/>
                <w:noProof/>
                <w:sz w:val="18"/>
                <w:szCs w:val="18"/>
                <w:lang w:eastAsia="en-AU"/>
              </w:rPr>
              <w:t>e.g.</w:t>
            </w:r>
            <w:r w:rsidRPr="00CD00E1">
              <w:rPr>
                <w:rFonts w:eastAsia="Times New Roman"/>
                <w:i/>
                <w:sz w:val="18"/>
                <w:szCs w:val="18"/>
                <w:lang w:eastAsia="en-AU"/>
              </w:rPr>
              <w:t xml:space="preserve"> December 2017 for FY 15/16 accounts). TongaHealth report that the audit meets DFAT requirements, not GOT requirements</w:t>
            </w:r>
          </w:p>
        </w:tc>
        <w:tc>
          <w:tcPr>
            <w:tcW w:w="550" w:type="pct"/>
            <w:tcBorders>
              <w:top w:val="nil"/>
              <w:left w:val="nil"/>
              <w:bottom w:val="single" w:sz="4" w:space="0" w:color="auto"/>
              <w:right w:val="single" w:sz="4" w:space="0" w:color="auto"/>
            </w:tcBorders>
            <w:shd w:val="clear" w:color="auto" w:fill="auto"/>
          </w:tcPr>
          <w:p w14:paraId="4B93C79D"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Budget and Statement of Corporate Intent submitted for 2016/2017 </w:t>
            </w:r>
            <w:r w:rsidRPr="008812CB">
              <w:rPr>
                <w:rFonts w:eastAsia="Times New Roman"/>
                <w:sz w:val="18"/>
                <w:szCs w:val="18"/>
                <w:lang w:eastAsia="en-AU"/>
              </w:rPr>
              <w:t>on 8 July 2016. Annual Report not published (due 31 March 2017). Audit of</w:t>
            </w:r>
            <w:r>
              <w:rPr>
                <w:rFonts w:eastAsia="Times New Roman"/>
                <w:sz w:val="18"/>
                <w:szCs w:val="18"/>
                <w:lang w:eastAsia="en-AU"/>
              </w:rPr>
              <w:t xml:space="preserve"> Account for 2015/2016 not yet due (due 31 December 2016). </w:t>
            </w:r>
          </w:p>
        </w:tc>
        <w:tc>
          <w:tcPr>
            <w:tcW w:w="1712" w:type="pct"/>
            <w:gridSpan w:val="5"/>
            <w:tcBorders>
              <w:top w:val="nil"/>
              <w:left w:val="nil"/>
              <w:bottom w:val="single" w:sz="4" w:space="0" w:color="auto"/>
              <w:right w:val="single" w:sz="4" w:space="0" w:color="auto"/>
            </w:tcBorders>
            <w:shd w:val="clear" w:color="auto" w:fill="FF7C80"/>
          </w:tcPr>
          <w:p w14:paraId="7F5DA0DB" w14:textId="77777777" w:rsidR="000B54BD" w:rsidRPr="0080133D" w:rsidRDefault="000B54BD" w:rsidP="00E97A3B">
            <w:pPr>
              <w:spacing w:after="0" w:line="240" w:lineRule="auto"/>
              <w:rPr>
                <w:rFonts w:eastAsia="Times New Roman"/>
                <w:sz w:val="18"/>
                <w:szCs w:val="18"/>
                <w:lang w:eastAsia="en-AU"/>
              </w:rPr>
            </w:pPr>
          </w:p>
          <w:p w14:paraId="45F0F50F" w14:textId="77777777" w:rsidR="000B54BD" w:rsidRPr="00457E15" w:rsidRDefault="000B54BD" w:rsidP="00E97A3B">
            <w:pPr>
              <w:spacing w:after="0" w:line="240" w:lineRule="auto"/>
              <w:rPr>
                <w:rFonts w:eastAsia="Times New Roman"/>
                <w:sz w:val="18"/>
                <w:szCs w:val="18"/>
                <w:lang w:eastAsia="en-AU"/>
              </w:rPr>
            </w:pPr>
            <w:r w:rsidRPr="004F36C8">
              <w:rPr>
                <w:rFonts w:eastAsia="Times New Roman"/>
                <w:sz w:val="18"/>
                <w:szCs w:val="18"/>
                <w:shd w:val="clear" w:color="auto" w:fill="FD6666"/>
                <w:lang w:eastAsia="en-AU"/>
              </w:rPr>
              <w:t>Performance is mostly off track. See footnote</w:t>
            </w:r>
          </w:p>
        </w:tc>
      </w:tr>
      <w:tr w:rsidR="000B54BD" w:rsidRPr="00457E15" w14:paraId="047ACE52" w14:textId="77777777" w:rsidTr="00E97A3B">
        <w:trPr>
          <w:trHeight w:val="305"/>
        </w:trPr>
        <w:tc>
          <w:tcPr>
            <w:tcW w:w="338" w:type="pct"/>
            <w:tcBorders>
              <w:top w:val="single" w:sz="4" w:space="0" w:color="auto"/>
              <w:left w:val="single" w:sz="4" w:space="0" w:color="auto"/>
              <w:bottom w:val="single" w:sz="4" w:space="0" w:color="auto"/>
              <w:right w:val="nil"/>
            </w:tcBorders>
            <w:shd w:val="clear" w:color="auto" w:fill="auto"/>
            <w:noWrap/>
          </w:tcPr>
          <w:p w14:paraId="4619690A"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lastRenderedPageBreak/>
              <w:t>4</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57DF7F38"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OUTPUT</w:t>
            </w:r>
            <w:r>
              <w:rPr>
                <w:rFonts w:eastAsia="Times New Roman" w:cs="Arial"/>
                <w:sz w:val="18"/>
                <w:szCs w:val="18"/>
                <w:lang w:eastAsia="en-AU"/>
              </w:rPr>
              <w:t>: %</w:t>
            </w:r>
            <w:r w:rsidRPr="008812CB">
              <w:rPr>
                <w:rFonts w:eastAsia="Times New Roman" w:cs="Arial"/>
                <w:sz w:val="18"/>
                <w:szCs w:val="18"/>
                <w:lang w:eastAsia="en-AU"/>
              </w:rPr>
              <w:t xml:space="preserve"> </w:t>
            </w:r>
            <w:r>
              <w:rPr>
                <w:rFonts w:eastAsia="Times New Roman" w:cs="Arial"/>
                <w:sz w:val="18"/>
                <w:szCs w:val="18"/>
                <w:lang w:eastAsia="en-AU"/>
              </w:rPr>
              <w:t xml:space="preserve">DFAT </w:t>
            </w:r>
            <w:r w:rsidRPr="008812CB">
              <w:rPr>
                <w:rFonts w:eastAsia="Times New Roman" w:cs="Arial"/>
                <w:sz w:val="18"/>
                <w:szCs w:val="18"/>
                <w:lang w:eastAsia="en-AU"/>
              </w:rPr>
              <w:t xml:space="preserve">grant funds dispersed on time </w:t>
            </w:r>
            <w:r>
              <w:rPr>
                <w:rFonts w:eastAsia="Times New Roman" w:cs="Arial"/>
                <w:sz w:val="18"/>
                <w:szCs w:val="18"/>
                <w:lang w:eastAsia="en-AU"/>
              </w:rPr>
              <w:t>TongaHealth</w:t>
            </w:r>
          </w:p>
        </w:tc>
        <w:tc>
          <w:tcPr>
            <w:tcW w:w="850" w:type="pct"/>
            <w:tcBorders>
              <w:top w:val="nil"/>
              <w:left w:val="nil"/>
              <w:bottom w:val="single" w:sz="4" w:space="0" w:color="auto"/>
              <w:right w:val="single" w:sz="4" w:space="0" w:color="auto"/>
            </w:tcBorders>
            <w:shd w:val="clear" w:color="auto" w:fill="auto"/>
          </w:tcPr>
          <w:p w14:paraId="34207856"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Numerator:</w:t>
            </w:r>
            <w:r w:rsidRPr="00616A7D">
              <w:rPr>
                <w:rFonts w:eastAsia="Times New Roman" w:cs="Arial"/>
                <w:sz w:val="18"/>
                <w:szCs w:val="18"/>
                <w:lang w:eastAsia="en-AU"/>
              </w:rPr>
              <w:t xml:space="preserve"> Amount of DFAT grant funds dispersed on time TongaHealth</w:t>
            </w:r>
          </w:p>
          <w:p w14:paraId="5CB551C8" w14:textId="77777777" w:rsidR="000B54BD" w:rsidRDefault="000B54BD" w:rsidP="00E97A3B">
            <w:pPr>
              <w:spacing w:after="0" w:line="240" w:lineRule="auto"/>
              <w:rPr>
                <w:rFonts w:eastAsia="Times New Roman" w:cs="Arial"/>
                <w:sz w:val="18"/>
                <w:szCs w:val="18"/>
                <w:lang w:eastAsia="en-AU"/>
              </w:rPr>
            </w:pPr>
          </w:p>
          <w:p w14:paraId="330F5DFE"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Denominator: Total </w:t>
            </w:r>
            <w:r w:rsidRPr="00616A7D">
              <w:rPr>
                <w:rFonts w:eastAsia="Times New Roman" w:cs="Arial"/>
                <w:sz w:val="18"/>
                <w:szCs w:val="18"/>
                <w:lang w:eastAsia="en-AU"/>
              </w:rPr>
              <w:t>DFAT grant funds TongaHealth</w:t>
            </w:r>
            <w:r>
              <w:rPr>
                <w:rFonts w:eastAsia="Times New Roman" w:cs="Arial"/>
                <w:sz w:val="18"/>
                <w:szCs w:val="18"/>
                <w:lang w:eastAsia="en-AU"/>
              </w:rPr>
              <w:t xml:space="preserve"> x 100</w:t>
            </w:r>
          </w:p>
        </w:tc>
        <w:tc>
          <w:tcPr>
            <w:tcW w:w="450" w:type="pct"/>
            <w:tcBorders>
              <w:top w:val="nil"/>
              <w:left w:val="nil"/>
              <w:bottom w:val="single" w:sz="4" w:space="0" w:color="auto"/>
              <w:right w:val="single" w:sz="4" w:space="0" w:color="auto"/>
            </w:tcBorders>
          </w:tcPr>
          <w:p w14:paraId="6F95A82C"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70%</w:t>
            </w:r>
          </w:p>
        </w:tc>
        <w:tc>
          <w:tcPr>
            <w:tcW w:w="550" w:type="pct"/>
            <w:tcBorders>
              <w:top w:val="nil"/>
              <w:left w:val="single" w:sz="4" w:space="0" w:color="auto"/>
              <w:bottom w:val="single" w:sz="4" w:space="0" w:color="auto"/>
              <w:right w:val="single" w:sz="4" w:space="0" w:color="auto"/>
            </w:tcBorders>
            <w:shd w:val="clear" w:color="auto" w:fill="auto"/>
          </w:tcPr>
          <w:p w14:paraId="5B618416" w14:textId="77777777" w:rsidR="000B54BD" w:rsidRDefault="000B54BD" w:rsidP="00E97A3B">
            <w:pPr>
              <w:spacing w:after="0" w:line="240" w:lineRule="auto"/>
              <w:rPr>
                <w:color w:val="000000"/>
                <w:sz w:val="18"/>
                <w:szCs w:val="18"/>
                <w:shd w:val="clear" w:color="auto" w:fill="FFFFFF"/>
              </w:rPr>
            </w:pPr>
            <w:r w:rsidRPr="00616A7D">
              <w:rPr>
                <w:color w:val="000000"/>
                <w:sz w:val="18"/>
                <w:szCs w:val="18"/>
                <w:shd w:val="clear" w:color="auto" w:fill="FFFFFF"/>
              </w:rPr>
              <w:t>TongaHealth</w:t>
            </w:r>
            <w:r>
              <w:rPr>
                <w:color w:val="000000"/>
                <w:sz w:val="18"/>
                <w:szCs w:val="18"/>
                <w:shd w:val="clear" w:color="auto" w:fill="FFFFFF"/>
              </w:rPr>
              <w:t xml:space="preserve"> financial report</w:t>
            </w:r>
          </w:p>
          <w:p w14:paraId="4715339B" w14:textId="77777777" w:rsidR="000B54BD" w:rsidRDefault="000B54BD" w:rsidP="00E97A3B">
            <w:pPr>
              <w:spacing w:after="0" w:line="240" w:lineRule="auto"/>
              <w:rPr>
                <w:color w:val="000000"/>
                <w:sz w:val="18"/>
                <w:szCs w:val="18"/>
                <w:shd w:val="clear" w:color="auto" w:fill="FFFFFF"/>
              </w:rPr>
            </w:pPr>
          </w:p>
          <w:p w14:paraId="1369A591" w14:textId="77777777" w:rsidR="000B54BD" w:rsidRPr="00F971F3" w:rsidRDefault="000B54BD" w:rsidP="00E97A3B">
            <w:pPr>
              <w:spacing w:after="0" w:line="240" w:lineRule="auto"/>
              <w:rPr>
                <w:i/>
                <w:color w:val="000000"/>
                <w:sz w:val="18"/>
                <w:szCs w:val="18"/>
                <w:shd w:val="clear" w:color="auto" w:fill="FFFFFF"/>
              </w:rPr>
            </w:pPr>
            <w:r w:rsidRPr="00F971F3">
              <w:rPr>
                <w:i/>
                <w:color w:val="000000"/>
                <w:sz w:val="18"/>
                <w:szCs w:val="18"/>
                <w:shd w:val="clear" w:color="auto" w:fill="FFFFFF"/>
              </w:rPr>
              <w:t>NB: As advised by TongaHealth CEO.</w:t>
            </w:r>
          </w:p>
          <w:p w14:paraId="57016080" w14:textId="77777777" w:rsidR="000B54BD" w:rsidRPr="00616A7D" w:rsidRDefault="000B54BD" w:rsidP="00E97A3B">
            <w:pPr>
              <w:spacing w:after="0" w:line="240" w:lineRule="auto"/>
              <w:rPr>
                <w:color w:val="000000"/>
                <w:sz w:val="18"/>
                <w:szCs w:val="18"/>
                <w:shd w:val="clear" w:color="auto" w:fill="FFFFFF"/>
              </w:rPr>
            </w:pPr>
            <w:r w:rsidRPr="00F971F3">
              <w:rPr>
                <w:i/>
                <w:color w:val="000000"/>
                <w:sz w:val="18"/>
                <w:szCs w:val="18"/>
                <w:shd w:val="clear" w:color="auto" w:fill="FFFFFF"/>
              </w:rPr>
              <w:t>Awaiting more information from Project Coordinator</w:t>
            </w:r>
          </w:p>
        </w:tc>
        <w:tc>
          <w:tcPr>
            <w:tcW w:w="550" w:type="pct"/>
            <w:tcBorders>
              <w:top w:val="nil"/>
              <w:left w:val="nil"/>
              <w:bottom w:val="single" w:sz="4" w:space="0" w:color="auto"/>
              <w:right w:val="single" w:sz="4" w:space="0" w:color="auto"/>
            </w:tcBorders>
            <w:shd w:val="clear" w:color="auto" w:fill="auto"/>
          </w:tcPr>
          <w:p w14:paraId="6ADFEA82"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2015/2016</w:t>
            </w:r>
          </w:p>
          <w:p w14:paraId="2B347F87"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Data to be provided no later than August 2017</w:t>
            </w:r>
          </w:p>
        </w:tc>
        <w:tc>
          <w:tcPr>
            <w:tcW w:w="1712" w:type="pct"/>
            <w:gridSpan w:val="5"/>
            <w:tcBorders>
              <w:top w:val="nil"/>
              <w:left w:val="nil"/>
              <w:bottom w:val="single" w:sz="4" w:space="0" w:color="auto"/>
              <w:right w:val="single" w:sz="4" w:space="0" w:color="auto"/>
            </w:tcBorders>
            <w:shd w:val="clear" w:color="auto" w:fill="auto"/>
          </w:tcPr>
          <w:p w14:paraId="180D3317" w14:textId="77777777" w:rsidR="000B54BD" w:rsidRPr="00F971F3" w:rsidRDefault="000B54BD" w:rsidP="00E97A3B">
            <w:pPr>
              <w:spacing w:after="0" w:line="240" w:lineRule="auto"/>
              <w:rPr>
                <w:rFonts w:eastAsia="Times New Roman"/>
                <w:sz w:val="18"/>
                <w:szCs w:val="18"/>
                <w:lang w:eastAsia="en-AU"/>
              </w:rPr>
            </w:pPr>
            <w:r>
              <w:rPr>
                <w:rFonts w:eastAsia="Times New Roman"/>
                <w:sz w:val="18"/>
                <w:szCs w:val="18"/>
                <w:lang w:eastAsia="en-AU"/>
              </w:rPr>
              <w:t>Reported as 70% for FY 15/16 and FY 16/17 but insufficient data to confirm. See footnote.</w:t>
            </w:r>
          </w:p>
          <w:p w14:paraId="4D6DB30D" w14:textId="77777777" w:rsidR="000B54BD" w:rsidRDefault="000B54BD" w:rsidP="00E97A3B">
            <w:pPr>
              <w:spacing w:after="0" w:line="240" w:lineRule="auto"/>
              <w:rPr>
                <w:rFonts w:eastAsia="Times New Roman"/>
                <w:sz w:val="18"/>
                <w:szCs w:val="18"/>
                <w:lang w:eastAsia="en-AU"/>
              </w:rPr>
            </w:pPr>
          </w:p>
        </w:tc>
      </w:tr>
      <w:tr w:rsidR="000B54BD" w:rsidRPr="00457E15" w14:paraId="468B6C9D" w14:textId="77777777" w:rsidTr="00E97A3B">
        <w:trPr>
          <w:trHeight w:val="305"/>
        </w:trPr>
        <w:tc>
          <w:tcPr>
            <w:tcW w:w="338" w:type="pct"/>
            <w:tcBorders>
              <w:top w:val="single" w:sz="4" w:space="0" w:color="auto"/>
              <w:left w:val="single" w:sz="4" w:space="0" w:color="auto"/>
              <w:bottom w:val="single" w:sz="4" w:space="0" w:color="auto"/>
              <w:right w:val="nil"/>
            </w:tcBorders>
            <w:shd w:val="clear" w:color="auto" w:fill="auto"/>
            <w:noWrap/>
            <w:hideMark/>
          </w:tcPr>
          <w:p w14:paraId="7649D609"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5</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09A50498"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OUTCOME</w:t>
            </w:r>
            <w:r w:rsidRPr="00457E15">
              <w:rPr>
                <w:rFonts w:eastAsia="Times New Roman" w:cs="Arial"/>
                <w:sz w:val="18"/>
                <w:szCs w:val="18"/>
                <w:lang w:eastAsia="en-AU"/>
              </w:rPr>
              <w:t>: # non-compliance</w:t>
            </w:r>
            <w:r>
              <w:rPr>
                <w:rFonts w:eastAsia="Times New Roman" w:cs="Arial"/>
                <w:sz w:val="18"/>
                <w:szCs w:val="18"/>
                <w:lang w:eastAsia="en-AU"/>
              </w:rPr>
              <w:t>s</w:t>
            </w:r>
            <w:r w:rsidRPr="00457E15">
              <w:rPr>
                <w:rFonts w:eastAsia="Times New Roman" w:cs="Arial"/>
                <w:sz w:val="18"/>
                <w:szCs w:val="18"/>
                <w:lang w:eastAsia="en-AU"/>
              </w:rPr>
              <w:t xml:space="preserve"> to financial policies</w:t>
            </w:r>
          </w:p>
        </w:tc>
        <w:tc>
          <w:tcPr>
            <w:tcW w:w="850" w:type="pct"/>
            <w:tcBorders>
              <w:top w:val="nil"/>
              <w:left w:val="nil"/>
              <w:bottom w:val="single" w:sz="4" w:space="0" w:color="auto"/>
              <w:right w:val="single" w:sz="4" w:space="0" w:color="auto"/>
            </w:tcBorders>
            <w:shd w:val="clear" w:color="auto" w:fill="auto"/>
          </w:tcPr>
          <w:p w14:paraId="1AADEF4C"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The number of</w:t>
            </w:r>
            <w:r w:rsidRPr="00382D10">
              <w:rPr>
                <w:rFonts w:eastAsia="Times New Roman" w:cs="Arial"/>
                <w:sz w:val="18"/>
                <w:szCs w:val="18"/>
                <w:lang w:eastAsia="en-AU"/>
              </w:rPr>
              <w:t xml:space="preserve"> non-compliance to financial policies</w:t>
            </w:r>
            <w:r>
              <w:rPr>
                <w:rFonts w:eastAsia="Times New Roman" w:cs="Arial"/>
                <w:sz w:val="18"/>
                <w:szCs w:val="18"/>
                <w:lang w:eastAsia="en-AU"/>
              </w:rPr>
              <w:t xml:space="preserve"> noted in the independent audit. This indicates compliance to recognised financial policies and procedures.</w:t>
            </w:r>
          </w:p>
        </w:tc>
        <w:tc>
          <w:tcPr>
            <w:tcW w:w="450" w:type="pct"/>
            <w:tcBorders>
              <w:top w:val="nil"/>
              <w:left w:val="nil"/>
              <w:bottom w:val="single" w:sz="4" w:space="0" w:color="auto"/>
              <w:right w:val="single" w:sz="4" w:space="0" w:color="auto"/>
            </w:tcBorders>
          </w:tcPr>
          <w:p w14:paraId="1DC1F34E"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Zero</w:t>
            </w:r>
            <w:r w:rsidRPr="00457E15">
              <w:rPr>
                <w:rFonts w:eastAsia="Times New Roman"/>
                <w:sz w:val="18"/>
                <w:szCs w:val="18"/>
                <w:lang w:eastAsia="en-AU"/>
              </w:rPr>
              <w:t xml:space="preserve"> non-compliances</w:t>
            </w:r>
          </w:p>
        </w:tc>
        <w:tc>
          <w:tcPr>
            <w:tcW w:w="550" w:type="pct"/>
            <w:tcBorders>
              <w:top w:val="nil"/>
              <w:left w:val="single" w:sz="4" w:space="0" w:color="auto"/>
              <w:bottom w:val="single" w:sz="4" w:space="0" w:color="auto"/>
              <w:right w:val="single" w:sz="4" w:space="0" w:color="auto"/>
            </w:tcBorders>
            <w:shd w:val="clear" w:color="auto" w:fill="auto"/>
          </w:tcPr>
          <w:p w14:paraId="349FAFC2"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Annual </w:t>
            </w:r>
            <w:r w:rsidRPr="00457E15">
              <w:rPr>
                <w:rFonts w:eastAsia="Times New Roman" w:cs="Arial"/>
                <w:sz w:val="18"/>
                <w:szCs w:val="18"/>
                <w:lang w:eastAsia="en-AU"/>
              </w:rPr>
              <w:t>audit report</w:t>
            </w:r>
          </w:p>
          <w:p w14:paraId="6D2676B2" w14:textId="77777777" w:rsidR="000B54BD" w:rsidRDefault="000B54BD" w:rsidP="00E97A3B">
            <w:pPr>
              <w:spacing w:after="0" w:line="240" w:lineRule="auto"/>
              <w:rPr>
                <w:rFonts w:eastAsia="Times New Roman" w:cs="Arial"/>
                <w:sz w:val="18"/>
                <w:szCs w:val="18"/>
                <w:lang w:eastAsia="en-AU"/>
              </w:rPr>
            </w:pPr>
          </w:p>
          <w:p w14:paraId="77A486F8" w14:textId="77777777" w:rsidR="000B54BD" w:rsidRPr="00DE252F" w:rsidRDefault="000B54BD" w:rsidP="00E97A3B">
            <w:pPr>
              <w:spacing w:after="0" w:line="240" w:lineRule="auto"/>
              <w:rPr>
                <w:rFonts w:eastAsia="Times New Roman"/>
                <w:i/>
                <w:sz w:val="18"/>
                <w:szCs w:val="18"/>
                <w:lang w:eastAsia="en-AU"/>
              </w:rPr>
            </w:pPr>
            <w:r w:rsidRPr="00DE252F">
              <w:rPr>
                <w:rFonts w:eastAsia="Times New Roman" w:cs="Arial"/>
                <w:i/>
                <w:sz w:val="18"/>
                <w:szCs w:val="18"/>
                <w:lang w:eastAsia="en-AU"/>
              </w:rPr>
              <w:t xml:space="preserve">NB: </w:t>
            </w:r>
            <w:r w:rsidRPr="00DE252F">
              <w:rPr>
                <w:rFonts w:eastAsia="Times New Roman"/>
                <w:i/>
                <w:sz w:val="18"/>
                <w:szCs w:val="18"/>
                <w:lang w:eastAsia="en-AU"/>
              </w:rPr>
              <w:t xml:space="preserve">Uta’atu &amp; Associates conducted the 2014/15 audit but their services </w:t>
            </w:r>
            <w:r>
              <w:rPr>
                <w:rFonts w:eastAsia="Times New Roman"/>
                <w:i/>
                <w:sz w:val="18"/>
                <w:szCs w:val="18"/>
                <w:lang w:eastAsia="en-AU"/>
              </w:rPr>
              <w:t>were not</w:t>
            </w:r>
            <w:r w:rsidRPr="00DE252F">
              <w:rPr>
                <w:rFonts w:eastAsia="Times New Roman"/>
                <w:i/>
                <w:sz w:val="18"/>
                <w:szCs w:val="18"/>
                <w:lang w:eastAsia="en-AU"/>
              </w:rPr>
              <w:t xml:space="preserve"> available</w:t>
            </w:r>
            <w:r>
              <w:rPr>
                <w:rFonts w:eastAsia="Times New Roman"/>
                <w:i/>
                <w:sz w:val="18"/>
                <w:szCs w:val="18"/>
                <w:lang w:eastAsia="en-AU"/>
              </w:rPr>
              <w:t xml:space="preserve"> after FY 14/1.5</w:t>
            </w:r>
            <w:r w:rsidRPr="00DE252F">
              <w:rPr>
                <w:rFonts w:eastAsia="Times New Roman"/>
                <w:i/>
                <w:sz w:val="18"/>
                <w:szCs w:val="18"/>
                <w:lang w:eastAsia="en-AU"/>
              </w:rPr>
              <w:t xml:space="preserve"> Obtaining audit quotes for a new auditor delayed further audit. The Government auditor was selected. Audit for 15/16 did not commence until April 2017. The 15/16 audit has been completed. Audit for FY 16/17 submitted in September 2017 with audit fieldwork completed but </w:t>
            </w:r>
            <w:r w:rsidRPr="00DE252F">
              <w:rPr>
                <w:rFonts w:eastAsia="Times New Roman"/>
                <w:i/>
                <w:sz w:val="18"/>
                <w:szCs w:val="18"/>
                <w:lang w:eastAsia="en-AU"/>
              </w:rPr>
              <w:lastRenderedPageBreak/>
              <w:t>final report still not produced. Annual report for FY 15/16 is now with the Minister of Health.</w:t>
            </w:r>
          </w:p>
          <w:p w14:paraId="7DDABF1E" w14:textId="77777777" w:rsidR="000B54BD" w:rsidRPr="00457E15" w:rsidRDefault="000B54BD" w:rsidP="00E97A3B">
            <w:pPr>
              <w:spacing w:after="0" w:line="240" w:lineRule="auto"/>
              <w:rPr>
                <w:rFonts w:eastAsia="Times New Roman" w:cs="Arial"/>
                <w:sz w:val="18"/>
                <w:szCs w:val="18"/>
                <w:lang w:eastAsia="en-AU"/>
              </w:rPr>
            </w:pPr>
          </w:p>
        </w:tc>
        <w:tc>
          <w:tcPr>
            <w:tcW w:w="550" w:type="pct"/>
            <w:tcBorders>
              <w:top w:val="nil"/>
              <w:left w:val="nil"/>
              <w:bottom w:val="single" w:sz="4" w:space="0" w:color="auto"/>
              <w:right w:val="single" w:sz="4" w:space="0" w:color="auto"/>
            </w:tcBorders>
            <w:shd w:val="clear" w:color="auto" w:fill="auto"/>
          </w:tcPr>
          <w:p w14:paraId="4BE2D8CF" w14:textId="77777777" w:rsidR="000B54BD" w:rsidRPr="009A5FF7" w:rsidRDefault="000B54BD" w:rsidP="00E97A3B">
            <w:pPr>
              <w:spacing w:after="0" w:line="240" w:lineRule="auto"/>
              <w:rPr>
                <w:rFonts w:eastAsia="Times New Roman"/>
                <w:i/>
                <w:sz w:val="18"/>
                <w:szCs w:val="18"/>
                <w:lang w:eastAsia="en-AU"/>
              </w:rPr>
            </w:pPr>
            <w:r w:rsidRPr="009A5FF7">
              <w:rPr>
                <w:rFonts w:eastAsia="Times New Roman"/>
                <w:i/>
                <w:sz w:val="18"/>
                <w:szCs w:val="18"/>
                <w:lang w:eastAsia="en-AU"/>
              </w:rPr>
              <w:lastRenderedPageBreak/>
              <w:t>Baseline is audit from end of last project, 2014-15</w:t>
            </w:r>
          </w:p>
          <w:p w14:paraId="58A4613A" w14:textId="77777777" w:rsidR="000B54BD" w:rsidRPr="00D73942" w:rsidRDefault="000B54BD" w:rsidP="00E97A3B">
            <w:pPr>
              <w:spacing w:after="0" w:line="240" w:lineRule="auto"/>
              <w:rPr>
                <w:rFonts w:eastAsia="Times New Roman"/>
                <w:sz w:val="18"/>
                <w:szCs w:val="18"/>
                <w:lang w:eastAsia="en-AU"/>
              </w:rPr>
            </w:pPr>
            <w:r>
              <w:rPr>
                <w:rFonts w:eastAsia="Times New Roman"/>
                <w:sz w:val="18"/>
                <w:szCs w:val="18"/>
                <w:lang w:eastAsia="en-AU"/>
              </w:rPr>
              <w:t>2 non compliances (2014/2015): (1) Twelve</w:t>
            </w:r>
            <w:r w:rsidRPr="00D73942">
              <w:rPr>
                <w:rFonts w:eastAsia="Times New Roman"/>
                <w:sz w:val="18"/>
                <w:szCs w:val="18"/>
                <w:lang w:eastAsia="en-AU"/>
              </w:rPr>
              <w:t xml:space="preserve"> planned and budgeted activities </w:t>
            </w:r>
            <w:r>
              <w:rPr>
                <w:rFonts w:eastAsia="Times New Roman"/>
                <w:sz w:val="18"/>
                <w:szCs w:val="18"/>
                <w:lang w:eastAsia="en-AU"/>
              </w:rPr>
              <w:t>were not initiated and seven</w:t>
            </w:r>
            <w:r w:rsidRPr="00D73942">
              <w:rPr>
                <w:rFonts w:eastAsia="Times New Roman"/>
                <w:sz w:val="18"/>
                <w:szCs w:val="18"/>
                <w:lang w:eastAsia="en-AU"/>
              </w:rPr>
              <w:t xml:space="preserve"> planned and budgeted activities were </w:t>
            </w:r>
            <w:r>
              <w:rPr>
                <w:rFonts w:eastAsia="Times New Roman"/>
                <w:sz w:val="18"/>
                <w:szCs w:val="18"/>
                <w:lang w:eastAsia="en-AU"/>
              </w:rPr>
              <w:t>partially implemented; and (2)</w:t>
            </w:r>
          </w:p>
          <w:p w14:paraId="3532DAB8" w14:textId="77777777" w:rsidR="000B54BD" w:rsidRDefault="000B54BD" w:rsidP="00E97A3B">
            <w:pPr>
              <w:spacing w:after="0" w:line="240" w:lineRule="auto"/>
              <w:rPr>
                <w:rFonts w:eastAsia="Times New Roman"/>
                <w:sz w:val="18"/>
                <w:szCs w:val="18"/>
                <w:lang w:eastAsia="en-AU"/>
              </w:rPr>
            </w:pPr>
            <w:r w:rsidRPr="00D73942">
              <w:rPr>
                <w:rFonts w:eastAsia="Times New Roman"/>
                <w:sz w:val="18"/>
                <w:szCs w:val="18"/>
                <w:lang w:eastAsia="en-AU"/>
              </w:rPr>
              <w:t>Several</w:t>
            </w:r>
            <w:r>
              <w:rPr>
                <w:rFonts w:eastAsia="Times New Roman"/>
                <w:sz w:val="18"/>
                <w:szCs w:val="18"/>
                <w:lang w:eastAsia="en-AU"/>
              </w:rPr>
              <w:t xml:space="preserve"> assets</w:t>
            </w:r>
            <w:r w:rsidRPr="00D73942">
              <w:rPr>
                <w:rFonts w:eastAsia="Times New Roman"/>
                <w:sz w:val="18"/>
                <w:szCs w:val="18"/>
                <w:lang w:eastAsia="en-AU"/>
              </w:rPr>
              <w:t xml:space="preserve"> with fully expired costs continued to be depreciated</w:t>
            </w:r>
          </w:p>
          <w:p w14:paraId="7AFD86DA" w14:textId="77777777" w:rsidR="000B54BD" w:rsidRPr="00457E15" w:rsidRDefault="000B54BD" w:rsidP="00E97A3B">
            <w:pPr>
              <w:spacing w:after="0" w:line="240" w:lineRule="auto"/>
              <w:rPr>
                <w:rFonts w:eastAsia="Times New Roman"/>
                <w:sz w:val="18"/>
                <w:szCs w:val="18"/>
                <w:lang w:eastAsia="en-AU"/>
              </w:rPr>
            </w:pPr>
          </w:p>
        </w:tc>
        <w:tc>
          <w:tcPr>
            <w:tcW w:w="1712" w:type="pct"/>
            <w:gridSpan w:val="5"/>
            <w:tcBorders>
              <w:top w:val="nil"/>
              <w:left w:val="nil"/>
              <w:bottom w:val="single" w:sz="4" w:space="0" w:color="auto"/>
              <w:right w:val="single" w:sz="4" w:space="0" w:color="auto"/>
            </w:tcBorders>
            <w:shd w:val="clear" w:color="auto" w:fill="auto"/>
          </w:tcPr>
          <w:p w14:paraId="6B2B5A5F" w14:textId="77777777" w:rsidR="000B54BD" w:rsidRPr="00D374BD" w:rsidRDefault="000B54BD" w:rsidP="00E97A3B">
            <w:pPr>
              <w:spacing w:after="0" w:line="240" w:lineRule="auto"/>
              <w:rPr>
                <w:rFonts w:eastAsia="Times New Roman"/>
                <w:sz w:val="18"/>
                <w:szCs w:val="18"/>
                <w:lang w:eastAsia="en-AU"/>
              </w:rPr>
            </w:pPr>
          </w:p>
          <w:p w14:paraId="7936CE0B"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shd w:val="clear" w:color="auto" w:fill="66CCFF"/>
                <w:lang w:eastAsia="en-AU"/>
              </w:rPr>
              <w:t>Insufficient data</w:t>
            </w:r>
            <w:r w:rsidRPr="00F04B36">
              <w:rPr>
                <w:rFonts w:eastAsia="Times New Roman"/>
                <w:sz w:val="18"/>
                <w:szCs w:val="18"/>
                <w:shd w:val="clear" w:color="auto" w:fill="66CCFF"/>
                <w:lang w:eastAsia="en-AU"/>
              </w:rPr>
              <w:t>. See footnote.</w:t>
            </w:r>
          </w:p>
        </w:tc>
      </w:tr>
      <w:tr w:rsidR="000B54BD" w:rsidRPr="00457E15" w14:paraId="43E48E88" w14:textId="77777777" w:rsidTr="00E97A3B">
        <w:trPr>
          <w:gridAfter w:val="1"/>
          <w:wAfter w:w="2" w:type="pct"/>
          <w:trHeight w:val="199"/>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6DD29D2C"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Invest in building the capability of staff in both skill development and in modelling our organisational values and behaviours.</w:t>
            </w:r>
          </w:p>
        </w:tc>
      </w:tr>
      <w:tr w:rsidR="000B54BD" w:rsidRPr="00457E15" w14:paraId="5F742D46" w14:textId="77777777" w:rsidTr="00E97A3B">
        <w:trPr>
          <w:gridAfter w:val="2"/>
          <w:wAfter w:w="7" w:type="pct"/>
          <w:trHeight w:val="207"/>
        </w:trPr>
        <w:tc>
          <w:tcPr>
            <w:tcW w:w="338" w:type="pct"/>
            <w:tcBorders>
              <w:top w:val="single" w:sz="4" w:space="0" w:color="auto"/>
              <w:left w:val="single" w:sz="4" w:space="0" w:color="auto"/>
              <w:bottom w:val="single" w:sz="4" w:space="0" w:color="auto"/>
              <w:right w:val="nil"/>
            </w:tcBorders>
            <w:shd w:val="clear" w:color="auto" w:fill="auto"/>
            <w:noWrap/>
            <w:hideMark/>
          </w:tcPr>
          <w:p w14:paraId="323CC076"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6</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5FB04C87"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OUTPUT</w:t>
            </w:r>
            <w:r w:rsidRPr="00457E15">
              <w:rPr>
                <w:rFonts w:eastAsia="Times New Roman" w:cs="Arial"/>
                <w:sz w:val="18"/>
                <w:szCs w:val="18"/>
                <w:lang w:eastAsia="en-AU"/>
              </w:rPr>
              <w:t xml:space="preserve">: % staff </w:t>
            </w:r>
            <w:r>
              <w:rPr>
                <w:rFonts w:eastAsia="Times New Roman" w:cs="Arial"/>
                <w:sz w:val="18"/>
                <w:szCs w:val="18"/>
                <w:lang w:eastAsia="en-AU"/>
              </w:rPr>
              <w:t xml:space="preserve">that </w:t>
            </w:r>
            <w:r w:rsidRPr="00457E15">
              <w:rPr>
                <w:rFonts w:eastAsia="Times New Roman" w:cs="Arial"/>
                <w:sz w:val="18"/>
                <w:szCs w:val="18"/>
                <w:lang w:eastAsia="en-AU"/>
              </w:rPr>
              <w:t>undergo a documented annual performance appraisal</w:t>
            </w:r>
          </w:p>
        </w:tc>
        <w:tc>
          <w:tcPr>
            <w:tcW w:w="850" w:type="pct"/>
            <w:tcBorders>
              <w:top w:val="nil"/>
              <w:left w:val="nil"/>
              <w:bottom w:val="single" w:sz="4" w:space="0" w:color="auto"/>
              <w:right w:val="single" w:sz="4" w:space="0" w:color="auto"/>
            </w:tcBorders>
            <w:shd w:val="clear" w:color="auto" w:fill="auto"/>
          </w:tcPr>
          <w:p w14:paraId="0974B2D5"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Numerator: Total number of annual performance appraisals conducted</w:t>
            </w:r>
          </w:p>
          <w:p w14:paraId="5CFD5C69" w14:textId="77777777" w:rsidR="000B54BD" w:rsidRDefault="000B54BD" w:rsidP="00E97A3B">
            <w:pPr>
              <w:spacing w:after="0" w:line="240" w:lineRule="auto"/>
              <w:rPr>
                <w:rFonts w:eastAsia="Times New Roman" w:cs="Arial"/>
                <w:sz w:val="18"/>
                <w:szCs w:val="18"/>
                <w:lang w:eastAsia="en-AU"/>
              </w:rPr>
            </w:pPr>
          </w:p>
          <w:p w14:paraId="7ECF0979"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Denominator: Total number of staff who are eligible for an annual performance appraisal</w:t>
            </w:r>
          </w:p>
        </w:tc>
        <w:tc>
          <w:tcPr>
            <w:tcW w:w="450" w:type="pct"/>
            <w:tcBorders>
              <w:top w:val="nil"/>
              <w:left w:val="nil"/>
              <w:bottom w:val="single" w:sz="4" w:space="0" w:color="auto"/>
              <w:right w:val="single" w:sz="4" w:space="0" w:color="auto"/>
            </w:tcBorders>
          </w:tcPr>
          <w:p w14:paraId="67AB6549"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100% </w:t>
            </w:r>
          </w:p>
        </w:tc>
        <w:tc>
          <w:tcPr>
            <w:tcW w:w="550" w:type="pct"/>
            <w:tcBorders>
              <w:top w:val="nil"/>
              <w:left w:val="single" w:sz="4" w:space="0" w:color="auto"/>
              <w:bottom w:val="single" w:sz="4" w:space="0" w:color="auto"/>
              <w:right w:val="single" w:sz="4" w:space="0" w:color="auto"/>
            </w:tcBorders>
            <w:shd w:val="clear" w:color="auto" w:fill="auto"/>
          </w:tcPr>
          <w:p w14:paraId="355984F3"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r>
              <w:rPr>
                <w:rFonts w:eastAsia="Times New Roman" w:cs="Arial"/>
                <w:sz w:val="18"/>
                <w:szCs w:val="18"/>
                <w:lang w:eastAsia="en-AU"/>
              </w:rPr>
              <w:t xml:space="preserve"> HR records</w:t>
            </w:r>
          </w:p>
        </w:tc>
        <w:tc>
          <w:tcPr>
            <w:tcW w:w="550" w:type="pct"/>
            <w:tcBorders>
              <w:top w:val="nil"/>
              <w:left w:val="nil"/>
              <w:bottom w:val="single" w:sz="4" w:space="0" w:color="auto"/>
              <w:right w:val="single" w:sz="4" w:space="0" w:color="auto"/>
            </w:tcBorders>
            <w:shd w:val="clear" w:color="auto" w:fill="auto"/>
          </w:tcPr>
          <w:p w14:paraId="464E398A"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Performance appraisal template completed. Report for 2015/2016 to be provided no later than August 2017. Baseline for 2014/15 was 80% - 4/5 staff.</w:t>
            </w:r>
          </w:p>
        </w:tc>
        <w:tc>
          <w:tcPr>
            <w:tcW w:w="501" w:type="pct"/>
            <w:tcBorders>
              <w:top w:val="nil"/>
              <w:left w:val="nil"/>
              <w:bottom w:val="single" w:sz="4" w:space="0" w:color="auto"/>
              <w:right w:val="single" w:sz="4" w:space="0" w:color="auto"/>
            </w:tcBorders>
            <w:shd w:val="clear" w:color="auto" w:fill="auto"/>
          </w:tcPr>
          <w:p w14:paraId="4202461D"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CCFFCC"/>
          </w:tcPr>
          <w:p w14:paraId="6C489E59" w14:textId="77777777" w:rsidR="000B54BD" w:rsidRPr="00457E15" w:rsidRDefault="000B54BD" w:rsidP="00E97A3B">
            <w:pPr>
              <w:spacing w:after="0" w:line="240" w:lineRule="auto"/>
              <w:rPr>
                <w:rFonts w:eastAsia="Times New Roman"/>
                <w:sz w:val="18"/>
                <w:szCs w:val="18"/>
                <w:lang w:eastAsia="en-AU"/>
              </w:rPr>
            </w:pPr>
            <w:r>
              <w:rPr>
                <w:color w:val="000000"/>
                <w:sz w:val="18"/>
                <w:szCs w:val="18"/>
                <w:shd w:val="clear" w:color="auto" w:fill="FFFFFF"/>
              </w:rPr>
              <w:t>100% of appraisals due (i.e. 12 months post recruitment)</w:t>
            </w:r>
            <w:r>
              <w:rPr>
                <w:color w:val="000000"/>
                <w:sz w:val="18"/>
                <w:szCs w:val="18"/>
                <w:shd w:val="clear" w:color="auto" w:fill="FFFFFF"/>
              </w:rPr>
              <w:br/>
              <w:t>(2016-17)</w:t>
            </w:r>
          </w:p>
        </w:tc>
        <w:tc>
          <w:tcPr>
            <w:tcW w:w="655" w:type="pct"/>
            <w:tcBorders>
              <w:top w:val="nil"/>
              <w:left w:val="nil"/>
              <w:bottom w:val="single" w:sz="4" w:space="0" w:color="auto"/>
              <w:right w:val="single" w:sz="4" w:space="0" w:color="auto"/>
            </w:tcBorders>
            <w:shd w:val="clear" w:color="auto" w:fill="CCFFCC"/>
          </w:tcPr>
          <w:p w14:paraId="38EFB80A" w14:textId="77777777" w:rsidR="000B54BD" w:rsidRPr="00457E15" w:rsidRDefault="000B54BD" w:rsidP="00E97A3B">
            <w:pPr>
              <w:spacing w:after="0" w:line="240" w:lineRule="auto"/>
              <w:rPr>
                <w:rFonts w:eastAsia="Times New Roman"/>
                <w:sz w:val="18"/>
                <w:szCs w:val="18"/>
                <w:lang w:eastAsia="en-AU"/>
              </w:rPr>
            </w:pPr>
            <w:r>
              <w:rPr>
                <w:color w:val="000000"/>
                <w:sz w:val="18"/>
                <w:szCs w:val="18"/>
                <w:shd w:val="clear" w:color="auto" w:fill="FFFFFF"/>
              </w:rPr>
              <w:t>86% (6/7) of appraisals due (2 staff still on probation)</w:t>
            </w:r>
            <w:r>
              <w:rPr>
                <w:color w:val="000000"/>
                <w:sz w:val="18"/>
                <w:szCs w:val="18"/>
                <w:shd w:val="clear" w:color="auto" w:fill="FFFFFF"/>
              </w:rPr>
              <w:br/>
              <w:t>(2017-18)</w:t>
            </w:r>
          </w:p>
        </w:tc>
      </w:tr>
      <w:tr w:rsidR="000B54BD" w:rsidRPr="00457E15" w14:paraId="413DEB43" w14:textId="77777777" w:rsidTr="00E97A3B">
        <w:trPr>
          <w:gridAfter w:val="2"/>
          <w:wAfter w:w="7" w:type="pct"/>
          <w:trHeight w:val="554"/>
        </w:trPr>
        <w:tc>
          <w:tcPr>
            <w:tcW w:w="338" w:type="pct"/>
            <w:tcBorders>
              <w:top w:val="single" w:sz="4" w:space="0" w:color="auto"/>
              <w:left w:val="single" w:sz="4" w:space="0" w:color="auto"/>
              <w:bottom w:val="single" w:sz="4" w:space="0" w:color="auto"/>
              <w:right w:val="nil"/>
            </w:tcBorders>
            <w:shd w:val="clear" w:color="auto" w:fill="auto"/>
            <w:noWrap/>
            <w:hideMark/>
          </w:tcPr>
          <w:p w14:paraId="06F9C7E0"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7</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37759000"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OUTPUT:</w:t>
            </w:r>
            <w:r w:rsidRPr="00457E15">
              <w:rPr>
                <w:rFonts w:eastAsia="Times New Roman" w:cs="Arial"/>
                <w:sz w:val="18"/>
                <w:szCs w:val="18"/>
                <w:lang w:eastAsia="en-AU"/>
              </w:rPr>
              <w:t xml:space="preserve"> % of activities delivered as per the TongaHealth 'Staged capacity development' plan</w:t>
            </w:r>
            <w:r>
              <w:rPr>
                <w:rFonts w:eastAsia="Times New Roman" w:cs="Arial"/>
                <w:sz w:val="18"/>
                <w:szCs w:val="18"/>
                <w:lang w:eastAsia="en-AU"/>
              </w:rPr>
              <w:t xml:space="preserve"> in increase the capacity of TongaHealth and its board and staff </w:t>
            </w:r>
          </w:p>
        </w:tc>
        <w:tc>
          <w:tcPr>
            <w:tcW w:w="850" w:type="pct"/>
            <w:tcBorders>
              <w:top w:val="nil"/>
              <w:left w:val="nil"/>
              <w:bottom w:val="single" w:sz="4" w:space="0" w:color="auto"/>
              <w:right w:val="single" w:sz="4" w:space="0" w:color="auto"/>
            </w:tcBorders>
            <w:shd w:val="clear" w:color="auto" w:fill="auto"/>
          </w:tcPr>
          <w:p w14:paraId="34222F9C"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Numerator: Number of </w:t>
            </w:r>
            <w:r w:rsidRPr="00382D10">
              <w:rPr>
                <w:rFonts w:eastAsia="Times New Roman" w:cs="Arial"/>
                <w:sz w:val="18"/>
                <w:szCs w:val="18"/>
                <w:lang w:eastAsia="en-AU"/>
              </w:rPr>
              <w:t>activities delivered as per the TongaHealth 'Staged capacity development'</w:t>
            </w:r>
          </w:p>
          <w:p w14:paraId="1E8944D2" w14:textId="77777777" w:rsidR="000B54BD" w:rsidRDefault="000B54BD" w:rsidP="00E97A3B">
            <w:pPr>
              <w:spacing w:after="0" w:line="240" w:lineRule="auto"/>
              <w:rPr>
                <w:rFonts w:eastAsia="Times New Roman" w:cs="Arial"/>
                <w:sz w:val="18"/>
                <w:szCs w:val="18"/>
                <w:lang w:eastAsia="en-AU"/>
              </w:rPr>
            </w:pPr>
          </w:p>
          <w:p w14:paraId="1321FB44"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Denominator: Total number of </w:t>
            </w:r>
            <w:r w:rsidRPr="00382D10">
              <w:rPr>
                <w:rFonts w:eastAsia="Times New Roman" w:cs="Arial"/>
                <w:sz w:val="18"/>
                <w:szCs w:val="18"/>
                <w:lang w:eastAsia="en-AU"/>
              </w:rPr>
              <w:t xml:space="preserve">activities </w:t>
            </w:r>
            <w:r>
              <w:rPr>
                <w:rFonts w:eastAsia="Times New Roman" w:cs="Arial"/>
                <w:sz w:val="18"/>
                <w:szCs w:val="18"/>
                <w:lang w:eastAsia="en-AU"/>
              </w:rPr>
              <w:t>in</w:t>
            </w:r>
            <w:r w:rsidRPr="00382D10">
              <w:rPr>
                <w:rFonts w:eastAsia="Times New Roman" w:cs="Arial"/>
                <w:sz w:val="18"/>
                <w:szCs w:val="18"/>
                <w:lang w:eastAsia="en-AU"/>
              </w:rPr>
              <w:t xml:space="preserve"> the TongaHealth 'Staged capacity development'</w:t>
            </w:r>
          </w:p>
        </w:tc>
        <w:tc>
          <w:tcPr>
            <w:tcW w:w="450" w:type="pct"/>
            <w:tcBorders>
              <w:top w:val="nil"/>
              <w:left w:val="nil"/>
              <w:bottom w:val="single" w:sz="4" w:space="0" w:color="auto"/>
              <w:right w:val="single" w:sz="4" w:space="0" w:color="auto"/>
            </w:tcBorders>
          </w:tcPr>
          <w:p w14:paraId="19B1246A"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3BCEBFA3"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r>
              <w:rPr>
                <w:rFonts w:eastAsia="Times New Roman" w:cs="Arial"/>
                <w:sz w:val="18"/>
                <w:szCs w:val="18"/>
                <w:lang w:eastAsia="en-AU"/>
              </w:rPr>
              <w:t xml:space="preserve"> program records</w:t>
            </w:r>
            <w:r w:rsidRPr="00457E15">
              <w:rPr>
                <w:rFonts w:eastAsia="Times New Roman" w:cs="Arial"/>
                <w:sz w:val="18"/>
                <w:szCs w:val="18"/>
                <w:lang w:eastAsia="en-AU"/>
              </w:rPr>
              <w:t xml:space="preserve"> </w:t>
            </w:r>
          </w:p>
        </w:tc>
        <w:tc>
          <w:tcPr>
            <w:tcW w:w="550" w:type="pct"/>
            <w:tcBorders>
              <w:top w:val="nil"/>
              <w:left w:val="nil"/>
              <w:bottom w:val="single" w:sz="4" w:space="0" w:color="auto"/>
              <w:right w:val="single" w:sz="4" w:space="0" w:color="auto"/>
            </w:tcBorders>
            <w:shd w:val="clear" w:color="auto" w:fill="auto"/>
          </w:tcPr>
          <w:p w14:paraId="059AB4D9"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Plan finalised for five years. 24 capacity activities listed for 2016. Implementation started in 2016/2017 and will be reported in first annual report August 2017. </w:t>
            </w:r>
          </w:p>
        </w:tc>
        <w:tc>
          <w:tcPr>
            <w:tcW w:w="501" w:type="pct"/>
            <w:tcBorders>
              <w:top w:val="nil"/>
              <w:left w:val="nil"/>
              <w:bottom w:val="single" w:sz="4" w:space="0" w:color="auto"/>
              <w:right w:val="single" w:sz="4" w:space="0" w:color="auto"/>
            </w:tcBorders>
            <w:shd w:val="clear" w:color="auto" w:fill="FFFF66"/>
          </w:tcPr>
          <w:p w14:paraId="1B189A23" w14:textId="77777777" w:rsidR="000B54BD" w:rsidRPr="00D74403" w:rsidRDefault="000B54BD" w:rsidP="00E97A3B">
            <w:pPr>
              <w:spacing w:after="0" w:line="240" w:lineRule="auto"/>
              <w:rPr>
                <w:color w:val="000000"/>
                <w:sz w:val="18"/>
                <w:szCs w:val="18"/>
                <w:shd w:val="clear" w:color="auto" w:fill="FFFFFF"/>
              </w:rPr>
            </w:pPr>
            <w:r w:rsidRPr="00D74403">
              <w:rPr>
                <w:color w:val="000000"/>
                <w:sz w:val="18"/>
                <w:szCs w:val="18"/>
                <w:shd w:val="clear" w:color="auto" w:fill="FFFFFF"/>
              </w:rPr>
              <w:t xml:space="preserve">39% of activities delivered </w:t>
            </w:r>
            <w:r>
              <w:rPr>
                <w:color w:val="000000"/>
                <w:sz w:val="18"/>
                <w:szCs w:val="18"/>
                <w:shd w:val="clear" w:color="auto" w:fill="FFFFFF"/>
              </w:rPr>
              <w:t>(</w:t>
            </w:r>
            <w:r w:rsidRPr="00D74403">
              <w:rPr>
                <w:color w:val="000000"/>
                <w:sz w:val="18"/>
                <w:szCs w:val="18"/>
                <w:shd w:val="clear" w:color="auto" w:fill="FFFFFF"/>
              </w:rPr>
              <w:t>2016</w:t>
            </w:r>
            <w:r>
              <w:rPr>
                <w:color w:val="000000"/>
                <w:sz w:val="18"/>
                <w:szCs w:val="18"/>
                <w:shd w:val="clear" w:color="auto" w:fill="FFFFFF"/>
              </w:rPr>
              <w:t>)</w:t>
            </w:r>
          </w:p>
        </w:tc>
        <w:tc>
          <w:tcPr>
            <w:tcW w:w="549" w:type="pct"/>
            <w:tcBorders>
              <w:top w:val="nil"/>
              <w:left w:val="nil"/>
              <w:bottom w:val="single" w:sz="4" w:space="0" w:color="auto"/>
              <w:right w:val="single" w:sz="4" w:space="0" w:color="auto"/>
            </w:tcBorders>
            <w:shd w:val="clear" w:color="auto" w:fill="FFFF66"/>
          </w:tcPr>
          <w:p w14:paraId="19DDF820" w14:textId="77777777" w:rsidR="000B54BD" w:rsidRPr="00132F67" w:rsidRDefault="000B54BD" w:rsidP="00E97A3B">
            <w:pPr>
              <w:spacing w:after="0" w:line="240" w:lineRule="auto"/>
              <w:rPr>
                <w:color w:val="000000"/>
                <w:sz w:val="18"/>
                <w:szCs w:val="18"/>
                <w:shd w:val="clear" w:color="auto" w:fill="FFFFFF"/>
              </w:rPr>
            </w:pPr>
            <w:r w:rsidRPr="00132F67">
              <w:rPr>
                <w:color w:val="000000"/>
                <w:sz w:val="18"/>
                <w:szCs w:val="18"/>
                <w:shd w:val="clear" w:color="auto" w:fill="FFFFFF"/>
              </w:rPr>
              <w:t xml:space="preserve">32% planned activities delivered </w:t>
            </w:r>
            <w:r>
              <w:rPr>
                <w:color w:val="000000"/>
                <w:sz w:val="18"/>
                <w:szCs w:val="18"/>
                <w:shd w:val="clear" w:color="auto" w:fill="FFFFFF"/>
              </w:rPr>
              <w:t>(</w:t>
            </w:r>
            <w:r w:rsidRPr="00132F67">
              <w:rPr>
                <w:color w:val="000000"/>
                <w:sz w:val="18"/>
                <w:szCs w:val="18"/>
                <w:shd w:val="clear" w:color="auto" w:fill="FFFFFF"/>
              </w:rPr>
              <w:t>2017</w:t>
            </w:r>
            <w:r>
              <w:rPr>
                <w:color w:val="000000"/>
                <w:sz w:val="18"/>
                <w:szCs w:val="18"/>
                <w:shd w:val="clear" w:color="auto" w:fill="FFFFFF"/>
              </w:rPr>
              <w:t>)</w:t>
            </w:r>
          </w:p>
        </w:tc>
        <w:tc>
          <w:tcPr>
            <w:tcW w:w="655" w:type="pct"/>
            <w:tcBorders>
              <w:top w:val="nil"/>
              <w:left w:val="nil"/>
              <w:bottom w:val="single" w:sz="4" w:space="0" w:color="auto"/>
              <w:right w:val="single" w:sz="4" w:space="0" w:color="auto"/>
            </w:tcBorders>
            <w:shd w:val="clear" w:color="auto" w:fill="auto"/>
          </w:tcPr>
          <w:p w14:paraId="73849B12" w14:textId="77777777" w:rsidR="000B54BD" w:rsidRPr="00132F67" w:rsidRDefault="000B54BD" w:rsidP="00E97A3B">
            <w:pPr>
              <w:spacing w:after="0" w:line="240" w:lineRule="auto"/>
              <w:rPr>
                <w:color w:val="000000"/>
                <w:sz w:val="18"/>
                <w:szCs w:val="18"/>
                <w:shd w:val="clear" w:color="auto" w:fill="FFFFFF"/>
              </w:rPr>
            </w:pPr>
          </w:p>
        </w:tc>
      </w:tr>
      <w:tr w:rsidR="000B54BD" w:rsidRPr="00457E15" w14:paraId="3BE7AA5E" w14:textId="77777777" w:rsidTr="00E97A3B">
        <w:trPr>
          <w:gridAfter w:val="2"/>
          <w:wAfter w:w="7" w:type="pct"/>
          <w:trHeight w:val="554"/>
        </w:trPr>
        <w:tc>
          <w:tcPr>
            <w:tcW w:w="338" w:type="pct"/>
            <w:tcBorders>
              <w:top w:val="single" w:sz="4" w:space="0" w:color="auto"/>
              <w:left w:val="single" w:sz="4" w:space="0" w:color="auto"/>
              <w:bottom w:val="single" w:sz="4" w:space="0" w:color="auto"/>
              <w:right w:val="nil"/>
            </w:tcBorders>
            <w:shd w:val="clear" w:color="auto" w:fill="auto"/>
            <w:noWrap/>
          </w:tcPr>
          <w:p w14:paraId="7F774E90"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8</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F0DF9BA"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OUTCOME</w:t>
            </w:r>
            <w:r w:rsidRPr="00457E15">
              <w:rPr>
                <w:rFonts w:eastAsia="Times New Roman" w:cs="Arial"/>
                <w:sz w:val="18"/>
                <w:szCs w:val="18"/>
                <w:lang w:eastAsia="en-AU"/>
              </w:rPr>
              <w:t xml:space="preserve">: % of </w:t>
            </w:r>
            <w:r>
              <w:rPr>
                <w:rFonts w:eastAsia="Times New Roman" w:cs="Arial"/>
                <w:sz w:val="18"/>
                <w:szCs w:val="18"/>
                <w:lang w:eastAsia="en-AU"/>
              </w:rPr>
              <w:t xml:space="preserve">‘staged capacity development’ </w:t>
            </w:r>
            <w:r w:rsidRPr="00457E15">
              <w:rPr>
                <w:rFonts w:eastAsia="Times New Roman" w:cs="Arial"/>
                <w:sz w:val="18"/>
                <w:szCs w:val="18"/>
                <w:lang w:eastAsia="en-AU"/>
              </w:rPr>
              <w:t xml:space="preserve">activities delivered </w:t>
            </w:r>
            <w:r>
              <w:rPr>
                <w:rFonts w:eastAsia="Times New Roman" w:cs="Arial"/>
                <w:sz w:val="18"/>
                <w:szCs w:val="18"/>
                <w:lang w:eastAsia="en-AU"/>
              </w:rPr>
              <w:t xml:space="preserve">that achieved the outcome indicators are </w:t>
            </w:r>
            <w:r>
              <w:rPr>
                <w:rFonts w:eastAsia="Times New Roman" w:cs="Arial"/>
                <w:sz w:val="18"/>
                <w:szCs w:val="18"/>
                <w:lang w:eastAsia="en-AU"/>
              </w:rPr>
              <w:lastRenderedPageBreak/>
              <w:t xml:space="preserve">described in the </w:t>
            </w:r>
            <w:r w:rsidRPr="00457E15">
              <w:rPr>
                <w:rFonts w:eastAsia="Times New Roman" w:cs="Arial"/>
                <w:sz w:val="18"/>
                <w:szCs w:val="18"/>
                <w:lang w:eastAsia="en-AU"/>
              </w:rPr>
              <w:t>TongaHealth 'Staged capacity development' plan</w:t>
            </w:r>
            <w:r>
              <w:rPr>
                <w:rFonts w:eastAsia="Times New Roman" w:cs="Arial"/>
                <w:sz w:val="18"/>
                <w:szCs w:val="18"/>
                <w:lang w:eastAsia="en-AU"/>
              </w:rPr>
              <w:t xml:space="preserve"> </w:t>
            </w:r>
          </w:p>
        </w:tc>
        <w:tc>
          <w:tcPr>
            <w:tcW w:w="850" w:type="pct"/>
            <w:tcBorders>
              <w:top w:val="nil"/>
              <w:left w:val="nil"/>
              <w:bottom w:val="single" w:sz="4" w:space="0" w:color="auto"/>
              <w:right w:val="single" w:sz="4" w:space="0" w:color="auto"/>
            </w:tcBorders>
            <w:shd w:val="clear" w:color="auto" w:fill="auto"/>
          </w:tcPr>
          <w:p w14:paraId="76322185"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lastRenderedPageBreak/>
              <w:t>Reporting on the outcome achieved for each staged capacity development activity conducted in the reporting period</w:t>
            </w:r>
          </w:p>
          <w:p w14:paraId="7C3CDA0F" w14:textId="77777777" w:rsidR="000B54BD" w:rsidRDefault="000B54BD" w:rsidP="00E97A3B">
            <w:pPr>
              <w:spacing w:after="0" w:line="240" w:lineRule="auto"/>
              <w:rPr>
                <w:rFonts w:eastAsia="Times New Roman" w:cs="Arial"/>
                <w:sz w:val="18"/>
                <w:szCs w:val="18"/>
                <w:lang w:eastAsia="en-AU"/>
              </w:rPr>
            </w:pPr>
          </w:p>
          <w:p w14:paraId="45865D45" w14:textId="77777777" w:rsidR="000B54BD" w:rsidRDefault="000B54BD" w:rsidP="00E97A3B">
            <w:pPr>
              <w:spacing w:after="0" w:line="240" w:lineRule="auto"/>
              <w:rPr>
                <w:rFonts w:eastAsia="Times New Roman" w:cs="Arial"/>
                <w:sz w:val="18"/>
                <w:szCs w:val="18"/>
                <w:lang w:eastAsia="en-AU"/>
              </w:rPr>
            </w:pPr>
          </w:p>
          <w:p w14:paraId="4EB50897" w14:textId="77777777" w:rsidR="000B54BD" w:rsidRDefault="000B54BD" w:rsidP="00E97A3B">
            <w:pPr>
              <w:spacing w:after="0" w:line="240" w:lineRule="auto"/>
              <w:rPr>
                <w:rFonts w:eastAsia="Times New Roman" w:cs="Arial"/>
                <w:sz w:val="18"/>
                <w:szCs w:val="18"/>
                <w:lang w:eastAsia="en-AU"/>
              </w:rPr>
            </w:pPr>
          </w:p>
        </w:tc>
        <w:tc>
          <w:tcPr>
            <w:tcW w:w="450" w:type="pct"/>
            <w:tcBorders>
              <w:top w:val="nil"/>
              <w:left w:val="nil"/>
              <w:bottom w:val="single" w:sz="4" w:space="0" w:color="auto"/>
              <w:right w:val="single" w:sz="4" w:space="0" w:color="auto"/>
            </w:tcBorders>
          </w:tcPr>
          <w:p w14:paraId="1217719C"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286E1E9A"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TongaHealth program records</w:t>
            </w:r>
          </w:p>
        </w:tc>
        <w:tc>
          <w:tcPr>
            <w:tcW w:w="550" w:type="pct"/>
            <w:tcBorders>
              <w:top w:val="nil"/>
              <w:left w:val="nil"/>
              <w:bottom w:val="single" w:sz="4" w:space="0" w:color="auto"/>
              <w:right w:val="single" w:sz="4" w:space="0" w:color="auto"/>
            </w:tcBorders>
            <w:shd w:val="clear" w:color="auto" w:fill="auto"/>
          </w:tcPr>
          <w:p w14:paraId="2398C4E0"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Outcome indicators have been included in the plan for each activity. Reporting will be done in first </w:t>
            </w:r>
            <w:r>
              <w:rPr>
                <w:rFonts w:eastAsia="Times New Roman"/>
                <w:sz w:val="18"/>
                <w:szCs w:val="18"/>
                <w:lang w:eastAsia="en-AU"/>
              </w:rPr>
              <w:lastRenderedPageBreak/>
              <w:t>annual report August 2017</w:t>
            </w:r>
          </w:p>
        </w:tc>
        <w:tc>
          <w:tcPr>
            <w:tcW w:w="501" w:type="pct"/>
            <w:tcBorders>
              <w:top w:val="nil"/>
              <w:left w:val="nil"/>
              <w:bottom w:val="single" w:sz="4" w:space="0" w:color="auto"/>
              <w:right w:val="single" w:sz="4" w:space="0" w:color="auto"/>
            </w:tcBorders>
            <w:shd w:val="clear" w:color="auto" w:fill="auto"/>
          </w:tcPr>
          <w:p w14:paraId="36C5916E"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CCFFCC"/>
          </w:tcPr>
          <w:p w14:paraId="5468EA73" w14:textId="77777777" w:rsidR="000B54BD" w:rsidRDefault="000B54BD" w:rsidP="00E97A3B">
            <w:pPr>
              <w:spacing w:after="0" w:line="240" w:lineRule="auto"/>
              <w:rPr>
                <w:rFonts w:eastAsia="Times New Roman"/>
                <w:sz w:val="18"/>
                <w:szCs w:val="18"/>
                <w:lang w:eastAsia="en-AU"/>
              </w:rPr>
            </w:pPr>
            <w:r>
              <w:rPr>
                <w:color w:val="000000"/>
                <w:sz w:val="18"/>
                <w:szCs w:val="18"/>
                <w:shd w:val="clear" w:color="auto" w:fill="FFFFFF"/>
              </w:rPr>
              <w:t>80% (8/10)</w:t>
            </w:r>
            <w:r>
              <w:rPr>
                <w:color w:val="000000"/>
                <w:sz w:val="18"/>
                <w:szCs w:val="18"/>
                <w:shd w:val="clear" w:color="auto" w:fill="FFFFFF"/>
              </w:rPr>
              <w:br/>
              <w:t>(2016-17)</w:t>
            </w:r>
          </w:p>
        </w:tc>
        <w:tc>
          <w:tcPr>
            <w:tcW w:w="655" w:type="pct"/>
            <w:tcBorders>
              <w:top w:val="nil"/>
              <w:left w:val="nil"/>
              <w:bottom w:val="single" w:sz="4" w:space="0" w:color="auto"/>
              <w:right w:val="single" w:sz="4" w:space="0" w:color="auto"/>
            </w:tcBorders>
            <w:shd w:val="clear" w:color="auto" w:fill="CCFFCC"/>
          </w:tcPr>
          <w:p w14:paraId="57F70E2D" w14:textId="77777777" w:rsidR="000B54BD" w:rsidRDefault="000B54BD" w:rsidP="00E97A3B">
            <w:pPr>
              <w:spacing w:after="0" w:line="240" w:lineRule="auto"/>
              <w:rPr>
                <w:rFonts w:eastAsia="Times New Roman"/>
                <w:sz w:val="18"/>
                <w:szCs w:val="18"/>
                <w:lang w:eastAsia="en-AU"/>
              </w:rPr>
            </w:pPr>
            <w:r>
              <w:rPr>
                <w:color w:val="000000"/>
                <w:sz w:val="18"/>
                <w:szCs w:val="18"/>
                <w:shd w:val="clear" w:color="auto" w:fill="FFFFFF"/>
              </w:rPr>
              <w:t>80% (8/10)</w:t>
            </w:r>
            <w:r>
              <w:rPr>
                <w:color w:val="000000"/>
                <w:sz w:val="18"/>
                <w:szCs w:val="18"/>
                <w:shd w:val="clear" w:color="auto" w:fill="FFFFFF"/>
              </w:rPr>
              <w:br/>
              <w:t>(2017-18)</w:t>
            </w:r>
          </w:p>
        </w:tc>
      </w:tr>
      <w:tr w:rsidR="000B54BD" w:rsidRPr="00457E15" w14:paraId="581EA823" w14:textId="77777777" w:rsidTr="00E97A3B">
        <w:trPr>
          <w:gridAfter w:val="1"/>
          <w:wAfter w:w="2" w:type="pct"/>
          <w:trHeight w:val="281"/>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417F9FB5"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Commit to Transparency</w:t>
            </w:r>
          </w:p>
        </w:tc>
      </w:tr>
      <w:tr w:rsidR="000B54BD" w:rsidRPr="00457E15" w14:paraId="09C5DB5F" w14:textId="77777777" w:rsidTr="00E97A3B">
        <w:trPr>
          <w:gridAfter w:val="2"/>
          <w:wAfter w:w="7" w:type="pct"/>
          <w:trHeight w:val="281"/>
        </w:trPr>
        <w:tc>
          <w:tcPr>
            <w:tcW w:w="338" w:type="pct"/>
            <w:tcBorders>
              <w:top w:val="single" w:sz="4" w:space="0" w:color="auto"/>
              <w:left w:val="single" w:sz="4" w:space="0" w:color="auto"/>
              <w:bottom w:val="single" w:sz="4" w:space="0" w:color="auto"/>
              <w:right w:val="nil"/>
            </w:tcBorders>
            <w:shd w:val="clear" w:color="auto" w:fill="auto"/>
            <w:noWrap/>
            <w:hideMark/>
          </w:tcPr>
          <w:p w14:paraId="2B252833"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9</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4B83EC11"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 xml:space="preserve">OUTPUT: </w:t>
            </w:r>
            <w:r>
              <w:rPr>
                <w:rFonts w:eastAsia="Times New Roman" w:cs="Arial"/>
                <w:sz w:val="18"/>
                <w:szCs w:val="18"/>
                <w:lang w:eastAsia="en-AU"/>
              </w:rPr>
              <w:t xml:space="preserve">% of business plans and </w:t>
            </w:r>
            <w:r w:rsidRPr="00A318B9">
              <w:rPr>
                <w:rFonts w:eastAsia="Times New Roman" w:cs="Arial"/>
                <w:noProof/>
                <w:sz w:val="18"/>
                <w:szCs w:val="18"/>
                <w:lang w:eastAsia="en-AU"/>
              </w:rPr>
              <w:t>workplans</w:t>
            </w:r>
            <w:r w:rsidRPr="00457E15">
              <w:rPr>
                <w:rFonts w:eastAsia="Times New Roman" w:cs="Arial"/>
                <w:sz w:val="18"/>
                <w:szCs w:val="18"/>
                <w:lang w:eastAsia="en-AU"/>
              </w:rPr>
              <w:t>, M&amp;E frameworks, and annual reports made publicly available</w:t>
            </w:r>
            <w:r>
              <w:rPr>
                <w:rFonts w:eastAsia="Times New Roman" w:cs="Arial"/>
                <w:sz w:val="18"/>
                <w:szCs w:val="18"/>
                <w:lang w:eastAsia="en-AU"/>
              </w:rPr>
              <w:t xml:space="preserve"> on TongaHealth website</w:t>
            </w:r>
          </w:p>
        </w:tc>
        <w:tc>
          <w:tcPr>
            <w:tcW w:w="850" w:type="pct"/>
            <w:tcBorders>
              <w:top w:val="nil"/>
              <w:left w:val="nil"/>
              <w:bottom w:val="single" w:sz="4" w:space="0" w:color="auto"/>
              <w:right w:val="single" w:sz="4" w:space="0" w:color="auto"/>
            </w:tcBorders>
            <w:shd w:val="clear" w:color="auto" w:fill="FFFFFF" w:themeFill="background1"/>
            <w:hideMark/>
          </w:tcPr>
          <w:p w14:paraId="1F042337"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Numerator: </w:t>
            </w:r>
            <w:r w:rsidRPr="002932A7">
              <w:rPr>
                <w:rFonts w:eastAsia="Times New Roman" w:cs="Arial"/>
                <w:sz w:val="18"/>
                <w:szCs w:val="18"/>
                <w:lang w:eastAsia="en-AU"/>
              </w:rPr>
              <w:t>M&amp;E frameworks, and annual reports</w:t>
            </w:r>
            <w:r>
              <w:rPr>
                <w:rFonts w:eastAsia="Times New Roman" w:cs="Arial"/>
                <w:sz w:val="18"/>
                <w:szCs w:val="18"/>
                <w:lang w:eastAsia="en-AU"/>
              </w:rPr>
              <w:t xml:space="preserve"> available on TongaHealth website</w:t>
            </w:r>
          </w:p>
          <w:p w14:paraId="7CC7C30D" w14:textId="77777777" w:rsidR="000B54BD" w:rsidRDefault="000B54BD" w:rsidP="00E97A3B">
            <w:pPr>
              <w:spacing w:after="0" w:line="240" w:lineRule="auto"/>
              <w:rPr>
                <w:rFonts w:eastAsia="Times New Roman" w:cs="Arial"/>
                <w:sz w:val="18"/>
                <w:szCs w:val="18"/>
                <w:lang w:eastAsia="en-AU"/>
              </w:rPr>
            </w:pPr>
          </w:p>
          <w:p w14:paraId="1692D445"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Denominator: Total number of </w:t>
            </w:r>
            <w:r w:rsidRPr="002932A7">
              <w:rPr>
                <w:rFonts w:eastAsia="Times New Roman" w:cs="Arial"/>
                <w:sz w:val="18"/>
                <w:szCs w:val="18"/>
                <w:lang w:eastAsia="en-AU"/>
              </w:rPr>
              <w:t>M&amp;E frameworks, and annual reports</w:t>
            </w:r>
            <w:r>
              <w:rPr>
                <w:rFonts w:eastAsia="Times New Roman" w:cs="Arial"/>
                <w:sz w:val="18"/>
                <w:szCs w:val="18"/>
                <w:lang w:eastAsia="en-AU"/>
              </w:rPr>
              <w:t xml:space="preserve"> X 100</w:t>
            </w:r>
          </w:p>
          <w:p w14:paraId="19E60900" w14:textId="77777777" w:rsidR="000B54BD" w:rsidRDefault="000B54BD" w:rsidP="00E97A3B">
            <w:pPr>
              <w:spacing w:after="0" w:line="240" w:lineRule="auto"/>
              <w:rPr>
                <w:rFonts w:eastAsia="Times New Roman" w:cs="Arial"/>
                <w:sz w:val="18"/>
                <w:szCs w:val="18"/>
                <w:lang w:eastAsia="en-AU"/>
              </w:rPr>
            </w:pPr>
          </w:p>
          <w:p w14:paraId="28F405BD"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Note that this indicator depends on the completion of the documents – indicator #11</w:t>
            </w:r>
          </w:p>
        </w:tc>
        <w:tc>
          <w:tcPr>
            <w:tcW w:w="450" w:type="pct"/>
            <w:tcBorders>
              <w:top w:val="nil"/>
              <w:left w:val="nil"/>
              <w:bottom w:val="single" w:sz="4" w:space="0" w:color="auto"/>
              <w:right w:val="single" w:sz="4" w:space="0" w:color="auto"/>
            </w:tcBorders>
            <w:shd w:val="clear" w:color="auto" w:fill="auto"/>
          </w:tcPr>
          <w:p w14:paraId="348CFB1A"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1F89ED50"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 xml:space="preserve">TongaHealth website </w:t>
            </w:r>
          </w:p>
        </w:tc>
        <w:tc>
          <w:tcPr>
            <w:tcW w:w="550" w:type="pct"/>
            <w:tcBorders>
              <w:top w:val="nil"/>
              <w:left w:val="nil"/>
              <w:bottom w:val="single" w:sz="4" w:space="0" w:color="auto"/>
              <w:right w:val="single" w:sz="4" w:space="0" w:color="auto"/>
            </w:tcBorders>
            <w:shd w:val="clear" w:color="auto" w:fill="auto"/>
          </w:tcPr>
          <w:p w14:paraId="0961D9E0"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Documents not yet finalised (see indicator #11)</w:t>
            </w:r>
          </w:p>
          <w:p w14:paraId="09F0289E" w14:textId="77777777" w:rsidR="000B54BD" w:rsidRPr="00457E15" w:rsidRDefault="000B54BD" w:rsidP="00E97A3B">
            <w:pPr>
              <w:spacing w:after="0" w:line="240" w:lineRule="auto"/>
              <w:rPr>
                <w:rFonts w:eastAsia="Times New Roman"/>
                <w:sz w:val="18"/>
                <w:szCs w:val="18"/>
                <w:lang w:eastAsia="en-AU"/>
              </w:rPr>
            </w:pPr>
          </w:p>
        </w:tc>
        <w:tc>
          <w:tcPr>
            <w:tcW w:w="501" w:type="pct"/>
            <w:tcBorders>
              <w:top w:val="nil"/>
              <w:left w:val="nil"/>
              <w:bottom w:val="single" w:sz="4" w:space="0" w:color="auto"/>
              <w:right w:val="single" w:sz="4" w:space="0" w:color="auto"/>
            </w:tcBorders>
            <w:shd w:val="clear" w:color="auto" w:fill="FFFF66"/>
          </w:tcPr>
          <w:p w14:paraId="5D52D863"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National NCD Strategy (including M&amp;E framework) published; 2015-16 annual report finalised but not published</w:t>
            </w:r>
          </w:p>
        </w:tc>
        <w:tc>
          <w:tcPr>
            <w:tcW w:w="549" w:type="pct"/>
            <w:tcBorders>
              <w:top w:val="nil"/>
              <w:left w:val="nil"/>
              <w:bottom w:val="single" w:sz="4" w:space="0" w:color="auto"/>
              <w:right w:val="single" w:sz="4" w:space="0" w:color="auto"/>
            </w:tcBorders>
            <w:shd w:val="clear" w:color="auto" w:fill="FFFF66"/>
          </w:tcPr>
          <w:p w14:paraId="4E44477F" w14:textId="77777777" w:rsidR="000B54BD" w:rsidRPr="00457E15" w:rsidRDefault="000B54BD" w:rsidP="00E97A3B">
            <w:pPr>
              <w:spacing w:after="0" w:line="240" w:lineRule="auto"/>
              <w:rPr>
                <w:rFonts w:eastAsia="Times New Roman"/>
                <w:sz w:val="18"/>
                <w:szCs w:val="18"/>
                <w:lang w:eastAsia="en-AU"/>
              </w:rPr>
            </w:pPr>
            <w:r w:rsidRPr="00A318B9">
              <w:rPr>
                <w:rFonts w:eastAsia="Times New Roman"/>
                <w:noProof/>
                <w:sz w:val="18"/>
                <w:szCs w:val="18"/>
                <w:lang w:eastAsia="en-AU"/>
              </w:rPr>
              <w:t>2016-17</w:t>
            </w:r>
            <w:r>
              <w:rPr>
                <w:rFonts w:eastAsia="Times New Roman"/>
                <w:sz w:val="18"/>
                <w:szCs w:val="18"/>
                <w:lang w:eastAsia="en-AU"/>
              </w:rPr>
              <w:t xml:space="preserve"> annual plan published; 2016-17 annual report finalised but not published</w:t>
            </w:r>
          </w:p>
        </w:tc>
        <w:tc>
          <w:tcPr>
            <w:tcW w:w="655" w:type="pct"/>
            <w:tcBorders>
              <w:top w:val="nil"/>
              <w:left w:val="nil"/>
              <w:bottom w:val="single" w:sz="4" w:space="0" w:color="auto"/>
              <w:right w:val="single" w:sz="4" w:space="0" w:color="auto"/>
            </w:tcBorders>
            <w:shd w:val="clear" w:color="auto" w:fill="FF7C80"/>
          </w:tcPr>
          <w:p w14:paraId="2C77C4CE" w14:textId="77777777" w:rsidR="000B54BD" w:rsidRPr="00457E15" w:rsidRDefault="000B54BD" w:rsidP="00E97A3B">
            <w:pPr>
              <w:spacing w:after="0" w:line="240" w:lineRule="auto"/>
              <w:rPr>
                <w:rFonts w:eastAsia="Times New Roman"/>
                <w:sz w:val="18"/>
                <w:szCs w:val="18"/>
                <w:lang w:eastAsia="en-AU"/>
              </w:rPr>
            </w:pPr>
            <w:r w:rsidRPr="00A318B9">
              <w:rPr>
                <w:rFonts w:eastAsia="Times New Roman"/>
                <w:noProof/>
                <w:sz w:val="18"/>
                <w:szCs w:val="18"/>
                <w:lang w:eastAsia="en-AU"/>
              </w:rPr>
              <w:t>2017-18</w:t>
            </w:r>
            <w:r>
              <w:rPr>
                <w:rFonts w:eastAsia="Times New Roman"/>
                <w:sz w:val="18"/>
                <w:szCs w:val="18"/>
                <w:lang w:eastAsia="en-AU"/>
              </w:rPr>
              <w:t xml:space="preserve"> report not yet prepared</w:t>
            </w:r>
          </w:p>
        </w:tc>
      </w:tr>
      <w:tr w:rsidR="000B54BD" w:rsidRPr="00457E15" w14:paraId="16808CF7" w14:textId="77777777" w:rsidTr="00E97A3B">
        <w:trPr>
          <w:gridAfter w:val="1"/>
          <w:wAfter w:w="2" w:type="pct"/>
          <w:trHeight w:val="287"/>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067D7866"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Communicate effectively</w:t>
            </w:r>
          </w:p>
        </w:tc>
      </w:tr>
      <w:tr w:rsidR="000B54BD" w:rsidRPr="00457E15" w14:paraId="5566F2FB" w14:textId="77777777" w:rsidTr="00E97A3B">
        <w:trPr>
          <w:gridAfter w:val="2"/>
          <w:wAfter w:w="7" w:type="pct"/>
          <w:trHeight w:val="287"/>
        </w:trPr>
        <w:tc>
          <w:tcPr>
            <w:tcW w:w="338" w:type="pct"/>
            <w:tcBorders>
              <w:top w:val="single" w:sz="4" w:space="0" w:color="auto"/>
              <w:left w:val="single" w:sz="4" w:space="0" w:color="auto"/>
              <w:bottom w:val="single" w:sz="4" w:space="0" w:color="auto"/>
              <w:right w:val="nil"/>
            </w:tcBorders>
            <w:shd w:val="clear" w:color="auto" w:fill="auto"/>
            <w:noWrap/>
            <w:hideMark/>
          </w:tcPr>
          <w:p w14:paraId="5CACA423" w14:textId="77777777" w:rsidR="000B54BD" w:rsidRPr="00083E90" w:rsidRDefault="000B54BD" w:rsidP="00E97A3B">
            <w:pPr>
              <w:spacing w:after="0" w:line="240" w:lineRule="auto"/>
              <w:rPr>
                <w:rFonts w:eastAsia="Times New Roman"/>
                <w:sz w:val="18"/>
                <w:szCs w:val="18"/>
                <w:lang w:eastAsia="en-AU"/>
              </w:rPr>
            </w:pPr>
            <w:r w:rsidRPr="00083E90">
              <w:rPr>
                <w:rFonts w:eastAsia="Times New Roman"/>
                <w:sz w:val="18"/>
                <w:szCs w:val="18"/>
                <w:lang w:eastAsia="en-AU"/>
              </w:rPr>
              <w:t>10</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6621CCB2" w14:textId="77777777" w:rsidR="000B54BD" w:rsidRPr="00083E90"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OUTPUT</w:t>
            </w:r>
            <w:r w:rsidRPr="00083E90">
              <w:rPr>
                <w:rFonts w:eastAsia="Times New Roman" w:cs="Arial"/>
                <w:sz w:val="18"/>
                <w:szCs w:val="18"/>
                <w:lang w:eastAsia="en-AU"/>
              </w:rPr>
              <w:t xml:space="preserve">: % of communication activities planned in the annual communications strategy </w:t>
            </w:r>
          </w:p>
        </w:tc>
        <w:tc>
          <w:tcPr>
            <w:tcW w:w="850" w:type="pct"/>
            <w:tcBorders>
              <w:top w:val="nil"/>
              <w:left w:val="nil"/>
              <w:bottom w:val="single" w:sz="4" w:space="0" w:color="auto"/>
              <w:right w:val="single" w:sz="4" w:space="0" w:color="auto"/>
            </w:tcBorders>
            <w:shd w:val="clear" w:color="auto" w:fill="FFFFFF" w:themeFill="background1"/>
            <w:hideMark/>
          </w:tcPr>
          <w:p w14:paraId="39B6BDC7" w14:textId="77777777" w:rsidR="000B54BD" w:rsidRPr="00083E90" w:rsidRDefault="000B54BD" w:rsidP="00E97A3B">
            <w:pPr>
              <w:spacing w:after="0" w:line="240" w:lineRule="auto"/>
              <w:rPr>
                <w:rFonts w:eastAsia="Times New Roman" w:cs="Arial"/>
                <w:sz w:val="18"/>
                <w:szCs w:val="18"/>
                <w:lang w:eastAsia="en-AU"/>
              </w:rPr>
            </w:pPr>
            <w:r w:rsidRPr="00083E90">
              <w:rPr>
                <w:rFonts w:eastAsia="Times New Roman" w:cs="Arial"/>
                <w:sz w:val="18"/>
                <w:szCs w:val="18"/>
                <w:lang w:eastAsia="en-AU"/>
              </w:rPr>
              <w:t xml:space="preserve">Numerator: </w:t>
            </w:r>
            <w:r>
              <w:rPr>
                <w:rFonts w:eastAsia="Times New Roman" w:cs="Arial"/>
                <w:sz w:val="18"/>
                <w:szCs w:val="18"/>
                <w:lang w:eastAsia="en-AU"/>
              </w:rPr>
              <w:t>Number of planned communication activities completed</w:t>
            </w:r>
          </w:p>
          <w:p w14:paraId="329B5176" w14:textId="77777777" w:rsidR="000B54BD" w:rsidRPr="00083E90" w:rsidRDefault="000B54BD" w:rsidP="00E97A3B">
            <w:pPr>
              <w:spacing w:after="0" w:line="240" w:lineRule="auto"/>
              <w:rPr>
                <w:rFonts w:eastAsia="Times New Roman" w:cs="Arial"/>
                <w:sz w:val="18"/>
                <w:szCs w:val="18"/>
                <w:lang w:eastAsia="en-AU"/>
              </w:rPr>
            </w:pPr>
          </w:p>
          <w:p w14:paraId="0B90F15D" w14:textId="77777777" w:rsidR="000B54BD" w:rsidRPr="00083E90" w:rsidRDefault="000B54BD" w:rsidP="00E97A3B">
            <w:pPr>
              <w:spacing w:after="0" w:line="240" w:lineRule="auto"/>
              <w:rPr>
                <w:rFonts w:eastAsia="Times New Roman" w:cs="Arial"/>
                <w:sz w:val="18"/>
                <w:szCs w:val="18"/>
                <w:lang w:eastAsia="en-AU"/>
              </w:rPr>
            </w:pPr>
            <w:r w:rsidRPr="00083E90">
              <w:rPr>
                <w:rFonts w:eastAsia="Times New Roman" w:cs="Arial"/>
                <w:sz w:val="18"/>
                <w:szCs w:val="18"/>
                <w:lang w:eastAsia="en-AU"/>
              </w:rPr>
              <w:t>Denominator: Number of communication activities listed in the annual communications plan</w:t>
            </w:r>
            <w:r>
              <w:rPr>
                <w:rFonts w:eastAsia="Times New Roman" w:cs="Arial"/>
                <w:sz w:val="18"/>
                <w:szCs w:val="18"/>
                <w:lang w:eastAsia="en-AU"/>
              </w:rPr>
              <w:t xml:space="preserve"> x 100</w:t>
            </w:r>
          </w:p>
        </w:tc>
        <w:tc>
          <w:tcPr>
            <w:tcW w:w="450" w:type="pct"/>
            <w:tcBorders>
              <w:top w:val="nil"/>
              <w:left w:val="nil"/>
              <w:bottom w:val="single" w:sz="4" w:space="0" w:color="auto"/>
              <w:right w:val="single" w:sz="4" w:space="0" w:color="auto"/>
            </w:tcBorders>
            <w:shd w:val="clear" w:color="auto" w:fill="auto"/>
          </w:tcPr>
          <w:p w14:paraId="528839ED"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noWrap/>
          </w:tcPr>
          <w:p w14:paraId="4F231B54" w14:textId="77777777" w:rsidR="000B54BD" w:rsidRPr="00083E90" w:rsidRDefault="000B54BD" w:rsidP="00E97A3B">
            <w:pPr>
              <w:spacing w:after="0" w:line="240" w:lineRule="auto"/>
              <w:rPr>
                <w:rFonts w:eastAsia="Times New Roman" w:cs="Arial"/>
                <w:sz w:val="18"/>
                <w:szCs w:val="18"/>
                <w:lang w:eastAsia="en-AU"/>
              </w:rPr>
            </w:pPr>
            <w:r w:rsidRPr="00083E90">
              <w:rPr>
                <w:rFonts w:eastAsia="Times New Roman" w:cs="Arial"/>
                <w:sz w:val="18"/>
                <w:szCs w:val="18"/>
                <w:lang w:eastAsia="en-AU"/>
              </w:rPr>
              <w:t>TongaHealth program records and communication activities</w:t>
            </w:r>
          </w:p>
        </w:tc>
        <w:tc>
          <w:tcPr>
            <w:tcW w:w="550" w:type="pct"/>
            <w:tcBorders>
              <w:top w:val="nil"/>
              <w:left w:val="nil"/>
              <w:bottom w:val="single" w:sz="4" w:space="0" w:color="auto"/>
              <w:right w:val="single" w:sz="4" w:space="0" w:color="auto"/>
            </w:tcBorders>
            <w:shd w:val="clear" w:color="auto" w:fill="auto"/>
          </w:tcPr>
          <w:p w14:paraId="10DC4461" w14:textId="77777777" w:rsidR="000B54BD" w:rsidRPr="00083E90" w:rsidRDefault="000B54BD" w:rsidP="00E97A3B">
            <w:pPr>
              <w:spacing w:after="0" w:line="240" w:lineRule="auto"/>
              <w:rPr>
                <w:rFonts w:eastAsia="Times New Roman"/>
                <w:sz w:val="18"/>
                <w:szCs w:val="18"/>
                <w:lang w:eastAsia="en-AU"/>
              </w:rPr>
            </w:pPr>
            <w:r w:rsidRPr="00083E90">
              <w:rPr>
                <w:rFonts w:eastAsia="Times New Roman"/>
                <w:sz w:val="18"/>
                <w:szCs w:val="18"/>
                <w:lang w:eastAsia="en-AU"/>
              </w:rPr>
              <w:t xml:space="preserve">2016-17 Communication Strategy completed. </w:t>
            </w:r>
            <w:r>
              <w:rPr>
                <w:rFonts w:eastAsia="Times New Roman"/>
                <w:sz w:val="18"/>
                <w:szCs w:val="18"/>
                <w:lang w:eastAsia="en-AU"/>
              </w:rPr>
              <w:t xml:space="preserve">The strategies </w:t>
            </w:r>
            <w:r w:rsidRPr="00A318B9">
              <w:rPr>
                <w:rFonts w:eastAsia="Times New Roman"/>
                <w:noProof/>
                <w:sz w:val="18"/>
                <w:szCs w:val="18"/>
                <w:lang w:eastAsia="en-AU"/>
              </w:rPr>
              <w:t>notes</w:t>
            </w:r>
            <w:r>
              <w:rPr>
                <w:rFonts w:eastAsia="Times New Roman"/>
                <w:sz w:val="18"/>
                <w:szCs w:val="18"/>
                <w:lang w:eastAsia="en-AU"/>
              </w:rPr>
              <w:t xml:space="preserve"> that in 2015-16 nine key communication activities were completed. </w:t>
            </w:r>
          </w:p>
        </w:tc>
        <w:tc>
          <w:tcPr>
            <w:tcW w:w="501" w:type="pct"/>
            <w:tcBorders>
              <w:top w:val="nil"/>
              <w:left w:val="nil"/>
              <w:bottom w:val="single" w:sz="4" w:space="0" w:color="auto"/>
              <w:right w:val="single" w:sz="4" w:space="0" w:color="auto"/>
            </w:tcBorders>
            <w:shd w:val="clear" w:color="auto" w:fill="FFFF66"/>
          </w:tcPr>
          <w:p w14:paraId="6D37EF10" w14:textId="77777777" w:rsidR="000B54BD" w:rsidRPr="000B0A05" w:rsidRDefault="000B54BD" w:rsidP="00E97A3B">
            <w:pPr>
              <w:spacing w:after="0" w:line="240" w:lineRule="auto"/>
              <w:rPr>
                <w:rFonts w:eastAsia="Times New Roman"/>
                <w:sz w:val="18"/>
                <w:szCs w:val="18"/>
                <w:lang w:eastAsia="en-AU"/>
              </w:rPr>
            </w:pPr>
            <w:r w:rsidRPr="000B0A05">
              <w:rPr>
                <w:rFonts w:eastAsia="Times New Roman"/>
                <w:sz w:val="18"/>
                <w:szCs w:val="18"/>
                <w:lang w:eastAsia="en-AU"/>
              </w:rPr>
              <w:t>2015/16, nine key communication activities were completed</w:t>
            </w:r>
          </w:p>
          <w:p w14:paraId="15DB3100" w14:textId="77777777" w:rsidR="000B54BD" w:rsidRPr="00083E90"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14F38DF7" w14:textId="77777777" w:rsidR="000B54BD" w:rsidRPr="00132F67" w:rsidRDefault="000B54BD" w:rsidP="00E97A3B">
            <w:pPr>
              <w:spacing w:after="0" w:line="240" w:lineRule="auto"/>
              <w:rPr>
                <w:rFonts w:eastAsia="Times New Roman"/>
                <w:sz w:val="18"/>
                <w:szCs w:val="18"/>
                <w:lang w:eastAsia="en-AU"/>
              </w:rPr>
            </w:pPr>
          </w:p>
        </w:tc>
        <w:tc>
          <w:tcPr>
            <w:tcW w:w="655" w:type="pct"/>
            <w:tcBorders>
              <w:top w:val="nil"/>
              <w:left w:val="nil"/>
              <w:bottom w:val="single" w:sz="4" w:space="0" w:color="auto"/>
              <w:right w:val="single" w:sz="4" w:space="0" w:color="auto"/>
            </w:tcBorders>
            <w:shd w:val="clear" w:color="auto" w:fill="FF7C80"/>
          </w:tcPr>
          <w:p w14:paraId="5E9A02B6" w14:textId="77777777" w:rsidR="000B54BD" w:rsidRPr="00132F67" w:rsidRDefault="000B54BD" w:rsidP="00E97A3B">
            <w:pPr>
              <w:spacing w:after="0" w:line="240" w:lineRule="auto"/>
              <w:rPr>
                <w:rFonts w:eastAsia="Times New Roman"/>
                <w:sz w:val="18"/>
                <w:szCs w:val="18"/>
                <w:lang w:eastAsia="en-AU"/>
              </w:rPr>
            </w:pPr>
            <w:r w:rsidRPr="00A318B9">
              <w:rPr>
                <w:rFonts w:eastAsia="Times New Roman"/>
                <w:noProof/>
                <w:sz w:val="18"/>
                <w:szCs w:val="18"/>
                <w:lang w:eastAsia="en-AU"/>
              </w:rPr>
              <w:t>Communications</w:t>
            </w:r>
            <w:r w:rsidRPr="00132F67">
              <w:rPr>
                <w:rFonts w:eastAsia="Times New Roman"/>
                <w:sz w:val="18"/>
                <w:szCs w:val="18"/>
                <w:lang w:eastAsia="en-AU"/>
              </w:rPr>
              <w:t xml:space="preserve"> strategy </w:t>
            </w:r>
            <w:r w:rsidRPr="00A318B9">
              <w:rPr>
                <w:rFonts w:eastAsia="Times New Roman"/>
                <w:noProof/>
                <w:sz w:val="18"/>
                <w:szCs w:val="18"/>
                <w:lang w:eastAsia="en-AU"/>
              </w:rPr>
              <w:t>was not finalised</w:t>
            </w:r>
            <w:r w:rsidRPr="00132F67">
              <w:rPr>
                <w:rFonts w:eastAsia="Times New Roman"/>
                <w:sz w:val="18"/>
                <w:szCs w:val="18"/>
                <w:lang w:eastAsia="en-AU"/>
              </w:rPr>
              <w:t xml:space="preserve"> for 2017/18</w:t>
            </w:r>
          </w:p>
        </w:tc>
      </w:tr>
      <w:tr w:rsidR="000B54BD" w:rsidRPr="00457E15" w14:paraId="1928B6B9" w14:textId="77777777" w:rsidTr="00E97A3B">
        <w:trPr>
          <w:gridAfter w:val="1"/>
          <w:wAfter w:w="2" w:type="pct"/>
          <w:trHeight w:val="252"/>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6984727B"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Measure and report our performance against agreed indicators</w:t>
            </w:r>
          </w:p>
        </w:tc>
      </w:tr>
      <w:tr w:rsidR="000B54BD" w:rsidRPr="00457E15" w14:paraId="2C952E25" w14:textId="77777777" w:rsidTr="00E97A3B">
        <w:trPr>
          <w:gridAfter w:val="2"/>
          <w:wAfter w:w="7" w:type="pct"/>
          <w:trHeight w:val="500"/>
        </w:trPr>
        <w:tc>
          <w:tcPr>
            <w:tcW w:w="338" w:type="pct"/>
            <w:tcBorders>
              <w:top w:val="single" w:sz="4" w:space="0" w:color="auto"/>
              <w:left w:val="single" w:sz="4" w:space="0" w:color="auto"/>
              <w:bottom w:val="single" w:sz="4" w:space="0" w:color="auto"/>
              <w:right w:val="nil"/>
            </w:tcBorders>
            <w:shd w:val="clear" w:color="auto" w:fill="auto"/>
            <w:noWrap/>
            <w:hideMark/>
          </w:tcPr>
          <w:p w14:paraId="49F6891C"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6CFF7"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OUTPUT</w:t>
            </w:r>
            <w:r>
              <w:rPr>
                <w:rFonts w:eastAsia="Times New Roman" w:cs="Arial"/>
                <w:sz w:val="18"/>
                <w:szCs w:val="18"/>
                <w:lang w:eastAsia="en-AU"/>
              </w:rPr>
              <w:t xml:space="preserve">: </w:t>
            </w:r>
            <w:r w:rsidRPr="00457E15">
              <w:rPr>
                <w:rFonts w:eastAsia="Times New Roman" w:cs="Arial"/>
                <w:sz w:val="18"/>
                <w:szCs w:val="18"/>
                <w:lang w:eastAsia="en-AU"/>
              </w:rPr>
              <w:t xml:space="preserve">TongaHealth has an up to date M&amp;E Framework and </w:t>
            </w:r>
            <w:r>
              <w:rPr>
                <w:rFonts w:eastAsia="Times New Roman" w:cs="Arial"/>
                <w:sz w:val="18"/>
                <w:szCs w:val="18"/>
                <w:lang w:eastAsia="en-AU"/>
              </w:rPr>
              <w:t>annual business</w:t>
            </w:r>
            <w:r w:rsidRPr="00457E15">
              <w:rPr>
                <w:rFonts w:eastAsia="Times New Roman" w:cs="Arial"/>
                <w:sz w:val="18"/>
                <w:szCs w:val="18"/>
                <w:lang w:eastAsia="en-AU"/>
              </w:rPr>
              <w:t xml:space="preserve"> plan</w:t>
            </w:r>
          </w:p>
        </w:tc>
        <w:tc>
          <w:tcPr>
            <w:tcW w:w="850" w:type="pct"/>
            <w:tcBorders>
              <w:top w:val="nil"/>
              <w:left w:val="nil"/>
              <w:bottom w:val="single" w:sz="4" w:space="0" w:color="auto"/>
              <w:right w:val="single" w:sz="4" w:space="0" w:color="auto"/>
            </w:tcBorders>
            <w:shd w:val="clear" w:color="auto" w:fill="FFFFFF" w:themeFill="background1"/>
          </w:tcPr>
          <w:p w14:paraId="4494F393" w14:textId="77777777" w:rsidR="000B54BD" w:rsidRPr="00457E15" w:rsidRDefault="000B54BD" w:rsidP="00E97A3B">
            <w:pPr>
              <w:spacing w:after="0" w:line="240" w:lineRule="auto"/>
              <w:rPr>
                <w:rFonts w:eastAsia="Times New Roman" w:cs="Arial"/>
                <w:sz w:val="18"/>
                <w:szCs w:val="18"/>
                <w:lang w:eastAsia="en-AU"/>
              </w:rPr>
            </w:pPr>
            <w:r w:rsidRPr="00FC50A2">
              <w:rPr>
                <w:rFonts w:eastAsia="Times New Roman" w:cs="Arial"/>
                <w:sz w:val="18"/>
                <w:szCs w:val="18"/>
                <w:lang w:eastAsia="en-AU"/>
              </w:rPr>
              <w:t xml:space="preserve">TongaHealth M&amp;E Framework and </w:t>
            </w:r>
            <w:r>
              <w:rPr>
                <w:rFonts w:eastAsia="Times New Roman" w:cs="Arial"/>
                <w:sz w:val="18"/>
                <w:szCs w:val="18"/>
                <w:lang w:eastAsia="en-AU"/>
              </w:rPr>
              <w:t>TongaHealth annual business plan developed on time</w:t>
            </w:r>
          </w:p>
        </w:tc>
        <w:tc>
          <w:tcPr>
            <w:tcW w:w="450" w:type="pct"/>
            <w:tcBorders>
              <w:top w:val="nil"/>
              <w:left w:val="nil"/>
              <w:bottom w:val="single" w:sz="4" w:space="0" w:color="auto"/>
              <w:right w:val="single" w:sz="4" w:space="0" w:color="auto"/>
            </w:tcBorders>
            <w:shd w:val="clear" w:color="auto" w:fill="auto"/>
          </w:tcPr>
          <w:p w14:paraId="215114C3"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3E9645D2"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r>
              <w:rPr>
                <w:rFonts w:eastAsia="Times New Roman" w:cs="Arial"/>
                <w:sz w:val="18"/>
                <w:szCs w:val="18"/>
                <w:lang w:eastAsia="en-AU"/>
              </w:rPr>
              <w:t xml:space="preserve"> program records</w:t>
            </w:r>
          </w:p>
        </w:tc>
        <w:tc>
          <w:tcPr>
            <w:tcW w:w="550" w:type="pct"/>
            <w:tcBorders>
              <w:top w:val="nil"/>
              <w:left w:val="nil"/>
              <w:bottom w:val="single" w:sz="4" w:space="0" w:color="auto"/>
              <w:right w:val="single" w:sz="4" w:space="0" w:color="auto"/>
            </w:tcBorders>
            <w:shd w:val="clear" w:color="auto" w:fill="auto"/>
          </w:tcPr>
          <w:p w14:paraId="26015FFC"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M&amp;E Framework in development and </w:t>
            </w:r>
            <w:r w:rsidR="00662DC2">
              <w:rPr>
                <w:rFonts w:eastAsia="Times New Roman"/>
                <w:sz w:val="18"/>
                <w:szCs w:val="18"/>
                <w:lang w:eastAsia="en-AU"/>
              </w:rPr>
              <w:t>work plan</w:t>
            </w:r>
            <w:r>
              <w:rPr>
                <w:rFonts w:eastAsia="Times New Roman"/>
                <w:sz w:val="18"/>
                <w:szCs w:val="18"/>
                <w:lang w:eastAsia="en-AU"/>
              </w:rPr>
              <w:t xml:space="preserve"> awaiting approval from </w:t>
            </w:r>
            <w:r w:rsidRPr="00A318B9">
              <w:rPr>
                <w:rFonts w:eastAsia="Times New Roman"/>
                <w:noProof/>
                <w:sz w:val="18"/>
                <w:szCs w:val="18"/>
                <w:lang w:eastAsia="en-AU"/>
              </w:rPr>
              <w:t>board</w:t>
            </w:r>
            <w:r>
              <w:rPr>
                <w:rFonts w:eastAsia="Times New Roman"/>
                <w:sz w:val="18"/>
                <w:szCs w:val="18"/>
                <w:lang w:eastAsia="en-AU"/>
              </w:rPr>
              <w:t xml:space="preserve">.  </w:t>
            </w:r>
          </w:p>
        </w:tc>
        <w:tc>
          <w:tcPr>
            <w:tcW w:w="501" w:type="pct"/>
            <w:tcBorders>
              <w:top w:val="nil"/>
              <w:left w:val="nil"/>
              <w:bottom w:val="single" w:sz="4" w:space="0" w:color="auto"/>
              <w:right w:val="single" w:sz="4" w:space="0" w:color="auto"/>
            </w:tcBorders>
            <w:shd w:val="clear" w:color="auto" w:fill="CCFFCC"/>
          </w:tcPr>
          <w:p w14:paraId="1DCC0018"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National NCD Strategy (including M&amp;E framework) launched February 2016</w:t>
            </w:r>
          </w:p>
        </w:tc>
        <w:tc>
          <w:tcPr>
            <w:tcW w:w="549" w:type="pct"/>
            <w:tcBorders>
              <w:top w:val="nil"/>
              <w:left w:val="nil"/>
              <w:bottom w:val="single" w:sz="4" w:space="0" w:color="auto"/>
              <w:right w:val="single" w:sz="4" w:space="0" w:color="auto"/>
            </w:tcBorders>
            <w:shd w:val="clear" w:color="auto" w:fill="CCFFCC"/>
          </w:tcPr>
          <w:p w14:paraId="362C5F61" w14:textId="77777777" w:rsidR="000B54BD" w:rsidRPr="00457E15" w:rsidRDefault="000B54BD" w:rsidP="00E97A3B">
            <w:pPr>
              <w:spacing w:after="0" w:line="240" w:lineRule="auto"/>
              <w:rPr>
                <w:rFonts w:eastAsia="Times New Roman"/>
                <w:sz w:val="18"/>
                <w:szCs w:val="18"/>
                <w:lang w:eastAsia="en-AU"/>
              </w:rPr>
            </w:pPr>
            <w:r w:rsidRPr="00A318B9">
              <w:rPr>
                <w:rFonts w:eastAsia="Times New Roman"/>
                <w:noProof/>
                <w:sz w:val="18"/>
                <w:szCs w:val="18"/>
                <w:lang w:eastAsia="en-AU"/>
              </w:rPr>
              <w:t>2016-17</w:t>
            </w:r>
            <w:r>
              <w:rPr>
                <w:rFonts w:eastAsia="Times New Roman"/>
                <w:sz w:val="18"/>
                <w:szCs w:val="18"/>
                <w:lang w:eastAsia="en-AU"/>
              </w:rPr>
              <w:t xml:space="preserve"> annual plan published</w:t>
            </w:r>
          </w:p>
        </w:tc>
        <w:tc>
          <w:tcPr>
            <w:tcW w:w="655" w:type="pct"/>
            <w:tcBorders>
              <w:top w:val="nil"/>
              <w:left w:val="nil"/>
              <w:bottom w:val="single" w:sz="4" w:space="0" w:color="auto"/>
              <w:right w:val="single" w:sz="4" w:space="0" w:color="auto"/>
            </w:tcBorders>
            <w:shd w:val="clear" w:color="auto" w:fill="auto"/>
          </w:tcPr>
          <w:p w14:paraId="5F53CABA" w14:textId="77777777" w:rsidR="000B54BD" w:rsidRPr="00457E15" w:rsidRDefault="000B54BD" w:rsidP="00E97A3B">
            <w:pPr>
              <w:spacing w:after="0" w:line="240" w:lineRule="auto"/>
              <w:rPr>
                <w:rFonts w:eastAsia="Times New Roman"/>
                <w:sz w:val="18"/>
                <w:szCs w:val="18"/>
                <w:lang w:eastAsia="en-AU"/>
              </w:rPr>
            </w:pPr>
          </w:p>
        </w:tc>
      </w:tr>
      <w:tr w:rsidR="000B54BD" w:rsidRPr="00457E15" w14:paraId="3683BC41" w14:textId="77777777" w:rsidTr="00E97A3B">
        <w:trPr>
          <w:gridAfter w:val="2"/>
          <w:wAfter w:w="7" w:type="pct"/>
          <w:trHeight w:val="63"/>
        </w:trPr>
        <w:tc>
          <w:tcPr>
            <w:tcW w:w="338" w:type="pct"/>
            <w:tcBorders>
              <w:top w:val="single" w:sz="4" w:space="0" w:color="auto"/>
              <w:left w:val="single" w:sz="4" w:space="0" w:color="auto"/>
              <w:bottom w:val="single" w:sz="4" w:space="0" w:color="auto"/>
              <w:right w:val="nil"/>
            </w:tcBorders>
            <w:shd w:val="clear" w:color="auto" w:fill="auto"/>
            <w:noWrap/>
            <w:hideMark/>
          </w:tcPr>
          <w:p w14:paraId="7217FC7B"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lastRenderedPageBreak/>
              <w:t>12</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D3DFFFC"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 xml:space="preserve">OUTPUT: </w:t>
            </w:r>
            <w:r w:rsidRPr="00457E15">
              <w:rPr>
                <w:rFonts w:eastAsia="Times New Roman" w:cs="Arial"/>
                <w:sz w:val="18"/>
                <w:szCs w:val="18"/>
                <w:lang w:eastAsia="en-AU"/>
              </w:rPr>
              <w:t xml:space="preserve">% of </w:t>
            </w:r>
            <w:r>
              <w:rPr>
                <w:rFonts w:eastAsia="Times New Roman" w:cs="Arial"/>
                <w:sz w:val="18"/>
                <w:szCs w:val="18"/>
                <w:lang w:eastAsia="en-AU"/>
              </w:rPr>
              <w:t xml:space="preserve">actions listed in the annual business plan completed </w:t>
            </w:r>
            <w:r w:rsidRPr="00457E15">
              <w:rPr>
                <w:rFonts w:eastAsia="Times New Roman" w:cs="Arial"/>
                <w:sz w:val="18"/>
                <w:szCs w:val="18"/>
                <w:lang w:eastAsia="en-AU"/>
              </w:rPr>
              <w:t>on time</w:t>
            </w:r>
          </w:p>
        </w:tc>
        <w:tc>
          <w:tcPr>
            <w:tcW w:w="850" w:type="pct"/>
            <w:tcBorders>
              <w:top w:val="nil"/>
              <w:left w:val="nil"/>
              <w:bottom w:val="single" w:sz="4" w:space="0" w:color="auto"/>
              <w:right w:val="single" w:sz="4" w:space="0" w:color="auto"/>
            </w:tcBorders>
            <w:shd w:val="clear" w:color="auto" w:fill="auto"/>
          </w:tcPr>
          <w:p w14:paraId="6E921F6A" w14:textId="77777777" w:rsidR="000B54BD" w:rsidRPr="002932A7" w:rsidRDefault="000B54BD" w:rsidP="00E97A3B">
            <w:pPr>
              <w:spacing w:after="0" w:line="240" w:lineRule="auto"/>
              <w:rPr>
                <w:rFonts w:eastAsia="Times New Roman" w:cs="Arial"/>
                <w:sz w:val="18"/>
                <w:szCs w:val="18"/>
                <w:lang w:eastAsia="en-AU"/>
              </w:rPr>
            </w:pPr>
            <w:r w:rsidRPr="002932A7">
              <w:rPr>
                <w:rFonts w:eastAsia="Times New Roman" w:cs="Arial"/>
                <w:sz w:val="18"/>
                <w:szCs w:val="18"/>
                <w:lang w:eastAsia="en-AU"/>
              </w:rPr>
              <w:t xml:space="preserve">Numerator: Number of activities from the TongaHealth </w:t>
            </w:r>
            <w:r>
              <w:rPr>
                <w:rFonts w:eastAsia="Times New Roman" w:cs="Arial"/>
                <w:sz w:val="18"/>
                <w:szCs w:val="18"/>
                <w:lang w:eastAsia="en-AU"/>
              </w:rPr>
              <w:t xml:space="preserve">annual business plan </w:t>
            </w:r>
            <w:r w:rsidRPr="002932A7">
              <w:rPr>
                <w:rFonts w:eastAsia="Times New Roman" w:cs="Arial"/>
                <w:sz w:val="18"/>
                <w:szCs w:val="18"/>
                <w:lang w:eastAsia="en-AU"/>
              </w:rPr>
              <w:t>delivered</w:t>
            </w:r>
            <w:r>
              <w:rPr>
                <w:rFonts w:eastAsia="Times New Roman" w:cs="Arial"/>
                <w:sz w:val="18"/>
                <w:szCs w:val="18"/>
                <w:lang w:eastAsia="en-AU"/>
              </w:rPr>
              <w:t xml:space="preserve"> within the defined time</w:t>
            </w:r>
          </w:p>
          <w:p w14:paraId="76CC2089" w14:textId="77777777" w:rsidR="000B54BD" w:rsidRPr="002932A7" w:rsidRDefault="000B54BD" w:rsidP="00E97A3B">
            <w:pPr>
              <w:spacing w:after="0" w:line="240" w:lineRule="auto"/>
              <w:rPr>
                <w:rFonts w:eastAsia="Times New Roman" w:cs="Arial"/>
                <w:sz w:val="18"/>
                <w:szCs w:val="18"/>
                <w:lang w:eastAsia="en-AU"/>
              </w:rPr>
            </w:pPr>
          </w:p>
          <w:p w14:paraId="100931DE" w14:textId="77777777" w:rsidR="000B54BD" w:rsidRPr="00457E15" w:rsidRDefault="000B54BD" w:rsidP="00E97A3B">
            <w:pPr>
              <w:spacing w:after="0" w:line="240" w:lineRule="auto"/>
              <w:rPr>
                <w:rFonts w:eastAsia="Times New Roman" w:cs="Arial"/>
                <w:sz w:val="18"/>
                <w:szCs w:val="18"/>
                <w:lang w:eastAsia="en-AU"/>
              </w:rPr>
            </w:pPr>
            <w:r w:rsidRPr="002932A7">
              <w:rPr>
                <w:rFonts w:eastAsia="Times New Roman" w:cs="Arial"/>
                <w:sz w:val="18"/>
                <w:szCs w:val="18"/>
                <w:lang w:eastAsia="en-AU"/>
              </w:rPr>
              <w:t xml:space="preserve">Denominator: Total number of activities in the TongaHealth </w:t>
            </w:r>
            <w:r>
              <w:rPr>
                <w:rFonts w:eastAsia="Times New Roman" w:cs="Arial"/>
                <w:sz w:val="18"/>
                <w:szCs w:val="18"/>
                <w:lang w:eastAsia="en-AU"/>
              </w:rPr>
              <w:t>annual business plan x 100</w:t>
            </w:r>
          </w:p>
        </w:tc>
        <w:tc>
          <w:tcPr>
            <w:tcW w:w="450" w:type="pct"/>
            <w:tcBorders>
              <w:top w:val="nil"/>
              <w:left w:val="nil"/>
              <w:bottom w:val="single" w:sz="4" w:space="0" w:color="auto"/>
              <w:right w:val="single" w:sz="4" w:space="0" w:color="auto"/>
            </w:tcBorders>
          </w:tcPr>
          <w:p w14:paraId="4BCABC22"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3BA03DD1"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r>
              <w:rPr>
                <w:rFonts w:eastAsia="Times New Roman" w:cs="Arial"/>
                <w:sz w:val="18"/>
                <w:szCs w:val="18"/>
                <w:lang w:eastAsia="en-AU"/>
              </w:rPr>
              <w:t xml:space="preserve"> program records</w:t>
            </w:r>
          </w:p>
        </w:tc>
        <w:tc>
          <w:tcPr>
            <w:tcW w:w="550" w:type="pct"/>
            <w:tcBorders>
              <w:top w:val="nil"/>
              <w:left w:val="nil"/>
              <w:bottom w:val="single" w:sz="4" w:space="0" w:color="auto"/>
              <w:right w:val="single" w:sz="4" w:space="0" w:color="auto"/>
            </w:tcBorders>
            <w:shd w:val="clear" w:color="auto" w:fill="auto"/>
          </w:tcPr>
          <w:p w14:paraId="0D70501F"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34 action listed in </w:t>
            </w:r>
            <w:r w:rsidRPr="00A318B9">
              <w:rPr>
                <w:rFonts w:eastAsia="Times New Roman"/>
                <w:noProof/>
                <w:sz w:val="18"/>
                <w:szCs w:val="18"/>
                <w:lang w:eastAsia="en-AU"/>
              </w:rPr>
              <w:t>2015-16</w:t>
            </w:r>
            <w:r>
              <w:rPr>
                <w:rFonts w:eastAsia="Times New Roman"/>
                <w:sz w:val="18"/>
                <w:szCs w:val="18"/>
                <w:lang w:eastAsia="en-AU"/>
              </w:rPr>
              <w:t xml:space="preserve"> business plan; by April 2016 17 complete and </w:t>
            </w:r>
            <w:r w:rsidRPr="00A318B9">
              <w:rPr>
                <w:rFonts w:eastAsia="Times New Roman"/>
                <w:noProof/>
                <w:sz w:val="18"/>
                <w:szCs w:val="18"/>
                <w:lang w:eastAsia="en-AU"/>
              </w:rPr>
              <w:t>6</w:t>
            </w:r>
            <w:r>
              <w:rPr>
                <w:rFonts w:eastAsia="Times New Roman"/>
                <w:sz w:val="18"/>
                <w:szCs w:val="18"/>
                <w:lang w:eastAsia="en-AU"/>
              </w:rPr>
              <w:t xml:space="preserve"> nearly complete. Full report to be to be provided no later than August </w:t>
            </w:r>
          </w:p>
          <w:p w14:paraId="28BE7CE5"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2017.</w:t>
            </w:r>
          </w:p>
        </w:tc>
        <w:tc>
          <w:tcPr>
            <w:tcW w:w="501" w:type="pct"/>
            <w:tcBorders>
              <w:top w:val="nil"/>
              <w:left w:val="nil"/>
              <w:bottom w:val="single" w:sz="4" w:space="0" w:color="auto"/>
              <w:right w:val="single" w:sz="4" w:space="0" w:color="auto"/>
            </w:tcBorders>
            <w:shd w:val="clear" w:color="auto" w:fill="auto"/>
          </w:tcPr>
          <w:p w14:paraId="2ECA298B" w14:textId="77777777" w:rsidR="000B54BD" w:rsidRPr="00EA039F" w:rsidRDefault="000B54BD" w:rsidP="00E97A3B">
            <w:pPr>
              <w:spacing w:after="0" w:line="240" w:lineRule="auto"/>
              <w:rPr>
                <w:rFonts w:eastAsia="Times New Roman"/>
                <w:sz w:val="18"/>
                <w:szCs w:val="18"/>
                <w:lang w:eastAsia="en-AU"/>
              </w:rPr>
            </w:pPr>
            <w:r w:rsidRPr="00EA039F">
              <w:rPr>
                <w:rFonts w:eastAsia="Times New Roman"/>
                <w:sz w:val="18"/>
                <w:szCs w:val="18"/>
                <w:lang w:eastAsia="en-AU"/>
              </w:rPr>
              <w:t>-</w:t>
            </w:r>
          </w:p>
          <w:p w14:paraId="1CA896DC" w14:textId="77777777" w:rsidR="000B54BD" w:rsidRPr="00EA039F"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CCFFCC"/>
          </w:tcPr>
          <w:p w14:paraId="0AB035D7" w14:textId="77777777" w:rsidR="000B54BD" w:rsidRDefault="000B54BD" w:rsidP="00E97A3B">
            <w:pPr>
              <w:spacing w:after="0" w:line="240" w:lineRule="auto"/>
              <w:rPr>
                <w:rFonts w:eastAsia="Times New Roman"/>
                <w:sz w:val="18"/>
                <w:szCs w:val="18"/>
                <w:lang w:eastAsia="en-AU"/>
              </w:rPr>
            </w:pPr>
            <w:r w:rsidRPr="00EA039F">
              <w:rPr>
                <w:rFonts w:eastAsia="Times New Roman"/>
                <w:sz w:val="18"/>
                <w:szCs w:val="18"/>
                <w:lang w:eastAsia="en-AU"/>
              </w:rPr>
              <w:t xml:space="preserve">95.6% </w:t>
            </w:r>
            <w:r>
              <w:rPr>
                <w:rFonts w:eastAsia="Times New Roman"/>
                <w:sz w:val="18"/>
                <w:szCs w:val="18"/>
                <w:lang w:eastAsia="en-AU"/>
              </w:rPr>
              <w:br/>
            </w:r>
            <w:r w:rsidRPr="00EA039F">
              <w:rPr>
                <w:rFonts w:eastAsia="Times New Roman"/>
                <w:sz w:val="18"/>
                <w:szCs w:val="18"/>
                <w:lang w:eastAsia="en-AU"/>
              </w:rPr>
              <w:t>(22/23)</w:t>
            </w:r>
          </w:p>
          <w:p w14:paraId="250E2A43" w14:textId="77777777" w:rsidR="000B54BD" w:rsidRPr="00EA039F" w:rsidRDefault="000B54BD" w:rsidP="00E97A3B">
            <w:pPr>
              <w:spacing w:after="0" w:line="240" w:lineRule="auto"/>
              <w:rPr>
                <w:rFonts w:eastAsia="Times New Roman"/>
                <w:sz w:val="18"/>
                <w:szCs w:val="18"/>
                <w:lang w:eastAsia="en-AU"/>
              </w:rPr>
            </w:pPr>
            <w:r>
              <w:rPr>
                <w:rFonts w:eastAsia="Times New Roman"/>
                <w:sz w:val="18"/>
                <w:szCs w:val="18"/>
                <w:lang w:eastAsia="en-AU"/>
              </w:rPr>
              <w:t>2016-17</w:t>
            </w:r>
          </w:p>
        </w:tc>
        <w:tc>
          <w:tcPr>
            <w:tcW w:w="655" w:type="pct"/>
            <w:tcBorders>
              <w:top w:val="nil"/>
              <w:left w:val="nil"/>
              <w:bottom w:val="single" w:sz="4" w:space="0" w:color="auto"/>
              <w:right w:val="single" w:sz="4" w:space="0" w:color="auto"/>
            </w:tcBorders>
            <w:shd w:val="clear" w:color="auto" w:fill="FFFF66"/>
          </w:tcPr>
          <w:p w14:paraId="2B7805D0" w14:textId="77777777" w:rsidR="000B54BD" w:rsidRPr="00EA039F" w:rsidRDefault="000B54BD" w:rsidP="00E97A3B">
            <w:pPr>
              <w:spacing w:after="0" w:line="240" w:lineRule="auto"/>
              <w:rPr>
                <w:rFonts w:eastAsia="Times New Roman"/>
                <w:sz w:val="18"/>
                <w:szCs w:val="18"/>
                <w:lang w:eastAsia="en-AU"/>
              </w:rPr>
            </w:pPr>
            <w:r w:rsidRPr="00EA039F">
              <w:rPr>
                <w:rFonts w:eastAsia="Times New Roman"/>
                <w:sz w:val="18"/>
                <w:szCs w:val="18"/>
                <w:lang w:eastAsia="en-AU"/>
              </w:rPr>
              <w:t xml:space="preserve">87.5 % </w:t>
            </w:r>
            <w:r>
              <w:rPr>
                <w:rFonts w:eastAsia="Times New Roman"/>
                <w:sz w:val="18"/>
                <w:szCs w:val="18"/>
                <w:lang w:eastAsia="en-AU"/>
              </w:rPr>
              <w:br/>
            </w:r>
            <w:r w:rsidRPr="00EA039F">
              <w:rPr>
                <w:rFonts w:eastAsia="Times New Roman"/>
                <w:sz w:val="18"/>
                <w:szCs w:val="18"/>
                <w:lang w:eastAsia="en-AU"/>
              </w:rPr>
              <w:t>(21/24)</w:t>
            </w:r>
            <w:r>
              <w:rPr>
                <w:rFonts w:eastAsia="Times New Roman"/>
                <w:sz w:val="18"/>
                <w:szCs w:val="18"/>
                <w:lang w:eastAsia="en-AU"/>
              </w:rPr>
              <w:br/>
              <w:t>2017-18</w:t>
            </w:r>
          </w:p>
        </w:tc>
      </w:tr>
      <w:tr w:rsidR="000B54BD" w:rsidRPr="00457E15" w14:paraId="0546009B" w14:textId="77777777" w:rsidTr="00E97A3B">
        <w:trPr>
          <w:gridAfter w:val="2"/>
          <w:wAfter w:w="7" w:type="pct"/>
          <w:trHeight w:val="63"/>
        </w:trPr>
        <w:tc>
          <w:tcPr>
            <w:tcW w:w="338" w:type="pct"/>
            <w:tcBorders>
              <w:top w:val="single" w:sz="4" w:space="0" w:color="auto"/>
              <w:left w:val="single" w:sz="4" w:space="0" w:color="auto"/>
              <w:bottom w:val="single" w:sz="4" w:space="0" w:color="auto"/>
              <w:right w:val="nil"/>
            </w:tcBorders>
            <w:shd w:val="clear" w:color="auto" w:fill="auto"/>
            <w:noWrap/>
          </w:tcPr>
          <w:p w14:paraId="76D9CC39"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13</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C7C92E8" w14:textId="77777777" w:rsidR="000B54BD" w:rsidRDefault="000B54BD" w:rsidP="00E97A3B">
            <w:pPr>
              <w:spacing w:after="0" w:line="240" w:lineRule="auto"/>
              <w:rPr>
                <w:rFonts w:eastAsia="Times New Roman" w:cs="Arial"/>
                <w:sz w:val="18"/>
                <w:szCs w:val="18"/>
                <w:lang w:eastAsia="en-AU"/>
              </w:rPr>
            </w:pPr>
            <w:r w:rsidRPr="0022482F">
              <w:rPr>
                <w:b/>
                <w:color w:val="000000"/>
                <w:sz w:val="18"/>
                <w:szCs w:val="18"/>
                <w:shd w:val="clear" w:color="auto" w:fill="FFFFFF"/>
              </w:rPr>
              <w:t>OUTCOME:</w:t>
            </w:r>
            <w:r w:rsidRPr="003572EA">
              <w:rPr>
                <w:color w:val="000000"/>
                <w:sz w:val="18"/>
                <w:szCs w:val="18"/>
                <w:shd w:val="clear" w:color="auto" w:fill="FFFFFF"/>
              </w:rPr>
              <w:t xml:space="preserve"> NCD Prevention activities implemented and reported against as a percentage of all NCD planned activities for that year, %</w:t>
            </w:r>
          </w:p>
        </w:tc>
        <w:tc>
          <w:tcPr>
            <w:tcW w:w="850" w:type="pct"/>
            <w:tcBorders>
              <w:top w:val="nil"/>
              <w:left w:val="nil"/>
              <w:bottom w:val="single" w:sz="4" w:space="0" w:color="auto"/>
              <w:right w:val="single" w:sz="4" w:space="0" w:color="auto"/>
            </w:tcBorders>
            <w:shd w:val="clear" w:color="auto" w:fill="auto"/>
          </w:tcPr>
          <w:p w14:paraId="721C8CD8" w14:textId="77777777" w:rsidR="000B54BD" w:rsidRPr="004258C7" w:rsidRDefault="000B54BD" w:rsidP="00E97A3B">
            <w:pPr>
              <w:spacing w:after="0" w:line="240" w:lineRule="auto"/>
              <w:rPr>
                <w:color w:val="000000"/>
                <w:sz w:val="18"/>
                <w:szCs w:val="18"/>
                <w:shd w:val="clear" w:color="auto" w:fill="FFFFFF"/>
              </w:rPr>
            </w:pPr>
            <w:r w:rsidRPr="004258C7">
              <w:rPr>
                <w:color w:val="000000"/>
                <w:sz w:val="18"/>
                <w:szCs w:val="18"/>
                <w:shd w:val="clear" w:color="auto" w:fill="FFFFFF"/>
              </w:rPr>
              <w:t xml:space="preserve">Health promotion activities refer to NCD promotion activities identified in the NCD Strategy. These health promotion activities may also be in the TongaHealth annual business plan. </w:t>
            </w:r>
          </w:p>
          <w:p w14:paraId="4C542E02" w14:textId="77777777" w:rsidR="000B54BD" w:rsidRPr="004258C7" w:rsidRDefault="000B54BD" w:rsidP="00E97A3B">
            <w:pPr>
              <w:spacing w:after="0" w:line="240" w:lineRule="auto"/>
              <w:rPr>
                <w:color w:val="000000"/>
                <w:sz w:val="18"/>
                <w:szCs w:val="18"/>
                <w:shd w:val="clear" w:color="auto" w:fill="FFFFFF"/>
              </w:rPr>
            </w:pPr>
            <w:r w:rsidRPr="004258C7">
              <w:rPr>
                <w:color w:val="000000"/>
                <w:sz w:val="18"/>
                <w:szCs w:val="18"/>
                <w:shd w:val="clear" w:color="auto" w:fill="FFFFFF"/>
              </w:rPr>
              <w:t>Numerator: Number of health promotion activities planned, implemented and reported for the year</w:t>
            </w:r>
          </w:p>
          <w:p w14:paraId="5475E029" w14:textId="77777777" w:rsidR="000B54BD" w:rsidRPr="004258C7" w:rsidRDefault="000B54BD" w:rsidP="00E97A3B">
            <w:pPr>
              <w:spacing w:after="0" w:line="240" w:lineRule="auto"/>
              <w:rPr>
                <w:color w:val="000000"/>
                <w:sz w:val="18"/>
                <w:szCs w:val="18"/>
                <w:shd w:val="clear" w:color="auto" w:fill="FFFFFF"/>
              </w:rPr>
            </w:pPr>
            <w:r w:rsidRPr="004258C7">
              <w:rPr>
                <w:color w:val="000000"/>
                <w:sz w:val="18"/>
                <w:szCs w:val="18"/>
                <w:shd w:val="clear" w:color="auto" w:fill="FFFFFF"/>
              </w:rPr>
              <w:t>Denominator: Total number of NCD health promotion activities planned in the year x 100</w:t>
            </w:r>
          </w:p>
        </w:tc>
        <w:tc>
          <w:tcPr>
            <w:tcW w:w="450" w:type="pct"/>
            <w:tcBorders>
              <w:top w:val="single" w:sz="4" w:space="0" w:color="auto"/>
              <w:left w:val="nil"/>
              <w:bottom w:val="single" w:sz="4" w:space="0" w:color="auto"/>
              <w:right w:val="single" w:sz="4" w:space="0" w:color="auto"/>
            </w:tcBorders>
          </w:tcPr>
          <w:p w14:paraId="49257224" w14:textId="77777777" w:rsidR="000B54BD" w:rsidRPr="00457E15" w:rsidRDefault="000B54BD" w:rsidP="00E97A3B">
            <w:pPr>
              <w:spacing w:after="0" w:line="240" w:lineRule="auto"/>
              <w:rPr>
                <w:rFonts w:eastAsia="Times New Roman"/>
                <w:sz w:val="18"/>
                <w:szCs w:val="18"/>
                <w:lang w:eastAsia="en-AU"/>
              </w:rPr>
            </w:pPr>
            <w:r w:rsidRPr="003572EA">
              <w:rPr>
                <w:color w:val="000000"/>
                <w:sz w:val="18"/>
                <w:szCs w:val="18"/>
                <w:shd w:val="clear" w:color="auto" w:fill="FFFFFF"/>
              </w:rPr>
              <w:t>At least 80 % is implemented and reported against</w:t>
            </w:r>
          </w:p>
        </w:tc>
        <w:tc>
          <w:tcPr>
            <w:tcW w:w="550" w:type="pct"/>
            <w:tcBorders>
              <w:top w:val="nil"/>
              <w:left w:val="single" w:sz="4" w:space="0" w:color="auto"/>
              <w:bottom w:val="single" w:sz="4" w:space="0" w:color="auto"/>
              <w:right w:val="single" w:sz="4" w:space="0" w:color="auto"/>
            </w:tcBorders>
            <w:shd w:val="clear" w:color="auto" w:fill="auto"/>
          </w:tcPr>
          <w:p w14:paraId="3C98A279" w14:textId="77777777" w:rsidR="000B54BD" w:rsidRPr="00457E15" w:rsidRDefault="000B54BD" w:rsidP="00E97A3B">
            <w:pPr>
              <w:spacing w:after="0" w:line="240" w:lineRule="auto"/>
              <w:rPr>
                <w:rFonts w:eastAsia="Times New Roman" w:cs="Arial"/>
                <w:sz w:val="18"/>
                <w:szCs w:val="18"/>
                <w:lang w:eastAsia="en-AU"/>
              </w:rPr>
            </w:pPr>
            <w:r w:rsidRPr="003572EA">
              <w:rPr>
                <w:color w:val="000000"/>
                <w:sz w:val="18"/>
                <w:szCs w:val="18"/>
                <w:shd w:val="clear" w:color="auto" w:fill="FFFFFF"/>
              </w:rPr>
              <w:t>TongaHealth</w:t>
            </w:r>
            <w:r>
              <w:rPr>
                <w:color w:val="000000"/>
                <w:sz w:val="18"/>
                <w:szCs w:val="18"/>
                <w:shd w:val="clear" w:color="auto" w:fill="FFFFFF"/>
              </w:rPr>
              <w:t xml:space="preserve"> program records</w:t>
            </w:r>
          </w:p>
        </w:tc>
        <w:tc>
          <w:tcPr>
            <w:tcW w:w="550" w:type="pct"/>
            <w:tcBorders>
              <w:top w:val="nil"/>
              <w:left w:val="nil"/>
              <w:bottom w:val="single" w:sz="4" w:space="0" w:color="auto"/>
              <w:right w:val="single" w:sz="4" w:space="0" w:color="auto"/>
            </w:tcBorders>
            <w:shd w:val="clear" w:color="auto" w:fill="auto"/>
          </w:tcPr>
          <w:p w14:paraId="469DDC2A" w14:textId="77777777" w:rsidR="000B54BD" w:rsidRDefault="000B54BD" w:rsidP="00E97A3B">
            <w:pPr>
              <w:spacing w:after="0" w:line="240" w:lineRule="auto"/>
              <w:rPr>
                <w:rFonts w:eastAsia="Times New Roman"/>
                <w:sz w:val="18"/>
                <w:szCs w:val="18"/>
                <w:lang w:eastAsia="en-AU"/>
              </w:rPr>
            </w:pPr>
            <w:r w:rsidRPr="00F54552">
              <w:rPr>
                <w:color w:val="000000"/>
                <w:sz w:val="18"/>
                <w:szCs w:val="18"/>
                <w:shd w:val="clear" w:color="auto" w:fill="FFFFFF"/>
              </w:rPr>
              <w:t xml:space="preserve">Data to be </w:t>
            </w:r>
            <w:r>
              <w:rPr>
                <w:color w:val="000000"/>
                <w:sz w:val="18"/>
                <w:szCs w:val="18"/>
                <w:shd w:val="clear" w:color="auto" w:fill="FFFFFF"/>
              </w:rPr>
              <w:t>reported no later than August 2017</w:t>
            </w:r>
          </w:p>
        </w:tc>
        <w:tc>
          <w:tcPr>
            <w:tcW w:w="501" w:type="pct"/>
            <w:tcBorders>
              <w:top w:val="nil"/>
              <w:left w:val="nil"/>
              <w:bottom w:val="single" w:sz="4" w:space="0" w:color="auto"/>
              <w:right w:val="single" w:sz="4" w:space="0" w:color="auto"/>
            </w:tcBorders>
            <w:shd w:val="clear" w:color="auto" w:fill="CCFFCC"/>
          </w:tcPr>
          <w:p w14:paraId="311419CA" w14:textId="77777777" w:rsidR="000B54BD" w:rsidRPr="00262A22" w:rsidRDefault="000B54BD" w:rsidP="00E97A3B">
            <w:pPr>
              <w:rPr>
                <w:sz w:val="18"/>
              </w:rPr>
            </w:pPr>
            <w:r w:rsidRPr="00262A22">
              <w:rPr>
                <w:sz w:val="18"/>
              </w:rPr>
              <w:t xml:space="preserve">100% </w:t>
            </w:r>
          </w:p>
          <w:p w14:paraId="6B2E2EC0" w14:textId="77777777" w:rsidR="000B54BD" w:rsidRPr="00262A22" w:rsidRDefault="000B54BD" w:rsidP="00E97A3B">
            <w:pPr>
              <w:rPr>
                <w:sz w:val="18"/>
              </w:rPr>
            </w:pPr>
            <w:r w:rsidRPr="00262A22">
              <w:rPr>
                <w:sz w:val="18"/>
              </w:rPr>
              <w:t>(2 NCD prevention activities funded: 2016 Anti-tobacco campaign and pilot remote patient monitoring)</w:t>
            </w:r>
          </w:p>
          <w:p w14:paraId="65C469D1" w14:textId="77777777" w:rsidR="000B54BD" w:rsidRPr="00262A22" w:rsidRDefault="000B54BD" w:rsidP="00E97A3B">
            <w:pPr>
              <w:rPr>
                <w:sz w:val="18"/>
              </w:rPr>
            </w:pPr>
            <w:r w:rsidRPr="00262A22">
              <w:rPr>
                <w:sz w:val="18"/>
              </w:rPr>
              <w:t>2015-16</w:t>
            </w:r>
          </w:p>
          <w:p w14:paraId="3B1C70AF" w14:textId="77777777" w:rsidR="000B54BD" w:rsidRPr="00262A22" w:rsidRDefault="000B54BD" w:rsidP="00E97A3B">
            <w:pPr>
              <w:rPr>
                <w:sz w:val="18"/>
              </w:rPr>
            </w:pPr>
          </w:p>
        </w:tc>
        <w:tc>
          <w:tcPr>
            <w:tcW w:w="549" w:type="pct"/>
            <w:tcBorders>
              <w:top w:val="nil"/>
              <w:left w:val="nil"/>
              <w:bottom w:val="single" w:sz="4" w:space="0" w:color="auto"/>
              <w:right w:val="single" w:sz="4" w:space="0" w:color="auto"/>
            </w:tcBorders>
            <w:shd w:val="clear" w:color="auto" w:fill="CCFFCC"/>
          </w:tcPr>
          <w:p w14:paraId="4D1BC9C8" w14:textId="77777777" w:rsidR="000B54BD" w:rsidRPr="00262A22" w:rsidRDefault="000B54BD" w:rsidP="00E97A3B">
            <w:pPr>
              <w:rPr>
                <w:sz w:val="18"/>
              </w:rPr>
            </w:pPr>
            <w:r w:rsidRPr="00262A22">
              <w:rPr>
                <w:sz w:val="18"/>
              </w:rPr>
              <w:t>95% (20 of 21) grants implemented and reported. One grant cancelled.</w:t>
            </w:r>
          </w:p>
          <w:p w14:paraId="3E18E030" w14:textId="77777777" w:rsidR="000B54BD" w:rsidRPr="00262A22" w:rsidRDefault="000B54BD" w:rsidP="00E97A3B">
            <w:pPr>
              <w:rPr>
                <w:sz w:val="18"/>
              </w:rPr>
            </w:pPr>
            <w:r w:rsidRPr="00262A22">
              <w:rPr>
                <w:sz w:val="18"/>
              </w:rPr>
              <w:t>2016-17</w:t>
            </w:r>
          </w:p>
        </w:tc>
        <w:tc>
          <w:tcPr>
            <w:tcW w:w="655" w:type="pct"/>
            <w:tcBorders>
              <w:top w:val="nil"/>
              <w:left w:val="nil"/>
              <w:bottom w:val="single" w:sz="4" w:space="0" w:color="auto"/>
              <w:right w:val="single" w:sz="4" w:space="0" w:color="auto"/>
            </w:tcBorders>
            <w:shd w:val="clear" w:color="auto" w:fill="CCFFCC"/>
          </w:tcPr>
          <w:p w14:paraId="5B5D65CE" w14:textId="77777777" w:rsidR="000B54BD" w:rsidRPr="00262A22" w:rsidRDefault="000B54BD" w:rsidP="00E97A3B">
            <w:pPr>
              <w:rPr>
                <w:sz w:val="18"/>
              </w:rPr>
            </w:pPr>
            <w:r w:rsidRPr="00262A22">
              <w:rPr>
                <w:sz w:val="18"/>
              </w:rPr>
              <w:t>100% (16 of 16) grants implemented</w:t>
            </w:r>
          </w:p>
          <w:p w14:paraId="29177DE8" w14:textId="77777777" w:rsidR="000B54BD" w:rsidRPr="00262A22" w:rsidRDefault="000B54BD" w:rsidP="00E97A3B">
            <w:pPr>
              <w:rPr>
                <w:sz w:val="18"/>
              </w:rPr>
            </w:pPr>
            <w:r w:rsidRPr="00262A22">
              <w:rPr>
                <w:sz w:val="18"/>
              </w:rPr>
              <w:t>2017-18</w:t>
            </w:r>
          </w:p>
        </w:tc>
      </w:tr>
      <w:tr w:rsidR="000B54BD" w:rsidRPr="00457E15" w14:paraId="3263FBEF" w14:textId="77777777" w:rsidTr="00E97A3B">
        <w:trPr>
          <w:gridAfter w:val="2"/>
          <w:wAfter w:w="7" w:type="pct"/>
          <w:trHeight w:val="63"/>
        </w:trPr>
        <w:tc>
          <w:tcPr>
            <w:tcW w:w="338" w:type="pct"/>
            <w:tcBorders>
              <w:top w:val="single" w:sz="4" w:space="0" w:color="auto"/>
              <w:left w:val="single" w:sz="4" w:space="0" w:color="auto"/>
              <w:bottom w:val="single" w:sz="4" w:space="0" w:color="auto"/>
              <w:right w:val="nil"/>
            </w:tcBorders>
            <w:shd w:val="clear" w:color="auto" w:fill="auto"/>
            <w:noWrap/>
          </w:tcPr>
          <w:p w14:paraId="6991ED2F"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14</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E450ABA" w14:textId="77777777" w:rsidR="000B54BD" w:rsidRPr="0022482F" w:rsidRDefault="000B54BD" w:rsidP="00E97A3B">
            <w:pPr>
              <w:spacing w:after="0" w:line="240" w:lineRule="auto"/>
              <w:rPr>
                <w:b/>
                <w:color w:val="000000"/>
                <w:sz w:val="18"/>
                <w:szCs w:val="18"/>
                <w:shd w:val="clear" w:color="auto" w:fill="FFFFFF"/>
              </w:rPr>
            </w:pPr>
            <w:r>
              <w:rPr>
                <w:b/>
                <w:color w:val="000000"/>
                <w:sz w:val="18"/>
                <w:szCs w:val="18"/>
                <w:shd w:val="clear" w:color="auto" w:fill="FFFFFF"/>
              </w:rPr>
              <w:t xml:space="preserve">PROCESS: </w:t>
            </w:r>
            <w:r w:rsidRPr="002170CD">
              <w:rPr>
                <w:color w:val="000000"/>
                <w:sz w:val="18"/>
                <w:szCs w:val="18"/>
                <w:shd w:val="clear" w:color="auto" w:fill="FFFFFF"/>
              </w:rPr>
              <w:t>Number of media awareness campaigns for NCD prevention conducted or commissioned</w:t>
            </w:r>
            <w:r>
              <w:rPr>
                <w:b/>
                <w:color w:val="000000"/>
                <w:sz w:val="18"/>
                <w:szCs w:val="18"/>
                <w:shd w:val="clear" w:color="auto" w:fill="FFFFFF"/>
              </w:rPr>
              <w:t xml:space="preserve"> </w:t>
            </w:r>
          </w:p>
        </w:tc>
        <w:tc>
          <w:tcPr>
            <w:tcW w:w="850" w:type="pct"/>
            <w:tcBorders>
              <w:top w:val="nil"/>
              <w:left w:val="nil"/>
              <w:bottom w:val="single" w:sz="4" w:space="0" w:color="auto"/>
              <w:right w:val="single" w:sz="4" w:space="0" w:color="auto"/>
            </w:tcBorders>
            <w:shd w:val="clear" w:color="auto" w:fill="auto"/>
          </w:tcPr>
          <w:p w14:paraId="59B95590" w14:textId="77777777" w:rsidR="000B54BD" w:rsidRPr="003572EA" w:rsidRDefault="000B54BD" w:rsidP="00E97A3B">
            <w:pPr>
              <w:spacing w:after="0" w:line="240" w:lineRule="auto"/>
              <w:rPr>
                <w:color w:val="000000"/>
                <w:sz w:val="18"/>
                <w:szCs w:val="18"/>
                <w:shd w:val="clear" w:color="auto" w:fill="FFFFFF"/>
              </w:rPr>
            </w:pPr>
            <w:r>
              <w:rPr>
                <w:color w:val="000000"/>
                <w:sz w:val="18"/>
                <w:szCs w:val="18"/>
                <w:shd w:val="clear" w:color="auto" w:fill="FFFFFF"/>
              </w:rPr>
              <w:t>This indicator captures the part of the activities planned by TongaHealth and the National NCD Strategy. Media campaigns may include all forms of media and may be stand-alone or multipronged programs.</w:t>
            </w:r>
          </w:p>
        </w:tc>
        <w:tc>
          <w:tcPr>
            <w:tcW w:w="450" w:type="pct"/>
            <w:tcBorders>
              <w:top w:val="single" w:sz="4" w:space="0" w:color="auto"/>
              <w:left w:val="nil"/>
              <w:bottom w:val="single" w:sz="4" w:space="0" w:color="auto"/>
              <w:right w:val="single" w:sz="4" w:space="0" w:color="auto"/>
            </w:tcBorders>
          </w:tcPr>
          <w:p w14:paraId="361466E8" w14:textId="77777777" w:rsidR="000B54BD" w:rsidRPr="003572EA" w:rsidRDefault="000B54BD" w:rsidP="00E97A3B">
            <w:pPr>
              <w:spacing w:after="0" w:line="240" w:lineRule="auto"/>
              <w:rPr>
                <w:color w:val="000000"/>
                <w:sz w:val="18"/>
                <w:szCs w:val="18"/>
                <w:shd w:val="clear" w:color="auto" w:fill="FFFFFF"/>
              </w:rPr>
            </w:pPr>
          </w:p>
        </w:tc>
        <w:tc>
          <w:tcPr>
            <w:tcW w:w="550" w:type="pct"/>
            <w:tcBorders>
              <w:top w:val="nil"/>
              <w:left w:val="single" w:sz="4" w:space="0" w:color="auto"/>
              <w:bottom w:val="single" w:sz="4" w:space="0" w:color="auto"/>
              <w:right w:val="single" w:sz="4" w:space="0" w:color="auto"/>
            </w:tcBorders>
            <w:shd w:val="clear" w:color="auto" w:fill="auto"/>
          </w:tcPr>
          <w:p w14:paraId="47BC93D8" w14:textId="77777777" w:rsidR="000B54BD" w:rsidRDefault="000B54BD" w:rsidP="00E97A3B">
            <w:pPr>
              <w:spacing w:after="0" w:line="240" w:lineRule="auto"/>
              <w:rPr>
                <w:color w:val="000000"/>
                <w:sz w:val="18"/>
                <w:szCs w:val="18"/>
                <w:shd w:val="clear" w:color="auto" w:fill="FFFFFF"/>
              </w:rPr>
            </w:pPr>
            <w:r w:rsidRPr="003572EA">
              <w:rPr>
                <w:color w:val="000000"/>
                <w:sz w:val="18"/>
                <w:szCs w:val="18"/>
                <w:shd w:val="clear" w:color="auto" w:fill="FFFFFF"/>
              </w:rPr>
              <w:t>TongaHealth</w:t>
            </w:r>
            <w:r>
              <w:rPr>
                <w:color w:val="000000"/>
                <w:sz w:val="18"/>
                <w:szCs w:val="18"/>
                <w:shd w:val="clear" w:color="auto" w:fill="FFFFFF"/>
              </w:rPr>
              <w:t xml:space="preserve"> program records</w:t>
            </w:r>
          </w:p>
          <w:p w14:paraId="28809CD6" w14:textId="77777777" w:rsidR="000B54BD" w:rsidRDefault="000B54BD" w:rsidP="00E97A3B">
            <w:pPr>
              <w:spacing w:after="0" w:line="240" w:lineRule="auto"/>
              <w:rPr>
                <w:color w:val="000000"/>
                <w:sz w:val="18"/>
                <w:szCs w:val="18"/>
                <w:shd w:val="clear" w:color="auto" w:fill="FFFFFF"/>
              </w:rPr>
            </w:pPr>
          </w:p>
          <w:p w14:paraId="690D8FA3" w14:textId="77777777" w:rsidR="000B54BD" w:rsidRPr="003572EA" w:rsidRDefault="000B54BD" w:rsidP="00E97A3B">
            <w:pPr>
              <w:spacing w:after="0" w:line="240" w:lineRule="auto"/>
              <w:rPr>
                <w:color w:val="000000"/>
                <w:sz w:val="18"/>
                <w:szCs w:val="18"/>
                <w:shd w:val="clear" w:color="auto" w:fill="FFFFFF"/>
              </w:rPr>
            </w:pPr>
            <w:r>
              <w:rPr>
                <w:color w:val="000000"/>
                <w:sz w:val="18"/>
                <w:szCs w:val="18"/>
                <w:shd w:val="clear" w:color="auto" w:fill="FFFFFF"/>
              </w:rPr>
              <w:t>Note: no target set for this indicator</w:t>
            </w:r>
          </w:p>
        </w:tc>
        <w:tc>
          <w:tcPr>
            <w:tcW w:w="550" w:type="pct"/>
            <w:tcBorders>
              <w:top w:val="nil"/>
              <w:left w:val="nil"/>
              <w:bottom w:val="single" w:sz="4" w:space="0" w:color="auto"/>
              <w:right w:val="single" w:sz="4" w:space="0" w:color="auto"/>
            </w:tcBorders>
            <w:shd w:val="clear" w:color="auto" w:fill="auto"/>
          </w:tcPr>
          <w:p w14:paraId="484C4E82" w14:textId="77777777" w:rsidR="000B54BD" w:rsidRPr="003572EA" w:rsidRDefault="000B54BD" w:rsidP="00E97A3B">
            <w:pPr>
              <w:spacing w:after="0" w:line="240" w:lineRule="auto"/>
              <w:rPr>
                <w:color w:val="000000"/>
                <w:sz w:val="18"/>
                <w:szCs w:val="18"/>
                <w:shd w:val="clear" w:color="auto" w:fill="FFFFFF"/>
              </w:rPr>
            </w:pPr>
            <w:r w:rsidRPr="00F54552">
              <w:rPr>
                <w:color w:val="000000"/>
                <w:sz w:val="18"/>
                <w:szCs w:val="18"/>
                <w:shd w:val="clear" w:color="auto" w:fill="FFFFFF"/>
              </w:rPr>
              <w:t xml:space="preserve">Data to be </w:t>
            </w:r>
            <w:r>
              <w:rPr>
                <w:color w:val="000000"/>
                <w:sz w:val="18"/>
                <w:szCs w:val="18"/>
                <w:shd w:val="clear" w:color="auto" w:fill="FFFFFF"/>
              </w:rPr>
              <w:t>reported no later than August 2017</w:t>
            </w:r>
          </w:p>
        </w:tc>
        <w:tc>
          <w:tcPr>
            <w:tcW w:w="501" w:type="pct"/>
            <w:tcBorders>
              <w:top w:val="nil"/>
              <w:left w:val="nil"/>
              <w:bottom w:val="single" w:sz="4" w:space="0" w:color="auto"/>
              <w:right w:val="single" w:sz="4" w:space="0" w:color="auto"/>
            </w:tcBorders>
            <w:shd w:val="clear" w:color="auto" w:fill="FFFF66"/>
          </w:tcPr>
          <w:p w14:paraId="326CB974" w14:textId="77777777" w:rsidR="000B54BD" w:rsidRPr="00262A22" w:rsidRDefault="000B54BD" w:rsidP="00E97A3B">
            <w:pPr>
              <w:rPr>
                <w:sz w:val="18"/>
              </w:rPr>
            </w:pPr>
            <w:r w:rsidRPr="00262A22">
              <w:rPr>
                <w:sz w:val="18"/>
              </w:rPr>
              <w:t>(1) 2016 Anti-tobacco Campaign</w:t>
            </w:r>
          </w:p>
          <w:p w14:paraId="10136405" w14:textId="77777777" w:rsidR="000B54BD" w:rsidRPr="00262A22" w:rsidRDefault="000B54BD" w:rsidP="00E97A3B">
            <w:pPr>
              <w:rPr>
                <w:sz w:val="18"/>
              </w:rPr>
            </w:pPr>
            <w:r w:rsidRPr="00262A22">
              <w:rPr>
                <w:sz w:val="18"/>
              </w:rPr>
              <w:t>(2) Fiefia Sports media awareness (MOH/MIA)</w:t>
            </w:r>
          </w:p>
          <w:p w14:paraId="52F0D53A" w14:textId="77777777" w:rsidR="000B54BD" w:rsidRPr="00262A22" w:rsidRDefault="000B54BD" w:rsidP="00E97A3B">
            <w:pPr>
              <w:rPr>
                <w:sz w:val="18"/>
              </w:rPr>
            </w:pPr>
            <w:r w:rsidRPr="00262A22">
              <w:rPr>
                <w:sz w:val="18"/>
              </w:rPr>
              <w:t xml:space="preserve">(3) Alcohol related harm awareness </w:t>
            </w:r>
            <w:r w:rsidRPr="00262A22">
              <w:rPr>
                <w:sz w:val="18"/>
              </w:rPr>
              <w:lastRenderedPageBreak/>
              <w:t>(Salvation Army/TNYC)</w:t>
            </w:r>
          </w:p>
        </w:tc>
        <w:tc>
          <w:tcPr>
            <w:tcW w:w="549" w:type="pct"/>
            <w:tcBorders>
              <w:top w:val="nil"/>
              <w:left w:val="nil"/>
              <w:bottom w:val="single" w:sz="4" w:space="0" w:color="auto"/>
              <w:right w:val="single" w:sz="4" w:space="0" w:color="auto"/>
            </w:tcBorders>
            <w:shd w:val="clear" w:color="auto" w:fill="FFFF66"/>
          </w:tcPr>
          <w:p w14:paraId="7C3101DC" w14:textId="77777777" w:rsidR="000B54BD" w:rsidRPr="00262A22" w:rsidRDefault="000B54BD" w:rsidP="00E97A3B">
            <w:pPr>
              <w:rPr>
                <w:sz w:val="18"/>
              </w:rPr>
            </w:pPr>
            <w:r w:rsidRPr="00262A22">
              <w:rPr>
                <w:sz w:val="18"/>
              </w:rPr>
              <w:lastRenderedPageBreak/>
              <w:t>(1) 2017 Anti-tobacco Campaign</w:t>
            </w:r>
          </w:p>
          <w:p w14:paraId="7F21556C" w14:textId="77777777" w:rsidR="000B54BD" w:rsidRPr="00262A22" w:rsidRDefault="000B54BD" w:rsidP="00E97A3B">
            <w:pPr>
              <w:rPr>
                <w:sz w:val="18"/>
              </w:rPr>
            </w:pPr>
            <w:r w:rsidRPr="00262A22">
              <w:rPr>
                <w:sz w:val="18"/>
              </w:rPr>
              <w:t>(2) Fiefia Sports media awareness (MOH/MIA)</w:t>
            </w:r>
          </w:p>
          <w:p w14:paraId="3CD6FDDB" w14:textId="77777777" w:rsidR="000B54BD" w:rsidRPr="00262A22" w:rsidRDefault="000B54BD" w:rsidP="00E97A3B">
            <w:pPr>
              <w:rPr>
                <w:sz w:val="18"/>
              </w:rPr>
            </w:pPr>
            <w:r w:rsidRPr="00262A22">
              <w:rPr>
                <w:sz w:val="18"/>
              </w:rPr>
              <w:t xml:space="preserve">(3) Alcohol related harm TV series </w:t>
            </w:r>
            <w:r w:rsidRPr="00262A22">
              <w:rPr>
                <w:sz w:val="18"/>
              </w:rPr>
              <w:lastRenderedPageBreak/>
              <w:t>(commissioned by TH)</w:t>
            </w:r>
          </w:p>
          <w:p w14:paraId="1ED58A82" w14:textId="77777777" w:rsidR="000B54BD" w:rsidRPr="00262A22" w:rsidRDefault="000B54BD" w:rsidP="00E97A3B">
            <w:pPr>
              <w:rPr>
                <w:sz w:val="18"/>
              </w:rPr>
            </w:pPr>
          </w:p>
        </w:tc>
        <w:tc>
          <w:tcPr>
            <w:tcW w:w="655" w:type="pct"/>
            <w:tcBorders>
              <w:top w:val="nil"/>
              <w:left w:val="nil"/>
              <w:bottom w:val="single" w:sz="4" w:space="0" w:color="auto"/>
              <w:right w:val="single" w:sz="4" w:space="0" w:color="auto"/>
            </w:tcBorders>
            <w:shd w:val="clear" w:color="auto" w:fill="FFFF66"/>
          </w:tcPr>
          <w:p w14:paraId="012F6FCD" w14:textId="77777777" w:rsidR="000B54BD" w:rsidRPr="00262A22" w:rsidRDefault="000B54BD" w:rsidP="00E97A3B">
            <w:pPr>
              <w:rPr>
                <w:sz w:val="18"/>
              </w:rPr>
            </w:pPr>
            <w:r w:rsidRPr="00262A22">
              <w:rPr>
                <w:sz w:val="18"/>
              </w:rPr>
              <w:lastRenderedPageBreak/>
              <w:t>(1) 2018 Anti-tobacco Campaign</w:t>
            </w:r>
          </w:p>
          <w:p w14:paraId="13E0C565" w14:textId="77777777" w:rsidR="000B54BD" w:rsidRPr="00262A22" w:rsidRDefault="000B54BD" w:rsidP="00E97A3B">
            <w:pPr>
              <w:rPr>
                <w:sz w:val="18"/>
              </w:rPr>
            </w:pPr>
            <w:r w:rsidRPr="00262A22">
              <w:rPr>
                <w:sz w:val="18"/>
              </w:rPr>
              <w:t>(2) Fiefia Sports media awareness (MOH/MIA)</w:t>
            </w:r>
          </w:p>
          <w:p w14:paraId="310176D4" w14:textId="77777777" w:rsidR="000B54BD" w:rsidRPr="00262A22" w:rsidRDefault="000B54BD" w:rsidP="00E97A3B">
            <w:pPr>
              <w:rPr>
                <w:sz w:val="18"/>
              </w:rPr>
            </w:pPr>
            <w:r w:rsidRPr="00262A22">
              <w:rPr>
                <w:sz w:val="18"/>
              </w:rPr>
              <w:t>(3) Alcohol related harm TV series (commissioned by TH)</w:t>
            </w:r>
          </w:p>
          <w:p w14:paraId="20387EC5" w14:textId="77777777" w:rsidR="000B54BD" w:rsidRPr="00262A22" w:rsidRDefault="000B54BD" w:rsidP="00E97A3B">
            <w:pPr>
              <w:rPr>
                <w:sz w:val="18"/>
              </w:rPr>
            </w:pPr>
            <w:r w:rsidRPr="00262A22">
              <w:rPr>
                <w:sz w:val="18"/>
              </w:rPr>
              <w:lastRenderedPageBreak/>
              <w:t>(4) Healthy Eating Campaign commissioned</w:t>
            </w:r>
          </w:p>
        </w:tc>
      </w:tr>
      <w:tr w:rsidR="000B54BD" w:rsidRPr="00457E15" w14:paraId="596DC10C" w14:textId="77777777" w:rsidTr="00E97A3B">
        <w:trPr>
          <w:gridAfter w:val="1"/>
          <w:wAfter w:w="2" w:type="pct"/>
          <w:trHeight w:val="311"/>
        </w:trPr>
        <w:tc>
          <w:tcPr>
            <w:tcW w:w="4998"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0C4D009" w14:textId="77777777" w:rsidR="000B54BD" w:rsidRPr="00457E15" w:rsidRDefault="000B54BD" w:rsidP="00E97A3B">
            <w:pPr>
              <w:spacing w:after="0" w:line="240" w:lineRule="auto"/>
              <w:rPr>
                <w:rFonts w:eastAsia="Times New Roman" w:cs="Arial"/>
                <w:b/>
                <w:bCs/>
                <w:sz w:val="18"/>
                <w:szCs w:val="18"/>
                <w:lang w:eastAsia="en-AU"/>
              </w:rPr>
            </w:pPr>
            <w:r w:rsidRPr="00457E15">
              <w:rPr>
                <w:rFonts w:eastAsia="Times New Roman" w:cs="Arial"/>
                <w:b/>
                <w:bCs/>
                <w:sz w:val="18"/>
                <w:szCs w:val="18"/>
                <w:lang w:eastAsia="en-AU"/>
              </w:rPr>
              <w:lastRenderedPageBreak/>
              <w:t>Strategic Priority 2:   Maximise the impact of the NCD strategy through effective planning, co-ordination, harmonisation of activities and funding, and monitoring and evaluation.</w:t>
            </w:r>
          </w:p>
        </w:tc>
      </w:tr>
      <w:tr w:rsidR="000B54BD" w:rsidRPr="00457E15" w14:paraId="5B6099EE" w14:textId="77777777" w:rsidTr="00E97A3B">
        <w:trPr>
          <w:gridAfter w:val="1"/>
          <w:wAfter w:w="2" w:type="pct"/>
          <w:trHeight w:val="242"/>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6293CE5C"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Strengthen co-ordination of NCD prevention and control</w:t>
            </w:r>
          </w:p>
        </w:tc>
      </w:tr>
      <w:tr w:rsidR="000B54BD" w:rsidRPr="00457E15" w14:paraId="64FF0561" w14:textId="77777777" w:rsidTr="00E97A3B">
        <w:trPr>
          <w:gridAfter w:val="2"/>
          <w:wAfter w:w="7" w:type="pct"/>
          <w:trHeight w:val="241"/>
        </w:trPr>
        <w:tc>
          <w:tcPr>
            <w:tcW w:w="338" w:type="pct"/>
            <w:tcBorders>
              <w:top w:val="single" w:sz="4" w:space="0" w:color="auto"/>
              <w:left w:val="single" w:sz="4" w:space="0" w:color="auto"/>
              <w:bottom w:val="single" w:sz="4" w:space="0" w:color="auto"/>
              <w:right w:val="nil"/>
            </w:tcBorders>
            <w:shd w:val="clear" w:color="auto" w:fill="auto"/>
            <w:noWrap/>
          </w:tcPr>
          <w:p w14:paraId="23FE18A1"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15</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660391CE"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b/>
                <w:sz w:val="18"/>
                <w:szCs w:val="18"/>
                <w:lang w:eastAsia="en-AU"/>
              </w:rPr>
              <w:t>OUTPUT:</w:t>
            </w:r>
            <w:r>
              <w:rPr>
                <w:rFonts w:eastAsia="Times New Roman"/>
                <w:sz w:val="18"/>
                <w:szCs w:val="18"/>
                <w:lang w:eastAsia="en-AU"/>
              </w:rPr>
              <w:t xml:space="preserve"> </w:t>
            </w:r>
            <w:r w:rsidRPr="00457E15">
              <w:rPr>
                <w:rFonts w:eastAsia="Times New Roman"/>
                <w:sz w:val="18"/>
                <w:szCs w:val="18"/>
                <w:lang w:eastAsia="en-AU"/>
              </w:rPr>
              <w:t>% of attendance by nominated representative for National NCDs governance and Advisory Committee meetings</w:t>
            </w:r>
          </w:p>
        </w:tc>
        <w:tc>
          <w:tcPr>
            <w:tcW w:w="850" w:type="pct"/>
            <w:tcBorders>
              <w:top w:val="single" w:sz="4" w:space="0" w:color="auto"/>
              <w:left w:val="nil"/>
              <w:bottom w:val="single" w:sz="4" w:space="0" w:color="auto"/>
              <w:right w:val="single" w:sz="4" w:space="0" w:color="auto"/>
            </w:tcBorders>
            <w:shd w:val="clear" w:color="auto" w:fill="FFFFFF" w:themeFill="background1"/>
          </w:tcPr>
          <w:p w14:paraId="31FD8A51"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Numerator: Number of nominated representatives in attendance </w:t>
            </w:r>
          </w:p>
          <w:p w14:paraId="66B01047" w14:textId="77777777" w:rsidR="000B54BD" w:rsidRDefault="000B54BD" w:rsidP="00E97A3B">
            <w:pPr>
              <w:spacing w:after="0" w:line="240" w:lineRule="auto"/>
              <w:rPr>
                <w:rFonts w:eastAsia="Times New Roman" w:cs="Arial"/>
                <w:sz w:val="18"/>
                <w:szCs w:val="18"/>
                <w:lang w:eastAsia="en-AU"/>
              </w:rPr>
            </w:pPr>
          </w:p>
          <w:p w14:paraId="0B6D5F3E"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Denominator: Total number of nominated representatives x 100 </w:t>
            </w:r>
          </w:p>
          <w:p w14:paraId="7DEB9321" w14:textId="77777777" w:rsidR="000B54BD" w:rsidRPr="00457E15" w:rsidRDefault="000B54BD" w:rsidP="00E97A3B">
            <w:pPr>
              <w:spacing w:after="0" w:line="240" w:lineRule="auto"/>
              <w:rPr>
                <w:rFonts w:eastAsia="Times New Roman" w:cs="Arial"/>
                <w:sz w:val="18"/>
                <w:szCs w:val="18"/>
                <w:lang w:eastAsia="en-AU"/>
              </w:rPr>
            </w:pPr>
          </w:p>
        </w:tc>
        <w:tc>
          <w:tcPr>
            <w:tcW w:w="450" w:type="pct"/>
            <w:tcBorders>
              <w:top w:val="nil"/>
              <w:left w:val="nil"/>
              <w:bottom w:val="single" w:sz="4" w:space="0" w:color="auto"/>
              <w:right w:val="single" w:sz="4" w:space="0" w:color="auto"/>
            </w:tcBorders>
            <w:shd w:val="clear" w:color="auto" w:fill="auto"/>
          </w:tcPr>
          <w:p w14:paraId="51784F60"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80%</w:t>
            </w:r>
          </w:p>
        </w:tc>
        <w:tc>
          <w:tcPr>
            <w:tcW w:w="550" w:type="pct"/>
            <w:tcBorders>
              <w:top w:val="nil"/>
              <w:left w:val="single" w:sz="4" w:space="0" w:color="auto"/>
              <w:bottom w:val="single" w:sz="4" w:space="0" w:color="auto"/>
              <w:right w:val="single" w:sz="4" w:space="0" w:color="auto"/>
            </w:tcBorders>
            <w:shd w:val="clear" w:color="auto" w:fill="auto"/>
          </w:tcPr>
          <w:p w14:paraId="0F89EF6B"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National NCD Committee / Advisory Committee minutes</w:t>
            </w:r>
          </w:p>
        </w:tc>
        <w:tc>
          <w:tcPr>
            <w:tcW w:w="550" w:type="pct"/>
            <w:tcBorders>
              <w:top w:val="nil"/>
              <w:left w:val="nil"/>
              <w:bottom w:val="single" w:sz="4" w:space="0" w:color="auto"/>
              <w:right w:val="single" w:sz="4" w:space="0" w:color="auto"/>
            </w:tcBorders>
            <w:shd w:val="clear" w:color="auto" w:fill="auto"/>
          </w:tcPr>
          <w:p w14:paraId="39B291AC"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In 2015-16:</w:t>
            </w:r>
          </w:p>
          <w:p w14:paraId="128B36FF" w14:textId="77777777" w:rsidR="000B54BD" w:rsidRPr="00457E15" w:rsidRDefault="000B54BD" w:rsidP="00E97A3B">
            <w:pPr>
              <w:spacing w:after="0" w:line="240" w:lineRule="auto"/>
              <w:rPr>
                <w:rFonts w:eastAsia="Times New Roman"/>
                <w:sz w:val="18"/>
                <w:szCs w:val="18"/>
                <w:lang w:eastAsia="en-AU"/>
              </w:rPr>
            </w:pPr>
            <w:r w:rsidRPr="00172918">
              <w:rPr>
                <w:rFonts w:eastAsia="Times New Roman"/>
                <w:sz w:val="18"/>
                <w:szCs w:val="18"/>
                <w:lang w:eastAsia="en-AU"/>
              </w:rPr>
              <w:t>Na</w:t>
            </w:r>
            <w:r>
              <w:rPr>
                <w:rFonts w:eastAsia="Times New Roman"/>
                <w:sz w:val="18"/>
                <w:szCs w:val="18"/>
                <w:lang w:eastAsia="en-AU"/>
              </w:rPr>
              <w:t xml:space="preserve">tional NCD Governance Committee: </w:t>
            </w:r>
            <w:r w:rsidRPr="00172918">
              <w:rPr>
                <w:rFonts w:eastAsia="Times New Roman"/>
                <w:sz w:val="18"/>
                <w:szCs w:val="18"/>
                <w:lang w:eastAsia="en-AU"/>
              </w:rPr>
              <w:t>86</w:t>
            </w:r>
            <w:r>
              <w:rPr>
                <w:rFonts w:eastAsia="Times New Roman"/>
                <w:sz w:val="18"/>
                <w:szCs w:val="18"/>
                <w:lang w:eastAsia="en-AU"/>
              </w:rPr>
              <w:t xml:space="preserve">%, </w:t>
            </w:r>
            <w:r w:rsidRPr="00172918">
              <w:rPr>
                <w:rFonts w:eastAsia="Times New Roman"/>
                <w:sz w:val="18"/>
                <w:szCs w:val="18"/>
                <w:lang w:eastAsia="en-AU"/>
              </w:rPr>
              <w:t>Physical Activity Advisory Committee</w:t>
            </w:r>
            <w:r>
              <w:rPr>
                <w:rFonts w:eastAsia="Times New Roman"/>
                <w:sz w:val="18"/>
                <w:szCs w:val="18"/>
                <w:lang w:eastAsia="en-AU"/>
              </w:rPr>
              <w:t xml:space="preserve">: </w:t>
            </w:r>
            <w:r w:rsidRPr="00172918">
              <w:rPr>
                <w:rFonts w:eastAsia="Times New Roman"/>
                <w:sz w:val="18"/>
                <w:szCs w:val="18"/>
                <w:lang w:eastAsia="en-AU"/>
              </w:rPr>
              <w:t>53</w:t>
            </w:r>
            <w:r>
              <w:rPr>
                <w:rFonts w:eastAsia="Times New Roman"/>
                <w:sz w:val="18"/>
                <w:szCs w:val="18"/>
                <w:lang w:eastAsia="en-AU"/>
              </w:rPr>
              <w:t xml:space="preserve">5, </w:t>
            </w:r>
            <w:r w:rsidRPr="00172918">
              <w:rPr>
                <w:rFonts w:eastAsia="Times New Roman"/>
                <w:sz w:val="18"/>
                <w:szCs w:val="18"/>
                <w:lang w:eastAsia="en-AU"/>
              </w:rPr>
              <w:t>Healthy Eating Advisory Committee</w:t>
            </w:r>
            <w:r>
              <w:rPr>
                <w:rFonts w:eastAsia="Times New Roman"/>
                <w:sz w:val="18"/>
                <w:szCs w:val="18"/>
                <w:lang w:eastAsia="en-AU"/>
              </w:rPr>
              <w:t xml:space="preserve">: 75%, </w:t>
            </w:r>
            <w:r w:rsidRPr="00172918">
              <w:rPr>
                <w:rFonts w:eastAsia="Times New Roman"/>
                <w:sz w:val="18"/>
                <w:szCs w:val="18"/>
                <w:lang w:eastAsia="en-AU"/>
              </w:rPr>
              <w:t>Tob</w:t>
            </w:r>
            <w:r>
              <w:rPr>
                <w:rFonts w:eastAsia="Times New Roman"/>
                <w:sz w:val="18"/>
                <w:szCs w:val="18"/>
                <w:lang w:eastAsia="en-AU"/>
              </w:rPr>
              <w:t xml:space="preserve">acco Control Advisory Committee: </w:t>
            </w:r>
            <w:r w:rsidRPr="00172918">
              <w:rPr>
                <w:rFonts w:eastAsia="Times New Roman"/>
                <w:sz w:val="18"/>
                <w:szCs w:val="18"/>
                <w:lang w:eastAsia="en-AU"/>
              </w:rPr>
              <w:t>80</w:t>
            </w:r>
            <w:r>
              <w:rPr>
                <w:rFonts w:eastAsia="Times New Roman"/>
                <w:sz w:val="18"/>
                <w:szCs w:val="18"/>
                <w:lang w:eastAsia="en-AU"/>
              </w:rPr>
              <w:t xml:space="preserve">%, </w:t>
            </w:r>
            <w:r w:rsidRPr="00172918">
              <w:rPr>
                <w:rFonts w:eastAsia="Times New Roman"/>
                <w:sz w:val="18"/>
                <w:szCs w:val="18"/>
                <w:lang w:eastAsia="en-AU"/>
              </w:rPr>
              <w:t>Alcohol Harm Reduction Advisory Committee</w:t>
            </w:r>
            <w:r>
              <w:rPr>
                <w:rFonts w:eastAsia="Times New Roman"/>
                <w:sz w:val="18"/>
                <w:szCs w:val="18"/>
                <w:lang w:eastAsia="en-AU"/>
              </w:rPr>
              <w:t xml:space="preserve">: </w:t>
            </w:r>
            <w:r w:rsidRPr="00172918">
              <w:rPr>
                <w:rFonts w:eastAsia="Times New Roman"/>
                <w:sz w:val="18"/>
                <w:szCs w:val="18"/>
                <w:lang w:eastAsia="en-AU"/>
              </w:rPr>
              <w:t>80</w:t>
            </w:r>
            <w:r>
              <w:rPr>
                <w:rFonts w:eastAsia="Times New Roman"/>
                <w:sz w:val="18"/>
                <w:szCs w:val="18"/>
                <w:lang w:eastAsia="en-AU"/>
              </w:rPr>
              <w:t>%</w:t>
            </w:r>
          </w:p>
        </w:tc>
        <w:tc>
          <w:tcPr>
            <w:tcW w:w="501" w:type="pct"/>
            <w:tcBorders>
              <w:top w:val="nil"/>
              <w:left w:val="nil"/>
              <w:bottom w:val="single" w:sz="4" w:space="0" w:color="auto"/>
              <w:right w:val="single" w:sz="4" w:space="0" w:color="auto"/>
            </w:tcBorders>
            <w:shd w:val="clear" w:color="auto" w:fill="FFFF66"/>
          </w:tcPr>
          <w:p w14:paraId="01C9A15E" w14:textId="77777777" w:rsidR="000B54BD" w:rsidRPr="00F97D82" w:rsidRDefault="000B54BD" w:rsidP="00E97A3B">
            <w:pPr>
              <w:spacing w:after="0" w:line="240" w:lineRule="auto"/>
              <w:rPr>
                <w:rFonts w:eastAsia="Times New Roman"/>
                <w:sz w:val="18"/>
                <w:szCs w:val="18"/>
                <w:lang w:eastAsia="en-AU"/>
              </w:rPr>
            </w:pPr>
            <w:r w:rsidRPr="00F97D82">
              <w:rPr>
                <w:rFonts w:eastAsia="Times New Roman"/>
                <w:sz w:val="18"/>
                <w:szCs w:val="18"/>
                <w:lang w:eastAsia="en-AU"/>
              </w:rPr>
              <w:t>2016 Advisory Committee meetings - 50% of nominated representatives attended</w:t>
            </w:r>
          </w:p>
          <w:p w14:paraId="2F4046A0" w14:textId="77777777" w:rsidR="000B54BD" w:rsidRPr="00F97D82" w:rsidRDefault="000B54BD" w:rsidP="00E97A3B">
            <w:pPr>
              <w:spacing w:after="0" w:line="240" w:lineRule="auto"/>
              <w:rPr>
                <w:rFonts w:eastAsia="Times New Roman"/>
                <w:sz w:val="18"/>
                <w:szCs w:val="18"/>
                <w:lang w:eastAsia="en-AU"/>
              </w:rPr>
            </w:pPr>
          </w:p>
        </w:tc>
        <w:tc>
          <w:tcPr>
            <w:tcW w:w="549" w:type="pct"/>
            <w:tcBorders>
              <w:top w:val="single" w:sz="4" w:space="0" w:color="auto"/>
              <w:left w:val="nil"/>
              <w:bottom w:val="single" w:sz="4" w:space="0" w:color="auto"/>
              <w:right w:val="single" w:sz="4" w:space="0" w:color="auto"/>
            </w:tcBorders>
            <w:shd w:val="clear" w:color="auto" w:fill="FFFF66"/>
          </w:tcPr>
          <w:p w14:paraId="4FE239CC" w14:textId="77777777" w:rsidR="000B54BD" w:rsidRPr="00F97D82" w:rsidRDefault="000B54BD" w:rsidP="00E97A3B">
            <w:pPr>
              <w:spacing w:after="0" w:line="240" w:lineRule="auto"/>
              <w:rPr>
                <w:rFonts w:eastAsia="Times New Roman"/>
                <w:sz w:val="18"/>
                <w:szCs w:val="18"/>
                <w:lang w:eastAsia="en-AU"/>
              </w:rPr>
            </w:pPr>
            <w:r w:rsidRPr="00F97D82">
              <w:rPr>
                <w:rFonts w:eastAsia="Times New Roman"/>
                <w:sz w:val="18"/>
                <w:szCs w:val="18"/>
                <w:lang w:eastAsia="en-AU"/>
              </w:rPr>
              <w:t>2017 Advisory Committee meetings - 48% of nominated representatives attended</w:t>
            </w:r>
          </w:p>
          <w:p w14:paraId="34D03781" w14:textId="77777777" w:rsidR="000B54BD" w:rsidRPr="00F97D82" w:rsidRDefault="000B54BD" w:rsidP="00E97A3B">
            <w:pPr>
              <w:spacing w:after="0" w:line="240" w:lineRule="auto"/>
              <w:rPr>
                <w:rFonts w:eastAsia="Times New Roman"/>
                <w:sz w:val="18"/>
                <w:szCs w:val="18"/>
                <w:lang w:eastAsia="en-AU"/>
              </w:rPr>
            </w:pPr>
          </w:p>
        </w:tc>
        <w:tc>
          <w:tcPr>
            <w:tcW w:w="655" w:type="pct"/>
            <w:tcBorders>
              <w:top w:val="single" w:sz="4" w:space="0" w:color="auto"/>
              <w:left w:val="nil"/>
              <w:bottom w:val="single" w:sz="4" w:space="0" w:color="auto"/>
              <w:right w:val="single" w:sz="4" w:space="0" w:color="auto"/>
            </w:tcBorders>
            <w:shd w:val="clear" w:color="auto" w:fill="FFFF66"/>
          </w:tcPr>
          <w:p w14:paraId="32EE1506" w14:textId="77777777" w:rsidR="000B54BD" w:rsidRPr="00F97D82"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2018 </w:t>
            </w:r>
            <w:r w:rsidRPr="00F97D82">
              <w:rPr>
                <w:rFonts w:eastAsia="Times New Roman"/>
                <w:sz w:val="18"/>
                <w:szCs w:val="18"/>
                <w:lang w:eastAsia="en-AU"/>
              </w:rPr>
              <w:t>0%</w:t>
            </w:r>
          </w:p>
          <w:p w14:paraId="72A953C1" w14:textId="77777777" w:rsidR="000B54BD" w:rsidRPr="00F97D82" w:rsidRDefault="000B54BD" w:rsidP="00E97A3B">
            <w:pPr>
              <w:spacing w:after="0" w:line="240" w:lineRule="auto"/>
              <w:rPr>
                <w:rFonts w:eastAsia="Times New Roman"/>
                <w:sz w:val="18"/>
                <w:szCs w:val="18"/>
                <w:lang w:eastAsia="en-AU"/>
              </w:rPr>
            </w:pPr>
            <w:r>
              <w:rPr>
                <w:rFonts w:eastAsia="Times New Roman"/>
                <w:sz w:val="18"/>
                <w:szCs w:val="18"/>
                <w:lang w:eastAsia="en-AU"/>
              </w:rPr>
              <w:t>(</w:t>
            </w:r>
            <w:r w:rsidRPr="00F97D82">
              <w:rPr>
                <w:rFonts w:eastAsia="Times New Roman"/>
                <w:sz w:val="18"/>
                <w:szCs w:val="18"/>
                <w:lang w:eastAsia="en-AU"/>
              </w:rPr>
              <w:t>Mid</w:t>
            </w:r>
            <w:r>
              <w:rPr>
                <w:rFonts w:eastAsia="Times New Roman"/>
                <w:sz w:val="18"/>
                <w:szCs w:val="18"/>
                <w:lang w:eastAsia="en-AU"/>
              </w:rPr>
              <w:t>-t</w:t>
            </w:r>
            <w:r w:rsidRPr="00F97D82">
              <w:rPr>
                <w:rFonts w:eastAsia="Times New Roman"/>
                <w:sz w:val="18"/>
                <w:szCs w:val="18"/>
                <w:lang w:eastAsia="en-AU"/>
              </w:rPr>
              <w:t xml:space="preserve">erm </w:t>
            </w:r>
            <w:r>
              <w:rPr>
                <w:rFonts w:eastAsia="Times New Roman"/>
                <w:sz w:val="18"/>
                <w:szCs w:val="18"/>
                <w:lang w:eastAsia="en-AU"/>
              </w:rPr>
              <w:t xml:space="preserve">evaluation </w:t>
            </w:r>
            <w:r w:rsidRPr="00F97D82">
              <w:rPr>
                <w:rFonts w:eastAsia="Times New Roman"/>
                <w:sz w:val="18"/>
                <w:szCs w:val="18"/>
                <w:lang w:eastAsia="en-AU"/>
              </w:rPr>
              <w:t>meeting attended by representatives of 8/11 organisations of the NNCDC</w:t>
            </w:r>
            <w:r>
              <w:rPr>
                <w:rFonts w:eastAsia="Times New Roman"/>
                <w:sz w:val="18"/>
                <w:szCs w:val="18"/>
                <w:lang w:eastAsia="en-AU"/>
              </w:rPr>
              <w:t>)</w:t>
            </w:r>
          </w:p>
        </w:tc>
      </w:tr>
      <w:tr w:rsidR="000B54BD" w:rsidRPr="00457E15" w14:paraId="48C53E8B" w14:textId="77777777" w:rsidTr="00E97A3B">
        <w:trPr>
          <w:gridAfter w:val="2"/>
          <w:wAfter w:w="7" w:type="pct"/>
          <w:trHeight w:val="181"/>
        </w:trPr>
        <w:tc>
          <w:tcPr>
            <w:tcW w:w="338" w:type="pct"/>
            <w:tcBorders>
              <w:top w:val="single" w:sz="4" w:space="0" w:color="auto"/>
              <w:left w:val="single" w:sz="4" w:space="0" w:color="auto"/>
              <w:bottom w:val="single" w:sz="4" w:space="0" w:color="auto"/>
              <w:right w:val="nil"/>
            </w:tcBorders>
            <w:shd w:val="clear" w:color="auto" w:fill="FFFFFF" w:themeFill="background1"/>
            <w:noWrap/>
            <w:hideMark/>
          </w:tcPr>
          <w:p w14:paraId="267E343B"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16</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674AE"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b/>
                <w:sz w:val="18"/>
                <w:szCs w:val="18"/>
                <w:lang w:eastAsia="en-AU"/>
              </w:rPr>
              <w:t>OUTCOME</w:t>
            </w:r>
            <w:r w:rsidRPr="0022482F">
              <w:rPr>
                <w:rFonts w:eastAsia="Times New Roman" w:cs="Arial"/>
                <w:b/>
                <w:sz w:val="18"/>
                <w:szCs w:val="18"/>
                <w:lang w:eastAsia="en-AU"/>
              </w:rPr>
              <w:t xml:space="preserve">: </w:t>
            </w:r>
            <w:r w:rsidRPr="00457E15">
              <w:rPr>
                <w:rFonts w:eastAsia="Times New Roman" w:cs="Arial"/>
                <w:sz w:val="18"/>
                <w:szCs w:val="18"/>
                <w:lang w:eastAsia="en-AU"/>
              </w:rPr>
              <w:t>% planned NCD Governance and Advisory Committee meetings held</w:t>
            </w:r>
            <w:r>
              <w:rPr>
                <w:rFonts w:eastAsia="Times New Roman" w:cs="Arial"/>
                <w:sz w:val="18"/>
                <w:szCs w:val="18"/>
                <w:lang w:eastAsia="en-AU"/>
              </w:rPr>
              <w:t xml:space="preserve"> with minutes from meetings prepared and distributed. </w:t>
            </w:r>
          </w:p>
        </w:tc>
        <w:tc>
          <w:tcPr>
            <w:tcW w:w="850" w:type="pct"/>
            <w:tcBorders>
              <w:top w:val="nil"/>
              <w:left w:val="nil"/>
              <w:bottom w:val="single" w:sz="4" w:space="0" w:color="auto"/>
              <w:right w:val="single" w:sz="4" w:space="0" w:color="auto"/>
            </w:tcBorders>
            <w:shd w:val="clear" w:color="auto" w:fill="FFFFFF" w:themeFill="background1"/>
          </w:tcPr>
          <w:p w14:paraId="56D7085B"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Numerator: Number of meetings held with minutes and actions from previous meeting provided</w:t>
            </w:r>
          </w:p>
          <w:p w14:paraId="12688066" w14:textId="77777777" w:rsidR="000B54BD" w:rsidRDefault="000B54BD" w:rsidP="00E97A3B">
            <w:pPr>
              <w:spacing w:after="0" w:line="240" w:lineRule="auto"/>
              <w:rPr>
                <w:rFonts w:eastAsia="Times New Roman" w:cs="Arial"/>
                <w:sz w:val="18"/>
                <w:szCs w:val="18"/>
                <w:lang w:eastAsia="en-AU"/>
              </w:rPr>
            </w:pPr>
          </w:p>
          <w:p w14:paraId="4E128DC3"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Denominator: Total number of meetings planned x 100%</w:t>
            </w:r>
          </w:p>
          <w:p w14:paraId="38D56155"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 </w:t>
            </w:r>
          </w:p>
        </w:tc>
        <w:tc>
          <w:tcPr>
            <w:tcW w:w="450" w:type="pct"/>
            <w:tcBorders>
              <w:top w:val="nil"/>
              <w:left w:val="nil"/>
              <w:bottom w:val="single" w:sz="4" w:space="0" w:color="auto"/>
              <w:right w:val="single" w:sz="4" w:space="0" w:color="auto"/>
            </w:tcBorders>
            <w:shd w:val="clear" w:color="auto" w:fill="auto"/>
          </w:tcPr>
          <w:p w14:paraId="6D03DE81"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2 </w:t>
            </w:r>
            <w:r w:rsidRPr="00382D10">
              <w:rPr>
                <w:rFonts w:eastAsia="Times New Roman"/>
                <w:sz w:val="18"/>
                <w:szCs w:val="18"/>
                <w:lang w:eastAsia="en-AU"/>
              </w:rPr>
              <w:t xml:space="preserve">NCD Governance and </w:t>
            </w:r>
            <w:r>
              <w:rPr>
                <w:rFonts w:eastAsia="Times New Roman"/>
                <w:sz w:val="18"/>
                <w:szCs w:val="18"/>
                <w:lang w:eastAsia="en-AU"/>
              </w:rPr>
              <w:t xml:space="preserve">4 </w:t>
            </w:r>
            <w:r w:rsidRPr="00382D10">
              <w:rPr>
                <w:rFonts w:eastAsia="Times New Roman"/>
                <w:sz w:val="18"/>
                <w:szCs w:val="18"/>
                <w:lang w:eastAsia="en-AU"/>
              </w:rPr>
              <w:t>Advisory Committee meetings held</w:t>
            </w:r>
            <w:r>
              <w:rPr>
                <w:rFonts w:eastAsia="Times New Roman"/>
                <w:sz w:val="18"/>
                <w:szCs w:val="18"/>
                <w:lang w:eastAsia="en-AU"/>
              </w:rPr>
              <w:t xml:space="preserve"> per year</w:t>
            </w:r>
          </w:p>
        </w:tc>
        <w:tc>
          <w:tcPr>
            <w:tcW w:w="550" w:type="pct"/>
            <w:tcBorders>
              <w:top w:val="nil"/>
              <w:left w:val="single" w:sz="4" w:space="0" w:color="auto"/>
              <w:bottom w:val="single" w:sz="4" w:space="0" w:color="auto"/>
              <w:right w:val="single" w:sz="4" w:space="0" w:color="auto"/>
            </w:tcBorders>
            <w:shd w:val="clear" w:color="auto" w:fill="auto"/>
          </w:tcPr>
          <w:p w14:paraId="487BF8E4"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National NCD Committee / Advisory Committee minutes</w:t>
            </w:r>
          </w:p>
        </w:tc>
        <w:tc>
          <w:tcPr>
            <w:tcW w:w="550" w:type="pct"/>
            <w:tcBorders>
              <w:top w:val="nil"/>
              <w:left w:val="nil"/>
              <w:bottom w:val="single" w:sz="4" w:space="0" w:color="auto"/>
              <w:right w:val="single" w:sz="4" w:space="0" w:color="auto"/>
            </w:tcBorders>
            <w:shd w:val="clear" w:color="auto" w:fill="FFFFFF" w:themeFill="background1"/>
          </w:tcPr>
          <w:p w14:paraId="570830BF"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NCD Governance Meetings: 100% (2/2)</w:t>
            </w:r>
          </w:p>
          <w:p w14:paraId="7042FB22" w14:textId="77777777" w:rsidR="000B54BD" w:rsidRDefault="000B54BD" w:rsidP="00E97A3B">
            <w:pPr>
              <w:spacing w:after="0" w:line="240" w:lineRule="auto"/>
              <w:rPr>
                <w:rFonts w:eastAsia="Times New Roman"/>
                <w:sz w:val="18"/>
                <w:szCs w:val="18"/>
                <w:lang w:eastAsia="en-AU"/>
              </w:rPr>
            </w:pPr>
          </w:p>
          <w:p w14:paraId="54A928D5"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Advisory Meetings 50% (2/4) </w:t>
            </w:r>
          </w:p>
        </w:tc>
        <w:tc>
          <w:tcPr>
            <w:tcW w:w="501" w:type="pct"/>
            <w:tcBorders>
              <w:top w:val="nil"/>
              <w:left w:val="nil"/>
              <w:bottom w:val="single" w:sz="4" w:space="0" w:color="auto"/>
              <w:right w:val="single" w:sz="4" w:space="0" w:color="auto"/>
            </w:tcBorders>
            <w:shd w:val="clear" w:color="auto" w:fill="FFFF66"/>
          </w:tcPr>
          <w:p w14:paraId="7890595A" w14:textId="77777777" w:rsidR="000B54BD" w:rsidRPr="00F97D82"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2016 - </w:t>
            </w:r>
            <w:r w:rsidRPr="00F97D82">
              <w:rPr>
                <w:rFonts w:eastAsia="Times New Roman" w:cs="Arial"/>
                <w:sz w:val="18"/>
                <w:szCs w:val="18"/>
                <w:lang w:eastAsia="en-AU"/>
              </w:rPr>
              <w:t>100% of NNCDC and advisory committee meeting minutes prepared and distributed</w:t>
            </w:r>
          </w:p>
        </w:tc>
        <w:tc>
          <w:tcPr>
            <w:tcW w:w="549" w:type="pct"/>
            <w:tcBorders>
              <w:top w:val="nil"/>
              <w:left w:val="nil"/>
              <w:bottom w:val="single" w:sz="4" w:space="0" w:color="auto"/>
              <w:right w:val="single" w:sz="4" w:space="0" w:color="auto"/>
            </w:tcBorders>
            <w:shd w:val="clear" w:color="auto" w:fill="FFFF66"/>
          </w:tcPr>
          <w:p w14:paraId="54C0DA10" w14:textId="77777777" w:rsidR="000B54BD" w:rsidRPr="00F97D82"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2017 - </w:t>
            </w:r>
            <w:r w:rsidRPr="00F97D82">
              <w:rPr>
                <w:rFonts w:eastAsia="Times New Roman" w:cs="Arial"/>
                <w:sz w:val="18"/>
                <w:szCs w:val="18"/>
                <w:lang w:eastAsia="en-AU"/>
              </w:rPr>
              <w:t>100% of NNCDC and advisory committee meeting minutes prepared and distributed</w:t>
            </w:r>
          </w:p>
        </w:tc>
        <w:tc>
          <w:tcPr>
            <w:tcW w:w="655" w:type="pct"/>
            <w:tcBorders>
              <w:top w:val="nil"/>
              <w:left w:val="nil"/>
              <w:bottom w:val="single" w:sz="4" w:space="0" w:color="auto"/>
              <w:right w:val="single" w:sz="4" w:space="0" w:color="auto"/>
            </w:tcBorders>
            <w:shd w:val="clear" w:color="auto" w:fill="FF7C80"/>
          </w:tcPr>
          <w:p w14:paraId="057A8822" w14:textId="77777777" w:rsidR="000B54BD" w:rsidRPr="00F97D82" w:rsidRDefault="000B54BD" w:rsidP="00E97A3B">
            <w:pPr>
              <w:spacing w:after="0" w:line="240" w:lineRule="auto"/>
              <w:rPr>
                <w:rFonts w:eastAsia="Times New Roman" w:cs="Arial"/>
                <w:sz w:val="18"/>
                <w:szCs w:val="18"/>
                <w:lang w:eastAsia="en-AU"/>
              </w:rPr>
            </w:pPr>
            <w:r w:rsidRPr="00F97D82">
              <w:rPr>
                <w:rFonts w:eastAsia="Times New Roman" w:cs="Arial"/>
                <w:sz w:val="18"/>
                <w:szCs w:val="18"/>
                <w:lang w:eastAsia="en-AU"/>
              </w:rPr>
              <w:t>0%</w:t>
            </w:r>
          </w:p>
        </w:tc>
      </w:tr>
      <w:tr w:rsidR="000B54BD" w:rsidRPr="00457E15" w14:paraId="6E19102C" w14:textId="77777777" w:rsidTr="00E97A3B">
        <w:trPr>
          <w:gridAfter w:val="2"/>
          <w:wAfter w:w="7" w:type="pct"/>
          <w:trHeight w:val="527"/>
        </w:trPr>
        <w:tc>
          <w:tcPr>
            <w:tcW w:w="338" w:type="pct"/>
            <w:tcBorders>
              <w:top w:val="single" w:sz="4" w:space="0" w:color="auto"/>
              <w:left w:val="single" w:sz="4" w:space="0" w:color="auto"/>
              <w:bottom w:val="single" w:sz="4" w:space="0" w:color="auto"/>
              <w:right w:val="nil"/>
            </w:tcBorders>
            <w:shd w:val="clear" w:color="auto" w:fill="FFFFFF" w:themeFill="background1"/>
            <w:noWrap/>
            <w:hideMark/>
          </w:tcPr>
          <w:p w14:paraId="51FD2B31"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17</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EE8B0"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 xml:space="preserve">OUTCOME: </w:t>
            </w:r>
            <w:r w:rsidRPr="00457E15">
              <w:rPr>
                <w:rFonts w:eastAsia="Times New Roman" w:cs="Arial"/>
                <w:sz w:val="18"/>
                <w:szCs w:val="18"/>
                <w:lang w:eastAsia="en-AU"/>
              </w:rPr>
              <w:t>Satisfaction rating from partners</w:t>
            </w:r>
            <w:r>
              <w:rPr>
                <w:rFonts w:eastAsia="Times New Roman" w:cs="Arial"/>
                <w:sz w:val="18"/>
                <w:szCs w:val="18"/>
                <w:lang w:eastAsia="en-AU"/>
              </w:rPr>
              <w:t xml:space="preserve">, </w:t>
            </w:r>
            <w:r>
              <w:rPr>
                <w:rFonts w:eastAsia="Times New Roman" w:cs="Arial"/>
                <w:sz w:val="18"/>
                <w:szCs w:val="18"/>
                <w:lang w:eastAsia="en-AU"/>
              </w:rPr>
              <w:lastRenderedPageBreak/>
              <w:t>including grantees (</w:t>
            </w:r>
            <w:r w:rsidRPr="00457E15">
              <w:rPr>
                <w:rFonts w:eastAsia="Times New Roman" w:cs="Arial"/>
                <w:sz w:val="18"/>
                <w:szCs w:val="18"/>
                <w:lang w:eastAsia="en-AU"/>
              </w:rPr>
              <w:t xml:space="preserve">obtained </w:t>
            </w:r>
            <w:r w:rsidRPr="00A318B9">
              <w:rPr>
                <w:rFonts w:eastAsia="Times New Roman" w:cs="Arial"/>
                <w:noProof/>
                <w:sz w:val="18"/>
                <w:szCs w:val="18"/>
                <w:lang w:eastAsia="en-AU"/>
              </w:rPr>
              <w:t>at end of</w:t>
            </w:r>
            <w:r w:rsidRPr="00457E15">
              <w:rPr>
                <w:rFonts w:eastAsia="Times New Roman" w:cs="Arial"/>
                <w:sz w:val="18"/>
                <w:szCs w:val="18"/>
                <w:lang w:eastAsia="en-AU"/>
              </w:rPr>
              <w:t xml:space="preserve"> </w:t>
            </w:r>
            <w:r w:rsidRPr="00A318B9">
              <w:rPr>
                <w:rFonts w:eastAsia="Times New Roman" w:cs="Arial"/>
                <w:noProof/>
                <w:sz w:val="18"/>
                <w:szCs w:val="18"/>
                <w:lang w:eastAsia="en-AU"/>
              </w:rPr>
              <w:t>agreement</w:t>
            </w:r>
            <w:r w:rsidRPr="00457E15">
              <w:rPr>
                <w:rFonts w:eastAsia="Times New Roman" w:cs="Arial"/>
                <w:sz w:val="18"/>
                <w:szCs w:val="18"/>
                <w:lang w:eastAsia="en-AU"/>
              </w:rPr>
              <w:t xml:space="preserve"> if shorter than 12 months or annually)  </w:t>
            </w:r>
          </w:p>
        </w:tc>
        <w:tc>
          <w:tcPr>
            <w:tcW w:w="850" w:type="pct"/>
            <w:tcBorders>
              <w:top w:val="nil"/>
              <w:left w:val="nil"/>
              <w:bottom w:val="single" w:sz="4" w:space="0" w:color="auto"/>
              <w:right w:val="single" w:sz="4" w:space="0" w:color="auto"/>
            </w:tcBorders>
            <w:shd w:val="clear" w:color="auto" w:fill="FFFFFF" w:themeFill="background1"/>
          </w:tcPr>
          <w:p w14:paraId="51E1ABBC"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lastRenderedPageBreak/>
              <w:t xml:space="preserve">Tool for satisfaction rating to </w:t>
            </w:r>
            <w:r w:rsidRPr="00A318B9">
              <w:rPr>
                <w:rFonts w:eastAsia="Times New Roman" w:cs="Arial"/>
                <w:noProof/>
                <w:sz w:val="18"/>
                <w:szCs w:val="18"/>
                <w:lang w:eastAsia="en-AU"/>
              </w:rPr>
              <w:t>be developed</w:t>
            </w:r>
            <w:r>
              <w:rPr>
                <w:rFonts w:eastAsia="Times New Roman" w:cs="Arial"/>
                <w:sz w:val="18"/>
                <w:szCs w:val="18"/>
                <w:lang w:eastAsia="en-AU"/>
              </w:rPr>
              <w:t xml:space="preserve"> and results reported</w:t>
            </w:r>
          </w:p>
        </w:tc>
        <w:tc>
          <w:tcPr>
            <w:tcW w:w="450" w:type="pct"/>
            <w:tcBorders>
              <w:top w:val="single" w:sz="4" w:space="0" w:color="auto"/>
              <w:left w:val="nil"/>
              <w:bottom w:val="single" w:sz="4" w:space="0" w:color="auto"/>
              <w:right w:val="single" w:sz="4" w:space="0" w:color="auto"/>
            </w:tcBorders>
            <w:shd w:val="clear" w:color="auto" w:fill="auto"/>
          </w:tcPr>
          <w:p w14:paraId="5986389E"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Maintenance or improvement </w:t>
            </w:r>
            <w:r>
              <w:rPr>
                <w:rFonts w:eastAsia="Times New Roman"/>
                <w:sz w:val="18"/>
                <w:szCs w:val="18"/>
                <w:lang w:eastAsia="en-AU"/>
              </w:rPr>
              <w:lastRenderedPageBreak/>
              <w:t>in satisfaction rating</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0D36DFC4"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lastRenderedPageBreak/>
              <w:t>TongaHealth</w:t>
            </w:r>
            <w:r>
              <w:rPr>
                <w:rFonts w:eastAsia="Times New Roman" w:cs="Arial"/>
                <w:sz w:val="18"/>
                <w:szCs w:val="18"/>
                <w:lang w:eastAsia="en-AU"/>
              </w:rPr>
              <w:t xml:space="preserve"> </w:t>
            </w:r>
            <w:r>
              <w:rPr>
                <w:rFonts w:eastAsia="Times New Roman"/>
                <w:sz w:val="18"/>
                <w:szCs w:val="18"/>
                <w:lang w:eastAsia="en-AU"/>
              </w:rPr>
              <w:t xml:space="preserve">satisfaction rating tool developed with 11 questions </w:t>
            </w:r>
            <w:r>
              <w:rPr>
                <w:rFonts w:eastAsia="Times New Roman"/>
                <w:sz w:val="18"/>
                <w:szCs w:val="18"/>
                <w:lang w:eastAsia="en-AU"/>
              </w:rPr>
              <w:lastRenderedPageBreak/>
              <w:t>measuring dimensions of satisfaction.</w:t>
            </w:r>
          </w:p>
        </w:tc>
        <w:tc>
          <w:tcPr>
            <w:tcW w:w="550" w:type="pct"/>
            <w:tcBorders>
              <w:top w:val="single" w:sz="4" w:space="0" w:color="auto"/>
              <w:left w:val="nil"/>
              <w:bottom w:val="single" w:sz="4" w:space="0" w:color="auto"/>
              <w:right w:val="single" w:sz="4" w:space="0" w:color="auto"/>
            </w:tcBorders>
            <w:shd w:val="clear" w:color="auto" w:fill="FFFFFF" w:themeFill="background1"/>
          </w:tcPr>
          <w:p w14:paraId="0D3317EE"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lastRenderedPageBreak/>
              <w:t>Draft satisfaction rating tool developed</w:t>
            </w:r>
            <w:r w:rsidRPr="00A318B9">
              <w:rPr>
                <w:rFonts w:eastAsia="Times New Roman"/>
                <w:noProof/>
                <w:sz w:val="18"/>
                <w:szCs w:val="18"/>
                <w:lang w:eastAsia="en-AU"/>
              </w:rPr>
              <w:t>. Pre-test</w:t>
            </w:r>
            <w:r>
              <w:rPr>
                <w:rFonts w:eastAsia="Times New Roman"/>
                <w:sz w:val="18"/>
                <w:szCs w:val="18"/>
                <w:lang w:eastAsia="en-AU"/>
              </w:rPr>
              <w:t xml:space="preserve"> in late 2016. </w:t>
            </w:r>
            <w:r>
              <w:rPr>
                <w:rFonts w:eastAsia="Times New Roman"/>
                <w:sz w:val="18"/>
                <w:szCs w:val="18"/>
                <w:lang w:eastAsia="en-AU"/>
              </w:rPr>
              <w:lastRenderedPageBreak/>
              <w:t>Results reported no later than August 2017.</w:t>
            </w:r>
          </w:p>
        </w:tc>
        <w:tc>
          <w:tcPr>
            <w:tcW w:w="501" w:type="pct"/>
            <w:tcBorders>
              <w:top w:val="nil"/>
              <w:left w:val="nil"/>
              <w:bottom w:val="single" w:sz="4" w:space="0" w:color="auto"/>
              <w:right w:val="single" w:sz="4" w:space="0" w:color="auto"/>
            </w:tcBorders>
            <w:shd w:val="clear" w:color="auto" w:fill="FF7C80"/>
          </w:tcPr>
          <w:p w14:paraId="7C29C200"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FF7C80"/>
          </w:tcPr>
          <w:p w14:paraId="69047135" w14:textId="77777777" w:rsidR="000B54BD" w:rsidRPr="005F643C" w:rsidRDefault="000B54BD" w:rsidP="00E97A3B">
            <w:pPr>
              <w:spacing w:line="240" w:lineRule="auto"/>
              <w:rPr>
                <w:rFonts w:eastAsia="Times New Roman"/>
                <w:sz w:val="18"/>
                <w:szCs w:val="18"/>
                <w:lang w:eastAsia="en-AU"/>
              </w:rPr>
            </w:pPr>
            <w:r w:rsidRPr="005F643C">
              <w:rPr>
                <w:rFonts w:eastAsia="Times New Roman"/>
                <w:sz w:val="18"/>
                <w:szCs w:val="18"/>
                <w:lang w:eastAsia="en-AU"/>
              </w:rPr>
              <w:t xml:space="preserve">Grant recipient satisfaction </w:t>
            </w:r>
            <w:r w:rsidRPr="005F643C">
              <w:rPr>
                <w:rFonts w:eastAsia="Times New Roman"/>
                <w:sz w:val="18"/>
                <w:szCs w:val="18"/>
                <w:lang w:eastAsia="en-AU"/>
              </w:rPr>
              <w:lastRenderedPageBreak/>
              <w:t>survey yet to be conducted.</w:t>
            </w:r>
          </w:p>
          <w:p w14:paraId="6A77FE27" w14:textId="77777777" w:rsidR="000B54BD" w:rsidRPr="005F643C" w:rsidRDefault="000B54BD" w:rsidP="00E97A3B">
            <w:pPr>
              <w:spacing w:line="240" w:lineRule="auto"/>
              <w:rPr>
                <w:rFonts w:eastAsia="Times New Roman"/>
                <w:sz w:val="18"/>
                <w:szCs w:val="18"/>
                <w:lang w:eastAsia="en-AU"/>
              </w:rPr>
            </w:pPr>
            <w:r w:rsidRPr="00A318B9">
              <w:rPr>
                <w:rFonts w:eastAsia="Times New Roman"/>
                <w:noProof/>
                <w:sz w:val="18"/>
                <w:szCs w:val="18"/>
                <w:lang w:eastAsia="en-AU"/>
              </w:rPr>
              <w:t>Tool</w:t>
            </w:r>
            <w:r w:rsidRPr="005F643C">
              <w:rPr>
                <w:rFonts w:eastAsia="Times New Roman"/>
                <w:sz w:val="18"/>
                <w:szCs w:val="18"/>
                <w:lang w:eastAsia="en-AU"/>
              </w:rPr>
              <w:t xml:space="preserve"> has </w:t>
            </w:r>
            <w:r w:rsidRPr="00A318B9">
              <w:rPr>
                <w:rFonts w:eastAsia="Times New Roman"/>
                <w:noProof/>
                <w:sz w:val="18"/>
                <w:szCs w:val="18"/>
                <w:lang w:eastAsia="en-AU"/>
              </w:rPr>
              <w:t>been developed</w:t>
            </w:r>
            <w:r w:rsidRPr="005F643C">
              <w:rPr>
                <w:rFonts w:eastAsia="Times New Roman"/>
                <w:sz w:val="18"/>
                <w:szCs w:val="18"/>
                <w:lang w:eastAsia="en-AU"/>
              </w:rPr>
              <w:t>.</w:t>
            </w:r>
          </w:p>
        </w:tc>
        <w:tc>
          <w:tcPr>
            <w:tcW w:w="655" w:type="pct"/>
            <w:tcBorders>
              <w:top w:val="nil"/>
              <w:left w:val="nil"/>
              <w:bottom w:val="single" w:sz="4" w:space="0" w:color="auto"/>
              <w:right w:val="single" w:sz="4" w:space="0" w:color="auto"/>
            </w:tcBorders>
            <w:shd w:val="clear" w:color="auto" w:fill="FF7C80"/>
          </w:tcPr>
          <w:p w14:paraId="185E20B2" w14:textId="77777777" w:rsidR="000B54BD" w:rsidRPr="005F643C" w:rsidRDefault="000B54BD" w:rsidP="00E97A3B">
            <w:pPr>
              <w:spacing w:line="240" w:lineRule="auto"/>
              <w:rPr>
                <w:rFonts w:eastAsia="Times New Roman"/>
                <w:sz w:val="18"/>
                <w:szCs w:val="18"/>
                <w:lang w:eastAsia="en-AU"/>
              </w:rPr>
            </w:pPr>
            <w:r w:rsidRPr="005F643C">
              <w:rPr>
                <w:rFonts w:eastAsia="Times New Roman"/>
                <w:sz w:val="18"/>
                <w:szCs w:val="18"/>
                <w:lang w:eastAsia="en-AU"/>
              </w:rPr>
              <w:lastRenderedPageBreak/>
              <w:t>Survey not yet conducted</w:t>
            </w:r>
          </w:p>
        </w:tc>
      </w:tr>
      <w:tr w:rsidR="000B54BD" w:rsidRPr="00457E15" w14:paraId="3A48C1BE" w14:textId="77777777" w:rsidTr="00E97A3B">
        <w:trPr>
          <w:gridAfter w:val="1"/>
          <w:wAfter w:w="2" w:type="pct"/>
          <w:trHeight w:val="229"/>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528E5B13"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Increase investment in the re</w:t>
            </w:r>
            <w:r>
              <w:rPr>
                <w:rFonts w:eastAsia="Times New Roman" w:cs="Arial"/>
                <w:b/>
                <w:sz w:val="18"/>
                <w:szCs w:val="18"/>
                <w:lang w:eastAsia="en-AU"/>
              </w:rPr>
              <w:t>duction and management of NCD’s</w:t>
            </w:r>
          </w:p>
        </w:tc>
      </w:tr>
      <w:tr w:rsidR="000B54BD" w:rsidRPr="00457E15" w14:paraId="30600DD0" w14:textId="77777777" w:rsidTr="00E97A3B">
        <w:trPr>
          <w:gridAfter w:val="2"/>
          <w:wAfter w:w="7" w:type="pct"/>
          <w:trHeight w:val="408"/>
        </w:trPr>
        <w:tc>
          <w:tcPr>
            <w:tcW w:w="338" w:type="pct"/>
            <w:tcBorders>
              <w:top w:val="single" w:sz="4" w:space="0" w:color="auto"/>
              <w:left w:val="single" w:sz="4" w:space="0" w:color="auto"/>
              <w:bottom w:val="single" w:sz="4" w:space="0" w:color="auto"/>
              <w:right w:val="nil"/>
            </w:tcBorders>
            <w:shd w:val="clear" w:color="auto" w:fill="auto"/>
            <w:noWrap/>
            <w:hideMark/>
          </w:tcPr>
          <w:p w14:paraId="143D67B3"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18</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2BFF10E"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OUTCOME</w:t>
            </w:r>
            <w:r>
              <w:rPr>
                <w:rFonts w:eastAsia="Times New Roman" w:cs="Arial"/>
                <w:sz w:val="18"/>
                <w:szCs w:val="18"/>
                <w:lang w:eastAsia="en-AU"/>
              </w:rPr>
              <w:t xml:space="preserve">: </w:t>
            </w:r>
            <w:r w:rsidRPr="00457E15">
              <w:rPr>
                <w:rFonts w:eastAsia="Times New Roman" w:cs="Arial"/>
                <w:sz w:val="18"/>
                <w:szCs w:val="18"/>
                <w:lang w:eastAsia="en-AU"/>
              </w:rPr>
              <w:t xml:space="preserve"># of partners </w:t>
            </w:r>
            <w:r>
              <w:rPr>
                <w:rFonts w:eastAsia="Times New Roman" w:cs="Arial"/>
                <w:sz w:val="18"/>
                <w:szCs w:val="18"/>
                <w:lang w:eastAsia="en-AU"/>
              </w:rPr>
              <w:t xml:space="preserve">contributing to </w:t>
            </w:r>
            <w:r w:rsidRPr="00457E15">
              <w:rPr>
                <w:rFonts w:eastAsia="Times New Roman" w:cs="Arial"/>
                <w:sz w:val="18"/>
                <w:szCs w:val="18"/>
                <w:lang w:eastAsia="en-AU"/>
              </w:rPr>
              <w:t xml:space="preserve">NCD prevention </w:t>
            </w:r>
            <w:r>
              <w:rPr>
                <w:rFonts w:eastAsia="Times New Roman" w:cs="Arial"/>
                <w:sz w:val="18"/>
                <w:szCs w:val="18"/>
                <w:lang w:eastAsia="en-AU"/>
              </w:rPr>
              <w:t>and control in Tonga and their contribution</w:t>
            </w:r>
          </w:p>
        </w:tc>
        <w:tc>
          <w:tcPr>
            <w:tcW w:w="850" w:type="pct"/>
            <w:tcBorders>
              <w:top w:val="nil"/>
              <w:left w:val="nil"/>
              <w:bottom w:val="single" w:sz="4" w:space="0" w:color="auto"/>
              <w:right w:val="single" w:sz="4" w:space="0" w:color="auto"/>
            </w:tcBorders>
            <w:shd w:val="clear" w:color="auto" w:fill="FFFFFF" w:themeFill="background1"/>
          </w:tcPr>
          <w:p w14:paraId="688F744F"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Partners include government ministries, civil society and nongovernment organisations, churches, private enterprises and community groups. Partners may be receiving grants from TongaHealth or a Ministry or participating in another way such as membership in Advisory Committees.</w:t>
            </w:r>
          </w:p>
          <w:p w14:paraId="626DECD0"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 </w:t>
            </w:r>
          </w:p>
        </w:tc>
        <w:tc>
          <w:tcPr>
            <w:tcW w:w="450" w:type="pct"/>
            <w:tcBorders>
              <w:top w:val="single" w:sz="4" w:space="0" w:color="auto"/>
              <w:left w:val="nil"/>
              <w:bottom w:val="single" w:sz="4" w:space="0" w:color="auto"/>
              <w:right w:val="single" w:sz="4" w:space="0" w:color="auto"/>
            </w:tcBorders>
            <w:shd w:val="clear" w:color="auto" w:fill="auto"/>
          </w:tcPr>
          <w:p w14:paraId="2E22D9E8"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Expand the pool of multi-sectoral partners and their involvement in NCD prevention and control</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0A0E53CE"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r>
              <w:rPr>
                <w:rFonts w:eastAsia="Times New Roman" w:cs="Arial"/>
                <w:sz w:val="18"/>
                <w:szCs w:val="18"/>
                <w:lang w:eastAsia="en-AU"/>
              </w:rPr>
              <w:t xml:space="preserve"> and the National NCD Strategy </w:t>
            </w:r>
          </w:p>
        </w:tc>
        <w:tc>
          <w:tcPr>
            <w:tcW w:w="550" w:type="pct"/>
            <w:tcBorders>
              <w:top w:val="single" w:sz="4" w:space="0" w:color="auto"/>
              <w:left w:val="nil"/>
              <w:bottom w:val="single" w:sz="4" w:space="0" w:color="auto"/>
              <w:right w:val="single" w:sz="4" w:space="0" w:color="auto"/>
            </w:tcBorders>
            <w:shd w:val="clear" w:color="auto" w:fill="auto"/>
          </w:tcPr>
          <w:p w14:paraId="62B1B3FD"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2015/16 results to </w:t>
            </w:r>
            <w:r w:rsidRPr="00A318B9">
              <w:rPr>
                <w:rFonts w:eastAsia="Times New Roman"/>
                <w:noProof/>
                <w:sz w:val="18"/>
                <w:szCs w:val="18"/>
                <w:lang w:eastAsia="en-AU"/>
              </w:rPr>
              <w:t>be reported</w:t>
            </w:r>
            <w:r>
              <w:rPr>
                <w:rFonts w:eastAsia="Times New Roman"/>
                <w:sz w:val="18"/>
                <w:szCs w:val="18"/>
                <w:lang w:eastAsia="en-AU"/>
              </w:rPr>
              <w:t xml:space="preserve"> no later than August 2017 </w:t>
            </w:r>
          </w:p>
        </w:tc>
        <w:tc>
          <w:tcPr>
            <w:tcW w:w="501" w:type="pct"/>
            <w:tcBorders>
              <w:top w:val="nil"/>
              <w:left w:val="nil"/>
              <w:bottom w:val="single" w:sz="4" w:space="0" w:color="auto"/>
              <w:right w:val="single" w:sz="4" w:space="0" w:color="auto"/>
            </w:tcBorders>
            <w:shd w:val="clear" w:color="auto" w:fill="auto"/>
          </w:tcPr>
          <w:p w14:paraId="5652ECEA"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11</w:t>
            </w:r>
          </w:p>
        </w:tc>
        <w:tc>
          <w:tcPr>
            <w:tcW w:w="549" w:type="pct"/>
            <w:tcBorders>
              <w:top w:val="nil"/>
              <w:left w:val="nil"/>
              <w:bottom w:val="single" w:sz="4" w:space="0" w:color="auto"/>
              <w:right w:val="single" w:sz="4" w:space="0" w:color="auto"/>
            </w:tcBorders>
            <w:shd w:val="clear" w:color="auto" w:fill="auto"/>
          </w:tcPr>
          <w:p w14:paraId="4657BE73"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14</w:t>
            </w:r>
          </w:p>
        </w:tc>
        <w:tc>
          <w:tcPr>
            <w:tcW w:w="655" w:type="pct"/>
            <w:tcBorders>
              <w:top w:val="nil"/>
              <w:left w:val="nil"/>
              <w:bottom w:val="single" w:sz="4" w:space="0" w:color="auto"/>
              <w:right w:val="single" w:sz="4" w:space="0" w:color="auto"/>
            </w:tcBorders>
            <w:shd w:val="clear" w:color="auto" w:fill="auto"/>
          </w:tcPr>
          <w:p w14:paraId="2F321BC4"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14</w:t>
            </w:r>
          </w:p>
        </w:tc>
      </w:tr>
      <w:tr w:rsidR="000B54BD" w:rsidRPr="00457E15" w14:paraId="3A2FFE54" w14:textId="77777777" w:rsidTr="00E97A3B">
        <w:trPr>
          <w:trHeight w:val="124"/>
        </w:trPr>
        <w:tc>
          <w:tcPr>
            <w:tcW w:w="338" w:type="pct"/>
            <w:tcBorders>
              <w:top w:val="single" w:sz="4" w:space="0" w:color="auto"/>
              <w:left w:val="single" w:sz="4" w:space="0" w:color="auto"/>
              <w:bottom w:val="single" w:sz="4" w:space="0" w:color="auto"/>
              <w:right w:val="nil"/>
            </w:tcBorders>
            <w:shd w:val="clear" w:color="auto" w:fill="auto"/>
            <w:noWrap/>
            <w:hideMark/>
          </w:tcPr>
          <w:p w14:paraId="6FFEB5B5"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19</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98DD618"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OUTCOME:</w:t>
            </w:r>
            <w:r>
              <w:rPr>
                <w:rFonts w:eastAsia="Times New Roman" w:cs="Arial"/>
                <w:sz w:val="18"/>
                <w:szCs w:val="18"/>
                <w:lang w:eastAsia="en-AU"/>
              </w:rPr>
              <w:t xml:space="preserve"> </w:t>
            </w:r>
            <w:r w:rsidRPr="00457E15">
              <w:rPr>
                <w:rFonts w:eastAsia="Times New Roman" w:cs="Arial"/>
                <w:sz w:val="18"/>
                <w:szCs w:val="18"/>
                <w:lang w:eastAsia="en-AU"/>
              </w:rPr>
              <w:t xml:space="preserve">Total funding </w:t>
            </w:r>
            <w:r>
              <w:rPr>
                <w:rFonts w:eastAsia="Times New Roman" w:cs="Arial"/>
                <w:sz w:val="18"/>
                <w:szCs w:val="18"/>
                <w:lang w:eastAsia="en-AU"/>
              </w:rPr>
              <w:t xml:space="preserve">and source </w:t>
            </w:r>
            <w:r w:rsidRPr="00457E15">
              <w:rPr>
                <w:rFonts w:eastAsia="Times New Roman" w:cs="Arial"/>
                <w:sz w:val="18"/>
                <w:szCs w:val="18"/>
                <w:lang w:eastAsia="en-AU"/>
              </w:rPr>
              <w:t xml:space="preserve">available for NCD prevention and control </w:t>
            </w:r>
          </w:p>
        </w:tc>
        <w:tc>
          <w:tcPr>
            <w:tcW w:w="850" w:type="pct"/>
            <w:tcBorders>
              <w:top w:val="nil"/>
              <w:left w:val="nil"/>
              <w:bottom w:val="single" w:sz="4" w:space="0" w:color="auto"/>
              <w:right w:val="single" w:sz="4" w:space="0" w:color="auto"/>
            </w:tcBorders>
            <w:shd w:val="clear" w:color="auto" w:fill="FFFFFF" w:themeFill="background1"/>
          </w:tcPr>
          <w:p w14:paraId="715B1B93" w14:textId="77777777" w:rsidR="000B54BD" w:rsidRPr="00457E15" w:rsidRDefault="000B54BD" w:rsidP="00E97A3B">
            <w:pPr>
              <w:spacing w:after="0" w:line="240" w:lineRule="auto"/>
              <w:rPr>
                <w:rFonts w:eastAsia="Times New Roman" w:cs="Arial"/>
                <w:sz w:val="18"/>
                <w:szCs w:val="18"/>
                <w:lang w:eastAsia="en-AU"/>
              </w:rPr>
            </w:pPr>
            <w:r w:rsidRPr="00145C3A">
              <w:rPr>
                <w:rFonts w:eastAsia="Times New Roman" w:cs="Arial"/>
                <w:sz w:val="18"/>
                <w:szCs w:val="18"/>
                <w:lang w:eastAsia="en-AU"/>
              </w:rPr>
              <w:t>Total funding available for NCD prevention and control</w:t>
            </w:r>
          </w:p>
        </w:tc>
        <w:tc>
          <w:tcPr>
            <w:tcW w:w="450" w:type="pct"/>
            <w:tcBorders>
              <w:top w:val="nil"/>
              <w:left w:val="nil"/>
              <w:bottom w:val="single" w:sz="4" w:space="0" w:color="auto"/>
              <w:right w:val="single" w:sz="4" w:space="0" w:color="auto"/>
            </w:tcBorders>
          </w:tcPr>
          <w:p w14:paraId="4F3DD3D5"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Maintain or expand the resources, including new sources of funding</w:t>
            </w:r>
          </w:p>
        </w:tc>
        <w:tc>
          <w:tcPr>
            <w:tcW w:w="550" w:type="pct"/>
            <w:tcBorders>
              <w:top w:val="nil"/>
              <w:left w:val="single" w:sz="4" w:space="0" w:color="auto"/>
              <w:bottom w:val="single" w:sz="4" w:space="0" w:color="auto"/>
              <w:right w:val="single" w:sz="4" w:space="0" w:color="auto"/>
            </w:tcBorders>
            <w:shd w:val="clear" w:color="auto" w:fill="auto"/>
          </w:tcPr>
          <w:p w14:paraId="11F46EEB"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Annual b</w:t>
            </w:r>
            <w:r w:rsidRPr="00457E15">
              <w:rPr>
                <w:rFonts w:eastAsia="Times New Roman" w:cs="Arial"/>
                <w:sz w:val="18"/>
                <w:szCs w:val="18"/>
                <w:lang w:eastAsia="en-AU"/>
              </w:rPr>
              <w:t>udget</w:t>
            </w:r>
            <w:r>
              <w:rPr>
                <w:rFonts w:eastAsia="Times New Roman" w:cs="Arial"/>
                <w:sz w:val="18"/>
                <w:szCs w:val="18"/>
                <w:lang w:eastAsia="en-AU"/>
              </w:rPr>
              <w:t>s</w:t>
            </w:r>
          </w:p>
          <w:p w14:paraId="694FED5C" w14:textId="77777777" w:rsidR="000B54BD" w:rsidRDefault="000B54BD" w:rsidP="00E97A3B">
            <w:pPr>
              <w:spacing w:after="0" w:line="240" w:lineRule="auto"/>
              <w:rPr>
                <w:rFonts w:eastAsia="Times New Roman"/>
                <w:sz w:val="18"/>
                <w:szCs w:val="18"/>
                <w:lang w:eastAsia="en-AU"/>
              </w:rPr>
            </w:pPr>
          </w:p>
          <w:p w14:paraId="3A51C0E8" w14:textId="77777777" w:rsidR="000B54BD" w:rsidRPr="00D3773C" w:rsidRDefault="000B54BD" w:rsidP="00E97A3B">
            <w:pPr>
              <w:spacing w:after="0" w:line="240" w:lineRule="auto"/>
              <w:rPr>
                <w:rFonts w:eastAsia="Times New Roman"/>
                <w:i/>
                <w:sz w:val="18"/>
                <w:szCs w:val="18"/>
                <w:lang w:eastAsia="en-AU"/>
              </w:rPr>
            </w:pPr>
            <w:r w:rsidRPr="00D3773C">
              <w:rPr>
                <w:rFonts w:eastAsia="Times New Roman"/>
                <w:i/>
                <w:sz w:val="18"/>
                <w:szCs w:val="18"/>
                <w:lang w:eastAsia="en-AU"/>
              </w:rPr>
              <w:t>NB: The level of DFAT fu</w:t>
            </w:r>
            <w:r>
              <w:rPr>
                <w:rFonts w:eastAsia="Times New Roman"/>
                <w:i/>
                <w:sz w:val="18"/>
                <w:szCs w:val="18"/>
                <w:lang w:eastAsia="en-AU"/>
              </w:rPr>
              <w:t>nding has been impacted by roll</w:t>
            </w:r>
            <w:r w:rsidRPr="00D3773C">
              <w:rPr>
                <w:rFonts w:eastAsia="Times New Roman"/>
                <w:i/>
                <w:sz w:val="18"/>
                <w:szCs w:val="18"/>
                <w:lang w:eastAsia="en-AU"/>
              </w:rPr>
              <w:t xml:space="preserve">over from THSSP 1 and </w:t>
            </w:r>
            <w:r w:rsidRPr="00A318B9">
              <w:rPr>
                <w:rFonts w:eastAsia="Times New Roman"/>
                <w:i/>
                <w:noProof/>
                <w:sz w:val="18"/>
                <w:szCs w:val="18"/>
                <w:lang w:eastAsia="en-AU"/>
              </w:rPr>
              <w:t>subsequent</w:t>
            </w:r>
            <w:r>
              <w:rPr>
                <w:rFonts w:eastAsia="Times New Roman"/>
                <w:i/>
                <w:sz w:val="18"/>
                <w:szCs w:val="18"/>
                <w:lang w:eastAsia="en-AU"/>
              </w:rPr>
              <w:t xml:space="preserve"> </w:t>
            </w:r>
            <w:r w:rsidRPr="00D3773C">
              <w:rPr>
                <w:rFonts w:eastAsia="Times New Roman"/>
                <w:i/>
                <w:sz w:val="18"/>
                <w:szCs w:val="18"/>
                <w:lang w:eastAsia="en-AU"/>
              </w:rPr>
              <w:t>delayed acquittals.</w:t>
            </w:r>
          </w:p>
          <w:p w14:paraId="6D625FFE" w14:textId="77777777" w:rsidR="000B54BD" w:rsidRPr="00D3773C" w:rsidRDefault="000B54BD" w:rsidP="00E97A3B">
            <w:pPr>
              <w:spacing w:after="0" w:line="240" w:lineRule="auto"/>
              <w:rPr>
                <w:rFonts w:eastAsia="Times New Roman" w:cs="Arial"/>
                <w:i/>
                <w:sz w:val="18"/>
                <w:szCs w:val="18"/>
                <w:lang w:eastAsia="en-AU"/>
              </w:rPr>
            </w:pPr>
            <w:r w:rsidRPr="00D3773C">
              <w:rPr>
                <w:rFonts w:eastAsia="Times New Roman"/>
                <w:i/>
                <w:sz w:val="18"/>
                <w:szCs w:val="18"/>
                <w:lang w:eastAsia="en-AU"/>
              </w:rPr>
              <w:t xml:space="preserve">NCD funding </w:t>
            </w:r>
            <w:r w:rsidRPr="00A318B9">
              <w:rPr>
                <w:rFonts w:eastAsia="Times New Roman"/>
                <w:i/>
                <w:noProof/>
                <w:sz w:val="18"/>
                <w:szCs w:val="18"/>
                <w:lang w:eastAsia="en-AU"/>
              </w:rPr>
              <w:t>is received</w:t>
            </w:r>
            <w:r>
              <w:rPr>
                <w:rFonts w:eastAsia="Times New Roman"/>
                <w:i/>
                <w:sz w:val="18"/>
                <w:szCs w:val="18"/>
                <w:lang w:eastAsia="en-AU"/>
              </w:rPr>
              <w:t xml:space="preserve"> from the </w:t>
            </w:r>
            <w:r w:rsidRPr="00D3773C">
              <w:rPr>
                <w:rFonts w:eastAsia="Times New Roman"/>
                <w:i/>
                <w:sz w:val="18"/>
                <w:szCs w:val="18"/>
                <w:lang w:eastAsia="en-AU"/>
              </w:rPr>
              <w:t xml:space="preserve">Government of Tonga, DFAT/ TongaHealth, WHO, UNFPA, World Diabetic </w:t>
            </w:r>
            <w:r w:rsidRPr="00D3773C">
              <w:rPr>
                <w:rFonts w:eastAsia="Times New Roman"/>
                <w:i/>
                <w:sz w:val="18"/>
                <w:szCs w:val="18"/>
                <w:lang w:eastAsia="en-AU"/>
              </w:rPr>
              <w:lastRenderedPageBreak/>
              <w:t>Foundation,</w:t>
            </w:r>
            <w:r>
              <w:rPr>
                <w:rFonts w:eastAsia="Times New Roman"/>
                <w:i/>
                <w:sz w:val="18"/>
                <w:szCs w:val="18"/>
                <w:lang w:eastAsia="en-AU"/>
              </w:rPr>
              <w:t xml:space="preserve"> and</w:t>
            </w:r>
            <w:r w:rsidRPr="00D3773C">
              <w:rPr>
                <w:rFonts w:eastAsia="Times New Roman"/>
                <w:i/>
                <w:sz w:val="18"/>
                <w:szCs w:val="18"/>
                <w:lang w:eastAsia="en-AU"/>
              </w:rPr>
              <w:t xml:space="preserve"> Japan Aid.</w:t>
            </w:r>
          </w:p>
          <w:p w14:paraId="720979B3" w14:textId="77777777" w:rsidR="000B54BD" w:rsidRPr="00457E15" w:rsidRDefault="000B54BD" w:rsidP="00E97A3B">
            <w:pPr>
              <w:spacing w:after="0" w:line="240" w:lineRule="auto"/>
              <w:rPr>
                <w:rFonts w:eastAsia="Times New Roman" w:cs="Arial"/>
                <w:sz w:val="18"/>
                <w:szCs w:val="18"/>
                <w:lang w:eastAsia="en-AU"/>
              </w:rPr>
            </w:pPr>
          </w:p>
        </w:tc>
        <w:tc>
          <w:tcPr>
            <w:tcW w:w="550" w:type="pct"/>
            <w:tcBorders>
              <w:top w:val="nil"/>
              <w:left w:val="nil"/>
              <w:bottom w:val="single" w:sz="4" w:space="0" w:color="auto"/>
              <w:right w:val="single" w:sz="4" w:space="0" w:color="auto"/>
            </w:tcBorders>
            <w:shd w:val="clear" w:color="auto" w:fill="auto"/>
          </w:tcPr>
          <w:p w14:paraId="708EAD8D" w14:textId="77777777" w:rsidR="000B54BD" w:rsidRPr="00457E15" w:rsidRDefault="000B54BD" w:rsidP="00E97A3B">
            <w:pPr>
              <w:spacing w:after="0" w:line="240" w:lineRule="auto"/>
              <w:rPr>
                <w:rFonts w:eastAsia="Times New Roman"/>
                <w:sz w:val="18"/>
                <w:szCs w:val="18"/>
                <w:lang w:eastAsia="en-AU"/>
              </w:rPr>
            </w:pPr>
            <w:r w:rsidRPr="00172918">
              <w:rPr>
                <w:rFonts w:eastAsia="Times New Roman"/>
                <w:sz w:val="18"/>
                <w:szCs w:val="18"/>
                <w:lang w:eastAsia="en-AU"/>
              </w:rPr>
              <w:lastRenderedPageBreak/>
              <w:t>$1,815,480</w:t>
            </w:r>
            <w:r>
              <w:rPr>
                <w:rFonts w:eastAsia="Times New Roman"/>
                <w:sz w:val="18"/>
                <w:szCs w:val="18"/>
                <w:lang w:eastAsia="en-AU"/>
              </w:rPr>
              <w:t>; Government: $688,108, DFAT: $1,127,372 (2015/2016)</w:t>
            </w:r>
          </w:p>
        </w:tc>
        <w:tc>
          <w:tcPr>
            <w:tcW w:w="1712" w:type="pct"/>
            <w:gridSpan w:val="5"/>
            <w:tcBorders>
              <w:top w:val="nil"/>
              <w:left w:val="nil"/>
              <w:bottom w:val="single" w:sz="4" w:space="0" w:color="auto"/>
              <w:right w:val="single" w:sz="4" w:space="0" w:color="auto"/>
            </w:tcBorders>
            <w:shd w:val="clear" w:color="auto" w:fill="FFFF66"/>
          </w:tcPr>
          <w:p w14:paraId="2CA4FF39" w14:textId="77777777" w:rsidR="000B54BD" w:rsidRPr="00D3773C" w:rsidRDefault="000B54BD" w:rsidP="00E97A3B">
            <w:pPr>
              <w:spacing w:after="0" w:line="240" w:lineRule="auto"/>
              <w:rPr>
                <w:rFonts w:eastAsia="Times New Roman"/>
                <w:sz w:val="18"/>
                <w:szCs w:val="18"/>
                <w:lang w:eastAsia="en-AU"/>
              </w:rPr>
            </w:pPr>
            <w:r>
              <w:rPr>
                <w:rFonts w:eastAsia="Times New Roman"/>
                <w:sz w:val="18"/>
                <w:szCs w:val="18"/>
                <w:lang w:eastAsia="en-AU"/>
              </w:rPr>
              <w:t>Some progress in terms of sources of funding but total funding by FY unclear.</w:t>
            </w:r>
          </w:p>
          <w:p w14:paraId="50DFF111" w14:textId="77777777" w:rsidR="000B54BD" w:rsidRPr="00457E15" w:rsidRDefault="000B54BD" w:rsidP="00E97A3B">
            <w:pPr>
              <w:spacing w:after="0" w:line="240" w:lineRule="auto"/>
              <w:rPr>
                <w:rFonts w:eastAsia="Times New Roman"/>
                <w:sz w:val="18"/>
                <w:szCs w:val="18"/>
                <w:lang w:eastAsia="en-AU"/>
              </w:rPr>
            </w:pPr>
          </w:p>
        </w:tc>
      </w:tr>
      <w:tr w:rsidR="000B54BD" w:rsidRPr="00457E15" w14:paraId="5B68C481" w14:textId="77777777" w:rsidTr="00E97A3B">
        <w:trPr>
          <w:gridAfter w:val="1"/>
          <w:wAfter w:w="2" w:type="pct"/>
          <w:trHeight w:val="273"/>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5E3CBE98"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Maintain efficient and effective grants management</w:t>
            </w:r>
          </w:p>
        </w:tc>
      </w:tr>
      <w:tr w:rsidR="000B54BD" w:rsidRPr="00457E15" w14:paraId="20563AAD" w14:textId="77777777" w:rsidTr="00E97A3B">
        <w:trPr>
          <w:gridAfter w:val="2"/>
          <w:wAfter w:w="7" w:type="pct"/>
          <w:trHeight w:val="500"/>
        </w:trPr>
        <w:tc>
          <w:tcPr>
            <w:tcW w:w="338" w:type="pct"/>
            <w:tcBorders>
              <w:top w:val="single" w:sz="4" w:space="0" w:color="auto"/>
              <w:left w:val="single" w:sz="4" w:space="0" w:color="auto"/>
              <w:bottom w:val="single" w:sz="4" w:space="0" w:color="auto"/>
              <w:right w:val="nil"/>
            </w:tcBorders>
            <w:shd w:val="clear" w:color="auto" w:fill="auto"/>
            <w:noWrap/>
            <w:hideMark/>
          </w:tcPr>
          <w:p w14:paraId="5D47694B"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20</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79F59AF"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OUTPUT:</w:t>
            </w:r>
            <w:r>
              <w:rPr>
                <w:rFonts w:eastAsia="Times New Roman" w:cs="Arial"/>
                <w:sz w:val="18"/>
                <w:szCs w:val="18"/>
                <w:lang w:eastAsia="en-AU"/>
              </w:rPr>
              <w:t xml:space="preserve"> </w:t>
            </w:r>
            <w:r w:rsidRPr="00457E15">
              <w:rPr>
                <w:rFonts w:eastAsia="Times New Roman" w:cs="Arial"/>
                <w:sz w:val="18"/>
                <w:szCs w:val="18"/>
                <w:lang w:eastAsia="en-AU"/>
              </w:rPr>
              <w:t xml:space="preserve">% of </w:t>
            </w:r>
            <w:r>
              <w:rPr>
                <w:rFonts w:eastAsia="Times New Roman" w:cs="Arial"/>
                <w:sz w:val="18"/>
                <w:szCs w:val="18"/>
                <w:lang w:eastAsia="en-AU"/>
              </w:rPr>
              <w:t xml:space="preserve">grants that are up to date in the grant management cycle </w:t>
            </w:r>
          </w:p>
        </w:tc>
        <w:tc>
          <w:tcPr>
            <w:tcW w:w="850" w:type="pct"/>
            <w:tcBorders>
              <w:top w:val="nil"/>
              <w:left w:val="nil"/>
              <w:bottom w:val="single" w:sz="4" w:space="0" w:color="auto"/>
              <w:right w:val="single" w:sz="4" w:space="0" w:color="auto"/>
            </w:tcBorders>
            <w:shd w:val="clear" w:color="auto" w:fill="auto"/>
            <w:hideMark/>
          </w:tcPr>
          <w:p w14:paraId="57405694" w14:textId="77777777" w:rsidR="000B54BD" w:rsidRDefault="000B54BD" w:rsidP="00E97A3B">
            <w:pPr>
              <w:spacing w:after="0" w:line="240" w:lineRule="auto"/>
              <w:rPr>
                <w:rFonts w:eastAsia="Times New Roman" w:cs="Arial"/>
                <w:sz w:val="18"/>
                <w:szCs w:val="18"/>
                <w:lang w:eastAsia="en-AU"/>
              </w:rPr>
            </w:pPr>
            <w:r w:rsidRPr="00255575">
              <w:rPr>
                <w:rFonts w:eastAsia="Times New Roman" w:cs="Arial"/>
                <w:sz w:val="18"/>
                <w:szCs w:val="18"/>
                <w:lang w:eastAsia="en-AU"/>
              </w:rPr>
              <w:t xml:space="preserve">The </w:t>
            </w:r>
            <w:r>
              <w:rPr>
                <w:rFonts w:eastAsia="Times New Roman" w:cs="Arial"/>
                <w:sz w:val="18"/>
                <w:szCs w:val="18"/>
                <w:lang w:eastAsia="en-AU"/>
              </w:rPr>
              <w:t xml:space="preserve">grant </w:t>
            </w:r>
            <w:r w:rsidRPr="00255575">
              <w:rPr>
                <w:rFonts w:eastAsia="Times New Roman" w:cs="Arial"/>
                <w:sz w:val="18"/>
                <w:szCs w:val="18"/>
                <w:lang w:eastAsia="en-AU"/>
              </w:rPr>
              <w:t xml:space="preserve">tracker will outline the major activities to be done </w:t>
            </w:r>
            <w:r>
              <w:rPr>
                <w:rFonts w:eastAsia="Times New Roman" w:cs="Arial"/>
                <w:sz w:val="18"/>
                <w:szCs w:val="18"/>
                <w:lang w:eastAsia="en-AU"/>
              </w:rPr>
              <w:t>for managing a grant from establishment to completion, including key deliverables and risk management activities</w:t>
            </w:r>
            <w:r w:rsidRPr="00255575">
              <w:rPr>
                <w:rFonts w:eastAsia="Times New Roman" w:cs="Arial"/>
                <w:sz w:val="18"/>
                <w:szCs w:val="18"/>
                <w:lang w:eastAsia="en-AU"/>
              </w:rPr>
              <w:t>.</w:t>
            </w:r>
          </w:p>
          <w:p w14:paraId="5A465AF5" w14:textId="77777777" w:rsidR="000B54BD" w:rsidRDefault="000B54BD" w:rsidP="00E97A3B">
            <w:pPr>
              <w:spacing w:after="0" w:line="240" w:lineRule="auto"/>
              <w:rPr>
                <w:rFonts w:eastAsia="Times New Roman" w:cs="Arial"/>
                <w:sz w:val="18"/>
                <w:szCs w:val="18"/>
                <w:lang w:eastAsia="en-AU"/>
              </w:rPr>
            </w:pPr>
          </w:p>
          <w:p w14:paraId="581C581F"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Numerator: Number of grants which are activities are up to date in grant management tracker</w:t>
            </w:r>
          </w:p>
          <w:p w14:paraId="526D8569" w14:textId="77777777" w:rsidR="000B54BD" w:rsidRDefault="000B54BD" w:rsidP="00E97A3B">
            <w:pPr>
              <w:spacing w:after="0" w:line="240" w:lineRule="auto"/>
              <w:rPr>
                <w:rFonts w:eastAsia="Times New Roman" w:cs="Arial"/>
                <w:sz w:val="18"/>
                <w:szCs w:val="18"/>
                <w:lang w:eastAsia="en-AU"/>
              </w:rPr>
            </w:pPr>
          </w:p>
          <w:p w14:paraId="4EA3F96A"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Denominator: Total number of</w:t>
            </w:r>
            <w:r w:rsidRPr="008D5D3C">
              <w:rPr>
                <w:rFonts w:eastAsia="Times New Roman" w:cs="Arial"/>
                <w:sz w:val="18"/>
                <w:szCs w:val="18"/>
                <w:lang w:eastAsia="en-AU"/>
              </w:rPr>
              <w:t xml:space="preserve"> </w:t>
            </w:r>
            <w:r>
              <w:rPr>
                <w:rFonts w:eastAsia="Times New Roman" w:cs="Arial"/>
                <w:sz w:val="18"/>
                <w:szCs w:val="18"/>
                <w:lang w:eastAsia="en-AU"/>
              </w:rPr>
              <w:t>grants x 100</w:t>
            </w:r>
          </w:p>
        </w:tc>
        <w:tc>
          <w:tcPr>
            <w:tcW w:w="450" w:type="pct"/>
            <w:tcBorders>
              <w:top w:val="nil"/>
              <w:left w:val="nil"/>
              <w:bottom w:val="single" w:sz="4" w:space="0" w:color="auto"/>
              <w:right w:val="single" w:sz="4" w:space="0" w:color="auto"/>
            </w:tcBorders>
          </w:tcPr>
          <w:p w14:paraId="03A44369"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4FBAB5D6"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r>
              <w:rPr>
                <w:rFonts w:eastAsia="Times New Roman" w:cs="Arial"/>
                <w:sz w:val="18"/>
                <w:szCs w:val="18"/>
                <w:lang w:eastAsia="en-AU"/>
              </w:rPr>
              <w:t xml:space="preserve"> grants tracker</w:t>
            </w:r>
          </w:p>
        </w:tc>
        <w:tc>
          <w:tcPr>
            <w:tcW w:w="550" w:type="pct"/>
            <w:tcBorders>
              <w:top w:val="nil"/>
              <w:left w:val="nil"/>
              <w:bottom w:val="single" w:sz="4" w:space="0" w:color="auto"/>
              <w:right w:val="single" w:sz="4" w:space="0" w:color="auto"/>
            </w:tcBorders>
            <w:shd w:val="clear" w:color="auto" w:fill="auto"/>
          </w:tcPr>
          <w:p w14:paraId="48DEB067"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Grant tracker draft developed. Baseline for 2015-16 grants to be provided no later than August 2017.  </w:t>
            </w:r>
          </w:p>
        </w:tc>
        <w:tc>
          <w:tcPr>
            <w:tcW w:w="501" w:type="pct"/>
            <w:tcBorders>
              <w:top w:val="nil"/>
              <w:left w:val="nil"/>
              <w:bottom w:val="single" w:sz="4" w:space="0" w:color="auto"/>
              <w:right w:val="single" w:sz="4" w:space="0" w:color="auto"/>
            </w:tcBorders>
            <w:shd w:val="clear" w:color="auto" w:fill="auto"/>
          </w:tcPr>
          <w:p w14:paraId="22223B35"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1646274A" w14:textId="77777777" w:rsidR="000B54BD" w:rsidRPr="00457E15" w:rsidRDefault="000B54BD" w:rsidP="00E97A3B">
            <w:pPr>
              <w:spacing w:after="0" w:line="240" w:lineRule="auto"/>
              <w:rPr>
                <w:rFonts w:eastAsia="Times New Roman"/>
                <w:sz w:val="18"/>
                <w:szCs w:val="18"/>
                <w:lang w:eastAsia="en-AU"/>
              </w:rPr>
            </w:pPr>
          </w:p>
        </w:tc>
        <w:tc>
          <w:tcPr>
            <w:tcW w:w="655" w:type="pct"/>
            <w:tcBorders>
              <w:top w:val="nil"/>
              <w:left w:val="nil"/>
              <w:bottom w:val="single" w:sz="4" w:space="0" w:color="auto"/>
              <w:right w:val="single" w:sz="4" w:space="0" w:color="auto"/>
            </w:tcBorders>
            <w:shd w:val="clear" w:color="auto" w:fill="auto"/>
          </w:tcPr>
          <w:p w14:paraId="1C5DFCDB" w14:textId="77777777" w:rsidR="000B54BD" w:rsidRPr="005F643C" w:rsidRDefault="000B54BD" w:rsidP="00E97A3B">
            <w:pPr>
              <w:spacing w:after="0" w:line="240" w:lineRule="auto"/>
              <w:rPr>
                <w:rFonts w:eastAsia="Times New Roman"/>
                <w:sz w:val="18"/>
                <w:szCs w:val="18"/>
                <w:lang w:eastAsia="en-AU"/>
              </w:rPr>
            </w:pPr>
            <w:r w:rsidRPr="005F643C">
              <w:rPr>
                <w:rFonts w:eastAsia="Times New Roman"/>
                <w:sz w:val="18"/>
                <w:szCs w:val="18"/>
                <w:u w:val="single"/>
                <w:lang w:eastAsia="en-AU"/>
              </w:rPr>
              <w:t xml:space="preserve">As </w:t>
            </w:r>
            <w:r>
              <w:rPr>
                <w:rFonts w:eastAsia="Times New Roman"/>
                <w:sz w:val="18"/>
                <w:szCs w:val="18"/>
                <w:u w:val="single"/>
                <w:lang w:eastAsia="en-AU"/>
              </w:rPr>
              <w:t>at</w:t>
            </w:r>
            <w:r w:rsidRPr="005F643C">
              <w:rPr>
                <w:rFonts w:eastAsia="Times New Roman"/>
                <w:sz w:val="18"/>
                <w:szCs w:val="18"/>
                <w:u w:val="single"/>
                <w:lang w:eastAsia="en-AU"/>
              </w:rPr>
              <w:t xml:space="preserve"> June 2018:</w:t>
            </w:r>
            <w:r>
              <w:rPr>
                <w:rFonts w:eastAsia="Times New Roman"/>
                <w:sz w:val="18"/>
                <w:szCs w:val="18"/>
                <w:u w:val="single"/>
                <w:lang w:eastAsia="en-AU"/>
              </w:rPr>
              <w:br/>
            </w:r>
            <w:r w:rsidRPr="005F643C">
              <w:rPr>
                <w:rFonts w:eastAsia="Times New Roman"/>
                <w:sz w:val="18"/>
                <w:szCs w:val="18"/>
                <w:lang w:eastAsia="en-AU"/>
              </w:rPr>
              <w:t xml:space="preserve">72.7% </w:t>
            </w:r>
          </w:p>
          <w:p w14:paraId="5CBA0F29" w14:textId="77777777" w:rsidR="000B54BD" w:rsidRPr="005F643C" w:rsidRDefault="000B54BD" w:rsidP="00E97A3B">
            <w:pPr>
              <w:spacing w:after="0" w:line="240" w:lineRule="auto"/>
              <w:rPr>
                <w:rFonts w:eastAsia="Times New Roman"/>
                <w:sz w:val="18"/>
                <w:szCs w:val="18"/>
                <w:lang w:eastAsia="en-AU"/>
              </w:rPr>
            </w:pPr>
            <w:r w:rsidRPr="005F643C">
              <w:rPr>
                <w:rFonts w:eastAsia="Times New Roman"/>
                <w:sz w:val="18"/>
                <w:szCs w:val="18"/>
                <w:lang w:eastAsia="en-AU"/>
              </w:rPr>
              <w:t>(8 in progress, 3 delayed active grants)</w:t>
            </w:r>
          </w:p>
          <w:p w14:paraId="68E47B2C" w14:textId="77777777" w:rsidR="000B54BD" w:rsidRPr="00457E15" w:rsidRDefault="000B54BD" w:rsidP="00E97A3B">
            <w:pPr>
              <w:spacing w:after="0" w:line="240" w:lineRule="auto"/>
              <w:rPr>
                <w:rFonts w:eastAsia="Times New Roman"/>
                <w:sz w:val="18"/>
                <w:szCs w:val="18"/>
                <w:lang w:eastAsia="en-AU"/>
              </w:rPr>
            </w:pPr>
            <w:r w:rsidRPr="00FD6EF1">
              <w:rPr>
                <w:rFonts w:eastAsia="Times New Roman"/>
                <w:sz w:val="18"/>
                <w:szCs w:val="18"/>
                <w:u w:val="single"/>
                <w:lang w:eastAsia="en-AU"/>
              </w:rPr>
              <w:t>As at Nov 2018:</w:t>
            </w:r>
            <w:r>
              <w:rPr>
                <w:rFonts w:eastAsia="Times New Roman"/>
                <w:sz w:val="18"/>
                <w:szCs w:val="18"/>
                <w:lang w:eastAsia="en-AU"/>
              </w:rPr>
              <w:br/>
            </w:r>
            <w:r w:rsidRPr="005F643C">
              <w:rPr>
                <w:rFonts w:eastAsia="Times New Roman"/>
                <w:sz w:val="18"/>
                <w:szCs w:val="18"/>
                <w:lang w:eastAsia="en-AU"/>
              </w:rPr>
              <w:t xml:space="preserve">Grant tracker </w:t>
            </w:r>
            <w:r>
              <w:rPr>
                <w:rFonts w:eastAsia="Times New Roman"/>
                <w:sz w:val="18"/>
                <w:szCs w:val="18"/>
                <w:lang w:eastAsia="en-AU"/>
              </w:rPr>
              <w:t>shows</w:t>
            </w:r>
            <w:r w:rsidRPr="005F643C">
              <w:rPr>
                <w:rFonts w:eastAsia="Times New Roman"/>
                <w:sz w:val="18"/>
                <w:szCs w:val="18"/>
                <w:lang w:eastAsia="en-AU"/>
              </w:rPr>
              <w:t xml:space="preserve"> 17 grants</w:t>
            </w:r>
            <w:r>
              <w:rPr>
                <w:rFonts w:eastAsia="Times New Roman"/>
                <w:sz w:val="18"/>
                <w:szCs w:val="18"/>
                <w:lang w:eastAsia="en-AU"/>
              </w:rPr>
              <w:t>:</w:t>
            </w:r>
            <w:r w:rsidRPr="005F643C">
              <w:rPr>
                <w:rFonts w:eastAsia="Times New Roman"/>
                <w:sz w:val="18"/>
                <w:szCs w:val="18"/>
                <w:lang w:eastAsia="en-AU"/>
              </w:rPr>
              <w:t xml:space="preserve"> 2 completed, 2 delayed and 13 in progress</w:t>
            </w:r>
          </w:p>
        </w:tc>
      </w:tr>
      <w:tr w:rsidR="000B54BD" w:rsidRPr="00457E15" w14:paraId="0901CDD3" w14:textId="77777777" w:rsidTr="00E97A3B">
        <w:trPr>
          <w:gridAfter w:val="1"/>
          <w:wAfter w:w="2" w:type="pct"/>
          <w:trHeight w:val="327"/>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2715C3B5"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Develop health promotion capacity and skills transfer</w:t>
            </w:r>
          </w:p>
        </w:tc>
      </w:tr>
      <w:tr w:rsidR="000B54BD" w:rsidRPr="00457E15" w14:paraId="3A2E24C4" w14:textId="77777777" w:rsidTr="00E97A3B">
        <w:trPr>
          <w:gridAfter w:val="2"/>
          <w:wAfter w:w="7" w:type="pct"/>
          <w:trHeight w:val="500"/>
        </w:trPr>
        <w:tc>
          <w:tcPr>
            <w:tcW w:w="338" w:type="pct"/>
            <w:tcBorders>
              <w:top w:val="single" w:sz="4" w:space="0" w:color="auto"/>
              <w:left w:val="single" w:sz="4" w:space="0" w:color="auto"/>
              <w:bottom w:val="single" w:sz="4" w:space="0" w:color="auto"/>
              <w:right w:val="nil"/>
            </w:tcBorders>
            <w:shd w:val="clear" w:color="auto" w:fill="FFFFFF" w:themeFill="background1"/>
            <w:noWrap/>
          </w:tcPr>
          <w:p w14:paraId="2541CDAD"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21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tcPr>
          <w:p w14:paraId="687C3E43" w14:textId="77777777" w:rsidR="000B54BD"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 xml:space="preserve">OUTPUT: </w:t>
            </w:r>
            <w:r w:rsidRPr="00457E15">
              <w:rPr>
                <w:rFonts w:eastAsia="Times New Roman" w:cs="Arial"/>
                <w:sz w:val="18"/>
                <w:szCs w:val="18"/>
                <w:lang w:eastAsia="en-AU"/>
              </w:rPr>
              <w:t># of TongaHealth funded workshops/trainings/placements</w:t>
            </w:r>
            <w:r>
              <w:rPr>
                <w:rFonts w:eastAsia="Times New Roman" w:cs="Arial"/>
                <w:sz w:val="18"/>
                <w:szCs w:val="18"/>
                <w:lang w:eastAsia="en-AU"/>
              </w:rPr>
              <w:t xml:space="preserve"> and number of participants</w:t>
            </w:r>
          </w:p>
        </w:tc>
        <w:tc>
          <w:tcPr>
            <w:tcW w:w="850" w:type="pct"/>
            <w:tcBorders>
              <w:top w:val="nil"/>
              <w:left w:val="nil"/>
              <w:bottom w:val="single" w:sz="4" w:space="0" w:color="auto"/>
              <w:right w:val="single" w:sz="4" w:space="0" w:color="auto"/>
            </w:tcBorders>
            <w:shd w:val="clear" w:color="auto" w:fill="FFFFFF" w:themeFill="background1"/>
          </w:tcPr>
          <w:p w14:paraId="016D7712"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Total number of </w:t>
            </w:r>
            <w:r w:rsidRPr="00382D10">
              <w:rPr>
                <w:rFonts w:eastAsia="Times New Roman" w:cs="Arial"/>
                <w:sz w:val="18"/>
                <w:szCs w:val="18"/>
                <w:lang w:eastAsia="en-AU"/>
              </w:rPr>
              <w:t>TongaHealth funded workshops/trainings/placements</w:t>
            </w:r>
          </w:p>
          <w:p w14:paraId="5F7DA223"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Total number of participants</w:t>
            </w:r>
          </w:p>
        </w:tc>
        <w:tc>
          <w:tcPr>
            <w:tcW w:w="450" w:type="pct"/>
            <w:tcBorders>
              <w:top w:val="nil"/>
              <w:left w:val="nil"/>
              <w:bottom w:val="single" w:sz="4" w:space="0" w:color="auto"/>
              <w:right w:val="single" w:sz="4" w:space="0" w:color="auto"/>
            </w:tcBorders>
            <w:shd w:val="clear" w:color="auto" w:fill="auto"/>
          </w:tcPr>
          <w:p w14:paraId="71C2062F"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3B742CD7"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p>
        </w:tc>
        <w:tc>
          <w:tcPr>
            <w:tcW w:w="550" w:type="pct"/>
            <w:tcBorders>
              <w:top w:val="nil"/>
              <w:left w:val="nil"/>
              <w:bottom w:val="single" w:sz="4" w:space="0" w:color="auto"/>
              <w:right w:val="single" w:sz="4" w:space="0" w:color="auto"/>
            </w:tcBorders>
            <w:shd w:val="clear" w:color="auto" w:fill="FFFFFF" w:themeFill="background1"/>
          </w:tcPr>
          <w:p w14:paraId="72E90001"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0 (2015/2016)</w:t>
            </w:r>
          </w:p>
          <w:p w14:paraId="6FB226A3" w14:textId="77777777" w:rsidR="000B54BD" w:rsidRDefault="000B54BD" w:rsidP="00E97A3B">
            <w:pPr>
              <w:spacing w:after="0" w:line="240" w:lineRule="auto"/>
              <w:rPr>
                <w:rFonts w:eastAsia="Times New Roman"/>
                <w:sz w:val="18"/>
                <w:szCs w:val="18"/>
                <w:lang w:eastAsia="en-AU"/>
              </w:rPr>
            </w:pPr>
          </w:p>
          <w:p w14:paraId="20813A38"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0 (2015/2016)</w:t>
            </w:r>
          </w:p>
          <w:p w14:paraId="18A34BB1" w14:textId="77777777" w:rsidR="000B54BD" w:rsidRDefault="000B54BD" w:rsidP="00E97A3B">
            <w:pPr>
              <w:spacing w:after="0" w:line="240" w:lineRule="auto"/>
              <w:rPr>
                <w:rFonts w:eastAsia="Times New Roman"/>
                <w:sz w:val="18"/>
                <w:szCs w:val="18"/>
                <w:lang w:eastAsia="en-AU"/>
              </w:rPr>
            </w:pPr>
          </w:p>
        </w:tc>
        <w:tc>
          <w:tcPr>
            <w:tcW w:w="501" w:type="pct"/>
            <w:tcBorders>
              <w:top w:val="nil"/>
              <w:left w:val="nil"/>
              <w:bottom w:val="single" w:sz="4" w:space="0" w:color="auto"/>
              <w:right w:val="single" w:sz="4" w:space="0" w:color="auto"/>
            </w:tcBorders>
            <w:shd w:val="clear" w:color="auto" w:fill="auto"/>
          </w:tcPr>
          <w:p w14:paraId="4B9B7481" w14:textId="77777777" w:rsidR="000B54BD" w:rsidRPr="00D2169E" w:rsidRDefault="000B54BD" w:rsidP="00E97A3B">
            <w:pPr>
              <w:spacing w:after="0" w:line="240" w:lineRule="auto"/>
              <w:rPr>
                <w:rFonts w:eastAsia="Times New Roman"/>
                <w:sz w:val="18"/>
                <w:szCs w:val="18"/>
                <w:lang w:eastAsia="en-AU"/>
              </w:rPr>
            </w:pPr>
            <w:r w:rsidRPr="00D2169E">
              <w:rPr>
                <w:rFonts w:eastAsia="Times New Roman"/>
                <w:sz w:val="18"/>
                <w:szCs w:val="18"/>
                <w:lang w:eastAsia="en-AU"/>
              </w:rPr>
              <w:t xml:space="preserve">TongaHealth provided support, set up and ran the National NCD Summit in June 2016 </w:t>
            </w:r>
          </w:p>
          <w:p w14:paraId="25D16357" w14:textId="77777777" w:rsidR="000B54BD" w:rsidRPr="00D2169E"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6CDCB85A" w14:textId="77777777" w:rsidR="000B54BD" w:rsidRPr="00D2169E" w:rsidRDefault="000B54BD" w:rsidP="00E97A3B">
            <w:pPr>
              <w:spacing w:after="0" w:line="240" w:lineRule="auto"/>
              <w:rPr>
                <w:rFonts w:eastAsia="Times New Roman"/>
                <w:sz w:val="18"/>
                <w:szCs w:val="18"/>
                <w:lang w:eastAsia="en-AU"/>
              </w:rPr>
            </w:pPr>
            <w:r w:rsidRPr="00D2169E">
              <w:rPr>
                <w:rFonts w:eastAsia="Times New Roman"/>
                <w:sz w:val="18"/>
                <w:szCs w:val="18"/>
                <w:lang w:eastAsia="en-AU"/>
              </w:rPr>
              <w:t xml:space="preserve">3 sessions with all current grant recipients on grant requirements. </w:t>
            </w:r>
          </w:p>
          <w:p w14:paraId="6A9933ED" w14:textId="77777777" w:rsidR="000B54BD" w:rsidRPr="00D2169E" w:rsidRDefault="000B54BD" w:rsidP="00E97A3B">
            <w:pPr>
              <w:spacing w:after="0" w:line="240" w:lineRule="auto"/>
              <w:rPr>
                <w:rFonts w:eastAsia="Times New Roman"/>
                <w:sz w:val="18"/>
                <w:szCs w:val="18"/>
                <w:lang w:eastAsia="en-AU"/>
              </w:rPr>
            </w:pPr>
          </w:p>
          <w:p w14:paraId="126A0635" w14:textId="77777777" w:rsidR="000B54BD" w:rsidRPr="00D2169E" w:rsidRDefault="000B54BD" w:rsidP="00E97A3B">
            <w:pPr>
              <w:spacing w:after="0" w:line="240" w:lineRule="auto"/>
              <w:rPr>
                <w:rFonts w:eastAsia="Times New Roman"/>
                <w:sz w:val="18"/>
                <w:szCs w:val="18"/>
                <w:lang w:eastAsia="en-AU"/>
              </w:rPr>
            </w:pPr>
            <w:r w:rsidRPr="00D2169E">
              <w:rPr>
                <w:rFonts w:eastAsia="Times New Roman"/>
                <w:sz w:val="18"/>
                <w:szCs w:val="18"/>
                <w:lang w:eastAsia="en-AU"/>
              </w:rPr>
              <w:t>Total number of participants: 52</w:t>
            </w:r>
          </w:p>
        </w:tc>
        <w:tc>
          <w:tcPr>
            <w:tcW w:w="655" w:type="pct"/>
            <w:tcBorders>
              <w:top w:val="nil"/>
              <w:left w:val="nil"/>
              <w:bottom w:val="single" w:sz="4" w:space="0" w:color="auto"/>
              <w:right w:val="single" w:sz="4" w:space="0" w:color="auto"/>
            </w:tcBorders>
            <w:shd w:val="clear" w:color="auto" w:fill="FF7C80"/>
          </w:tcPr>
          <w:p w14:paraId="087CE371" w14:textId="77777777" w:rsidR="000B54BD" w:rsidRPr="00D2169E" w:rsidRDefault="000B54BD" w:rsidP="00E97A3B">
            <w:pPr>
              <w:spacing w:after="0" w:line="240" w:lineRule="auto"/>
              <w:rPr>
                <w:rFonts w:eastAsia="Times New Roman"/>
                <w:sz w:val="18"/>
                <w:szCs w:val="18"/>
                <w:lang w:eastAsia="en-AU"/>
              </w:rPr>
            </w:pPr>
            <w:r w:rsidRPr="00D2169E">
              <w:rPr>
                <w:rFonts w:eastAsia="Times New Roman"/>
                <w:sz w:val="18"/>
                <w:szCs w:val="18"/>
                <w:lang w:eastAsia="en-AU"/>
              </w:rPr>
              <w:t>None</w:t>
            </w:r>
          </w:p>
        </w:tc>
      </w:tr>
      <w:tr w:rsidR="000B54BD" w:rsidRPr="00457E15" w14:paraId="4AC2BD55" w14:textId="77777777" w:rsidTr="00E97A3B">
        <w:trPr>
          <w:gridAfter w:val="2"/>
          <w:wAfter w:w="7" w:type="pct"/>
          <w:trHeight w:val="500"/>
        </w:trPr>
        <w:tc>
          <w:tcPr>
            <w:tcW w:w="338" w:type="pct"/>
            <w:tcBorders>
              <w:top w:val="single" w:sz="4" w:space="0" w:color="auto"/>
              <w:left w:val="single" w:sz="4" w:space="0" w:color="auto"/>
              <w:bottom w:val="single" w:sz="4" w:space="0" w:color="auto"/>
              <w:right w:val="nil"/>
            </w:tcBorders>
            <w:shd w:val="clear" w:color="auto" w:fill="FFFFFF" w:themeFill="background1"/>
            <w:noWrap/>
          </w:tcPr>
          <w:p w14:paraId="17454E52"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22</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tcPr>
          <w:p w14:paraId="58DA4E78" w14:textId="77777777" w:rsidR="000B54BD"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OUTCOME:</w:t>
            </w:r>
            <w:r>
              <w:rPr>
                <w:rFonts w:eastAsia="Times New Roman" w:cs="Arial"/>
                <w:sz w:val="18"/>
                <w:szCs w:val="18"/>
                <w:lang w:eastAsia="en-AU"/>
              </w:rPr>
              <w:t xml:space="preserve"> % of participants indicating positive outcomes from the training </w:t>
            </w:r>
          </w:p>
        </w:tc>
        <w:tc>
          <w:tcPr>
            <w:tcW w:w="850" w:type="pct"/>
            <w:tcBorders>
              <w:top w:val="nil"/>
              <w:left w:val="nil"/>
              <w:bottom w:val="single" w:sz="4" w:space="0" w:color="auto"/>
              <w:right w:val="single" w:sz="4" w:space="0" w:color="auto"/>
            </w:tcBorders>
            <w:shd w:val="clear" w:color="auto" w:fill="FFFFFF" w:themeFill="background1"/>
          </w:tcPr>
          <w:p w14:paraId="4A0131A7"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Numerator: % of participants indicating gains in knowledge, skills or attitude</w:t>
            </w:r>
          </w:p>
          <w:p w14:paraId="2ADAA843" w14:textId="77777777" w:rsidR="000B54BD" w:rsidRDefault="000B54BD" w:rsidP="00E97A3B">
            <w:pPr>
              <w:spacing w:after="0" w:line="240" w:lineRule="auto"/>
              <w:rPr>
                <w:rFonts w:eastAsia="Times New Roman" w:cs="Arial"/>
                <w:sz w:val="18"/>
                <w:szCs w:val="18"/>
                <w:lang w:eastAsia="en-AU"/>
              </w:rPr>
            </w:pPr>
          </w:p>
          <w:p w14:paraId="2175EEF4"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Denominator: number of participants surveyed</w:t>
            </w:r>
          </w:p>
        </w:tc>
        <w:tc>
          <w:tcPr>
            <w:tcW w:w="450" w:type="pct"/>
            <w:tcBorders>
              <w:top w:val="nil"/>
              <w:left w:val="nil"/>
              <w:bottom w:val="single" w:sz="4" w:space="0" w:color="auto"/>
              <w:right w:val="single" w:sz="4" w:space="0" w:color="auto"/>
            </w:tcBorders>
            <w:shd w:val="clear" w:color="auto" w:fill="auto"/>
          </w:tcPr>
          <w:p w14:paraId="445CCD99"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80% of participants surveyed</w:t>
            </w:r>
          </w:p>
        </w:tc>
        <w:tc>
          <w:tcPr>
            <w:tcW w:w="550" w:type="pct"/>
            <w:tcBorders>
              <w:top w:val="nil"/>
              <w:left w:val="single" w:sz="4" w:space="0" w:color="auto"/>
              <w:bottom w:val="single" w:sz="4" w:space="0" w:color="auto"/>
              <w:right w:val="single" w:sz="4" w:space="0" w:color="auto"/>
            </w:tcBorders>
            <w:shd w:val="clear" w:color="auto" w:fill="auto"/>
          </w:tcPr>
          <w:p w14:paraId="374840F2"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Pre- and post training surveys to be conducted for at least half of training activities</w:t>
            </w:r>
          </w:p>
        </w:tc>
        <w:tc>
          <w:tcPr>
            <w:tcW w:w="550" w:type="pct"/>
            <w:tcBorders>
              <w:top w:val="nil"/>
              <w:left w:val="nil"/>
              <w:bottom w:val="single" w:sz="4" w:space="0" w:color="auto"/>
              <w:right w:val="single" w:sz="4" w:space="0" w:color="auto"/>
            </w:tcBorders>
            <w:shd w:val="clear" w:color="auto" w:fill="FFFFFF" w:themeFill="background1"/>
          </w:tcPr>
          <w:p w14:paraId="69F06000"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0 trainings done in 2015/16</w:t>
            </w:r>
          </w:p>
        </w:tc>
        <w:tc>
          <w:tcPr>
            <w:tcW w:w="501" w:type="pct"/>
            <w:tcBorders>
              <w:top w:val="nil"/>
              <w:left w:val="nil"/>
              <w:bottom w:val="single" w:sz="4" w:space="0" w:color="auto"/>
              <w:right w:val="single" w:sz="4" w:space="0" w:color="auto"/>
            </w:tcBorders>
            <w:shd w:val="clear" w:color="auto" w:fill="FFFF66"/>
          </w:tcPr>
          <w:p w14:paraId="459FC2E8" w14:textId="77777777" w:rsidR="000B54BD" w:rsidRPr="00F12224" w:rsidRDefault="000B54BD" w:rsidP="00E97A3B">
            <w:pPr>
              <w:spacing w:after="0" w:line="240" w:lineRule="auto"/>
              <w:rPr>
                <w:rFonts w:eastAsia="Times New Roman"/>
                <w:sz w:val="18"/>
                <w:szCs w:val="18"/>
                <w:lang w:eastAsia="en-AU"/>
              </w:rPr>
            </w:pPr>
            <w:r w:rsidRPr="00F12224">
              <w:rPr>
                <w:rFonts w:eastAsia="Times New Roman"/>
                <w:sz w:val="18"/>
                <w:szCs w:val="18"/>
                <w:lang w:eastAsia="en-AU"/>
              </w:rPr>
              <w:t>-</w:t>
            </w:r>
          </w:p>
        </w:tc>
        <w:tc>
          <w:tcPr>
            <w:tcW w:w="549" w:type="pct"/>
            <w:tcBorders>
              <w:top w:val="nil"/>
              <w:left w:val="nil"/>
              <w:bottom w:val="single" w:sz="4" w:space="0" w:color="auto"/>
              <w:right w:val="single" w:sz="4" w:space="0" w:color="auto"/>
            </w:tcBorders>
            <w:shd w:val="clear" w:color="auto" w:fill="FFFF66"/>
          </w:tcPr>
          <w:p w14:paraId="1D050F22" w14:textId="77777777" w:rsidR="000B54BD" w:rsidRPr="00F12224" w:rsidRDefault="000B54BD" w:rsidP="00E97A3B">
            <w:pPr>
              <w:spacing w:after="0" w:line="240" w:lineRule="auto"/>
              <w:rPr>
                <w:rFonts w:eastAsia="Times New Roman"/>
                <w:sz w:val="18"/>
                <w:szCs w:val="18"/>
                <w:lang w:eastAsia="en-AU"/>
              </w:rPr>
            </w:pPr>
            <w:r w:rsidRPr="00F12224">
              <w:rPr>
                <w:rFonts w:eastAsia="Times New Roman"/>
                <w:sz w:val="18"/>
                <w:szCs w:val="18"/>
                <w:lang w:eastAsia="en-AU"/>
              </w:rPr>
              <w:t xml:space="preserve">No pre-post training surveys undertaken however the training evaluation form has been developed and will be used for all future </w:t>
            </w:r>
            <w:r w:rsidRPr="00F12224">
              <w:rPr>
                <w:rFonts w:eastAsia="Times New Roman"/>
                <w:sz w:val="18"/>
                <w:szCs w:val="18"/>
                <w:lang w:eastAsia="en-AU"/>
              </w:rPr>
              <w:lastRenderedPageBreak/>
              <w:t>trainings/workshops</w:t>
            </w:r>
          </w:p>
        </w:tc>
        <w:tc>
          <w:tcPr>
            <w:tcW w:w="655" w:type="pct"/>
            <w:tcBorders>
              <w:top w:val="nil"/>
              <w:left w:val="nil"/>
              <w:bottom w:val="single" w:sz="4" w:space="0" w:color="auto"/>
              <w:right w:val="single" w:sz="4" w:space="0" w:color="auto"/>
            </w:tcBorders>
            <w:shd w:val="clear" w:color="auto" w:fill="FFFF66"/>
          </w:tcPr>
          <w:p w14:paraId="66223E73" w14:textId="77777777" w:rsidR="000B54BD" w:rsidRPr="00F12224" w:rsidRDefault="000B54BD" w:rsidP="00E97A3B">
            <w:pPr>
              <w:spacing w:after="0" w:line="240" w:lineRule="auto"/>
              <w:rPr>
                <w:rFonts w:eastAsia="Times New Roman"/>
                <w:sz w:val="18"/>
                <w:szCs w:val="18"/>
                <w:lang w:eastAsia="en-AU"/>
              </w:rPr>
            </w:pPr>
            <w:r w:rsidRPr="00F12224">
              <w:rPr>
                <w:rFonts w:eastAsia="Times New Roman"/>
                <w:sz w:val="18"/>
                <w:szCs w:val="18"/>
                <w:lang w:eastAsia="en-AU"/>
              </w:rPr>
              <w:lastRenderedPageBreak/>
              <w:t>N/A</w:t>
            </w:r>
          </w:p>
        </w:tc>
      </w:tr>
      <w:tr w:rsidR="000B54BD" w:rsidRPr="00457E15" w14:paraId="2130990C" w14:textId="77777777" w:rsidTr="00E97A3B">
        <w:trPr>
          <w:gridAfter w:val="2"/>
          <w:wAfter w:w="7" w:type="pct"/>
          <w:trHeight w:val="500"/>
        </w:trPr>
        <w:tc>
          <w:tcPr>
            <w:tcW w:w="338" w:type="pct"/>
            <w:tcBorders>
              <w:top w:val="single" w:sz="4" w:space="0" w:color="auto"/>
              <w:left w:val="single" w:sz="4" w:space="0" w:color="auto"/>
              <w:bottom w:val="single" w:sz="4" w:space="0" w:color="auto"/>
              <w:right w:val="nil"/>
            </w:tcBorders>
            <w:shd w:val="clear" w:color="auto" w:fill="FFFFFF" w:themeFill="background1"/>
            <w:noWrap/>
            <w:hideMark/>
          </w:tcPr>
          <w:p w14:paraId="2BE653E0"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C84BA"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OUTCOME</w:t>
            </w:r>
            <w:r>
              <w:rPr>
                <w:rFonts w:eastAsia="Times New Roman" w:cs="Arial"/>
                <w:sz w:val="18"/>
                <w:szCs w:val="18"/>
                <w:lang w:eastAsia="en-AU"/>
              </w:rPr>
              <w:t xml:space="preserve">: </w:t>
            </w:r>
            <w:r w:rsidRPr="00457E15">
              <w:rPr>
                <w:rFonts w:eastAsia="Times New Roman" w:cs="Arial"/>
                <w:sz w:val="18"/>
                <w:szCs w:val="18"/>
                <w:lang w:eastAsia="en-AU"/>
              </w:rPr>
              <w:t xml:space="preserve">% Dr Tapa scholars working in </w:t>
            </w:r>
            <w:r>
              <w:rPr>
                <w:rFonts w:eastAsia="Times New Roman" w:cs="Arial"/>
                <w:sz w:val="18"/>
                <w:szCs w:val="18"/>
                <w:lang w:eastAsia="en-AU"/>
              </w:rPr>
              <w:t>health promotion in Tonga</w:t>
            </w:r>
          </w:p>
        </w:tc>
        <w:tc>
          <w:tcPr>
            <w:tcW w:w="850" w:type="pct"/>
            <w:tcBorders>
              <w:top w:val="nil"/>
              <w:left w:val="nil"/>
              <w:bottom w:val="single" w:sz="4" w:space="0" w:color="auto"/>
              <w:right w:val="single" w:sz="4" w:space="0" w:color="auto"/>
            </w:tcBorders>
            <w:shd w:val="clear" w:color="auto" w:fill="FFFFFF" w:themeFill="background1"/>
          </w:tcPr>
          <w:p w14:paraId="4CECB0EE"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Numerator:  Number </w:t>
            </w:r>
            <w:r w:rsidRPr="008D5D3C">
              <w:rPr>
                <w:rFonts w:eastAsia="Times New Roman" w:cs="Arial"/>
                <w:sz w:val="18"/>
                <w:szCs w:val="18"/>
                <w:lang w:eastAsia="en-AU"/>
              </w:rPr>
              <w:t>of Dr Tapa scholars who have completed their studies</w:t>
            </w:r>
            <w:r>
              <w:rPr>
                <w:rFonts w:eastAsia="Times New Roman" w:cs="Arial"/>
                <w:sz w:val="18"/>
                <w:szCs w:val="18"/>
                <w:lang w:eastAsia="en-AU"/>
              </w:rPr>
              <w:t xml:space="preserve"> who are working in health sector in Tonga</w:t>
            </w:r>
          </w:p>
          <w:p w14:paraId="2F4C80BD" w14:textId="77777777" w:rsidR="000B54BD" w:rsidRDefault="000B54BD" w:rsidP="00E97A3B">
            <w:pPr>
              <w:spacing w:after="0" w:line="240" w:lineRule="auto"/>
              <w:rPr>
                <w:rFonts w:eastAsia="Times New Roman" w:cs="Arial"/>
                <w:sz w:val="18"/>
                <w:szCs w:val="18"/>
                <w:lang w:eastAsia="en-AU"/>
              </w:rPr>
            </w:pPr>
          </w:p>
          <w:p w14:paraId="24F3AA2E"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Denominator: Total number of Dr Tapa scholars who have completed their studies in the year </w:t>
            </w:r>
          </w:p>
          <w:p w14:paraId="32D4602F" w14:textId="77777777" w:rsidR="000B54BD" w:rsidRPr="00457E15" w:rsidRDefault="000B54BD" w:rsidP="00E97A3B">
            <w:pPr>
              <w:spacing w:after="0" w:line="240" w:lineRule="auto"/>
              <w:rPr>
                <w:rFonts w:eastAsia="Times New Roman" w:cs="Arial"/>
                <w:sz w:val="18"/>
                <w:szCs w:val="18"/>
                <w:lang w:eastAsia="en-AU"/>
              </w:rPr>
            </w:pPr>
          </w:p>
        </w:tc>
        <w:tc>
          <w:tcPr>
            <w:tcW w:w="450" w:type="pct"/>
            <w:tcBorders>
              <w:top w:val="nil"/>
              <w:left w:val="nil"/>
              <w:bottom w:val="single" w:sz="4" w:space="0" w:color="auto"/>
              <w:right w:val="single" w:sz="4" w:space="0" w:color="auto"/>
            </w:tcBorders>
            <w:shd w:val="clear" w:color="auto" w:fill="auto"/>
          </w:tcPr>
          <w:p w14:paraId="187AAAC4"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34F5E3D1"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p>
        </w:tc>
        <w:tc>
          <w:tcPr>
            <w:tcW w:w="550" w:type="pct"/>
            <w:tcBorders>
              <w:top w:val="nil"/>
              <w:left w:val="nil"/>
              <w:bottom w:val="single" w:sz="4" w:space="0" w:color="auto"/>
              <w:right w:val="single" w:sz="4" w:space="0" w:color="auto"/>
            </w:tcBorders>
            <w:shd w:val="clear" w:color="auto" w:fill="FFFFFF" w:themeFill="background1"/>
          </w:tcPr>
          <w:p w14:paraId="58318EC2"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Data for 2015/2016 to be provided March 2017 </w:t>
            </w:r>
          </w:p>
        </w:tc>
        <w:tc>
          <w:tcPr>
            <w:tcW w:w="501" w:type="pct"/>
            <w:tcBorders>
              <w:top w:val="nil"/>
              <w:left w:val="nil"/>
              <w:bottom w:val="single" w:sz="4" w:space="0" w:color="auto"/>
              <w:right w:val="single" w:sz="4" w:space="0" w:color="auto"/>
            </w:tcBorders>
            <w:shd w:val="clear" w:color="auto" w:fill="auto"/>
          </w:tcPr>
          <w:p w14:paraId="003E8D69" w14:textId="77777777" w:rsidR="000B54BD" w:rsidRPr="00F12224" w:rsidRDefault="000B54BD" w:rsidP="00E97A3B">
            <w:pPr>
              <w:spacing w:after="0" w:line="240" w:lineRule="auto"/>
              <w:rPr>
                <w:rFonts w:eastAsia="Times New Roman"/>
                <w:sz w:val="18"/>
                <w:szCs w:val="18"/>
                <w:lang w:eastAsia="en-AU"/>
              </w:rPr>
            </w:pPr>
            <w:r w:rsidRPr="00F12224">
              <w:rPr>
                <w:rFonts w:eastAsia="Times New Roman"/>
                <w:sz w:val="18"/>
                <w:szCs w:val="18"/>
                <w:lang w:eastAsia="en-AU"/>
              </w:rPr>
              <w:t>20% (1 of 5 scholars working in NCD health promotion)</w:t>
            </w:r>
          </w:p>
        </w:tc>
        <w:tc>
          <w:tcPr>
            <w:tcW w:w="549" w:type="pct"/>
            <w:tcBorders>
              <w:top w:val="nil"/>
              <w:left w:val="nil"/>
              <w:bottom w:val="single" w:sz="4" w:space="0" w:color="auto"/>
              <w:right w:val="single" w:sz="4" w:space="0" w:color="auto"/>
            </w:tcBorders>
            <w:shd w:val="clear" w:color="auto" w:fill="auto"/>
          </w:tcPr>
          <w:p w14:paraId="7AC39BF4" w14:textId="77777777" w:rsidR="000B54BD" w:rsidRPr="00F12224" w:rsidRDefault="000B54BD" w:rsidP="00E97A3B">
            <w:pPr>
              <w:spacing w:after="0" w:line="240" w:lineRule="auto"/>
              <w:rPr>
                <w:rFonts w:eastAsia="Times New Roman"/>
                <w:sz w:val="18"/>
                <w:szCs w:val="18"/>
                <w:lang w:eastAsia="en-AU"/>
              </w:rPr>
            </w:pPr>
            <w:r w:rsidRPr="00F12224">
              <w:rPr>
                <w:rFonts w:eastAsia="Times New Roman"/>
                <w:sz w:val="18"/>
                <w:szCs w:val="18"/>
                <w:lang w:eastAsia="en-AU"/>
              </w:rPr>
              <w:t>20% (1 of 5 scholars working in NCD health promotion)</w:t>
            </w:r>
          </w:p>
          <w:p w14:paraId="3D42E34B" w14:textId="77777777" w:rsidR="000B54BD" w:rsidRPr="00F12224" w:rsidRDefault="000B54BD" w:rsidP="00E97A3B">
            <w:pPr>
              <w:spacing w:after="0" w:line="240" w:lineRule="auto"/>
              <w:rPr>
                <w:rFonts w:eastAsia="Times New Roman"/>
                <w:sz w:val="18"/>
                <w:szCs w:val="18"/>
                <w:lang w:eastAsia="en-AU"/>
              </w:rPr>
            </w:pPr>
            <w:r w:rsidRPr="00F12224">
              <w:rPr>
                <w:rFonts w:eastAsia="Times New Roman"/>
                <w:sz w:val="18"/>
                <w:szCs w:val="18"/>
                <w:lang w:eastAsia="en-AU"/>
              </w:rPr>
              <w:t xml:space="preserve">No new scholars from </w:t>
            </w:r>
            <w:r w:rsidRPr="00A318B9">
              <w:rPr>
                <w:rFonts w:eastAsia="Times New Roman"/>
                <w:noProof/>
                <w:sz w:val="18"/>
                <w:szCs w:val="18"/>
                <w:lang w:eastAsia="en-AU"/>
              </w:rPr>
              <w:t>previous</w:t>
            </w:r>
            <w:r w:rsidRPr="00F12224">
              <w:rPr>
                <w:rFonts w:eastAsia="Times New Roman"/>
                <w:sz w:val="18"/>
                <w:szCs w:val="18"/>
                <w:lang w:eastAsia="en-AU"/>
              </w:rPr>
              <w:t xml:space="preserve"> year. </w:t>
            </w:r>
          </w:p>
        </w:tc>
        <w:tc>
          <w:tcPr>
            <w:tcW w:w="655" w:type="pct"/>
            <w:tcBorders>
              <w:top w:val="nil"/>
              <w:left w:val="nil"/>
              <w:bottom w:val="single" w:sz="4" w:space="0" w:color="auto"/>
              <w:right w:val="single" w:sz="4" w:space="0" w:color="auto"/>
            </w:tcBorders>
            <w:shd w:val="clear" w:color="auto" w:fill="auto"/>
          </w:tcPr>
          <w:p w14:paraId="4A167BA7" w14:textId="77777777" w:rsidR="000B54BD" w:rsidRPr="00F12224" w:rsidRDefault="000B54BD" w:rsidP="00E97A3B">
            <w:pPr>
              <w:spacing w:after="0" w:line="240" w:lineRule="auto"/>
              <w:rPr>
                <w:rFonts w:eastAsia="Times New Roman"/>
                <w:sz w:val="18"/>
                <w:szCs w:val="18"/>
                <w:lang w:eastAsia="en-AU"/>
              </w:rPr>
            </w:pPr>
            <w:r w:rsidRPr="00F12224">
              <w:rPr>
                <w:rFonts w:eastAsia="Times New Roman"/>
                <w:sz w:val="18"/>
                <w:szCs w:val="18"/>
                <w:lang w:eastAsia="en-AU"/>
              </w:rPr>
              <w:t>20% (1 of 5 scholars working in NCD health promotion)</w:t>
            </w:r>
          </w:p>
          <w:p w14:paraId="5B92937A" w14:textId="77777777" w:rsidR="000B54BD" w:rsidRPr="00F12224" w:rsidRDefault="000B54BD" w:rsidP="00E97A3B">
            <w:pPr>
              <w:spacing w:after="0" w:line="240" w:lineRule="auto"/>
              <w:rPr>
                <w:rFonts w:eastAsia="Times New Roman"/>
                <w:sz w:val="18"/>
                <w:szCs w:val="18"/>
                <w:lang w:eastAsia="en-AU"/>
              </w:rPr>
            </w:pPr>
            <w:r w:rsidRPr="00F12224">
              <w:rPr>
                <w:rFonts w:eastAsia="Times New Roman"/>
                <w:sz w:val="18"/>
                <w:szCs w:val="18"/>
                <w:lang w:eastAsia="en-AU"/>
              </w:rPr>
              <w:t xml:space="preserve">No new scholars from </w:t>
            </w:r>
            <w:r w:rsidRPr="00A318B9">
              <w:rPr>
                <w:rFonts w:eastAsia="Times New Roman"/>
                <w:noProof/>
                <w:sz w:val="18"/>
                <w:szCs w:val="18"/>
                <w:lang w:eastAsia="en-AU"/>
              </w:rPr>
              <w:t>previous</w:t>
            </w:r>
            <w:r w:rsidRPr="00F12224">
              <w:rPr>
                <w:rFonts w:eastAsia="Times New Roman"/>
                <w:sz w:val="18"/>
                <w:szCs w:val="18"/>
                <w:lang w:eastAsia="en-AU"/>
              </w:rPr>
              <w:t xml:space="preserve"> year.</w:t>
            </w:r>
          </w:p>
        </w:tc>
      </w:tr>
      <w:tr w:rsidR="000B54BD" w:rsidRPr="00457E15" w14:paraId="2F1A33E3" w14:textId="77777777" w:rsidTr="00E97A3B">
        <w:trPr>
          <w:gridAfter w:val="1"/>
          <w:wAfter w:w="2" w:type="pct"/>
          <w:trHeight w:val="345"/>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606C2026"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Health Promotion activities are sensitive to gender equity and social inclusion (GESI)</w:t>
            </w:r>
          </w:p>
        </w:tc>
      </w:tr>
      <w:tr w:rsidR="000B54BD" w:rsidRPr="00457E15" w14:paraId="333897F2" w14:textId="77777777" w:rsidTr="00E97A3B">
        <w:trPr>
          <w:gridAfter w:val="2"/>
          <w:wAfter w:w="7" w:type="pct"/>
          <w:trHeight w:val="393"/>
        </w:trPr>
        <w:tc>
          <w:tcPr>
            <w:tcW w:w="338" w:type="pct"/>
            <w:tcBorders>
              <w:top w:val="single" w:sz="4" w:space="0" w:color="auto"/>
              <w:left w:val="single" w:sz="4" w:space="0" w:color="auto"/>
              <w:bottom w:val="single" w:sz="4" w:space="0" w:color="auto"/>
              <w:right w:val="nil"/>
            </w:tcBorders>
            <w:shd w:val="clear" w:color="auto" w:fill="FFFFFF" w:themeFill="background1"/>
            <w:noWrap/>
            <w:hideMark/>
          </w:tcPr>
          <w:p w14:paraId="1B455C64"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24</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F62266"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OUTPUT:</w:t>
            </w:r>
            <w:r w:rsidRPr="00457E15">
              <w:rPr>
                <w:rFonts w:eastAsia="Times New Roman" w:cs="Arial"/>
                <w:sz w:val="18"/>
                <w:szCs w:val="18"/>
                <w:lang w:eastAsia="en-AU"/>
              </w:rPr>
              <w:t xml:space="preserve"> % of </w:t>
            </w:r>
            <w:r>
              <w:rPr>
                <w:rFonts w:eastAsia="Times New Roman" w:cs="Arial"/>
                <w:sz w:val="18"/>
                <w:szCs w:val="18"/>
                <w:lang w:eastAsia="en-AU"/>
              </w:rPr>
              <w:t xml:space="preserve">grantee </w:t>
            </w:r>
            <w:r w:rsidR="00662DC2">
              <w:rPr>
                <w:rFonts w:eastAsia="Times New Roman" w:cs="Arial"/>
                <w:sz w:val="18"/>
                <w:szCs w:val="18"/>
                <w:lang w:eastAsia="en-AU"/>
              </w:rPr>
              <w:t>work plans</w:t>
            </w:r>
            <w:r>
              <w:rPr>
                <w:rFonts w:eastAsia="Times New Roman" w:cs="Arial"/>
                <w:sz w:val="18"/>
                <w:szCs w:val="18"/>
                <w:lang w:eastAsia="en-AU"/>
              </w:rPr>
              <w:t xml:space="preserve"> </w:t>
            </w:r>
            <w:r w:rsidRPr="00457E15">
              <w:rPr>
                <w:rFonts w:eastAsia="Times New Roman" w:cs="Arial"/>
                <w:sz w:val="18"/>
                <w:szCs w:val="18"/>
                <w:lang w:eastAsia="en-AU"/>
              </w:rPr>
              <w:t>that document GESI considerations</w:t>
            </w:r>
          </w:p>
        </w:tc>
        <w:tc>
          <w:tcPr>
            <w:tcW w:w="850" w:type="pct"/>
            <w:tcBorders>
              <w:top w:val="nil"/>
              <w:left w:val="nil"/>
              <w:bottom w:val="single" w:sz="4" w:space="0" w:color="auto"/>
              <w:right w:val="single" w:sz="4" w:space="0" w:color="auto"/>
            </w:tcBorders>
            <w:shd w:val="clear" w:color="auto" w:fill="FFFFFF" w:themeFill="background1"/>
            <w:hideMark/>
          </w:tcPr>
          <w:p w14:paraId="53927420"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Numerator: Number of grantee </w:t>
            </w:r>
            <w:r w:rsidR="00662DC2">
              <w:rPr>
                <w:rFonts w:eastAsia="Times New Roman" w:cs="Arial"/>
                <w:sz w:val="18"/>
                <w:szCs w:val="18"/>
                <w:lang w:eastAsia="en-AU"/>
              </w:rPr>
              <w:t>work plans</w:t>
            </w:r>
            <w:r>
              <w:rPr>
                <w:rFonts w:eastAsia="Times New Roman" w:cs="Arial"/>
                <w:sz w:val="18"/>
                <w:szCs w:val="18"/>
                <w:lang w:eastAsia="en-AU"/>
              </w:rPr>
              <w:t xml:space="preserve"> that document GESI considerations</w:t>
            </w:r>
          </w:p>
          <w:p w14:paraId="347DDDFF" w14:textId="77777777" w:rsidR="000B54BD" w:rsidRDefault="000B54BD" w:rsidP="00E97A3B">
            <w:pPr>
              <w:spacing w:after="0" w:line="240" w:lineRule="auto"/>
              <w:rPr>
                <w:rFonts w:eastAsia="Times New Roman" w:cs="Arial"/>
                <w:sz w:val="18"/>
                <w:szCs w:val="18"/>
                <w:lang w:eastAsia="en-AU"/>
              </w:rPr>
            </w:pPr>
          </w:p>
          <w:p w14:paraId="5BBA4877"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Denominator: Total number of </w:t>
            </w:r>
            <w:r w:rsidR="00662DC2">
              <w:rPr>
                <w:rFonts w:eastAsia="Times New Roman" w:cs="Arial"/>
                <w:sz w:val="18"/>
                <w:szCs w:val="18"/>
                <w:lang w:eastAsia="en-AU"/>
              </w:rPr>
              <w:t>work plans</w:t>
            </w:r>
            <w:r>
              <w:rPr>
                <w:rFonts w:eastAsia="Times New Roman" w:cs="Arial"/>
                <w:sz w:val="18"/>
                <w:szCs w:val="18"/>
                <w:lang w:eastAsia="en-AU"/>
              </w:rPr>
              <w:t xml:space="preserve"> x 100</w:t>
            </w:r>
          </w:p>
          <w:p w14:paraId="147AEC5A" w14:textId="77777777" w:rsidR="000B54BD" w:rsidRPr="00457E15" w:rsidRDefault="000B54BD" w:rsidP="00E97A3B">
            <w:pPr>
              <w:spacing w:after="0" w:line="240" w:lineRule="auto"/>
              <w:rPr>
                <w:rFonts w:eastAsia="Times New Roman" w:cs="Arial"/>
                <w:sz w:val="18"/>
                <w:szCs w:val="18"/>
                <w:lang w:eastAsia="en-AU"/>
              </w:rPr>
            </w:pPr>
          </w:p>
        </w:tc>
        <w:tc>
          <w:tcPr>
            <w:tcW w:w="450" w:type="pct"/>
            <w:tcBorders>
              <w:top w:val="nil"/>
              <w:left w:val="nil"/>
              <w:bottom w:val="single" w:sz="4" w:space="0" w:color="auto"/>
              <w:right w:val="single" w:sz="4" w:space="0" w:color="auto"/>
            </w:tcBorders>
            <w:shd w:val="clear" w:color="auto" w:fill="auto"/>
          </w:tcPr>
          <w:p w14:paraId="4AC9FA7B"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419B2CF5"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r>
              <w:rPr>
                <w:rFonts w:eastAsia="Times New Roman" w:cs="Arial"/>
                <w:sz w:val="18"/>
                <w:szCs w:val="18"/>
                <w:lang w:eastAsia="en-AU"/>
              </w:rPr>
              <w:t xml:space="preserve"> grantee </w:t>
            </w:r>
            <w:r w:rsidR="00662DC2">
              <w:rPr>
                <w:rFonts w:eastAsia="Times New Roman" w:cs="Arial"/>
                <w:sz w:val="18"/>
                <w:szCs w:val="18"/>
                <w:lang w:eastAsia="en-AU"/>
              </w:rPr>
              <w:t>work plan</w:t>
            </w:r>
          </w:p>
        </w:tc>
        <w:tc>
          <w:tcPr>
            <w:tcW w:w="550" w:type="pct"/>
            <w:tcBorders>
              <w:top w:val="nil"/>
              <w:left w:val="nil"/>
              <w:bottom w:val="single" w:sz="4" w:space="0" w:color="auto"/>
              <w:right w:val="single" w:sz="4" w:space="0" w:color="auto"/>
            </w:tcBorders>
            <w:shd w:val="clear" w:color="auto" w:fill="FFFFFF" w:themeFill="background1"/>
          </w:tcPr>
          <w:p w14:paraId="79187889"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No </w:t>
            </w:r>
            <w:r w:rsidR="00662DC2">
              <w:rPr>
                <w:rFonts w:eastAsia="Times New Roman"/>
                <w:sz w:val="18"/>
                <w:szCs w:val="18"/>
                <w:lang w:eastAsia="en-AU"/>
              </w:rPr>
              <w:t>work plans</w:t>
            </w:r>
            <w:r>
              <w:rPr>
                <w:rFonts w:eastAsia="Times New Roman"/>
                <w:sz w:val="18"/>
                <w:szCs w:val="18"/>
                <w:lang w:eastAsia="en-AU"/>
              </w:rPr>
              <w:t xml:space="preserve"> developed for the </w:t>
            </w:r>
            <w:r w:rsidRPr="00A318B9">
              <w:rPr>
                <w:rFonts w:eastAsia="Times New Roman"/>
                <w:noProof/>
                <w:sz w:val="18"/>
                <w:szCs w:val="18"/>
                <w:lang w:eastAsia="en-AU"/>
              </w:rPr>
              <w:t>2</w:t>
            </w:r>
            <w:r>
              <w:rPr>
                <w:rFonts w:eastAsia="Times New Roman"/>
                <w:sz w:val="18"/>
                <w:szCs w:val="18"/>
                <w:lang w:eastAsia="en-AU"/>
              </w:rPr>
              <w:t xml:space="preserve"> grantees (2015/2016)</w:t>
            </w:r>
          </w:p>
          <w:p w14:paraId="3AD50F30" w14:textId="77777777" w:rsidR="000B54BD" w:rsidRPr="00457E15" w:rsidRDefault="000B54BD" w:rsidP="00E97A3B">
            <w:pPr>
              <w:spacing w:after="0" w:line="240" w:lineRule="auto"/>
              <w:rPr>
                <w:rFonts w:eastAsia="Times New Roman"/>
                <w:sz w:val="18"/>
                <w:szCs w:val="18"/>
                <w:lang w:eastAsia="en-AU"/>
              </w:rPr>
            </w:pPr>
          </w:p>
        </w:tc>
        <w:tc>
          <w:tcPr>
            <w:tcW w:w="501" w:type="pct"/>
            <w:tcBorders>
              <w:top w:val="nil"/>
              <w:left w:val="nil"/>
              <w:bottom w:val="single" w:sz="4" w:space="0" w:color="auto"/>
              <w:right w:val="single" w:sz="4" w:space="0" w:color="auto"/>
            </w:tcBorders>
            <w:shd w:val="clear" w:color="auto" w:fill="FF7C80"/>
          </w:tcPr>
          <w:p w14:paraId="1AB4822D" w14:textId="77777777" w:rsidR="000B54BD" w:rsidRPr="00BE344D" w:rsidRDefault="000B54BD" w:rsidP="00E97A3B">
            <w:pPr>
              <w:spacing w:after="0" w:line="240" w:lineRule="auto"/>
              <w:rPr>
                <w:rFonts w:eastAsia="Times New Roman"/>
                <w:sz w:val="18"/>
                <w:szCs w:val="18"/>
                <w:lang w:eastAsia="en-AU"/>
              </w:rPr>
            </w:pPr>
            <w:r w:rsidRPr="00BE344D">
              <w:rPr>
                <w:rFonts w:eastAsia="Times New Roman"/>
                <w:sz w:val="18"/>
                <w:szCs w:val="18"/>
                <w:lang w:eastAsia="en-AU"/>
              </w:rPr>
              <w:t xml:space="preserve">Only </w:t>
            </w:r>
            <w:r w:rsidRPr="00A318B9">
              <w:rPr>
                <w:rFonts w:eastAsia="Times New Roman"/>
                <w:noProof/>
                <w:sz w:val="18"/>
                <w:szCs w:val="18"/>
                <w:lang w:eastAsia="en-AU"/>
              </w:rPr>
              <w:t>2</w:t>
            </w:r>
            <w:r w:rsidRPr="00BE344D">
              <w:rPr>
                <w:rFonts w:eastAsia="Times New Roman"/>
                <w:sz w:val="18"/>
                <w:szCs w:val="18"/>
                <w:lang w:eastAsia="en-AU"/>
              </w:rPr>
              <w:t xml:space="preserve"> grants, no </w:t>
            </w:r>
            <w:r w:rsidR="00662DC2" w:rsidRPr="00BE344D">
              <w:rPr>
                <w:rFonts w:eastAsia="Times New Roman"/>
                <w:sz w:val="18"/>
                <w:szCs w:val="18"/>
                <w:lang w:eastAsia="en-AU"/>
              </w:rPr>
              <w:t>work plans</w:t>
            </w:r>
            <w:r w:rsidRPr="00BE344D">
              <w:rPr>
                <w:rFonts w:eastAsia="Times New Roman"/>
                <w:sz w:val="18"/>
                <w:szCs w:val="18"/>
                <w:lang w:eastAsia="en-AU"/>
              </w:rPr>
              <w:t xml:space="preserve"> developed</w:t>
            </w:r>
          </w:p>
          <w:p w14:paraId="19F2B4BE" w14:textId="77777777" w:rsidR="000B54BD" w:rsidRPr="00BE344D" w:rsidRDefault="000B54BD" w:rsidP="00E97A3B">
            <w:pPr>
              <w:spacing w:after="0" w:line="240" w:lineRule="auto"/>
              <w:rPr>
                <w:rFonts w:eastAsia="Times New Roman"/>
                <w:sz w:val="18"/>
                <w:szCs w:val="18"/>
                <w:lang w:eastAsia="en-AU"/>
              </w:rPr>
            </w:pPr>
          </w:p>
          <w:p w14:paraId="0F0C9FF0" w14:textId="77777777" w:rsidR="000B54BD" w:rsidRPr="00BE344D"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CCFFCC"/>
          </w:tcPr>
          <w:p w14:paraId="72607587" w14:textId="77777777" w:rsidR="000B54BD" w:rsidRPr="00BE344D" w:rsidRDefault="000B54BD" w:rsidP="00E97A3B">
            <w:pPr>
              <w:spacing w:after="0" w:line="240" w:lineRule="auto"/>
              <w:rPr>
                <w:rFonts w:eastAsia="Times New Roman"/>
                <w:sz w:val="18"/>
                <w:szCs w:val="18"/>
                <w:lang w:eastAsia="en-AU"/>
              </w:rPr>
            </w:pPr>
            <w:r w:rsidRPr="00BE344D">
              <w:rPr>
                <w:rFonts w:eastAsia="Times New Roman"/>
                <w:sz w:val="18"/>
                <w:szCs w:val="18"/>
                <w:lang w:eastAsia="en-AU"/>
              </w:rPr>
              <w:t>86%</w:t>
            </w:r>
            <w:r>
              <w:rPr>
                <w:rFonts w:eastAsia="Times New Roman"/>
                <w:sz w:val="18"/>
                <w:szCs w:val="18"/>
                <w:lang w:eastAsia="en-AU"/>
              </w:rPr>
              <w:t xml:space="preserve"> - </w:t>
            </w:r>
            <w:r w:rsidRPr="00BE344D">
              <w:rPr>
                <w:rFonts w:eastAsia="Times New Roman"/>
                <w:sz w:val="18"/>
                <w:szCs w:val="18"/>
                <w:lang w:eastAsia="en-AU"/>
              </w:rPr>
              <w:t>GESI considered and mentioned in grant agreements of 12 of 14 grants</w:t>
            </w:r>
          </w:p>
        </w:tc>
        <w:tc>
          <w:tcPr>
            <w:tcW w:w="655" w:type="pct"/>
            <w:tcBorders>
              <w:top w:val="nil"/>
              <w:left w:val="nil"/>
              <w:bottom w:val="single" w:sz="4" w:space="0" w:color="auto"/>
              <w:right w:val="single" w:sz="4" w:space="0" w:color="auto"/>
            </w:tcBorders>
            <w:shd w:val="clear" w:color="auto" w:fill="CCFFCC"/>
          </w:tcPr>
          <w:p w14:paraId="7989B6D9" w14:textId="77777777" w:rsidR="000B54BD" w:rsidRPr="00BE344D" w:rsidRDefault="000B54BD" w:rsidP="00E97A3B">
            <w:pPr>
              <w:spacing w:after="0" w:line="240" w:lineRule="auto"/>
              <w:rPr>
                <w:rFonts w:eastAsia="Times New Roman"/>
                <w:sz w:val="18"/>
                <w:szCs w:val="18"/>
                <w:lang w:eastAsia="en-AU"/>
              </w:rPr>
            </w:pPr>
            <w:r w:rsidRPr="00BE344D">
              <w:rPr>
                <w:rFonts w:eastAsia="Times New Roman"/>
                <w:sz w:val="18"/>
                <w:szCs w:val="18"/>
                <w:lang w:eastAsia="en-AU"/>
              </w:rPr>
              <w:t>100% - GESI section included in all grant agreements</w:t>
            </w:r>
          </w:p>
        </w:tc>
      </w:tr>
      <w:tr w:rsidR="000B54BD" w:rsidRPr="00457E15" w14:paraId="6DAEDBFE" w14:textId="77777777" w:rsidTr="00E97A3B">
        <w:trPr>
          <w:gridAfter w:val="1"/>
          <w:wAfter w:w="2" w:type="pct"/>
          <w:trHeight w:val="221"/>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1D29F529"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Support Innovation</w:t>
            </w:r>
          </w:p>
        </w:tc>
      </w:tr>
      <w:tr w:rsidR="000B54BD" w:rsidRPr="00457E15" w14:paraId="0ECB0806" w14:textId="77777777" w:rsidTr="00E97A3B">
        <w:trPr>
          <w:trHeight w:val="355"/>
        </w:trPr>
        <w:tc>
          <w:tcPr>
            <w:tcW w:w="338" w:type="pct"/>
            <w:tcBorders>
              <w:top w:val="single" w:sz="4" w:space="0" w:color="auto"/>
              <w:left w:val="single" w:sz="4" w:space="0" w:color="auto"/>
              <w:bottom w:val="single" w:sz="4" w:space="0" w:color="auto"/>
              <w:right w:val="nil"/>
            </w:tcBorders>
            <w:shd w:val="clear" w:color="auto" w:fill="auto"/>
            <w:noWrap/>
          </w:tcPr>
          <w:p w14:paraId="683A7EA8" w14:textId="77777777" w:rsidR="000B54BD" w:rsidRPr="00B75046" w:rsidRDefault="000B54BD" w:rsidP="00E97A3B">
            <w:pPr>
              <w:spacing w:after="0" w:line="240" w:lineRule="auto"/>
              <w:rPr>
                <w:rFonts w:eastAsia="Times New Roman"/>
                <w:sz w:val="18"/>
                <w:szCs w:val="18"/>
                <w:lang w:eastAsia="en-AU"/>
              </w:rPr>
            </w:pPr>
            <w:r w:rsidRPr="00B75046">
              <w:rPr>
                <w:rFonts w:eastAsia="Times New Roman"/>
                <w:sz w:val="18"/>
                <w:szCs w:val="18"/>
                <w:lang w:eastAsia="en-AU"/>
              </w:rPr>
              <w:t>2</w:t>
            </w:r>
            <w:r>
              <w:rPr>
                <w:rFonts w:eastAsia="Times New Roman"/>
                <w:sz w:val="18"/>
                <w:szCs w:val="18"/>
                <w:lang w:eastAsia="en-AU"/>
              </w:rPr>
              <w:t>5</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719D5B7" w14:textId="77777777" w:rsidR="000B54BD" w:rsidRPr="00B75046"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OUTPUT</w:t>
            </w:r>
            <w:r w:rsidRPr="00B75046">
              <w:rPr>
                <w:rFonts w:eastAsia="Times New Roman" w:cs="Arial"/>
                <w:sz w:val="18"/>
                <w:szCs w:val="18"/>
                <w:lang w:eastAsia="en-AU"/>
              </w:rPr>
              <w:t>: % of DFAT grant funding retained to respond to and support innovation</w:t>
            </w:r>
          </w:p>
        </w:tc>
        <w:tc>
          <w:tcPr>
            <w:tcW w:w="850" w:type="pct"/>
            <w:tcBorders>
              <w:top w:val="nil"/>
              <w:left w:val="nil"/>
              <w:bottom w:val="single" w:sz="4" w:space="0" w:color="auto"/>
              <w:right w:val="single" w:sz="4" w:space="0" w:color="auto"/>
            </w:tcBorders>
            <w:shd w:val="clear" w:color="auto" w:fill="FFFFFF" w:themeFill="background1"/>
          </w:tcPr>
          <w:p w14:paraId="2528896D"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Numerator: Budgeted grant funding allocated to innovation (</w:t>
            </w:r>
            <w:r w:rsidRPr="002932A7">
              <w:rPr>
                <w:rFonts w:eastAsia="Times New Roman" w:cs="Arial"/>
                <w:sz w:val="18"/>
                <w:szCs w:val="18"/>
                <w:lang w:eastAsia="en-AU"/>
              </w:rPr>
              <w:t>to be defined in grant guidelines)</w:t>
            </w:r>
          </w:p>
          <w:p w14:paraId="1F2CDA10" w14:textId="77777777" w:rsidR="000B54BD" w:rsidRDefault="000B54BD" w:rsidP="00E97A3B">
            <w:pPr>
              <w:spacing w:after="0" w:line="240" w:lineRule="auto"/>
              <w:rPr>
                <w:rFonts w:eastAsia="Times New Roman" w:cs="Arial"/>
                <w:sz w:val="18"/>
                <w:szCs w:val="18"/>
                <w:lang w:eastAsia="en-AU"/>
              </w:rPr>
            </w:pPr>
          </w:p>
          <w:p w14:paraId="16B66BE3"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Denominator: Total budgeted grant funding (in </w:t>
            </w:r>
            <w:r w:rsidRPr="00A318B9">
              <w:rPr>
                <w:rFonts w:eastAsia="Times New Roman" w:cs="Arial"/>
                <w:noProof/>
                <w:sz w:val="18"/>
                <w:szCs w:val="18"/>
                <w:lang w:eastAsia="en-AU"/>
              </w:rPr>
              <w:t>local</w:t>
            </w:r>
            <w:r>
              <w:rPr>
                <w:rFonts w:eastAsia="Times New Roman" w:cs="Arial"/>
                <w:sz w:val="18"/>
                <w:szCs w:val="18"/>
                <w:lang w:eastAsia="en-AU"/>
              </w:rPr>
              <w:t xml:space="preserve"> currency) </w:t>
            </w:r>
          </w:p>
        </w:tc>
        <w:tc>
          <w:tcPr>
            <w:tcW w:w="450" w:type="pct"/>
            <w:tcBorders>
              <w:top w:val="nil"/>
              <w:left w:val="nil"/>
              <w:bottom w:val="single" w:sz="4" w:space="0" w:color="auto"/>
              <w:right w:val="single" w:sz="4" w:space="0" w:color="auto"/>
            </w:tcBorders>
          </w:tcPr>
          <w:p w14:paraId="6F558F4C"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40673A6A" w14:textId="77777777" w:rsidR="000B54BD"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r>
              <w:rPr>
                <w:rFonts w:eastAsia="Times New Roman" w:cs="Arial"/>
                <w:sz w:val="18"/>
                <w:szCs w:val="18"/>
                <w:lang w:eastAsia="en-AU"/>
              </w:rPr>
              <w:t xml:space="preserve"> financial records</w:t>
            </w:r>
          </w:p>
          <w:p w14:paraId="5338CC3F" w14:textId="77777777" w:rsidR="000B54BD" w:rsidRDefault="000B54BD" w:rsidP="00E97A3B">
            <w:pPr>
              <w:spacing w:after="0" w:line="240" w:lineRule="auto"/>
              <w:rPr>
                <w:rFonts w:eastAsia="Times New Roman" w:cs="Arial"/>
                <w:sz w:val="18"/>
                <w:szCs w:val="18"/>
                <w:lang w:eastAsia="en-AU"/>
              </w:rPr>
            </w:pPr>
          </w:p>
          <w:p w14:paraId="450081A0" w14:textId="77777777" w:rsidR="000B54BD" w:rsidRPr="00DB074E" w:rsidRDefault="000B54BD" w:rsidP="00E97A3B">
            <w:pPr>
              <w:spacing w:after="0" w:line="240" w:lineRule="auto"/>
              <w:rPr>
                <w:rFonts w:eastAsia="Times New Roman" w:cs="Arial"/>
                <w:i/>
                <w:sz w:val="18"/>
                <w:szCs w:val="18"/>
                <w:lang w:eastAsia="en-AU"/>
              </w:rPr>
            </w:pPr>
            <w:r w:rsidRPr="00DB074E">
              <w:rPr>
                <w:rFonts w:eastAsia="Times New Roman" w:cs="Arial"/>
                <w:i/>
                <w:sz w:val="18"/>
                <w:szCs w:val="18"/>
                <w:lang w:eastAsia="en-AU"/>
              </w:rPr>
              <w:t xml:space="preserve">NB: Expenditure on innovation has not </w:t>
            </w:r>
            <w:r w:rsidRPr="00A318B9">
              <w:rPr>
                <w:rFonts w:eastAsia="Times New Roman" w:cs="Arial"/>
                <w:i/>
                <w:noProof/>
                <w:sz w:val="18"/>
                <w:szCs w:val="18"/>
                <w:lang w:eastAsia="en-AU"/>
              </w:rPr>
              <w:t>been defined</w:t>
            </w:r>
            <w:r w:rsidRPr="00DB074E">
              <w:rPr>
                <w:rFonts w:eastAsia="Times New Roman" w:cs="Arial"/>
                <w:i/>
                <w:sz w:val="18"/>
                <w:szCs w:val="18"/>
                <w:lang w:eastAsia="en-AU"/>
              </w:rPr>
              <w:t>.</w:t>
            </w:r>
          </w:p>
        </w:tc>
        <w:tc>
          <w:tcPr>
            <w:tcW w:w="550" w:type="pct"/>
            <w:tcBorders>
              <w:top w:val="nil"/>
              <w:left w:val="nil"/>
              <w:bottom w:val="single" w:sz="4" w:space="0" w:color="auto"/>
              <w:right w:val="single" w:sz="4" w:space="0" w:color="auto"/>
            </w:tcBorders>
            <w:shd w:val="clear" w:color="auto" w:fill="FFFFFF" w:themeFill="background1"/>
          </w:tcPr>
          <w:p w14:paraId="3F79B0D1"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0% (0/2) (2015/2016)</w:t>
            </w:r>
          </w:p>
        </w:tc>
        <w:tc>
          <w:tcPr>
            <w:tcW w:w="1712" w:type="pct"/>
            <w:gridSpan w:val="5"/>
            <w:tcBorders>
              <w:top w:val="nil"/>
              <w:left w:val="nil"/>
              <w:bottom w:val="single" w:sz="4" w:space="0" w:color="auto"/>
              <w:right w:val="single" w:sz="4" w:space="0" w:color="auto"/>
            </w:tcBorders>
            <w:shd w:val="clear" w:color="auto" w:fill="auto"/>
          </w:tcPr>
          <w:p w14:paraId="3A8105A9" w14:textId="77777777" w:rsidR="000B54BD" w:rsidRPr="00DB074E" w:rsidRDefault="000B54BD" w:rsidP="00E97A3B">
            <w:pPr>
              <w:spacing w:after="0" w:line="240" w:lineRule="auto"/>
              <w:rPr>
                <w:rFonts w:eastAsia="Times New Roman"/>
                <w:sz w:val="18"/>
                <w:szCs w:val="18"/>
                <w:lang w:eastAsia="en-AU"/>
              </w:rPr>
            </w:pPr>
          </w:p>
          <w:p w14:paraId="02C30608"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The indicator cannot be measured.</w:t>
            </w:r>
          </w:p>
        </w:tc>
      </w:tr>
      <w:tr w:rsidR="000B54BD" w:rsidRPr="00457E15" w14:paraId="5D8577D4" w14:textId="77777777" w:rsidTr="00E97A3B">
        <w:trPr>
          <w:gridAfter w:val="2"/>
          <w:wAfter w:w="7" w:type="pct"/>
          <w:trHeight w:val="221"/>
        </w:trPr>
        <w:tc>
          <w:tcPr>
            <w:tcW w:w="338" w:type="pct"/>
            <w:tcBorders>
              <w:top w:val="single" w:sz="4" w:space="0" w:color="auto"/>
              <w:left w:val="single" w:sz="4" w:space="0" w:color="auto"/>
              <w:bottom w:val="single" w:sz="4" w:space="0" w:color="auto"/>
              <w:right w:val="nil"/>
            </w:tcBorders>
            <w:shd w:val="clear" w:color="auto" w:fill="FFFFFF" w:themeFill="background1"/>
            <w:noWrap/>
          </w:tcPr>
          <w:p w14:paraId="1DFF7A9E"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26</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tcPr>
          <w:p w14:paraId="6D0FBEDC"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OUTCOME</w:t>
            </w:r>
            <w:r w:rsidRPr="00457E15">
              <w:rPr>
                <w:rFonts w:eastAsia="Times New Roman" w:cs="Arial"/>
                <w:sz w:val="18"/>
                <w:szCs w:val="18"/>
                <w:lang w:eastAsia="en-AU"/>
              </w:rPr>
              <w:t xml:space="preserve">: # of new/emerging technologies </w:t>
            </w:r>
            <w:r w:rsidRPr="00A318B9">
              <w:rPr>
                <w:rFonts w:eastAsia="Times New Roman" w:cs="Arial"/>
                <w:noProof/>
                <w:sz w:val="18"/>
                <w:szCs w:val="18"/>
                <w:lang w:eastAsia="en-AU"/>
              </w:rPr>
              <w:t>being used</w:t>
            </w:r>
            <w:r w:rsidRPr="00457E15">
              <w:rPr>
                <w:rFonts w:eastAsia="Times New Roman" w:cs="Arial"/>
                <w:sz w:val="18"/>
                <w:szCs w:val="18"/>
                <w:lang w:eastAsia="en-AU"/>
              </w:rPr>
              <w:t xml:space="preserve"> as part of </w:t>
            </w:r>
            <w:r w:rsidRPr="00A318B9">
              <w:rPr>
                <w:rFonts w:eastAsia="Times New Roman" w:cs="Arial"/>
                <w:noProof/>
                <w:sz w:val="18"/>
                <w:szCs w:val="18"/>
                <w:lang w:eastAsia="en-AU"/>
              </w:rPr>
              <w:t>NCD</w:t>
            </w:r>
            <w:r w:rsidRPr="00457E15">
              <w:rPr>
                <w:rFonts w:eastAsia="Times New Roman" w:cs="Arial"/>
                <w:sz w:val="18"/>
                <w:szCs w:val="18"/>
                <w:lang w:eastAsia="en-AU"/>
              </w:rPr>
              <w:t xml:space="preserve"> </w:t>
            </w:r>
            <w:r w:rsidRPr="00457E15">
              <w:rPr>
                <w:rFonts w:eastAsia="Times New Roman" w:cs="Arial"/>
                <w:sz w:val="18"/>
                <w:szCs w:val="18"/>
                <w:lang w:eastAsia="en-AU"/>
              </w:rPr>
              <w:lastRenderedPageBreak/>
              <w:t xml:space="preserve">strategy </w:t>
            </w:r>
            <w:r>
              <w:rPr>
                <w:rFonts w:eastAsia="Times New Roman" w:cs="Arial"/>
                <w:sz w:val="18"/>
                <w:szCs w:val="18"/>
                <w:lang w:eastAsia="en-AU"/>
              </w:rPr>
              <w:t xml:space="preserve">annual </w:t>
            </w:r>
            <w:r w:rsidR="00662DC2">
              <w:rPr>
                <w:rFonts w:eastAsia="Times New Roman" w:cs="Arial"/>
                <w:sz w:val="18"/>
                <w:szCs w:val="18"/>
                <w:lang w:eastAsia="en-AU"/>
              </w:rPr>
              <w:t>work plan</w:t>
            </w:r>
          </w:p>
        </w:tc>
        <w:tc>
          <w:tcPr>
            <w:tcW w:w="850" w:type="pct"/>
            <w:tcBorders>
              <w:top w:val="single" w:sz="4" w:space="0" w:color="auto"/>
              <w:left w:val="nil"/>
              <w:bottom w:val="single" w:sz="4" w:space="0" w:color="auto"/>
              <w:right w:val="single" w:sz="4" w:space="0" w:color="auto"/>
            </w:tcBorders>
            <w:shd w:val="clear" w:color="auto" w:fill="FFFFFF" w:themeFill="background1"/>
          </w:tcPr>
          <w:p w14:paraId="1019F85C"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lastRenderedPageBreak/>
              <w:t xml:space="preserve">Total number </w:t>
            </w:r>
            <w:r w:rsidRPr="002932A7">
              <w:rPr>
                <w:rFonts w:eastAsia="Times New Roman" w:cs="Arial"/>
                <w:sz w:val="18"/>
                <w:szCs w:val="18"/>
                <w:lang w:eastAsia="en-AU"/>
              </w:rPr>
              <w:t xml:space="preserve">of </w:t>
            </w:r>
            <w:r>
              <w:rPr>
                <w:rFonts w:eastAsia="Times New Roman" w:cs="Arial"/>
                <w:sz w:val="18"/>
                <w:szCs w:val="18"/>
                <w:lang w:eastAsia="en-AU"/>
              </w:rPr>
              <w:t xml:space="preserve">activities incorporating </w:t>
            </w:r>
            <w:r w:rsidRPr="002932A7">
              <w:rPr>
                <w:rFonts w:eastAsia="Times New Roman" w:cs="Arial"/>
                <w:sz w:val="18"/>
                <w:szCs w:val="18"/>
                <w:lang w:eastAsia="en-AU"/>
              </w:rPr>
              <w:t xml:space="preserve">new/emerging technologies </w:t>
            </w:r>
            <w:r w:rsidRPr="00A318B9">
              <w:rPr>
                <w:rFonts w:eastAsia="Times New Roman" w:cs="Arial"/>
                <w:noProof/>
                <w:sz w:val="18"/>
                <w:szCs w:val="18"/>
                <w:lang w:eastAsia="en-AU"/>
              </w:rPr>
              <w:t>being implemented</w:t>
            </w:r>
            <w:r>
              <w:rPr>
                <w:rFonts w:eastAsia="Times New Roman" w:cs="Arial"/>
                <w:sz w:val="18"/>
                <w:szCs w:val="18"/>
                <w:lang w:eastAsia="en-AU"/>
              </w:rPr>
              <w:t xml:space="preserve"> as </w:t>
            </w:r>
            <w:r w:rsidRPr="002932A7">
              <w:rPr>
                <w:rFonts w:eastAsia="Times New Roman" w:cs="Arial"/>
                <w:sz w:val="18"/>
                <w:szCs w:val="18"/>
                <w:lang w:eastAsia="en-AU"/>
              </w:rPr>
              <w:t xml:space="preserve">part of </w:t>
            </w:r>
            <w:r w:rsidRPr="00A318B9">
              <w:rPr>
                <w:rFonts w:eastAsia="Times New Roman" w:cs="Arial"/>
                <w:noProof/>
                <w:sz w:val="18"/>
                <w:szCs w:val="18"/>
                <w:lang w:eastAsia="en-AU"/>
              </w:rPr>
              <w:t>National</w:t>
            </w:r>
            <w:r>
              <w:rPr>
                <w:rFonts w:eastAsia="Times New Roman" w:cs="Arial"/>
                <w:sz w:val="18"/>
                <w:szCs w:val="18"/>
                <w:lang w:eastAsia="en-AU"/>
              </w:rPr>
              <w:t xml:space="preserve"> </w:t>
            </w:r>
            <w:r w:rsidRPr="002932A7">
              <w:rPr>
                <w:rFonts w:eastAsia="Times New Roman" w:cs="Arial"/>
                <w:sz w:val="18"/>
                <w:szCs w:val="18"/>
                <w:lang w:eastAsia="en-AU"/>
              </w:rPr>
              <w:t xml:space="preserve">NCD </w:t>
            </w:r>
            <w:r>
              <w:rPr>
                <w:rFonts w:eastAsia="Times New Roman" w:cs="Arial"/>
                <w:sz w:val="18"/>
                <w:szCs w:val="18"/>
                <w:lang w:eastAsia="en-AU"/>
              </w:rPr>
              <w:t>S</w:t>
            </w:r>
            <w:r w:rsidRPr="002932A7">
              <w:rPr>
                <w:rFonts w:eastAsia="Times New Roman" w:cs="Arial"/>
                <w:sz w:val="18"/>
                <w:szCs w:val="18"/>
                <w:lang w:eastAsia="en-AU"/>
              </w:rPr>
              <w:t xml:space="preserve">trategy </w:t>
            </w:r>
            <w:r>
              <w:rPr>
                <w:rFonts w:eastAsia="Times New Roman" w:cs="Arial"/>
                <w:sz w:val="18"/>
                <w:szCs w:val="18"/>
                <w:lang w:eastAsia="en-AU"/>
              </w:rPr>
              <w:t xml:space="preserve">annual </w:t>
            </w:r>
            <w:r w:rsidR="00662DC2">
              <w:rPr>
                <w:rFonts w:eastAsia="Times New Roman" w:cs="Arial"/>
                <w:sz w:val="18"/>
                <w:szCs w:val="18"/>
                <w:lang w:eastAsia="en-AU"/>
              </w:rPr>
              <w:t>work plan</w:t>
            </w:r>
          </w:p>
        </w:tc>
        <w:tc>
          <w:tcPr>
            <w:tcW w:w="450" w:type="pct"/>
            <w:tcBorders>
              <w:top w:val="single" w:sz="4" w:space="0" w:color="auto"/>
              <w:left w:val="nil"/>
              <w:bottom w:val="single" w:sz="4" w:space="0" w:color="auto"/>
              <w:right w:val="single" w:sz="4" w:space="0" w:color="auto"/>
            </w:tcBorders>
            <w:shd w:val="clear" w:color="auto" w:fill="auto"/>
          </w:tcPr>
          <w:p w14:paraId="4F598D67"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39929A29"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r>
              <w:rPr>
                <w:rFonts w:eastAsia="Times New Roman" w:cs="Arial"/>
                <w:sz w:val="18"/>
                <w:szCs w:val="18"/>
                <w:lang w:eastAsia="en-AU"/>
              </w:rPr>
              <w:t xml:space="preserve"> program records</w:t>
            </w:r>
          </w:p>
        </w:tc>
        <w:tc>
          <w:tcPr>
            <w:tcW w:w="550" w:type="pct"/>
            <w:tcBorders>
              <w:top w:val="single" w:sz="4" w:space="0" w:color="auto"/>
              <w:left w:val="nil"/>
              <w:bottom w:val="single" w:sz="4" w:space="0" w:color="auto"/>
              <w:right w:val="single" w:sz="4" w:space="0" w:color="auto"/>
            </w:tcBorders>
            <w:shd w:val="clear" w:color="auto" w:fill="FFFFFF" w:themeFill="background1"/>
          </w:tcPr>
          <w:p w14:paraId="4830E665"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Two activities on </w:t>
            </w:r>
            <w:r w:rsidRPr="00A318B9">
              <w:rPr>
                <w:rFonts w:eastAsia="Times New Roman"/>
                <w:noProof/>
                <w:sz w:val="18"/>
                <w:szCs w:val="18"/>
                <w:lang w:eastAsia="en-AU"/>
              </w:rPr>
              <w:t>website</w:t>
            </w:r>
            <w:r>
              <w:rPr>
                <w:rFonts w:eastAsia="Times New Roman"/>
                <w:sz w:val="18"/>
                <w:szCs w:val="18"/>
                <w:lang w:eastAsia="en-AU"/>
              </w:rPr>
              <w:t xml:space="preserve"> using ICT. To be reported in March 2017.</w:t>
            </w:r>
          </w:p>
        </w:tc>
        <w:tc>
          <w:tcPr>
            <w:tcW w:w="501" w:type="pct"/>
            <w:tcBorders>
              <w:top w:val="single" w:sz="4" w:space="0" w:color="auto"/>
              <w:left w:val="nil"/>
              <w:bottom w:val="single" w:sz="4" w:space="0" w:color="auto"/>
              <w:right w:val="single" w:sz="4" w:space="0" w:color="auto"/>
            </w:tcBorders>
            <w:shd w:val="clear" w:color="auto" w:fill="auto"/>
          </w:tcPr>
          <w:p w14:paraId="17037FD2" w14:textId="77777777" w:rsidR="000B54BD" w:rsidRPr="00AD3942" w:rsidRDefault="000B54BD" w:rsidP="00E97A3B">
            <w:pPr>
              <w:pStyle w:val="ListParagraph"/>
              <w:rPr>
                <w:sz w:val="18"/>
                <w:szCs w:val="18"/>
              </w:rPr>
            </w:pPr>
            <w:r w:rsidRPr="00AD3942">
              <w:rPr>
                <w:sz w:val="18"/>
                <w:szCs w:val="18"/>
              </w:rPr>
              <w:t>-</w:t>
            </w:r>
          </w:p>
        </w:tc>
        <w:tc>
          <w:tcPr>
            <w:tcW w:w="549" w:type="pct"/>
            <w:tcBorders>
              <w:top w:val="single" w:sz="4" w:space="0" w:color="auto"/>
              <w:left w:val="nil"/>
              <w:bottom w:val="single" w:sz="4" w:space="0" w:color="auto"/>
              <w:right w:val="single" w:sz="4" w:space="0" w:color="auto"/>
            </w:tcBorders>
            <w:shd w:val="clear" w:color="auto" w:fill="auto"/>
          </w:tcPr>
          <w:p w14:paraId="7C4B4791" w14:textId="77777777" w:rsidR="000B54BD" w:rsidRPr="00391BB4" w:rsidRDefault="000B54BD" w:rsidP="00E97A3B">
            <w:pPr>
              <w:spacing w:after="0" w:line="240" w:lineRule="auto"/>
              <w:contextualSpacing/>
              <w:rPr>
                <w:sz w:val="18"/>
                <w:szCs w:val="18"/>
              </w:rPr>
            </w:pPr>
            <w:r>
              <w:rPr>
                <w:sz w:val="18"/>
                <w:szCs w:val="18"/>
              </w:rPr>
              <w:t xml:space="preserve">(1) </w:t>
            </w:r>
            <w:r w:rsidRPr="00391BB4">
              <w:rPr>
                <w:sz w:val="18"/>
                <w:szCs w:val="18"/>
              </w:rPr>
              <w:t>First 1000 days SMS messaging</w:t>
            </w:r>
          </w:p>
          <w:p w14:paraId="6F05934A" w14:textId="77777777" w:rsidR="000B54BD" w:rsidRPr="00391BB4" w:rsidRDefault="000B54BD" w:rsidP="00E97A3B">
            <w:pPr>
              <w:spacing w:after="0" w:line="240" w:lineRule="auto"/>
              <w:contextualSpacing/>
              <w:rPr>
                <w:sz w:val="18"/>
                <w:szCs w:val="18"/>
              </w:rPr>
            </w:pPr>
            <w:r>
              <w:rPr>
                <w:sz w:val="18"/>
                <w:szCs w:val="18"/>
              </w:rPr>
              <w:t>(2)</w:t>
            </w:r>
            <w:r w:rsidRPr="00391BB4">
              <w:rPr>
                <w:sz w:val="18"/>
                <w:szCs w:val="18"/>
              </w:rPr>
              <w:t xml:space="preserve"> Remote Patient monitoring </w:t>
            </w:r>
            <w:r w:rsidRPr="00391BB4">
              <w:rPr>
                <w:sz w:val="18"/>
                <w:szCs w:val="18"/>
              </w:rPr>
              <w:lastRenderedPageBreak/>
              <w:t>project using tablets</w:t>
            </w:r>
          </w:p>
          <w:p w14:paraId="43F06369" w14:textId="77777777" w:rsidR="000B54BD" w:rsidRPr="00391BB4" w:rsidRDefault="000B54BD" w:rsidP="00E97A3B">
            <w:pPr>
              <w:spacing w:after="0" w:line="240" w:lineRule="auto"/>
              <w:contextualSpacing/>
              <w:rPr>
                <w:sz w:val="18"/>
                <w:szCs w:val="18"/>
              </w:rPr>
            </w:pPr>
            <w:r>
              <w:rPr>
                <w:sz w:val="18"/>
                <w:szCs w:val="18"/>
              </w:rPr>
              <w:t>(3)</w:t>
            </w:r>
            <w:r w:rsidRPr="00391BB4">
              <w:rPr>
                <w:sz w:val="18"/>
                <w:szCs w:val="18"/>
              </w:rPr>
              <w:t xml:space="preserve"> Census using tablets</w:t>
            </w:r>
          </w:p>
          <w:p w14:paraId="782291C7" w14:textId="77777777" w:rsidR="000B54BD" w:rsidRPr="00391BB4" w:rsidRDefault="000B54BD" w:rsidP="00E97A3B">
            <w:pPr>
              <w:spacing w:after="0" w:line="240" w:lineRule="auto"/>
              <w:contextualSpacing/>
              <w:rPr>
                <w:sz w:val="18"/>
                <w:szCs w:val="18"/>
              </w:rPr>
            </w:pPr>
            <w:r>
              <w:rPr>
                <w:sz w:val="18"/>
                <w:szCs w:val="18"/>
              </w:rPr>
              <w:t xml:space="preserve">(4) </w:t>
            </w:r>
            <w:r w:rsidRPr="00391BB4">
              <w:rPr>
                <w:sz w:val="18"/>
                <w:szCs w:val="18"/>
              </w:rPr>
              <w:t>Promoting awareness through Facebook (Anti-tobacco campaign, Fiefia Sports)</w:t>
            </w:r>
          </w:p>
        </w:tc>
        <w:tc>
          <w:tcPr>
            <w:tcW w:w="655" w:type="pct"/>
            <w:tcBorders>
              <w:top w:val="single" w:sz="4" w:space="0" w:color="auto"/>
              <w:left w:val="nil"/>
              <w:bottom w:val="single" w:sz="4" w:space="0" w:color="auto"/>
              <w:right w:val="single" w:sz="4" w:space="0" w:color="auto"/>
            </w:tcBorders>
            <w:shd w:val="clear" w:color="auto" w:fill="auto"/>
          </w:tcPr>
          <w:p w14:paraId="613F68F1" w14:textId="77777777" w:rsidR="000B54BD" w:rsidRPr="00391BB4" w:rsidRDefault="000B54BD" w:rsidP="00E97A3B">
            <w:pPr>
              <w:spacing w:after="0" w:line="240" w:lineRule="auto"/>
              <w:rPr>
                <w:rFonts w:eastAsia="Times New Roman"/>
                <w:sz w:val="18"/>
                <w:szCs w:val="18"/>
                <w:lang w:eastAsia="en-AU"/>
              </w:rPr>
            </w:pPr>
            <w:r>
              <w:rPr>
                <w:rFonts w:eastAsia="Times New Roman"/>
                <w:sz w:val="18"/>
                <w:szCs w:val="18"/>
                <w:lang w:eastAsia="en-AU"/>
              </w:rPr>
              <w:lastRenderedPageBreak/>
              <w:t xml:space="preserve">(1) </w:t>
            </w:r>
            <w:r w:rsidRPr="00391BB4">
              <w:rPr>
                <w:rFonts w:eastAsia="Times New Roman"/>
                <w:sz w:val="18"/>
                <w:szCs w:val="18"/>
                <w:lang w:eastAsia="en-AU"/>
              </w:rPr>
              <w:t>DFAT Launch Legends pilot - children's App</w:t>
            </w:r>
          </w:p>
          <w:p w14:paraId="58A9C3E2" w14:textId="77777777" w:rsidR="000B54BD" w:rsidRPr="00391BB4"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(2) </w:t>
            </w:r>
            <w:r w:rsidRPr="00391BB4">
              <w:rPr>
                <w:rFonts w:eastAsia="Times New Roman"/>
                <w:sz w:val="18"/>
                <w:szCs w:val="18"/>
                <w:lang w:eastAsia="en-AU"/>
              </w:rPr>
              <w:t>Promoting awareness through Facebook (Anti-</w:t>
            </w:r>
            <w:r w:rsidRPr="00391BB4">
              <w:rPr>
                <w:rFonts w:eastAsia="Times New Roman"/>
                <w:sz w:val="18"/>
                <w:szCs w:val="18"/>
                <w:lang w:eastAsia="en-AU"/>
              </w:rPr>
              <w:lastRenderedPageBreak/>
              <w:t>tobacco campaign, Fiefia Sports)</w:t>
            </w:r>
          </w:p>
          <w:p w14:paraId="03CCA93F" w14:textId="77777777" w:rsidR="000B54BD" w:rsidRPr="00391BB4" w:rsidRDefault="000B54BD" w:rsidP="00E97A3B">
            <w:pPr>
              <w:pStyle w:val="ListParagraph"/>
              <w:rPr>
                <w:rFonts w:eastAsia="Times New Roman"/>
                <w:sz w:val="18"/>
                <w:szCs w:val="18"/>
                <w:lang w:eastAsia="en-AU"/>
              </w:rPr>
            </w:pPr>
          </w:p>
        </w:tc>
      </w:tr>
      <w:tr w:rsidR="000B54BD" w:rsidRPr="00457E15" w14:paraId="5B1D457A" w14:textId="77777777" w:rsidTr="00E97A3B">
        <w:trPr>
          <w:gridAfter w:val="1"/>
          <w:wAfter w:w="2" w:type="pct"/>
          <w:trHeight w:val="219"/>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6452E4B8"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lastRenderedPageBreak/>
              <w:t>Ensure investment in well evidenced and prioritised interventions</w:t>
            </w:r>
          </w:p>
        </w:tc>
      </w:tr>
      <w:tr w:rsidR="000B54BD" w:rsidRPr="00457E15" w14:paraId="3CFC73ED" w14:textId="77777777" w:rsidTr="00E97A3B">
        <w:trPr>
          <w:trHeight w:val="219"/>
        </w:trPr>
        <w:tc>
          <w:tcPr>
            <w:tcW w:w="338" w:type="pct"/>
            <w:tcBorders>
              <w:top w:val="single" w:sz="4" w:space="0" w:color="auto"/>
              <w:left w:val="single" w:sz="4" w:space="0" w:color="auto"/>
              <w:bottom w:val="single" w:sz="4" w:space="0" w:color="auto"/>
              <w:right w:val="nil"/>
            </w:tcBorders>
            <w:shd w:val="clear" w:color="auto" w:fill="FFFFFF" w:themeFill="background1"/>
            <w:noWrap/>
            <w:hideMark/>
          </w:tcPr>
          <w:p w14:paraId="0CFF42F9"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27</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90248"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INTERMEDIATE OUTCOME:</w:t>
            </w:r>
            <w:r w:rsidRPr="00457E15">
              <w:rPr>
                <w:rFonts w:eastAsia="Times New Roman" w:cs="Arial"/>
                <w:sz w:val="18"/>
                <w:szCs w:val="18"/>
                <w:lang w:eastAsia="en-AU"/>
              </w:rPr>
              <w:t xml:space="preserve"> % </w:t>
            </w:r>
            <w:r>
              <w:rPr>
                <w:rFonts w:eastAsia="Times New Roman" w:cs="Arial"/>
                <w:sz w:val="18"/>
                <w:szCs w:val="18"/>
                <w:lang w:eastAsia="en-AU"/>
              </w:rPr>
              <w:t xml:space="preserve">TongaHealth </w:t>
            </w:r>
            <w:r w:rsidRPr="00457E15">
              <w:rPr>
                <w:rFonts w:eastAsia="Times New Roman" w:cs="Arial"/>
                <w:sz w:val="18"/>
                <w:szCs w:val="18"/>
                <w:lang w:eastAsia="en-AU"/>
              </w:rPr>
              <w:t>budget allocations align</w:t>
            </w:r>
            <w:r>
              <w:rPr>
                <w:rFonts w:eastAsia="Times New Roman" w:cs="Arial"/>
                <w:sz w:val="18"/>
                <w:szCs w:val="18"/>
                <w:lang w:eastAsia="en-AU"/>
              </w:rPr>
              <w:t>ed</w:t>
            </w:r>
            <w:r w:rsidRPr="00457E15">
              <w:rPr>
                <w:rFonts w:eastAsia="Times New Roman" w:cs="Arial"/>
                <w:sz w:val="18"/>
                <w:szCs w:val="18"/>
                <w:lang w:eastAsia="en-AU"/>
              </w:rPr>
              <w:t xml:space="preserve"> to </w:t>
            </w:r>
            <w:r w:rsidRPr="00A318B9">
              <w:rPr>
                <w:rFonts w:eastAsia="Times New Roman" w:cs="Arial"/>
                <w:noProof/>
                <w:sz w:val="18"/>
                <w:szCs w:val="18"/>
                <w:lang w:eastAsia="en-AU"/>
              </w:rPr>
              <w:t>strategy</w:t>
            </w:r>
            <w:r w:rsidRPr="00457E15">
              <w:rPr>
                <w:rFonts w:eastAsia="Times New Roman" w:cs="Arial"/>
                <w:sz w:val="18"/>
                <w:szCs w:val="18"/>
                <w:lang w:eastAsia="en-AU"/>
              </w:rPr>
              <w:t xml:space="preserve"> priority areas </w:t>
            </w:r>
          </w:p>
        </w:tc>
        <w:tc>
          <w:tcPr>
            <w:tcW w:w="850" w:type="pct"/>
            <w:tcBorders>
              <w:top w:val="nil"/>
              <w:left w:val="nil"/>
              <w:bottom w:val="single" w:sz="4" w:space="0" w:color="auto"/>
              <w:right w:val="single" w:sz="4" w:space="0" w:color="auto"/>
            </w:tcBorders>
            <w:shd w:val="clear" w:color="auto" w:fill="FFFFFF" w:themeFill="background1"/>
          </w:tcPr>
          <w:p w14:paraId="4F9943FF"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Priority areas defined as </w:t>
            </w:r>
            <w:r w:rsidRPr="007138F9">
              <w:rPr>
                <w:rFonts w:eastAsia="Times New Roman" w:cs="Arial"/>
                <w:sz w:val="18"/>
                <w:szCs w:val="18"/>
                <w:lang w:eastAsia="en-AU"/>
              </w:rPr>
              <w:t xml:space="preserve">young people, </w:t>
            </w:r>
            <w:r>
              <w:rPr>
                <w:rFonts w:eastAsia="Times New Roman" w:cs="Arial"/>
                <w:sz w:val="18"/>
                <w:szCs w:val="18"/>
                <w:lang w:eastAsia="en-AU"/>
              </w:rPr>
              <w:t>healthy eating, and tobacco control.</w:t>
            </w:r>
          </w:p>
          <w:p w14:paraId="45D25E2F" w14:textId="77777777" w:rsidR="000B54BD" w:rsidRDefault="000B54BD" w:rsidP="00E97A3B">
            <w:pPr>
              <w:spacing w:after="0" w:line="240" w:lineRule="auto"/>
              <w:rPr>
                <w:rFonts w:eastAsia="Times New Roman" w:cs="Arial"/>
                <w:sz w:val="18"/>
                <w:szCs w:val="18"/>
                <w:lang w:eastAsia="en-AU"/>
              </w:rPr>
            </w:pPr>
          </w:p>
          <w:p w14:paraId="32741508"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Numerator: Budget allocation to priority areas (in </w:t>
            </w:r>
            <w:r w:rsidRPr="00A318B9">
              <w:rPr>
                <w:rFonts w:eastAsia="Times New Roman" w:cs="Arial"/>
                <w:noProof/>
                <w:sz w:val="18"/>
                <w:szCs w:val="18"/>
                <w:lang w:eastAsia="en-AU"/>
              </w:rPr>
              <w:t>local</w:t>
            </w:r>
            <w:r>
              <w:rPr>
                <w:rFonts w:eastAsia="Times New Roman" w:cs="Arial"/>
                <w:sz w:val="18"/>
                <w:szCs w:val="18"/>
                <w:lang w:eastAsia="en-AU"/>
              </w:rPr>
              <w:t xml:space="preserve"> currency) </w:t>
            </w:r>
          </w:p>
          <w:p w14:paraId="2A579339" w14:textId="77777777" w:rsidR="000B54BD" w:rsidRDefault="000B54BD" w:rsidP="00E97A3B">
            <w:pPr>
              <w:spacing w:after="0" w:line="240" w:lineRule="auto"/>
              <w:rPr>
                <w:rFonts w:eastAsia="Times New Roman" w:cs="Arial"/>
                <w:sz w:val="18"/>
                <w:szCs w:val="18"/>
                <w:lang w:eastAsia="en-AU"/>
              </w:rPr>
            </w:pPr>
          </w:p>
          <w:p w14:paraId="7CB7B7D6"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Denominator: Total budget (in </w:t>
            </w:r>
            <w:r w:rsidRPr="00A318B9">
              <w:rPr>
                <w:rFonts w:eastAsia="Times New Roman" w:cs="Arial"/>
                <w:noProof/>
                <w:sz w:val="18"/>
                <w:szCs w:val="18"/>
                <w:lang w:eastAsia="en-AU"/>
              </w:rPr>
              <w:t>local</w:t>
            </w:r>
            <w:r>
              <w:rPr>
                <w:rFonts w:eastAsia="Times New Roman" w:cs="Arial"/>
                <w:sz w:val="18"/>
                <w:szCs w:val="18"/>
                <w:lang w:eastAsia="en-AU"/>
              </w:rPr>
              <w:t xml:space="preserve"> currency) x 100</w:t>
            </w:r>
          </w:p>
        </w:tc>
        <w:tc>
          <w:tcPr>
            <w:tcW w:w="450" w:type="pct"/>
            <w:tcBorders>
              <w:top w:val="nil"/>
              <w:left w:val="nil"/>
              <w:bottom w:val="single" w:sz="4" w:space="0" w:color="auto"/>
              <w:right w:val="single" w:sz="4" w:space="0" w:color="auto"/>
            </w:tcBorders>
          </w:tcPr>
          <w:p w14:paraId="2F148D8C"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4286F0A0" w14:textId="77777777" w:rsidR="000B54BD"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r>
              <w:rPr>
                <w:rFonts w:eastAsia="Times New Roman" w:cs="Arial"/>
                <w:sz w:val="18"/>
                <w:szCs w:val="18"/>
                <w:lang w:eastAsia="en-AU"/>
              </w:rPr>
              <w:t xml:space="preserve"> financial and program records</w:t>
            </w:r>
          </w:p>
          <w:p w14:paraId="4DCA0FE1" w14:textId="77777777" w:rsidR="000B54BD" w:rsidRDefault="000B54BD" w:rsidP="00E97A3B">
            <w:pPr>
              <w:spacing w:after="0" w:line="240" w:lineRule="auto"/>
              <w:rPr>
                <w:rFonts w:eastAsia="Times New Roman" w:cs="Arial"/>
                <w:sz w:val="18"/>
                <w:szCs w:val="18"/>
                <w:lang w:eastAsia="en-AU"/>
              </w:rPr>
            </w:pPr>
          </w:p>
          <w:p w14:paraId="5BCFF7D7" w14:textId="77777777" w:rsidR="000B54BD" w:rsidRPr="00B068D3" w:rsidRDefault="000B54BD" w:rsidP="00E97A3B">
            <w:pPr>
              <w:spacing w:after="0" w:line="240" w:lineRule="auto"/>
              <w:rPr>
                <w:rFonts w:eastAsia="Times New Roman"/>
                <w:i/>
                <w:sz w:val="18"/>
                <w:szCs w:val="18"/>
                <w:lang w:eastAsia="en-AU"/>
              </w:rPr>
            </w:pPr>
            <w:r w:rsidRPr="00B068D3">
              <w:rPr>
                <w:rFonts w:eastAsia="Times New Roman" w:cs="Arial"/>
                <w:i/>
                <w:sz w:val="18"/>
                <w:szCs w:val="18"/>
                <w:lang w:eastAsia="en-AU"/>
              </w:rPr>
              <w:t xml:space="preserve">NB: the following </w:t>
            </w:r>
            <w:r>
              <w:rPr>
                <w:rFonts w:eastAsia="Times New Roman" w:cs="Arial"/>
                <w:i/>
                <w:sz w:val="18"/>
                <w:szCs w:val="18"/>
                <w:lang w:eastAsia="en-AU"/>
              </w:rPr>
              <w:t xml:space="preserve">issues were apparent with this indicator: (i) </w:t>
            </w:r>
            <w:r w:rsidRPr="00B068D3">
              <w:rPr>
                <w:rFonts w:eastAsia="Times New Roman"/>
                <w:i/>
                <w:sz w:val="18"/>
                <w:szCs w:val="18"/>
                <w:lang w:eastAsia="en-AU"/>
              </w:rPr>
              <w:t xml:space="preserve">How was the base year (15/16) estimated to be 17.5%? </w:t>
            </w:r>
            <w:r>
              <w:rPr>
                <w:rFonts w:eastAsia="Times New Roman"/>
                <w:i/>
                <w:sz w:val="18"/>
                <w:szCs w:val="18"/>
                <w:lang w:eastAsia="en-AU"/>
              </w:rPr>
              <w:t xml:space="preserve">(ii) </w:t>
            </w:r>
            <w:r w:rsidRPr="00B068D3">
              <w:rPr>
                <w:rFonts w:eastAsia="Times New Roman"/>
                <w:i/>
                <w:sz w:val="18"/>
                <w:szCs w:val="18"/>
                <w:lang w:eastAsia="en-AU"/>
              </w:rPr>
              <w:t xml:space="preserve">Was the target to maintain or increase the proportion of the budget allocated to </w:t>
            </w:r>
            <w:r w:rsidRPr="00A318B9">
              <w:rPr>
                <w:rFonts w:eastAsia="Times New Roman"/>
                <w:i/>
                <w:noProof/>
                <w:sz w:val="18"/>
                <w:szCs w:val="18"/>
                <w:lang w:eastAsia="en-AU"/>
              </w:rPr>
              <w:t>strategy</w:t>
            </w:r>
            <w:r w:rsidRPr="00B068D3">
              <w:rPr>
                <w:rFonts w:eastAsia="Times New Roman"/>
                <w:i/>
                <w:sz w:val="18"/>
                <w:szCs w:val="18"/>
                <w:lang w:eastAsia="en-AU"/>
              </w:rPr>
              <w:t xml:space="preserve"> priority areas? </w:t>
            </w:r>
            <w:r>
              <w:rPr>
                <w:rFonts w:eastAsia="Times New Roman"/>
                <w:i/>
                <w:sz w:val="18"/>
                <w:szCs w:val="18"/>
                <w:lang w:eastAsia="en-AU"/>
              </w:rPr>
              <w:t xml:space="preserve">(iii) </w:t>
            </w:r>
            <w:r w:rsidRPr="00B068D3">
              <w:rPr>
                <w:rFonts w:eastAsia="Times New Roman"/>
                <w:i/>
                <w:sz w:val="18"/>
                <w:szCs w:val="18"/>
                <w:lang w:eastAsia="en-AU"/>
              </w:rPr>
              <w:t>Given the variability in</w:t>
            </w:r>
            <w:r>
              <w:rPr>
                <w:rFonts w:eastAsia="Times New Roman"/>
                <w:i/>
                <w:sz w:val="18"/>
                <w:szCs w:val="18"/>
                <w:lang w:eastAsia="en-AU"/>
              </w:rPr>
              <w:t xml:space="preserve"> annual allocations due to roll</w:t>
            </w:r>
            <w:r w:rsidRPr="00B068D3">
              <w:rPr>
                <w:rFonts w:eastAsia="Times New Roman"/>
                <w:i/>
                <w:sz w:val="18"/>
                <w:szCs w:val="18"/>
                <w:lang w:eastAsia="en-AU"/>
              </w:rPr>
              <w:t xml:space="preserve">overs and delayed accounting </w:t>
            </w:r>
            <w:r w:rsidRPr="00B068D3">
              <w:rPr>
                <w:rFonts w:eastAsia="Times New Roman"/>
                <w:i/>
                <w:sz w:val="18"/>
                <w:szCs w:val="18"/>
                <w:lang w:eastAsia="en-AU"/>
              </w:rPr>
              <w:lastRenderedPageBreak/>
              <w:t>should the baseline be compared with subsequent averages?</w:t>
            </w:r>
            <w:r>
              <w:rPr>
                <w:rFonts w:eastAsia="Times New Roman"/>
                <w:i/>
                <w:sz w:val="18"/>
                <w:szCs w:val="18"/>
                <w:lang w:eastAsia="en-AU"/>
              </w:rPr>
              <w:t xml:space="preserve"> </w:t>
            </w:r>
            <w:r w:rsidRPr="00A318B9">
              <w:rPr>
                <w:rFonts w:eastAsia="Times New Roman"/>
                <w:i/>
                <w:noProof/>
                <w:sz w:val="18"/>
                <w:szCs w:val="18"/>
                <w:lang w:eastAsia="en-AU"/>
              </w:rPr>
              <w:t>and</w:t>
            </w:r>
            <w:r>
              <w:rPr>
                <w:rFonts w:eastAsia="Times New Roman"/>
                <w:i/>
                <w:sz w:val="18"/>
                <w:szCs w:val="18"/>
                <w:lang w:eastAsia="en-AU"/>
              </w:rPr>
              <w:t xml:space="preserve"> (iv) no budget has been allocated for young people.</w:t>
            </w:r>
          </w:p>
          <w:p w14:paraId="5463C96C" w14:textId="77777777" w:rsidR="000B54BD" w:rsidRPr="00457E15" w:rsidRDefault="000B54BD" w:rsidP="00E97A3B">
            <w:pPr>
              <w:spacing w:after="0" w:line="240" w:lineRule="auto"/>
              <w:rPr>
                <w:rFonts w:eastAsia="Times New Roman" w:cs="Arial"/>
                <w:sz w:val="18"/>
                <w:szCs w:val="18"/>
                <w:lang w:eastAsia="en-AU"/>
              </w:rPr>
            </w:pPr>
          </w:p>
        </w:tc>
        <w:tc>
          <w:tcPr>
            <w:tcW w:w="550" w:type="pct"/>
            <w:tcBorders>
              <w:top w:val="nil"/>
              <w:left w:val="nil"/>
              <w:bottom w:val="single" w:sz="4" w:space="0" w:color="auto"/>
              <w:right w:val="single" w:sz="4" w:space="0" w:color="auto"/>
            </w:tcBorders>
            <w:shd w:val="clear" w:color="auto" w:fill="FFFFFF" w:themeFill="background1"/>
          </w:tcPr>
          <w:p w14:paraId="133317AB" w14:textId="77777777" w:rsidR="000B54BD" w:rsidRDefault="000B54BD" w:rsidP="00E97A3B">
            <w:pPr>
              <w:spacing w:after="0" w:line="240" w:lineRule="auto"/>
              <w:rPr>
                <w:rFonts w:eastAsia="Times New Roman"/>
                <w:sz w:val="18"/>
                <w:szCs w:val="18"/>
                <w:lang w:eastAsia="en-AU"/>
              </w:rPr>
            </w:pPr>
            <w:r w:rsidRPr="00CB62F6">
              <w:rPr>
                <w:rFonts w:eastAsia="Times New Roman"/>
                <w:sz w:val="18"/>
                <w:szCs w:val="18"/>
                <w:lang w:eastAsia="en-AU"/>
              </w:rPr>
              <w:lastRenderedPageBreak/>
              <w:t>17.5%</w:t>
            </w:r>
            <w:r>
              <w:rPr>
                <w:rFonts w:eastAsia="Times New Roman"/>
                <w:sz w:val="18"/>
                <w:szCs w:val="18"/>
                <w:lang w:eastAsia="en-AU"/>
              </w:rPr>
              <w:t xml:space="preserve"> </w:t>
            </w:r>
          </w:p>
          <w:p w14:paraId="2A1FB006"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(2015-16)</w:t>
            </w:r>
          </w:p>
        </w:tc>
        <w:tc>
          <w:tcPr>
            <w:tcW w:w="1712" w:type="pct"/>
            <w:gridSpan w:val="5"/>
            <w:tcBorders>
              <w:top w:val="single" w:sz="4" w:space="0" w:color="auto"/>
              <w:left w:val="nil"/>
              <w:bottom w:val="single" w:sz="4" w:space="0" w:color="auto"/>
              <w:right w:val="single" w:sz="4" w:space="0" w:color="auto"/>
            </w:tcBorders>
            <w:shd w:val="clear" w:color="auto" w:fill="FFFF66"/>
          </w:tcPr>
          <w:p w14:paraId="1CB092CD"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The target is not known. Allocations to strategic priority areas </w:t>
            </w:r>
            <w:r w:rsidRPr="00A318B9">
              <w:rPr>
                <w:rFonts w:eastAsia="Times New Roman"/>
                <w:noProof/>
                <w:sz w:val="18"/>
                <w:szCs w:val="18"/>
                <w:lang w:eastAsia="en-AU"/>
              </w:rPr>
              <w:t>fluctuates</w:t>
            </w:r>
            <w:r>
              <w:rPr>
                <w:rFonts w:eastAsia="Times New Roman"/>
                <w:sz w:val="18"/>
                <w:szCs w:val="18"/>
                <w:lang w:eastAsia="en-AU"/>
              </w:rPr>
              <w:t xml:space="preserve"> but </w:t>
            </w:r>
            <w:r w:rsidRPr="00A318B9">
              <w:rPr>
                <w:rFonts w:eastAsia="Times New Roman"/>
                <w:noProof/>
                <w:sz w:val="18"/>
                <w:szCs w:val="18"/>
                <w:lang w:eastAsia="en-AU"/>
              </w:rPr>
              <w:t>has</w:t>
            </w:r>
            <w:r>
              <w:rPr>
                <w:rFonts w:eastAsia="Times New Roman"/>
                <w:sz w:val="18"/>
                <w:szCs w:val="18"/>
                <w:lang w:eastAsia="en-AU"/>
              </w:rPr>
              <w:t xml:space="preserve"> </w:t>
            </w:r>
            <w:r w:rsidRPr="00A318B9">
              <w:rPr>
                <w:rFonts w:eastAsia="Times New Roman"/>
                <w:noProof/>
                <w:sz w:val="18"/>
                <w:szCs w:val="18"/>
                <w:lang w:eastAsia="en-AU"/>
              </w:rPr>
              <w:t>been maintained</w:t>
            </w:r>
            <w:r>
              <w:rPr>
                <w:rFonts w:eastAsia="Times New Roman"/>
                <w:sz w:val="18"/>
                <w:szCs w:val="18"/>
                <w:lang w:eastAsia="en-AU"/>
              </w:rPr>
              <w:t xml:space="preserve"> overall. See footnote.</w:t>
            </w:r>
          </w:p>
        </w:tc>
      </w:tr>
      <w:tr w:rsidR="000B54BD" w:rsidRPr="00457E15" w14:paraId="3901649F" w14:textId="77777777" w:rsidTr="00E97A3B">
        <w:trPr>
          <w:gridAfter w:val="1"/>
          <w:wAfter w:w="2" w:type="pct"/>
          <w:trHeight w:val="311"/>
        </w:trPr>
        <w:tc>
          <w:tcPr>
            <w:tcW w:w="4998"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BF82071" w14:textId="77777777" w:rsidR="000B54BD" w:rsidRPr="00457E15" w:rsidRDefault="000B54BD" w:rsidP="00E97A3B">
            <w:pPr>
              <w:spacing w:after="0" w:line="240" w:lineRule="auto"/>
              <w:rPr>
                <w:rFonts w:eastAsia="Times New Roman" w:cs="Arial"/>
                <w:b/>
                <w:bCs/>
                <w:sz w:val="18"/>
                <w:szCs w:val="18"/>
                <w:lang w:eastAsia="en-AU"/>
              </w:rPr>
            </w:pPr>
            <w:bookmarkStart w:id="87" w:name="RANGE!B33"/>
            <w:r w:rsidRPr="00457E15">
              <w:rPr>
                <w:rFonts w:eastAsia="Times New Roman" w:cs="Arial"/>
                <w:b/>
                <w:bCs/>
                <w:sz w:val="18"/>
                <w:szCs w:val="18"/>
                <w:lang w:eastAsia="en-AU"/>
              </w:rPr>
              <w:t>Strategic Priority 3:   Build the evidence base for NCD prevention and control in Tonga, and the region</w:t>
            </w:r>
            <w:bookmarkEnd w:id="87"/>
          </w:p>
        </w:tc>
      </w:tr>
      <w:tr w:rsidR="000B54BD" w:rsidRPr="00457E15" w14:paraId="4ACEA81F" w14:textId="77777777" w:rsidTr="00E97A3B">
        <w:trPr>
          <w:gridAfter w:val="1"/>
          <w:wAfter w:w="2" w:type="pct"/>
          <w:trHeight w:val="235"/>
        </w:trPr>
        <w:tc>
          <w:tcPr>
            <w:tcW w:w="4998" w:type="pct"/>
            <w:gridSpan w:val="10"/>
            <w:tcBorders>
              <w:top w:val="single" w:sz="4" w:space="0" w:color="auto"/>
              <w:left w:val="single" w:sz="4" w:space="0" w:color="auto"/>
              <w:bottom w:val="single" w:sz="4" w:space="0" w:color="auto"/>
              <w:right w:val="single" w:sz="4" w:space="0" w:color="auto"/>
            </w:tcBorders>
            <w:shd w:val="clear" w:color="auto" w:fill="FFFFFF" w:themeFill="background1"/>
            <w:noWrap/>
          </w:tcPr>
          <w:p w14:paraId="057DEBE0"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Ensure regular reporting against the NCD strategy mon</w:t>
            </w:r>
            <w:r>
              <w:rPr>
                <w:rFonts w:eastAsia="Times New Roman" w:cs="Arial"/>
                <w:b/>
                <w:sz w:val="18"/>
                <w:szCs w:val="18"/>
                <w:lang w:eastAsia="en-AU"/>
              </w:rPr>
              <w:t>itoring and reporting framework</w:t>
            </w:r>
          </w:p>
        </w:tc>
      </w:tr>
      <w:tr w:rsidR="000B54BD" w:rsidRPr="00457E15" w14:paraId="62BEB13B" w14:textId="77777777" w:rsidTr="00E97A3B">
        <w:trPr>
          <w:trHeight w:val="433"/>
        </w:trPr>
        <w:tc>
          <w:tcPr>
            <w:tcW w:w="338" w:type="pct"/>
            <w:tcBorders>
              <w:top w:val="single" w:sz="4" w:space="0" w:color="auto"/>
              <w:left w:val="single" w:sz="4" w:space="0" w:color="auto"/>
              <w:bottom w:val="single" w:sz="4" w:space="0" w:color="auto"/>
              <w:right w:val="nil"/>
            </w:tcBorders>
            <w:shd w:val="clear" w:color="auto" w:fill="FFFFFF" w:themeFill="background1"/>
            <w:noWrap/>
            <w:hideMark/>
          </w:tcPr>
          <w:p w14:paraId="75148C7E"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28</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EB8CF"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b/>
                <w:sz w:val="18"/>
                <w:szCs w:val="18"/>
                <w:lang w:eastAsia="en-AU"/>
              </w:rPr>
              <w:t>OUTCOME:</w:t>
            </w:r>
            <w:r w:rsidRPr="00457E15">
              <w:rPr>
                <w:rFonts w:eastAsia="Times New Roman"/>
                <w:sz w:val="18"/>
                <w:szCs w:val="18"/>
                <w:lang w:eastAsia="en-AU"/>
              </w:rPr>
              <w:t xml:space="preserve"> </w:t>
            </w:r>
            <w:r>
              <w:rPr>
                <w:rFonts w:eastAsia="Times New Roman"/>
                <w:sz w:val="18"/>
                <w:szCs w:val="18"/>
                <w:lang w:eastAsia="en-AU"/>
              </w:rPr>
              <w:t>%</w:t>
            </w:r>
            <w:r w:rsidRPr="008812CB">
              <w:rPr>
                <w:rFonts w:eastAsia="Times New Roman"/>
                <w:sz w:val="18"/>
                <w:szCs w:val="18"/>
                <w:lang w:eastAsia="en-AU"/>
              </w:rPr>
              <w:t xml:space="preserve"> </w:t>
            </w:r>
            <w:r>
              <w:rPr>
                <w:rFonts w:eastAsia="Times New Roman"/>
                <w:sz w:val="18"/>
                <w:szCs w:val="18"/>
                <w:lang w:eastAsia="en-AU"/>
              </w:rPr>
              <w:t>grantees</w:t>
            </w:r>
            <w:r w:rsidRPr="008812CB">
              <w:rPr>
                <w:rFonts w:eastAsia="Times New Roman"/>
                <w:sz w:val="18"/>
                <w:szCs w:val="18"/>
                <w:lang w:eastAsia="en-AU"/>
              </w:rPr>
              <w:t xml:space="preserve"> reporting and acquitting on time against agreed grant agreement </w:t>
            </w:r>
            <w:r w:rsidR="00662DC2" w:rsidRPr="008812CB">
              <w:rPr>
                <w:rFonts w:eastAsia="Times New Roman"/>
                <w:sz w:val="18"/>
                <w:szCs w:val="18"/>
                <w:lang w:eastAsia="en-AU"/>
              </w:rPr>
              <w:t>work plans</w:t>
            </w:r>
          </w:p>
        </w:tc>
        <w:tc>
          <w:tcPr>
            <w:tcW w:w="850" w:type="pct"/>
            <w:tcBorders>
              <w:top w:val="nil"/>
              <w:left w:val="nil"/>
              <w:bottom w:val="single" w:sz="4" w:space="0" w:color="auto"/>
              <w:right w:val="single" w:sz="4" w:space="0" w:color="auto"/>
            </w:tcBorders>
            <w:shd w:val="clear" w:color="auto" w:fill="FFFFFF" w:themeFill="background1"/>
            <w:hideMark/>
          </w:tcPr>
          <w:p w14:paraId="3CE49A91"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Numerator: Number of grantees reports that report and acquit </w:t>
            </w:r>
            <w:r w:rsidRPr="008812CB">
              <w:rPr>
                <w:rFonts w:eastAsia="Times New Roman"/>
                <w:sz w:val="18"/>
                <w:szCs w:val="18"/>
                <w:lang w:eastAsia="en-AU"/>
              </w:rPr>
              <w:t xml:space="preserve">on time against agreed grant agreement </w:t>
            </w:r>
            <w:r w:rsidR="00662DC2" w:rsidRPr="008812CB">
              <w:rPr>
                <w:rFonts w:eastAsia="Times New Roman"/>
                <w:sz w:val="18"/>
                <w:szCs w:val="18"/>
                <w:lang w:eastAsia="en-AU"/>
              </w:rPr>
              <w:t>work plans</w:t>
            </w:r>
          </w:p>
          <w:p w14:paraId="290A7D73" w14:textId="77777777" w:rsidR="000B54BD" w:rsidRDefault="000B54BD" w:rsidP="00E97A3B">
            <w:pPr>
              <w:spacing w:after="0" w:line="240" w:lineRule="auto"/>
              <w:rPr>
                <w:rFonts w:eastAsia="Times New Roman"/>
                <w:sz w:val="18"/>
                <w:szCs w:val="18"/>
                <w:lang w:eastAsia="en-AU"/>
              </w:rPr>
            </w:pPr>
          </w:p>
          <w:p w14:paraId="127B7747"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Denominator: Total number of grantees </w:t>
            </w:r>
          </w:p>
        </w:tc>
        <w:tc>
          <w:tcPr>
            <w:tcW w:w="450" w:type="pct"/>
            <w:tcBorders>
              <w:top w:val="nil"/>
              <w:left w:val="nil"/>
              <w:bottom w:val="single" w:sz="4" w:space="0" w:color="auto"/>
              <w:right w:val="single" w:sz="4" w:space="0" w:color="auto"/>
            </w:tcBorders>
          </w:tcPr>
          <w:p w14:paraId="259B91BF" w14:textId="77777777" w:rsidR="000B54BD" w:rsidRPr="00157CFD" w:rsidRDefault="000B54BD" w:rsidP="00E97A3B">
            <w:pPr>
              <w:spacing w:after="0" w:line="240" w:lineRule="auto"/>
              <w:rPr>
                <w:rFonts w:eastAsia="Times New Roman"/>
                <w:i/>
                <w:sz w:val="18"/>
                <w:szCs w:val="18"/>
                <w:lang w:eastAsia="en-AU"/>
              </w:rPr>
            </w:pPr>
            <w:r w:rsidRPr="00157CFD">
              <w:rPr>
                <w:rFonts w:eastAsia="Times New Roman"/>
                <w:i/>
                <w:sz w:val="18"/>
                <w:szCs w:val="18"/>
                <w:lang w:eastAsia="en-AU"/>
              </w:rPr>
              <w:t>What was the target?</w:t>
            </w:r>
          </w:p>
        </w:tc>
        <w:tc>
          <w:tcPr>
            <w:tcW w:w="550" w:type="pct"/>
            <w:tcBorders>
              <w:top w:val="nil"/>
              <w:left w:val="single" w:sz="4" w:space="0" w:color="auto"/>
              <w:bottom w:val="single" w:sz="4" w:space="0" w:color="auto"/>
              <w:right w:val="single" w:sz="4" w:space="0" w:color="auto"/>
            </w:tcBorders>
            <w:shd w:val="clear" w:color="auto" w:fill="auto"/>
          </w:tcPr>
          <w:p w14:paraId="5C3313A4" w14:textId="77777777" w:rsidR="000B54BD" w:rsidRDefault="000B54BD" w:rsidP="00E97A3B">
            <w:pPr>
              <w:spacing w:after="0" w:line="240" w:lineRule="auto"/>
              <w:rPr>
                <w:rFonts w:eastAsia="Times New Roman" w:cs="Arial"/>
                <w:sz w:val="18"/>
                <w:szCs w:val="18"/>
                <w:lang w:eastAsia="en-AU"/>
              </w:rPr>
            </w:pPr>
            <w:r w:rsidRPr="00416109">
              <w:rPr>
                <w:rFonts w:eastAsia="Times New Roman" w:cs="Arial"/>
                <w:sz w:val="18"/>
                <w:szCs w:val="18"/>
                <w:lang w:eastAsia="en-AU"/>
              </w:rPr>
              <w:t>TongaHealth Grantee Reports</w:t>
            </w:r>
          </w:p>
          <w:p w14:paraId="2E8570D1" w14:textId="77777777" w:rsidR="000B54BD" w:rsidRDefault="000B54BD" w:rsidP="00E97A3B">
            <w:pPr>
              <w:spacing w:after="0" w:line="240" w:lineRule="auto"/>
              <w:rPr>
                <w:rFonts w:eastAsia="Times New Roman" w:cs="Arial"/>
                <w:sz w:val="18"/>
                <w:szCs w:val="18"/>
                <w:lang w:eastAsia="en-AU"/>
              </w:rPr>
            </w:pPr>
          </w:p>
          <w:p w14:paraId="5045CD87" w14:textId="77777777" w:rsidR="000B54BD" w:rsidRPr="00416109" w:rsidRDefault="000B54BD" w:rsidP="00E97A3B">
            <w:pPr>
              <w:spacing w:after="0" w:line="240" w:lineRule="auto"/>
              <w:rPr>
                <w:rFonts w:eastAsia="Times New Roman" w:cs="Arial"/>
                <w:i/>
                <w:sz w:val="18"/>
                <w:szCs w:val="18"/>
                <w:lang w:eastAsia="en-AU"/>
              </w:rPr>
            </w:pPr>
          </w:p>
        </w:tc>
        <w:tc>
          <w:tcPr>
            <w:tcW w:w="550" w:type="pct"/>
            <w:tcBorders>
              <w:top w:val="nil"/>
              <w:left w:val="nil"/>
              <w:bottom w:val="single" w:sz="4" w:space="0" w:color="auto"/>
              <w:right w:val="single" w:sz="4" w:space="0" w:color="auto"/>
            </w:tcBorders>
            <w:shd w:val="clear" w:color="auto" w:fill="FFFFFF" w:themeFill="background1"/>
          </w:tcPr>
          <w:p w14:paraId="20EA9873"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2015-16 data to </w:t>
            </w:r>
            <w:r w:rsidRPr="00A318B9">
              <w:rPr>
                <w:rFonts w:eastAsia="Times New Roman"/>
                <w:noProof/>
                <w:sz w:val="18"/>
                <w:szCs w:val="18"/>
                <w:lang w:eastAsia="en-AU"/>
              </w:rPr>
              <w:t>be provided</w:t>
            </w:r>
            <w:r>
              <w:rPr>
                <w:rFonts w:eastAsia="Times New Roman"/>
                <w:sz w:val="18"/>
                <w:szCs w:val="18"/>
                <w:lang w:eastAsia="en-AU"/>
              </w:rPr>
              <w:t xml:space="preserve"> no later than August 2017 </w:t>
            </w:r>
          </w:p>
          <w:p w14:paraId="62E73689" w14:textId="77777777" w:rsidR="000B54BD" w:rsidRPr="00457E15" w:rsidRDefault="000B54BD" w:rsidP="00E97A3B">
            <w:pPr>
              <w:spacing w:after="0" w:line="240" w:lineRule="auto"/>
              <w:rPr>
                <w:rFonts w:eastAsia="Times New Roman"/>
                <w:sz w:val="18"/>
                <w:szCs w:val="18"/>
                <w:lang w:eastAsia="en-AU"/>
              </w:rPr>
            </w:pPr>
          </w:p>
        </w:tc>
        <w:tc>
          <w:tcPr>
            <w:tcW w:w="1712" w:type="pct"/>
            <w:gridSpan w:val="5"/>
            <w:tcBorders>
              <w:top w:val="nil"/>
              <w:left w:val="nil"/>
              <w:bottom w:val="single" w:sz="4" w:space="0" w:color="auto"/>
            </w:tcBorders>
            <w:shd w:val="clear" w:color="auto" w:fill="FF7C80"/>
          </w:tcPr>
          <w:p w14:paraId="5B241FE7"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If </w:t>
            </w:r>
            <w:r w:rsidRPr="00A318B9">
              <w:rPr>
                <w:rFonts w:eastAsia="Times New Roman"/>
                <w:noProof/>
                <w:sz w:val="18"/>
                <w:szCs w:val="18"/>
                <w:lang w:eastAsia="en-AU"/>
              </w:rPr>
              <w:t>target</w:t>
            </w:r>
            <w:r>
              <w:rPr>
                <w:rFonts w:eastAsia="Times New Roman"/>
                <w:sz w:val="18"/>
                <w:szCs w:val="18"/>
                <w:lang w:eastAsia="en-AU"/>
              </w:rPr>
              <w:t xml:space="preserve"> is 100% reporting and acquitting on </w:t>
            </w:r>
            <w:r w:rsidRPr="00A318B9">
              <w:rPr>
                <w:rFonts w:eastAsia="Times New Roman"/>
                <w:noProof/>
                <w:sz w:val="18"/>
                <w:szCs w:val="18"/>
                <w:lang w:eastAsia="en-AU"/>
              </w:rPr>
              <w:t>time</w:t>
            </w:r>
            <w:r>
              <w:rPr>
                <w:rFonts w:eastAsia="Times New Roman"/>
                <w:sz w:val="18"/>
                <w:szCs w:val="18"/>
                <w:lang w:eastAsia="en-AU"/>
              </w:rPr>
              <w:t xml:space="preserve"> then performance has declined. Each grantee report defines times for reporting and acquitting. TongaHealth Annual Report for 16/17 reports 100% grantees reporting and acquitting on time against agreed grant agreement from October to December 2016; January to March 2017: 92% progress reports received and 21% financial acquittals received; April to June 2017: 14% financial acquittals received on time.</w:t>
            </w:r>
          </w:p>
          <w:p w14:paraId="13E8BD9B" w14:textId="77777777" w:rsidR="000B54BD" w:rsidRPr="00457E15" w:rsidRDefault="000B54BD" w:rsidP="00E97A3B">
            <w:pPr>
              <w:spacing w:after="0" w:line="240" w:lineRule="auto"/>
              <w:rPr>
                <w:rFonts w:eastAsia="Times New Roman"/>
                <w:sz w:val="18"/>
                <w:szCs w:val="18"/>
                <w:lang w:eastAsia="en-AU"/>
              </w:rPr>
            </w:pPr>
          </w:p>
        </w:tc>
      </w:tr>
      <w:tr w:rsidR="000B54BD" w:rsidRPr="00457E15" w14:paraId="0EDA5919" w14:textId="77777777" w:rsidTr="00E97A3B">
        <w:trPr>
          <w:gridAfter w:val="1"/>
          <w:wAfter w:w="2" w:type="pct"/>
          <w:trHeight w:val="227"/>
        </w:trPr>
        <w:tc>
          <w:tcPr>
            <w:tcW w:w="4998" w:type="pct"/>
            <w:gridSpan w:val="10"/>
            <w:tcBorders>
              <w:top w:val="single" w:sz="4" w:space="0" w:color="auto"/>
              <w:left w:val="single" w:sz="4" w:space="0" w:color="auto"/>
              <w:bottom w:val="single" w:sz="4" w:space="0" w:color="auto"/>
              <w:right w:val="single" w:sz="4" w:space="0" w:color="auto"/>
            </w:tcBorders>
            <w:shd w:val="clear" w:color="auto" w:fill="FFFFFF" w:themeFill="background1"/>
            <w:noWrap/>
          </w:tcPr>
          <w:p w14:paraId="48A2210A"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Work collaboratively to translate evidence into policy and practice</w:t>
            </w:r>
          </w:p>
        </w:tc>
      </w:tr>
      <w:tr w:rsidR="000B54BD" w:rsidRPr="00457E15" w14:paraId="2C7C9F43" w14:textId="77777777" w:rsidTr="00E97A3B">
        <w:trPr>
          <w:gridAfter w:val="2"/>
          <w:wAfter w:w="7" w:type="pct"/>
          <w:trHeight w:val="227"/>
        </w:trPr>
        <w:tc>
          <w:tcPr>
            <w:tcW w:w="338" w:type="pct"/>
            <w:tcBorders>
              <w:top w:val="single" w:sz="4" w:space="0" w:color="auto"/>
              <w:left w:val="single" w:sz="4" w:space="0" w:color="auto"/>
              <w:bottom w:val="single" w:sz="4" w:space="0" w:color="auto"/>
              <w:right w:val="nil"/>
            </w:tcBorders>
            <w:shd w:val="clear" w:color="auto" w:fill="FFFFFF" w:themeFill="background1"/>
            <w:noWrap/>
            <w:hideMark/>
          </w:tcPr>
          <w:p w14:paraId="6998CD1A"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29</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1410E"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b/>
                <w:sz w:val="18"/>
                <w:szCs w:val="18"/>
                <w:lang w:eastAsia="en-AU"/>
              </w:rPr>
              <w:t>OUTPUT</w:t>
            </w:r>
            <w:r w:rsidRPr="00457E15">
              <w:rPr>
                <w:rFonts w:eastAsia="Times New Roman"/>
                <w:sz w:val="18"/>
                <w:szCs w:val="18"/>
                <w:lang w:eastAsia="en-AU"/>
              </w:rPr>
              <w:t xml:space="preserve">: # of publications </w:t>
            </w:r>
            <w:r w:rsidRPr="00A318B9">
              <w:rPr>
                <w:rFonts w:eastAsia="Times New Roman"/>
                <w:noProof/>
                <w:sz w:val="18"/>
                <w:szCs w:val="18"/>
                <w:lang w:eastAsia="en-AU"/>
              </w:rPr>
              <w:t>in relation to</w:t>
            </w:r>
            <w:r w:rsidRPr="00457E15">
              <w:rPr>
                <w:rFonts w:eastAsia="Times New Roman"/>
                <w:sz w:val="18"/>
                <w:szCs w:val="18"/>
                <w:lang w:eastAsia="en-AU"/>
              </w:rPr>
              <w:t xml:space="preserve"> Tongan NCD prevention and control</w:t>
            </w:r>
          </w:p>
        </w:tc>
        <w:tc>
          <w:tcPr>
            <w:tcW w:w="850" w:type="pct"/>
            <w:tcBorders>
              <w:top w:val="nil"/>
              <w:left w:val="nil"/>
              <w:bottom w:val="single" w:sz="4" w:space="0" w:color="auto"/>
              <w:right w:val="single" w:sz="4" w:space="0" w:color="auto"/>
            </w:tcBorders>
            <w:shd w:val="clear" w:color="auto" w:fill="FFFFFF" w:themeFill="background1"/>
          </w:tcPr>
          <w:p w14:paraId="19296B10"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Publications refer to journal articles, policy briefs, conference presentations, reports or any other publication that can inform policy development in Tonga</w:t>
            </w:r>
          </w:p>
          <w:p w14:paraId="64FD0865" w14:textId="77777777" w:rsidR="000B54BD" w:rsidRDefault="000B54BD" w:rsidP="00E97A3B">
            <w:pPr>
              <w:spacing w:after="0" w:line="240" w:lineRule="auto"/>
              <w:rPr>
                <w:rFonts w:eastAsia="Times New Roman"/>
                <w:sz w:val="18"/>
                <w:szCs w:val="18"/>
                <w:lang w:eastAsia="en-AU"/>
              </w:rPr>
            </w:pPr>
          </w:p>
          <w:p w14:paraId="5A3804C0"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Total number of publications </w:t>
            </w:r>
            <w:r w:rsidRPr="00A318B9">
              <w:rPr>
                <w:rFonts w:eastAsia="Times New Roman"/>
                <w:noProof/>
                <w:sz w:val="18"/>
                <w:szCs w:val="18"/>
                <w:lang w:eastAsia="en-AU"/>
              </w:rPr>
              <w:t>in relation to</w:t>
            </w:r>
            <w:r w:rsidRPr="00242F3D">
              <w:rPr>
                <w:rFonts w:eastAsia="Times New Roman"/>
                <w:sz w:val="18"/>
                <w:szCs w:val="18"/>
                <w:lang w:eastAsia="en-AU"/>
              </w:rPr>
              <w:t xml:space="preserve"> the Tongan NCD prevention and control</w:t>
            </w:r>
          </w:p>
        </w:tc>
        <w:tc>
          <w:tcPr>
            <w:tcW w:w="450" w:type="pct"/>
            <w:tcBorders>
              <w:top w:val="nil"/>
              <w:left w:val="nil"/>
              <w:bottom w:val="single" w:sz="4" w:space="0" w:color="auto"/>
              <w:right w:val="single" w:sz="4" w:space="0" w:color="auto"/>
            </w:tcBorders>
            <w:shd w:val="clear" w:color="auto" w:fill="auto"/>
          </w:tcPr>
          <w:p w14:paraId="321B0F78"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532D40A4" w14:textId="77777777" w:rsidR="000B54BD"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 xml:space="preserve">TongaHealth </w:t>
            </w:r>
          </w:p>
          <w:p w14:paraId="0A15A973" w14:textId="77777777" w:rsidR="000B54BD" w:rsidRDefault="000B54BD" w:rsidP="00E97A3B">
            <w:pPr>
              <w:spacing w:after="0" w:line="240" w:lineRule="auto"/>
              <w:rPr>
                <w:rFonts w:eastAsia="Times New Roman" w:cs="Arial"/>
                <w:sz w:val="18"/>
                <w:szCs w:val="18"/>
                <w:lang w:eastAsia="en-AU"/>
              </w:rPr>
            </w:pPr>
          </w:p>
          <w:p w14:paraId="7C125A65"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Note: no target set for this </w:t>
            </w:r>
            <w:r w:rsidRPr="00A318B9">
              <w:rPr>
                <w:rFonts w:eastAsia="Times New Roman" w:cs="Arial"/>
                <w:noProof/>
                <w:sz w:val="18"/>
                <w:szCs w:val="18"/>
                <w:lang w:eastAsia="en-AU"/>
              </w:rPr>
              <w:t>indictor</w:t>
            </w:r>
            <w:r>
              <w:rPr>
                <w:rFonts w:eastAsia="Times New Roman" w:cs="Arial"/>
                <w:sz w:val="18"/>
                <w:szCs w:val="18"/>
                <w:lang w:eastAsia="en-AU"/>
              </w:rPr>
              <w:t xml:space="preserve"> and reporting does not include details of the actual publication</w:t>
            </w:r>
          </w:p>
        </w:tc>
        <w:tc>
          <w:tcPr>
            <w:tcW w:w="550" w:type="pct"/>
            <w:tcBorders>
              <w:top w:val="nil"/>
              <w:left w:val="nil"/>
              <w:bottom w:val="single" w:sz="4" w:space="0" w:color="auto"/>
              <w:right w:val="single" w:sz="4" w:space="0" w:color="auto"/>
            </w:tcBorders>
            <w:shd w:val="clear" w:color="auto" w:fill="auto"/>
            <w:noWrap/>
          </w:tcPr>
          <w:p w14:paraId="6722C8AE" w14:textId="77777777" w:rsidR="000B54BD" w:rsidRPr="00E74512" w:rsidRDefault="000B54BD" w:rsidP="00E97A3B">
            <w:pPr>
              <w:spacing w:after="0" w:line="240" w:lineRule="auto"/>
              <w:rPr>
                <w:rFonts w:eastAsia="Times New Roman"/>
                <w:sz w:val="18"/>
                <w:szCs w:val="18"/>
                <w:lang w:eastAsia="en-AU"/>
              </w:rPr>
            </w:pPr>
            <w:r w:rsidRPr="00E74512">
              <w:rPr>
                <w:rFonts w:eastAsia="Times New Roman"/>
                <w:sz w:val="18"/>
                <w:szCs w:val="18"/>
                <w:lang w:eastAsia="en-AU"/>
              </w:rPr>
              <w:t>Online article: 31</w:t>
            </w:r>
            <w:r w:rsidR="00A318B9">
              <w:rPr>
                <w:rFonts w:eastAsia="Times New Roman"/>
                <w:sz w:val="18"/>
                <w:szCs w:val="18"/>
                <w:lang w:eastAsia="en-AU"/>
              </w:rPr>
              <w:t xml:space="preserve"> pages</w:t>
            </w:r>
            <w:r w:rsidRPr="00E74512">
              <w:rPr>
                <w:rFonts w:eastAsia="Times New Roman"/>
                <w:sz w:val="18"/>
                <w:szCs w:val="18"/>
                <w:lang w:eastAsia="en-AU"/>
              </w:rPr>
              <w:t xml:space="preserve">, </w:t>
            </w:r>
            <w:r w:rsidR="00A318B9">
              <w:rPr>
                <w:rFonts w:eastAsia="Times New Roman"/>
                <w:sz w:val="18"/>
                <w:szCs w:val="18"/>
                <w:lang w:eastAsia="en-AU"/>
              </w:rPr>
              <w:t xml:space="preserve">5 </w:t>
            </w:r>
            <w:r w:rsidRPr="00E74512">
              <w:rPr>
                <w:rFonts w:eastAsia="Times New Roman"/>
                <w:sz w:val="18"/>
                <w:szCs w:val="18"/>
                <w:lang w:eastAsia="en-AU"/>
              </w:rPr>
              <w:t>Online document (pdf)</w:t>
            </w:r>
            <w:r w:rsidR="00A318B9">
              <w:rPr>
                <w:rFonts w:eastAsia="Times New Roman"/>
                <w:sz w:val="18"/>
                <w:szCs w:val="18"/>
                <w:lang w:eastAsia="en-AU"/>
              </w:rPr>
              <w:t>, 1</w:t>
            </w:r>
          </w:p>
          <w:p w14:paraId="3C799BF2" w14:textId="77777777" w:rsidR="000B54BD" w:rsidRPr="00E74512" w:rsidRDefault="000B54BD" w:rsidP="00E97A3B">
            <w:pPr>
              <w:spacing w:after="0" w:line="240" w:lineRule="auto"/>
              <w:rPr>
                <w:rFonts w:eastAsia="Times New Roman"/>
                <w:sz w:val="18"/>
                <w:szCs w:val="18"/>
                <w:lang w:eastAsia="en-AU"/>
              </w:rPr>
            </w:pPr>
            <w:r w:rsidRPr="00E74512">
              <w:rPr>
                <w:rFonts w:eastAsia="Times New Roman"/>
                <w:sz w:val="18"/>
                <w:szCs w:val="18"/>
                <w:lang w:eastAsia="en-AU"/>
              </w:rPr>
              <w:t>Journal article</w:t>
            </w:r>
          </w:p>
        </w:tc>
        <w:tc>
          <w:tcPr>
            <w:tcW w:w="501" w:type="pct"/>
            <w:tcBorders>
              <w:top w:val="nil"/>
              <w:left w:val="nil"/>
              <w:bottom w:val="single" w:sz="4" w:space="0" w:color="auto"/>
              <w:right w:val="single" w:sz="4" w:space="0" w:color="auto"/>
            </w:tcBorders>
            <w:shd w:val="clear" w:color="auto" w:fill="FFFF66"/>
          </w:tcPr>
          <w:p w14:paraId="20605980"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w:t>
            </w:r>
          </w:p>
        </w:tc>
        <w:tc>
          <w:tcPr>
            <w:tcW w:w="549" w:type="pct"/>
            <w:tcBorders>
              <w:top w:val="nil"/>
              <w:left w:val="nil"/>
              <w:bottom w:val="single" w:sz="4" w:space="0" w:color="auto"/>
              <w:right w:val="single" w:sz="4" w:space="0" w:color="auto"/>
            </w:tcBorders>
            <w:shd w:val="clear" w:color="auto" w:fill="FFFF66"/>
          </w:tcPr>
          <w:p w14:paraId="2B563B06"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3</w:t>
            </w:r>
          </w:p>
        </w:tc>
        <w:tc>
          <w:tcPr>
            <w:tcW w:w="655" w:type="pct"/>
            <w:tcBorders>
              <w:top w:val="nil"/>
              <w:left w:val="nil"/>
              <w:bottom w:val="single" w:sz="4" w:space="0" w:color="auto"/>
              <w:right w:val="single" w:sz="4" w:space="0" w:color="auto"/>
            </w:tcBorders>
            <w:shd w:val="clear" w:color="auto" w:fill="FFFF66"/>
          </w:tcPr>
          <w:p w14:paraId="26231F83"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1</w:t>
            </w:r>
          </w:p>
        </w:tc>
      </w:tr>
      <w:tr w:rsidR="000B54BD" w:rsidRPr="00457E15" w14:paraId="5B1396CC" w14:textId="77777777" w:rsidTr="00E97A3B">
        <w:trPr>
          <w:gridAfter w:val="2"/>
          <w:wAfter w:w="7" w:type="pct"/>
          <w:trHeight w:val="227"/>
        </w:trPr>
        <w:tc>
          <w:tcPr>
            <w:tcW w:w="338" w:type="pct"/>
            <w:tcBorders>
              <w:top w:val="single" w:sz="4" w:space="0" w:color="auto"/>
              <w:left w:val="single" w:sz="4" w:space="0" w:color="auto"/>
              <w:bottom w:val="single" w:sz="4" w:space="0" w:color="auto"/>
              <w:right w:val="nil"/>
            </w:tcBorders>
            <w:shd w:val="clear" w:color="auto" w:fill="auto"/>
            <w:noWrap/>
          </w:tcPr>
          <w:p w14:paraId="43F6896F"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30</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640334B9" w14:textId="77777777" w:rsidR="000B54BD" w:rsidRPr="00457E15" w:rsidRDefault="000B54BD" w:rsidP="00E97A3B">
            <w:pPr>
              <w:spacing w:after="0" w:line="240" w:lineRule="auto"/>
              <w:rPr>
                <w:rFonts w:eastAsia="Times New Roman"/>
                <w:sz w:val="18"/>
                <w:szCs w:val="18"/>
                <w:lang w:eastAsia="en-AU"/>
              </w:rPr>
            </w:pPr>
            <w:r w:rsidRPr="0022482F">
              <w:rPr>
                <w:rFonts w:eastAsia="Times New Roman"/>
                <w:b/>
                <w:sz w:val="18"/>
                <w:szCs w:val="18"/>
                <w:lang w:eastAsia="en-AU"/>
              </w:rPr>
              <w:t>OUTCOME</w:t>
            </w:r>
            <w:r>
              <w:rPr>
                <w:rFonts w:eastAsia="Times New Roman"/>
                <w:sz w:val="18"/>
                <w:szCs w:val="18"/>
                <w:lang w:eastAsia="en-AU"/>
              </w:rPr>
              <w:t>: % of grants and commissioned projects with M&amp;E or research component</w:t>
            </w:r>
          </w:p>
        </w:tc>
        <w:tc>
          <w:tcPr>
            <w:tcW w:w="850" w:type="pct"/>
            <w:tcBorders>
              <w:top w:val="nil"/>
              <w:left w:val="nil"/>
              <w:bottom w:val="single" w:sz="4" w:space="0" w:color="auto"/>
              <w:right w:val="single" w:sz="4" w:space="0" w:color="auto"/>
            </w:tcBorders>
            <w:shd w:val="clear" w:color="auto" w:fill="auto"/>
          </w:tcPr>
          <w:p w14:paraId="6A0A8F65"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Numerator: Number of grants and projects with M&amp;E or research component</w:t>
            </w:r>
          </w:p>
          <w:p w14:paraId="322C0F00" w14:textId="77777777" w:rsidR="000B54BD" w:rsidRDefault="000B54BD" w:rsidP="00E97A3B">
            <w:pPr>
              <w:spacing w:after="0" w:line="240" w:lineRule="auto"/>
              <w:rPr>
                <w:rFonts w:eastAsia="Times New Roman"/>
                <w:sz w:val="18"/>
                <w:szCs w:val="18"/>
                <w:lang w:eastAsia="en-AU"/>
              </w:rPr>
            </w:pPr>
          </w:p>
          <w:p w14:paraId="5F484FC2"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Denominator: All grants and projects managed by TongaHealth</w:t>
            </w:r>
          </w:p>
        </w:tc>
        <w:tc>
          <w:tcPr>
            <w:tcW w:w="450" w:type="pct"/>
            <w:tcBorders>
              <w:top w:val="nil"/>
              <w:left w:val="nil"/>
              <w:bottom w:val="single" w:sz="4" w:space="0" w:color="auto"/>
              <w:right w:val="single" w:sz="4" w:space="0" w:color="auto"/>
            </w:tcBorders>
          </w:tcPr>
          <w:p w14:paraId="7428C0BB"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5A76BE6B"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TongaHealth</w:t>
            </w:r>
          </w:p>
        </w:tc>
        <w:tc>
          <w:tcPr>
            <w:tcW w:w="550" w:type="pct"/>
            <w:tcBorders>
              <w:top w:val="nil"/>
              <w:left w:val="nil"/>
              <w:bottom w:val="single" w:sz="4" w:space="0" w:color="auto"/>
              <w:right w:val="single" w:sz="4" w:space="0" w:color="auto"/>
            </w:tcBorders>
            <w:shd w:val="clear" w:color="auto" w:fill="auto"/>
            <w:noWrap/>
          </w:tcPr>
          <w:p w14:paraId="1873EBB6"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National NCD strategic priority area</w:t>
            </w:r>
          </w:p>
        </w:tc>
        <w:tc>
          <w:tcPr>
            <w:tcW w:w="501" w:type="pct"/>
            <w:tcBorders>
              <w:top w:val="nil"/>
              <w:left w:val="nil"/>
              <w:bottom w:val="single" w:sz="4" w:space="0" w:color="auto"/>
              <w:right w:val="single" w:sz="4" w:space="0" w:color="auto"/>
            </w:tcBorders>
            <w:shd w:val="clear" w:color="auto" w:fill="auto"/>
          </w:tcPr>
          <w:p w14:paraId="32265A9E" w14:textId="77777777" w:rsidR="000B54BD" w:rsidRPr="00AD3942" w:rsidRDefault="000B54BD" w:rsidP="00E97A3B">
            <w:pPr>
              <w:pStyle w:val="ListParagraph"/>
              <w:spacing w:line="240" w:lineRule="auto"/>
              <w:ind w:left="341"/>
              <w:rPr>
                <w:sz w:val="18"/>
                <w:szCs w:val="18"/>
              </w:rPr>
            </w:pPr>
            <w:r w:rsidRPr="00AD3942">
              <w:rPr>
                <w:sz w:val="18"/>
                <w:szCs w:val="18"/>
              </w:rPr>
              <w:t>-</w:t>
            </w:r>
          </w:p>
        </w:tc>
        <w:tc>
          <w:tcPr>
            <w:tcW w:w="549" w:type="pct"/>
            <w:tcBorders>
              <w:top w:val="nil"/>
              <w:left w:val="nil"/>
              <w:bottom w:val="single" w:sz="4" w:space="0" w:color="auto"/>
              <w:right w:val="single" w:sz="4" w:space="0" w:color="auto"/>
            </w:tcBorders>
            <w:shd w:val="clear" w:color="auto" w:fill="CCFFCC"/>
          </w:tcPr>
          <w:p w14:paraId="046F2D67" w14:textId="77777777" w:rsidR="000B54BD" w:rsidRPr="00AD3942" w:rsidRDefault="000B54BD" w:rsidP="00E97A3B">
            <w:pPr>
              <w:pStyle w:val="ListParagraph"/>
              <w:spacing w:line="240" w:lineRule="auto"/>
              <w:ind w:left="72"/>
              <w:rPr>
                <w:sz w:val="18"/>
                <w:szCs w:val="18"/>
              </w:rPr>
            </w:pPr>
            <w:r w:rsidRPr="00AD3942">
              <w:rPr>
                <w:sz w:val="18"/>
                <w:szCs w:val="18"/>
              </w:rPr>
              <w:t>95% (18/19)</w:t>
            </w:r>
          </w:p>
          <w:p w14:paraId="382D7F44" w14:textId="77777777" w:rsidR="000B54BD" w:rsidRPr="00391BB4" w:rsidRDefault="000B54BD" w:rsidP="00E97A3B">
            <w:pPr>
              <w:spacing w:after="0" w:line="240" w:lineRule="auto"/>
              <w:contextualSpacing/>
              <w:rPr>
                <w:sz w:val="18"/>
                <w:szCs w:val="18"/>
              </w:rPr>
            </w:pPr>
            <w:r w:rsidRPr="00391BB4">
              <w:rPr>
                <w:sz w:val="18"/>
                <w:szCs w:val="18"/>
              </w:rPr>
              <w:t xml:space="preserve">14 with M&amp;E framework included in grant agreements and </w:t>
            </w:r>
            <w:r w:rsidRPr="00391BB4">
              <w:rPr>
                <w:sz w:val="18"/>
                <w:szCs w:val="18"/>
              </w:rPr>
              <w:lastRenderedPageBreak/>
              <w:t>one developed since signing</w:t>
            </w:r>
            <w:r>
              <w:rPr>
                <w:sz w:val="18"/>
                <w:szCs w:val="18"/>
              </w:rPr>
              <w:t xml:space="preserve"> +</w:t>
            </w:r>
          </w:p>
          <w:p w14:paraId="44782C0B" w14:textId="77777777" w:rsidR="000B54BD" w:rsidRPr="00391BB4" w:rsidRDefault="000B54BD" w:rsidP="00E97A3B">
            <w:pPr>
              <w:spacing w:after="0" w:line="240" w:lineRule="auto"/>
              <w:contextualSpacing/>
              <w:rPr>
                <w:sz w:val="18"/>
                <w:szCs w:val="18"/>
              </w:rPr>
            </w:pPr>
            <w:r w:rsidRPr="00391BB4">
              <w:rPr>
                <w:sz w:val="18"/>
                <w:szCs w:val="18"/>
              </w:rPr>
              <w:t>4 (research component)</w:t>
            </w:r>
          </w:p>
        </w:tc>
        <w:tc>
          <w:tcPr>
            <w:tcW w:w="655" w:type="pct"/>
            <w:tcBorders>
              <w:top w:val="nil"/>
              <w:left w:val="nil"/>
              <w:bottom w:val="single" w:sz="4" w:space="0" w:color="auto"/>
              <w:right w:val="single" w:sz="4" w:space="0" w:color="auto"/>
            </w:tcBorders>
            <w:shd w:val="clear" w:color="auto" w:fill="CCFFCC"/>
          </w:tcPr>
          <w:p w14:paraId="513E81C1" w14:textId="77777777" w:rsidR="000B54BD" w:rsidRPr="00AD3942" w:rsidRDefault="000B54BD" w:rsidP="00E97A3B">
            <w:pPr>
              <w:pStyle w:val="ListParagraph"/>
              <w:spacing w:line="240" w:lineRule="auto"/>
              <w:ind w:left="72"/>
              <w:rPr>
                <w:sz w:val="18"/>
                <w:szCs w:val="18"/>
              </w:rPr>
            </w:pPr>
            <w:r w:rsidRPr="00AD3942">
              <w:rPr>
                <w:sz w:val="18"/>
                <w:szCs w:val="18"/>
              </w:rPr>
              <w:lastRenderedPageBreak/>
              <w:t xml:space="preserve">100% </w:t>
            </w:r>
          </w:p>
          <w:p w14:paraId="6604A832" w14:textId="77777777" w:rsidR="000B54BD" w:rsidRPr="00AD3942" w:rsidRDefault="000B54BD" w:rsidP="00E97A3B">
            <w:pPr>
              <w:pStyle w:val="ListParagraph"/>
              <w:spacing w:line="240" w:lineRule="auto"/>
              <w:ind w:left="72"/>
              <w:rPr>
                <w:sz w:val="18"/>
                <w:szCs w:val="18"/>
              </w:rPr>
            </w:pPr>
            <w:r w:rsidRPr="00AD3942">
              <w:rPr>
                <w:sz w:val="18"/>
                <w:szCs w:val="18"/>
              </w:rPr>
              <w:t xml:space="preserve">All new grants included </w:t>
            </w:r>
            <w:r w:rsidRPr="00A318B9">
              <w:rPr>
                <w:noProof/>
                <w:sz w:val="18"/>
                <w:szCs w:val="18"/>
              </w:rPr>
              <w:t>M&amp;E</w:t>
            </w:r>
            <w:r w:rsidRPr="00AD3942">
              <w:rPr>
                <w:sz w:val="18"/>
                <w:szCs w:val="18"/>
              </w:rPr>
              <w:t xml:space="preserve"> framework</w:t>
            </w:r>
          </w:p>
          <w:p w14:paraId="5BB57342" w14:textId="77777777" w:rsidR="000B54BD" w:rsidRPr="00AD3942" w:rsidRDefault="000B54BD" w:rsidP="00E97A3B">
            <w:pPr>
              <w:pStyle w:val="ListParagraph"/>
              <w:spacing w:line="240" w:lineRule="auto"/>
              <w:ind w:left="72"/>
              <w:rPr>
                <w:sz w:val="18"/>
                <w:szCs w:val="18"/>
              </w:rPr>
            </w:pPr>
          </w:p>
        </w:tc>
      </w:tr>
      <w:tr w:rsidR="000B54BD" w:rsidRPr="00457E15" w14:paraId="4D71A02F" w14:textId="77777777" w:rsidTr="00E97A3B">
        <w:trPr>
          <w:gridAfter w:val="2"/>
          <w:wAfter w:w="7" w:type="pct"/>
          <w:trHeight w:val="227"/>
        </w:trPr>
        <w:tc>
          <w:tcPr>
            <w:tcW w:w="338" w:type="pct"/>
            <w:tcBorders>
              <w:top w:val="single" w:sz="4" w:space="0" w:color="auto"/>
              <w:left w:val="single" w:sz="4" w:space="0" w:color="auto"/>
              <w:bottom w:val="single" w:sz="4" w:space="0" w:color="auto"/>
              <w:right w:val="nil"/>
            </w:tcBorders>
            <w:shd w:val="clear" w:color="auto" w:fill="FFFFFF" w:themeFill="background1"/>
            <w:noWrap/>
          </w:tcPr>
          <w:p w14:paraId="198CF890"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31</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tcPr>
          <w:p w14:paraId="502867BB" w14:textId="77777777" w:rsidR="000B54BD" w:rsidRPr="00457E15" w:rsidRDefault="000B54BD" w:rsidP="00E97A3B">
            <w:pPr>
              <w:spacing w:after="0" w:line="240" w:lineRule="auto"/>
              <w:rPr>
                <w:rFonts w:eastAsia="Times New Roman"/>
                <w:sz w:val="18"/>
                <w:szCs w:val="18"/>
                <w:lang w:eastAsia="en-AU"/>
              </w:rPr>
            </w:pPr>
            <w:r w:rsidRPr="0022482F">
              <w:rPr>
                <w:rFonts w:eastAsia="Times New Roman"/>
                <w:b/>
                <w:sz w:val="18"/>
                <w:szCs w:val="18"/>
                <w:lang w:eastAsia="en-AU"/>
              </w:rPr>
              <w:t>OUTCOME:</w:t>
            </w:r>
            <w:r>
              <w:rPr>
                <w:rFonts w:eastAsia="Times New Roman"/>
                <w:sz w:val="18"/>
                <w:szCs w:val="18"/>
                <w:lang w:eastAsia="en-AU"/>
              </w:rPr>
              <w:t xml:space="preserve"> Examples of </w:t>
            </w:r>
            <w:r w:rsidRPr="00A318B9">
              <w:rPr>
                <w:rFonts w:eastAsia="Times New Roman"/>
                <w:noProof/>
                <w:sz w:val="18"/>
                <w:szCs w:val="18"/>
                <w:lang w:eastAsia="en-AU"/>
              </w:rPr>
              <w:t>use</w:t>
            </w:r>
            <w:r>
              <w:rPr>
                <w:rFonts w:eastAsia="Times New Roman"/>
                <w:sz w:val="18"/>
                <w:szCs w:val="18"/>
                <w:lang w:eastAsia="en-AU"/>
              </w:rPr>
              <w:t xml:space="preserve"> of commissioned research and evaluation for improvement in NCD activities and policies </w:t>
            </w:r>
          </w:p>
        </w:tc>
        <w:tc>
          <w:tcPr>
            <w:tcW w:w="850" w:type="pct"/>
            <w:tcBorders>
              <w:top w:val="nil"/>
              <w:left w:val="nil"/>
              <w:bottom w:val="single" w:sz="4" w:space="0" w:color="auto"/>
              <w:right w:val="single" w:sz="4" w:space="0" w:color="auto"/>
            </w:tcBorders>
            <w:shd w:val="clear" w:color="auto" w:fill="FFFFFF" w:themeFill="background1"/>
          </w:tcPr>
          <w:p w14:paraId="39204C59"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Descriptions of how research and evaluation has been used, including evidence in minutes, proposals and policies</w:t>
            </w:r>
          </w:p>
        </w:tc>
        <w:tc>
          <w:tcPr>
            <w:tcW w:w="450" w:type="pct"/>
            <w:tcBorders>
              <w:top w:val="nil"/>
              <w:left w:val="nil"/>
              <w:bottom w:val="single" w:sz="4" w:space="0" w:color="auto"/>
              <w:right w:val="single" w:sz="4" w:space="0" w:color="auto"/>
            </w:tcBorders>
            <w:shd w:val="clear" w:color="auto" w:fill="auto"/>
          </w:tcPr>
          <w:p w14:paraId="271DBCE3"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tcPr>
          <w:p w14:paraId="3AE4200A"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TongaHealth</w:t>
            </w:r>
          </w:p>
        </w:tc>
        <w:tc>
          <w:tcPr>
            <w:tcW w:w="550" w:type="pct"/>
            <w:tcBorders>
              <w:top w:val="nil"/>
              <w:left w:val="nil"/>
              <w:bottom w:val="single" w:sz="4" w:space="0" w:color="auto"/>
              <w:right w:val="single" w:sz="4" w:space="0" w:color="auto"/>
            </w:tcBorders>
            <w:shd w:val="clear" w:color="auto" w:fill="FFFFFF" w:themeFill="background1"/>
            <w:noWrap/>
          </w:tcPr>
          <w:p w14:paraId="5CADF5B9"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Three reports completed to inform the National NCD Strategy.</w:t>
            </w:r>
          </w:p>
          <w:p w14:paraId="18B8AF19"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2015-16</w:t>
            </w:r>
          </w:p>
        </w:tc>
        <w:tc>
          <w:tcPr>
            <w:tcW w:w="501" w:type="pct"/>
            <w:tcBorders>
              <w:top w:val="nil"/>
              <w:left w:val="nil"/>
              <w:bottom w:val="single" w:sz="4" w:space="0" w:color="auto"/>
              <w:right w:val="single" w:sz="4" w:space="0" w:color="auto"/>
            </w:tcBorders>
            <w:shd w:val="clear" w:color="auto" w:fill="FFFF66"/>
          </w:tcPr>
          <w:p w14:paraId="00221359" w14:textId="77777777" w:rsidR="000B54BD" w:rsidRPr="00AD3942" w:rsidRDefault="000B54BD" w:rsidP="00E97A3B">
            <w:pPr>
              <w:spacing w:line="240" w:lineRule="auto"/>
              <w:rPr>
                <w:sz w:val="18"/>
                <w:szCs w:val="18"/>
              </w:rPr>
            </w:pPr>
            <w:r>
              <w:rPr>
                <w:sz w:val="18"/>
                <w:szCs w:val="18"/>
              </w:rPr>
              <w:t>(1)</w:t>
            </w:r>
            <w:r w:rsidRPr="00AD3942">
              <w:rPr>
                <w:sz w:val="18"/>
                <w:szCs w:val="18"/>
              </w:rPr>
              <w:t xml:space="preserve"> 2016 Anti-tobacco Evaluation by Sydney Uni (completed)</w:t>
            </w:r>
          </w:p>
          <w:p w14:paraId="364CF8D3" w14:textId="77777777" w:rsidR="000B54BD" w:rsidRPr="00AD3942" w:rsidRDefault="000B54BD" w:rsidP="00E97A3B">
            <w:pPr>
              <w:spacing w:line="240" w:lineRule="auto"/>
              <w:rPr>
                <w:sz w:val="18"/>
                <w:szCs w:val="18"/>
              </w:rPr>
            </w:pPr>
            <w:r>
              <w:rPr>
                <w:sz w:val="18"/>
                <w:szCs w:val="18"/>
              </w:rPr>
              <w:t>(2)</w:t>
            </w:r>
            <w:r w:rsidRPr="00AD3942">
              <w:rPr>
                <w:sz w:val="18"/>
                <w:szCs w:val="18"/>
              </w:rPr>
              <w:t xml:space="preserve"> 2017 Anti-tobacco Evaluation. Fieldwork by Statistics Dept. (commissioned)</w:t>
            </w:r>
          </w:p>
        </w:tc>
        <w:tc>
          <w:tcPr>
            <w:tcW w:w="549" w:type="pct"/>
            <w:tcBorders>
              <w:top w:val="nil"/>
              <w:left w:val="nil"/>
              <w:bottom w:val="single" w:sz="4" w:space="0" w:color="auto"/>
              <w:right w:val="single" w:sz="4" w:space="0" w:color="auto"/>
            </w:tcBorders>
            <w:shd w:val="clear" w:color="auto" w:fill="FFFF66"/>
          </w:tcPr>
          <w:p w14:paraId="41F29909" w14:textId="77777777" w:rsidR="000B54BD" w:rsidRPr="00AD3942" w:rsidRDefault="000B54BD" w:rsidP="00E97A3B">
            <w:pPr>
              <w:spacing w:line="240" w:lineRule="auto"/>
              <w:rPr>
                <w:sz w:val="18"/>
                <w:szCs w:val="18"/>
              </w:rPr>
            </w:pPr>
            <w:r>
              <w:rPr>
                <w:sz w:val="18"/>
                <w:szCs w:val="18"/>
              </w:rPr>
              <w:t>(1)</w:t>
            </w:r>
            <w:r w:rsidRPr="00AD3942">
              <w:rPr>
                <w:sz w:val="18"/>
                <w:szCs w:val="18"/>
              </w:rPr>
              <w:t xml:space="preserve"> 2017 Anti-tobacco Campaign Evaluation analysis by University of Sydney </w:t>
            </w:r>
          </w:p>
          <w:p w14:paraId="12E5C317" w14:textId="77777777" w:rsidR="000B54BD" w:rsidRPr="00AD3942" w:rsidRDefault="000B54BD" w:rsidP="00E97A3B">
            <w:pPr>
              <w:spacing w:line="240" w:lineRule="auto"/>
              <w:rPr>
                <w:sz w:val="18"/>
                <w:szCs w:val="18"/>
              </w:rPr>
            </w:pPr>
            <w:r>
              <w:rPr>
                <w:sz w:val="18"/>
                <w:szCs w:val="18"/>
              </w:rPr>
              <w:t xml:space="preserve">(2) </w:t>
            </w:r>
            <w:r w:rsidRPr="00AD3942">
              <w:rPr>
                <w:sz w:val="18"/>
                <w:szCs w:val="18"/>
              </w:rPr>
              <w:t>Reports for Phase One and Phase Two of campaign completed</w:t>
            </w:r>
          </w:p>
        </w:tc>
        <w:tc>
          <w:tcPr>
            <w:tcW w:w="655" w:type="pct"/>
            <w:tcBorders>
              <w:top w:val="nil"/>
              <w:left w:val="nil"/>
              <w:bottom w:val="single" w:sz="4" w:space="0" w:color="auto"/>
              <w:right w:val="single" w:sz="4" w:space="0" w:color="auto"/>
            </w:tcBorders>
            <w:shd w:val="clear" w:color="auto" w:fill="auto"/>
          </w:tcPr>
          <w:p w14:paraId="137A1483" w14:textId="77777777" w:rsidR="000B54BD" w:rsidRPr="00AD3942" w:rsidRDefault="000B54BD" w:rsidP="00E97A3B">
            <w:pPr>
              <w:spacing w:line="240" w:lineRule="auto"/>
              <w:rPr>
                <w:sz w:val="18"/>
                <w:szCs w:val="18"/>
              </w:rPr>
            </w:pPr>
          </w:p>
        </w:tc>
      </w:tr>
      <w:tr w:rsidR="000B54BD" w:rsidRPr="00457E15" w14:paraId="76D793D5" w14:textId="77777777" w:rsidTr="00E97A3B">
        <w:trPr>
          <w:gridAfter w:val="1"/>
          <w:wAfter w:w="2" w:type="pct"/>
          <w:trHeight w:val="263"/>
        </w:trPr>
        <w:tc>
          <w:tcPr>
            <w:tcW w:w="4998" w:type="pct"/>
            <w:gridSpan w:val="10"/>
            <w:tcBorders>
              <w:top w:val="single" w:sz="4" w:space="0" w:color="auto"/>
              <w:left w:val="single" w:sz="4" w:space="0" w:color="auto"/>
              <w:bottom w:val="single" w:sz="4" w:space="0" w:color="auto"/>
              <w:right w:val="single" w:sz="4" w:space="0" w:color="auto"/>
            </w:tcBorders>
            <w:shd w:val="clear" w:color="auto" w:fill="FFFFFF" w:themeFill="background1"/>
            <w:noWrap/>
          </w:tcPr>
          <w:p w14:paraId="1B1B0690"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Ensure M&amp;E activities are sensitive to gender equity and social inclusion (GESI)</w:t>
            </w:r>
          </w:p>
        </w:tc>
      </w:tr>
      <w:tr w:rsidR="000B54BD" w:rsidRPr="00457E15" w14:paraId="605EE24C" w14:textId="77777777" w:rsidTr="00E97A3B">
        <w:trPr>
          <w:gridAfter w:val="2"/>
          <w:wAfter w:w="7" w:type="pct"/>
          <w:trHeight w:val="600"/>
        </w:trPr>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4F4432"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32</w:t>
            </w:r>
          </w:p>
        </w:tc>
        <w:tc>
          <w:tcPr>
            <w:tcW w:w="550" w:type="pct"/>
            <w:tcBorders>
              <w:top w:val="nil"/>
              <w:left w:val="single" w:sz="4" w:space="0" w:color="auto"/>
              <w:bottom w:val="single" w:sz="4" w:space="0" w:color="auto"/>
              <w:right w:val="single" w:sz="4" w:space="0" w:color="auto"/>
            </w:tcBorders>
            <w:shd w:val="clear" w:color="auto" w:fill="FFFFFF" w:themeFill="background1"/>
          </w:tcPr>
          <w:p w14:paraId="46F808B5"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 xml:space="preserve">OUTPUT: </w:t>
            </w:r>
            <w:r w:rsidRPr="00457E15">
              <w:rPr>
                <w:rFonts w:eastAsia="Times New Roman" w:cs="Arial"/>
                <w:sz w:val="18"/>
                <w:szCs w:val="18"/>
                <w:lang w:eastAsia="en-AU"/>
              </w:rPr>
              <w:t xml:space="preserve">% of </w:t>
            </w:r>
            <w:r>
              <w:rPr>
                <w:rFonts w:eastAsia="Times New Roman" w:cs="Arial"/>
                <w:sz w:val="18"/>
                <w:szCs w:val="18"/>
                <w:lang w:eastAsia="en-AU"/>
              </w:rPr>
              <w:t xml:space="preserve">results of </w:t>
            </w:r>
            <w:r w:rsidRPr="00457E15">
              <w:rPr>
                <w:rFonts w:eastAsia="Times New Roman" w:cs="Arial"/>
                <w:sz w:val="18"/>
                <w:szCs w:val="18"/>
                <w:lang w:eastAsia="en-AU"/>
              </w:rPr>
              <w:t xml:space="preserve">TongaHealth supported surveys </w:t>
            </w:r>
            <w:r>
              <w:rPr>
                <w:rFonts w:eastAsia="Times New Roman" w:cs="Arial"/>
                <w:sz w:val="18"/>
                <w:szCs w:val="18"/>
                <w:lang w:eastAsia="en-AU"/>
              </w:rPr>
              <w:t xml:space="preserve">able to be </w:t>
            </w:r>
            <w:r w:rsidRPr="00457E15">
              <w:rPr>
                <w:rFonts w:eastAsia="Times New Roman" w:cs="Arial"/>
                <w:sz w:val="18"/>
                <w:szCs w:val="18"/>
                <w:lang w:eastAsia="en-AU"/>
              </w:rPr>
              <w:t xml:space="preserve">disaggregated by </w:t>
            </w:r>
            <w:r>
              <w:rPr>
                <w:rFonts w:eastAsia="Times New Roman" w:cs="Arial"/>
                <w:sz w:val="18"/>
                <w:szCs w:val="18"/>
                <w:lang w:eastAsia="en-AU"/>
              </w:rPr>
              <w:t>sex</w:t>
            </w:r>
            <w:r w:rsidRPr="00457E15">
              <w:rPr>
                <w:rFonts w:eastAsia="Times New Roman" w:cs="Arial"/>
                <w:sz w:val="18"/>
                <w:szCs w:val="18"/>
                <w:lang w:eastAsia="en-AU"/>
              </w:rPr>
              <w:t>, disability, location</w:t>
            </w:r>
          </w:p>
        </w:tc>
        <w:tc>
          <w:tcPr>
            <w:tcW w:w="850" w:type="pct"/>
            <w:tcBorders>
              <w:top w:val="nil"/>
              <w:left w:val="nil"/>
              <w:bottom w:val="single" w:sz="4" w:space="0" w:color="auto"/>
              <w:right w:val="single" w:sz="4" w:space="0" w:color="auto"/>
            </w:tcBorders>
            <w:shd w:val="clear" w:color="auto" w:fill="FFFFFF" w:themeFill="background1"/>
          </w:tcPr>
          <w:p w14:paraId="3472D9BA"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Numerator:</w:t>
            </w:r>
            <w:r w:rsidRPr="00242F3D">
              <w:rPr>
                <w:rFonts w:eastAsia="Times New Roman" w:cs="Arial"/>
                <w:sz w:val="18"/>
                <w:szCs w:val="18"/>
                <w:lang w:eastAsia="en-AU"/>
              </w:rPr>
              <w:t xml:space="preserve"> Number of TongaHealth supported surveys </w:t>
            </w:r>
            <w:r>
              <w:rPr>
                <w:rFonts w:eastAsia="Times New Roman" w:cs="Arial"/>
                <w:sz w:val="18"/>
                <w:szCs w:val="18"/>
                <w:lang w:eastAsia="en-AU"/>
              </w:rPr>
              <w:t xml:space="preserve">with results able to be </w:t>
            </w:r>
            <w:r w:rsidRPr="00242F3D">
              <w:rPr>
                <w:rFonts w:eastAsia="Times New Roman" w:cs="Arial"/>
                <w:sz w:val="18"/>
                <w:szCs w:val="18"/>
                <w:lang w:eastAsia="en-AU"/>
              </w:rPr>
              <w:t>disaggregated by gender, disability, location</w:t>
            </w:r>
          </w:p>
          <w:p w14:paraId="35178379" w14:textId="77777777" w:rsidR="000B54BD" w:rsidRDefault="000B54BD" w:rsidP="00E97A3B">
            <w:pPr>
              <w:spacing w:after="0" w:line="240" w:lineRule="auto"/>
              <w:rPr>
                <w:rFonts w:eastAsia="Times New Roman" w:cs="Arial"/>
                <w:sz w:val="18"/>
                <w:szCs w:val="18"/>
                <w:lang w:eastAsia="en-AU"/>
              </w:rPr>
            </w:pPr>
          </w:p>
          <w:p w14:paraId="621B76B2"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Denominator: Total number of TongaHealth supported surveys </w:t>
            </w:r>
          </w:p>
        </w:tc>
        <w:tc>
          <w:tcPr>
            <w:tcW w:w="450" w:type="pct"/>
            <w:tcBorders>
              <w:top w:val="nil"/>
              <w:left w:val="nil"/>
              <w:bottom w:val="single" w:sz="4" w:space="0" w:color="auto"/>
              <w:right w:val="single" w:sz="4" w:space="0" w:color="auto"/>
            </w:tcBorders>
            <w:shd w:val="clear" w:color="auto" w:fill="auto"/>
          </w:tcPr>
          <w:p w14:paraId="52A57E47" w14:textId="77777777" w:rsidR="000B54BD" w:rsidRPr="00457E15" w:rsidRDefault="000B54BD" w:rsidP="00E97A3B">
            <w:pPr>
              <w:spacing w:after="0" w:line="240" w:lineRule="auto"/>
              <w:rPr>
                <w:rFonts w:eastAsia="Times New Roman"/>
                <w:sz w:val="18"/>
                <w:szCs w:val="18"/>
                <w:lang w:eastAsia="en-AU"/>
              </w:rPr>
            </w:pPr>
          </w:p>
        </w:tc>
        <w:tc>
          <w:tcPr>
            <w:tcW w:w="550" w:type="pct"/>
            <w:tcBorders>
              <w:top w:val="nil"/>
              <w:left w:val="single" w:sz="4" w:space="0" w:color="auto"/>
              <w:bottom w:val="single" w:sz="4" w:space="0" w:color="auto"/>
              <w:right w:val="single" w:sz="4" w:space="0" w:color="auto"/>
            </w:tcBorders>
            <w:shd w:val="clear" w:color="auto" w:fill="auto"/>
            <w:noWrap/>
          </w:tcPr>
          <w:p w14:paraId="31EA4E0C"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TongaHealth</w:t>
            </w:r>
          </w:p>
        </w:tc>
        <w:tc>
          <w:tcPr>
            <w:tcW w:w="550" w:type="pct"/>
            <w:tcBorders>
              <w:top w:val="nil"/>
              <w:left w:val="nil"/>
              <w:bottom w:val="single" w:sz="4" w:space="0" w:color="auto"/>
              <w:right w:val="single" w:sz="4" w:space="0" w:color="auto"/>
            </w:tcBorders>
            <w:shd w:val="clear" w:color="auto" w:fill="FFFFFF" w:themeFill="background1"/>
            <w:noWrap/>
          </w:tcPr>
          <w:p w14:paraId="04C0FD8D"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100% - 1 survey (anti-tobacco) conducted (2015/2016) </w:t>
            </w:r>
          </w:p>
        </w:tc>
        <w:tc>
          <w:tcPr>
            <w:tcW w:w="501" w:type="pct"/>
            <w:tcBorders>
              <w:top w:val="nil"/>
              <w:left w:val="nil"/>
              <w:bottom w:val="single" w:sz="4" w:space="0" w:color="auto"/>
              <w:right w:val="single" w:sz="4" w:space="0" w:color="auto"/>
            </w:tcBorders>
            <w:shd w:val="clear" w:color="auto" w:fill="auto"/>
          </w:tcPr>
          <w:p w14:paraId="7ACBBFDE"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CCFFCC"/>
          </w:tcPr>
          <w:p w14:paraId="758CA9F2" w14:textId="77777777" w:rsidR="000B54BD" w:rsidRPr="00600E0B" w:rsidRDefault="000B54BD" w:rsidP="00E97A3B">
            <w:pPr>
              <w:spacing w:after="0" w:line="240" w:lineRule="auto"/>
              <w:rPr>
                <w:rFonts w:eastAsia="Times New Roman"/>
                <w:sz w:val="18"/>
                <w:szCs w:val="18"/>
                <w:lang w:eastAsia="en-AU"/>
              </w:rPr>
            </w:pPr>
            <w:r w:rsidRPr="00600E0B">
              <w:rPr>
                <w:rFonts w:eastAsia="Times New Roman"/>
                <w:sz w:val="18"/>
                <w:szCs w:val="18"/>
                <w:lang w:eastAsia="en-AU"/>
              </w:rPr>
              <w:t>100% - 2016 anti-tobacco survey (Sex and location but not by disability)</w:t>
            </w:r>
          </w:p>
          <w:p w14:paraId="3060A452" w14:textId="77777777" w:rsidR="000B54BD" w:rsidRPr="00600E0B" w:rsidRDefault="000B54BD" w:rsidP="00E97A3B">
            <w:pPr>
              <w:spacing w:after="0" w:line="240" w:lineRule="auto"/>
              <w:rPr>
                <w:rFonts w:eastAsia="Times New Roman"/>
                <w:sz w:val="18"/>
                <w:szCs w:val="18"/>
                <w:lang w:eastAsia="en-AU"/>
              </w:rPr>
            </w:pPr>
            <w:r w:rsidRPr="00600E0B">
              <w:rPr>
                <w:rFonts w:eastAsia="Times New Roman"/>
                <w:sz w:val="18"/>
                <w:szCs w:val="18"/>
                <w:lang w:eastAsia="en-AU"/>
              </w:rPr>
              <w:t>Census data on kava and tobacco use disaggregated by gender and location</w:t>
            </w:r>
          </w:p>
        </w:tc>
        <w:tc>
          <w:tcPr>
            <w:tcW w:w="655" w:type="pct"/>
            <w:tcBorders>
              <w:top w:val="nil"/>
              <w:left w:val="nil"/>
              <w:bottom w:val="single" w:sz="4" w:space="0" w:color="auto"/>
              <w:right w:val="single" w:sz="4" w:space="0" w:color="auto"/>
            </w:tcBorders>
            <w:shd w:val="clear" w:color="auto" w:fill="CCFFCC"/>
          </w:tcPr>
          <w:p w14:paraId="068CBDED" w14:textId="77777777" w:rsidR="000B54BD" w:rsidRPr="00600E0B" w:rsidRDefault="000B54BD" w:rsidP="00E97A3B">
            <w:pPr>
              <w:spacing w:after="0" w:line="240" w:lineRule="auto"/>
              <w:rPr>
                <w:rFonts w:eastAsia="Times New Roman"/>
                <w:sz w:val="18"/>
                <w:szCs w:val="18"/>
                <w:lang w:eastAsia="en-AU"/>
              </w:rPr>
            </w:pPr>
            <w:r w:rsidRPr="00600E0B">
              <w:rPr>
                <w:rFonts w:eastAsia="Times New Roman"/>
                <w:sz w:val="18"/>
                <w:szCs w:val="18"/>
                <w:lang w:eastAsia="en-AU"/>
              </w:rPr>
              <w:t xml:space="preserve">Global School Health Survey </w:t>
            </w:r>
            <w:r>
              <w:rPr>
                <w:rFonts w:eastAsia="Times New Roman"/>
                <w:sz w:val="18"/>
                <w:szCs w:val="18"/>
                <w:lang w:eastAsia="en-AU"/>
              </w:rPr>
              <w:t xml:space="preserve">(GSHS) </w:t>
            </w:r>
            <w:r w:rsidRPr="00600E0B">
              <w:rPr>
                <w:rFonts w:eastAsia="Times New Roman"/>
                <w:sz w:val="18"/>
                <w:szCs w:val="18"/>
                <w:lang w:eastAsia="en-AU"/>
              </w:rPr>
              <w:t xml:space="preserve">data disaggregated by sex only </w:t>
            </w:r>
          </w:p>
        </w:tc>
      </w:tr>
      <w:tr w:rsidR="000B54BD" w:rsidRPr="00457E15" w14:paraId="611FEAC6" w14:textId="77777777" w:rsidTr="00E97A3B">
        <w:trPr>
          <w:gridAfter w:val="1"/>
          <w:wAfter w:w="2" w:type="pct"/>
          <w:trHeight w:val="301"/>
        </w:trPr>
        <w:tc>
          <w:tcPr>
            <w:tcW w:w="4998"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31C561A" w14:textId="77777777" w:rsidR="000B54BD" w:rsidRPr="00457E15" w:rsidRDefault="000B54BD" w:rsidP="00E97A3B">
            <w:pPr>
              <w:spacing w:after="0" w:line="240" w:lineRule="auto"/>
              <w:rPr>
                <w:rFonts w:eastAsia="Times New Roman" w:cs="Arial"/>
                <w:b/>
                <w:bCs/>
                <w:sz w:val="18"/>
                <w:szCs w:val="18"/>
                <w:lang w:eastAsia="en-AU"/>
              </w:rPr>
            </w:pPr>
            <w:r>
              <w:rPr>
                <w:rFonts w:eastAsia="Times New Roman" w:cs="Arial"/>
                <w:b/>
                <w:bCs/>
                <w:sz w:val="18"/>
                <w:szCs w:val="18"/>
                <w:lang w:eastAsia="en-AU"/>
              </w:rPr>
              <w:t>Monitoring</w:t>
            </w:r>
            <w:r w:rsidRPr="00457E15">
              <w:rPr>
                <w:rFonts w:eastAsia="Times New Roman" w:cs="Arial"/>
                <w:b/>
                <w:bCs/>
                <w:sz w:val="18"/>
                <w:szCs w:val="18"/>
                <w:lang w:eastAsia="en-AU"/>
              </w:rPr>
              <w:t xml:space="preserve"> National NCD Strategy</w:t>
            </w:r>
            <w:r>
              <w:rPr>
                <w:rFonts w:eastAsia="Times New Roman" w:cs="Arial"/>
                <w:b/>
                <w:bCs/>
                <w:sz w:val="18"/>
                <w:szCs w:val="18"/>
                <w:lang w:eastAsia="en-AU"/>
              </w:rPr>
              <w:t xml:space="preserve"> strategic priorities</w:t>
            </w:r>
          </w:p>
        </w:tc>
      </w:tr>
      <w:tr w:rsidR="000B54BD" w:rsidRPr="00457E15" w14:paraId="36782533" w14:textId="77777777" w:rsidTr="00E97A3B">
        <w:trPr>
          <w:gridAfter w:val="1"/>
          <w:wAfter w:w="2" w:type="pct"/>
          <w:trHeight w:val="225"/>
        </w:trPr>
        <w:tc>
          <w:tcPr>
            <w:tcW w:w="4998"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07EAB23" w14:textId="77777777" w:rsidR="000B54BD" w:rsidRPr="00457E15" w:rsidRDefault="000B54BD" w:rsidP="00E97A3B">
            <w:pPr>
              <w:spacing w:after="0" w:line="240" w:lineRule="auto"/>
              <w:rPr>
                <w:rFonts w:eastAsia="Times New Roman"/>
                <w:b/>
                <w:bCs/>
                <w:sz w:val="18"/>
                <w:szCs w:val="18"/>
                <w:lang w:eastAsia="en-AU"/>
              </w:rPr>
            </w:pPr>
            <w:r w:rsidRPr="00457E15">
              <w:rPr>
                <w:rFonts w:eastAsia="Times New Roman"/>
                <w:b/>
                <w:bCs/>
                <w:sz w:val="18"/>
                <w:szCs w:val="18"/>
                <w:lang w:eastAsia="en-AU"/>
              </w:rPr>
              <w:t>Outcome 1</w:t>
            </w:r>
            <w:r w:rsidRPr="00A318B9">
              <w:rPr>
                <w:rFonts w:eastAsia="Times New Roman"/>
                <w:b/>
                <w:bCs/>
                <w:noProof/>
                <w:sz w:val="18"/>
                <w:szCs w:val="18"/>
                <w:lang w:eastAsia="en-AU"/>
              </w:rPr>
              <w:t>:Tongan</w:t>
            </w:r>
            <w:r w:rsidRPr="00457E15">
              <w:rPr>
                <w:rFonts w:eastAsia="Times New Roman"/>
                <w:b/>
                <w:bCs/>
                <w:sz w:val="18"/>
                <w:szCs w:val="18"/>
                <w:lang w:eastAsia="en-AU"/>
              </w:rPr>
              <w:t xml:space="preserve"> infants (age 2 and under) have a healthier start to life</w:t>
            </w:r>
          </w:p>
        </w:tc>
      </w:tr>
      <w:tr w:rsidR="000B54BD" w:rsidRPr="00457E15" w14:paraId="0ACAAA28" w14:textId="77777777" w:rsidTr="00E97A3B">
        <w:trPr>
          <w:gridAfter w:val="1"/>
          <w:wAfter w:w="2" w:type="pct"/>
          <w:trHeight w:val="163"/>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3A37D3F1" w14:textId="77777777" w:rsidR="000B54BD" w:rsidRPr="00A55EEA" w:rsidRDefault="000B54BD" w:rsidP="00E97A3B">
            <w:pPr>
              <w:spacing w:after="0" w:line="240" w:lineRule="auto"/>
              <w:rPr>
                <w:rFonts w:eastAsia="Times New Roman"/>
                <w:b/>
                <w:sz w:val="18"/>
                <w:szCs w:val="18"/>
                <w:lang w:eastAsia="en-AU"/>
              </w:rPr>
            </w:pPr>
            <w:r w:rsidRPr="00A55EEA">
              <w:rPr>
                <w:rFonts w:eastAsia="Times New Roman" w:cs="Arial"/>
                <w:b/>
                <w:sz w:val="18"/>
                <w:szCs w:val="18"/>
                <w:lang w:eastAsia="en-AU"/>
              </w:rPr>
              <w:t>Halt the number of babies exposed to the risk of being born to a mother with diabetes (Type 2 or GDM)</w:t>
            </w:r>
          </w:p>
        </w:tc>
      </w:tr>
      <w:tr w:rsidR="000B54BD" w:rsidRPr="00457E15" w14:paraId="10590F4F" w14:textId="77777777" w:rsidTr="00E97A3B">
        <w:trPr>
          <w:gridAfter w:val="2"/>
          <w:wAfter w:w="7" w:type="pct"/>
          <w:trHeight w:val="364"/>
        </w:trPr>
        <w:tc>
          <w:tcPr>
            <w:tcW w:w="338" w:type="pct"/>
            <w:tcBorders>
              <w:top w:val="single" w:sz="4" w:space="0" w:color="auto"/>
              <w:left w:val="single" w:sz="4" w:space="0" w:color="auto"/>
              <w:bottom w:val="single" w:sz="4" w:space="0" w:color="auto"/>
              <w:right w:val="nil"/>
            </w:tcBorders>
            <w:shd w:val="clear" w:color="auto" w:fill="auto"/>
            <w:noWrap/>
            <w:hideMark/>
          </w:tcPr>
          <w:p w14:paraId="1BEE7FB3"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33</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27A5AE3A"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OUTCOME</w:t>
            </w:r>
            <w:r w:rsidRPr="00457E15">
              <w:rPr>
                <w:rFonts w:eastAsia="Times New Roman" w:cs="Arial"/>
                <w:sz w:val="18"/>
                <w:szCs w:val="18"/>
                <w:lang w:eastAsia="en-AU"/>
              </w:rPr>
              <w:t xml:space="preserve">: </w:t>
            </w:r>
            <w:r w:rsidRPr="00A55EEA">
              <w:rPr>
                <w:rFonts w:eastAsia="Times New Roman" w:cs="Arial"/>
                <w:sz w:val="18"/>
                <w:szCs w:val="18"/>
                <w:lang w:eastAsia="en-AU"/>
              </w:rPr>
              <w:t>Incidence of GDM among pregnant women, in %</w:t>
            </w:r>
          </w:p>
        </w:tc>
        <w:tc>
          <w:tcPr>
            <w:tcW w:w="850" w:type="pct"/>
            <w:tcBorders>
              <w:top w:val="single" w:sz="4" w:space="0" w:color="auto"/>
              <w:left w:val="nil"/>
              <w:bottom w:val="single" w:sz="4" w:space="0" w:color="auto"/>
              <w:right w:val="single" w:sz="4" w:space="0" w:color="auto"/>
            </w:tcBorders>
            <w:shd w:val="clear" w:color="auto" w:fill="auto"/>
            <w:hideMark/>
          </w:tcPr>
          <w:p w14:paraId="1A19A364"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Gestational diabetes mellitus (GDM) refers to glucose intolerance that has its onset (or is first diagnosed) during pregnancy.</w:t>
            </w:r>
          </w:p>
          <w:p w14:paraId="649DEF45" w14:textId="77777777" w:rsidR="000B54BD" w:rsidRPr="00457E15" w:rsidRDefault="000B54BD" w:rsidP="00E97A3B">
            <w:pPr>
              <w:spacing w:after="0" w:line="240" w:lineRule="auto"/>
              <w:rPr>
                <w:rFonts w:eastAsia="Times New Roman" w:cs="Arial"/>
                <w:sz w:val="18"/>
                <w:szCs w:val="18"/>
                <w:lang w:eastAsia="en-AU"/>
              </w:rPr>
            </w:pPr>
          </w:p>
          <w:p w14:paraId="19F10FE6"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Numerator: Number of pregnant women diagnosed with GDM</w:t>
            </w:r>
          </w:p>
          <w:p w14:paraId="4FFB9843" w14:textId="77777777" w:rsidR="000B54BD" w:rsidRPr="00457E15" w:rsidRDefault="000B54BD" w:rsidP="00E97A3B">
            <w:pPr>
              <w:spacing w:after="0" w:line="240" w:lineRule="auto"/>
              <w:rPr>
                <w:rFonts w:eastAsia="Times New Roman" w:cs="Arial"/>
                <w:sz w:val="18"/>
                <w:szCs w:val="18"/>
                <w:lang w:eastAsia="en-AU"/>
              </w:rPr>
            </w:pPr>
          </w:p>
          <w:p w14:paraId="020D148A" w14:textId="77777777" w:rsidR="000B54BD" w:rsidRPr="00457E15" w:rsidRDefault="000B54BD" w:rsidP="00E97A3B">
            <w:pPr>
              <w:spacing w:after="0" w:line="240" w:lineRule="auto"/>
              <w:rPr>
                <w:rFonts w:eastAsia="Times New Roman" w:cs="Arial"/>
                <w:sz w:val="18"/>
                <w:szCs w:val="18"/>
                <w:lang w:eastAsia="en-AU"/>
              </w:rPr>
            </w:pPr>
            <w:r w:rsidRPr="00457E15">
              <w:rPr>
                <w:rFonts w:eastAsia="Times New Roman" w:cs="Arial"/>
                <w:sz w:val="18"/>
                <w:szCs w:val="18"/>
                <w:lang w:eastAsia="en-AU"/>
              </w:rPr>
              <w:t>Denominator: Total number of pregnancies in the year x 100</w:t>
            </w:r>
          </w:p>
        </w:tc>
        <w:tc>
          <w:tcPr>
            <w:tcW w:w="450" w:type="pct"/>
            <w:tcBorders>
              <w:top w:val="nil"/>
              <w:left w:val="nil"/>
              <w:bottom w:val="single" w:sz="4" w:space="0" w:color="auto"/>
              <w:right w:val="single" w:sz="4" w:space="0" w:color="auto"/>
            </w:tcBorders>
          </w:tcPr>
          <w:p w14:paraId="4AD9AF93"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lastRenderedPageBreak/>
              <w:t>Reduction</w:t>
            </w:r>
          </w:p>
        </w:tc>
        <w:tc>
          <w:tcPr>
            <w:tcW w:w="550" w:type="pct"/>
            <w:tcBorders>
              <w:top w:val="nil"/>
              <w:left w:val="single" w:sz="4" w:space="0" w:color="auto"/>
              <w:bottom w:val="single" w:sz="4" w:space="0" w:color="auto"/>
              <w:right w:val="single" w:sz="4" w:space="0" w:color="auto"/>
            </w:tcBorders>
            <w:shd w:val="clear" w:color="auto" w:fill="auto"/>
          </w:tcPr>
          <w:p w14:paraId="1C317226"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RH nurses data</w:t>
            </w:r>
          </w:p>
        </w:tc>
        <w:tc>
          <w:tcPr>
            <w:tcW w:w="550" w:type="pct"/>
            <w:tcBorders>
              <w:top w:val="nil"/>
              <w:left w:val="nil"/>
              <w:bottom w:val="single" w:sz="4" w:space="0" w:color="auto"/>
              <w:right w:val="single" w:sz="4" w:space="0" w:color="auto"/>
            </w:tcBorders>
            <w:shd w:val="clear" w:color="auto" w:fill="auto"/>
          </w:tcPr>
          <w:p w14:paraId="2FF4DAD2" w14:textId="77777777" w:rsidR="000B54BD" w:rsidRPr="00206495" w:rsidRDefault="000B54BD" w:rsidP="00E97A3B">
            <w:pPr>
              <w:spacing w:after="0" w:line="240" w:lineRule="auto"/>
              <w:rPr>
                <w:rFonts w:eastAsia="Times New Roman" w:cs="Arial"/>
                <w:sz w:val="18"/>
                <w:szCs w:val="18"/>
                <w:lang w:eastAsia="en-AU"/>
              </w:rPr>
            </w:pPr>
            <w:r w:rsidRPr="00206495">
              <w:rPr>
                <w:rFonts w:eastAsia="Times New Roman"/>
                <w:sz w:val="18"/>
                <w:szCs w:val="18"/>
                <w:lang w:eastAsia="en-AU"/>
              </w:rPr>
              <w:t>7.1% (2015)</w:t>
            </w:r>
          </w:p>
        </w:tc>
        <w:tc>
          <w:tcPr>
            <w:tcW w:w="501" w:type="pct"/>
            <w:tcBorders>
              <w:top w:val="nil"/>
              <w:left w:val="nil"/>
              <w:bottom w:val="single" w:sz="4" w:space="0" w:color="auto"/>
              <w:right w:val="single" w:sz="4" w:space="0" w:color="auto"/>
            </w:tcBorders>
            <w:shd w:val="clear" w:color="auto" w:fill="auto"/>
          </w:tcPr>
          <w:p w14:paraId="5F7B7AE9" w14:textId="77777777" w:rsidR="000B54BD" w:rsidRPr="00600E0B" w:rsidRDefault="000B54BD" w:rsidP="00E97A3B">
            <w:pPr>
              <w:spacing w:after="0" w:line="240" w:lineRule="auto"/>
              <w:rPr>
                <w:rFonts w:eastAsia="Times New Roman"/>
                <w:sz w:val="18"/>
                <w:szCs w:val="18"/>
                <w:lang w:eastAsia="en-AU"/>
              </w:rPr>
            </w:pPr>
            <w:r w:rsidRPr="00600E0B">
              <w:rPr>
                <w:rFonts w:eastAsia="Times New Roman"/>
                <w:sz w:val="18"/>
                <w:szCs w:val="18"/>
                <w:lang w:eastAsia="en-AU"/>
              </w:rPr>
              <w:t>See indicator 3.1</w:t>
            </w:r>
          </w:p>
        </w:tc>
        <w:tc>
          <w:tcPr>
            <w:tcW w:w="549" w:type="pct"/>
            <w:tcBorders>
              <w:top w:val="nil"/>
              <w:left w:val="nil"/>
              <w:bottom w:val="single" w:sz="4" w:space="0" w:color="auto"/>
              <w:right w:val="single" w:sz="4" w:space="0" w:color="auto"/>
            </w:tcBorders>
            <w:shd w:val="clear" w:color="auto" w:fill="auto"/>
          </w:tcPr>
          <w:p w14:paraId="1F272792" w14:textId="77777777" w:rsidR="000B54BD" w:rsidRPr="00600E0B" w:rsidRDefault="000B54BD" w:rsidP="00E97A3B">
            <w:pPr>
              <w:spacing w:after="0" w:line="240" w:lineRule="auto"/>
              <w:rPr>
                <w:rFonts w:eastAsia="Times New Roman"/>
                <w:sz w:val="18"/>
                <w:szCs w:val="18"/>
                <w:lang w:eastAsia="en-AU"/>
              </w:rPr>
            </w:pPr>
            <w:r w:rsidRPr="00600E0B">
              <w:rPr>
                <w:rFonts w:eastAsia="Times New Roman"/>
                <w:sz w:val="18"/>
                <w:szCs w:val="18"/>
                <w:lang w:eastAsia="en-AU"/>
              </w:rPr>
              <w:t>See indicator 3.1</w:t>
            </w:r>
          </w:p>
        </w:tc>
        <w:tc>
          <w:tcPr>
            <w:tcW w:w="655" w:type="pct"/>
            <w:tcBorders>
              <w:top w:val="nil"/>
              <w:left w:val="nil"/>
              <w:bottom w:val="single" w:sz="4" w:space="0" w:color="auto"/>
              <w:right w:val="single" w:sz="4" w:space="0" w:color="auto"/>
            </w:tcBorders>
            <w:shd w:val="clear" w:color="auto" w:fill="auto"/>
          </w:tcPr>
          <w:p w14:paraId="3C25C73C" w14:textId="77777777" w:rsidR="000B54BD" w:rsidRPr="00600E0B" w:rsidRDefault="000B54BD" w:rsidP="00E97A3B">
            <w:pPr>
              <w:spacing w:after="0" w:line="240" w:lineRule="auto"/>
              <w:rPr>
                <w:rFonts w:eastAsia="Times New Roman"/>
                <w:sz w:val="18"/>
                <w:szCs w:val="18"/>
                <w:lang w:eastAsia="en-AU"/>
              </w:rPr>
            </w:pPr>
            <w:r w:rsidRPr="00600E0B">
              <w:rPr>
                <w:rFonts w:eastAsia="Times New Roman"/>
                <w:sz w:val="18"/>
                <w:szCs w:val="18"/>
                <w:lang w:eastAsia="en-AU"/>
              </w:rPr>
              <w:t>See indicator 3.1</w:t>
            </w:r>
          </w:p>
        </w:tc>
      </w:tr>
      <w:tr w:rsidR="000B54BD" w:rsidRPr="00457E15" w14:paraId="5E095E10" w14:textId="77777777" w:rsidTr="00E97A3B">
        <w:trPr>
          <w:gridAfter w:val="1"/>
          <w:wAfter w:w="2" w:type="pct"/>
          <w:trHeight w:val="266"/>
        </w:trPr>
        <w:tc>
          <w:tcPr>
            <w:tcW w:w="4998" w:type="pct"/>
            <w:gridSpan w:val="10"/>
            <w:tcBorders>
              <w:top w:val="single" w:sz="4" w:space="0" w:color="auto"/>
              <w:left w:val="single" w:sz="4" w:space="0" w:color="auto"/>
              <w:bottom w:val="single" w:sz="4" w:space="0" w:color="auto"/>
              <w:right w:val="single" w:sz="4" w:space="0" w:color="auto"/>
            </w:tcBorders>
            <w:shd w:val="clear" w:color="auto" w:fill="FFFFFF" w:themeFill="background1"/>
            <w:noWrap/>
          </w:tcPr>
          <w:p w14:paraId="43ACFA41"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Increase in the number of babies exclusively breastfed until 6 months</w:t>
            </w:r>
          </w:p>
        </w:tc>
      </w:tr>
      <w:tr w:rsidR="000B54BD" w:rsidRPr="00457E15" w14:paraId="58D31B44" w14:textId="77777777" w:rsidTr="00E97A3B">
        <w:trPr>
          <w:gridAfter w:val="2"/>
          <w:wAfter w:w="7" w:type="pct"/>
          <w:trHeight w:val="266"/>
        </w:trPr>
        <w:tc>
          <w:tcPr>
            <w:tcW w:w="338" w:type="pct"/>
            <w:tcBorders>
              <w:top w:val="single" w:sz="4" w:space="0" w:color="auto"/>
              <w:left w:val="single" w:sz="4" w:space="0" w:color="auto"/>
              <w:bottom w:val="single" w:sz="4" w:space="0" w:color="auto"/>
              <w:right w:val="nil"/>
            </w:tcBorders>
            <w:shd w:val="clear" w:color="auto" w:fill="auto"/>
            <w:noWrap/>
            <w:hideMark/>
          </w:tcPr>
          <w:p w14:paraId="286A6C79"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34</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D01D93"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OUTCOME</w:t>
            </w:r>
            <w:r w:rsidRPr="00E204A7">
              <w:rPr>
                <w:rFonts w:eastAsia="Times New Roman" w:cs="Arial"/>
                <w:sz w:val="18"/>
                <w:szCs w:val="18"/>
                <w:lang w:eastAsia="en-AU"/>
              </w:rPr>
              <w:t xml:space="preserve">: % babies exclusively breastfed </w:t>
            </w:r>
            <w:r w:rsidRPr="00E204A7">
              <w:rPr>
                <w:rFonts w:eastAsia="Times New Roman" w:cs="Arial"/>
                <w:sz w:val="18"/>
                <w:szCs w:val="18"/>
                <w:shd w:val="clear" w:color="auto" w:fill="FFFFFF" w:themeFill="background1"/>
                <w:lang w:eastAsia="en-AU"/>
              </w:rPr>
              <w:t>under 6 months of age</w:t>
            </w:r>
          </w:p>
        </w:tc>
        <w:tc>
          <w:tcPr>
            <w:tcW w:w="850" w:type="pct"/>
            <w:tcBorders>
              <w:top w:val="nil"/>
              <w:left w:val="nil"/>
              <w:bottom w:val="single" w:sz="4" w:space="0" w:color="auto"/>
              <w:right w:val="single" w:sz="4" w:space="0" w:color="auto"/>
            </w:tcBorders>
            <w:shd w:val="clear" w:color="auto" w:fill="FFFFFF" w:themeFill="background1"/>
            <w:hideMark/>
          </w:tcPr>
          <w:p w14:paraId="6C0B4C0B"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Numerator: Number of babies aged 6-12 months of age who were exclusively breastfed until 6 months of age</w:t>
            </w:r>
          </w:p>
          <w:p w14:paraId="08713251" w14:textId="77777777" w:rsidR="000B54BD" w:rsidRDefault="000B54BD" w:rsidP="00E97A3B">
            <w:pPr>
              <w:spacing w:after="0" w:line="240" w:lineRule="auto"/>
              <w:rPr>
                <w:rFonts w:eastAsia="Times New Roman" w:cs="Arial"/>
                <w:sz w:val="18"/>
                <w:szCs w:val="18"/>
                <w:lang w:eastAsia="en-AU"/>
              </w:rPr>
            </w:pPr>
          </w:p>
          <w:p w14:paraId="79A40BB0"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Denominator: Total number of babies aged 6-12 months</w:t>
            </w:r>
          </w:p>
        </w:tc>
        <w:tc>
          <w:tcPr>
            <w:tcW w:w="450" w:type="pct"/>
            <w:tcBorders>
              <w:top w:val="nil"/>
              <w:left w:val="nil"/>
              <w:bottom w:val="single" w:sz="4" w:space="0" w:color="auto"/>
              <w:right w:val="single" w:sz="4" w:space="0" w:color="auto"/>
            </w:tcBorders>
            <w:shd w:val="clear" w:color="auto" w:fill="auto"/>
          </w:tcPr>
          <w:p w14:paraId="25615CF8"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Increase</w:t>
            </w:r>
          </w:p>
        </w:tc>
        <w:tc>
          <w:tcPr>
            <w:tcW w:w="550" w:type="pct"/>
            <w:tcBorders>
              <w:top w:val="nil"/>
              <w:left w:val="single" w:sz="4" w:space="0" w:color="auto"/>
              <w:bottom w:val="single" w:sz="4" w:space="0" w:color="auto"/>
              <w:right w:val="single" w:sz="4" w:space="0" w:color="auto"/>
            </w:tcBorders>
            <w:shd w:val="clear" w:color="auto" w:fill="auto"/>
          </w:tcPr>
          <w:p w14:paraId="23385DA7" w14:textId="77777777" w:rsidR="000B54BD" w:rsidRDefault="000B54BD" w:rsidP="00E97A3B">
            <w:pPr>
              <w:spacing w:after="0" w:line="240" w:lineRule="auto"/>
              <w:rPr>
                <w:rFonts w:eastAsia="Times New Roman" w:cs="Arial"/>
                <w:sz w:val="18"/>
                <w:szCs w:val="18"/>
                <w:lang w:eastAsia="en-AU"/>
              </w:rPr>
            </w:pPr>
            <w:r w:rsidRPr="00FE0868">
              <w:rPr>
                <w:rFonts w:eastAsia="Times New Roman" w:cs="Arial"/>
                <w:sz w:val="18"/>
                <w:szCs w:val="18"/>
                <w:lang w:eastAsia="en-AU"/>
              </w:rPr>
              <w:t xml:space="preserve">RH nurses data </w:t>
            </w:r>
          </w:p>
          <w:p w14:paraId="446D950D" w14:textId="77777777" w:rsidR="000B54BD" w:rsidRDefault="000B54BD" w:rsidP="00E97A3B">
            <w:pPr>
              <w:spacing w:after="0" w:line="240" w:lineRule="auto"/>
              <w:rPr>
                <w:rFonts w:eastAsia="Times New Roman" w:cs="Arial"/>
                <w:sz w:val="18"/>
                <w:szCs w:val="18"/>
                <w:lang w:eastAsia="en-AU"/>
              </w:rPr>
            </w:pPr>
          </w:p>
          <w:p w14:paraId="3AFBF534" w14:textId="77777777" w:rsidR="000B54BD" w:rsidRDefault="000B54BD" w:rsidP="00E97A3B">
            <w:pPr>
              <w:spacing w:after="0" w:line="240" w:lineRule="auto"/>
              <w:rPr>
                <w:rFonts w:eastAsia="Times New Roman" w:cs="Arial"/>
                <w:sz w:val="18"/>
                <w:szCs w:val="18"/>
                <w:lang w:eastAsia="en-AU"/>
              </w:rPr>
            </w:pPr>
          </w:p>
          <w:p w14:paraId="6EFAB1CA" w14:textId="77777777" w:rsidR="000B54BD" w:rsidRPr="00FE0868"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Note: taken from MoH annual reports</w:t>
            </w:r>
          </w:p>
        </w:tc>
        <w:tc>
          <w:tcPr>
            <w:tcW w:w="550" w:type="pct"/>
            <w:tcBorders>
              <w:top w:val="nil"/>
              <w:left w:val="nil"/>
              <w:bottom w:val="single" w:sz="4" w:space="0" w:color="auto"/>
              <w:right w:val="single" w:sz="4" w:space="0" w:color="auto"/>
            </w:tcBorders>
            <w:shd w:val="clear" w:color="auto" w:fill="auto"/>
          </w:tcPr>
          <w:p w14:paraId="228393C9" w14:textId="77777777" w:rsidR="000B54BD" w:rsidRPr="00457E15" w:rsidRDefault="000B54BD" w:rsidP="00E97A3B">
            <w:pPr>
              <w:spacing w:after="0" w:line="240" w:lineRule="auto"/>
              <w:rPr>
                <w:rFonts w:eastAsia="Times New Roman"/>
                <w:sz w:val="18"/>
                <w:szCs w:val="18"/>
                <w:lang w:eastAsia="en-AU"/>
              </w:rPr>
            </w:pPr>
            <w:r w:rsidRPr="00457E15">
              <w:rPr>
                <w:rFonts w:eastAsia="Times New Roman"/>
                <w:sz w:val="18"/>
                <w:szCs w:val="18"/>
                <w:lang w:eastAsia="en-AU"/>
              </w:rPr>
              <w:t>Tongatapu: 58%, ‘Eua: 74%, Vava'u 56%, Niuas 57%</w:t>
            </w:r>
            <w:r>
              <w:rPr>
                <w:rFonts w:eastAsia="Times New Roman"/>
                <w:sz w:val="18"/>
                <w:szCs w:val="18"/>
                <w:lang w:eastAsia="en-AU"/>
              </w:rPr>
              <w:t xml:space="preserve"> (2014)</w:t>
            </w:r>
          </w:p>
        </w:tc>
        <w:tc>
          <w:tcPr>
            <w:tcW w:w="501" w:type="pct"/>
            <w:tcBorders>
              <w:top w:val="nil"/>
              <w:left w:val="nil"/>
              <w:bottom w:val="single" w:sz="4" w:space="0" w:color="auto"/>
              <w:right w:val="single" w:sz="4" w:space="0" w:color="auto"/>
            </w:tcBorders>
            <w:shd w:val="clear" w:color="auto" w:fill="auto"/>
          </w:tcPr>
          <w:p w14:paraId="2CC9542C"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2015: not included in annual report</w:t>
            </w:r>
          </w:p>
        </w:tc>
        <w:tc>
          <w:tcPr>
            <w:tcW w:w="549" w:type="pct"/>
            <w:tcBorders>
              <w:top w:val="nil"/>
              <w:left w:val="nil"/>
              <w:bottom w:val="single" w:sz="4" w:space="0" w:color="auto"/>
              <w:right w:val="single" w:sz="4" w:space="0" w:color="auto"/>
            </w:tcBorders>
            <w:shd w:val="clear" w:color="auto" w:fill="auto"/>
          </w:tcPr>
          <w:p w14:paraId="42AEE0C5"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2016: 65.4%</w:t>
            </w:r>
          </w:p>
        </w:tc>
        <w:tc>
          <w:tcPr>
            <w:tcW w:w="655" w:type="pct"/>
            <w:tcBorders>
              <w:top w:val="nil"/>
              <w:left w:val="nil"/>
              <w:bottom w:val="single" w:sz="4" w:space="0" w:color="auto"/>
              <w:right w:val="single" w:sz="4" w:space="0" w:color="auto"/>
            </w:tcBorders>
            <w:shd w:val="clear" w:color="auto" w:fill="auto"/>
          </w:tcPr>
          <w:p w14:paraId="49F1B5AA" w14:textId="77777777" w:rsidR="000B54BD" w:rsidRPr="00457E15" w:rsidRDefault="000B54BD" w:rsidP="00E97A3B">
            <w:pPr>
              <w:spacing w:after="0" w:line="240" w:lineRule="auto"/>
              <w:rPr>
                <w:rFonts w:eastAsia="Times New Roman"/>
                <w:sz w:val="18"/>
                <w:szCs w:val="18"/>
                <w:lang w:eastAsia="en-AU"/>
              </w:rPr>
            </w:pPr>
          </w:p>
        </w:tc>
      </w:tr>
      <w:tr w:rsidR="000B54BD" w:rsidRPr="00457E15" w14:paraId="1B667E46" w14:textId="77777777" w:rsidTr="00E97A3B">
        <w:trPr>
          <w:gridAfter w:val="1"/>
          <w:wAfter w:w="2" w:type="pct"/>
          <w:trHeight w:val="292"/>
        </w:trPr>
        <w:tc>
          <w:tcPr>
            <w:tcW w:w="4998" w:type="pct"/>
            <w:gridSpan w:val="10"/>
            <w:tcBorders>
              <w:top w:val="single" w:sz="4" w:space="0" w:color="auto"/>
              <w:left w:val="single" w:sz="4" w:space="0" w:color="auto"/>
              <w:bottom w:val="single" w:sz="4" w:space="0" w:color="auto"/>
              <w:right w:val="single" w:sz="4" w:space="0" w:color="auto"/>
            </w:tcBorders>
            <w:shd w:val="clear" w:color="auto" w:fill="FFFFFF" w:themeFill="background1"/>
            <w:noWrap/>
          </w:tcPr>
          <w:p w14:paraId="35C9D7BF"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cs="Arial"/>
                <w:b/>
                <w:sz w:val="18"/>
                <w:szCs w:val="18"/>
                <w:lang w:eastAsia="en-AU"/>
              </w:rPr>
              <w:t>Improve awareness and attitudes about breastfeeding along with complementary feeding until age 2</w:t>
            </w:r>
          </w:p>
        </w:tc>
      </w:tr>
      <w:tr w:rsidR="000B54BD" w:rsidRPr="00457E15" w14:paraId="5413CC89" w14:textId="77777777" w:rsidTr="00E97A3B">
        <w:trPr>
          <w:gridAfter w:val="2"/>
          <w:wAfter w:w="7" w:type="pct"/>
          <w:trHeight w:val="655"/>
        </w:trPr>
        <w:tc>
          <w:tcPr>
            <w:tcW w:w="338" w:type="pct"/>
            <w:tcBorders>
              <w:top w:val="single" w:sz="4" w:space="0" w:color="auto"/>
              <w:left w:val="single" w:sz="4" w:space="0" w:color="auto"/>
              <w:bottom w:val="single" w:sz="4" w:space="0" w:color="auto"/>
              <w:right w:val="nil"/>
            </w:tcBorders>
            <w:shd w:val="clear" w:color="auto" w:fill="FFFFFF" w:themeFill="background1"/>
            <w:noWrap/>
            <w:hideMark/>
          </w:tcPr>
          <w:p w14:paraId="46070CA2"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35</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C8E74"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INTERMEDIATE OUTCOME:</w:t>
            </w:r>
            <w:r w:rsidRPr="00457E15">
              <w:rPr>
                <w:rFonts w:eastAsia="Times New Roman" w:cs="Arial"/>
                <w:sz w:val="18"/>
                <w:szCs w:val="18"/>
                <w:lang w:eastAsia="en-AU"/>
              </w:rPr>
              <w:t xml:space="preserve"> </w:t>
            </w:r>
            <w:r w:rsidRPr="000A4520">
              <w:rPr>
                <w:rFonts w:eastAsia="Times New Roman" w:cs="Arial"/>
                <w:sz w:val="18"/>
                <w:szCs w:val="18"/>
                <w:lang w:eastAsia="en-AU"/>
              </w:rPr>
              <w:t>Knowledge of targ</w:t>
            </w:r>
            <w:r>
              <w:rPr>
                <w:rFonts w:eastAsia="Times New Roman" w:cs="Arial"/>
                <w:sz w:val="18"/>
                <w:szCs w:val="18"/>
                <w:lang w:eastAsia="en-AU"/>
              </w:rPr>
              <w:t xml:space="preserve">et population towards the </w:t>
            </w:r>
            <w:r w:rsidR="00760392">
              <w:rPr>
                <w:rFonts w:eastAsia="Times New Roman" w:cs="Arial"/>
                <w:sz w:val="18"/>
                <w:szCs w:val="18"/>
                <w:lang w:eastAsia="en-AU"/>
              </w:rPr>
              <w:t>‘</w:t>
            </w:r>
            <w:r>
              <w:rPr>
                <w:rFonts w:eastAsia="Times New Roman" w:cs="Arial"/>
                <w:sz w:val="18"/>
                <w:szCs w:val="18"/>
                <w:lang w:eastAsia="en-AU"/>
              </w:rPr>
              <w:t>First 1000 days</w:t>
            </w:r>
            <w:r w:rsidR="00760392">
              <w:rPr>
                <w:rFonts w:eastAsia="Times New Roman" w:cs="Arial"/>
                <w:sz w:val="18"/>
                <w:szCs w:val="18"/>
                <w:lang w:eastAsia="en-AU"/>
              </w:rPr>
              <w:t>’</w:t>
            </w:r>
            <w:r>
              <w:rPr>
                <w:rFonts w:eastAsia="Times New Roman" w:cs="Arial"/>
                <w:sz w:val="18"/>
                <w:szCs w:val="18"/>
                <w:lang w:eastAsia="en-AU"/>
              </w:rPr>
              <w:t xml:space="preserve"> key messages, %</w:t>
            </w:r>
          </w:p>
        </w:tc>
        <w:tc>
          <w:tcPr>
            <w:tcW w:w="850" w:type="pct"/>
            <w:tcBorders>
              <w:top w:val="nil"/>
              <w:left w:val="nil"/>
              <w:bottom w:val="single" w:sz="4" w:space="0" w:color="auto"/>
              <w:right w:val="single" w:sz="4" w:space="0" w:color="auto"/>
            </w:tcBorders>
            <w:shd w:val="clear" w:color="auto" w:fill="FFFFFF" w:themeFill="background1"/>
          </w:tcPr>
          <w:p w14:paraId="2071A553" w14:textId="77777777" w:rsidR="000B54BD" w:rsidRPr="00A61701" w:rsidRDefault="000B54BD" w:rsidP="00E97A3B">
            <w:pPr>
              <w:spacing w:after="0" w:line="240" w:lineRule="auto"/>
              <w:rPr>
                <w:rFonts w:eastAsia="Times New Roman" w:cs="Arial"/>
                <w:sz w:val="18"/>
                <w:szCs w:val="18"/>
                <w:lang w:eastAsia="en-AU"/>
              </w:rPr>
            </w:pPr>
            <w:r w:rsidRPr="00A61701">
              <w:rPr>
                <w:rFonts w:eastAsia="Times New Roman" w:cs="Arial"/>
                <w:sz w:val="18"/>
                <w:szCs w:val="18"/>
                <w:lang w:eastAsia="en-AU"/>
              </w:rPr>
              <w:t xml:space="preserve">Target population refers to </w:t>
            </w:r>
            <w:r>
              <w:rPr>
                <w:rFonts w:eastAsia="Times New Roman" w:cs="Arial"/>
                <w:sz w:val="18"/>
                <w:szCs w:val="18"/>
                <w:lang w:eastAsia="en-AU"/>
              </w:rPr>
              <w:t xml:space="preserve">mothers </w:t>
            </w:r>
            <w:r w:rsidRPr="00A61701">
              <w:rPr>
                <w:rFonts w:eastAsia="Times New Roman" w:cs="Arial"/>
                <w:sz w:val="18"/>
                <w:szCs w:val="18"/>
                <w:lang w:eastAsia="en-AU"/>
              </w:rPr>
              <w:t xml:space="preserve">who benefited from </w:t>
            </w:r>
            <w:r>
              <w:rPr>
                <w:rFonts w:eastAsia="Times New Roman" w:cs="Arial"/>
                <w:sz w:val="18"/>
                <w:szCs w:val="18"/>
                <w:lang w:eastAsia="en-AU"/>
              </w:rPr>
              <w:t xml:space="preserve">the </w:t>
            </w:r>
            <w:r w:rsidR="00760392">
              <w:rPr>
                <w:rFonts w:eastAsia="Times New Roman" w:cs="Arial"/>
                <w:sz w:val="18"/>
                <w:szCs w:val="18"/>
                <w:lang w:eastAsia="en-AU"/>
              </w:rPr>
              <w:t>‘</w:t>
            </w:r>
            <w:r>
              <w:rPr>
                <w:rFonts w:eastAsia="Times New Roman" w:cs="Arial"/>
                <w:sz w:val="18"/>
                <w:szCs w:val="18"/>
                <w:lang w:eastAsia="en-AU"/>
              </w:rPr>
              <w:t>First 1000 days</w:t>
            </w:r>
            <w:r w:rsidR="00760392">
              <w:rPr>
                <w:rFonts w:eastAsia="Times New Roman" w:cs="Arial"/>
                <w:sz w:val="18"/>
                <w:szCs w:val="18"/>
                <w:lang w:eastAsia="en-AU"/>
              </w:rPr>
              <w:t>’</w:t>
            </w:r>
            <w:r>
              <w:rPr>
                <w:rFonts w:eastAsia="Times New Roman" w:cs="Arial"/>
                <w:sz w:val="18"/>
                <w:szCs w:val="18"/>
                <w:lang w:eastAsia="en-AU"/>
              </w:rPr>
              <w:t xml:space="preserve"> intervention</w:t>
            </w:r>
            <w:r w:rsidRPr="00A61701">
              <w:rPr>
                <w:rFonts w:eastAsia="Times New Roman" w:cs="Arial"/>
                <w:sz w:val="18"/>
                <w:szCs w:val="18"/>
                <w:lang w:eastAsia="en-AU"/>
              </w:rPr>
              <w:t xml:space="preserve">.    </w:t>
            </w:r>
          </w:p>
          <w:p w14:paraId="42E028EF" w14:textId="77777777" w:rsidR="000B54BD" w:rsidRDefault="000B54BD" w:rsidP="00E97A3B">
            <w:pPr>
              <w:spacing w:after="0" w:line="240" w:lineRule="auto"/>
              <w:rPr>
                <w:rFonts w:eastAsia="Times New Roman" w:cs="Arial"/>
                <w:sz w:val="18"/>
                <w:szCs w:val="18"/>
                <w:lang w:eastAsia="en-AU"/>
              </w:rPr>
            </w:pPr>
          </w:p>
          <w:p w14:paraId="2C8F331D" w14:textId="77777777" w:rsidR="000B54BD" w:rsidRPr="00A61701" w:rsidRDefault="000B54BD" w:rsidP="00E97A3B">
            <w:pPr>
              <w:spacing w:after="0" w:line="240" w:lineRule="auto"/>
              <w:rPr>
                <w:rFonts w:eastAsia="Times New Roman" w:cs="Arial"/>
                <w:sz w:val="18"/>
                <w:szCs w:val="18"/>
                <w:lang w:eastAsia="en-AU"/>
              </w:rPr>
            </w:pPr>
            <w:r w:rsidRPr="00A61701">
              <w:rPr>
                <w:rFonts w:eastAsia="Times New Roman" w:cs="Arial"/>
                <w:sz w:val="18"/>
                <w:szCs w:val="18"/>
                <w:lang w:eastAsia="en-AU"/>
              </w:rPr>
              <w:t>Numerator: Nu</w:t>
            </w:r>
            <w:r>
              <w:rPr>
                <w:rFonts w:eastAsia="Times New Roman" w:cs="Arial"/>
                <w:sz w:val="18"/>
                <w:szCs w:val="18"/>
                <w:lang w:eastAsia="en-AU"/>
              </w:rPr>
              <w:t xml:space="preserve">mber of pregnant women and mothers of infants less than 24 months of age </w:t>
            </w:r>
            <w:r w:rsidRPr="00A61701">
              <w:rPr>
                <w:rFonts w:eastAsia="Times New Roman" w:cs="Arial"/>
                <w:sz w:val="18"/>
                <w:szCs w:val="18"/>
                <w:lang w:eastAsia="en-AU"/>
              </w:rPr>
              <w:t xml:space="preserve">who knew (or are aware) of </w:t>
            </w:r>
            <w:r w:rsidRPr="00543CBF">
              <w:rPr>
                <w:rFonts w:eastAsia="Times New Roman" w:cs="Arial"/>
                <w:sz w:val="18"/>
                <w:szCs w:val="18"/>
                <w:lang w:eastAsia="en-AU"/>
              </w:rPr>
              <w:t xml:space="preserve">the </w:t>
            </w:r>
            <w:r w:rsidR="00760392">
              <w:rPr>
                <w:rFonts w:eastAsia="Times New Roman" w:cs="Arial"/>
                <w:sz w:val="18"/>
                <w:szCs w:val="18"/>
                <w:lang w:eastAsia="en-AU"/>
              </w:rPr>
              <w:t>‘</w:t>
            </w:r>
            <w:r w:rsidRPr="00543CBF">
              <w:rPr>
                <w:rFonts w:eastAsia="Times New Roman" w:cs="Arial"/>
                <w:sz w:val="18"/>
                <w:szCs w:val="18"/>
                <w:lang w:eastAsia="en-AU"/>
              </w:rPr>
              <w:t>First 1000 days</w:t>
            </w:r>
            <w:r w:rsidR="00760392">
              <w:rPr>
                <w:rFonts w:eastAsia="Times New Roman" w:cs="Arial"/>
                <w:sz w:val="18"/>
                <w:szCs w:val="18"/>
                <w:lang w:eastAsia="en-AU"/>
              </w:rPr>
              <w:t>’</w:t>
            </w:r>
            <w:r w:rsidRPr="00543CBF">
              <w:rPr>
                <w:rFonts w:eastAsia="Times New Roman" w:cs="Arial"/>
                <w:sz w:val="18"/>
                <w:szCs w:val="18"/>
                <w:lang w:eastAsia="en-AU"/>
              </w:rPr>
              <w:t xml:space="preserve"> key messages</w:t>
            </w:r>
            <w:r w:rsidRPr="00A61701">
              <w:rPr>
                <w:rFonts w:eastAsia="Times New Roman" w:cs="Arial"/>
                <w:sz w:val="18"/>
                <w:szCs w:val="18"/>
                <w:lang w:eastAsia="en-AU"/>
              </w:rPr>
              <w:t xml:space="preserve">. </w:t>
            </w:r>
          </w:p>
          <w:p w14:paraId="0CA8B4A8" w14:textId="77777777" w:rsidR="000B54BD" w:rsidRPr="00A61701" w:rsidRDefault="000B54BD" w:rsidP="00E97A3B">
            <w:pPr>
              <w:spacing w:after="0" w:line="240" w:lineRule="auto"/>
              <w:rPr>
                <w:rFonts w:eastAsia="Times New Roman" w:cs="Arial"/>
                <w:sz w:val="18"/>
                <w:szCs w:val="18"/>
                <w:lang w:eastAsia="en-AU"/>
              </w:rPr>
            </w:pPr>
          </w:p>
          <w:p w14:paraId="3F2751B2" w14:textId="77777777" w:rsidR="000B54BD" w:rsidRPr="00457E15" w:rsidRDefault="000B54BD" w:rsidP="00E97A3B">
            <w:pPr>
              <w:spacing w:after="0" w:line="240" w:lineRule="auto"/>
              <w:rPr>
                <w:rFonts w:eastAsia="Times New Roman" w:cs="Arial"/>
                <w:sz w:val="18"/>
                <w:szCs w:val="18"/>
                <w:lang w:eastAsia="en-AU"/>
              </w:rPr>
            </w:pPr>
            <w:r w:rsidRPr="00A61701">
              <w:rPr>
                <w:rFonts w:eastAsia="Times New Roman" w:cs="Arial"/>
                <w:sz w:val="18"/>
                <w:szCs w:val="18"/>
                <w:lang w:eastAsia="en-AU"/>
              </w:rPr>
              <w:t xml:space="preserve">Denominator: Total number of </w:t>
            </w:r>
            <w:r w:rsidRPr="00AB381E">
              <w:rPr>
                <w:rFonts w:eastAsia="Times New Roman" w:cs="Arial"/>
                <w:sz w:val="18"/>
                <w:szCs w:val="18"/>
                <w:lang w:eastAsia="en-AU"/>
              </w:rPr>
              <w:t xml:space="preserve">pregnant women and mothers of infants less than 24 months of age </w:t>
            </w:r>
            <w:r w:rsidRPr="00A61701">
              <w:rPr>
                <w:rFonts w:eastAsia="Times New Roman" w:cs="Arial"/>
                <w:sz w:val="18"/>
                <w:szCs w:val="18"/>
                <w:lang w:eastAsia="en-AU"/>
              </w:rPr>
              <w:t xml:space="preserve">who benefited from </w:t>
            </w:r>
            <w:r w:rsidRPr="00543CBF">
              <w:rPr>
                <w:rFonts w:eastAsia="Times New Roman" w:cs="Arial"/>
                <w:sz w:val="18"/>
                <w:szCs w:val="18"/>
                <w:lang w:eastAsia="en-AU"/>
              </w:rPr>
              <w:t xml:space="preserve">the </w:t>
            </w:r>
            <w:r w:rsidR="00760392">
              <w:rPr>
                <w:rFonts w:eastAsia="Times New Roman" w:cs="Arial"/>
                <w:sz w:val="18"/>
                <w:szCs w:val="18"/>
                <w:lang w:eastAsia="en-AU"/>
              </w:rPr>
              <w:t>‘</w:t>
            </w:r>
            <w:r w:rsidRPr="00543CBF">
              <w:rPr>
                <w:rFonts w:eastAsia="Times New Roman" w:cs="Arial"/>
                <w:sz w:val="18"/>
                <w:szCs w:val="18"/>
                <w:lang w:eastAsia="en-AU"/>
              </w:rPr>
              <w:t>First 1000 days</w:t>
            </w:r>
            <w:r w:rsidR="00760392">
              <w:rPr>
                <w:rFonts w:eastAsia="Times New Roman" w:cs="Arial"/>
                <w:sz w:val="18"/>
                <w:szCs w:val="18"/>
                <w:lang w:eastAsia="en-AU"/>
              </w:rPr>
              <w:t>’</w:t>
            </w:r>
            <w:r w:rsidRPr="00543CBF">
              <w:rPr>
                <w:rFonts w:eastAsia="Times New Roman" w:cs="Arial"/>
                <w:sz w:val="18"/>
                <w:szCs w:val="18"/>
                <w:lang w:eastAsia="en-AU"/>
              </w:rPr>
              <w:t xml:space="preserve"> key messages</w:t>
            </w:r>
            <w:r>
              <w:rPr>
                <w:rFonts w:eastAsia="Times New Roman" w:cs="Arial"/>
                <w:sz w:val="18"/>
                <w:szCs w:val="18"/>
                <w:lang w:eastAsia="en-AU"/>
              </w:rPr>
              <w:t xml:space="preserve"> x 100</w:t>
            </w:r>
          </w:p>
        </w:tc>
        <w:tc>
          <w:tcPr>
            <w:tcW w:w="450" w:type="pct"/>
            <w:tcBorders>
              <w:top w:val="nil"/>
              <w:left w:val="nil"/>
              <w:bottom w:val="single" w:sz="4" w:space="0" w:color="auto"/>
              <w:right w:val="single" w:sz="4" w:space="0" w:color="auto"/>
            </w:tcBorders>
            <w:shd w:val="clear" w:color="auto" w:fill="auto"/>
          </w:tcPr>
          <w:p w14:paraId="6275EA23"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Increase</w:t>
            </w:r>
          </w:p>
        </w:tc>
        <w:tc>
          <w:tcPr>
            <w:tcW w:w="550" w:type="pct"/>
            <w:tcBorders>
              <w:top w:val="nil"/>
              <w:left w:val="single" w:sz="4" w:space="0" w:color="auto"/>
              <w:bottom w:val="single" w:sz="4" w:space="0" w:color="auto"/>
              <w:right w:val="single" w:sz="4" w:space="0" w:color="auto"/>
            </w:tcBorders>
            <w:shd w:val="clear" w:color="auto" w:fill="auto"/>
          </w:tcPr>
          <w:p w14:paraId="60A41DB3"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TongaHealth - </w:t>
            </w:r>
            <w:r w:rsidRPr="00457E15">
              <w:rPr>
                <w:rFonts w:eastAsia="Times New Roman" w:cs="Arial"/>
                <w:sz w:val="18"/>
                <w:szCs w:val="18"/>
                <w:lang w:eastAsia="en-AU"/>
              </w:rPr>
              <w:t>Program pre/post survey</w:t>
            </w:r>
          </w:p>
        </w:tc>
        <w:tc>
          <w:tcPr>
            <w:tcW w:w="550" w:type="pct"/>
            <w:tcBorders>
              <w:top w:val="nil"/>
              <w:left w:val="nil"/>
              <w:bottom w:val="single" w:sz="4" w:space="0" w:color="auto"/>
              <w:right w:val="single" w:sz="4" w:space="0" w:color="auto"/>
            </w:tcBorders>
            <w:shd w:val="clear" w:color="auto" w:fill="FFFFFF" w:themeFill="background1"/>
          </w:tcPr>
          <w:p w14:paraId="131445D4"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Project underway</w:t>
            </w:r>
          </w:p>
        </w:tc>
        <w:tc>
          <w:tcPr>
            <w:tcW w:w="501" w:type="pct"/>
            <w:tcBorders>
              <w:top w:val="nil"/>
              <w:left w:val="nil"/>
              <w:bottom w:val="single" w:sz="4" w:space="0" w:color="auto"/>
              <w:right w:val="single" w:sz="4" w:space="0" w:color="auto"/>
            </w:tcBorders>
            <w:shd w:val="clear" w:color="auto" w:fill="auto"/>
          </w:tcPr>
          <w:p w14:paraId="0BC79BC7"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03AFD8E5" w14:textId="77777777" w:rsidR="000B54BD" w:rsidRPr="00457E15" w:rsidRDefault="000B54BD" w:rsidP="00E97A3B">
            <w:pPr>
              <w:spacing w:after="0" w:line="240" w:lineRule="auto"/>
              <w:rPr>
                <w:rFonts w:eastAsia="Times New Roman"/>
                <w:sz w:val="18"/>
                <w:szCs w:val="18"/>
                <w:lang w:eastAsia="en-AU"/>
              </w:rPr>
            </w:pPr>
          </w:p>
        </w:tc>
        <w:tc>
          <w:tcPr>
            <w:tcW w:w="655" w:type="pct"/>
            <w:tcBorders>
              <w:top w:val="nil"/>
              <w:left w:val="nil"/>
              <w:bottom w:val="single" w:sz="4" w:space="0" w:color="auto"/>
              <w:right w:val="single" w:sz="4" w:space="0" w:color="auto"/>
            </w:tcBorders>
            <w:shd w:val="clear" w:color="auto" w:fill="auto"/>
          </w:tcPr>
          <w:p w14:paraId="0C207421" w14:textId="77777777" w:rsidR="000B54BD" w:rsidRPr="00457E15" w:rsidRDefault="000B54BD" w:rsidP="00E97A3B">
            <w:pPr>
              <w:spacing w:after="0" w:line="240" w:lineRule="auto"/>
              <w:rPr>
                <w:rFonts w:eastAsia="Times New Roman"/>
                <w:sz w:val="18"/>
                <w:szCs w:val="18"/>
                <w:lang w:eastAsia="en-AU"/>
              </w:rPr>
            </w:pPr>
          </w:p>
        </w:tc>
      </w:tr>
      <w:tr w:rsidR="000B54BD" w:rsidRPr="00457E15" w14:paraId="412A8BD3" w14:textId="77777777" w:rsidTr="00E97A3B">
        <w:trPr>
          <w:gridAfter w:val="1"/>
          <w:wAfter w:w="2" w:type="pct"/>
          <w:trHeight w:val="330"/>
        </w:trPr>
        <w:tc>
          <w:tcPr>
            <w:tcW w:w="4998"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69A869A" w14:textId="77777777" w:rsidR="000B54BD" w:rsidRPr="00457E15" w:rsidRDefault="000B54BD" w:rsidP="00E97A3B">
            <w:pPr>
              <w:spacing w:after="0" w:line="240" w:lineRule="auto"/>
              <w:rPr>
                <w:rFonts w:eastAsia="Times New Roman" w:cs="Arial"/>
                <w:b/>
                <w:bCs/>
                <w:sz w:val="18"/>
                <w:szCs w:val="18"/>
                <w:lang w:eastAsia="en-AU"/>
              </w:rPr>
            </w:pPr>
            <w:r w:rsidRPr="00457E15">
              <w:rPr>
                <w:rFonts w:eastAsia="Times New Roman" w:cs="Arial"/>
                <w:b/>
                <w:bCs/>
                <w:sz w:val="18"/>
                <w:szCs w:val="18"/>
                <w:lang w:eastAsia="en-AU"/>
              </w:rPr>
              <w:lastRenderedPageBreak/>
              <w:t>Outcome 2: Tongans are leading healthier lifestyles</w:t>
            </w:r>
          </w:p>
        </w:tc>
      </w:tr>
      <w:tr w:rsidR="000B54BD" w:rsidRPr="00457E15" w14:paraId="1E962620" w14:textId="77777777" w:rsidTr="00E97A3B">
        <w:trPr>
          <w:gridAfter w:val="2"/>
          <w:wAfter w:w="7" w:type="pct"/>
          <w:trHeight w:val="215"/>
        </w:trPr>
        <w:tc>
          <w:tcPr>
            <w:tcW w:w="338" w:type="pct"/>
            <w:tcBorders>
              <w:top w:val="single" w:sz="4" w:space="0" w:color="auto"/>
              <w:left w:val="single" w:sz="4" w:space="0" w:color="auto"/>
              <w:bottom w:val="single" w:sz="4" w:space="0" w:color="auto"/>
              <w:right w:val="nil"/>
            </w:tcBorders>
            <w:shd w:val="clear" w:color="auto" w:fill="auto"/>
            <w:noWrap/>
            <w:hideMark/>
          </w:tcPr>
          <w:p w14:paraId="1842FB3E"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36</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5CAD27FA"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OUTCOME:</w:t>
            </w:r>
            <w:r w:rsidRPr="00457E15">
              <w:rPr>
                <w:rFonts w:eastAsia="Times New Roman" w:cs="Arial"/>
                <w:sz w:val="18"/>
                <w:szCs w:val="18"/>
                <w:lang w:eastAsia="en-AU"/>
              </w:rPr>
              <w:t xml:space="preserve"> Prevalence of overweight and obesity in adolescents</w:t>
            </w:r>
            <w:r>
              <w:rPr>
                <w:rFonts w:eastAsia="Times New Roman" w:cs="Arial"/>
                <w:sz w:val="18"/>
                <w:szCs w:val="18"/>
                <w:lang w:eastAsia="en-AU"/>
              </w:rPr>
              <w:t xml:space="preserve"> and adults</w:t>
            </w:r>
          </w:p>
        </w:tc>
        <w:tc>
          <w:tcPr>
            <w:tcW w:w="850" w:type="pct"/>
            <w:tcBorders>
              <w:top w:val="nil"/>
              <w:left w:val="nil"/>
              <w:bottom w:val="single" w:sz="4" w:space="0" w:color="auto"/>
              <w:right w:val="single" w:sz="4" w:space="0" w:color="auto"/>
            </w:tcBorders>
            <w:shd w:val="clear" w:color="auto" w:fill="auto"/>
          </w:tcPr>
          <w:p w14:paraId="79E39355" w14:textId="77777777" w:rsidR="000B54BD" w:rsidRDefault="000B54BD" w:rsidP="00E97A3B">
            <w:pPr>
              <w:spacing w:after="0" w:line="240" w:lineRule="auto"/>
              <w:rPr>
                <w:rFonts w:eastAsia="Times New Roman" w:cs="Arial"/>
                <w:sz w:val="18"/>
                <w:szCs w:val="18"/>
                <w:lang w:eastAsia="en-AU"/>
              </w:rPr>
            </w:pPr>
            <w:r w:rsidRPr="00CC2CE3">
              <w:rPr>
                <w:rFonts w:eastAsia="Times New Roman" w:cs="Arial"/>
                <w:sz w:val="18"/>
                <w:szCs w:val="18"/>
                <w:lang w:eastAsia="en-AU"/>
              </w:rPr>
              <w:t xml:space="preserve">Adolescents refers to population aged 13-17 years. </w:t>
            </w:r>
            <w:r>
              <w:rPr>
                <w:rFonts w:eastAsia="Times New Roman" w:cs="Arial"/>
                <w:sz w:val="18"/>
                <w:szCs w:val="18"/>
                <w:lang w:eastAsia="en-AU"/>
              </w:rPr>
              <w:t xml:space="preserve">Adults a persons aged 18 years and older. </w:t>
            </w:r>
            <w:r w:rsidRPr="00CC2CE3">
              <w:rPr>
                <w:rFonts w:eastAsia="Times New Roman" w:cs="Arial"/>
                <w:sz w:val="18"/>
                <w:szCs w:val="18"/>
                <w:lang w:eastAsia="en-AU"/>
              </w:rPr>
              <w:t>A person is overweight if their BMI is ≥ 25 Kg/m2 or obese their BMI is ≥ 30 Kg/m2</w:t>
            </w:r>
          </w:p>
          <w:p w14:paraId="2A982B33" w14:textId="77777777" w:rsidR="000B54BD" w:rsidRDefault="000B54BD" w:rsidP="00E97A3B">
            <w:pPr>
              <w:spacing w:after="0" w:line="240" w:lineRule="auto"/>
              <w:rPr>
                <w:rFonts w:eastAsia="Times New Roman" w:cs="Arial"/>
                <w:sz w:val="18"/>
                <w:szCs w:val="18"/>
                <w:lang w:eastAsia="en-AU"/>
              </w:rPr>
            </w:pPr>
          </w:p>
          <w:p w14:paraId="2ABE1F2B"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Numerator: </w:t>
            </w:r>
            <w:r w:rsidRPr="00CC2CE3">
              <w:rPr>
                <w:rFonts w:eastAsia="Times New Roman" w:cs="Arial"/>
                <w:sz w:val="18"/>
                <w:szCs w:val="18"/>
                <w:lang w:eastAsia="en-AU"/>
              </w:rPr>
              <w:t xml:space="preserve">Number of </w:t>
            </w:r>
            <w:r>
              <w:rPr>
                <w:rFonts w:eastAsia="Times New Roman" w:cs="Arial"/>
                <w:sz w:val="18"/>
                <w:szCs w:val="18"/>
                <w:lang w:eastAsia="en-AU"/>
              </w:rPr>
              <w:t>people whose</w:t>
            </w:r>
            <w:r w:rsidRPr="00CC2CE3">
              <w:rPr>
                <w:rFonts w:eastAsia="Times New Roman" w:cs="Arial"/>
                <w:sz w:val="18"/>
                <w:szCs w:val="18"/>
                <w:lang w:eastAsia="en-AU"/>
              </w:rPr>
              <w:t xml:space="preserve"> BMI is ≥ 25 Kg/m2 (for prevalence of overweight). Number of </w:t>
            </w:r>
            <w:r>
              <w:rPr>
                <w:rFonts w:eastAsia="Times New Roman" w:cs="Arial"/>
                <w:sz w:val="18"/>
                <w:szCs w:val="18"/>
                <w:lang w:eastAsia="en-AU"/>
              </w:rPr>
              <w:t xml:space="preserve">people </w:t>
            </w:r>
            <w:r w:rsidRPr="00CC2CE3">
              <w:rPr>
                <w:rFonts w:eastAsia="Times New Roman" w:cs="Arial"/>
                <w:sz w:val="18"/>
                <w:szCs w:val="18"/>
                <w:lang w:eastAsia="en-AU"/>
              </w:rPr>
              <w:t xml:space="preserve">whose BMI is ≥ 30 Kg/m2 (for prevalence of </w:t>
            </w:r>
            <w:r>
              <w:rPr>
                <w:rFonts w:eastAsia="Times New Roman" w:cs="Arial"/>
                <w:sz w:val="18"/>
                <w:szCs w:val="18"/>
                <w:lang w:eastAsia="en-AU"/>
              </w:rPr>
              <w:t>obesity</w:t>
            </w:r>
            <w:r w:rsidRPr="00CC2CE3">
              <w:rPr>
                <w:rFonts w:eastAsia="Times New Roman" w:cs="Arial"/>
                <w:sz w:val="18"/>
                <w:szCs w:val="18"/>
                <w:lang w:eastAsia="en-AU"/>
              </w:rPr>
              <w:t>)</w:t>
            </w:r>
          </w:p>
          <w:p w14:paraId="5ABE6DB7" w14:textId="77777777" w:rsidR="000B54BD" w:rsidRDefault="000B54BD" w:rsidP="00E97A3B">
            <w:pPr>
              <w:spacing w:after="0" w:line="240" w:lineRule="auto"/>
              <w:rPr>
                <w:rFonts w:eastAsia="Times New Roman" w:cs="Arial"/>
                <w:sz w:val="18"/>
                <w:szCs w:val="18"/>
                <w:lang w:eastAsia="en-AU"/>
              </w:rPr>
            </w:pPr>
          </w:p>
          <w:p w14:paraId="5683EF0E"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Denominator: </w:t>
            </w:r>
            <w:r w:rsidRPr="00CC2CE3">
              <w:rPr>
                <w:rFonts w:eastAsia="Times New Roman" w:cs="Arial"/>
                <w:sz w:val="18"/>
                <w:szCs w:val="18"/>
                <w:lang w:eastAsia="en-AU"/>
              </w:rPr>
              <w:t xml:space="preserve">Total number of </w:t>
            </w:r>
            <w:r>
              <w:rPr>
                <w:rFonts w:eastAsia="Times New Roman" w:cs="Arial"/>
                <w:sz w:val="18"/>
                <w:szCs w:val="18"/>
                <w:lang w:eastAsia="en-AU"/>
              </w:rPr>
              <w:t xml:space="preserve">people (for the defined age group) </w:t>
            </w:r>
          </w:p>
        </w:tc>
        <w:tc>
          <w:tcPr>
            <w:tcW w:w="450" w:type="pct"/>
            <w:tcBorders>
              <w:top w:val="nil"/>
              <w:left w:val="nil"/>
              <w:bottom w:val="single" w:sz="4" w:space="0" w:color="auto"/>
              <w:right w:val="single" w:sz="4" w:space="0" w:color="auto"/>
            </w:tcBorders>
          </w:tcPr>
          <w:p w14:paraId="1E76C34E" w14:textId="77777777" w:rsidR="000B54BD" w:rsidRPr="00457E1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Decrease </w:t>
            </w:r>
          </w:p>
        </w:tc>
        <w:tc>
          <w:tcPr>
            <w:tcW w:w="550" w:type="pct"/>
            <w:tcBorders>
              <w:top w:val="nil"/>
              <w:left w:val="single" w:sz="4" w:space="0" w:color="auto"/>
              <w:bottom w:val="single" w:sz="4" w:space="0" w:color="auto"/>
              <w:right w:val="single" w:sz="4" w:space="0" w:color="auto"/>
            </w:tcBorders>
            <w:shd w:val="clear" w:color="auto" w:fill="auto"/>
          </w:tcPr>
          <w:p w14:paraId="4D2F4B4C"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STEPS 2014, 2016 and 2020</w:t>
            </w:r>
          </w:p>
          <w:p w14:paraId="2A6872C9" w14:textId="77777777" w:rsidR="000B54BD" w:rsidRPr="00CC2CE3" w:rsidRDefault="000B54BD" w:rsidP="00E97A3B">
            <w:pPr>
              <w:spacing w:after="0" w:line="240" w:lineRule="auto"/>
              <w:rPr>
                <w:rFonts w:eastAsia="Times New Roman" w:cs="Arial"/>
                <w:sz w:val="18"/>
                <w:szCs w:val="18"/>
                <w:lang w:eastAsia="en-AU"/>
              </w:rPr>
            </w:pPr>
            <w:r w:rsidRPr="00CC2CE3">
              <w:rPr>
                <w:rFonts w:eastAsia="Times New Roman" w:cs="Arial"/>
                <w:sz w:val="18"/>
                <w:szCs w:val="18"/>
                <w:lang w:eastAsia="en-AU"/>
              </w:rPr>
              <w:t>GSHS 2016</w:t>
            </w:r>
            <w:r>
              <w:rPr>
                <w:rFonts w:eastAsia="Times New Roman" w:cs="Arial"/>
                <w:sz w:val="18"/>
                <w:szCs w:val="18"/>
                <w:lang w:eastAsia="en-AU"/>
              </w:rPr>
              <w:t xml:space="preserve"> and 2020</w:t>
            </w:r>
          </w:p>
          <w:p w14:paraId="04084A23" w14:textId="77777777" w:rsidR="000B54BD" w:rsidRPr="00CC2CE3" w:rsidRDefault="000B54BD" w:rsidP="00E97A3B">
            <w:pPr>
              <w:spacing w:after="0" w:line="240" w:lineRule="auto"/>
              <w:rPr>
                <w:rFonts w:eastAsia="Times New Roman" w:cs="Arial"/>
                <w:sz w:val="18"/>
                <w:szCs w:val="18"/>
                <w:lang w:eastAsia="en-AU"/>
              </w:rPr>
            </w:pPr>
          </w:p>
          <w:p w14:paraId="4D10CE45" w14:textId="77777777" w:rsidR="000B54BD" w:rsidRPr="00457E15" w:rsidRDefault="000B54BD" w:rsidP="00E97A3B">
            <w:pPr>
              <w:spacing w:after="0" w:line="240" w:lineRule="auto"/>
              <w:rPr>
                <w:rFonts w:eastAsia="Times New Roman" w:cs="Arial"/>
                <w:sz w:val="18"/>
                <w:szCs w:val="18"/>
                <w:lang w:eastAsia="en-AU"/>
              </w:rPr>
            </w:pPr>
          </w:p>
        </w:tc>
        <w:tc>
          <w:tcPr>
            <w:tcW w:w="550" w:type="pct"/>
            <w:tcBorders>
              <w:top w:val="nil"/>
              <w:left w:val="nil"/>
              <w:bottom w:val="single" w:sz="4" w:space="0" w:color="auto"/>
              <w:right w:val="single" w:sz="4" w:space="0" w:color="auto"/>
            </w:tcBorders>
            <w:shd w:val="clear" w:color="auto" w:fill="auto"/>
          </w:tcPr>
          <w:p w14:paraId="18C617B1"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13 – 17 Males: </w:t>
            </w:r>
            <w:r>
              <w:rPr>
                <w:rFonts w:eastAsia="Times New Roman" w:cs="Arial"/>
                <w:sz w:val="18"/>
                <w:szCs w:val="18"/>
                <w:lang w:eastAsia="en-AU"/>
              </w:rPr>
              <w:t>Data from GSHS 2016</w:t>
            </w:r>
          </w:p>
          <w:p w14:paraId="0287A6FD"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Females: </w:t>
            </w:r>
            <w:r w:rsidRPr="007655CD">
              <w:rPr>
                <w:rFonts w:eastAsia="Times New Roman" w:cs="Arial"/>
                <w:sz w:val="18"/>
                <w:szCs w:val="18"/>
                <w:lang w:eastAsia="en-AU"/>
              </w:rPr>
              <w:t>Data from GSHS 2016</w:t>
            </w:r>
          </w:p>
          <w:p w14:paraId="291DE88A"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Both sexes: </w:t>
            </w:r>
            <w:r w:rsidRPr="007655CD">
              <w:rPr>
                <w:rFonts w:eastAsia="Times New Roman" w:cs="Arial"/>
                <w:sz w:val="18"/>
                <w:szCs w:val="18"/>
                <w:lang w:eastAsia="en-AU"/>
              </w:rPr>
              <w:t>Data from GSHS 2016</w:t>
            </w:r>
          </w:p>
          <w:p w14:paraId="7B6ECB8D" w14:textId="77777777" w:rsidR="000B54BD" w:rsidRPr="00965DFA"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 </w:t>
            </w:r>
          </w:p>
          <w:p w14:paraId="6483D3C3" w14:textId="77777777" w:rsidR="000B54BD" w:rsidRPr="00965DFA" w:rsidRDefault="000B54BD" w:rsidP="00E97A3B">
            <w:pPr>
              <w:spacing w:after="0" w:line="240" w:lineRule="auto"/>
              <w:rPr>
                <w:rFonts w:eastAsia="Times New Roman" w:cs="Arial"/>
                <w:sz w:val="18"/>
                <w:szCs w:val="18"/>
                <w:lang w:eastAsia="en-AU"/>
              </w:rPr>
            </w:pPr>
          </w:p>
          <w:p w14:paraId="305FBD47"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18 – 24 Males: </w:t>
            </w:r>
            <w:r>
              <w:rPr>
                <w:rFonts w:eastAsia="Times New Roman" w:cs="Arial"/>
                <w:sz w:val="18"/>
                <w:szCs w:val="18"/>
                <w:lang w:eastAsia="en-AU"/>
              </w:rPr>
              <w:t>Data from STEPS 2016</w:t>
            </w:r>
          </w:p>
          <w:p w14:paraId="63ED13AC"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Females: </w:t>
            </w:r>
            <w:r>
              <w:rPr>
                <w:rFonts w:eastAsia="Times New Roman" w:cs="Arial"/>
                <w:sz w:val="18"/>
                <w:szCs w:val="18"/>
                <w:lang w:eastAsia="en-AU"/>
              </w:rPr>
              <w:t>Data from STEPS 2016</w:t>
            </w:r>
          </w:p>
          <w:p w14:paraId="1918A73F"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Both sexes: </w:t>
            </w:r>
            <w:r>
              <w:rPr>
                <w:rFonts w:eastAsia="Times New Roman" w:cs="Arial"/>
                <w:sz w:val="18"/>
                <w:szCs w:val="18"/>
                <w:lang w:eastAsia="en-AU"/>
              </w:rPr>
              <w:t>Data from STEPS 2016</w:t>
            </w:r>
          </w:p>
          <w:p w14:paraId="61D4D5BB" w14:textId="77777777" w:rsidR="000B54BD" w:rsidRPr="00965DFA"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 </w:t>
            </w:r>
          </w:p>
          <w:p w14:paraId="3D184977"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25-44</w:t>
            </w:r>
          </w:p>
          <w:p w14:paraId="67C72E99"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57.6%</w:t>
            </w:r>
          </w:p>
          <w:p w14:paraId="5F5391A6"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240786FE"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77.3 %</w:t>
            </w:r>
          </w:p>
          <w:p w14:paraId="4FD27126"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574BA575"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67.5 %</w:t>
            </w:r>
          </w:p>
          <w:p w14:paraId="0C174D81" w14:textId="77777777" w:rsidR="000B54BD" w:rsidRPr="00965DFA" w:rsidRDefault="000B54BD" w:rsidP="00E97A3B">
            <w:pPr>
              <w:spacing w:after="0" w:line="240" w:lineRule="auto"/>
              <w:rPr>
                <w:rFonts w:eastAsia="Times New Roman" w:cs="Arial"/>
                <w:sz w:val="18"/>
                <w:szCs w:val="18"/>
                <w:lang w:eastAsia="en-AU"/>
              </w:rPr>
            </w:pPr>
          </w:p>
          <w:p w14:paraId="7504F2BA"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45-64</w:t>
            </w:r>
          </w:p>
          <w:p w14:paraId="59E0B17F"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56.2%</w:t>
            </w:r>
          </w:p>
          <w:p w14:paraId="1C062C95"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33E902A2"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78.2 %</w:t>
            </w:r>
          </w:p>
          <w:p w14:paraId="0D16C4AA"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3D836FFF"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67.9 %</w:t>
            </w:r>
          </w:p>
          <w:p w14:paraId="766C52FD" w14:textId="77777777" w:rsidR="000B54BD" w:rsidRPr="00965DFA" w:rsidRDefault="000B54BD" w:rsidP="00E97A3B">
            <w:pPr>
              <w:spacing w:after="0" w:line="240" w:lineRule="auto"/>
              <w:rPr>
                <w:rFonts w:eastAsia="Times New Roman" w:cs="Arial"/>
                <w:sz w:val="18"/>
                <w:szCs w:val="18"/>
                <w:lang w:eastAsia="en-AU"/>
              </w:rPr>
            </w:pPr>
          </w:p>
          <w:p w14:paraId="34B8AD72" w14:textId="77777777" w:rsidR="000B54BD" w:rsidRPr="00965DFA" w:rsidRDefault="000B54BD" w:rsidP="00E97A3B">
            <w:pPr>
              <w:spacing w:after="0" w:line="240" w:lineRule="auto"/>
              <w:rPr>
                <w:rFonts w:eastAsia="Times New Roman" w:cs="Arial"/>
                <w:sz w:val="18"/>
                <w:szCs w:val="18"/>
                <w:lang w:eastAsia="en-AU"/>
              </w:rPr>
            </w:pPr>
          </w:p>
          <w:p w14:paraId="2BE2B9DE"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Overweigh</w:t>
            </w:r>
          </w:p>
          <w:p w14:paraId="3401501E"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13 – 17 Males: </w:t>
            </w:r>
            <w:r>
              <w:rPr>
                <w:rFonts w:eastAsia="Times New Roman" w:cs="Arial"/>
                <w:sz w:val="18"/>
                <w:szCs w:val="18"/>
                <w:lang w:eastAsia="en-AU"/>
              </w:rPr>
              <w:t>Data from GSHS 2016</w:t>
            </w:r>
          </w:p>
          <w:p w14:paraId="316B59E7"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lastRenderedPageBreak/>
              <w:t xml:space="preserve">Females: </w:t>
            </w:r>
            <w:r>
              <w:rPr>
                <w:rFonts w:eastAsia="Times New Roman" w:cs="Arial"/>
                <w:sz w:val="18"/>
                <w:szCs w:val="18"/>
                <w:lang w:eastAsia="en-AU"/>
              </w:rPr>
              <w:t>Data from GSHS 2016</w:t>
            </w:r>
          </w:p>
          <w:p w14:paraId="7E64C5EF"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Both sexes: </w:t>
            </w:r>
            <w:r>
              <w:rPr>
                <w:rFonts w:eastAsia="Times New Roman" w:cs="Arial"/>
                <w:sz w:val="18"/>
                <w:szCs w:val="18"/>
                <w:lang w:eastAsia="en-AU"/>
              </w:rPr>
              <w:t>Data from GSHS 2016</w:t>
            </w:r>
          </w:p>
          <w:p w14:paraId="7B0A6BEA" w14:textId="77777777" w:rsidR="000B54BD" w:rsidRPr="00965DFA" w:rsidRDefault="000B54BD" w:rsidP="00E97A3B">
            <w:pPr>
              <w:spacing w:after="0" w:line="240" w:lineRule="auto"/>
              <w:rPr>
                <w:rFonts w:eastAsia="Times New Roman" w:cs="Arial"/>
                <w:sz w:val="18"/>
                <w:szCs w:val="18"/>
                <w:lang w:eastAsia="en-AU"/>
              </w:rPr>
            </w:pPr>
          </w:p>
          <w:p w14:paraId="59DAE738"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18 – 24 Males: </w:t>
            </w:r>
            <w:r>
              <w:rPr>
                <w:rFonts w:eastAsia="Times New Roman" w:cs="Arial"/>
                <w:sz w:val="18"/>
                <w:szCs w:val="18"/>
                <w:lang w:eastAsia="en-AU"/>
              </w:rPr>
              <w:t>Data from STEPS 2016</w:t>
            </w:r>
          </w:p>
          <w:p w14:paraId="3DE528E2"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Females: </w:t>
            </w:r>
            <w:r>
              <w:rPr>
                <w:rFonts w:eastAsia="Times New Roman" w:cs="Arial"/>
                <w:sz w:val="18"/>
                <w:szCs w:val="18"/>
                <w:lang w:eastAsia="en-AU"/>
              </w:rPr>
              <w:t>Data from STEPS 2016</w:t>
            </w:r>
          </w:p>
          <w:p w14:paraId="1B5E4244"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Both sexes: </w:t>
            </w:r>
            <w:r>
              <w:rPr>
                <w:rFonts w:eastAsia="Times New Roman" w:cs="Arial"/>
                <w:sz w:val="18"/>
                <w:szCs w:val="18"/>
                <w:lang w:eastAsia="en-AU"/>
              </w:rPr>
              <w:t>Data from STEPS 2016</w:t>
            </w:r>
          </w:p>
          <w:p w14:paraId="0A20EE38" w14:textId="77777777" w:rsidR="000B54BD" w:rsidRPr="00965DFA" w:rsidRDefault="000B54BD" w:rsidP="00E97A3B">
            <w:pPr>
              <w:spacing w:after="0" w:line="240" w:lineRule="auto"/>
              <w:rPr>
                <w:rFonts w:eastAsia="Times New Roman" w:cs="Arial"/>
                <w:sz w:val="18"/>
                <w:szCs w:val="18"/>
                <w:lang w:eastAsia="en-AU"/>
              </w:rPr>
            </w:pPr>
          </w:p>
          <w:p w14:paraId="2C5F80B5"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25-44</w:t>
            </w:r>
          </w:p>
          <w:p w14:paraId="66D97997"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86.5%</w:t>
            </w:r>
          </w:p>
          <w:p w14:paraId="401A8DE4"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55C23D37"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93.4 %</w:t>
            </w:r>
          </w:p>
          <w:p w14:paraId="17B35B92"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56CCBBCA"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89.9 %</w:t>
            </w:r>
          </w:p>
          <w:p w14:paraId="074D26BA" w14:textId="77777777" w:rsidR="000B54BD" w:rsidRPr="00965DFA" w:rsidRDefault="000B54BD" w:rsidP="00E97A3B">
            <w:pPr>
              <w:spacing w:after="0" w:line="240" w:lineRule="auto"/>
              <w:rPr>
                <w:rFonts w:eastAsia="Times New Roman" w:cs="Arial"/>
                <w:sz w:val="18"/>
                <w:szCs w:val="18"/>
                <w:lang w:eastAsia="en-AU"/>
              </w:rPr>
            </w:pPr>
          </w:p>
          <w:p w14:paraId="35D36817"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45-64</w:t>
            </w:r>
          </w:p>
          <w:p w14:paraId="0A4D0EE1"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89.0%</w:t>
            </w:r>
          </w:p>
          <w:p w14:paraId="49407D05"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4A08F3E5"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95.1 %</w:t>
            </w:r>
          </w:p>
          <w:p w14:paraId="5481722E"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05062E53" w14:textId="77777777" w:rsidR="000B54BD" w:rsidRPr="00457E15"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92.3 %</w:t>
            </w:r>
          </w:p>
        </w:tc>
        <w:tc>
          <w:tcPr>
            <w:tcW w:w="501" w:type="pct"/>
            <w:tcBorders>
              <w:top w:val="nil"/>
              <w:left w:val="nil"/>
              <w:bottom w:val="single" w:sz="4" w:space="0" w:color="auto"/>
              <w:right w:val="single" w:sz="4" w:space="0" w:color="auto"/>
            </w:tcBorders>
            <w:shd w:val="clear" w:color="auto" w:fill="auto"/>
          </w:tcPr>
          <w:p w14:paraId="592BD0EF" w14:textId="77777777" w:rsidR="000B54BD" w:rsidRPr="00206495" w:rsidRDefault="000B54BD" w:rsidP="00E97A3B">
            <w:pPr>
              <w:spacing w:after="0" w:line="240" w:lineRule="auto"/>
              <w:rPr>
                <w:rFonts w:eastAsia="Times New Roman" w:cs="Arial"/>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00FB562B" w14:textId="77777777" w:rsidR="000B54BD" w:rsidRPr="00206495"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GSHS and STEPS survey data collected in 2016</w:t>
            </w:r>
          </w:p>
        </w:tc>
        <w:tc>
          <w:tcPr>
            <w:tcW w:w="655" w:type="pct"/>
            <w:tcBorders>
              <w:top w:val="nil"/>
              <w:left w:val="nil"/>
              <w:bottom w:val="single" w:sz="4" w:space="0" w:color="auto"/>
              <w:right w:val="single" w:sz="4" w:space="0" w:color="auto"/>
            </w:tcBorders>
            <w:shd w:val="clear" w:color="auto" w:fill="FFFF66"/>
          </w:tcPr>
          <w:p w14:paraId="45254DF8" w14:textId="77777777" w:rsidR="000B54BD" w:rsidRPr="00206495" w:rsidRDefault="000B54BD" w:rsidP="00E97A3B">
            <w:pPr>
              <w:spacing w:after="0" w:line="240" w:lineRule="auto"/>
              <w:rPr>
                <w:rFonts w:eastAsia="Times New Roman" w:cs="Arial"/>
                <w:sz w:val="18"/>
                <w:szCs w:val="18"/>
                <w:lang w:eastAsia="en-AU"/>
              </w:rPr>
            </w:pPr>
            <w:r w:rsidRPr="00206495">
              <w:rPr>
                <w:rFonts w:eastAsia="Times New Roman" w:cs="Arial"/>
                <w:sz w:val="18"/>
                <w:szCs w:val="18"/>
                <w:u w:val="single"/>
                <w:lang w:eastAsia="en-AU"/>
              </w:rPr>
              <w:t>Adolescents:</w:t>
            </w:r>
            <w:r w:rsidRPr="00206495">
              <w:rPr>
                <w:rFonts w:eastAsia="Times New Roman" w:cs="Arial"/>
                <w:sz w:val="18"/>
                <w:szCs w:val="18"/>
                <w:lang w:eastAsia="en-AU"/>
              </w:rPr>
              <w:t xml:space="preserve"> </w:t>
            </w:r>
            <w:r w:rsidRPr="00206495">
              <w:rPr>
                <w:rFonts w:eastAsia="Times New Roman" w:cs="Arial"/>
                <w:b/>
                <w:sz w:val="18"/>
                <w:szCs w:val="18"/>
                <w:lang w:eastAsia="en-AU"/>
              </w:rPr>
              <w:t>See indicator 2.3</w:t>
            </w:r>
          </w:p>
          <w:p w14:paraId="432CEC3A" w14:textId="77777777" w:rsidR="000B54BD" w:rsidRPr="00206495" w:rsidRDefault="000B54BD" w:rsidP="00E97A3B">
            <w:pPr>
              <w:spacing w:after="0" w:line="240" w:lineRule="auto"/>
              <w:rPr>
                <w:rFonts w:eastAsia="Times New Roman" w:cs="Arial"/>
                <w:sz w:val="18"/>
                <w:szCs w:val="18"/>
                <w:lang w:eastAsia="en-AU"/>
              </w:rPr>
            </w:pPr>
          </w:p>
          <w:p w14:paraId="2D6F36CD" w14:textId="77777777" w:rsidR="000B54BD" w:rsidRPr="00206495" w:rsidRDefault="000B54BD" w:rsidP="00E97A3B">
            <w:pPr>
              <w:spacing w:after="0" w:line="240" w:lineRule="auto"/>
              <w:rPr>
                <w:rFonts w:eastAsia="Times New Roman" w:cs="Arial"/>
                <w:sz w:val="18"/>
                <w:szCs w:val="18"/>
                <w:lang w:eastAsia="en-AU"/>
              </w:rPr>
            </w:pPr>
            <w:r w:rsidRPr="00206495">
              <w:rPr>
                <w:rFonts w:eastAsia="Times New Roman" w:cs="Arial"/>
                <w:sz w:val="18"/>
                <w:szCs w:val="18"/>
                <w:u w:val="single"/>
                <w:lang w:eastAsia="en-AU"/>
              </w:rPr>
              <w:t>Adults:</w:t>
            </w:r>
            <w:r w:rsidRPr="00206495">
              <w:rPr>
                <w:rFonts w:eastAsia="Times New Roman" w:cs="Arial"/>
                <w:sz w:val="18"/>
                <w:szCs w:val="18"/>
                <w:lang w:eastAsia="en-AU"/>
              </w:rPr>
              <w:t xml:space="preserve"> awaiting STEPS 201</w:t>
            </w:r>
            <w:r>
              <w:rPr>
                <w:rFonts w:eastAsia="Times New Roman" w:cs="Arial"/>
                <w:sz w:val="18"/>
                <w:szCs w:val="18"/>
                <w:lang w:eastAsia="en-AU"/>
              </w:rPr>
              <w:t>6</w:t>
            </w:r>
            <w:r w:rsidRPr="00206495">
              <w:rPr>
                <w:rFonts w:eastAsia="Times New Roman" w:cs="Arial"/>
                <w:sz w:val="18"/>
                <w:szCs w:val="18"/>
                <w:lang w:eastAsia="en-AU"/>
              </w:rPr>
              <w:t xml:space="preserve"> survey due early 2019</w:t>
            </w:r>
          </w:p>
        </w:tc>
      </w:tr>
      <w:tr w:rsidR="000B54BD" w:rsidRPr="00457E15" w14:paraId="41B34A8E" w14:textId="77777777" w:rsidTr="00E97A3B">
        <w:trPr>
          <w:gridAfter w:val="1"/>
          <w:wAfter w:w="2" w:type="pct"/>
          <w:trHeight w:val="269"/>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01415054" w14:textId="77777777" w:rsidR="000B54BD" w:rsidRPr="0066278B" w:rsidRDefault="000B54BD" w:rsidP="00E97A3B">
            <w:pPr>
              <w:spacing w:after="0" w:line="240" w:lineRule="auto"/>
              <w:rPr>
                <w:rFonts w:eastAsia="Times New Roman"/>
                <w:b/>
                <w:sz w:val="18"/>
                <w:szCs w:val="18"/>
                <w:lang w:eastAsia="en-AU"/>
              </w:rPr>
            </w:pPr>
            <w:r w:rsidRPr="0066278B">
              <w:rPr>
                <w:rFonts w:eastAsia="Times New Roman"/>
                <w:b/>
                <w:sz w:val="18"/>
                <w:szCs w:val="18"/>
                <w:lang w:eastAsia="en-AU"/>
              </w:rPr>
              <w:t>More Tongans are meeting the WHO Global Physical Activity Guidelines</w:t>
            </w:r>
          </w:p>
        </w:tc>
      </w:tr>
      <w:tr w:rsidR="000B54BD" w:rsidRPr="00457E15" w14:paraId="123996F0" w14:textId="77777777" w:rsidTr="00E97A3B">
        <w:trPr>
          <w:gridAfter w:val="2"/>
          <w:wAfter w:w="7" w:type="pct"/>
          <w:trHeight w:val="940"/>
        </w:trPr>
        <w:tc>
          <w:tcPr>
            <w:tcW w:w="338" w:type="pct"/>
            <w:tcBorders>
              <w:top w:val="single" w:sz="4" w:space="0" w:color="auto"/>
              <w:left w:val="single" w:sz="4" w:space="0" w:color="auto"/>
              <w:bottom w:val="single" w:sz="4" w:space="0" w:color="auto"/>
              <w:right w:val="nil"/>
            </w:tcBorders>
            <w:shd w:val="clear" w:color="auto" w:fill="auto"/>
            <w:noWrap/>
            <w:hideMark/>
          </w:tcPr>
          <w:p w14:paraId="16401197"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37</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F914B" w14:textId="77777777" w:rsidR="000B54BD" w:rsidRPr="00457E15" w:rsidRDefault="000B54BD" w:rsidP="00E97A3B">
            <w:pPr>
              <w:spacing w:after="0" w:line="240" w:lineRule="auto"/>
              <w:rPr>
                <w:rFonts w:eastAsia="Times New Roman"/>
                <w:sz w:val="18"/>
                <w:szCs w:val="18"/>
                <w:lang w:eastAsia="en-AU"/>
              </w:rPr>
            </w:pPr>
            <w:r w:rsidRPr="0022482F">
              <w:rPr>
                <w:rFonts w:eastAsia="Times New Roman" w:cs="Arial"/>
                <w:b/>
                <w:sz w:val="18"/>
                <w:szCs w:val="18"/>
                <w:lang w:eastAsia="en-AU"/>
              </w:rPr>
              <w:t>OUTCOME:</w:t>
            </w:r>
            <w:r w:rsidRPr="00457E15">
              <w:rPr>
                <w:rFonts w:eastAsia="Times New Roman" w:cs="Arial"/>
                <w:sz w:val="18"/>
                <w:szCs w:val="18"/>
                <w:lang w:eastAsia="en-AU"/>
              </w:rPr>
              <w:t xml:space="preserve"> Prevalence of insufficiently physically activity </w:t>
            </w:r>
          </w:p>
        </w:tc>
        <w:tc>
          <w:tcPr>
            <w:tcW w:w="850" w:type="pct"/>
            <w:tcBorders>
              <w:top w:val="nil"/>
              <w:left w:val="nil"/>
              <w:bottom w:val="single" w:sz="4" w:space="0" w:color="auto"/>
              <w:right w:val="single" w:sz="4" w:space="0" w:color="auto"/>
            </w:tcBorders>
            <w:shd w:val="clear" w:color="auto" w:fill="auto"/>
          </w:tcPr>
          <w:p w14:paraId="2BA5B002"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Insufficient physical activity defined as </w:t>
            </w:r>
            <w:r w:rsidRPr="00457E15">
              <w:rPr>
                <w:rFonts w:eastAsia="Times New Roman" w:cs="Arial"/>
                <w:sz w:val="18"/>
                <w:szCs w:val="18"/>
                <w:lang w:eastAsia="en-AU"/>
              </w:rPr>
              <w:t>less than 150 minutes of moderate or 75 minutes of vigorous physical activity per week</w:t>
            </w:r>
            <w:r>
              <w:rPr>
                <w:rFonts w:eastAsia="Times New Roman" w:cs="Arial"/>
                <w:sz w:val="18"/>
                <w:szCs w:val="18"/>
                <w:lang w:eastAsia="en-AU"/>
              </w:rPr>
              <w:t xml:space="preserve"> for adults and </w:t>
            </w:r>
            <w:r w:rsidRPr="00457E15">
              <w:rPr>
                <w:rFonts w:eastAsia="Times New Roman" w:cs="Arial"/>
                <w:sz w:val="18"/>
                <w:szCs w:val="18"/>
                <w:lang w:eastAsia="en-AU"/>
              </w:rPr>
              <w:t>less than 60 minutes of mode</w:t>
            </w:r>
            <w:r>
              <w:rPr>
                <w:rFonts w:eastAsia="Times New Roman" w:cs="Arial"/>
                <w:sz w:val="18"/>
                <w:szCs w:val="18"/>
                <w:lang w:eastAsia="en-AU"/>
              </w:rPr>
              <w:t>rate to vigorous daily activity for adolescents</w:t>
            </w:r>
          </w:p>
          <w:p w14:paraId="0E5DF454" w14:textId="77777777" w:rsidR="000B54BD" w:rsidRDefault="000B54BD" w:rsidP="00E97A3B">
            <w:pPr>
              <w:spacing w:after="0" w:line="240" w:lineRule="auto"/>
              <w:rPr>
                <w:rFonts w:eastAsia="Times New Roman" w:cs="Arial"/>
                <w:sz w:val="18"/>
                <w:szCs w:val="18"/>
                <w:lang w:eastAsia="en-AU"/>
              </w:rPr>
            </w:pPr>
          </w:p>
          <w:p w14:paraId="4572E573"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lastRenderedPageBreak/>
              <w:t xml:space="preserve">Numerator: </w:t>
            </w:r>
            <w:r w:rsidRPr="00CC2CE3">
              <w:rPr>
                <w:rFonts w:eastAsia="Times New Roman" w:cs="Arial"/>
                <w:sz w:val="18"/>
                <w:szCs w:val="18"/>
                <w:lang w:eastAsia="en-AU"/>
              </w:rPr>
              <w:t xml:space="preserve">Number of </w:t>
            </w:r>
            <w:r>
              <w:rPr>
                <w:rFonts w:eastAsia="Times New Roman" w:cs="Arial"/>
                <w:sz w:val="18"/>
                <w:szCs w:val="18"/>
                <w:lang w:eastAsia="en-AU"/>
              </w:rPr>
              <w:t>people who do insufficient physical activity</w:t>
            </w:r>
          </w:p>
          <w:p w14:paraId="63D949B0" w14:textId="77777777" w:rsidR="000B54BD" w:rsidRDefault="000B54BD" w:rsidP="00E97A3B">
            <w:pPr>
              <w:spacing w:after="0" w:line="240" w:lineRule="auto"/>
              <w:rPr>
                <w:rFonts w:eastAsia="Times New Roman" w:cs="Arial"/>
                <w:sz w:val="18"/>
                <w:szCs w:val="18"/>
                <w:lang w:eastAsia="en-AU"/>
              </w:rPr>
            </w:pPr>
          </w:p>
          <w:p w14:paraId="21ECC7C5"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Denominator: </w:t>
            </w:r>
            <w:r w:rsidRPr="00CC2CE3">
              <w:rPr>
                <w:rFonts w:eastAsia="Times New Roman" w:cs="Arial"/>
                <w:sz w:val="18"/>
                <w:szCs w:val="18"/>
                <w:lang w:eastAsia="en-AU"/>
              </w:rPr>
              <w:t xml:space="preserve">Total number of </w:t>
            </w:r>
            <w:r>
              <w:rPr>
                <w:rFonts w:eastAsia="Times New Roman" w:cs="Arial"/>
                <w:sz w:val="18"/>
                <w:szCs w:val="18"/>
                <w:lang w:eastAsia="en-AU"/>
              </w:rPr>
              <w:t>people (for the defined age group)</w:t>
            </w:r>
          </w:p>
          <w:p w14:paraId="13B89A73" w14:textId="77777777" w:rsidR="000B54BD" w:rsidRPr="00457E15" w:rsidRDefault="000B54BD" w:rsidP="00E97A3B">
            <w:pPr>
              <w:spacing w:after="0" w:line="240" w:lineRule="auto"/>
              <w:rPr>
                <w:rFonts w:eastAsia="Times New Roman" w:cs="Arial"/>
                <w:sz w:val="18"/>
                <w:szCs w:val="18"/>
                <w:lang w:eastAsia="en-AU"/>
              </w:rPr>
            </w:pPr>
          </w:p>
        </w:tc>
        <w:tc>
          <w:tcPr>
            <w:tcW w:w="450" w:type="pct"/>
            <w:tcBorders>
              <w:top w:val="nil"/>
              <w:left w:val="nil"/>
              <w:bottom w:val="single" w:sz="4" w:space="0" w:color="auto"/>
              <w:right w:val="single" w:sz="4" w:space="0" w:color="auto"/>
            </w:tcBorders>
          </w:tcPr>
          <w:p w14:paraId="2C09E500" w14:textId="77777777" w:rsidR="000B54BD" w:rsidRPr="00457E15" w:rsidRDefault="000B54BD" w:rsidP="00E97A3B">
            <w:pPr>
              <w:spacing w:after="0" w:line="240" w:lineRule="auto"/>
              <w:rPr>
                <w:rFonts w:eastAsia="Times New Roman"/>
                <w:sz w:val="18"/>
                <w:szCs w:val="18"/>
                <w:lang w:eastAsia="en-AU"/>
              </w:rPr>
            </w:pPr>
            <w:r>
              <w:rPr>
                <w:rFonts w:eastAsia="Times New Roman" w:cs="Arial"/>
                <w:sz w:val="18"/>
                <w:szCs w:val="18"/>
                <w:lang w:eastAsia="en-AU"/>
              </w:rPr>
              <w:lastRenderedPageBreak/>
              <w:t xml:space="preserve">Decrease </w:t>
            </w:r>
          </w:p>
        </w:tc>
        <w:tc>
          <w:tcPr>
            <w:tcW w:w="550" w:type="pct"/>
            <w:tcBorders>
              <w:top w:val="nil"/>
              <w:left w:val="single" w:sz="4" w:space="0" w:color="auto"/>
              <w:bottom w:val="single" w:sz="4" w:space="0" w:color="auto"/>
              <w:right w:val="single" w:sz="4" w:space="0" w:color="auto"/>
            </w:tcBorders>
            <w:shd w:val="clear" w:color="auto" w:fill="auto"/>
          </w:tcPr>
          <w:p w14:paraId="12A305D2"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STEPS 2014, 2016 and 2020</w:t>
            </w:r>
          </w:p>
          <w:p w14:paraId="13231472" w14:textId="77777777" w:rsidR="000B54BD" w:rsidRDefault="000B54BD" w:rsidP="00E97A3B">
            <w:pPr>
              <w:spacing w:after="0" w:line="240" w:lineRule="auto"/>
              <w:rPr>
                <w:rFonts w:eastAsia="Times New Roman" w:cs="Arial"/>
                <w:sz w:val="18"/>
                <w:szCs w:val="18"/>
                <w:lang w:eastAsia="en-AU"/>
              </w:rPr>
            </w:pPr>
            <w:r w:rsidRPr="00CC2CE3">
              <w:rPr>
                <w:rFonts w:eastAsia="Times New Roman" w:cs="Arial"/>
                <w:sz w:val="18"/>
                <w:szCs w:val="18"/>
                <w:lang w:eastAsia="en-AU"/>
              </w:rPr>
              <w:t>GSHS 2016</w:t>
            </w:r>
            <w:r>
              <w:rPr>
                <w:rFonts w:eastAsia="Times New Roman" w:cs="Arial"/>
                <w:sz w:val="18"/>
                <w:szCs w:val="18"/>
                <w:lang w:eastAsia="en-AU"/>
              </w:rPr>
              <w:t xml:space="preserve"> and 2020</w:t>
            </w:r>
          </w:p>
          <w:p w14:paraId="43D41402" w14:textId="77777777" w:rsidR="000B54BD" w:rsidRDefault="000B54BD" w:rsidP="00E97A3B">
            <w:pPr>
              <w:spacing w:after="0" w:line="240" w:lineRule="auto"/>
              <w:rPr>
                <w:rFonts w:eastAsia="Times New Roman" w:cs="Arial"/>
                <w:sz w:val="18"/>
                <w:szCs w:val="18"/>
                <w:lang w:eastAsia="en-AU"/>
              </w:rPr>
            </w:pPr>
          </w:p>
          <w:p w14:paraId="3A106C37" w14:textId="77777777" w:rsidR="000B54BD" w:rsidRPr="00457E15" w:rsidRDefault="000B54BD" w:rsidP="00E97A3B">
            <w:pPr>
              <w:spacing w:after="0" w:line="240" w:lineRule="auto"/>
              <w:rPr>
                <w:rFonts w:eastAsia="Times New Roman" w:cs="Arial"/>
                <w:sz w:val="18"/>
                <w:szCs w:val="18"/>
                <w:lang w:eastAsia="en-AU"/>
              </w:rPr>
            </w:pPr>
          </w:p>
        </w:tc>
        <w:tc>
          <w:tcPr>
            <w:tcW w:w="550" w:type="pct"/>
            <w:tcBorders>
              <w:top w:val="nil"/>
              <w:left w:val="nil"/>
              <w:bottom w:val="single" w:sz="4" w:space="0" w:color="auto"/>
              <w:right w:val="single" w:sz="4" w:space="0" w:color="auto"/>
            </w:tcBorders>
            <w:shd w:val="clear" w:color="auto" w:fill="auto"/>
          </w:tcPr>
          <w:p w14:paraId="23144B81"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13 – 17 Males: </w:t>
            </w:r>
            <w:r>
              <w:rPr>
                <w:rFonts w:eastAsia="Times New Roman" w:cs="Arial"/>
                <w:sz w:val="18"/>
                <w:szCs w:val="18"/>
                <w:lang w:eastAsia="en-AU"/>
              </w:rPr>
              <w:t>Data from GSHS 2016</w:t>
            </w:r>
          </w:p>
          <w:p w14:paraId="5CA15F51"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Females: </w:t>
            </w:r>
            <w:r>
              <w:rPr>
                <w:rFonts w:eastAsia="Times New Roman" w:cs="Arial"/>
                <w:sz w:val="18"/>
                <w:szCs w:val="18"/>
                <w:lang w:eastAsia="en-AU"/>
              </w:rPr>
              <w:t>Data from GSHS 2016</w:t>
            </w:r>
          </w:p>
          <w:p w14:paraId="35D27CE5"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Both sexes: </w:t>
            </w:r>
            <w:r>
              <w:rPr>
                <w:rFonts w:eastAsia="Times New Roman" w:cs="Arial"/>
                <w:sz w:val="18"/>
                <w:szCs w:val="18"/>
                <w:lang w:eastAsia="en-AU"/>
              </w:rPr>
              <w:t>Data from GSHS 2016</w:t>
            </w:r>
          </w:p>
          <w:p w14:paraId="670E2831" w14:textId="77777777" w:rsidR="000B54BD" w:rsidRPr="00965DFA" w:rsidRDefault="000B54BD" w:rsidP="00E97A3B">
            <w:pPr>
              <w:spacing w:after="0" w:line="240" w:lineRule="auto"/>
              <w:rPr>
                <w:rFonts w:eastAsia="Times New Roman" w:cs="Arial"/>
                <w:sz w:val="18"/>
                <w:szCs w:val="18"/>
                <w:lang w:eastAsia="en-AU"/>
              </w:rPr>
            </w:pPr>
          </w:p>
          <w:p w14:paraId="2528D930" w14:textId="77777777" w:rsidR="000B54BD" w:rsidRPr="00965DFA" w:rsidRDefault="000B54BD" w:rsidP="00E97A3B">
            <w:pPr>
              <w:spacing w:after="0" w:line="240" w:lineRule="auto"/>
              <w:rPr>
                <w:rFonts w:eastAsia="Times New Roman" w:cs="Arial"/>
                <w:sz w:val="18"/>
                <w:szCs w:val="18"/>
                <w:lang w:eastAsia="en-AU"/>
              </w:rPr>
            </w:pPr>
          </w:p>
          <w:p w14:paraId="2B20C3CE"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lastRenderedPageBreak/>
              <w:t xml:space="preserve">18 – 24 Males: </w:t>
            </w:r>
            <w:r>
              <w:rPr>
                <w:rFonts w:eastAsia="Times New Roman" w:cs="Arial"/>
                <w:sz w:val="18"/>
                <w:szCs w:val="18"/>
                <w:lang w:eastAsia="en-AU"/>
              </w:rPr>
              <w:t>Data from STEPS 2016</w:t>
            </w:r>
          </w:p>
          <w:p w14:paraId="2304869C"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Females: </w:t>
            </w:r>
            <w:r>
              <w:rPr>
                <w:rFonts w:eastAsia="Times New Roman" w:cs="Arial"/>
                <w:sz w:val="18"/>
                <w:szCs w:val="18"/>
                <w:lang w:eastAsia="en-AU"/>
              </w:rPr>
              <w:t>Data from STEPS 2016</w:t>
            </w:r>
          </w:p>
          <w:p w14:paraId="7FACE12A" w14:textId="77777777" w:rsidR="000B54BD"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Both sexes: </w:t>
            </w:r>
            <w:r>
              <w:rPr>
                <w:rFonts w:eastAsia="Times New Roman" w:cs="Arial"/>
                <w:sz w:val="18"/>
                <w:szCs w:val="18"/>
                <w:lang w:eastAsia="en-AU"/>
              </w:rPr>
              <w:t>Data from STEPS 2016</w:t>
            </w:r>
          </w:p>
          <w:p w14:paraId="264707F0" w14:textId="77777777" w:rsidR="000B54BD" w:rsidRPr="00965DFA" w:rsidRDefault="000B54BD" w:rsidP="00E97A3B">
            <w:pPr>
              <w:spacing w:after="0" w:line="240" w:lineRule="auto"/>
              <w:rPr>
                <w:rFonts w:eastAsia="Times New Roman" w:cs="Arial"/>
                <w:sz w:val="18"/>
                <w:szCs w:val="18"/>
                <w:lang w:eastAsia="en-AU"/>
              </w:rPr>
            </w:pPr>
          </w:p>
          <w:p w14:paraId="0E084973"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25-44</w:t>
            </w:r>
          </w:p>
          <w:p w14:paraId="6EF66A49"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15.0%</w:t>
            </w:r>
          </w:p>
          <w:p w14:paraId="7E58647B"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2013CD87"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30.8 %</w:t>
            </w:r>
          </w:p>
          <w:p w14:paraId="32C07DD9"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1DA8C474"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23.0 %</w:t>
            </w:r>
          </w:p>
          <w:p w14:paraId="6E8548B7" w14:textId="77777777" w:rsidR="000B54BD" w:rsidRPr="00965DFA" w:rsidRDefault="000B54BD" w:rsidP="00E97A3B">
            <w:pPr>
              <w:spacing w:after="0" w:line="240" w:lineRule="auto"/>
              <w:rPr>
                <w:rFonts w:eastAsia="Times New Roman" w:cs="Arial"/>
                <w:sz w:val="18"/>
                <w:szCs w:val="18"/>
                <w:lang w:eastAsia="en-AU"/>
              </w:rPr>
            </w:pPr>
          </w:p>
          <w:p w14:paraId="0A4385A0"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45-64</w:t>
            </w:r>
          </w:p>
          <w:p w14:paraId="5B6A0964"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15.3%</w:t>
            </w:r>
          </w:p>
          <w:p w14:paraId="0DF718FF"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5B86B60B"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33.5 %</w:t>
            </w:r>
          </w:p>
          <w:p w14:paraId="5A02A1CE"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32064590" w14:textId="77777777" w:rsidR="000B54BD" w:rsidRPr="00457E15"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25.0 %</w:t>
            </w:r>
          </w:p>
        </w:tc>
        <w:tc>
          <w:tcPr>
            <w:tcW w:w="501" w:type="pct"/>
            <w:tcBorders>
              <w:top w:val="nil"/>
              <w:left w:val="nil"/>
              <w:bottom w:val="single" w:sz="4" w:space="0" w:color="auto"/>
              <w:right w:val="single" w:sz="4" w:space="0" w:color="auto"/>
            </w:tcBorders>
            <w:shd w:val="clear" w:color="auto" w:fill="auto"/>
          </w:tcPr>
          <w:p w14:paraId="35A7641A" w14:textId="77777777" w:rsidR="000B54BD" w:rsidRPr="00457E15" w:rsidRDefault="000B54BD" w:rsidP="00E97A3B">
            <w:pPr>
              <w:spacing w:after="0" w:line="240" w:lineRule="auto"/>
              <w:rPr>
                <w:rFonts w:eastAsia="Times New Roman" w:cs="Arial"/>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71B81B86" w14:textId="77777777" w:rsidR="000B54BD" w:rsidRPr="00305B3A" w:rsidRDefault="000B54BD" w:rsidP="00E97A3B">
            <w:pPr>
              <w:spacing w:after="0" w:line="240" w:lineRule="auto"/>
              <w:rPr>
                <w:rFonts w:eastAsia="Times New Roman" w:cs="Arial"/>
                <w:sz w:val="18"/>
                <w:szCs w:val="18"/>
                <w:highlight w:val="yellow"/>
                <w:lang w:eastAsia="en-AU"/>
              </w:rPr>
            </w:pPr>
            <w:r w:rsidRPr="00206495">
              <w:rPr>
                <w:rFonts w:eastAsia="Times New Roman" w:cs="Arial"/>
                <w:sz w:val="18"/>
                <w:szCs w:val="18"/>
                <w:lang w:eastAsia="en-AU"/>
              </w:rPr>
              <w:t>GSHS and STEPS data collected in 2016</w:t>
            </w:r>
          </w:p>
        </w:tc>
        <w:tc>
          <w:tcPr>
            <w:tcW w:w="655" w:type="pct"/>
            <w:tcBorders>
              <w:top w:val="nil"/>
              <w:left w:val="nil"/>
              <w:bottom w:val="single" w:sz="4" w:space="0" w:color="auto"/>
              <w:right w:val="single" w:sz="4" w:space="0" w:color="auto"/>
            </w:tcBorders>
            <w:shd w:val="clear" w:color="auto" w:fill="FFFF66"/>
          </w:tcPr>
          <w:p w14:paraId="3F04DAF7" w14:textId="77777777" w:rsidR="000B54BD" w:rsidRPr="00206495" w:rsidRDefault="000B54BD" w:rsidP="00E97A3B">
            <w:pPr>
              <w:spacing w:after="0" w:line="240" w:lineRule="auto"/>
              <w:rPr>
                <w:rFonts w:eastAsia="Times New Roman"/>
                <w:sz w:val="18"/>
                <w:szCs w:val="18"/>
                <w:u w:val="single"/>
                <w:lang w:eastAsia="en-AU"/>
              </w:rPr>
            </w:pPr>
            <w:r w:rsidRPr="00206495">
              <w:rPr>
                <w:rFonts w:eastAsia="Times New Roman"/>
                <w:sz w:val="18"/>
                <w:szCs w:val="18"/>
                <w:u w:val="single"/>
                <w:lang w:eastAsia="en-AU"/>
              </w:rPr>
              <w:t xml:space="preserve">Adolescents </w:t>
            </w:r>
            <w:r w:rsidRPr="00206495">
              <w:rPr>
                <w:rFonts w:eastAsia="Times New Roman"/>
                <w:sz w:val="18"/>
                <w:szCs w:val="18"/>
                <w:lang w:eastAsia="en-AU"/>
              </w:rPr>
              <w:t>aged 13-17 years GSHS 2017:</w:t>
            </w:r>
          </w:p>
          <w:p w14:paraId="3851162A"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Male: 80.5%</w:t>
            </w:r>
          </w:p>
          <w:p w14:paraId="19CC1A55"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Female: 82.9%</w:t>
            </w:r>
          </w:p>
          <w:p w14:paraId="461AF6E3"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All: 81.7%</w:t>
            </w:r>
          </w:p>
          <w:p w14:paraId="137E2B4C" w14:textId="77777777" w:rsidR="000B54BD" w:rsidRDefault="000B54BD" w:rsidP="00E97A3B">
            <w:pPr>
              <w:spacing w:after="0" w:line="240" w:lineRule="auto"/>
              <w:rPr>
                <w:rFonts w:eastAsia="Times New Roman"/>
                <w:sz w:val="18"/>
                <w:szCs w:val="18"/>
                <w:lang w:eastAsia="en-AU"/>
              </w:rPr>
            </w:pPr>
          </w:p>
          <w:p w14:paraId="6A4FCB5D" w14:textId="77777777" w:rsidR="000B54BD" w:rsidRPr="00457E15" w:rsidRDefault="000B54BD" w:rsidP="00E97A3B">
            <w:pPr>
              <w:spacing w:after="0" w:line="240" w:lineRule="auto"/>
              <w:rPr>
                <w:rFonts w:eastAsia="Times New Roman"/>
                <w:sz w:val="18"/>
                <w:szCs w:val="18"/>
                <w:lang w:eastAsia="en-AU"/>
              </w:rPr>
            </w:pPr>
            <w:r w:rsidRPr="00206495">
              <w:rPr>
                <w:rFonts w:eastAsia="Times New Roman"/>
                <w:sz w:val="18"/>
                <w:szCs w:val="18"/>
                <w:u w:val="single"/>
                <w:lang w:eastAsia="en-AU"/>
              </w:rPr>
              <w:t>Adults:</w:t>
            </w:r>
            <w:r>
              <w:rPr>
                <w:rFonts w:eastAsia="Times New Roman"/>
                <w:sz w:val="18"/>
                <w:szCs w:val="18"/>
                <w:lang w:eastAsia="en-AU"/>
              </w:rPr>
              <w:t xml:space="preserve"> awaiting release of STEPS survey in early 2019</w:t>
            </w:r>
          </w:p>
        </w:tc>
      </w:tr>
      <w:tr w:rsidR="000B54BD" w:rsidRPr="00457E15" w14:paraId="74C7F39D" w14:textId="77777777" w:rsidTr="00E97A3B">
        <w:trPr>
          <w:gridAfter w:val="1"/>
          <w:wAfter w:w="2" w:type="pct"/>
          <w:trHeight w:val="229"/>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46603B18"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b/>
                <w:sz w:val="18"/>
                <w:szCs w:val="18"/>
                <w:lang w:eastAsia="en-AU"/>
              </w:rPr>
              <w:t>Reduce Alcohol related harm</w:t>
            </w:r>
          </w:p>
        </w:tc>
      </w:tr>
      <w:tr w:rsidR="000B54BD" w:rsidRPr="00457E15" w14:paraId="307B22F1" w14:textId="77777777" w:rsidTr="00E97A3B">
        <w:trPr>
          <w:gridAfter w:val="2"/>
          <w:wAfter w:w="7" w:type="pct"/>
          <w:trHeight w:val="456"/>
        </w:trPr>
        <w:tc>
          <w:tcPr>
            <w:tcW w:w="338" w:type="pct"/>
            <w:tcBorders>
              <w:top w:val="single" w:sz="4" w:space="0" w:color="auto"/>
              <w:left w:val="single" w:sz="4" w:space="0" w:color="auto"/>
              <w:bottom w:val="single" w:sz="4" w:space="0" w:color="auto"/>
              <w:right w:val="nil"/>
            </w:tcBorders>
            <w:shd w:val="clear" w:color="auto" w:fill="auto"/>
            <w:noWrap/>
            <w:hideMark/>
          </w:tcPr>
          <w:p w14:paraId="35D9BD74"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38</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7D45E8DF" w14:textId="77777777" w:rsidR="000B54BD" w:rsidRPr="00457E15" w:rsidRDefault="000B54BD" w:rsidP="00E97A3B">
            <w:pPr>
              <w:spacing w:after="0" w:line="240" w:lineRule="auto"/>
              <w:rPr>
                <w:rFonts w:eastAsia="Times New Roman"/>
                <w:sz w:val="18"/>
                <w:szCs w:val="18"/>
                <w:lang w:eastAsia="en-AU"/>
              </w:rPr>
            </w:pPr>
            <w:r w:rsidRPr="0022482F">
              <w:rPr>
                <w:rFonts w:eastAsia="Times New Roman" w:cs="Arial"/>
                <w:b/>
                <w:sz w:val="18"/>
                <w:szCs w:val="18"/>
                <w:lang w:eastAsia="en-AU"/>
              </w:rPr>
              <w:t>OUTCOME:</w:t>
            </w:r>
            <w:r w:rsidRPr="00457E15">
              <w:rPr>
                <w:rFonts w:eastAsia="Times New Roman" w:cs="Arial"/>
                <w:sz w:val="18"/>
                <w:szCs w:val="18"/>
                <w:lang w:eastAsia="en-AU"/>
              </w:rPr>
              <w:t xml:space="preserve"> Prevalence of heavy episodic drinking among adolescents and adults</w:t>
            </w:r>
            <w:r>
              <w:rPr>
                <w:rFonts w:eastAsia="Times New Roman" w:cs="Arial"/>
                <w:sz w:val="18"/>
                <w:szCs w:val="18"/>
                <w:lang w:eastAsia="en-AU"/>
              </w:rPr>
              <w:t xml:space="preserve"> who are current drinkers</w:t>
            </w:r>
          </w:p>
        </w:tc>
        <w:tc>
          <w:tcPr>
            <w:tcW w:w="850" w:type="pct"/>
            <w:tcBorders>
              <w:top w:val="nil"/>
              <w:left w:val="nil"/>
              <w:bottom w:val="single" w:sz="4" w:space="0" w:color="auto"/>
              <w:right w:val="single" w:sz="4" w:space="0" w:color="auto"/>
            </w:tcBorders>
            <w:shd w:val="clear" w:color="auto" w:fill="FFFFFF" w:themeFill="background1"/>
            <w:hideMark/>
          </w:tcPr>
          <w:p w14:paraId="7E03BC21"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H</w:t>
            </w:r>
            <w:r w:rsidRPr="0066278B">
              <w:rPr>
                <w:rFonts w:eastAsia="Times New Roman" w:cs="Arial"/>
                <w:sz w:val="18"/>
                <w:szCs w:val="18"/>
                <w:lang w:eastAsia="en-AU"/>
              </w:rPr>
              <w:t xml:space="preserve">eavy episodic drinking </w:t>
            </w:r>
            <w:r>
              <w:rPr>
                <w:rFonts w:eastAsia="Times New Roman" w:cs="Arial"/>
                <w:sz w:val="18"/>
                <w:szCs w:val="18"/>
                <w:lang w:eastAsia="en-AU"/>
              </w:rPr>
              <w:t xml:space="preserve">defined for </w:t>
            </w:r>
            <w:r w:rsidRPr="0066278B">
              <w:rPr>
                <w:rFonts w:eastAsia="Times New Roman" w:cs="Arial"/>
                <w:sz w:val="18"/>
                <w:szCs w:val="18"/>
                <w:lang w:eastAsia="en-AU"/>
              </w:rPr>
              <w:t xml:space="preserve">men </w:t>
            </w:r>
            <w:r>
              <w:rPr>
                <w:rFonts w:eastAsia="Times New Roman" w:cs="Arial"/>
                <w:sz w:val="18"/>
                <w:szCs w:val="18"/>
                <w:lang w:eastAsia="en-AU"/>
              </w:rPr>
              <w:t xml:space="preserve">as </w:t>
            </w:r>
            <w:r w:rsidRPr="0066278B">
              <w:rPr>
                <w:rFonts w:eastAsia="Times New Roman" w:cs="Arial"/>
                <w:sz w:val="18"/>
                <w:szCs w:val="18"/>
                <w:lang w:eastAsia="en-AU"/>
              </w:rPr>
              <w:t xml:space="preserve">5 or more or more </w:t>
            </w:r>
            <w:r>
              <w:rPr>
                <w:rFonts w:eastAsia="Times New Roman" w:cs="Arial"/>
                <w:sz w:val="18"/>
                <w:szCs w:val="18"/>
                <w:lang w:eastAsia="en-AU"/>
              </w:rPr>
              <w:t>drinks on any day in the past 7</w:t>
            </w:r>
            <w:r w:rsidRPr="0066278B">
              <w:rPr>
                <w:rFonts w:eastAsia="Times New Roman" w:cs="Arial"/>
                <w:sz w:val="18"/>
                <w:szCs w:val="18"/>
                <w:lang w:eastAsia="en-AU"/>
              </w:rPr>
              <w:t xml:space="preserve"> days </w:t>
            </w:r>
            <w:r>
              <w:rPr>
                <w:rFonts w:eastAsia="Times New Roman" w:cs="Arial"/>
                <w:sz w:val="18"/>
                <w:szCs w:val="18"/>
                <w:lang w:eastAsia="en-AU"/>
              </w:rPr>
              <w:t xml:space="preserve">and for </w:t>
            </w:r>
            <w:r w:rsidRPr="0066278B">
              <w:rPr>
                <w:rFonts w:eastAsia="Times New Roman" w:cs="Arial"/>
                <w:sz w:val="18"/>
                <w:szCs w:val="18"/>
                <w:lang w:eastAsia="en-AU"/>
              </w:rPr>
              <w:t xml:space="preserve">women </w:t>
            </w:r>
            <w:r>
              <w:rPr>
                <w:rFonts w:eastAsia="Times New Roman" w:cs="Arial"/>
                <w:sz w:val="18"/>
                <w:szCs w:val="18"/>
                <w:lang w:eastAsia="en-AU"/>
              </w:rPr>
              <w:t>as</w:t>
            </w:r>
            <w:r w:rsidRPr="0066278B">
              <w:rPr>
                <w:rFonts w:eastAsia="Times New Roman" w:cs="Arial"/>
                <w:sz w:val="18"/>
                <w:szCs w:val="18"/>
                <w:lang w:eastAsia="en-AU"/>
              </w:rPr>
              <w:t xml:space="preserve"> 4 or more drinks</w:t>
            </w:r>
            <w:r>
              <w:rPr>
                <w:rFonts w:eastAsia="Times New Roman" w:cs="Arial"/>
                <w:sz w:val="18"/>
                <w:szCs w:val="18"/>
                <w:lang w:eastAsia="en-AU"/>
              </w:rPr>
              <w:t xml:space="preserve"> on any day in the past 7 days</w:t>
            </w:r>
          </w:p>
          <w:p w14:paraId="70552769" w14:textId="77777777" w:rsidR="000B54BD" w:rsidRPr="0066278B" w:rsidRDefault="000B54BD" w:rsidP="00E97A3B">
            <w:pPr>
              <w:spacing w:after="0" w:line="240" w:lineRule="auto"/>
              <w:rPr>
                <w:rFonts w:eastAsia="Times New Roman" w:cs="Arial"/>
                <w:sz w:val="18"/>
                <w:szCs w:val="18"/>
                <w:lang w:eastAsia="en-AU"/>
              </w:rPr>
            </w:pPr>
          </w:p>
          <w:p w14:paraId="0DD5D6DE" w14:textId="77777777" w:rsidR="000B54BD" w:rsidRPr="0066278B" w:rsidRDefault="000B54BD" w:rsidP="00E97A3B">
            <w:pPr>
              <w:spacing w:after="0" w:line="240" w:lineRule="auto"/>
              <w:rPr>
                <w:rFonts w:eastAsia="Times New Roman" w:cs="Arial"/>
                <w:sz w:val="18"/>
                <w:szCs w:val="18"/>
                <w:lang w:eastAsia="en-AU"/>
              </w:rPr>
            </w:pPr>
            <w:r w:rsidRPr="0066278B">
              <w:rPr>
                <w:rFonts w:eastAsia="Times New Roman" w:cs="Arial"/>
                <w:sz w:val="18"/>
                <w:szCs w:val="18"/>
                <w:lang w:eastAsia="en-AU"/>
              </w:rPr>
              <w:t xml:space="preserve">Numerator: Number of people who </w:t>
            </w:r>
            <w:r>
              <w:rPr>
                <w:rFonts w:eastAsia="Times New Roman" w:cs="Arial"/>
                <w:sz w:val="18"/>
                <w:szCs w:val="18"/>
                <w:lang w:eastAsia="en-AU"/>
              </w:rPr>
              <w:t>have had heavy episodic drinking in the past 30 days</w:t>
            </w:r>
          </w:p>
          <w:p w14:paraId="5FA0AF87" w14:textId="77777777" w:rsidR="000B54BD" w:rsidRPr="0066278B" w:rsidRDefault="000B54BD" w:rsidP="00E97A3B">
            <w:pPr>
              <w:spacing w:after="0" w:line="240" w:lineRule="auto"/>
              <w:rPr>
                <w:rFonts w:eastAsia="Times New Roman" w:cs="Arial"/>
                <w:sz w:val="18"/>
                <w:szCs w:val="18"/>
                <w:lang w:eastAsia="en-AU"/>
              </w:rPr>
            </w:pPr>
          </w:p>
          <w:p w14:paraId="327AC6AE" w14:textId="77777777" w:rsidR="000B54BD" w:rsidRPr="00457E15" w:rsidRDefault="000B54BD" w:rsidP="00E97A3B">
            <w:pPr>
              <w:spacing w:after="0" w:line="240" w:lineRule="auto"/>
              <w:rPr>
                <w:rFonts w:eastAsia="Times New Roman" w:cs="Arial"/>
                <w:sz w:val="18"/>
                <w:szCs w:val="18"/>
                <w:lang w:eastAsia="en-AU"/>
              </w:rPr>
            </w:pPr>
            <w:r w:rsidRPr="0066278B">
              <w:rPr>
                <w:rFonts w:eastAsia="Times New Roman" w:cs="Arial"/>
                <w:sz w:val="18"/>
                <w:szCs w:val="18"/>
                <w:lang w:eastAsia="en-AU"/>
              </w:rPr>
              <w:t>Denominator: Total number of people</w:t>
            </w:r>
            <w:r>
              <w:rPr>
                <w:rFonts w:eastAsia="Times New Roman" w:cs="Arial"/>
                <w:sz w:val="18"/>
                <w:szCs w:val="18"/>
                <w:lang w:eastAsia="en-AU"/>
              </w:rPr>
              <w:t xml:space="preserve"> who drank alcohol in the previous 30 days </w:t>
            </w:r>
            <w:r w:rsidRPr="0066278B">
              <w:rPr>
                <w:rFonts w:eastAsia="Times New Roman" w:cs="Arial"/>
                <w:sz w:val="18"/>
                <w:szCs w:val="18"/>
                <w:lang w:eastAsia="en-AU"/>
              </w:rPr>
              <w:t xml:space="preserve"> (for the defined age group)</w:t>
            </w:r>
          </w:p>
        </w:tc>
        <w:tc>
          <w:tcPr>
            <w:tcW w:w="450" w:type="pct"/>
            <w:tcBorders>
              <w:top w:val="nil"/>
              <w:left w:val="nil"/>
              <w:bottom w:val="single" w:sz="4" w:space="0" w:color="auto"/>
              <w:right w:val="single" w:sz="4" w:space="0" w:color="auto"/>
            </w:tcBorders>
            <w:shd w:val="clear" w:color="auto" w:fill="auto"/>
          </w:tcPr>
          <w:p w14:paraId="2B24C59F" w14:textId="77777777" w:rsidR="000B54BD" w:rsidRPr="00457E15" w:rsidRDefault="000B54BD" w:rsidP="00E97A3B">
            <w:pPr>
              <w:spacing w:after="0" w:line="240" w:lineRule="auto"/>
              <w:rPr>
                <w:rFonts w:eastAsia="Times New Roman"/>
                <w:sz w:val="18"/>
                <w:szCs w:val="18"/>
                <w:lang w:eastAsia="en-AU"/>
              </w:rPr>
            </w:pPr>
            <w:r>
              <w:rPr>
                <w:rFonts w:eastAsia="Times New Roman" w:cs="Arial"/>
                <w:sz w:val="18"/>
                <w:szCs w:val="18"/>
                <w:lang w:eastAsia="en-AU"/>
              </w:rPr>
              <w:t xml:space="preserve">Decrease </w:t>
            </w:r>
          </w:p>
        </w:tc>
        <w:tc>
          <w:tcPr>
            <w:tcW w:w="550" w:type="pct"/>
            <w:tcBorders>
              <w:top w:val="nil"/>
              <w:left w:val="single" w:sz="4" w:space="0" w:color="auto"/>
              <w:bottom w:val="single" w:sz="4" w:space="0" w:color="auto"/>
              <w:right w:val="single" w:sz="4" w:space="0" w:color="auto"/>
            </w:tcBorders>
            <w:shd w:val="clear" w:color="auto" w:fill="auto"/>
          </w:tcPr>
          <w:p w14:paraId="3CBE3862" w14:textId="77777777" w:rsidR="000B54BD" w:rsidRPr="00CC2CE3" w:rsidRDefault="000B54BD" w:rsidP="00E97A3B">
            <w:pPr>
              <w:spacing w:after="0" w:line="240" w:lineRule="auto"/>
              <w:rPr>
                <w:rFonts w:eastAsia="Times New Roman" w:cs="Arial"/>
                <w:b/>
                <w:sz w:val="18"/>
                <w:szCs w:val="18"/>
                <w:lang w:eastAsia="en-AU"/>
              </w:rPr>
            </w:pPr>
            <w:r w:rsidRPr="00CC2CE3">
              <w:rPr>
                <w:rFonts w:eastAsia="Times New Roman" w:cs="Arial"/>
                <w:b/>
                <w:sz w:val="18"/>
                <w:szCs w:val="18"/>
                <w:lang w:eastAsia="en-AU"/>
              </w:rPr>
              <w:t>Primary source:</w:t>
            </w:r>
          </w:p>
          <w:p w14:paraId="6885D659"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STEPS 2014, 2016 and 2020</w:t>
            </w:r>
          </w:p>
          <w:p w14:paraId="717D10DC" w14:textId="77777777" w:rsidR="000B54BD" w:rsidRPr="00CC2CE3" w:rsidRDefault="000B54BD" w:rsidP="00E97A3B">
            <w:pPr>
              <w:spacing w:after="0" w:line="240" w:lineRule="auto"/>
              <w:rPr>
                <w:rFonts w:eastAsia="Times New Roman" w:cs="Arial"/>
                <w:sz w:val="18"/>
                <w:szCs w:val="18"/>
                <w:lang w:eastAsia="en-AU"/>
              </w:rPr>
            </w:pPr>
            <w:r w:rsidRPr="00CC2CE3">
              <w:rPr>
                <w:rFonts w:eastAsia="Times New Roman" w:cs="Arial"/>
                <w:sz w:val="18"/>
                <w:szCs w:val="18"/>
                <w:lang w:eastAsia="en-AU"/>
              </w:rPr>
              <w:t>GSHS 2016</w:t>
            </w:r>
            <w:r>
              <w:rPr>
                <w:rFonts w:eastAsia="Times New Roman" w:cs="Arial"/>
                <w:sz w:val="18"/>
                <w:szCs w:val="18"/>
                <w:lang w:eastAsia="en-AU"/>
              </w:rPr>
              <w:t xml:space="preserve"> and 2020</w:t>
            </w:r>
          </w:p>
          <w:p w14:paraId="65FCC3C7" w14:textId="77777777" w:rsidR="000B54BD" w:rsidRDefault="000B54BD" w:rsidP="00E97A3B">
            <w:pPr>
              <w:spacing w:after="0" w:line="240" w:lineRule="auto"/>
              <w:rPr>
                <w:rFonts w:eastAsia="Times New Roman" w:cs="Arial"/>
                <w:sz w:val="18"/>
                <w:szCs w:val="18"/>
                <w:lang w:eastAsia="en-AU"/>
              </w:rPr>
            </w:pPr>
          </w:p>
          <w:p w14:paraId="2CEF8CE0" w14:textId="77777777" w:rsidR="000B54BD" w:rsidRPr="00536EB5" w:rsidRDefault="000B54BD" w:rsidP="00E97A3B">
            <w:pPr>
              <w:spacing w:after="0" w:line="240" w:lineRule="auto"/>
              <w:rPr>
                <w:rFonts w:eastAsia="Times New Roman" w:cs="Arial"/>
                <w:b/>
                <w:i/>
                <w:sz w:val="18"/>
                <w:szCs w:val="18"/>
                <w:lang w:eastAsia="en-AU"/>
              </w:rPr>
            </w:pPr>
            <w:r w:rsidRPr="00536EB5">
              <w:rPr>
                <w:rFonts w:eastAsia="Times New Roman" w:cs="Arial"/>
                <w:b/>
                <w:i/>
                <w:sz w:val="18"/>
                <w:szCs w:val="18"/>
                <w:lang w:eastAsia="en-AU"/>
              </w:rPr>
              <w:t>Note: Heavy episodic drinking is not reported in the GSHS</w:t>
            </w:r>
          </w:p>
        </w:tc>
        <w:tc>
          <w:tcPr>
            <w:tcW w:w="550" w:type="pct"/>
            <w:tcBorders>
              <w:top w:val="nil"/>
              <w:left w:val="nil"/>
              <w:bottom w:val="single" w:sz="4" w:space="0" w:color="auto"/>
              <w:right w:val="single" w:sz="4" w:space="0" w:color="auto"/>
            </w:tcBorders>
            <w:shd w:val="clear" w:color="auto" w:fill="auto"/>
          </w:tcPr>
          <w:p w14:paraId="7CFC3035" w14:textId="77777777" w:rsidR="000B54BD" w:rsidRPr="007655CD" w:rsidRDefault="000B54BD" w:rsidP="00E97A3B">
            <w:pPr>
              <w:spacing w:after="0" w:line="240" w:lineRule="auto"/>
              <w:rPr>
                <w:rFonts w:eastAsia="Times New Roman" w:cs="Arial"/>
                <w:sz w:val="18"/>
                <w:szCs w:val="18"/>
                <w:lang w:eastAsia="en-AU"/>
              </w:rPr>
            </w:pPr>
            <w:r w:rsidRPr="007655CD">
              <w:rPr>
                <w:rFonts w:eastAsia="Times New Roman" w:cs="Arial"/>
                <w:sz w:val="18"/>
                <w:szCs w:val="18"/>
                <w:lang w:eastAsia="en-AU"/>
              </w:rPr>
              <w:t>13 – 17 Males: Data from GSHS 2016</w:t>
            </w:r>
          </w:p>
          <w:p w14:paraId="71D2625A" w14:textId="77777777" w:rsidR="000B54BD" w:rsidRPr="007655CD" w:rsidRDefault="000B54BD" w:rsidP="00E97A3B">
            <w:pPr>
              <w:spacing w:after="0" w:line="240" w:lineRule="auto"/>
              <w:rPr>
                <w:rFonts w:eastAsia="Times New Roman" w:cs="Arial"/>
                <w:sz w:val="18"/>
                <w:szCs w:val="18"/>
                <w:lang w:eastAsia="en-AU"/>
              </w:rPr>
            </w:pPr>
            <w:r w:rsidRPr="007655CD">
              <w:rPr>
                <w:rFonts w:eastAsia="Times New Roman" w:cs="Arial"/>
                <w:sz w:val="18"/>
                <w:szCs w:val="18"/>
                <w:lang w:eastAsia="en-AU"/>
              </w:rPr>
              <w:t>Females: Data from GSHS 2016</w:t>
            </w:r>
          </w:p>
          <w:p w14:paraId="2F1415B3" w14:textId="77777777" w:rsidR="000B54BD" w:rsidRPr="007655CD" w:rsidRDefault="000B54BD" w:rsidP="00E97A3B">
            <w:pPr>
              <w:spacing w:after="0" w:line="240" w:lineRule="auto"/>
              <w:rPr>
                <w:rFonts w:eastAsia="Times New Roman" w:cs="Arial"/>
                <w:sz w:val="18"/>
                <w:szCs w:val="18"/>
                <w:lang w:eastAsia="en-AU"/>
              </w:rPr>
            </w:pPr>
            <w:r w:rsidRPr="007655CD">
              <w:rPr>
                <w:rFonts w:eastAsia="Times New Roman" w:cs="Arial"/>
                <w:sz w:val="18"/>
                <w:szCs w:val="18"/>
                <w:lang w:eastAsia="en-AU"/>
              </w:rPr>
              <w:t>Both sexes: Data from GSHS 2016</w:t>
            </w:r>
          </w:p>
          <w:p w14:paraId="3091495F" w14:textId="77777777" w:rsidR="000B54BD" w:rsidRPr="007655CD" w:rsidRDefault="000B54BD" w:rsidP="00E97A3B">
            <w:pPr>
              <w:spacing w:after="0" w:line="240" w:lineRule="auto"/>
              <w:rPr>
                <w:rFonts w:eastAsia="Times New Roman" w:cs="Arial"/>
                <w:sz w:val="18"/>
                <w:szCs w:val="18"/>
                <w:lang w:eastAsia="en-AU"/>
              </w:rPr>
            </w:pPr>
          </w:p>
          <w:p w14:paraId="50B89714" w14:textId="77777777" w:rsidR="000B54BD" w:rsidRPr="007655CD" w:rsidRDefault="000B54BD" w:rsidP="00E97A3B">
            <w:pPr>
              <w:spacing w:after="0" w:line="240" w:lineRule="auto"/>
              <w:rPr>
                <w:rFonts w:eastAsia="Times New Roman" w:cs="Arial"/>
                <w:sz w:val="18"/>
                <w:szCs w:val="18"/>
                <w:lang w:eastAsia="en-AU"/>
              </w:rPr>
            </w:pPr>
          </w:p>
          <w:p w14:paraId="5488C4BD" w14:textId="77777777" w:rsidR="000B54BD" w:rsidRPr="007655CD" w:rsidRDefault="000B54BD" w:rsidP="00E97A3B">
            <w:pPr>
              <w:spacing w:after="0" w:line="240" w:lineRule="auto"/>
              <w:rPr>
                <w:rFonts w:eastAsia="Times New Roman" w:cs="Arial"/>
                <w:sz w:val="18"/>
                <w:szCs w:val="18"/>
                <w:lang w:eastAsia="en-AU"/>
              </w:rPr>
            </w:pPr>
            <w:r w:rsidRPr="007655CD">
              <w:rPr>
                <w:rFonts w:eastAsia="Times New Roman" w:cs="Arial"/>
                <w:sz w:val="18"/>
                <w:szCs w:val="18"/>
                <w:lang w:eastAsia="en-AU"/>
              </w:rPr>
              <w:t>18 – 24 Males: Data from STEPS 2016</w:t>
            </w:r>
          </w:p>
          <w:p w14:paraId="1DF064C6" w14:textId="77777777" w:rsidR="000B54BD" w:rsidRPr="007655CD" w:rsidRDefault="000B54BD" w:rsidP="00E97A3B">
            <w:pPr>
              <w:spacing w:after="0" w:line="240" w:lineRule="auto"/>
              <w:rPr>
                <w:rFonts w:eastAsia="Times New Roman" w:cs="Arial"/>
                <w:sz w:val="18"/>
                <w:szCs w:val="18"/>
                <w:lang w:eastAsia="en-AU"/>
              </w:rPr>
            </w:pPr>
            <w:r w:rsidRPr="007655CD">
              <w:rPr>
                <w:rFonts w:eastAsia="Times New Roman" w:cs="Arial"/>
                <w:sz w:val="18"/>
                <w:szCs w:val="18"/>
                <w:lang w:eastAsia="en-AU"/>
              </w:rPr>
              <w:t>Females: Data from STEPS 2016</w:t>
            </w:r>
          </w:p>
          <w:p w14:paraId="2A56B8CD" w14:textId="77777777" w:rsidR="000B54BD" w:rsidRDefault="000B54BD" w:rsidP="00E97A3B">
            <w:pPr>
              <w:spacing w:after="0" w:line="240" w:lineRule="auto"/>
              <w:rPr>
                <w:rFonts w:eastAsia="Times New Roman" w:cs="Arial"/>
                <w:sz w:val="18"/>
                <w:szCs w:val="18"/>
                <w:lang w:eastAsia="en-AU"/>
              </w:rPr>
            </w:pPr>
            <w:r w:rsidRPr="007655CD">
              <w:rPr>
                <w:rFonts w:eastAsia="Times New Roman" w:cs="Arial"/>
                <w:sz w:val="18"/>
                <w:szCs w:val="18"/>
                <w:lang w:eastAsia="en-AU"/>
              </w:rPr>
              <w:t>Both sexes: Data from STEPS 2016</w:t>
            </w:r>
          </w:p>
          <w:p w14:paraId="5BFC6524" w14:textId="77777777" w:rsidR="000B54BD" w:rsidRPr="00965DFA" w:rsidRDefault="000B54BD" w:rsidP="00E97A3B">
            <w:pPr>
              <w:spacing w:after="0" w:line="240" w:lineRule="auto"/>
              <w:rPr>
                <w:rFonts w:eastAsia="Times New Roman" w:cs="Arial"/>
                <w:sz w:val="18"/>
                <w:szCs w:val="18"/>
                <w:lang w:eastAsia="en-AU"/>
              </w:rPr>
            </w:pPr>
          </w:p>
          <w:p w14:paraId="7CC0F9A8"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25-44</w:t>
            </w:r>
          </w:p>
          <w:p w14:paraId="12368B3C"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66.3%</w:t>
            </w:r>
          </w:p>
          <w:p w14:paraId="5188312C"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70D33D8C"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38.9 %</w:t>
            </w:r>
          </w:p>
          <w:p w14:paraId="72ED1885"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0CD29F7B"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Not available </w:t>
            </w:r>
          </w:p>
          <w:p w14:paraId="073CDA39"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45-64</w:t>
            </w:r>
          </w:p>
          <w:p w14:paraId="448C7A73"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41.5%</w:t>
            </w:r>
          </w:p>
          <w:p w14:paraId="5C425B07"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78AAFFCB"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21.7 %</w:t>
            </w:r>
          </w:p>
          <w:p w14:paraId="5324104C"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29920FB3" w14:textId="77777777" w:rsidR="000B54BD"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Not available</w:t>
            </w:r>
          </w:p>
          <w:p w14:paraId="63710291" w14:textId="77777777" w:rsidR="000B54BD" w:rsidRPr="00457E15" w:rsidRDefault="000B54BD" w:rsidP="00E97A3B">
            <w:pPr>
              <w:spacing w:after="0" w:line="240" w:lineRule="auto"/>
              <w:rPr>
                <w:rFonts w:eastAsia="Times New Roman"/>
                <w:sz w:val="18"/>
                <w:szCs w:val="18"/>
                <w:lang w:eastAsia="en-AU"/>
              </w:rPr>
            </w:pPr>
          </w:p>
        </w:tc>
        <w:tc>
          <w:tcPr>
            <w:tcW w:w="501" w:type="pct"/>
            <w:tcBorders>
              <w:top w:val="nil"/>
              <w:left w:val="nil"/>
              <w:bottom w:val="single" w:sz="4" w:space="0" w:color="auto"/>
              <w:right w:val="single" w:sz="4" w:space="0" w:color="auto"/>
            </w:tcBorders>
            <w:shd w:val="clear" w:color="auto" w:fill="auto"/>
          </w:tcPr>
          <w:p w14:paraId="017C6BE4"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1D43BCEF"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GSHS and STEPS data collected in 2016</w:t>
            </w:r>
          </w:p>
        </w:tc>
        <w:tc>
          <w:tcPr>
            <w:tcW w:w="655" w:type="pct"/>
            <w:tcBorders>
              <w:top w:val="nil"/>
              <w:left w:val="nil"/>
              <w:bottom w:val="single" w:sz="4" w:space="0" w:color="auto"/>
              <w:right w:val="single" w:sz="4" w:space="0" w:color="auto"/>
            </w:tcBorders>
            <w:shd w:val="clear" w:color="auto" w:fill="auto"/>
          </w:tcPr>
          <w:p w14:paraId="4AB3CBA8"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Adolescents aged 13-17 years who currently drink alcohol, GSHS 2017:</w:t>
            </w:r>
          </w:p>
          <w:p w14:paraId="6E98BF29"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Male: 19.6%</w:t>
            </w:r>
          </w:p>
          <w:p w14:paraId="74EA8938"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Female: 8.3%</w:t>
            </w:r>
          </w:p>
          <w:p w14:paraId="649F16F6"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All: 14.0%</w:t>
            </w:r>
          </w:p>
          <w:p w14:paraId="4640D1AE" w14:textId="77777777" w:rsidR="000B54BD" w:rsidRDefault="000B54BD" w:rsidP="00E97A3B">
            <w:pPr>
              <w:spacing w:after="0" w:line="240" w:lineRule="auto"/>
              <w:rPr>
                <w:rFonts w:eastAsia="Times New Roman"/>
                <w:sz w:val="18"/>
                <w:szCs w:val="18"/>
                <w:lang w:eastAsia="en-AU"/>
              </w:rPr>
            </w:pPr>
          </w:p>
          <w:p w14:paraId="3FB8D2C8"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Adults: awaiting release of STEPS survey in early 2019</w:t>
            </w:r>
          </w:p>
        </w:tc>
      </w:tr>
      <w:tr w:rsidR="000B54BD" w:rsidRPr="00457E15" w14:paraId="13F04230" w14:textId="77777777" w:rsidTr="00E97A3B">
        <w:trPr>
          <w:gridAfter w:val="1"/>
          <w:wAfter w:w="2" w:type="pct"/>
          <w:trHeight w:val="271"/>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7EF83AAF"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b/>
                <w:sz w:val="18"/>
                <w:szCs w:val="18"/>
                <w:lang w:eastAsia="en-AU"/>
              </w:rPr>
              <w:t>Reduce Tobacco related harm</w:t>
            </w:r>
          </w:p>
        </w:tc>
      </w:tr>
      <w:tr w:rsidR="000B54BD" w:rsidRPr="00457E15" w14:paraId="5814D158" w14:textId="77777777" w:rsidTr="00E97A3B">
        <w:trPr>
          <w:gridAfter w:val="2"/>
          <w:wAfter w:w="7" w:type="pct"/>
          <w:trHeight w:val="400"/>
        </w:trPr>
        <w:tc>
          <w:tcPr>
            <w:tcW w:w="338" w:type="pct"/>
            <w:tcBorders>
              <w:top w:val="single" w:sz="4" w:space="0" w:color="auto"/>
              <w:left w:val="single" w:sz="4" w:space="0" w:color="auto"/>
              <w:bottom w:val="single" w:sz="4" w:space="0" w:color="auto"/>
              <w:right w:val="nil"/>
            </w:tcBorders>
            <w:shd w:val="clear" w:color="auto" w:fill="auto"/>
            <w:noWrap/>
            <w:hideMark/>
          </w:tcPr>
          <w:p w14:paraId="0327F399"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39</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B8E4FD" w14:textId="77777777" w:rsidR="000B54BD" w:rsidRPr="00457E15" w:rsidRDefault="000B54BD" w:rsidP="00E97A3B">
            <w:pPr>
              <w:spacing w:after="0" w:line="240" w:lineRule="auto"/>
              <w:rPr>
                <w:rFonts w:eastAsia="Times New Roman"/>
                <w:sz w:val="18"/>
                <w:szCs w:val="18"/>
                <w:lang w:eastAsia="en-AU"/>
              </w:rPr>
            </w:pPr>
            <w:r w:rsidRPr="0022482F">
              <w:rPr>
                <w:rFonts w:eastAsia="Times New Roman" w:cs="Arial"/>
                <w:b/>
                <w:sz w:val="18"/>
                <w:szCs w:val="18"/>
                <w:lang w:eastAsia="en-AU"/>
              </w:rPr>
              <w:t>OUTCOME:</w:t>
            </w:r>
            <w:r w:rsidRPr="00457E15">
              <w:rPr>
                <w:rFonts w:eastAsia="Times New Roman" w:cs="Arial"/>
                <w:sz w:val="18"/>
                <w:szCs w:val="18"/>
                <w:lang w:eastAsia="en-AU"/>
              </w:rPr>
              <w:t xml:space="preserve"> Prevalence of current tobacco use among adults</w:t>
            </w:r>
            <w:r>
              <w:rPr>
                <w:rFonts w:eastAsia="Times New Roman" w:cs="Arial"/>
                <w:sz w:val="18"/>
                <w:szCs w:val="18"/>
                <w:lang w:eastAsia="en-AU"/>
              </w:rPr>
              <w:t xml:space="preserve"> and adolescents </w:t>
            </w:r>
          </w:p>
        </w:tc>
        <w:tc>
          <w:tcPr>
            <w:tcW w:w="850" w:type="pct"/>
            <w:tcBorders>
              <w:top w:val="nil"/>
              <w:left w:val="nil"/>
              <w:bottom w:val="single" w:sz="4" w:space="0" w:color="auto"/>
              <w:right w:val="single" w:sz="4" w:space="0" w:color="auto"/>
            </w:tcBorders>
            <w:shd w:val="clear" w:color="auto" w:fill="auto"/>
            <w:hideMark/>
          </w:tcPr>
          <w:p w14:paraId="06357E6E"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Tobacco use defined as those who currently smoke</w:t>
            </w:r>
          </w:p>
          <w:p w14:paraId="4D3FF523" w14:textId="77777777" w:rsidR="000B54BD" w:rsidRDefault="000B54BD" w:rsidP="00E97A3B">
            <w:pPr>
              <w:spacing w:after="0" w:line="240" w:lineRule="auto"/>
              <w:rPr>
                <w:rFonts w:eastAsia="Times New Roman" w:cs="Arial"/>
                <w:sz w:val="18"/>
                <w:szCs w:val="18"/>
                <w:lang w:eastAsia="en-AU"/>
              </w:rPr>
            </w:pPr>
          </w:p>
          <w:p w14:paraId="29AC1BE1" w14:textId="77777777" w:rsidR="000B54BD" w:rsidRPr="0066278B" w:rsidRDefault="000B54BD" w:rsidP="00E97A3B">
            <w:pPr>
              <w:spacing w:after="0" w:line="240" w:lineRule="auto"/>
              <w:rPr>
                <w:rFonts w:eastAsia="Times New Roman" w:cs="Arial"/>
                <w:sz w:val="18"/>
                <w:szCs w:val="18"/>
                <w:lang w:eastAsia="en-AU"/>
              </w:rPr>
            </w:pPr>
            <w:r w:rsidRPr="0066278B">
              <w:rPr>
                <w:rFonts w:eastAsia="Times New Roman" w:cs="Arial"/>
                <w:sz w:val="18"/>
                <w:szCs w:val="18"/>
                <w:lang w:eastAsia="en-AU"/>
              </w:rPr>
              <w:t xml:space="preserve">Numerator: Number of people </w:t>
            </w:r>
            <w:r>
              <w:rPr>
                <w:rFonts w:eastAsia="Times New Roman" w:cs="Arial"/>
                <w:sz w:val="18"/>
                <w:szCs w:val="18"/>
                <w:lang w:eastAsia="en-AU"/>
              </w:rPr>
              <w:t>currently smoke</w:t>
            </w:r>
          </w:p>
          <w:p w14:paraId="4AB64A40" w14:textId="77777777" w:rsidR="000B54BD" w:rsidRPr="0066278B" w:rsidRDefault="000B54BD" w:rsidP="00E97A3B">
            <w:pPr>
              <w:spacing w:after="0" w:line="240" w:lineRule="auto"/>
              <w:rPr>
                <w:rFonts w:eastAsia="Times New Roman" w:cs="Arial"/>
                <w:sz w:val="18"/>
                <w:szCs w:val="18"/>
                <w:lang w:eastAsia="en-AU"/>
              </w:rPr>
            </w:pPr>
          </w:p>
          <w:p w14:paraId="4E4B45FA" w14:textId="77777777" w:rsidR="000B54BD" w:rsidRPr="00457E15" w:rsidRDefault="000B54BD" w:rsidP="00E97A3B">
            <w:pPr>
              <w:spacing w:after="0" w:line="240" w:lineRule="auto"/>
              <w:rPr>
                <w:rFonts w:eastAsia="Times New Roman" w:cs="Arial"/>
                <w:sz w:val="18"/>
                <w:szCs w:val="18"/>
                <w:lang w:eastAsia="en-AU"/>
              </w:rPr>
            </w:pPr>
            <w:r w:rsidRPr="0066278B">
              <w:rPr>
                <w:rFonts w:eastAsia="Times New Roman" w:cs="Arial"/>
                <w:sz w:val="18"/>
                <w:szCs w:val="18"/>
                <w:lang w:eastAsia="en-AU"/>
              </w:rPr>
              <w:t>Denominator: Total number of people (for the defined age group)</w:t>
            </w:r>
          </w:p>
        </w:tc>
        <w:tc>
          <w:tcPr>
            <w:tcW w:w="450" w:type="pct"/>
            <w:tcBorders>
              <w:top w:val="nil"/>
              <w:left w:val="nil"/>
              <w:bottom w:val="single" w:sz="4" w:space="0" w:color="auto"/>
              <w:right w:val="single" w:sz="4" w:space="0" w:color="auto"/>
            </w:tcBorders>
          </w:tcPr>
          <w:p w14:paraId="38C861A9" w14:textId="77777777" w:rsidR="000B54BD" w:rsidRPr="00457E15" w:rsidRDefault="000B54BD" w:rsidP="00E97A3B">
            <w:pPr>
              <w:spacing w:after="0" w:line="240" w:lineRule="auto"/>
              <w:rPr>
                <w:rFonts w:eastAsia="Times New Roman"/>
                <w:sz w:val="18"/>
                <w:szCs w:val="18"/>
                <w:lang w:eastAsia="en-AU"/>
              </w:rPr>
            </w:pPr>
            <w:r>
              <w:rPr>
                <w:rFonts w:eastAsia="Times New Roman" w:cs="Arial"/>
                <w:sz w:val="18"/>
                <w:szCs w:val="18"/>
                <w:lang w:eastAsia="en-AU"/>
              </w:rPr>
              <w:t xml:space="preserve">Decrease </w:t>
            </w:r>
          </w:p>
        </w:tc>
        <w:tc>
          <w:tcPr>
            <w:tcW w:w="550" w:type="pct"/>
            <w:tcBorders>
              <w:top w:val="nil"/>
              <w:left w:val="single" w:sz="4" w:space="0" w:color="auto"/>
              <w:bottom w:val="single" w:sz="4" w:space="0" w:color="auto"/>
              <w:right w:val="single" w:sz="4" w:space="0" w:color="auto"/>
            </w:tcBorders>
            <w:shd w:val="clear" w:color="auto" w:fill="auto"/>
          </w:tcPr>
          <w:p w14:paraId="7A576210"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STEPS 2014, 2016 and 2020</w:t>
            </w:r>
          </w:p>
          <w:p w14:paraId="0559FF92" w14:textId="77777777" w:rsidR="000B54BD" w:rsidRPr="00CC2CE3" w:rsidRDefault="000B54BD" w:rsidP="00E97A3B">
            <w:pPr>
              <w:spacing w:after="0" w:line="240" w:lineRule="auto"/>
              <w:rPr>
                <w:rFonts w:eastAsia="Times New Roman" w:cs="Arial"/>
                <w:sz w:val="18"/>
                <w:szCs w:val="18"/>
                <w:lang w:eastAsia="en-AU"/>
              </w:rPr>
            </w:pPr>
            <w:r w:rsidRPr="00CC2CE3">
              <w:rPr>
                <w:rFonts w:eastAsia="Times New Roman" w:cs="Arial"/>
                <w:sz w:val="18"/>
                <w:szCs w:val="18"/>
                <w:lang w:eastAsia="en-AU"/>
              </w:rPr>
              <w:t>GSHS 2016</w:t>
            </w:r>
            <w:r>
              <w:rPr>
                <w:rFonts w:eastAsia="Times New Roman" w:cs="Arial"/>
                <w:sz w:val="18"/>
                <w:szCs w:val="18"/>
                <w:lang w:eastAsia="en-AU"/>
              </w:rPr>
              <w:t xml:space="preserve"> and 2020</w:t>
            </w:r>
          </w:p>
          <w:p w14:paraId="68AE2BF9" w14:textId="77777777" w:rsidR="000B54BD" w:rsidRPr="00457E15" w:rsidRDefault="000B54BD" w:rsidP="00E97A3B">
            <w:pPr>
              <w:spacing w:after="0" w:line="240" w:lineRule="auto"/>
              <w:rPr>
                <w:rFonts w:eastAsia="Times New Roman" w:cs="Arial"/>
                <w:sz w:val="18"/>
                <w:szCs w:val="18"/>
                <w:lang w:eastAsia="en-AU"/>
              </w:rPr>
            </w:pPr>
          </w:p>
        </w:tc>
        <w:tc>
          <w:tcPr>
            <w:tcW w:w="550" w:type="pct"/>
            <w:tcBorders>
              <w:top w:val="nil"/>
              <w:left w:val="nil"/>
              <w:bottom w:val="single" w:sz="4" w:space="0" w:color="auto"/>
              <w:right w:val="single" w:sz="4" w:space="0" w:color="auto"/>
            </w:tcBorders>
            <w:shd w:val="clear" w:color="auto" w:fill="auto"/>
          </w:tcPr>
          <w:p w14:paraId="7CD9E88A"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13 – 17 Males: </w:t>
            </w:r>
            <w:r>
              <w:rPr>
                <w:rFonts w:eastAsia="Times New Roman" w:cs="Arial"/>
                <w:sz w:val="18"/>
                <w:szCs w:val="18"/>
                <w:lang w:eastAsia="en-AU"/>
              </w:rPr>
              <w:t>Data from GSHS 2016</w:t>
            </w:r>
          </w:p>
          <w:p w14:paraId="4EBAE45A"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Females: </w:t>
            </w:r>
            <w:r>
              <w:rPr>
                <w:rFonts w:eastAsia="Times New Roman" w:cs="Arial"/>
                <w:sz w:val="18"/>
                <w:szCs w:val="18"/>
                <w:lang w:eastAsia="en-AU"/>
              </w:rPr>
              <w:t>Data from GSHS 2016</w:t>
            </w:r>
          </w:p>
          <w:p w14:paraId="72D73206"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Both sexes: </w:t>
            </w:r>
            <w:r>
              <w:rPr>
                <w:rFonts w:eastAsia="Times New Roman" w:cs="Arial"/>
                <w:sz w:val="18"/>
                <w:szCs w:val="18"/>
                <w:lang w:eastAsia="en-AU"/>
              </w:rPr>
              <w:t>Data from GSHS 2016</w:t>
            </w:r>
          </w:p>
          <w:p w14:paraId="44A70E82" w14:textId="77777777" w:rsidR="000B54BD" w:rsidRPr="00965DFA" w:rsidRDefault="000B54BD" w:rsidP="00E97A3B">
            <w:pPr>
              <w:spacing w:after="0" w:line="240" w:lineRule="auto"/>
              <w:rPr>
                <w:rFonts w:eastAsia="Times New Roman" w:cs="Arial"/>
                <w:sz w:val="18"/>
                <w:szCs w:val="18"/>
                <w:lang w:eastAsia="en-AU"/>
              </w:rPr>
            </w:pPr>
          </w:p>
          <w:p w14:paraId="57E474A8" w14:textId="77777777" w:rsidR="000B54BD" w:rsidRPr="00965DFA" w:rsidRDefault="000B54BD" w:rsidP="00E97A3B">
            <w:pPr>
              <w:spacing w:after="0" w:line="240" w:lineRule="auto"/>
              <w:rPr>
                <w:rFonts w:eastAsia="Times New Roman" w:cs="Arial"/>
                <w:sz w:val="18"/>
                <w:szCs w:val="18"/>
                <w:lang w:eastAsia="en-AU"/>
              </w:rPr>
            </w:pPr>
          </w:p>
          <w:p w14:paraId="725C2C4B"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18 – 24 Males: </w:t>
            </w:r>
            <w:r>
              <w:rPr>
                <w:rFonts w:eastAsia="Times New Roman" w:cs="Arial"/>
                <w:sz w:val="18"/>
                <w:szCs w:val="18"/>
                <w:lang w:eastAsia="en-AU"/>
              </w:rPr>
              <w:t>Data from STEPS 2016</w:t>
            </w:r>
          </w:p>
          <w:p w14:paraId="551C1C3A"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Females: </w:t>
            </w:r>
            <w:r>
              <w:rPr>
                <w:rFonts w:eastAsia="Times New Roman" w:cs="Arial"/>
                <w:sz w:val="18"/>
                <w:szCs w:val="18"/>
                <w:lang w:eastAsia="en-AU"/>
              </w:rPr>
              <w:t>Data from STEPS 2016</w:t>
            </w:r>
          </w:p>
          <w:p w14:paraId="3273B4F6" w14:textId="77777777" w:rsidR="000B54BD"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Both sexes: </w:t>
            </w:r>
            <w:r>
              <w:rPr>
                <w:rFonts w:eastAsia="Times New Roman" w:cs="Arial"/>
                <w:sz w:val="18"/>
                <w:szCs w:val="18"/>
                <w:lang w:eastAsia="en-AU"/>
              </w:rPr>
              <w:t>Data from STEPS 2016</w:t>
            </w:r>
          </w:p>
          <w:p w14:paraId="1BF21DAE" w14:textId="77777777" w:rsidR="000B54BD" w:rsidRPr="00965DFA" w:rsidRDefault="000B54BD" w:rsidP="00E97A3B">
            <w:pPr>
              <w:spacing w:after="0" w:line="240" w:lineRule="auto"/>
              <w:rPr>
                <w:rFonts w:eastAsia="Times New Roman" w:cs="Arial"/>
                <w:sz w:val="18"/>
                <w:szCs w:val="18"/>
                <w:lang w:eastAsia="en-AU"/>
              </w:rPr>
            </w:pPr>
          </w:p>
          <w:p w14:paraId="32696DA9"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25-44</w:t>
            </w:r>
          </w:p>
          <w:p w14:paraId="11A0B0E2"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40.9%</w:t>
            </w:r>
          </w:p>
          <w:p w14:paraId="5CAE8253"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2DCA9B25"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14.5 %</w:t>
            </w:r>
          </w:p>
          <w:p w14:paraId="50AEB0FC"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58C88584"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27.4 %</w:t>
            </w:r>
          </w:p>
          <w:p w14:paraId="1FB70E38" w14:textId="77777777" w:rsidR="000B54BD" w:rsidRPr="00965DFA" w:rsidRDefault="000B54BD" w:rsidP="00E97A3B">
            <w:pPr>
              <w:spacing w:after="0" w:line="240" w:lineRule="auto"/>
              <w:rPr>
                <w:rFonts w:eastAsia="Times New Roman" w:cs="Arial"/>
                <w:sz w:val="18"/>
                <w:szCs w:val="18"/>
                <w:lang w:eastAsia="en-AU"/>
              </w:rPr>
            </w:pPr>
          </w:p>
          <w:p w14:paraId="4CA93816"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45-64</w:t>
            </w:r>
          </w:p>
          <w:p w14:paraId="12D9713F"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44.6%</w:t>
            </w:r>
          </w:p>
          <w:p w14:paraId="3ADA3BC7"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61341C7B"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8.0 %</w:t>
            </w:r>
          </w:p>
          <w:p w14:paraId="273576B3"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4917669A" w14:textId="77777777" w:rsidR="000B54BD" w:rsidRPr="00457E15" w:rsidRDefault="000B54BD" w:rsidP="00E97A3B">
            <w:pPr>
              <w:spacing w:after="0" w:line="240" w:lineRule="auto"/>
              <w:rPr>
                <w:rFonts w:eastAsia="Times New Roman"/>
                <w:sz w:val="18"/>
                <w:szCs w:val="18"/>
                <w:lang w:eastAsia="en-AU"/>
              </w:rPr>
            </w:pPr>
            <w:r w:rsidRPr="00965DFA">
              <w:rPr>
                <w:rFonts w:eastAsia="Times New Roman" w:cs="Arial"/>
                <w:sz w:val="18"/>
                <w:szCs w:val="18"/>
                <w:lang w:eastAsia="en-AU"/>
              </w:rPr>
              <w:t>25.3 %</w:t>
            </w:r>
          </w:p>
        </w:tc>
        <w:tc>
          <w:tcPr>
            <w:tcW w:w="501" w:type="pct"/>
            <w:tcBorders>
              <w:top w:val="nil"/>
              <w:left w:val="nil"/>
              <w:bottom w:val="single" w:sz="4" w:space="0" w:color="auto"/>
              <w:right w:val="single" w:sz="4" w:space="0" w:color="auto"/>
            </w:tcBorders>
            <w:shd w:val="clear" w:color="auto" w:fill="auto"/>
          </w:tcPr>
          <w:p w14:paraId="21C7F6EB"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0F58481A" w14:textId="77777777" w:rsidR="000B54BD" w:rsidRPr="00457E15" w:rsidRDefault="000B54BD" w:rsidP="00E97A3B">
            <w:pPr>
              <w:spacing w:after="0" w:line="240" w:lineRule="auto"/>
              <w:rPr>
                <w:rFonts w:eastAsia="Times New Roman"/>
                <w:sz w:val="18"/>
                <w:szCs w:val="18"/>
                <w:lang w:eastAsia="en-AU"/>
              </w:rPr>
            </w:pPr>
          </w:p>
        </w:tc>
        <w:tc>
          <w:tcPr>
            <w:tcW w:w="655" w:type="pct"/>
            <w:tcBorders>
              <w:top w:val="nil"/>
              <w:left w:val="nil"/>
              <w:bottom w:val="single" w:sz="4" w:space="0" w:color="auto"/>
              <w:right w:val="single" w:sz="4" w:space="0" w:color="auto"/>
            </w:tcBorders>
            <w:shd w:val="clear" w:color="auto" w:fill="auto"/>
          </w:tcPr>
          <w:p w14:paraId="48D2BFCC" w14:textId="77777777" w:rsidR="000B54BD" w:rsidRPr="00536EB5" w:rsidRDefault="000B54BD" w:rsidP="00E97A3B">
            <w:pPr>
              <w:spacing w:after="0" w:line="240" w:lineRule="auto"/>
              <w:rPr>
                <w:rFonts w:eastAsia="Times New Roman"/>
                <w:sz w:val="18"/>
                <w:szCs w:val="18"/>
                <w:lang w:eastAsia="en-AU"/>
              </w:rPr>
            </w:pPr>
            <w:r w:rsidRPr="00536EB5">
              <w:rPr>
                <w:rFonts w:eastAsia="Times New Roman"/>
                <w:sz w:val="18"/>
                <w:szCs w:val="18"/>
                <w:lang w:eastAsia="en-AU"/>
              </w:rPr>
              <w:t>See indicator 2.4</w:t>
            </w:r>
          </w:p>
        </w:tc>
      </w:tr>
      <w:tr w:rsidR="000B54BD" w:rsidRPr="00457E15" w14:paraId="4A0EAD2B" w14:textId="77777777" w:rsidTr="00E97A3B">
        <w:trPr>
          <w:gridAfter w:val="1"/>
          <w:wAfter w:w="2" w:type="pct"/>
          <w:trHeight w:val="235"/>
        </w:trPr>
        <w:tc>
          <w:tcPr>
            <w:tcW w:w="4998" w:type="pct"/>
            <w:gridSpan w:val="10"/>
            <w:tcBorders>
              <w:top w:val="single" w:sz="4" w:space="0" w:color="auto"/>
              <w:left w:val="single" w:sz="4" w:space="0" w:color="auto"/>
              <w:bottom w:val="single" w:sz="4" w:space="0" w:color="auto"/>
              <w:right w:val="single" w:sz="4" w:space="0" w:color="auto"/>
            </w:tcBorders>
            <w:shd w:val="clear" w:color="auto" w:fill="auto"/>
            <w:noWrap/>
          </w:tcPr>
          <w:p w14:paraId="31B00DD0" w14:textId="77777777" w:rsidR="000B54BD" w:rsidRPr="00305B3A" w:rsidRDefault="000B54BD" w:rsidP="00E97A3B">
            <w:pPr>
              <w:spacing w:after="0" w:line="240" w:lineRule="auto"/>
              <w:rPr>
                <w:rFonts w:eastAsia="Times New Roman"/>
                <w:b/>
                <w:sz w:val="18"/>
                <w:szCs w:val="18"/>
                <w:lang w:eastAsia="en-AU"/>
              </w:rPr>
            </w:pPr>
            <w:r w:rsidRPr="00305B3A">
              <w:rPr>
                <w:rFonts w:eastAsia="Times New Roman"/>
                <w:b/>
                <w:sz w:val="18"/>
                <w:szCs w:val="18"/>
                <w:lang w:eastAsia="en-AU"/>
              </w:rPr>
              <w:t>Tongans are eating a healthier diet</w:t>
            </w:r>
          </w:p>
        </w:tc>
      </w:tr>
      <w:tr w:rsidR="000B54BD" w:rsidRPr="00457E15" w14:paraId="0CDEF565" w14:textId="77777777" w:rsidTr="00E97A3B">
        <w:trPr>
          <w:gridAfter w:val="2"/>
          <w:wAfter w:w="7" w:type="pct"/>
          <w:trHeight w:val="652"/>
        </w:trPr>
        <w:tc>
          <w:tcPr>
            <w:tcW w:w="338" w:type="pct"/>
            <w:tcBorders>
              <w:top w:val="single" w:sz="4" w:space="0" w:color="auto"/>
              <w:left w:val="single" w:sz="4" w:space="0" w:color="auto"/>
              <w:bottom w:val="single" w:sz="4" w:space="0" w:color="auto"/>
              <w:right w:val="nil"/>
            </w:tcBorders>
            <w:shd w:val="clear" w:color="auto" w:fill="FFFFFF" w:themeFill="background1"/>
            <w:noWrap/>
          </w:tcPr>
          <w:p w14:paraId="301624D6"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40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C8FF3E4" w14:textId="77777777" w:rsidR="000B54BD" w:rsidRPr="00457E15" w:rsidRDefault="000B54BD" w:rsidP="00E97A3B">
            <w:pPr>
              <w:spacing w:after="0" w:line="240" w:lineRule="auto"/>
              <w:rPr>
                <w:rFonts w:eastAsia="Times New Roman"/>
                <w:sz w:val="18"/>
                <w:szCs w:val="18"/>
                <w:lang w:eastAsia="en-AU"/>
              </w:rPr>
            </w:pPr>
            <w:r w:rsidRPr="0022482F">
              <w:rPr>
                <w:rFonts w:eastAsia="Times New Roman"/>
                <w:b/>
                <w:sz w:val="18"/>
                <w:szCs w:val="18"/>
                <w:lang w:eastAsia="en-AU"/>
              </w:rPr>
              <w:t>INTERMEDIATE OUTCOME</w:t>
            </w:r>
            <w:r w:rsidRPr="00457E15">
              <w:rPr>
                <w:rFonts w:eastAsia="Times New Roman"/>
                <w:sz w:val="18"/>
                <w:szCs w:val="18"/>
                <w:lang w:eastAsia="en-AU"/>
              </w:rPr>
              <w:t>: Knowledge of target population towards the health risks of physical inactivity, poor diet, smoking and alcohol misuse, %</w:t>
            </w:r>
          </w:p>
        </w:tc>
        <w:tc>
          <w:tcPr>
            <w:tcW w:w="850" w:type="pct"/>
            <w:tcBorders>
              <w:top w:val="nil"/>
              <w:left w:val="nil"/>
              <w:bottom w:val="single" w:sz="4" w:space="0" w:color="auto"/>
              <w:right w:val="single" w:sz="4" w:space="0" w:color="auto"/>
            </w:tcBorders>
            <w:shd w:val="clear" w:color="auto" w:fill="FFFFFF" w:themeFill="background1"/>
            <w:noWrap/>
          </w:tcPr>
          <w:p w14:paraId="198C5CFA" w14:textId="77777777" w:rsidR="000B54BD" w:rsidRPr="00457E15" w:rsidRDefault="000B54BD" w:rsidP="00E97A3B">
            <w:pPr>
              <w:spacing w:after="0" w:line="240" w:lineRule="auto"/>
              <w:rPr>
                <w:rFonts w:eastAsia="Times New Roman"/>
                <w:sz w:val="18"/>
                <w:szCs w:val="18"/>
                <w:lang w:eastAsia="en-AU"/>
              </w:rPr>
            </w:pPr>
            <w:r w:rsidRPr="00457E15">
              <w:rPr>
                <w:rFonts w:eastAsia="Times New Roman"/>
                <w:sz w:val="18"/>
                <w:szCs w:val="18"/>
                <w:lang w:eastAsia="en-AU"/>
              </w:rPr>
              <w:t xml:space="preserve">Target population refers to population aged 18 years or over who benefited from targeted health promotion interventions on key NCD risk factors.    </w:t>
            </w:r>
          </w:p>
          <w:p w14:paraId="38D7B2EB" w14:textId="77777777" w:rsidR="000B54BD" w:rsidRPr="00457E15" w:rsidRDefault="000B54BD" w:rsidP="00E97A3B">
            <w:pPr>
              <w:spacing w:after="0" w:line="240" w:lineRule="auto"/>
              <w:rPr>
                <w:rFonts w:eastAsia="Times New Roman"/>
                <w:sz w:val="18"/>
                <w:szCs w:val="18"/>
                <w:lang w:eastAsia="en-AU"/>
              </w:rPr>
            </w:pPr>
          </w:p>
          <w:p w14:paraId="45F7C1E1" w14:textId="77777777" w:rsidR="000B54BD" w:rsidRPr="00457E15" w:rsidRDefault="000B54BD" w:rsidP="00E97A3B">
            <w:pPr>
              <w:spacing w:line="240" w:lineRule="auto"/>
              <w:rPr>
                <w:rFonts w:eastAsia="Times New Roman"/>
                <w:sz w:val="18"/>
                <w:szCs w:val="18"/>
                <w:lang w:eastAsia="en-AU"/>
              </w:rPr>
            </w:pPr>
            <w:r w:rsidRPr="00457E15">
              <w:rPr>
                <w:rFonts w:eastAsia="Times New Roman"/>
                <w:sz w:val="18"/>
                <w:szCs w:val="18"/>
                <w:lang w:eastAsia="en-AU"/>
              </w:rPr>
              <w:t xml:space="preserve">Numerator: Number of adults aged 18 or over years who knew (or are aware) of the given NCD risk factor of interest. </w:t>
            </w:r>
          </w:p>
          <w:p w14:paraId="4CD5ACC7" w14:textId="77777777" w:rsidR="000B54BD" w:rsidRPr="00457E15" w:rsidRDefault="000B54BD" w:rsidP="00E97A3B">
            <w:pPr>
              <w:spacing w:after="0" w:line="240" w:lineRule="auto"/>
              <w:rPr>
                <w:rFonts w:eastAsia="Times New Roman"/>
                <w:sz w:val="18"/>
                <w:szCs w:val="18"/>
                <w:lang w:eastAsia="en-AU"/>
              </w:rPr>
            </w:pPr>
            <w:r w:rsidRPr="00457E15">
              <w:rPr>
                <w:rFonts w:eastAsia="Times New Roman"/>
                <w:sz w:val="18"/>
                <w:szCs w:val="18"/>
                <w:lang w:eastAsia="en-AU"/>
              </w:rPr>
              <w:t xml:space="preserve">Denominator: Total number of adults aged 18 years or over who benefited from targeted health promotion interventions on key NCD risk factors.    </w:t>
            </w:r>
          </w:p>
        </w:tc>
        <w:tc>
          <w:tcPr>
            <w:tcW w:w="450" w:type="pct"/>
            <w:tcBorders>
              <w:top w:val="nil"/>
              <w:left w:val="nil"/>
              <w:bottom w:val="single" w:sz="4" w:space="0" w:color="auto"/>
              <w:right w:val="single" w:sz="4" w:space="0" w:color="auto"/>
            </w:tcBorders>
            <w:shd w:val="clear" w:color="auto" w:fill="auto"/>
          </w:tcPr>
          <w:p w14:paraId="3C52388B"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Increase </w:t>
            </w:r>
          </w:p>
        </w:tc>
        <w:tc>
          <w:tcPr>
            <w:tcW w:w="550" w:type="pct"/>
            <w:tcBorders>
              <w:top w:val="nil"/>
              <w:left w:val="single" w:sz="4" w:space="0" w:color="auto"/>
              <w:bottom w:val="single" w:sz="4" w:space="0" w:color="auto"/>
              <w:right w:val="single" w:sz="4" w:space="0" w:color="auto"/>
            </w:tcBorders>
            <w:shd w:val="clear" w:color="auto" w:fill="auto"/>
            <w:noWrap/>
          </w:tcPr>
          <w:p w14:paraId="394FF5B4" w14:textId="77777777" w:rsidR="000B54BD" w:rsidRPr="00457E15" w:rsidRDefault="000B54BD" w:rsidP="00E97A3B">
            <w:pPr>
              <w:spacing w:after="0" w:line="240" w:lineRule="auto"/>
              <w:rPr>
                <w:rFonts w:eastAsia="Times New Roman"/>
                <w:sz w:val="18"/>
                <w:szCs w:val="18"/>
                <w:lang w:eastAsia="en-AU"/>
              </w:rPr>
            </w:pPr>
            <w:r w:rsidRPr="00457E15">
              <w:rPr>
                <w:rFonts w:eastAsia="Times New Roman"/>
                <w:sz w:val="18"/>
                <w:szCs w:val="18"/>
                <w:lang w:eastAsia="en-AU"/>
              </w:rPr>
              <w:t>Pre/post survey for selected programs</w:t>
            </w:r>
          </w:p>
        </w:tc>
        <w:tc>
          <w:tcPr>
            <w:tcW w:w="550" w:type="pct"/>
            <w:tcBorders>
              <w:top w:val="nil"/>
              <w:left w:val="nil"/>
              <w:bottom w:val="single" w:sz="4" w:space="0" w:color="auto"/>
              <w:right w:val="single" w:sz="4" w:space="0" w:color="auto"/>
            </w:tcBorders>
            <w:shd w:val="clear" w:color="auto" w:fill="FFFFFF" w:themeFill="background1"/>
            <w:noWrap/>
          </w:tcPr>
          <w:p w14:paraId="4B91BFA0"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Data to be provided as surveys completed. Data for pre survey for anti-tobacco campaign available late 2016. </w:t>
            </w:r>
          </w:p>
        </w:tc>
        <w:tc>
          <w:tcPr>
            <w:tcW w:w="501" w:type="pct"/>
            <w:tcBorders>
              <w:top w:val="nil"/>
              <w:left w:val="nil"/>
              <w:bottom w:val="single" w:sz="4" w:space="0" w:color="auto"/>
              <w:right w:val="single" w:sz="4" w:space="0" w:color="auto"/>
            </w:tcBorders>
            <w:shd w:val="clear" w:color="auto" w:fill="auto"/>
          </w:tcPr>
          <w:p w14:paraId="317130AC"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5E64FE44" w14:textId="77777777" w:rsidR="000B54BD" w:rsidRPr="00457E15" w:rsidRDefault="000B54BD" w:rsidP="00E97A3B">
            <w:pPr>
              <w:spacing w:after="0" w:line="240" w:lineRule="auto"/>
              <w:rPr>
                <w:rFonts w:eastAsia="Times New Roman"/>
                <w:sz w:val="18"/>
                <w:szCs w:val="18"/>
                <w:lang w:eastAsia="en-AU"/>
              </w:rPr>
            </w:pPr>
          </w:p>
        </w:tc>
        <w:tc>
          <w:tcPr>
            <w:tcW w:w="655" w:type="pct"/>
            <w:tcBorders>
              <w:top w:val="nil"/>
              <w:left w:val="nil"/>
              <w:bottom w:val="single" w:sz="4" w:space="0" w:color="auto"/>
              <w:right w:val="single" w:sz="4" w:space="0" w:color="auto"/>
            </w:tcBorders>
            <w:shd w:val="clear" w:color="auto" w:fill="auto"/>
          </w:tcPr>
          <w:p w14:paraId="637B50FD" w14:textId="77777777" w:rsidR="000B54BD" w:rsidRPr="00536EB5" w:rsidRDefault="000B54BD" w:rsidP="00E97A3B">
            <w:pPr>
              <w:spacing w:after="0" w:line="240" w:lineRule="auto"/>
              <w:rPr>
                <w:rFonts w:eastAsia="Times New Roman"/>
                <w:sz w:val="18"/>
                <w:szCs w:val="18"/>
                <w:lang w:eastAsia="en-AU"/>
              </w:rPr>
            </w:pPr>
            <w:r w:rsidRPr="00536EB5">
              <w:rPr>
                <w:rFonts w:eastAsia="Times New Roman"/>
                <w:sz w:val="18"/>
                <w:szCs w:val="18"/>
                <w:lang w:eastAsia="en-AU"/>
              </w:rPr>
              <w:t>See indicator 2.6</w:t>
            </w:r>
          </w:p>
        </w:tc>
      </w:tr>
      <w:tr w:rsidR="000B54BD" w:rsidRPr="00457E15" w14:paraId="20F47F0C" w14:textId="77777777" w:rsidTr="00E97A3B">
        <w:trPr>
          <w:gridAfter w:val="2"/>
          <w:wAfter w:w="7" w:type="pct"/>
          <w:trHeight w:val="628"/>
        </w:trPr>
        <w:tc>
          <w:tcPr>
            <w:tcW w:w="338" w:type="pct"/>
            <w:tcBorders>
              <w:top w:val="single" w:sz="4" w:space="0" w:color="auto"/>
              <w:left w:val="single" w:sz="4" w:space="0" w:color="auto"/>
              <w:bottom w:val="single" w:sz="4" w:space="0" w:color="auto"/>
              <w:right w:val="nil"/>
            </w:tcBorders>
            <w:shd w:val="clear" w:color="auto" w:fill="auto"/>
            <w:noWrap/>
            <w:hideMark/>
          </w:tcPr>
          <w:p w14:paraId="6078E45A"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41</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18DD4789" w14:textId="77777777" w:rsidR="000B54BD" w:rsidRPr="00457E15" w:rsidRDefault="000B54BD" w:rsidP="00E97A3B">
            <w:pPr>
              <w:spacing w:after="0" w:line="240" w:lineRule="auto"/>
              <w:rPr>
                <w:rFonts w:eastAsia="Times New Roman"/>
                <w:sz w:val="18"/>
                <w:szCs w:val="18"/>
                <w:lang w:eastAsia="en-AU"/>
              </w:rPr>
            </w:pPr>
            <w:r w:rsidRPr="0022482F">
              <w:rPr>
                <w:rFonts w:eastAsia="Times New Roman" w:cs="Arial"/>
                <w:b/>
                <w:sz w:val="18"/>
                <w:szCs w:val="18"/>
                <w:lang w:eastAsia="en-AU"/>
              </w:rPr>
              <w:t>OUTCOME:</w:t>
            </w:r>
            <w:r w:rsidRPr="00457E15">
              <w:rPr>
                <w:rFonts w:eastAsia="Times New Roman" w:cs="Arial"/>
                <w:sz w:val="18"/>
                <w:szCs w:val="18"/>
                <w:lang w:eastAsia="en-AU"/>
              </w:rPr>
              <w:t xml:space="preserve"> Prevalence of persons consuming less than five total servings of fruit and vegetables per day</w:t>
            </w:r>
          </w:p>
        </w:tc>
        <w:tc>
          <w:tcPr>
            <w:tcW w:w="850" w:type="pct"/>
            <w:tcBorders>
              <w:top w:val="nil"/>
              <w:left w:val="nil"/>
              <w:bottom w:val="single" w:sz="4" w:space="0" w:color="auto"/>
              <w:right w:val="single" w:sz="4" w:space="0" w:color="auto"/>
            </w:tcBorders>
            <w:shd w:val="clear" w:color="auto" w:fill="auto"/>
            <w:hideMark/>
          </w:tcPr>
          <w:p w14:paraId="7C0E0964" w14:textId="77777777" w:rsidR="000B54BD" w:rsidRPr="00457E15" w:rsidRDefault="000B54BD" w:rsidP="00E97A3B">
            <w:pPr>
              <w:spacing w:after="0" w:line="240" w:lineRule="auto"/>
              <w:rPr>
                <w:rFonts w:eastAsia="Times New Roman" w:cs="Arial"/>
                <w:sz w:val="18"/>
                <w:szCs w:val="18"/>
                <w:lang w:eastAsia="en-AU"/>
              </w:rPr>
            </w:pPr>
          </w:p>
        </w:tc>
        <w:tc>
          <w:tcPr>
            <w:tcW w:w="450" w:type="pct"/>
            <w:tcBorders>
              <w:top w:val="nil"/>
              <w:left w:val="nil"/>
              <w:bottom w:val="single" w:sz="4" w:space="0" w:color="auto"/>
              <w:right w:val="single" w:sz="4" w:space="0" w:color="auto"/>
            </w:tcBorders>
          </w:tcPr>
          <w:p w14:paraId="418B2B21" w14:textId="77777777" w:rsidR="000B54BD" w:rsidRPr="00457E15" w:rsidRDefault="000B54BD" w:rsidP="00E97A3B">
            <w:pPr>
              <w:spacing w:after="0" w:line="240" w:lineRule="auto"/>
              <w:rPr>
                <w:rFonts w:eastAsia="Times New Roman"/>
                <w:sz w:val="18"/>
                <w:szCs w:val="18"/>
                <w:lang w:eastAsia="en-AU"/>
              </w:rPr>
            </w:pPr>
            <w:r>
              <w:rPr>
                <w:rFonts w:eastAsia="Times New Roman" w:cs="Arial"/>
                <w:sz w:val="18"/>
                <w:szCs w:val="18"/>
                <w:lang w:eastAsia="en-AU"/>
              </w:rPr>
              <w:t xml:space="preserve">Decrease </w:t>
            </w:r>
          </w:p>
        </w:tc>
        <w:tc>
          <w:tcPr>
            <w:tcW w:w="550" w:type="pct"/>
            <w:tcBorders>
              <w:top w:val="nil"/>
              <w:left w:val="single" w:sz="4" w:space="0" w:color="auto"/>
              <w:bottom w:val="single" w:sz="4" w:space="0" w:color="auto"/>
              <w:right w:val="single" w:sz="4" w:space="0" w:color="auto"/>
            </w:tcBorders>
            <w:shd w:val="clear" w:color="auto" w:fill="auto"/>
          </w:tcPr>
          <w:p w14:paraId="130256C0" w14:textId="77777777" w:rsidR="000B54BD" w:rsidRPr="00CC2CE3" w:rsidRDefault="000B54BD" w:rsidP="00E97A3B">
            <w:pPr>
              <w:spacing w:after="0" w:line="240" w:lineRule="auto"/>
              <w:rPr>
                <w:rFonts w:eastAsia="Times New Roman" w:cs="Arial"/>
                <w:b/>
                <w:sz w:val="18"/>
                <w:szCs w:val="18"/>
                <w:lang w:eastAsia="en-AU"/>
              </w:rPr>
            </w:pPr>
            <w:r w:rsidRPr="00CC2CE3">
              <w:rPr>
                <w:rFonts w:eastAsia="Times New Roman" w:cs="Arial"/>
                <w:b/>
                <w:sz w:val="18"/>
                <w:szCs w:val="18"/>
                <w:lang w:eastAsia="en-AU"/>
              </w:rPr>
              <w:t>Primary source:</w:t>
            </w:r>
          </w:p>
          <w:p w14:paraId="5BC6BB58"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STEPS 2014, 2016 and 2020</w:t>
            </w:r>
          </w:p>
          <w:p w14:paraId="720E16A0" w14:textId="77777777" w:rsidR="000B54BD" w:rsidRDefault="000B54BD" w:rsidP="00E97A3B">
            <w:pPr>
              <w:spacing w:after="0" w:line="240" w:lineRule="auto"/>
              <w:rPr>
                <w:rFonts w:eastAsia="Times New Roman" w:cs="Arial"/>
                <w:sz w:val="18"/>
                <w:szCs w:val="18"/>
                <w:lang w:eastAsia="en-AU"/>
              </w:rPr>
            </w:pPr>
            <w:r w:rsidRPr="00CC2CE3">
              <w:rPr>
                <w:rFonts w:eastAsia="Times New Roman" w:cs="Arial"/>
                <w:sz w:val="18"/>
                <w:szCs w:val="18"/>
                <w:lang w:eastAsia="en-AU"/>
              </w:rPr>
              <w:t>GSHS 2016</w:t>
            </w:r>
            <w:r>
              <w:rPr>
                <w:rFonts w:eastAsia="Times New Roman" w:cs="Arial"/>
                <w:sz w:val="18"/>
                <w:szCs w:val="18"/>
                <w:lang w:eastAsia="en-AU"/>
              </w:rPr>
              <w:t xml:space="preserve"> and 2020</w:t>
            </w:r>
          </w:p>
          <w:p w14:paraId="2186FB67" w14:textId="77777777" w:rsidR="000B54BD" w:rsidRDefault="000B54BD" w:rsidP="00E97A3B">
            <w:pPr>
              <w:spacing w:after="0" w:line="240" w:lineRule="auto"/>
              <w:rPr>
                <w:rFonts w:eastAsia="Times New Roman" w:cs="Arial"/>
                <w:sz w:val="18"/>
                <w:szCs w:val="18"/>
                <w:lang w:eastAsia="en-AU"/>
              </w:rPr>
            </w:pPr>
          </w:p>
          <w:p w14:paraId="52675AE2" w14:textId="77777777" w:rsidR="000B54BD" w:rsidRDefault="000B54BD" w:rsidP="00E97A3B">
            <w:pPr>
              <w:spacing w:after="0" w:line="240" w:lineRule="auto"/>
              <w:rPr>
                <w:rFonts w:eastAsia="Times New Roman" w:cs="Arial"/>
                <w:sz w:val="18"/>
                <w:szCs w:val="18"/>
                <w:lang w:eastAsia="en-AU"/>
              </w:rPr>
            </w:pPr>
          </w:p>
          <w:p w14:paraId="62168058" w14:textId="77777777" w:rsidR="000B54BD" w:rsidRPr="00F0425D" w:rsidRDefault="000B54BD" w:rsidP="00E97A3B">
            <w:pPr>
              <w:spacing w:after="0" w:line="240" w:lineRule="auto"/>
              <w:rPr>
                <w:rFonts w:eastAsia="Times New Roman" w:cs="Arial"/>
                <w:i/>
                <w:sz w:val="18"/>
                <w:szCs w:val="18"/>
                <w:lang w:eastAsia="en-AU"/>
              </w:rPr>
            </w:pPr>
            <w:r w:rsidRPr="00F0425D">
              <w:rPr>
                <w:rFonts w:eastAsia="Times New Roman" w:cs="Arial"/>
                <w:i/>
                <w:sz w:val="18"/>
                <w:szCs w:val="18"/>
                <w:lang w:eastAsia="en-AU"/>
              </w:rPr>
              <w:t>Note: GSHS does not collect this indicator</w:t>
            </w:r>
          </w:p>
          <w:p w14:paraId="14468D8F" w14:textId="77777777" w:rsidR="000B54BD" w:rsidRPr="00CC2CE3" w:rsidRDefault="000B54BD" w:rsidP="00E97A3B">
            <w:pPr>
              <w:spacing w:after="0" w:line="240" w:lineRule="auto"/>
              <w:rPr>
                <w:rFonts w:eastAsia="Times New Roman" w:cs="Arial"/>
                <w:sz w:val="18"/>
                <w:szCs w:val="18"/>
                <w:lang w:eastAsia="en-AU"/>
              </w:rPr>
            </w:pPr>
          </w:p>
          <w:p w14:paraId="71B15567" w14:textId="77777777" w:rsidR="000B54BD" w:rsidRPr="00457E15" w:rsidRDefault="000B54BD" w:rsidP="00E97A3B">
            <w:pPr>
              <w:spacing w:after="0" w:line="240" w:lineRule="auto"/>
              <w:rPr>
                <w:rFonts w:eastAsia="Times New Roman" w:cs="Arial"/>
                <w:sz w:val="18"/>
                <w:szCs w:val="18"/>
                <w:lang w:eastAsia="en-AU"/>
              </w:rPr>
            </w:pPr>
          </w:p>
        </w:tc>
        <w:tc>
          <w:tcPr>
            <w:tcW w:w="550" w:type="pct"/>
            <w:tcBorders>
              <w:top w:val="nil"/>
              <w:left w:val="nil"/>
              <w:bottom w:val="single" w:sz="4" w:space="0" w:color="auto"/>
              <w:right w:val="single" w:sz="4" w:space="0" w:color="auto"/>
            </w:tcBorders>
            <w:shd w:val="clear" w:color="auto" w:fill="auto"/>
          </w:tcPr>
          <w:p w14:paraId="3B2641EF"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13 – 17 Males: </w:t>
            </w:r>
            <w:r>
              <w:rPr>
                <w:rFonts w:eastAsia="Times New Roman" w:cs="Arial"/>
                <w:sz w:val="18"/>
                <w:szCs w:val="18"/>
                <w:lang w:eastAsia="en-AU"/>
              </w:rPr>
              <w:t>Data from GSHS 2016</w:t>
            </w:r>
          </w:p>
          <w:p w14:paraId="45BC4EDB"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Females: </w:t>
            </w:r>
            <w:r>
              <w:rPr>
                <w:rFonts w:eastAsia="Times New Roman" w:cs="Arial"/>
                <w:sz w:val="18"/>
                <w:szCs w:val="18"/>
                <w:lang w:eastAsia="en-AU"/>
              </w:rPr>
              <w:t>Data from GSHS 2016</w:t>
            </w:r>
          </w:p>
          <w:p w14:paraId="642A0A03" w14:textId="77777777" w:rsidR="000B54BD" w:rsidRPr="00965DFA" w:rsidRDefault="000B54BD" w:rsidP="00E97A3B">
            <w:pPr>
              <w:spacing w:line="240" w:lineRule="auto"/>
              <w:rPr>
                <w:rFonts w:eastAsia="Times New Roman" w:cs="Arial"/>
                <w:sz w:val="18"/>
                <w:szCs w:val="18"/>
                <w:lang w:eastAsia="en-AU"/>
              </w:rPr>
            </w:pPr>
            <w:r w:rsidRPr="00965DFA">
              <w:rPr>
                <w:rFonts w:eastAsia="Times New Roman" w:cs="Arial"/>
                <w:sz w:val="18"/>
                <w:szCs w:val="18"/>
                <w:lang w:eastAsia="en-AU"/>
              </w:rPr>
              <w:t xml:space="preserve">Both sexes: </w:t>
            </w:r>
            <w:r>
              <w:rPr>
                <w:rFonts w:eastAsia="Times New Roman" w:cs="Arial"/>
                <w:sz w:val="18"/>
                <w:szCs w:val="18"/>
                <w:lang w:eastAsia="en-AU"/>
              </w:rPr>
              <w:t>Data from GSHS 2016</w:t>
            </w:r>
          </w:p>
          <w:p w14:paraId="3BCF08DB"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 xml:space="preserve">18 – 24 Males: </w:t>
            </w:r>
            <w:r>
              <w:rPr>
                <w:rFonts w:eastAsia="Times New Roman" w:cs="Arial"/>
                <w:sz w:val="18"/>
                <w:szCs w:val="18"/>
                <w:lang w:eastAsia="en-AU"/>
              </w:rPr>
              <w:t>Data from STEPS 2016</w:t>
            </w:r>
          </w:p>
          <w:p w14:paraId="10938564"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lastRenderedPageBreak/>
              <w:t xml:space="preserve">Females: </w:t>
            </w:r>
            <w:r>
              <w:rPr>
                <w:rFonts w:eastAsia="Times New Roman" w:cs="Arial"/>
                <w:sz w:val="18"/>
                <w:szCs w:val="18"/>
                <w:lang w:eastAsia="en-AU"/>
              </w:rPr>
              <w:t>Data from STEPS 2016</w:t>
            </w:r>
          </w:p>
          <w:p w14:paraId="0670F9EA" w14:textId="77777777" w:rsidR="000B54BD" w:rsidRPr="00965DFA" w:rsidRDefault="000B54BD" w:rsidP="00E97A3B">
            <w:pPr>
              <w:spacing w:line="240" w:lineRule="auto"/>
              <w:rPr>
                <w:rFonts w:eastAsia="Times New Roman" w:cs="Arial"/>
                <w:sz w:val="18"/>
                <w:szCs w:val="18"/>
                <w:lang w:eastAsia="en-AU"/>
              </w:rPr>
            </w:pPr>
            <w:r w:rsidRPr="00965DFA">
              <w:rPr>
                <w:rFonts w:eastAsia="Times New Roman" w:cs="Arial"/>
                <w:sz w:val="18"/>
                <w:szCs w:val="18"/>
                <w:lang w:eastAsia="en-AU"/>
              </w:rPr>
              <w:t xml:space="preserve">Both sexes: </w:t>
            </w:r>
            <w:r>
              <w:rPr>
                <w:rFonts w:eastAsia="Times New Roman" w:cs="Arial"/>
                <w:sz w:val="18"/>
                <w:szCs w:val="18"/>
                <w:lang w:eastAsia="en-AU"/>
              </w:rPr>
              <w:t>Data from STEPS 2016</w:t>
            </w:r>
          </w:p>
          <w:p w14:paraId="37303C68"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25-44</w:t>
            </w:r>
          </w:p>
          <w:p w14:paraId="508A36AD"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73.1`%</w:t>
            </w:r>
          </w:p>
          <w:p w14:paraId="61605CF8"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48DB72EE"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72.9 %</w:t>
            </w:r>
          </w:p>
          <w:p w14:paraId="25D4F053"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75146E26" w14:textId="77777777" w:rsidR="000B54BD" w:rsidRPr="00965DFA" w:rsidRDefault="000B54BD" w:rsidP="00E97A3B">
            <w:pPr>
              <w:spacing w:line="240" w:lineRule="auto"/>
              <w:rPr>
                <w:rFonts w:eastAsia="Times New Roman" w:cs="Arial"/>
                <w:sz w:val="18"/>
                <w:szCs w:val="18"/>
                <w:lang w:eastAsia="en-AU"/>
              </w:rPr>
            </w:pPr>
            <w:r w:rsidRPr="00965DFA">
              <w:rPr>
                <w:rFonts w:eastAsia="Times New Roman" w:cs="Arial"/>
                <w:sz w:val="18"/>
                <w:szCs w:val="18"/>
                <w:lang w:eastAsia="en-AU"/>
              </w:rPr>
              <w:t>73.0 %</w:t>
            </w:r>
          </w:p>
          <w:p w14:paraId="2BD2AB61"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45-64</w:t>
            </w:r>
          </w:p>
          <w:p w14:paraId="4C058094"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Males: 71.1%</w:t>
            </w:r>
          </w:p>
          <w:p w14:paraId="0A228D87"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Females:</w:t>
            </w:r>
          </w:p>
          <w:p w14:paraId="6A9C2CC3"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75.3%</w:t>
            </w:r>
          </w:p>
          <w:p w14:paraId="046E21F0" w14:textId="77777777" w:rsidR="000B54BD" w:rsidRPr="00965DFA" w:rsidRDefault="000B54BD" w:rsidP="00E97A3B">
            <w:pPr>
              <w:spacing w:after="0" w:line="240" w:lineRule="auto"/>
              <w:rPr>
                <w:rFonts w:eastAsia="Times New Roman" w:cs="Arial"/>
                <w:sz w:val="18"/>
                <w:szCs w:val="18"/>
                <w:lang w:eastAsia="en-AU"/>
              </w:rPr>
            </w:pPr>
            <w:r w:rsidRPr="00965DFA">
              <w:rPr>
                <w:rFonts w:eastAsia="Times New Roman" w:cs="Arial"/>
                <w:sz w:val="18"/>
                <w:szCs w:val="18"/>
                <w:lang w:eastAsia="en-AU"/>
              </w:rPr>
              <w:t>Both sexes:</w:t>
            </w:r>
          </w:p>
          <w:p w14:paraId="1018B9A6" w14:textId="77777777" w:rsidR="000B54BD" w:rsidRPr="00457E15" w:rsidRDefault="000B54BD" w:rsidP="00E97A3B">
            <w:pPr>
              <w:spacing w:after="0" w:line="240" w:lineRule="auto"/>
              <w:rPr>
                <w:rFonts w:eastAsia="Times New Roman"/>
                <w:sz w:val="18"/>
                <w:szCs w:val="18"/>
                <w:lang w:eastAsia="en-AU"/>
              </w:rPr>
            </w:pPr>
            <w:r w:rsidRPr="00965DFA">
              <w:rPr>
                <w:rFonts w:eastAsia="Times New Roman" w:cs="Arial"/>
                <w:sz w:val="18"/>
                <w:szCs w:val="18"/>
                <w:lang w:eastAsia="en-AU"/>
              </w:rPr>
              <w:t>73.3 %</w:t>
            </w:r>
          </w:p>
        </w:tc>
        <w:tc>
          <w:tcPr>
            <w:tcW w:w="501" w:type="pct"/>
            <w:tcBorders>
              <w:top w:val="nil"/>
              <w:left w:val="nil"/>
              <w:bottom w:val="single" w:sz="4" w:space="0" w:color="auto"/>
              <w:right w:val="single" w:sz="4" w:space="0" w:color="auto"/>
            </w:tcBorders>
            <w:shd w:val="clear" w:color="auto" w:fill="auto"/>
          </w:tcPr>
          <w:p w14:paraId="1F96D765"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78D1F91B"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Data collection completed for 2016 STEPS survey.</w:t>
            </w:r>
          </w:p>
        </w:tc>
        <w:tc>
          <w:tcPr>
            <w:tcW w:w="655" w:type="pct"/>
            <w:tcBorders>
              <w:top w:val="nil"/>
              <w:left w:val="nil"/>
              <w:bottom w:val="single" w:sz="4" w:space="0" w:color="auto"/>
              <w:right w:val="single" w:sz="4" w:space="0" w:color="auto"/>
            </w:tcBorders>
            <w:shd w:val="clear" w:color="auto" w:fill="auto"/>
          </w:tcPr>
          <w:p w14:paraId="2A4E8296"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Awaiting publication of 2016 STEPS survey results in early 2019</w:t>
            </w:r>
          </w:p>
        </w:tc>
      </w:tr>
      <w:tr w:rsidR="000B54BD" w:rsidRPr="00457E15" w14:paraId="69050C75" w14:textId="77777777" w:rsidTr="00E97A3B">
        <w:trPr>
          <w:gridAfter w:val="2"/>
          <w:wAfter w:w="7" w:type="pct"/>
          <w:trHeight w:val="641"/>
        </w:trPr>
        <w:tc>
          <w:tcPr>
            <w:tcW w:w="338" w:type="pct"/>
            <w:tcBorders>
              <w:top w:val="single" w:sz="4" w:space="0" w:color="auto"/>
              <w:left w:val="single" w:sz="4" w:space="0" w:color="auto"/>
              <w:bottom w:val="single" w:sz="4" w:space="0" w:color="auto"/>
              <w:right w:val="nil"/>
            </w:tcBorders>
            <w:shd w:val="clear" w:color="auto" w:fill="FFFFFF" w:themeFill="background1"/>
            <w:noWrap/>
            <w:hideMark/>
          </w:tcPr>
          <w:p w14:paraId="5EBABEEF"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42</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D3BACEB" w14:textId="77777777" w:rsidR="000B54BD" w:rsidRPr="00457E15" w:rsidRDefault="000B54BD" w:rsidP="00E97A3B">
            <w:pPr>
              <w:spacing w:after="0" w:line="240" w:lineRule="auto"/>
              <w:rPr>
                <w:rFonts w:eastAsia="Times New Roman" w:cs="Arial"/>
                <w:sz w:val="18"/>
                <w:szCs w:val="18"/>
                <w:lang w:eastAsia="en-AU"/>
              </w:rPr>
            </w:pPr>
            <w:r w:rsidRPr="0022482F">
              <w:rPr>
                <w:rFonts w:eastAsia="Times New Roman" w:cs="Arial"/>
                <w:b/>
                <w:sz w:val="18"/>
                <w:szCs w:val="18"/>
                <w:lang w:eastAsia="en-AU"/>
              </w:rPr>
              <w:t>OUTCOME:</w:t>
            </w:r>
            <w:r w:rsidRPr="00457E15">
              <w:rPr>
                <w:rFonts w:eastAsia="Times New Roman" w:cs="Arial"/>
                <w:sz w:val="18"/>
                <w:szCs w:val="18"/>
                <w:lang w:eastAsia="en-AU"/>
              </w:rPr>
              <w:t xml:space="preserve"> Mean population intake of salt (sodium chloride) per day in grams in persons aged 18-24</w:t>
            </w:r>
          </w:p>
        </w:tc>
        <w:tc>
          <w:tcPr>
            <w:tcW w:w="850" w:type="pct"/>
            <w:tcBorders>
              <w:top w:val="nil"/>
              <w:left w:val="nil"/>
              <w:bottom w:val="single" w:sz="4" w:space="0" w:color="auto"/>
              <w:right w:val="single" w:sz="4" w:space="0" w:color="auto"/>
            </w:tcBorders>
            <w:shd w:val="clear" w:color="auto" w:fill="FFFFFF" w:themeFill="background1"/>
          </w:tcPr>
          <w:p w14:paraId="356581E6" w14:textId="77777777" w:rsidR="000B54BD" w:rsidRDefault="000B54BD" w:rsidP="00E97A3B">
            <w:pPr>
              <w:spacing w:after="0" w:line="240" w:lineRule="auto"/>
              <w:rPr>
                <w:rFonts w:eastAsia="Times New Roman" w:cs="Arial"/>
                <w:sz w:val="18"/>
                <w:szCs w:val="18"/>
                <w:lang w:eastAsia="en-AU"/>
              </w:rPr>
            </w:pPr>
            <w:r>
              <w:rPr>
                <w:rFonts w:eastAsia="Times New Roman" w:cs="Arial"/>
                <w:sz w:val="18"/>
                <w:szCs w:val="18"/>
                <w:lang w:eastAsia="en-AU"/>
              </w:rPr>
              <w:t xml:space="preserve">The method of determining salt intake can vary. Methods include collection of 24-hour urine or sport urine for sodium excretion or food frequency surveys. Definition to be updated once method for STEPS defined. </w:t>
            </w:r>
          </w:p>
          <w:p w14:paraId="123515D2" w14:textId="77777777" w:rsidR="000B54BD" w:rsidRDefault="000B54BD" w:rsidP="00E97A3B">
            <w:pPr>
              <w:spacing w:after="0" w:line="240" w:lineRule="auto"/>
              <w:rPr>
                <w:rFonts w:eastAsia="Times New Roman" w:cs="Arial"/>
                <w:sz w:val="18"/>
                <w:szCs w:val="18"/>
                <w:lang w:eastAsia="en-AU"/>
              </w:rPr>
            </w:pPr>
          </w:p>
          <w:p w14:paraId="1992D4C9" w14:textId="77777777" w:rsidR="000B54BD" w:rsidRPr="00457E15" w:rsidRDefault="000B54BD" w:rsidP="00E97A3B">
            <w:pPr>
              <w:spacing w:after="0" w:line="240" w:lineRule="auto"/>
              <w:rPr>
                <w:rFonts w:eastAsia="Times New Roman" w:cs="Arial"/>
                <w:sz w:val="18"/>
                <w:szCs w:val="18"/>
                <w:lang w:eastAsia="en-AU"/>
              </w:rPr>
            </w:pPr>
          </w:p>
        </w:tc>
        <w:tc>
          <w:tcPr>
            <w:tcW w:w="450" w:type="pct"/>
            <w:tcBorders>
              <w:top w:val="nil"/>
              <w:left w:val="nil"/>
              <w:bottom w:val="single" w:sz="4" w:space="0" w:color="auto"/>
              <w:right w:val="single" w:sz="4" w:space="0" w:color="auto"/>
            </w:tcBorders>
            <w:shd w:val="clear" w:color="auto" w:fill="auto"/>
          </w:tcPr>
          <w:p w14:paraId="30F9DF0A"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Decrease</w:t>
            </w:r>
          </w:p>
        </w:tc>
        <w:tc>
          <w:tcPr>
            <w:tcW w:w="550" w:type="pct"/>
            <w:tcBorders>
              <w:top w:val="nil"/>
              <w:left w:val="single" w:sz="4" w:space="0" w:color="auto"/>
              <w:bottom w:val="single" w:sz="4" w:space="0" w:color="auto"/>
              <w:right w:val="single" w:sz="4" w:space="0" w:color="auto"/>
            </w:tcBorders>
            <w:shd w:val="clear" w:color="auto" w:fill="auto"/>
            <w:noWrap/>
          </w:tcPr>
          <w:p w14:paraId="7CEE4910" w14:textId="77777777" w:rsidR="000B54BD" w:rsidRPr="00457E15" w:rsidRDefault="000B54BD" w:rsidP="00E97A3B">
            <w:pPr>
              <w:spacing w:after="0" w:line="240" w:lineRule="auto"/>
              <w:rPr>
                <w:rFonts w:eastAsia="Times New Roman"/>
                <w:sz w:val="18"/>
                <w:szCs w:val="18"/>
                <w:lang w:eastAsia="en-AU"/>
              </w:rPr>
            </w:pPr>
            <w:r w:rsidRPr="00457E15">
              <w:rPr>
                <w:rFonts w:eastAsia="Times New Roman"/>
                <w:sz w:val="18"/>
                <w:szCs w:val="18"/>
                <w:lang w:eastAsia="en-AU"/>
              </w:rPr>
              <w:t>STEPS Gap 2016 and STEPS 20</w:t>
            </w:r>
            <w:r>
              <w:rPr>
                <w:rFonts w:eastAsia="Times New Roman"/>
                <w:sz w:val="18"/>
                <w:szCs w:val="18"/>
                <w:lang w:eastAsia="en-AU"/>
              </w:rPr>
              <w:t>20</w:t>
            </w:r>
          </w:p>
        </w:tc>
        <w:tc>
          <w:tcPr>
            <w:tcW w:w="550" w:type="pct"/>
            <w:tcBorders>
              <w:top w:val="nil"/>
              <w:left w:val="nil"/>
              <w:bottom w:val="single" w:sz="4" w:space="0" w:color="auto"/>
              <w:right w:val="single" w:sz="4" w:space="0" w:color="auto"/>
            </w:tcBorders>
            <w:shd w:val="clear" w:color="auto" w:fill="FFFFFF" w:themeFill="background1"/>
            <w:noWrap/>
          </w:tcPr>
          <w:p w14:paraId="5C75E11F" w14:textId="77777777" w:rsidR="000B54BD" w:rsidRPr="00457E15" w:rsidRDefault="000B54BD" w:rsidP="00E97A3B">
            <w:pPr>
              <w:spacing w:after="0" w:line="240" w:lineRule="auto"/>
              <w:rPr>
                <w:rFonts w:eastAsia="Times New Roman"/>
                <w:sz w:val="18"/>
                <w:szCs w:val="18"/>
                <w:lang w:eastAsia="en-AU"/>
              </w:rPr>
            </w:pPr>
            <w:r w:rsidRPr="00457E15">
              <w:rPr>
                <w:rFonts w:eastAsia="Times New Roman"/>
                <w:sz w:val="18"/>
                <w:szCs w:val="18"/>
                <w:lang w:eastAsia="en-AU"/>
              </w:rPr>
              <w:t>Survey (STEPS Gap) to be completed</w:t>
            </w:r>
          </w:p>
        </w:tc>
        <w:tc>
          <w:tcPr>
            <w:tcW w:w="501" w:type="pct"/>
            <w:tcBorders>
              <w:top w:val="nil"/>
              <w:left w:val="nil"/>
              <w:bottom w:val="single" w:sz="4" w:space="0" w:color="auto"/>
              <w:right w:val="single" w:sz="4" w:space="0" w:color="auto"/>
            </w:tcBorders>
            <w:shd w:val="clear" w:color="auto" w:fill="auto"/>
          </w:tcPr>
          <w:p w14:paraId="314A5B46"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0C9C4D52" w14:textId="77777777" w:rsidR="000B54BD" w:rsidRPr="00457E15" w:rsidRDefault="000B54BD" w:rsidP="00E97A3B">
            <w:pPr>
              <w:spacing w:after="0" w:line="240" w:lineRule="auto"/>
              <w:rPr>
                <w:rFonts w:eastAsia="Times New Roman"/>
                <w:sz w:val="18"/>
                <w:szCs w:val="18"/>
                <w:lang w:eastAsia="en-AU"/>
              </w:rPr>
            </w:pPr>
          </w:p>
        </w:tc>
        <w:tc>
          <w:tcPr>
            <w:tcW w:w="655" w:type="pct"/>
            <w:tcBorders>
              <w:top w:val="nil"/>
              <w:left w:val="nil"/>
              <w:bottom w:val="single" w:sz="4" w:space="0" w:color="auto"/>
              <w:right w:val="single" w:sz="4" w:space="0" w:color="auto"/>
            </w:tcBorders>
            <w:shd w:val="clear" w:color="auto" w:fill="auto"/>
          </w:tcPr>
          <w:p w14:paraId="634F01CD"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Interviews with key informants suggest STEPS 2016 did not include the STEPS Gap survey or any measure of mean salt intake</w:t>
            </w:r>
          </w:p>
        </w:tc>
      </w:tr>
      <w:tr w:rsidR="000B54BD" w:rsidRPr="00457E15" w14:paraId="1D116A28" w14:textId="77777777" w:rsidTr="00E97A3B">
        <w:trPr>
          <w:gridAfter w:val="1"/>
          <w:wAfter w:w="2" w:type="pct"/>
          <w:trHeight w:val="330"/>
        </w:trPr>
        <w:tc>
          <w:tcPr>
            <w:tcW w:w="4998"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1BBCF6E" w14:textId="77777777" w:rsidR="000B54BD" w:rsidRPr="00457E15" w:rsidRDefault="000B54BD" w:rsidP="00E97A3B">
            <w:r w:rsidRPr="00457E15">
              <w:rPr>
                <w:rFonts w:eastAsia="Times New Roman" w:cs="Arial"/>
                <w:b/>
                <w:bCs/>
                <w:sz w:val="18"/>
                <w:szCs w:val="18"/>
                <w:lang w:eastAsia="en-AU"/>
              </w:rPr>
              <w:t>Outcome 3: Improved early detection, treatment and sustained management of people with or at high risk of NCDs</w:t>
            </w:r>
          </w:p>
        </w:tc>
      </w:tr>
      <w:tr w:rsidR="000B54BD" w:rsidRPr="00457E15" w14:paraId="7E0C388D" w14:textId="77777777" w:rsidTr="00E97A3B">
        <w:trPr>
          <w:gridAfter w:val="1"/>
          <w:wAfter w:w="2" w:type="pct"/>
          <w:trHeight w:val="375"/>
        </w:trPr>
        <w:tc>
          <w:tcPr>
            <w:tcW w:w="4998" w:type="pct"/>
            <w:gridSpan w:val="10"/>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22470B" w14:textId="77777777" w:rsidR="000B54BD" w:rsidRPr="00A55EEA" w:rsidRDefault="000B54BD" w:rsidP="00E97A3B">
            <w:pPr>
              <w:spacing w:after="0" w:line="240" w:lineRule="auto"/>
              <w:rPr>
                <w:rFonts w:eastAsia="Times New Roman"/>
                <w:b/>
                <w:sz w:val="18"/>
                <w:szCs w:val="18"/>
                <w:lang w:eastAsia="en-AU"/>
              </w:rPr>
            </w:pPr>
            <w:r w:rsidRPr="00A55EEA">
              <w:rPr>
                <w:rFonts w:eastAsia="Times New Roman"/>
                <w:b/>
                <w:sz w:val="18"/>
                <w:szCs w:val="18"/>
                <w:lang w:eastAsia="en-AU"/>
              </w:rPr>
              <w:t>People with, or at high risk of, NCDs are staying healthier for longer</w:t>
            </w:r>
          </w:p>
        </w:tc>
      </w:tr>
      <w:tr w:rsidR="000B54BD" w:rsidRPr="00457E15" w14:paraId="33A8ECA7" w14:textId="77777777" w:rsidTr="00E97A3B">
        <w:trPr>
          <w:gridAfter w:val="2"/>
          <w:wAfter w:w="7" w:type="pct"/>
        </w:trPr>
        <w:tc>
          <w:tcPr>
            <w:tcW w:w="338" w:type="pct"/>
            <w:tcBorders>
              <w:top w:val="single" w:sz="4" w:space="0" w:color="auto"/>
              <w:left w:val="single" w:sz="4" w:space="0" w:color="auto"/>
              <w:bottom w:val="single" w:sz="4" w:space="0" w:color="auto"/>
              <w:right w:val="nil"/>
            </w:tcBorders>
            <w:shd w:val="clear" w:color="auto" w:fill="auto"/>
            <w:noWrap/>
          </w:tcPr>
          <w:p w14:paraId="35E264F8" w14:textId="77777777" w:rsidR="000B54BD" w:rsidRDefault="000B54BD" w:rsidP="00E97A3B">
            <w:pPr>
              <w:spacing w:after="0" w:line="240" w:lineRule="auto"/>
              <w:rPr>
                <w:sz w:val="20"/>
              </w:rPr>
            </w:pPr>
            <w:r>
              <w:rPr>
                <w:sz w:val="18"/>
                <w:szCs w:val="18"/>
              </w:rPr>
              <w:t>43</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tcPr>
          <w:p w14:paraId="49485FBA" w14:textId="77777777" w:rsidR="000B54BD" w:rsidRPr="0070799D" w:rsidRDefault="000B54BD" w:rsidP="00E97A3B">
            <w:pPr>
              <w:spacing w:after="0" w:line="240" w:lineRule="auto"/>
              <w:rPr>
                <w:b/>
                <w:color w:val="000000"/>
                <w:sz w:val="20"/>
                <w:shd w:val="clear" w:color="auto" w:fill="FFFFFF"/>
              </w:rPr>
            </w:pPr>
            <w:r w:rsidRPr="00565E9F">
              <w:rPr>
                <w:b/>
                <w:color w:val="000000"/>
                <w:sz w:val="18"/>
                <w:szCs w:val="18"/>
                <w:shd w:val="clear" w:color="auto" w:fill="FFFFFF"/>
              </w:rPr>
              <w:t xml:space="preserve">OUTCOME: </w:t>
            </w:r>
            <w:r w:rsidRPr="00565E9F">
              <w:rPr>
                <w:color w:val="000000"/>
                <w:sz w:val="18"/>
                <w:szCs w:val="18"/>
                <w:shd w:val="clear" w:color="auto" w:fill="FFFFFF"/>
              </w:rPr>
              <w:t xml:space="preserve">Ratio of new </w:t>
            </w:r>
            <w:r>
              <w:rPr>
                <w:color w:val="000000"/>
                <w:sz w:val="18"/>
                <w:szCs w:val="18"/>
                <w:shd w:val="clear" w:color="auto" w:fill="FFFFFF"/>
              </w:rPr>
              <w:t xml:space="preserve">NCD </w:t>
            </w:r>
            <w:r w:rsidRPr="00565E9F">
              <w:rPr>
                <w:color w:val="000000"/>
                <w:sz w:val="18"/>
                <w:szCs w:val="18"/>
                <w:shd w:val="clear" w:color="auto" w:fill="FFFFFF"/>
              </w:rPr>
              <w:t>cases to total population</w:t>
            </w:r>
          </w:p>
        </w:tc>
        <w:tc>
          <w:tcPr>
            <w:tcW w:w="850" w:type="pct"/>
            <w:tcBorders>
              <w:top w:val="nil"/>
              <w:left w:val="nil"/>
              <w:bottom w:val="single" w:sz="4" w:space="0" w:color="auto"/>
              <w:right w:val="single" w:sz="4" w:space="0" w:color="auto"/>
            </w:tcBorders>
            <w:shd w:val="clear" w:color="auto" w:fill="auto"/>
          </w:tcPr>
          <w:p w14:paraId="788D300B" w14:textId="77777777" w:rsidR="000B54BD" w:rsidRPr="00565E9F" w:rsidRDefault="000B54BD" w:rsidP="00E97A3B">
            <w:pPr>
              <w:spacing w:line="240" w:lineRule="auto"/>
              <w:rPr>
                <w:color w:val="000000"/>
                <w:sz w:val="18"/>
                <w:szCs w:val="18"/>
                <w:shd w:val="clear" w:color="auto" w:fill="FFFFFF"/>
              </w:rPr>
            </w:pPr>
            <w:r>
              <w:rPr>
                <w:color w:val="000000"/>
                <w:sz w:val="18"/>
                <w:szCs w:val="18"/>
                <w:shd w:val="clear" w:color="auto" w:fill="FFFFFF"/>
              </w:rPr>
              <w:t>This indicator may initially r</w:t>
            </w:r>
            <w:r w:rsidRPr="00565E9F">
              <w:rPr>
                <w:color w:val="000000"/>
                <w:sz w:val="18"/>
                <w:szCs w:val="18"/>
                <w:shd w:val="clear" w:color="auto" w:fill="FFFFFF"/>
              </w:rPr>
              <w:t>ise as improved care results in cases being detected earlier</w:t>
            </w:r>
            <w:r>
              <w:rPr>
                <w:color w:val="000000"/>
                <w:sz w:val="18"/>
                <w:szCs w:val="18"/>
                <w:shd w:val="clear" w:color="auto" w:fill="FFFFFF"/>
              </w:rPr>
              <w:t xml:space="preserve">. Both diabetes and hypertension (cardiovascular disease) are included because many people have </w:t>
            </w:r>
            <w:r>
              <w:rPr>
                <w:color w:val="000000"/>
                <w:sz w:val="18"/>
                <w:szCs w:val="18"/>
                <w:shd w:val="clear" w:color="auto" w:fill="FFFFFF"/>
              </w:rPr>
              <w:lastRenderedPageBreak/>
              <w:t>both conditions. The data provided do not double count individuals.</w:t>
            </w:r>
          </w:p>
          <w:p w14:paraId="5B790F27" w14:textId="77777777" w:rsidR="000B54BD" w:rsidRPr="00565E9F" w:rsidRDefault="000B54BD" w:rsidP="00E97A3B">
            <w:pPr>
              <w:spacing w:line="240" w:lineRule="auto"/>
              <w:rPr>
                <w:color w:val="000000"/>
                <w:sz w:val="18"/>
                <w:szCs w:val="18"/>
                <w:shd w:val="clear" w:color="auto" w:fill="FFFFFF"/>
              </w:rPr>
            </w:pPr>
            <w:r w:rsidRPr="00565E9F">
              <w:rPr>
                <w:color w:val="000000"/>
                <w:sz w:val="18"/>
                <w:szCs w:val="18"/>
                <w:shd w:val="clear" w:color="auto" w:fill="FFFFFF"/>
              </w:rPr>
              <w:t>Numerator: Number of new cases</w:t>
            </w:r>
            <w:r>
              <w:rPr>
                <w:color w:val="000000"/>
                <w:sz w:val="18"/>
                <w:szCs w:val="18"/>
                <w:shd w:val="clear" w:color="auto" w:fill="FFFFFF"/>
              </w:rPr>
              <w:t xml:space="preserve"> (diabetes and/or hypertension)</w:t>
            </w:r>
            <w:r w:rsidRPr="00565E9F">
              <w:rPr>
                <w:color w:val="000000"/>
                <w:sz w:val="18"/>
                <w:szCs w:val="18"/>
                <w:shd w:val="clear" w:color="auto" w:fill="FFFFFF"/>
              </w:rPr>
              <w:t xml:space="preserve"> identified by NCD nurses and clinics in one year</w:t>
            </w:r>
          </w:p>
          <w:p w14:paraId="4E47406E" w14:textId="77777777" w:rsidR="000B54BD" w:rsidRPr="0070799D" w:rsidRDefault="000B54BD" w:rsidP="00E97A3B">
            <w:pPr>
              <w:spacing w:line="240" w:lineRule="auto"/>
              <w:rPr>
                <w:color w:val="000000"/>
                <w:sz w:val="20"/>
                <w:shd w:val="clear" w:color="auto" w:fill="FFFFFF"/>
              </w:rPr>
            </w:pPr>
            <w:r w:rsidRPr="00565E9F">
              <w:rPr>
                <w:color w:val="000000"/>
                <w:sz w:val="18"/>
                <w:szCs w:val="18"/>
                <w:shd w:val="clear" w:color="auto" w:fill="FFFFFF"/>
              </w:rPr>
              <w:t>Denominator: Current population estimate of the mid-year population</w:t>
            </w:r>
          </w:p>
        </w:tc>
        <w:tc>
          <w:tcPr>
            <w:tcW w:w="450" w:type="pct"/>
            <w:tcBorders>
              <w:top w:val="nil"/>
              <w:left w:val="nil"/>
              <w:bottom w:val="single" w:sz="4" w:space="0" w:color="auto"/>
              <w:right w:val="single" w:sz="4" w:space="0" w:color="auto"/>
            </w:tcBorders>
            <w:shd w:val="clear" w:color="auto" w:fill="auto"/>
          </w:tcPr>
          <w:p w14:paraId="1E7FA011" w14:textId="77777777" w:rsidR="000B54BD" w:rsidRPr="0070799D" w:rsidRDefault="000B54BD" w:rsidP="00E97A3B">
            <w:pPr>
              <w:spacing w:after="0" w:line="240" w:lineRule="auto"/>
              <w:rPr>
                <w:color w:val="000000"/>
                <w:sz w:val="20"/>
                <w:shd w:val="clear" w:color="auto" w:fill="FFFFFF"/>
              </w:rPr>
            </w:pPr>
            <w:r w:rsidRPr="00565E9F">
              <w:rPr>
                <w:color w:val="000000"/>
                <w:sz w:val="18"/>
                <w:szCs w:val="18"/>
                <w:shd w:val="clear" w:color="auto" w:fill="FFFFFF"/>
              </w:rPr>
              <w:lastRenderedPageBreak/>
              <w:t xml:space="preserve">Initially increase as a result of earlier detection, and then decline </w:t>
            </w:r>
          </w:p>
        </w:tc>
        <w:tc>
          <w:tcPr>
            <w:tcW w:w="550" w:type="pct"/>
            <w:tcBorders>
              <w:top w:val="nil"/>
              <w:left w:val="single" w:sz="4" w:space="0" w:color="auto"/>
              <w:bottom w:val="single" w:sz="4" w:space="0" w:color="auto"/>
              <w:right w:val="single" w:sz="4" w:space="0" w:color="auto"/>
            </w:tcBorders>
            <w:shd w:val="clear" w:color="auto" w:fill="auto"/>
            <w:noWrap/>
          </w:tcPr>
          <w:p w14:paraId="212C796E" w14:textId="77777777" w:rsidR="000B54BD" w:rsidRPr="0070799D" w:rsidRDefault="000B54BD" w:rsidP="00E97A3B">
            <w:pPr>
              <w:spacing w:line="240" w:lineRule="auto"/>
              <w:rPr>
                <w:color w:val="000000"/>
                <w:sz w:val="20"/>
                <w:shd w:val="clear" w:color="auto" w:fill="FFFFFF"/>
              </w:rPr>
            </w:pPr>
            <w:r w:rsidRPr="00565E9F">
              <w:rPr>
                <w:color w:val="000000"/>
                <w:sz w:val="18"/>
                <w:szCs w:val="18"/>
                <w:shd w:val="clear" w:color="auto" w:fill="FFFFFF"/>
              </w:rPr>
              <w:t>Community health, MOH</w:t>
            </w:r>
          </w:p>
        </w:tc>
        <w:tc>
          <w:tcPr>
            <w:tcW w:w="550" w:type="pct"/>
            <w:tcBorders>
              <w:top w:val="nil"/>
              <w:left w:val="nil"/>
              <w:bottom w:val="single" w:sz="4" w:space="0" w:color="auto"/>
              <w:right w:val="single" w:sz="4" w:space="0" w:color="auto"/>
            </w:tcBorders>
            <w:shd w:val="clear" w:color="auto" w:fill="auto"/>
            <w:noWrap/>
          </w:tcPr>
          <w:p w14:paraId="423B2EDA" w14:textId="77777777" w:rsidR="000B54BD" w:rsidRPr="00565E9F" w:rsidRDefault="000B54BD" w:rsidP="00E97A3B">
            <w:pPr>
              <w:spacing w:line="240" w:lineRule="auto"/>
              <w:rPr>
                <w:color w:val="000000"/>
                <w:sz w:val="18"/>
                <w:szCs w:val="18"/>
                <w:shd w:val="clear" w:color="auto" w:fill="FFFFFF"/>
              </w:rPr>
            </w:pPr>
            <w:r w:rsidRPr="00565E9F">
              <w:rPr>
                <w:color w:val="000000"/>
                <w:sz w:val="18"/>
                <w:szCs w:val="18"/>
                <w:shd w:val="clear" w:color="auto" w:fill="FFFFFF"/>
              </w:rPr>
              <w:t>2014 (Only for 7 clinics in Tongatapu Island)</w:t>
            </w:r>
          </w:p>
          <w:p w14:paraId="73813C61" w14:textId="77777777" w:rsidR="000B54BD" w:rsidRDefault="000B54BD" w:rsidP="00E97A3B">
            <w:pPr>
              <w:spacing w:line="240" w:lineRule="auto"/>
              <w:rPr>
                <w:color w:val="000000"/>
                <w:sz w:val="18"/>
                <w:szCs w:val="18"/>
                <w:shd w:val="clear" w:color="auto" w:fill="FFFFFF"/>
              </w:rPr>
            </w:pPr>
            <w:r>
              <w:rPr>
                <w:color w:val="000000"/>
                <w:sz w:val="18"/>
                <w:szCs w:val="18"/>
                <w:shd w:val="clear" w:color="auto" w:fill="FFFFFF"/>
              </w:rPr>
              <w:t>3.9 per 1000</w:t>
            </w:r>
          </w:p>
          <w:p w14:paraId="3FF6579D" w14:textId="77777777" w:rsidR="000B54BD" w:rsidRPr="0070799D" w:rsidRDefault="000B54BD" w:rsidP="00E97A3B">
            <w:pPr>
              <w:spacing w:line="240" w:lineRule="auto"/>
              <w:rPr>
                <w:color w:val="000000"/>
                <w:sz w:val="20"/>
                <w:shd w:val="clear" w:color="auto" w:fill="FFFFFF"/>
              </w:rPr>
            </w:pPr>
          </w:p>
        </w:tc>
        <w:tc>
          <w:tcPr>
            <w:tcW w:w="501" w:type="pct"/>
            <w:tcBorders>
              <w:top w:val="nil"/>
              <w:left w:val="nil"/>
              <w:bottom w:val="single" w:sz="4" w:space="0" w:color="auto"/>
              <w:right w:val="single" w:sz="4" w:space="0" w:color="auto"/>
            </w:tcBorders>
            <w:shd w:val="clear" w:color="auto" w:fill="auto"/>
          </w:tcPr>
          <w:p w14:paraId="688BFDF8" w14:textId="77777777" w:rsidR="000B54BD" w:rsidRPr="0070799D" w:rsidRDefault="000B54BD" w:rsidP="00E97A3B">
            <w:pPr>
              <w:spacing w:after="0" w:line="240" w:lineRule="auto"/>
              <w:rPr>
                <w:color w:val="000000"/>
                <w:sz w:val="20"/>
                <w:shd w:val="clear" w:color="auto" w:fill="FFFFFF"/>
              </w:rPr>
            </w:pPr>
          </w:p>
        </w:tc>
        <w:tc>
          <w:tcPr>
            <w:tcW w:w="549" w:type="pct"/>
            <w:tcBorders>
              <w:top w:val="nil"/>
              <w:left w:val="nil"/>
              <w:bottom w:val="single" w:sz="4" w:space="0" w:color="auto"/>
              <w:right w:val="single" w:sz="4" w:space="0" w:color="auto"/>
            </w:tcBorders>
            <w:shd w:val="clear" w:color="auto" w:fill="auto"/>
          </w:tcPr>
          <w:p w14:paraId="5D9B0E6D" w14:textId="77777777" w:rsidR="000B54BD" w:rsidRPr="0070799D" w:rsidRDefault="000B54BD" w:rsidP="00E97A3B">
            <w:pPr>
              <w:spacing w:line="240" w:lineRule="auto"/>
              <w:rPr>
                <w:color w:val="000000"/>
                <w:sz w:val="20"/>
                <w:shd w:val="clear" w:color="auto" w:fill="FFFFFF"/>
              </w:rPr>
            </w:pPr>
          </w:p>
        </w:tc>
        <w:tc>
          <w:tcPr>
            <w:tcW w:w="655" w:type="pct"/>
            <w:tcBorders>
              <w:top w:val="nil"/>
              <w:left w:val="nil"/>
              <w:bottom w:val="single" w:sz="4" w:space="0" w:color="auto"/>
              <w:right w:val="single" w:sz="4" w:space="0" w:color="auto"/>
            </w:tcBorders>
            <w:shd w:val="clear" w:color="auto" w:fill="auto"/>
          </w:tcPr>
          <w:p w14:paraId="208544B1" w14:textId="77777777" w:rsidR="000B54BD" w:rsidRPr="00536EB5" w:rsidRDefault="000B54BD" w:rsidP="00E97A3B">
            <w:pPr>
              <w:spacing w:after="0" w:line="240" w:lineRule="auto"/>
              <w:rPr>
                <w:color w:val="000000"/>
                <w:sz w:val="18"/>
                <w:szCs w:val="18"/>
                <w:shd w:val="clear" w:color="auto" w:fill="FFFFFF"/>
              </w:rPr>
            </w:pPr>
            <w:r w:rsidRPr="00536EB5">
              <w:rPr>
                <w:color w:val="000000"/>
                <w:sz w:val="18"/>
                <w:szCs w:val="18"/>
                <w:shd w:val="clear" w:color="auto" w:fill="FFFFFF"/>
              </w:rPr>
              <w:t>See indicator 4.3</w:t>
            </w:r>
          </w:p>
        </w:tc>
      </w:tr>
      <w:tr w:rsidR="000B54BD" w:rsidRPr="00457E15" w14:paraId="2C543B5A" w14:textId="77777777" w:rsidTr="00E97A3B">
        <w:trPr>
          <w:gridAfter w:val="2"/>
          <w:wAfter w:w="7" w:type="pct"/>
          <w:trHeight w:val="1981"/>
        </w:trPr>
        <w:tc>
          <w:tcPr>
            <w:tcW w:w="338" w:type="pct"/>
            <w:tcBorders>
              <w:top w:val="single" w:sz="4" w:space="0" w:color="auto"/>
              <w:left w:val="single" w:sz="4" w:space="0" w:color="auto"/>
              <w:bottom w:val="single" w:sz="4" w:space="0" w:color="auto"/>
              <w:right w:val="nil"/>
            </w:tcBorders>
            <w:shd w:val="clear" w:color="auto" w:fill="auto"/>
            <w:noWrap/>
          </w:tcPr>
          <w:p w14:paraId="728B9EE7" w14:textId="77777777" w:rsidR="000B54BD" w:rsidRDefault="000B54BD" w:rsidP="00E97A3B">
            <w:pPr>
              <w:spacing w:after="0" w:line="240" w:lineRule="auto"/>
              <w:rPr>
                <w:sz w:val="20"/>
              </w:rPr>
            </w:pPr>
            <w:r>
              <w:rPr>
                <w:sz w:val="18"/>
                <w:szCs w:val="18"/>
              </w:rPr>
              <w:t>44</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tcPr>
          <w:p w14:paraId="715BF4C2" w14:textId="77777777" w:rsidR="000B54BD" w:rsidRPr="0070799D" w:rsidRDefault="000B54BD" w:rsidP="00E97A3B">
            <w:pPr>
              <w:spacing w:after="0" w:line="240" w:lineRule="auto"/>
              <w:rPr>
                <w:b/>
                <w:color w:val="000000"/>
                <w:sz w:val="20"/>
                <w:shd w:val="clear" w:color="auto" w:fill="FFFFFF"/>
              </w:rPr>
            </w:pPr>
            <w:r w:rsidRPr="00565E9F">
              <w:rPr>
                <w:b/>
                <w:color w:val="000000"/>
                <w:sz w:val="18"/>
                <w:szCs w:val="18"/>
                <w:shd w:val="clear" w:color="auto" w:fill="FFFFFF"/>
              </w:rPr>
              <w:t>OUTCOME:</w:t>
            </w:r>
            <w:r w:rsidRPr="00565E9F">
              <w:rPr>
                <w:color w:val="000000"/>
                <w:sz w:val="18"/>
                <w:szCs w:val="18"/>
                <w:shd w:val="clear" w:color="auto" w:fill="FFFFFF"/>
              </w:rPr>
              <w:t xml:space="preserve"> Default rate as % of all registered people with </w:t>
            </w:r>
            <w:r>
              <w:rPr>
                <w:color w:val="000000"/>
                <w:sz w:val="18"/>
                <w:szCs w:val="18"/>
                <w:shd w:val="clear" w:color="auto" w:fill="FFFFFF"/>
              </w:rPr>
              <w:t>NCD</w:t>
            </w:r>
            <w:r w:rsidRPr="00565E9F">
              <w:rPr>
                <w:color w:val="000000"/>
                <w:sz w:val="18"/>
                <w:szCs w:val="18"/>
                <w:shd w:val="clear" w:color="auto" w:fill="FFFFFF"/>
              </w:rPr>
              <w:t>, %</w:t>
            </w:r>
          </w:p>
        </w:tc>
        <w:tc>
          <w:tcPr>
            <w:tcW w:w="850" w:type="pct"/>
            <w:tcBorders>
              <w:top w:val="nil"/>
              <w:left w:val="nil"/>
              <w:bottom w:val="single" w:sz="4" w:space="0" w:color="auto"/>
              <w:right w:val="single" w:sz="4" w:space="0" w:color="auto"/>
            </w:tcBorders>
            <w:shd w:val="clear" w:color="auto" w:fill="auto"/>
          </w:tcPr>
          <w:p w14:paraId="6FC9A598" w14:textId="77777777" w:rsidR="000B54BD" w:rsidRPr="00565E9F" w:rsidRDefault="000B54BD" w:rsidP="00E97A3B">
            <w:pPr>
              <w:spacing w:line="240" w:lineRule="auto"/>
              <w:rPr>
                <w:color w:val="000000"/>
                <w:sz w:val="18"/>
                <w:szCs w:val="18"/>
                <w:shd w:val="clear" w:color="auto" w:fill="FFFFFF"/>
              </w:rPr>
            </w:pPr>
            <w:r w:rsidRPr="00565E9F">
              <w:rPr>
                <w:color w:val="000000"/>
                <w:sz w:val="18"/>
                <w:szCs w:val="18"/>
                <w:shd w:val="clear" w:color="auto" w:fill="FFFFFF"/>
              </w:rPr>
              <w:t>NCD register refers to data on demographic characteristics, risk factors and clinical measurements for every NCD (i.e. diabetes</w:t>
            </w:r>
            <w:r>
              <w:rPr>
                <w:color w:val="000000"/>
                <w:sz w:val="18"/>
                <w:szCs w:val="18"/>
                <w:shd w:val="clear" w:color="auto" w:fill="FFFFFF"/>
              </w:rPr>
              <w:t xml:space="preserve"> and hypertension</w:t>
            </w:r>
            <w:r w:rsidRPr="00565E9F">
              <w:rPr>
                <w:color w:val="000000"/>
                <w:sz w:val="18"/>
                <w:szCs w:val="18"/>
                <w:shd w:val="clear" w:color="auto" w:fill="FFFFFF"/>
              </w:rPr>
              <w:t>) in the country.</w:t>
            </w:r>
          </w:p>
          <w:p w14:paraId="25E2A072" w14:textId="77777777" w:rsidR="000B54BD" w:rsidRPr="00565E9F" w:rsidRDefault="000B54BD" w:rsidP="00E97A3B">
            <w:pPr>
              <w:spacing w:line="240" w:lineRule="auto"/>
              <w:rPr>
                <w:color w:val="000000"/>
                <w:sz w:val="18"/>
                <w:szCs w:val="18"/>
                <w:shd w:val="clear" w:color="auto" w:fill="FFFFFF"/>
              </w:rPr>
            </w:pPr>
            <w:r w:rsidRPr="00565E9F">
              <w:rPr>
                <w:color w:val="000000"/>
                <w:sz w:val="18"/>
                <w:szCs w:val="18"/>
                <w:shd w:val="clear" w:color="auto" w:fill="FFFFFF"/>
              </w:rPr>
              <w:t>Defaulters are those</w:t>
            </w:r>
            <w:r>
              <w:rPr>
                <w:color w:val="000000"/>
                <w:sz w:val="18"/>
                <w:szCs w:val="18"/>
                <w:shd w:val="clear" w:color="auto" w:fill="FFFFFF"/>
              </w:rPr>
              <w:t xml:space="preserve"> NCD</w:t>
            </w:r>
            <w:r w:rsidRPr="00565E9F">
              <w:rPr>
                <w:color w:val="000000"/>
                <w:sz w:val="18"/>
                <w:szCs w:val="18"/>
                <w:shd w:val="clear" w:color="auto" w:fill="FFFFFF"/>
              </w:rPr>
              <w:t xml:space="preserve"> patients who are in the NCD register but fail to visit NCD centres for health monitoring and management of diabetes</w:t>
            </w:r>
            <w:r>
              <w:rPr>
                <w:color w:val="000000"/>
                <w:sz w:val="18"/>
                <w:szCs w:val="18"/>
                <w:shd w:val="clear" w:color="auto" w:fill="FFFFFF"/>
              </w:rPr>
              <w:t xml:space="preserve"> or hypertension</w:t>
            </w:r>
          </w:p>
          <w:p w14:paraId="0232025F" w14:textId="77777777" w:rsidR="000B54BD" w:rsidRPr="00565E9F" w:rsidRDefault="000B54BD" w:rsidP="00E97A3B">
            <w:pPr>
              <w:spacing w:line="240" w:lineRule="auto"/>
              <w:rPr>
                <w:color w:val="000000"/>
                <w:sz w:val="18"/>
                <w:szCs w:val="18"/>
                <w:shd w:val="clear" w:color="auto" w:fill="FFFFFF"/>
              </w:rPr>
            </w:pPr>
            <w:r w:rsidRPr="00565E9F">
              <w:rPr>
                <w:color w:val="000000"/>
                <w:sz w:val="18"/>
                <w:szCs w:val="18"/>
                <w:shd w:val="clear" w:color="auto" w:fill="FFFFFF"/>
              </w:rPr>
              <w:t>Numerator: Number of defaulters in a given year</w:t>
            </w:r>
          </w:p>
          <w:p w14:paraId="53919887" w14:textId="77777777" w:rsidR="000B54BD" w:rsidRPr="0070799D" w:rsidRDefault="000B54BD" w:rsidP="00E97A3B">
            <w:pPr>
              <w:spacing w:line="240" w:lineRule="auto"/>
              <w:rPr>
                <w:color w:val="000000"/>
                <w:sz w:val="20"/>
                <w:shd w:val="clear" w:color="auto" w:fill="FFFFFF"/>
              </w:rPr>
            </w:pPr>
            <w:r w:rsidRPr="00565E9F">
              <w:rPr>
                <w:color w:val="000000"/>
                <w:sz w:val="18"/>
                <w:szCs w:val="18"/>
                <w:shd w:val="clear" w:color="auto" w:fill="FFFFFF"/>
              </w:rPr>
              <w:t>Denominator: All registered people with diabetes</w:t>
            </w:r>
            <w:r>
              <w:rPr>
                <w:color w:val="000000"/>
                <w:sz w:val="18"/>
                <w:szCs w:val="18"/>
                <w:shd w:val="clear" w:color="auto" w:fill="FFFFFF"/>
              </w:rPr>
              <w:t xml:space="preserve"> and hypertension</w:t>
            </w:r>
            <w:r w:rsidRPr="00565E9F">
              <w:rPr>
                <w:color w:val="000000"/>
                <w:sz w:val="18"/>
                <w:szCs w:val="18"/>
                <w:shd w:val="clear" w:color="auto" w:fill="FFFFFF"/>
              </w:rPr>
              <w:t xml:space="preserve"> in a given year  x 100</w:t>
            </w:r>
          </w:p>
        </w:tc>
        <w:tc>
          <w:tcPr>
            <w:tcW w:w="450" w:type="pct"/>
            <w:tcBorders>
              <w:top w:val="nil"/>
              <w:left w:val="nil"/>
              <w:bottom w:val="single" w:sz="4" w:space="0" w:color="auto"/>
              <w:right w:val="single" w:sz="4" w:space="0" w:color="auto"/>
            </w:tcBorders>
            <w:shd w:val="clear" w:color="auto" w:fill="auto"/>
          </w:tcPr>
          <w:p w14:paraId="13955EB8" w14:textId="77777777" w:rsidR="000B54BD" w:rsidRPr="0070799D" w:rsidRDefault="000B54BD" w:rsidP="00E97A3B">
            <w:pPr>
              <w:spacing w:after="0" w:line="240" w:lineRule="auto"/>
              <w:rPr>
                <w:color w:val="000000"/>
                <w:sz w:val="20"/>
                <w:shd w:val="clear" w:color="auto" w:fill="FFFFFF"/>
              </w:rPr>
            </w:pPr>
            <w:r w:rsidRPr="00565E9F">
              <w:rPr>
                <w:color w:val="000000"/>
                <w:sz w:val="18"/>
                <w:szCs w:val="18"/>
                <w:shd w:val="clear" w:color="auto" w:fill="FFFFFF"/>
              </w:rPr>
              <w:t>Reduction</w:t>
            </w:r>
          </w:p>
        </w:tc>
        <w:tc>
          <w:tcPr>
            <w:tcW w:w="550" w:type="pct"/>
            <w:tcBorders>
              <w:top w:val="nil"/>
              <w:left w:val="single" w:sz="4" w:space="0" w:color="auto"/>
              <w:bottom w:val="single" w:sz="4" w:space="0" w:color="auto"/>
              <w:right w:val="single" w:sz="4" w:space="0" w:color="auto"/>
            </w:tcBorders>
            <w:shd w:val="clear" w:color="auto" w:fill="auto"/>
            <w:noWrap/>
          </w:tcPr>
          <w:p w14:paraId="645F83FF" w14:textId="77777777" w:rsidR="000B54BD" w:rsidRPr="00565E9F" w:rsidRDefault="000B54BD" w:rsidP="00E97A3B">
            <w:pPr>
              <w:spacing w:line="240" w:lineRule="auto"/>
              <w:rPr>
                <w:color w:val="000000"/>
                <w:sz w:val="18"/>
                <w:szCs w:val="18"/>
                <w:shd w:val="clear" w:color="auto" w:fill="FFFFFF"/>
              </w:rPr>
            </w:pPr>
            <w:r w:rsidRPr="00565E9F">
              <w:rPr>
                <w:color w:val="000000"/>
                <w:sz w:val="18"/>
                <w:szCs w:val="18"/>
                <w:shd w:val="clear" w:color="auto" w:fill="FFFFFF"/>
              </w:rPr>
              <w:t>Community Health, MOH</w:t>
            </w:r>
          </w:p>
          <w:p w14:paraId="3F57AE98" w14:textId="77777777" w:rsidR="000B54BD" w:rsidRPr="00565E9F" w:rsidRDefault="000B54BD" w:rsidP="00E97A3B">
            <w:pPr>
              <w:spacing w:line="240" w:lineRule="auto"/>
              <w:rPr>
                <w:color w:val="000000"/>
                <w:sz w:val="18"/>
                <w:szCs w:val="18"/>
                <w:shd w:val="clear" w:color="auto" w:fill="FFFFFF"/>
              </w:rPr>
            </w:pPr>
          </w:p>
          <w:p w14:paraId="21D1D8B5" w14:textId="77777777" w:rsidR="000B54BD" w:rsidRPr="0070799D" w:rsidRDefault="000B54BD" w:rsidP="00E97A3B">
            <w:pPr>
              <w:spacing w:line="240" w:lineRule="auto"/>
              <w:rPr>
                <w:color w:val="000000"/>
                <w:sz w:val="20"/>
                <w:shd w:val="clear" w:color="auto" w:fill="FFFFFF"/>
              </w:rPr>
            </w:pPr>
          </w:p>
        </w:tc>
        <w:tc>
          <w:tcPr>
            <w:tcW w:w="550" w:type="pct"/>
            <w:tcBorders>
              <w:top w:val="nil"/>
              <w:left w:val="nil"/>
              <w:bottom w:val="single" w:sz="4" w:space="0" w:color="auto"/>
              <w:right w:val="single" w:sz="4" w:space="0" w:color="auto"/>
            </w:tcBorders>
            <w:shd w:val="clear" w:color="auto" w:fill="auto"/>
            <w:noWrap/>
          </w:tcPr>
          <w:p w14:paraId="0A736948" w14:textId="77777777" w:rsidR="000B54BD" w:rsidRPr="00565E9F" w:rsidRDefault="000B54BD" w:rsidP="00E97A3B">
            <w:pPr>
              <w:spacing w:line="240" w:lineRule="auto"/>
              <w:rPr>
                <w:color w:val="000000"/>
                <w:sz w:val="18"/>
                <w:szCs w:val="18"/>
                <w:shd w:val="clear" w:color="auto" w:fill="FFFFFF"/>
              </w:rPr>
            </w:pPr>
            <w:r w:rsidRPr="00565E9F">
              <w:rPr>
                <w:color w:val="000000"/>
                <w:sz w:val="18"/>
                <w:szCs w:val="18"/>
                <w:shd w:val="clear" w:color="auto" w:fill="FFFFFF"/>
              </w:rPr>
              <w:t>2014 (Only for 7 clinics in Tongatapu Island)</w:t>
            </w:r>
          </w:p>
          <w:p w14:paraId="089A9440" w14:textId="77777777" w:rsidR="000B54BD" w:rsidRPr="00565E9F" w:rsidRDefault="000B54BD" w:rsidP="00E97A3B">
            <w:pPr>
              <w:spacing w:line="240" w:lineRule="auto"/>
              <w:rPr>
                <w:color w:val="000000"/>
                <w:sz w:val="18"/>
                <w:szCs w:val="18"/>
                <w:shd w:val="clear" w:color="auto" w:fill="FFFFFF"/>
              </w:rPr>
            </w:pPr>
            <w:r w:rsidRPr="00565E9F">
              <w:rPr>
                <w:color w:val="000000"/>
                <w:sz w:val="18"/>
                <w:szCs w:val="18"/>
                <w:shd w:val="clear" w:color="auto" w:fill="FFFFFF"/>
              </w:rPr>
              <w:t>Females:</w:t>
            </w:r>
            <w:r>
              <w:rPr>
                <w:color w:val="000000"/>
                <w:sz w:val="18"/>
                <w:szCs w:val="18"/>
                <w:shd w:val="clear" w:color="auto" w:fill="FFFFFF"/>
              </w:rPr>
              <w:br/>
            </w:r>
            <w:r w:rsidRPr="00565E9F">
              <w:rPr>
                <w:color w:val="000000"/>
                <w:sz w:val="18"/>
                <w:szCs w:val="18"/>
                <w:shd w:val="clear" w:color="auto" w:fill="FFFFFF"/>
              </w:rPr>
              <w:t>5.4 %</w:t>
            </w:r>
          </w:p>
          <w:p w14:paraId="2D360B5B" w14:textId="77777777" w:rsidR="000B54BD" w:rsidRPr="00565E9F" w:rsidRDefault="000B54BD" w:rsidP="00E97A3B">
            <w:pPr>
              <w:spacing w:line="240" w:lineRule="auto"/>
              <w:rPr>
                <w:color w:val="000000"/>
                <w:sz w:val="18"/>
                <w:szCs w:val="18"/>
                <w:shd w:val="clear" w:color="auto" w:fill="FFFFFF"/>
              </w:rPr>
            </w:pPr>
            <w:r w:rsidRPr="00565E9F">
              <w:rPr>
                <w:color w:val="000000"/>
                <w:sz w:val="18"/>
                <w:szCs w:val="18"/>
                <w:shd w:val="clear" w:color="auto" w:fill="FFFFFF"/>
              </w:rPr>
              <w:t>Males:</w:t>
            </w:r>
            <w:r>
              <w:rPr>
                <w:color w:val="000000"/>
                <w:sz w:val="18"/>
                <w:szCs w:val="18"/>
                <w:shd w:val="clear" w:color="auto" w:fill="FFFFFF"/>
              </w:rPr>
              <w:br/>
            </w:r>
            <w:r w:rsidRPr="00565E9F">
              <w:rPr>
                <w:color w:val="000000"/>
                <w:sz w:val="18"/>
                <w:szCs w:val="18"/>
                <w:shd w:val="clear" w:color="auto" w:fill="FFFFFF"/>
              </w:rPr>
              <w:t>6.4 %</w:t>
            </w:r>
          </w:p>
          <w:p w14:paraId="0D5E6D11" w14:textId="77777777" w:rsidR="000B54BD" w:rsidRPr="00565E9F" w:rsidRDefault="000B54BD" w:rsidP="00E97A3B">
            <w:pPr>
              <w:spacing w:line="240" w:lineRule="auto"/>
              <w:rPr>
                <w:color w:val="000000"/>
                <w:sz w:val="18"/>
                <w:szCs w:val="18"/>
                <w:shd w:val="clear" w:color="auto" w:fill="FFFFFF"/>
              </w:rPr>
            </w:pPr>
            <w:r w:rsidRPr="00565E9F">
              <w:rPr>
                <w:color w:val="000000"/>
                <w:sz w:val="18"/>
                <w:szCs w:val="18"/>
                <w:shd w:val="clear" w:color="auto" w:fill="FFFFFF"/>
              </w:rPr>
              <w:t>Both Sexes:</w:t>
            </w:r>
            <w:r>
              <w:rPr>
                <w:color w:val="000000"/>
                <w:sz w:val="18"/>
                <w:szCs w:val="18"/>
                <w:shd w:val="clear" w:color="auto" w:fill="FFFFFF"/>
              </w:rPr>
              <w:br/>
            </w:r>
            <w:r w:rsidRPr="00565E9F">
              <w:rPr>
                <w:color w:val="000000"/>
                <w:sz w:val="18"/>
                <w:szCs w:val="18"/>
                <w:shd w:val="clear" w:color="auto" w:fill="FFFFFF"/>
              </w:rPr>
              <w:t>5.8 %</w:t>
            </w:r>
          </w:p>
          <w:p w14:paraId="7A8AD1D4" w14:textId="77777777" w:rsidR="000B54BD" w:rsidRPr="0070799D" w:rsidRDefault="000B54BD" w:rsidP="00E97A3B">
            <w:pPr>
              <w:spacing w:line="240" w:lineRule="auto"/>
              <w:rPr>
                <w:color w:val="000000"/>
                <w:sz w:val="20"/>
                <w:shd w:val="clear" w:color="auto" w:fill="FFFFFF"/>
              </w:rPr>
            </w:pPr>
          </w:p>
        </w:tc>
        <w:tc>
          <w:tcPr>
            <w:tcW w:w="501" w:type="pct"/>
            <w:tcBorders>
              <w:top w:val="nil"/>
              <w:left w:val="nil"/>
              <w:bottom w:val="single" w:sz="4" w:space="0" w:color="auto"/>
              <w:right w:val="single" w:sz="4" w:space="0" w:color="auto"/>
            </w:tcBorders>
            <w:shd w:val="clear" w:color="auto" w:fill="auto"/>
          </w:tcPr>
          <w:p w14:paraId="3AA0BC1C" w14:textId="77777777" w:rsidR="000B54BD" w:rsidRPr="0070799D" w:rsidRDefault="000B54BD" w:rsidP="00E97A3B">
            <w:pPr>
              <w:spacing w:after="0" w:line="240" w:lineRule="auto"/>
              <w:rPr>
                <w:color w:val="000000"/>
                <w:sz w:val="20"/>
                <w:shd w:val="clear" w:color="auto" w:fill="FFFFFF"/>
              </w:rPr>
            </w:pPr>
          </w:p>
        </w:tc>
        <w:tc>
          <w:tcPr>
            <w:tcW w:w="549" w:type="pct"/>
            <w:tcBorders>
              <w:top w:val="nil"/>
              <w:left w:val="nil"/>
              <w:bottom w:val="single" w:sz="4" w:space="0" w:color="auto"/>
              <w:right w:val="single" w:sz="4" w:space="0" w:color="auto"/>
            </w:tcBorders>
            <w:shd w:val="clear" w:color="auto" w:fill="auto"/>
          </w:tcPr>
          <w:p w14:paraId="435D4F05" w14:textId="77777777" w:rsidR="000B54BD" w:rsidRPr="0070799D" w:rsidRDefault="000B54BD" w:rsidP="00E97A3B">
            <w:pPr>
              <w:spacing w:line="240" w:lineRule="auto"/>
              <w:rPr>
                <w:color w:val="000000"/>
                <w:sz w:val="20"/>
                <w:shd w:val="clear" w:color="auto" w:fill="FFFFFF"/>
              </w:rPr>
            </w:pPr>
          </w:p>
        </w:tc>
        <w:tc>
          <w:tcPr>
            <w:tcW w:w="655" w:type="pct"/>
            <w:tcBorders>
              <w:top w:val="nil"/>
              <w:left w:val="nil"/>
              <w:bottom w:val="single" w:sz="4" w:space="0" w:color="auto"/>
              <w:right w:val="single" w:sz="4" w:space="0" w:color="auto"/>
            </w:tcBorders>
            <w:shd w:val="clear" w:color="auto" w:fill="auto"/>
          </w:tcPr>
          <w:p w14:paraId="6DAD4C47" w14:textId="77777777" w:rsidR="000B54BD" w:rsidRPr="0070799D" w:rsidRDefault="000B54BD" w:rsidP="00E97A3B">
            <w:pPr>
              <w:spacing w:after="0" w:line="240" w:lineRule="auto"/>
              <w:rPr>
                <w:color w:val="000000"/>
                <w:sz w:val="20"/>
                <w:shd w:val="clear" w:color="auto" w:fill="FFFFFF"/>
              </w:rPr>
            </w:pPr>
            <w:r>
              <w:rPr>
                <w:color w:val="000000"/>
                <w:sz w:val="20"/>
                <w:shd w:val="clear" w:color="auto" w:fill="FFFFFF"/>
              </w:rPr>
              <w:t>See indicator 4.4</w:t>
            </w:r>
          </w:p>
        </w:tc>
      </w:tr>
      <w:tr w:rsidR="000B54BD" w:rsidRPr="00457E15" w14:paraId="5C7049BD" w14:textId="77777777" w:rsidTr="00E97A3B">
        <w:trPr>
          <w:gridAfter w:val="1"/>
          <w:wAfter w:w="2" w:type="pct"/>
          <w:trHeight w:val="237"/>
        </w:trPr>
        <w:tc>
          <w:tcPr>
            <w:tcW w:w="4998"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675B367" w14:textId="77777777" w:rsidR="000B54BD" w:rsidRPr="00457E15" w:rsidRDefault="000B54BD" w:rsidP="00E97A3B">
            <w:r w:rsidRPr="00457E15">
              <w:rPr>
                <w:rFonts w:eastAsia="Times New Roman" w:cs="Arial"/>
                <w:b/>
                <w:bCs/>
                <w:sz w:val="18"/>
                <w:szCs w:val="18"/>
                <w:lang w:eastAsia="en-AU"/>
              </w:rPr>
              <w:t>Outcome 4: Strengthened monitoring and surveillance supports evidence based action</w:t>
            </w:r>
          </w:p>
        </w:tc>
      </w:tr>
      <w:tr w:rsidR="000B54BD" w:rsidRPr="00457E15" w14:paraId="5C3FE1CA" w14:textId="77777777" w:rsidTr="00E97A3B">
        <w:trPr>
          <w:trHeight w:val="615"/>
        </w:trPr>
        <w:tc>
          <w:tcPr>
            <w:tcW w:w="338" w:type="pct"/>
            <w:tcBorders>
              <w:top w:val="single" w:sz="4" w:space="0" w:color="auto"/>
              <w:left w:val="single" w:sz="4" w:space="0" w:color="auto"/>
              <w:bottom w:val="single" w:sz="4" w:space="0" w:color="auto"/>
              <w:right w:val="nil"/>
            </w:tcBorders>
            <w:shd w:val="clear" w:color="auto" w:fill="auto"/>
            <w:noWrap/>
            <w:hideMark/>
          </w:tcPr>
          <w:p w14:paraId="5AC9B0E6"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lastRenderedPageBreak/>
              <w:t>45</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06944E36" w14:textId="77777777" w:rsidR="000B54BD" w:rsidRPr="00457E15" w:rsidRDefault="000B54BD" w:rsidP="00E97A3B">
            <w:pPr>
              <w:spacing w:after="0" w:line="240" w:lineRule="auto"/>
              <w:rPr>
                <w:rFonts w:eastAsia="Times New Roman"/>
                <w:sz w:val="18"/>
                <w:szCs w:val="18"/>
                <w:lang w:eastAsia="en-AU"/>
              </w:rPr>
            </w:pPr>
            <w:r w:rsidRPr="0022482F">
              <w:rPr>
                <w:rFonts w:eastAsia="Times New Roman"/>
                <w:b/>
                <w:sz w:val="18"/>
                <w:szCs w:val="18"/>
                <w:lang w:eastAsia="en-AU"/>
              </w:rPr>
              <w:t>OUTPUT:</w:t>
            </w:r>
            <w:r w:rsidRPr="00457E15">
              <w:rPr>
                <w:rFonts w:eastAsia="Times New Roman"/>
                <w:sz w:val="18"/>
                <w:szCs w:val="18"/>
                <w:lang w:eastAsia="en-AU"/>
              </w:rPr>
              <w:t xml:space="preserve"> % of </w:t>
            </w:r>
            <w:r w:rsidRPr="00A318B9">
              <w:rPr>
                <w:rFonts w:eastAsia="Times New Roman"/>
                <w:noProof/>
                <w:sz w:val="18"/>
                <w:szCs w:val="18"/>
                <w:lang w:eastAsia="en-AU"/>
              </w:rPr>
              <w:t>overall</w:t>
            </w:r>
            <w:r w:rsidRPr="00457E15">
              <w:rPr>
                <w:rFonts w:eastAsia="Times New Roman"/>
                <w:sz w:val="18"/>
                <w:szCs w:val="18"/>
                <w:lang w:eastAsia="en-AU"/>
              </w:rPr>
              <w:t xml:space="preserve"> health budget allocated to </w:t>
            </w:r>
            <w:r>
              <w:rPr>
                <w:rFonts w:eastAsia="Times New Roman"/>
                <w:sz w:val="18"/>
                <w:szCs w:val="18"/>
                <w:lang w:eastAsia="en-AU"/>
              </w:rPr>
              <w:t>Health Planning and Information Services</w:t>
            </w:r>
          </w:p>
        </w:tc>
        <w:tc>
          <w:tcPr>
            <w:tcW w:w="850" w:type="pct"/>
            <w:tcBorders>
              <w:top w:val="single" w:sz="4" w:space="0" w:color="auto"/>
              <w:left w:val="nil"/>
              <w:bottom w:val="single" w:sz="4" w:space="0" w:color="auto"/>
              <w:right w:val="single" w:sz="4" w:space="0" w:color="auto"/>
            </w:tcBorders>
            <w:shd w:val="clear" w:color="auto" w:fill="auto"/>
            <w:hideMark/>
          </w:tcPr>
          <w:p w14:paraId="02891B41" w14:textId="77777777" w:rsidR="000B54BD" w:rsidRPr="00550562" w:rsidRDefault="000B54BD" w:rsidP="00E97A3B">
            <w:pPr>
              <w:spacing w:after="0" w:line="240" w:lineRule="auto"/>
              <w:rPr>
                <w:rFonts w:eastAsia="Times New Roman"/>
                <w:sz w:val="18"/>
                <w:szCs w:val="18"/>
                <w:lang w:eastAsia="en-AU"/>
              </w:rPr>
            </w:pPr>
            <w:r w:rsidRPr="00550562">
              <w:rPr>
                <w:rFonts w:eastAsia="Times New Roman"/>
                <w:sz w:val="18"/>
                <w:szCs w:val="18"/>
                <w:lang w:eastAsia="en-AU"/>
              </w:rPr>
              <w:t xml:space="preserve">Budget refers to </w:t>
            </w:r>
            <w:r w:rsidRPr="00A318B9">
              <w:rPr>
                <w:rFonts w:eastAsia="Times New Roman"/>
                <w:noProof/>
                <w:sz w:val="18"/>
                <w:szCs w:val="18"/>
                <w:lang w:eastAsia="en-AU"/>
              </w:rPr>
              <w:t>allocated</w:t>
            </w:r>
            <w:r w:rsidRPr="00550562">
              <w:rPr>
                <w:rFonts w:eastAsia="Times New Roman"/>
                <w:sz w:val="18"/>
                <w:szCs w:val="18"/>
                <w:lang w:eastAsia="en-AU"/>
              </w:rPr>
              <w:t xml:space="preserve"> amount in the past financial year and excludes donor funds. </w:t>
            </w:r>
          </w:p>
          <w:p w14:paraId="60E7317A" w14:textId="77777777" w:rsidR="000B54BD" w:rsidRPr="00550562" w:rsidRDefault="000B54BD" w:rsidP="00E97A3B">
            <w:pPr>
              <w:spacing w:after="0" w:line="240" w:lineRule="auto"/>
              <w:rPr>
                <w:rFonts w:eastAsia="Times New Roman"/>
                <w:sz w:val="18"/>
                <w:szCs w:val="18"/>
                <w:lang w:eastAsia="en-AU"/>
              </w:rPr>
            </w:pPr>
          </w:p>
          <w:p w14:paraId="2061FD40" w14:textId="77777777" w:rsidR="000B54BD" w:rsidRPr="00550562" w:rsidRDefault="000B54BD" w:rsidP="00E97A3B">
            <w:pPr>
              <w:spacing w:after="0" w:line="240" w:lineRule="auto"/>
              <w:rPr>
                <w:rFonts w:eastAsia="Times New Roman"/>
                <w:sz w:val="18"/>
                <w:szCs w:val="18"/>
                <w:lang w:eastAsia="en-AU"/>
              </w:rPr>
            </w:pPr>
            <w:r w:rsidRPr="00550562">
              <w:rPr>
                <w:rFonts w:eastAsia="Times New Roman"/>
                <w:sz w:val="18"/>
                <w:szCs w:val="18"/>
                <w:lang w:eastAsia="en-AU"/>
              </w:rPr>
              <w:t xml:space="preserve">Numerator: Budget allocated to Health Planning and Information Services (in local currency excluding donor funds) </w:t>
            </w:r>
          </w:p>
          <w:p w14:paraId="6A3D4841" w14:textId="77777777" w:rsidR="000B54BD" w:rsidRPr="00550562" w:rsidRDefault="000B54BD" w:rsidP="00E97A3B">
            <w:pPr>
              <w:spacing w:after="0" w:line="240" w:lineRule="auto"/>
              <w:rPr>
                <w:rFonts w:eastAsia="Times New Roman"/>
                <w:sz w:val="18"/>
                <w:szCs w:val="18"/>
                <w:lang w:eastAsia="en-AU"/>
              </w:rPr>
            </w:pPr>
          </w:p>
          <w:p w14:paraId="4C09D4CE" w14:textId="77777777" w:rsidR="000B54BD" w:rsidRPr="00457E15" w:rsidRDefault="000B54BD" w:rsidP="00E97A3B">
            <w:pPr>
              <w:spacing w:after="0" w:line="240" w:lineRule="auto"/>
              <w:rPr>
                <w:rFonts w:eastAsia="Times New Roman"/>
                <w:sz w:val="18"/>
                <w:szCs w:val="18"/>
                <w:lang w:eastAsia="en-AU"/>
              </w:rPr>
            </w:pPr>
            <w:r w:rsidRPr="00550562">
              <w:rPr>
                <w:rFonts w:eastAsia="Times New Roman"/>
                <w:sz w:val="18"/>
                <w:szCs w:val="18"/>
                <w:lang w:eastAsia="en-AU"/>
              </w:rPr>
              <w:t>Denominator: Total MOH budget (in local currency excluding donor funds) x 100</w:t>
            </w:r>
          </w:p>
        </w:tc>
        <w:tc>
          <w:tcPr>
            <w:tcW w:w="450" w:type="pct"/>
            <w:tcBorders>
              <w:top w:val="single" w:sz="4" w:space="0" w:color="auto"/>
              <w:left w:val="nil"/>
              <w:bottom w:val="single" w:sz="4" w:space="0" w:color="auto"/>
              <w:right w:val="single" w:sz="4" w:space="0" w:color="auto"/>
            </w:tcBorders>
          </w:tcPr>
          <w:p w14:paraId="3035D1F5"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Maintain or increase</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1BC465CB" w14:textId="77777777" w:rsidR="000B54BD" w:rsidRDefault="000B54BD" w:rsidP="00E97A3B">
            <w:pPr>
              <w:spacing w:after="0" w:line="240" w:lineRule="auto"/>
              <w:rPr>
                <w:rFonts w:eastAsia="Times New Roman"/>
                <w:sz w:val="18"/>
                <w:szCs w:val="18"/>
                <w:lang w:eastAsia="en-AU"/>
              </w:rPr>
            </w:pPr>
            <w:r w:rsidRPr="00457E15">
              <w:rPr>
                <w:rFonts w:eastAsia="Times New Roman"/>
                <w:sz w:val="18"/>
                <w:szCs w:val="18"/>
                <w:lang w:eastAsia="en-AU"/>
              </w:rPr>
              <w:t xml:space="preserve">MOH </w:t>
            </w:r>
            <w:r>
              <w:rPr>
                <w:rFonts w:eastAsia="Times New Roman"/>
                <w:sz w:val="18"/>
                <w:szCs w:val="18"/>
                <w:lang w:eastAsia="en-AU"/>
              </w:rPr>
              <w:t xml:space="preserve">Annual Budget </w:t>
            </w:r>
          </w:p>
          <w:p w14:paraId="5881E2A7" w14:textId="77777777" w:rsidR="000B54BD" w:rsidRDefault="000B54BD" w:rsidP="00E97A3B">
            <w:pPr>
              <w:spacing w:after="0" w:line="240" w:lineRule="auto"/>
              <w:rPr>
                <w:rFonts w:eastAsia="Times New Roman"/>
                <w:sz w:val="18"/>
                <w:szCs w:val="18"/>
                <w:lang w:eastAsia="en-AU"/>
              </w:rPr>
            </w:pPr>
          </w:p>
          <w:p w14:paraId="09E10C91" w14:textId="77777777" w:rsidR="000B54BD" w:rsidRPr="00457E15" w:rsidRDefault="000B54BD" w:rsidP="00E97A3B">
            <w:pPr>
              <w:spacing w:after="0" w:line="240" w:lineRule="auto"/>
              <w:rPr>
                <w:rFonts w:eastAsia="Times New Roman"/>
                <w:sz w:val="18"/>
                <w:szCs w:val="18"/>
                <w:lang w:eastAsia="en-AU"/>
              </w:rPr>
            </w:pPr>
            <w:r w:rsidRPr="0091287C">
              <w:rPr>
                <w:rFonts w:eastAsia="Times New Roman"/>
                <w:i/>
                <w:sz w:val="18"/>
                <w:szCs w:val="18"/>
                <w:lang w:eastAsia="en-AU"/>
              </w:rPr>
              <w:t>NB: The following concerns were evident with this indicator: (i) The estimate for health planning and information services (HPIS) for 2014/15 would appear to be excessive at 8% of total budget; (ii) Donor funds are assumed to equal the total development budget; (iii) HPIS data is on</w:t>
            </w:r>
            <w:r>
              <w:rPr>
                <w:rFonts w:eastAsia="Times New Roman"/>
                <w:i/>
                <w:sz w:val="18"/>
                <w:szCs w:val="18"/>
                <w:lang w:eastAsia="en-AU"/>
              </w:rPr>
              <w:t xml:space="preserve">ly available up to FY 16/17 as </w:t>
            </w:r>
            <w:r w:rsidRPr="0091287C">
              <w:rPr>
                <w:rFonts w:eastAsia="Times New Roman"/>
                <w:i/>
                <w:sz w:val="18"/>
                <w:szCs w:val="18"/>
                <w:lang w:eastAsia="en-AU"/>
              </w:rPr>
              <w:t xml:space="preserve">HPIS </w:t>
            </w:r>
            <w:r w:rsidRPr="00A318B9">
              <w:rPr>
                <w:rFonts w:eastAsia="Times New Roman"/>
                <w:i/>
                <w:noProof/>
                <w:sz w:val="18"/>
                <w:szCs w:val="18"/>
                <w:lang w:eastAsia="en-AU"/>
              </w:rPr>
              <w:t>was incorporated</w:t>
            </w:r>
            <w:r w:rsidRPr="0091287C">
              <w:rPr>
                <w:rFonts w:eastAsia="Times New Roman"/>
                <w:i/>
                <w:sz w:val="18"/>
                <w:szCs w:val="18"/>
                <w:lang w:eastAsia="en-AU"/>
              </w:rPr>
              <w:t xml:space="preserve"> under Corporate Services</w:t>
            </w:r>
            <w:r>
              <w:rPr>
                <w:rFonts w:eastAsia="Times New Roman"/>
                <w:sz w:val="18"/>
                <w:szCs w:val="18"/>
                <w:lang w:eastAsia="en-AU"/>
              </w:rPr>
              <w:t xml:space="preserve"> from FY 17/18.</w:t>
            </w:r>
          </w:p>
        </w:tc>
        <w:tc>
          <w:tcPr>
            <w:tcW w:w="550" w:type="pct"/>
            <w:tcBorders>
              <w:top w:val="single" w:sz="4" w:space="0" w:color="auto"/>
              <w:left w:val="nil"/>
              <w:bottom w:val="single" w:sz="4" w:space="0" w:color="auto"/>
              <w:right w:val="single" w:sz="4" w:space="0" w:color="auto"/>
            </w:tcBorders>
            <w:shd w:val="clear" w:color="auto" w:fill="auto"/>
            <w:noWrap/>
          </w:tcPr>
          <w:p w14:paraId="19ABDFBC"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8.08% (2014/2015)</w:t>
            </w:r>
          </w:p>
        </w:tc>
        <w:tc>
          <w:tcPr>
            <w:tcW w:w="1712" w:type="pct"/>
            <w:gridSpan w:val="5"/>
            <w:tcBorders>
              <w:top w:val="single" w:sz="4" w:space="0" w:color="auto"/>
              <w:left w:val="nil"/>
              <w:bottom w:val="single" w:sz="4" w:space="0" w:color="auto"/>
              <w:right w:val="single" w:sz="4" w:space="0" w:color="auto"/>
            </w:tcBorders>
            <w:shd w:val="clear" w:color="auto" w:fill="auto"/>
          </w:tcPr>
          <w:tbl>
            <w:tblPr>
              <w:tblStyle w:val="TableGrid"/>
              <w:tblW w:w="5098" w:type="dxa"/>
              <w:tblLayout w:type="fixed"/>
              <w:tblLook w:val="04A0" w:firstRow="1" w:lastRow="0" w:firstColumn="1" w:lastColumn="0" w:noHBand="0" w:noVBand="1"/>
            </w:tblPr>
            <w:tblGrid>
              <w:gridCol w:w="1729"/>
              <w:gridCol w:w="993"/>
              <w:gridCol w:w="885"/>
              <w:gridCol w:w="992"/>
              <w:gridCol w:w="499"/>
            </w:tblGrid>
            <w:tr w:rsidR="000B54BD" w:rsidRPr="0091287C" w14:paraId="46797D1B" w14:textId="77777777" w:rsidTr="00E97A3B">
              <w:trPr>
                <w:trHeight w:val="340"/>
              </w:trPr>
              <w:tc>
                <w:tcPr>
                  <w:tcW w:w="1729" w:type="dxa"/>
                  <w:shd w:val="clear" w:color="auto" w:fill="CCFFCC"/>
                </w:tcPr>
                <w:p w14:paraId="71B2E697" w14:textId="77777777" w:rsidR="000B54BD" w:rsidRPr="0091287C" w:rsidRDefault="000B54BD" w:rsidP="00E97A3B">
                  <w:pPr>
                    <w:rPr>
                      <w:rFonts w:eastAsia="Times New Roman"/>
                      <w:b/>
                      <w:sz w:val="16"/>
                      <w:szCs w:val="16"/>
                      <w:lang w:eastAsia="en-AU"/>
                    </w:rPr>
                  </w:pPr>
                  <w:r w:rsidRPr="0091287C">
                    <w:rPr>
                      <w:rFonts w:eastAsia="Times New Roman"/>
                      <w:b/>
                      <w:sz w:val="16"/>
                      <w:szCs w:val="16"/>
                      <w:lang w:eastAsia="en-AU"/>
                    </w:rPr>
                    <w:t xml:space="preserve">Budget allocation for HPIS excluding donor funds </w:t>
                  </w:r>
                </w:p>
                <w:p w14:paraId="77453101" w14:textId="77777777" w:rsidR="000B54BD" w:rsidRPr="0091287C" w:rsidRDefault="000B54BD" w:rsidP="00E97A3B">
                  <w:pPr>
                    <w:rPr>
                      <w:rFonts w:eastAsia="Times New Roman"/>
                      <w:b/>
                      <w:sz w:val="16"/>
                      <w:szCs w:val="16"/>
                      <w:lang w:eastAsia="en-AU"/>
                    </w:rPr>
                  </w:pPr>
                  <w:r w:rsidRPr="0091287C">
                    <w:rPr>
                      <w:rFonts w:eastAsia="Times New Roman"/>
                      <w:b/>
                      <w:sz w:val="16"/>
                      <w:szCs w:val="16"/>
                      <w:lang w:eastAsia="en-AU"/>
                    </w:rPr>
                    <w:t>(TOP m)</w:t>
                  </w:r>
                </w:p>
              </w:tc>
              <w:tc>
                <w:tcPr>
                  <w:tcW w:w="993" w:type="dxa"/>
                  <w:shd w:val="clear" w:color="auto" w:fill="CCFFCC"/>
                </w:tcPr>
                <w:p w14:paraId="3475E0D6" w14:textId="77777777" w:rsidR="000B54BD" w:rsidRPr="0091287C" w:rsidRDefault="000B54BD" w:rsidP="00E97A3B">
                  <w:pPr>
                    <w:rPr>
                      <w:rFonts w:eastAsia="Times New Roman"/>
                      <w:b/>
                      <w:sz w:val="16"/>
                      <w:szCs w:val="16"/>
                      <w:lang w:eastAsia="en-AU"/>
                    </w:rPr>
                  </w:pPr>
                  <w:r w:rsidRPr="0091287C">
                    <w:rPr>
                      <w:rFonts w:eastAsia="Times New Roman"/>
                      <w:b/>
                      <w:sz w:val="16"/>
                      <w:szCs w:val="16"/>
                      <w:lang w:eastAsia="en-AU"/>
                    </w:rPr>
                    <w:t>FY 14/15</w:t>
                  </w:r>
                </w:p>
              </w:tc>
              <w:tc>
                <w:tcPr>
                  <w:tcW w:w="885" w:type="dxa"/>
                  <w:shd w:val="clear" w:color="auto" w:fill="CCFFCC"/>
                </w:tcPr>
                <w:p w14:paraId="293F33C1" w14:textId="77777777" w:rsidR="000B54BD" w:rsidRPr="0091287C" w:rsidRDefault="000B54BD" w:rsidP="00E97A3B">
                  <w:pPr>
                    <w:rPr>
                      <w:rFonts w:eastAsia="Times New Roman"/>
                      <w:b/>
                      <w:sz w:val="16"/>
                      <w:szCs w:val="16"/>
                      <w:lang w:eastAsia="en-AU"/>
                    </w:rPr>
                  </w:pPr>
                  <w:r w:rsidRPr="0091287C">
                    <w:rPr>
                      <w:rFonts w:eastAsia="Times New Roman"/>
                      <w:b/>
                      <w:sz w:val="16"/>
                      <w:szCs w:val="16"/>
                      <w:lang w:eastAsia="en-AU"/>
                    </w:rPr>
                    <w:t>FY 15/16</w:t>
                  </w:r>
                </w:p>
              </w:tc>
              <w:tc>
                <w:tcPr>
                  <w:tcW w:w="992" w:type="dxa"/>
                </w:tcPr>
                <w:p w14:paraId="78B14DEC" w14:textId="77777777" w:rsidR="000B54BD" w:rsidRPr="0091287C" w:rsidRDefault="000B54BD" w:rsidP="00E97A3B">
                  <w:pPr>
                    <w:rPr>
                      <w:rFonts w:eastAsia="Times New Roman"/>
                      <w:b/>
                      <w:sz w:val="16"/>
                      <w:szCs w:val="16"/>
                      <w:lang w:eastAsia="en-AU"/>
                    </w:rPr>
                  </w:pPr>
                  <w:r w:rsidRPr="0091287C">
                    <w:rPr>
                      <w:rFonts w:eastAsia="Times New Roman"/>
                      <w:b/>
                      <w:sz w:val="16"/>
                      <w:szCs w:val="16"/>
                      <w:lang w:eastAsia="en-AU"/>
                    </w:rPr>
                    <w:t>FY 16/17</w:t>
                  </w:r>
                </w:p>
              </w:tc>
              <w:tc>
                <w:tcPr>
                  <w:tcW w:w="499" w:type="dxa"/>
                </w:tcPr>
                <w:p w14:paraId="45075CA2" w14:textId="77777777" w:rsidR="000B54BD" w:rsidRPr="0091287C" w:rsidRDefault="000B54BD" w:rsidP="00E97A3B">
                  <w:pPr>
                    <w:rPr>
                      <w:rFonts w:eastAsia="Times New Roman"/>
                      <w:b/>
                      <w:sz w:val="16"/>
                      <w:szCs w:val="16"/>
                      <w:lang w:eastAsia="en-AU"/>
                    </w:rPr>
                  </w:pPr>
                  <w:r w:rsidRPr="0091287C">
                    <w:rPr>
                      <w:rFonts w:eastAsia="Times New Roman"/>
                      <w:b/>
                      <w:sz w:val="16"/>
                      <w:szCs w:val="16"/>
                      <w:lang w:eastAsia="en-AU"/>
                    </w:rPr>
                    <w:t>FY 17/18</w:t>
                  </w:r>
                </w:p>
              </w:tc>
            </w:tr>
            <w:tr w:rsidR="000B54BD" w:rsidRPr="0091287C" w14:paraId="731A7567" w14:textId="77777777" w:rsidTr="00E97A3B">
              <w:trPr>
                <w:gridAfter w:val="1"/>
                <w:wAfter w:w="499" w:type="dxa"/>
                <w:trHeight w:val="340"/>
              </w:trPr>
              <w:tc>
                <w:tcPr>
                  <w:tcW w:w="1729" w:type="dxa"/>
                  <w:shd w:val="clear" w:color="auto" w:fill="CCFFCC"/>
                </w:tcPr>
                <w:p w14:paraId="3DC14EDF" w14:textId="77777777" w:rsidR="000B54BD" w:rsidRPr="0091287C" w:rsidRDefault="000B54BD" w:rsidP="00E97A3B">
                  <w:pPr>
                    <w:rPr>
                      <w:rFonts w:eastAsia="Times New Roman"/>
                      <w:sz w:val="16"/>
                      <w:szCs w:val="16"/>
                      <w:lang w:eastAsia="en-AU"/>
                    </w:rPr>
                  </w:pPr>
                  <w:r w:rsidRPr="0091287C">
                    <w:rPr>
                      <w:rFonts w:eastAsia="Times New Roman"/>
                      <w:sz w:val="16"/>
                      <w:szCs w:val="16"/>
                      <w:lang w:eastAsia="en-AU"/>
                    </w:rPr>
                    <w:t xml:space="preserve">% of total MOH budget allocated to HPIS, excl. </w:t>
                  </w:r>
                </w:p>
                <w:p w14:paraId="3BFBA797" w14:textId="77777777" w:rsidR="000B54BD" w:rsidRPr="0091287C" w:rsidRDefault="000B54BD" w:rsidP="00E97A3B">
                  <w:pPr>
                    <w:rPr>
                      <w:rFonts w:eastAsia="Times New Roman"/>
                      <w:sz w:val="16"/>
                      <w:szCs w:val="16"/>
                      <w:lang w:eastAsia="en-AU"/>
                    </w:rPr>
                  </w:pPr>
                  <w:r w:rsidRPr="0091287C">
                    <w:rPr>
                      <w:rFonts w:eastAsia="Times New Roman"/>
                      <w:sz w:val="16"/>
                      <w:szCs w:val="16"/>
                      <w:lang w:eastAsia="en-AU"/>
                    </w:rPr>
                    <w:t>donor funds</w:t>
                  </w:r>
                </w:p>
              </w:tc>
              <w:tc>
                <w:tcPr>
                  <w:tcW w:w="993" w:type="dxa"/>
                  <w:shd w:val="clear" w:color="auto" w:fill="CCFFCC"/>
                </w:tcPr>
                <w:p w14:paraId="405918E2" w14:textId="77777777" w:rsidR="000B54BD" w:rsidRPr="0091287C" w:rsidRDefault="000B54BD" w:rsidP="00E97A3B">
                  <w:pPr>
                    <w:rPr>
                      <w:rFonts w:eastAsia="Times New Roman"/>
                      <w:sz w:val="16"/>
                      <w:szCs w:val="16"/>
                      <w:lang w:eastAsia="en-AU"/>
                    </w:rPr>
                  </w:pPr>
                  <w:r w:rsidRPr="0091287C">
                    <w:rPr>
                      <w:rFonts w:eastAsia="Times New Roman"/>
                      <w:sz w:val="16"/>
                      <w:szCs w:val="16"/>
                      <w:lang w:eastAsia="en-AU"/>
                    </w:rPr>
                    <w:t>1.67</w:t>
                  </w:r>
                </w:p>
              </w:tc>
              <w:tc>
                <w:tcPr>
                  <w:tcW w:w="885" w:type="dxa"/>
                  <w:shd w:val="clear" w:color="auto" w:fill="CCFFCC"/>
                </w:tcPr>
                <w:p w14:paraId="351C6574" w14:textId="77777777" w:rsidR="000B54BD" w:rsidRPr="0091287C" w:rsidRDefault="000B54BD" w:rsidP="00E97A3B">
                  <w:pPr>
                    <w:rPr>
                      <w:rFonts w:eastAsia="Times New Roman"/>
                      <w:sz w:val="16"/>
                      <w:szCs w:val="16"/>
                      <w:lang w:eastAsia="en-AU"/>
                    </w:rPr>
                  </w:pPr>
                  <w:r w:rsidRPr="0091287C">
                    <w:rPr>
                      <w:rFonts w:eastAsia="Times New Roman"/>
                      <w:sz w:val="16"/>
                      <w:szCs w:val="16"/>
                      <w:lang w:eastAsia="en-AU"/>
                    </w:rPr>
                    <w:t>1.78</w:t>
                  </w:r>
                </w:p>
              </w:tc>
              <w:tc>
                <w:tcPr>
                  <w:tcW w:w="992" w:type="dxa"/>
                </w:tcPr>
                <w:p w14:paraId="1D6CD455" w14:textId="77777777" w:rsidR="000B54BD" w:rsidRPr="0091287C" w:rsidRDefault="000B54BD" w:rsidP="00E97A3B">
                  <w:pPr>
                    <w:rPr>
                      <w:rFonts w:eastAsia="Times New Roman"/>
                      <w:sz w:val="16"/>
                      <w:szCs w:val="16"/>
                      <w:lang w:eastAsia="en-AU"/>
                    </w:rPr>
                  </w:pPr>
                  <w:r w:rsidRPr="0091287C">
                    <w:rPr>
                      <w:rFonts w:eastAsia="Times New Roman"/>
                      <w:sz w:val="16"/>
                      <w:szCs w:val="16"/>
                      <w:lang w:eastAsia="en-AU"/>
                    </w:rPr>
                    <w:t>2.25</w:t>
                  </w:r>
                </w:p>
              </w:tc>
            </w:tr>
          </w:tbl>
          <w:p w14:paraId="5916D6EB" w14:textId="77777777" w:rsidR="000B54BD" w:rsidRPr="00457E15" w:rsidRDefault="000B54BD" w:rsidP="00E97A3B">
            <w:pPr>
              <w:spacing w:after="0" w:line="240" w:lineRule="auto"/>
              <w:rPr>
                <w:rFonts w:eastAsia="Times New Roman"/>
                <w:sz w:val="18"/>
                <w:szCs w:val="18"/>
                <w:lang w:eastAsia="en-AU"/>
              </w:rPr>
            </w:pPr>
          </w:p>
        </w:tc>
      </w:tr>
      <w:tr w:rsidR="000B54BD" w:rsidRPr="00457E15" w14:paraId="4D7B97DD" w14:textId="77777777" w:rsidTr="00E97A3B">
        <w:trPr>
          <w:gridAfter w:val="2"/>
          <w:wAfter w:w="7" w:type="pct"/>
          <w:trHeight w:val="1557"/>
        </w:trPr>
        <w:tc>
          <w:tcPr>
            <w:tcW w:w="338" w:type="pct"/>
            <w:tcBorders>
              <w:top w:val="single" w:sz="4" w:space="0" w:color="auto"/>
              <w:left w:val="single" w:sz="4" w:space="0" w:color="auto"/>
              <w:bottom w:val="single" w:sz="4" w:space="0" w:color="auto"/>
              <w:right w:val="nil"/>
            </w:tcBorders>
            <w:shd w:val="clear" w:color="auto" w:fill="auto"/>
            <w:noWrap/>
            <w:hideMark/>
          </w:tcPr>
          <w:p w14:paraId="19C5FC38"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46</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5B69B128" w14:textId="77777777" w:rsidR="000B54BD" w:rsidRPr="00457E15" w:rsidRDefault="000B54BD" w:rsidP="00E97A3B">
            <w:pPr>
              <w:spacing w:after="0" w:line="240" w:lineRule="auto"/>
              <w:rPr>
                <w:rFonts w:eastAsia="Times New Roman"/>
                <w:sz w:val="18"/>
                <w:szCs w:val="18"/>
                <w:lang w:eastAsia="en-AU"/>
              </w:rPr>
            </w:pPr>
            <w:r w:rsidRPr="0022482F">
              <w:rPr>
                <w:rFonts w:eastAsia="Times New Roman"/>
                <w:b/>
                <w:sz w:val="18"/>
                <w:szCs w:val="18"/>
                <w:lang w:eastAsia="en-AU"/>
              </w:rPr>
              <w:t>OUTCOME:</w:t>
            </w:r>
            <w:r w:rsidRPr="00457E15">
              <w:rPr>
                <w:rFonts w:eastAsia="Times New Roman"/>
                <w:sz w:val="18"/>
                <w:szCs w:val="18"/>
                <w:lang w:eastAsia="en-AU"/>
              </w:rPr>
              <w:t xml:space="preserve"> % of </w:t>
            </w:r>
            <w:r>
              <w:rPr>
                <w:rFonts w:eastAsia="Times New Roman"/>
                <w:sz w:val="18"/>
                <w:szCs w:val="18"/>
                <w:lang w:eastAsia="en-AU"/>
              </w:rPr>
              <w:t xml:space="preserve">NCD Strategy M&amp;E </w:t>
            </w:r>
            <w:r w:rsidRPr="00457E15">
              <w:rPr>
                <w:rFonts w:eastAsia="Times New Roman"/>
                <w:sz w:val="18"/>
                <w:szCs w:val="18"/>
                <w:lang w:eastAsia="en-AU"/>
              </w:rPr>
              <w:t>framework indicators reported against</w:t>
            </w:r>
          </w:p>
        </w:tc>
        <w:tc>
          <w:tcPr>
            <w:tcW w:w="850" w:type="pct"/>
            <w:tcBorders>
              <w:top w:val="nil"/>
              <w:left w:val="nil"/>
              <w:bottom w:val="single" w:sz="4" w:space="0" w:color="auto"/>
              <w:right w:val="single" w:sz="4" w:space="0" w:color="auto"/>
            </w:tcBorders>
            <w:shd w:val="clear" w:color="auto" w:fill="auto"/>
            <w:hideMark/>
          </w:tcPr>
          <w:p w14:paraId="00BE29F2" w14:textId="77777777" w:rsidR="000B54BD" w:rsidRDefault="000B54BD" w:rsidP="00E97A3B">
            <w:pPr>
              <w:spacing w:after="0" w:line="240" w:lineRule="auto"/>
              <w:rPr>
                <w:rFonts w:eastAsia="Times New Roman"/>
                <w:sz w:val="18"/>
                <w:szCs w:val="18"/>
                <w:lang w:eastAsia="en-AU"/>
              </w:rPr>
            </w:pPr>
            <w:r>
              <w:rPr>
                <w:rFonts w:eastAsia="Times New Roman"/>
                <w:sz w:val="18"/>
                <w:szCs w:val="18"/>
                <w:lang w:eastAsia="en-AU"/>
              </w:rPr>
              <w:t>Numerator: Number of NCD Strategy M&amp;E Framework indicators reported on (Indicators from Outcomes 1-4 in this framework)</w:t>
            </w:r>
          </w:p>
          <w:p w14:paraId="1A5BD74C" w14:textId="77777777" w:rsidR="000B54BD" w:rsidRDefault="000B54BD" w:rsidP="00E97A3B">
            <w:pPr>
              <w:spacing w:after="0" w:line="240" w:lineRule="auto"/>
              <w:rPr>
                <w:rFonts w:eastAsia="Times New Roman"/>
                <w:sz w:val="18"/>
                <w:szCs w:val="18"/>
                <w:lang w:eastAsia="en-AU"/>
              </w:rPr>
            </w:pPr>
          </w:p>
          <w:p w14:paraId="505F42CB"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Denominator: Total number of NCD Strategy M&amp;E framework indicators x 100</w:t>
            </w:r>
          </w:p>
        </w:tc>
        <w:tc>
          <w:tcPr>
            <w:tcW w:w="450" w:type="pct"/>
            <w:tcBorders>
              <w:top w:val="nil"/>
              <w:left w:val="nil"/>
              <w:bottom w:val="single" w:sz="4" w:space="0" w:color="auto"/>
              <w:right w:val="single" w:sz="4" w:space="0" w:color="auto"/>
            </w:tcBorders>
          </w:tcPr>
          <w:p w14:paraId="71925653"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To be determined</w:t>
            </w:r>
          </w:p>
        </w:tc>
        <w:tc>
          <w:tcPr>
            <w:tcW w:w="550" w:type="pct"/>
            <w:tcBorders>
              <w:top w:val="nil"/>
              <w:left w:val="single" w:sz="4" w:space="0" w:color="auto"/>
              <w:bottom w:val="single" w:sz="4" w:space="0" w:color="auto"/>
              <w:right w:val="single" w:sz="4" w:space="0" w:color="auto"/>
            </w:tcBorders>
            <w:shd w:val="clear" w:color="auto" w:fill="auto"/>
            <w:noWrap/>
          </w:tcPr>
          <w:p w14:paraId="160697F4" w14:textId="77777777" w:rsidR="000B54BD" w:rsidRDefault="000B54BD" w:rsidP="00E97A3B">
            <w:pPr>
              <w:spacing w:after="0" w:line="240" w:lineRule="auto"/>
              <w:rPr>
                <w:rFonts w:eastAsia="Times New Roman"/>
                <w:sz w:val="18"/>
                <w:szCs w:val="18"/>
                <w:lang w:eastAsia="en-AU"/>
              </w:rPr>
            </w:pPr>
            <w:r w:rsidRPr="00457E15">
              <w:rPr>
                <w:rFonts w:eastAsia="Times New Roman"/>
                <w:sz w:val="18"/>
                <w:szCs w:val="18"/>
                <w:lang w:eastAsia="en-AU"/>
              </w:rPr>
              <w:t xml:space="preserve">TongaHealth </w:t>
            </w:r>
            <w:r>
              <w:rPr>
                <w:rFonts w:eastAsia="Times New Roman"/>
                <w:sz w:val="18"/>
                <w:szCs w:val="18"/>
                <w:lang w:eastAsia="en-AU"/>
              </w:rPr>
              <w:t>M&amp;E team</w:t>
            </w:r>
          </w:p>
          <w:p w14:paraId="16003167" w14:textId="77777777" w:rsidR="000B54BD" w:rsidRDefault="000B54BD" w:rsidP="00E97A3B">
            <w:pPr>
              <w:spacing w:after="0" w:line="240" w:lineRule="auto"/>
              <w:rPr>
                <w:rFonts w:eastAsia="Times New Roman"/>
                <w:sz w:val="18"/>
                <w:szCs w:val="18"/>
                <w:lang w:eastAsia="en-AU"/>
              </w:rPr>
            </w:pPr>
          </w:p>
          <w:p w14:paraId="2073F404" w14:textId="77777777" w:rsidR="000B54BD" w:rsidRPr="00D1330C" w:rsidRDefault="000B54BD" w:rsidP="00E97A3B">
            <w:pPr>
              <w:spacing w:after="0" w:line="240" w:lineRule="auto"/>
              <w:rPr>
                <w:rFonts w:eastAsia="Times New Roman"/>
                <w:b/>
                <w:i/>
                <w:sz w:val="18"/>
                <w:szCs w:val="18"/>
                <w:lang w:eastAsia="en-AU"/>
              </w:rPr>
            </w:pPr>
            <w:r w:rsidRPr="00D1330C">
              <w:rPr>
                <w:rFonts w:eastAsia="Times New Roman"/>
                <w:b/>
                <w:i/>
                <w:sz w:val="18"/>
                <w:szCs w:val="18"/>
                <w:lang w:eastAsia="en-AU"/>
              </w:rPr>
              <w:t xml:space="preserve">Note: Indicators 1-4 in this framework are not included in the NCD strategy M&amp;E framework. May be more relevant to the </w:t>
            </w:r>
            <w:r w:rsidRPr="00D1330C">
              <w:rPr>
                <w:rFonts w:eastAsia="Times New Roman"/>
                <w:b/>
                <w:i/>
                <w:sz w:val="18"/>
                <w:szCs w:val="18"/>
                <w:lang w:eastAsia="en-AU"/>
              </w:rPr>
              <w:lastRenderedPageBreak/>
              <w:t>NCD strategy review</w:t>
            </w:r>
          </w:p>
        </w:tc>
        <w:tc>
          <w:tcPr>
            <w:tcW w:w="550" w:type="pct"/>
            <w:tcBorders>
              <w:top w:val="nil"/>
              <w:left w:val="nil"/>
              <w:bottom w:val="single" w:sz="4" w:space="0" w:color="auto"/>
              <w:right w:val="single" w:sz="4" w:space="0" w:color="auto"/>
            </w:tcBorders>
            <w:shd w:val="clear" w:color="auto" w:fill="auto"/>
            <w:noWrap/>
          </w:tcPr>
          <w:p w14:paraId="1B650EC1"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lastRenderedPageBreak/>
              <w:t xml:space="preserve">To be reported in the 2015/2016 </w:t>
            </w:r>
            <w:r w:rsidRPr="002E15E4">
              <w:rPr>
                <w:rFonts w:eastAsia="Times New Roman"/>
                <w:sz w:val="18"/>
                <w:szCs w:val="18"/>
                <w:lang w:eastAsia="en-AU"/>
              </w:rPr>
              <w:t>TongaHealth Annual Report</w:t>
            </w:r>
            <w:r>
              <w:rPr>
                <w:rFonts w:eastAsia="Times New Roman"/>
                <w:sz w:val="18"/>
                <w:szCs w:val="18"/>
                <w:lang w:eastAsia="en-AU"/>
              </w:rPr>
              <w:t xml:space="preserve">, no later than August 2017 </w:t>
            </w:r>
          </w:p>
        </w:tc>
        <w:tc>
          <w:tcPr>
            <w:tcW w:w="501" w:type="pct"/>
            <w:tcBorders>
              <w:top w:val="nil"/>
              <w:left w:val="nil"/>
              <w:bottom w:val="single" w:sz="4" w:space="0" w:color="auto"/>
              <w:right w:val="single" w:sz="4" w:space="0" w:color="auto"/>
            </w:tcBorders>
            <w:shd w:val="clear" w:color="auto" w:fill="FFFF66"/>
          </w:tcPr>
          <w:p w14:paraId="0EF3B8AA" w14:textId="77777777" w:rsidR="000B54BD" w:rsidRPr="00D1330C"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FFFF66"/>
          </w:tcPr>
          <w:p w14:paraId="37000E3A" w14:textId="77777777" w:rsidR="000B54BD" w:rsidRPr="00D1330C" w:rsidRDefault="000B54BD" w:rsidP="00E97A3B">
            <w:pPr>
              <w:spacing w:after="0" w:line="240" w:lineRule="auto"/>
              <w:rPr>
                <w:rFonts w:eastAsia="Times New Roman"/>
                <w:sz w:val="18"/>
                <w:szCs w:val="18"/>
                <w:lang w:eastAsia="en-AU"/>
              </w:rPr>
            </w:pPr>
          </w:p>
        </w:tc>
        <w:tc>
          <w:tcPr>
            <w:tcW w:w="655" w:type="pct"/>
            <w:tcBorders>
              <w:top w:val="nil"/>
              <w:left w:val="nil"/>
              <w:bottom w:val="single" w:sz="4" w:space="0" w:color="auto"/>
              <w:right w:val="single" w:sz="4" w:space="0" w:color="auto"/>
            </w:tcBorders>
            <w:shd w:val="clear" w:color="auto" w:fill="FFFF66"/>
          </w:tcPr>
          <w:p w14:paraId="182E90F4" w14:textId="77777777" w:rsidR="000B54BD" w:rsidRPr="00D1330C" w:rsidRDefault="000B54BD" w:rsidP="00E97A3B">
            <w:pPr>
              <w:spacing w:after="0" w:line="240" w:lineRule="auto"/>
              <w:rPr>
                <w:rFonts w:eastAsia="Times New Roman"/>
                <w:sz w:val="18"/>
                <w:szCs w:val="18"/>
                <w:lang w:eastAsia="en-AU"/>
              </w:rPr>
            </w:pPr>
          </w:p>
        </w:tc>
      </w:tr>
      <w:tr w:rsidR="000B54BD" w:rsidRPr="00457E15" w14:paraId="7DC2E772" w14:textId="77777777" w:rsidTr="00E97A3B">
        <w:trPr>
          <w:gridAfter w:val="2"/>
          <w:wAfter w:w="7" w:type="pct"/>
          <w:trHeight w:val="582"/>
        </w:trPr>
        <w:tc>
          <w:tcPr>
            <w:tcW w:w="338" w:type="pct"/>
            <w:tcBorders>
              <w:top w:val="single" w:sz="4" w:space="0" w:color="auto"/>
              <w:left w:val="single" w:sz="4" w:space="0" w:color="auto"/>
              <w:bottom w:val="single" w:sz="4" w:space="0" w:color="auto"/>
              <w:right w:val="nil"/>
            </w:tcBorders>
            <w:shd w:val="clear" w:color="auto" w:fill="auto"/>
            <w:noWrap/>
            <w:hideMark/>
          </w:tcPr>
          <w:p w14:paraId="197DCE1B"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47</w:t>
            </w:r>
          </w:p>
        </w:tc>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0A58ACF7" w14:textId="77777777" w:rsidR="000B54BD" w:rsidRPr="00457E15" w:rsidRDefault="000B54BD" w:rsidP="00E97A3B">
            <w:pPr>
              <w:spacing w:after="0" w:line="240" w:lineRule="auto"/>
              <w:rPr>
                <w:rFonts w:eastAsia="Times New Roman"/>
                <w:sz w:val="18"/>
                <w:szCs w:val="18"/>
                <w:lang w:eastAsia="en-AU"/>
              </w:rPr>
            </w:pPr>
            <w:r w:rsidRPr="0022482F">
              <w:rPr>
                <w:rFonts w:eastAsia="Times New Roman"/>
                <w:b/>
                <w:sz w:val="18"/>
                <w:szCs w:val="18"/>
                <w:lang w:eastAsia="en-AU"/>
              </w:rPr>
              <w:t>OUTPUT</w:t>
            </w:r>
            <w:r w:rsidRPr="00457E15">
              <w:rPr>
                <w:rFonts w:eastAsia="Times New Roman"/>
                <w:sz w:val="18"/>
                <w:szCs w:val="18"/>
                <w:lang w:eastAsia="en-AU"/>
              </w:rPr>
              <w:t xml:space="preserve">: </w:t>
            </w:r>
            <w:r>
              <w:rPr>
                <w:rFonts w:eastAsia="Times New Roman"/>
                <w:sz w:val="18"/>
                <w:szCs w:val="18"/>
                <w:lang w:eastAsia="en-AU"/>
              </w:rPr>
              <w:t>#</w:t>
            </w:r>
            <w:r w:rsidRPr="00457E15">
              <w:rPr>
                <w:rFonts w:eastAsia="Times New Roman"/>
                <w:sz w:val="18"/>
                <w:szCs w:val="18"/>
                <w:lang w:eastAsia="en-AU"/>
              </w:rPr>
              <w:t xml:space="preserve"> NCD program/project intervention independently evaluated and reported</w:t>
            </w:r>
          </w:p>
        </w:tc>
        <w:tc>
          <w:tcPr>
            <w:tcW w:w="850" w:type="pct"/>
            <w:tcBorders>
              <w:top w:val="nil"/>
              <w:left w:val="nil"/>
              <w:bottom w:val="single" w:sz="4" w:space="0" w:color="auto"/>
              <w:right w:val="single" w:sz="4" w:space="0" w:color="auto"/>
            </w:tcBorders>
            <w:shd w:val="clear" w:color="auto" w:fill="auto"/>
            <w:hideMark/>
          </w:tcPr>
          <w:p w14:paraId="06F03A54"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Total number of NCD program/projects that have had an </w:t>
            </w:r>
            <w:r w:rsidRPr="00EA5B1F">
              <w:rPr>
                <w:rFonts w:eastAsia="Times New Roman"/>
                <w:sz w:val="18"/>
                <w:szCs w:val="18"/>
                <w:lang w:eastAsia="en-AU"/>
              </w:rPr>
              <w:t>independent evaluat</w:t>
            </w:r>
            <w:r>
              <w:rPr>
                <w:rFonts w:eastAsia="Times New Roman"/>
                <w:sz w:val="18"/>
                <w:szCs w:val="18"/>
                <w:lang w:eastAsia="en-AU"/>
              </w:rPr>
              <w:t xml:space="preserve">ion conducted </w:t>
            </w:r>
            <w:r w:rsidRPr="00EA5B1F">
              <w:rPr>
                <w:rFonts w:eastAsia="Times New Roman"/>
                <w:sz w:val="18"/>
                <w:szCs w:val="18"/>
                <w:lang w:eastAsia="en-AU"/>
              </w:rPr>
              <w:t>and reported</w:t>
            </w:r>
          </w:p>
        </w:tc>
        <w:tc>
          <w:tcPr>
            <w:tcW w:w="450" w:type="pct"/>
            <w:tcBorders>
              <w:top w:val="nil"/>
              <w:left w:val="nil"/>
              <w:bottom w:val="single" w:sz="4" w:space="0" w:color="auto"/>
              <w:right w:val="single" w:sz="4" w:space="0" w:color="auto"/>
            </w:tcBorders>
          </w:tcPr>
          <w:p w14:paraId="48FA5DA4"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To be determined</w:t>
            </w:r>
          </w:p>
        </w:tc>
        <w:tc>
          <w:tcPr>
            <w:tcW w:w="550" w:type="pct"/>
            <w:tcBorders>
              <w:top w:val="nil"/>
              <w:left w:val="single" w:sz="4" w:space="0" w:color="auto"/>
              <w:bottom w:val="single" w:sz="4" w:space="0" w:color="auto"/>
              <w:right w:val="single" w:sz="4" w:space="0" w:color="auto"/>
            </w:tcBorders>
            <w:shd w:val="clear" w:color="auto" w:fill="auto"/>
          </w:tcPr>
          <w:p w14:paraId="47E72E1A" w14:textId="77777777" w:rsidR="000B54BD" w:rsidRPr="00457E15" w:rsidRDefault="000B54BD" w:rsidP="00E97A3B">
            <w:pPr>
              <w:spacing w:after="0" w:line="240" w:lineRule="auto"/>
              <w:rPr>
                <w:rFonts w:eastAsia="Times New Roman"/>
                <w:sz w:val="18"/>
                <w:szCs w:val="18"/>
                <w:lang w:eastAsia="en-AU"/>
              </w:rPr>
            </w:pPr>
            <w:r w:rsidRPr="00457E15">
              <w:rPr>
                <w:rFonts w:eastAsia="Times New Roman"/>
                <w:sz w:val="18"/>
                <w:szCs w:val="18"/>
                <w:lang w:eastAsia="en-AU"/>
              </w:rPr>
              <w:t>Evaluation Reports</w:t>
            </w:r>
          </w:p>
        </w:tc>
        <w:tc>
          <w:tcPr>
            <w:tcW w:w="550" w:type="pct"/>
            <w:tcBorders>
              <w:top w:val="nil"/>
              <w:left w:val="nil"/>
              <w:bottom w:val="single" w:sz="4" w:space="0" w:color="auto"/>
              <w:right w:val="single" w:sz="4" w:space="0" w:color="auto"/>
            </w:tcBorders>
            <w:shd w:val="clear" w:color="auto" w:fill="auto"/>
            <w:noWrap/>
          </w:tcPr>
          <w:p w14:paraId="0AE066E7" w14:textId="77777777" w:rsidR="000B54BD" w:rsidRPr="00457E15" w:rsidRDefault="000B54BD" w:rsidP="00E97A3B">
            <w:pPr>
              <w:spacing w:after="0" w:line="240" w:lineRule="auto"/>
              <w:rPr>
                <w:rFonts w:eastAsia="Times New Roman"/>
                <w:sz w:val="18"/>
                <w:szCs w:val="18"/>
                <w:lang w:eastAsia="en-AU"/>
              </w:rPr>
            </w:pPr>
            <w:r>
              <w:rPr>
                <w:rFonts w:eastAsia="Times New Roman"/>
                <w:sz w:val="18"/>
                <w:szCs w:val="18"/>
                <w:lang w:eastAsia="en-AU"/>
              </w:rPr>
              <w:t xml:space="preserve">0 (2015/2016) </w:t>
            </w:r>
          </w:p>
        </w:tc>
        <w:tc>
          <w:tcPr>
            <w:tcW w:w="501" w:type="pct"/>
            <w:tcBorders>
              <w:top w:val="nil"/>
              <w:left w:val="nil"/>
              <w:bottom w:val="single" w:sz="4" w:space="0" w:color="auto"/>
              <w:right w:val="single" w:sz="4" w:space="0" w:color="auto"/>
            </w:tcBorders>
            <w:shd w:val="clear" w:color="auto" w:fill="auto"/>
          </w:tcPr>
          <w:p w14:paraId="5DD85C05" w14:textId="77777777" w:rsidR="000B54BD" w:rsidRPr="00457E15" w:rsidRDefault="000B54BD" w:rsidP="00E97A3B">
            <w:pPr>
              <w:spacing w:after="0" w:line="240" w:lineRule="auto"/>
              <w:rPr>
                <w:rFonts w:eastAsia="Times New Roman"/>
                <w:sz w:val="18"/>
                <w:szCs w:val="18"/>
                <w:lang w:eastAsia="en-AU"/>
              </w:rPr>
            </w:pPr>
          </w:p>
        </w:tc>
        <w:tc>
          <w:tcPr>
            <w:tcW w:w="549" w:type="pct"/>
            <w:tcBorders>
              <w:top w:val="nil"/>
              <w:left w:val="nil"/>
              <w:bottom w:val="single" w:sz="4" w:space="0" w:color="auto"/>
              <w:right w:val="single" w:sz="4" w:space="0" w:color="auto"/>
            </w:tcBorders>
            <w:shd w:val="clear" w:color="auto" w:fill="auto"/>
          </w:tcPr>
          <w:p w14:paraId="504F1D2F" w14:textId="77777777" w:rsidR="000B54BD" w:rsidRPr="00D1330C" w:rsidRDefault="000B54BD" w:rsidP="00E97A3B">
            <w:pPr>
              <w:spacing w:after="0" w:line="240" w:lineRule="auto"/>
              <w:rPr>
                <w:rFonts w:eastAsia="Times New Roman"/>
                <w:sz w:val="18"/>
                <w:szCs w:val="18"/>
                <w:lang w:eastAsia="en-AU"/>
              </w:rPr>
            </w:pPr>
            <w:r w:rsidRPr="00D1330C">
              <w:rPr>
                <w:rFonts w:eastAsia="Times New Roman"/>
                <w:sz w:val="18"/>
                <w:szCs w:val="18"/>
                <w:lang w:eastAsia="en-AU"/>
              </w:rPr>
              <w:t>2016 Anti-tobacco campaign evaluated by University of Sydney</w:t>
            </w:r>
          </w:p>
        </w:tc>
        <w:tc>
          <w:tcPr>
            <w:tcW w:w="655" w:type="pct"/>
            <w:tcBorders>
              <w:top w:val="nil"/>
              <w:left w:val="nil"/>
              <w:bottom w:val="single" w:sz="4" w:space="0" w:color="auto"/>
              <w:right w:val="single" w:sz="4" w:space="0" w:color="auto"/>
            </w:tcBorders>
            <w:shd w:val="clear" w:color="auto" w:fill="auto"/>
          </w:tcPr>
          <w:p w14:paraId="061F6719" w14:textId="77777777" w:rsidR="000B54BD" w:rsidRPr="00D1330C" w:rsidRDefault="000B54BD" w:rsidP="00E97A3B">
            <w:pPr>
              <w:spacing w:after="0" w:line="240" w:lineRule="auto"/>
              <w:rPr>
                <w:rFonts w:eastAsia="Times New Roman"/>
                <w:sz w:val="18"/>
                <w:szCs w:val="18"/>
                <w:lang w:eastAsia="en-AU"/>
              </w:rPr>
            </w:pPr>
            <w:r w:rsidRPr="00D1330C">
              <w:rPr>
                <w:rFonts w:eastAsia="Times New Roman"/>
                <w:sz w:val="18"/>
                <w:szCs w:val="18"/>
                <w:lang w:eastAsia="en-AU"/>
              </w:rPr>
              <w:t xml:space="preserve">2017 Anti-tobacco campaign evaluated by University of Sydney </w:t>
            </w:r>
          </w:p>
        </w:tc>
      </w:tr>
    </w:tbl>
    <w:p w14:paraId="3935F78D" w14:textId="77777777" w:rsidR="000B54BD" w:rsidRDefault="000B54BD" w:rsidP="000B54BD"/>
    <w:p w14:paraId="6666AEDE" w14:textId="77777777" w:rsidR="000B54BD" w:rsidRDefault="000B54BD" w:rsidP="000B54BD"/>
    <w:p w14:paraId="0C4F61E7" w14:textId="77777777" w:rsidR="000B54BD" w:rsidRPr="002C4E6A" w:rsidRDefault="000B54BD" w:rsidP="000B54BD">
      <w:pPr>
        <w:rPr>
          <w:b/>
        </w:rPr>
      </w:pPr>
      <w:r w:rsidRPr="002C4E6A">
        <w:rPr>
          <w:b/>
        </w:rPr>
        <w:t>Notes to table</w:t>
      </w:r>
      <w:r>
        <w:rPr>
          <w:b/>
        </w:rPr>
        <w:t>s</w:t>
      </w:r>
      <w:r w:rsidRPr="002C4E6A">
        <w:rPr>
          <w:b/>
        </w:rPr>
        <w:t>:</w:t>
      </w:r>
    </w:p>
    <w:p w14:paraId="5C6B99EE" w14:textId="77777777" w:rsidR="000B54BD" w:rsidRDefault="000B54BD" w:rsidP="000B54BD">
      <w:pPr>
        <w:rPr>
          <w:rFonts w:cstheme="majorHAnsi"/>
          <w:sz w:val="20"/>
        </w:rPr>
      </w:pPr>
      <w:r>
        <w:rPr>
          <w:rFonts w:cstheme="majorHAnsi"/>
          <w:sz w:val="20"/>
        </w:rPr>
        <w:t xml:space="preserve">1.2 </w:t>
      </w:r>
    </w:p>
    <w:tbl>
      <w:tblPr>
        <w:tblStyle w:val="TableGrid"/>
        <w:tblW w:w="0" w:type="auto"/>
        <w:tblLook w:val="04A0" w:firstRow="1" w:lastRow="0" w:firstColumn="1" w:lastColumn="0" w:noHBand="0" w:noVBand="1"/>
      </w:tblPr>
      <w:tblGrid>
        <w:gridCol w:w="4458"/>
        <w:gridCol w:w="1157"/>
        <w:gridCol w:w="1157"/>
        <w:gridCol w:w="1604"/>
        <w:gridCol w:w="1127"/>
      </w:tblGrid>
      <w:tr w:rsidR="000B54BD" w:rsidRPr="005C1BE4" w14:paraId="30C61C36" w14:textId="77777777" w:rsidTr="00E97A3B">
        <w:trPr>
          <w:trHeight w:val="340"/>
        </w:trPr>
        <w:tc>
          <w:tcPr>
            <w:tcW w:w="0" w:type="auto"/>
          </w:tcPr>
          <w:p w14:paraId="26FD3673" w14:textId="77777777" w:rsidR="000B54BD" w:rsidRPr="005C1BE4" w:rsidRDefault="000B54BD" w:rsidP="00E97A3B">
            <w:pPr>
              <w:rPr>
                <w:b/>
                <w:color w:val="000000"/>
                <w:sz w:val="18"/>
                <w:szCs w:val="18"/>
                <w:shd w:val="clear" w:color="auto" w:fill="FFFFFF"/>
              </w:rPr>
            </w:pPr>
            <w:r w:rsidRPr="005C1BE4">
              <w:rPr>
                <w:b/>
                <w:color w:val="000000"/>
                <w:sz w:val="18"/>
                <w:szCs w:val="18"/>
                <w:shd w:val="clear" w:color="auto" w:fill="FFFFFF"/>
              </w:rPr>
              <w:t>Budget allocations to MOH and THPF (TOP)</w:t>
            </w:r>
          </w:p>
        </w:tc>
        <w:tc>
          <w:tcPr>
            <w:tcW w:w="0" w:type="auto"/>
          </w:tcPr>
          <w:p w14:paraId="5B1E9E56" w14:textId="77777777" w:rsidR="000B54BD" w:rsidRPr="005C1BE4" w:rsidRDefault="000B54BD" w:rsidP="00E97A3B">
            <w:pPr>
              <w:rPr>
                <w:b/>
                <w:color w:val="000000"/>
                <w:sz w:val="18"/>
                <w:szCs w:val="18"/>
                <w:shd w:val="clear" w:color="auto" w:fill="FFFFFF"/>
              </w:rPr>
            </w:pPr>
            <w:r w:rsidRPr="005C1BE4">
              <w:rPr>
                <w:b/>
                <w:color w:val="000000"/>
                <w:sz w:val="18"/>
                <w:szCs w:val="18"/>
                <w:shd w:val="clear" w:color="auto" w:fill="FFFFFF"/>
              </w:rPr>
              <w:t>FY 15/16</w:t>
            </w:r>
          </w:p>
          <w:p w14:paraId="40AD2ACD" w14:textId="77777777" w:rsidR="000B54BD" w:rsidRPr="005C1BE4" w:rsidRDefault="000B54BD" w:rsidP="00E97A3B">
            <w:pPr>
              <w:rPr>
                <w:b/>
                <w:color w:val="000000"/>
                <w:sz w:val="18"/>
                <w:szCs w:val="18"/>
                <w:shd w:val="clear" w:color="auto" w:fill="FFFFFF"/>
              </w:rPr>
            </w:pPr>
            <w:r w:rsidRPr="005C1BE4">
              <w:rPr>
                <w:b/>
                <w:color w:val="000000"/>
                <w:sz w:val="18"/>
                <w:szCs w:val="18"/>
                <w:shd w:val="clear" w:color="auto" w:fill="FFFFFF"/>
              </w:rPr>
              <w:t>(Provisional)</w:t>
            </w:r>
          </w:p>
        </w:tc>
        <w:tc>
          <w:tcPr>
            <w:tcW w:w="0" w:type="auto"/>
          </w:tcPr>
          <w:p w14:paraId="4E4FC0FB" w14:textId="77777777" w:rsidR="000B54BD" w:rsidRPr="005C1BE4" w:rsidRDefault="000B54BD" w:rsidP="00E97A3B">
            <w:pPr>
              <w:rPr>
                <w:b/>
                <w:color w:val="000000"/>
                <w:sz w:val="18"/>
                <w:szCs w:val="18"/>
                <w:shd w:val="clear" w:color="auto" w:fill="FFFFFF"/>
              </w:rPr>
            </w:pPr>
            <w:r w:rsidRPr="005C1BE4">
              <w:rPr>
                <w:b/>
                <w:color w:val="000000"/>
                <w:sz w:val="18"/>
                <w:szCs w:val="18"/>
                <w:shd w:val="clear" w:color="auto" w:fill="FFFFFF"/>
              </w:rPr>
              <w:t>FY16/17</w:t>
            </w:r>
          </w:p>
          <w:p w14:paraId="64AB3419" w14:textId="77777777" w:rsidR="000B54BD" w:rsidRPr="005C1BE4" w:rsidRDefault="000B54BD" w:rsidP="00E97A3B">
            <w:pPr>
              <w:rPr>
                <w:b/>
                <w:color w:val="000000"/>
                <w:sz w:val="18"/>
                <w:szCs w:val="18"/>
                <w:shd w:val="clear" w:color="auto" w:fill="FFFFFF"/>
              </w:rPr>
            </w:pPr>
            <w:r w:rsidRPr="005C1BE4">
              <w:rPr>
                <w:b/>
                <w:color w:val="000000"/>
                <w:sz w:val="18"/>
                <w:szCs w:val="18"/>
                <w:shd w:val="clear" w:color="auto" w:fill="FFFFFF"/>
              </w:rPr>
              <w:t>(Provisional)</w:t>
            </w:r>
          </w:p>
        </w:tc>
        <w:tc>
          <w:tcPr>
            <w:tcW w:w="0" w:type="auto"/>
          </w:tcPr>
          <w:p w14:paraId="16FA97E6" w14:textId="77777777" w:rsidR="000B54BD" w:rsidRPr="005C1BE4" w:rsidRDefault="000B54BD" w:rsidP="00E97A3B">
            <w:pPr>
              <w:rPr>
                <w:b/>
                <w:color w:val="000000"/>
                <w:sz w:val="18"/>
                <w:szCs w:val="18"/>
                <w:shd w:val="clear" w:color="auto" w:fill="FFFFFF"/>
              </w:rPr>
            </w:pPr>
            <w:r w:rsidRPr="005C1BE4">
              <w:rPr>
                <w:b/>
                <w:color w:val="000000"/>
                <w:sz w:val="18"/>
                <w:szCs w:val="18"/>
                <w:shd w:val="clear" w:color="auto" w:fill="FFFFFF"/>
              </w:rPr>
              <w:t>FY 17/18</w:t>
            </w:r>
          </w:p>
          <w:p w14:paraId="26A20CDA" w14:textId="77777777" w:rsidR="000B54BD" w:rsidRPr="005C1BE4" w:rsidRDefault="000B54BD" w:rsidP="00E97A3B">
            <w:pPr>
              <w:rPr>
                <w:b/>
                <w:color w:val="000000"/>
                <w:sz w:val="18"/>
                <w:szCs w:val="18"/>
                <w:shd w:val="clear" w:color="auto" w:fill="FFFFFF"/>
              </w:rPr>
            </w:pPr>
            <w:r w:rsidRPr="005C1BE4">
              <w:rPr>
                <w:b/>
                <w:color w:val="000000"/>
                <w:sz w:val="18"/>
                <w:szCs w:val="18"/>
                <w:shd w:val="clear" w:color="auto" w:fill="FFFFFF"/>
              </w:rPr>
              <w:t>(Revised Estimate)</w:t>
            </w:r>
          </w:p>
        </w:tc>
        <w:tc>
          <w:tcPr>
            <w:tcW w:w="0" w:type="auto"/>
          </w:tcPr>
          <w:p w14:paraId="31D3C6D0" w14:textId="77777777" w:rsidR="000B54BD" w:rsidRPr="005C1BE4" w:rsidRDefault="000B54BD" w:rsidP="00E97A3B">
            <w:pPr>
              <w:rPr>
                <w:b/>
                <w:color w:val="000000"/>
                <w:sz w:val="18"/>
                <w:szCs w:val="18"/>
                <w:shd w:val="clear" w:color="auto" w:fill="FFFFFF"/>
              </w:rPr>
            </w:pPr>
            <w:r w:rsidRPr="005C1BE4">
              <w:rPr>
                <w:b/>
                <w:color w:val="000000"/>
                <w:sz w:val="18"/>
                <w:szCs w:val="18"/>
                <w:shd w:val="clear" w:color="auto" w:fill="FFFFFF"/>
              </w:rPr>
              <w:t>FY 18/19</w:t>
            </w:r>
          </w:p>
          <w:p w14:paraId="247ED535" w14:textId="77777777" w:rsidR="000B54BD" w:rsidRPr="005C1BE4" w:rsidRDefault="000B54BD" w:rsidP="00E97A3B">
            <w:pPr>
              <w:rPr>
                <w:b/>
                <w:color w:val="000000"/>
                <w:sz w:val="18"/>
                <w:szCs w:val="18"/>
                <w:shd w:val="clear" w:color="auto" w:fill="FFFFFF"/>
              </w:rPr>
            </w:pPr>
            <w:r w:rsidRPr="005C1BE4">
              <w:rPr>
                <w:b/>
                <w:color w:val="000000"/>
                <w:sz w:val="18"/>
                <w:szCs w:val="18"/>
                <w:shd w:val="clear" w:color="auto" w:fill="FFFFFF"/>
              </w:rPr>
              <w:t>(Estimate)</w:t>
            </w:r>
          </w:p>
        </w:tc>
      </w:tr>
      <w:tr w:rsidR="000B54BD" w:rsidRPr="005C1BE4" w14:paraId="0E49B5FF" w14:textId="77777777" w:rsidTr="00E97A3B">
        <w:trPr>
          <w:trHeight w:val="340"/>
        </w:trPr>
        <w:tc>
          <w:tcPr>
            <w:tcW w:w="0" w:type="auto"/>
          </w:tcPr>
          <w:p w14:paraId="3B3501CF"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Total government local fund, TOP, (excl. donor funds)</w:t>
            </w:r>
          </w:p>
        </w:tc>
        <w:tc>
          <w:tcPr>
            <w:tcW w:w="0" w:type="auto"/>
          </w:tcPr>
          <w:p w14:paraId="7B9332E5"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217,890,283</w:t>
            </w:r>
          </w:p>
        </w:tc>
        <w:tc>
          <w:tcPr>
            <w:tcW w:w="0" w:type="auto"/>
          </w:tcPr>
          <w:p w14:paraId="59146D15"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227,106,700</w:t>
            </w:r>
          </w:p>
        </w:tc>
        <w:tc>
          <w:tcPr>
            <w:tcW w:w="0" w:type="auto"/>
          </w:tcPr>
          <w:p w14:paraId="7FA99C10"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264,560,300</w:t>
            </w:r>
          </w:p>
        </w:tc>
        <w:tc>
          <w:tcPr>
            <w:tcW w:w="0" w:type="auto"/>
          </w:tcPr>
          <w:p w14:paraId="28D4FF0F"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321,646,000</w:t>
            </w:r>
          </w:p>
        </w:tc>
      </w:tr>
      <w:tr w:rsidR="000B54BD" w:rsidRPr="005C1BE4" w14:paraId="61A57E7F" w14:textId="77777777" w:rsidTr="00E97A3B">
        <w:trPr>
          <w:trHeight w:val="340"/>
        </w:trPr>
        <w:tc>
          <w:tcPr>
            <w:tcW w:w="0" w:type="auto"/>
          </w:tcPr>
          <w:p w14:paraId="3CD7BF6B"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MOH local fund, TOP (excl. donor funds)</w:t>
            </w:r>
          </w:p>
        </w:tc>
        <w:tc>
          <w:tcPr>
            <w:tcW w:w="0" w:type="auto"/>
          </w:tcPr>
          <w:p w14:paraId="3BD74629"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28,309,746</w:t>
            </w:r>
          </w:p>
        </w:tc>
        <w:tc>
          <w:tcPr>
            <w:tcW w:w="0" w:type="auto"/>
          </w:tcPr>
          <w:p w14:paraId="4CAB6803"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29,679,586</w:t>
            </w:r>
          </w:p>
        </w:tc>
        <w:tc>
          <w:tcPr>
            <w:tcW w:w="0" w:type="auto"/>
          </w:tcPr>
          <w:p w14:paraId="66C2221D"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35,002,500</w:t>
            </w:r>
          </w:p>
        </w:tc>
        <w:tc>
          <w:tcPr>
            <w:tcW w:w="0" w:type="auto"/>
          </w:tcPr>
          <w:p w14:paraId="40A3A95F"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35,218,800</w:t>
            </w:r>
          </w:p>
        </w:tc>
      </w:tr>
      <w:tr w:rsidR="000B54BD" w:rsidRPr="005C1BE4" w14:paraId="28619A65" w14:textId="77777777" w:rsidTr="00E97A3B">
        <w:trPr>
          <w:trHeight w:val="340"/>
        </w:trPr>
        <w:tc>
          <w:tcPr>
            <w:tcW w:w="0" w:type="auto"/>
          </w:tcPr>
          <w:p w14:paraId="24F2B7F0"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MOH % of local fund (excl. donor funds)</w:t>
            </w:r>
          </w:p>
        </w:tc>
        <w:tc>
          <w:tcPr>
            <w:tcW w:w="0" w:type="auto"/>
          </w:tcPr>
          <w:p w14:paraId="0E8737F3"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12.99</w:t>
            </w:r>
          </w:p>
        </w:tc>
        <w:tc>
          <w:tcPr>
            <w:tcW w:w="0" w:type="auto"/>
          </w:tcPr>
          <w:p w14:paraId="747A1CDF"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13.1</w:t>
            </w:r>
          </w:p>
        </w:tc>
        <w:tc>
          <w:tcPr>
            <w:tcW w:w="0" w:type="auto"/>
          </w:tcPr>
          <w:p w14:paraId="0BB28EAD"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13.2</w:t>
            </w:r>
          </w:p>
        </w:tc>
        <w:tc>
          <w:tcPr>
            <w:tcW w:w="0" w:type="auto"/>
          </w:tcPr>
          <w:p w14:paraId="5C183978"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10.9</w:t>
            </w:r>
          </w:p>
        </w:tc>
      </w:tr>
      <w:tr w:rsidR="000B54BD" w:rsidRPr="005C1BE4" w14:paraId="25C29DFD" w14:textId="77777777" w:rsidTr="00E97A3B">
        <w:trPr>
          <w:trHeight w:val="340"/>
        </w:trPr>
        <w:tc>
          <w:tcPr>
            <w:tcW w:w="0" w:type="auto"/>
          </w:tcPr>
          <w:p w14:paraId="436CDA73"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MOH estimate of MOH local fund, TOP (excl. donor funds)</w:t>
            </w:r>
          </w:p>
        </w:tc>
        <w:tc>
          <w:tcPr>
            <w:tcW w:w="0" w:type="auto"/>
          </w:tcPr>
          <w:p w14:paraId="42054BBD"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11.57</w:t>
            </w:r>
          </w:p>
        </w:tc>
        <w:tc>
          <w:tcPr>
            <w:tcW w:w="0" w:type="auto"/>
          </w:tcPr>
          <w:p w14:paraId="603762F5"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11.42</w:t>
            </w:r>
          </w:p>
        </w:tc>
        <w:tc>
          <w:tcPr>
            <w:tcW w:w="0" w:type="auto"/>
          </w:tcPr>
          <w:p w14:paraId="47DC2DEA"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11.30</w:t>
            </w:r>
          </w:p>
        </w:tc>
        <w:tc>
          <w:tcPr>
            <w:tcW w:w="0" w:type="auto"/>
          </w:tcPr>
          <w:p w14:paraId="64DA4CD6"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11.70</w:t>
            </w:r>
          </w:p>
        </w:tc>
      </w:tr>
      <w:tr w:rsidR="000B54BD" w:rsidRPr="005C1BE4" w14:paraId="45E72DDF" w14:textId="77777777" w:rsidTr="00E97A3B">
        <w:trPr>
          <w:trHeight w:val="340"/>
        </w:trPr>
        <w:tc>
          <w:tcPr>
            <w:tcW w:w="0" w:type="auto"/>
          </w:tcPr>
          <w:p w14:paraId="3633AA22"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TongaHealth TOP excl. donor funds</w:t>
            </w:r>
          </w:p>
        </w:tc>
        <w:tc>
          <w:tcPr>
            <w:tcW w:w="0" w:type="auto"/>
          </w:tcPr>
          <w:p w14:paraId="7712AF2B"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450,000</w:t>
            </w:r>
          </w:p>
        </w:tc>
        <w:tc>
          <w:tcPr>
            <w:tcW w:w="0" w:type="auto"/>
          </w:tcPr>
          <w:p w14:paraId="22D6F624"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500,000</w:t>
            </w:r>
          </w:p>
        </w:tc>
        <w:tc>
          <w:tcPr>
            <w:tcW w:w="0" w:type="auto"/>
          </w:tcPr>
          <w:p w14:paraId="2BAD7DC0"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600,000</w:t>
            </w:r>
          </w:p>
        </w:tc>
        <w:tc>
          <w:tcPr>
            <w:tcW w:w="0" w:type="auto"/>
          </w:tcPr>
          <w:p w14:paraId="39BDEAD8"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700,000</w:t>
            </w:r>
          </w:p>
        </w:tc>
      </w:tr>
      <w:tr w:rsidR="000B54BD" w:rsidRPr="005C1BE4" w14:paraId="2AEE03F9" w14:textId="77777777" w:rsidTr="00E97A3B">
        <w:trPr>
          <w:trHeight w:val="340"/>
        </w:trPr>
        <w:tc>
          <w:tcPr>
            <w:tcW w:w="0" w:type="auto"/>
          </w:tcPr>
          <w:p w14:paraId="50D78FD7"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TongaHealth % excl. donor funds</w:t>
            </w:r>
          </w:p>
        </w:tc>
        <w:tc>
          <w:tcPr>
            <w:tcW w:w="0" w:type="auto"/>
          </w:tcPr>
          <w:p w14:paraId="78B5FE0C"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0.20</w:t>
            </w:r>
          </w:p>
        </w:tc>
        <w:tc>
          <w:tcPr>
            <w:tcW w:w="0" w:type="auto"/>
          </w:tcPr>
          <w:p w14:paraId="78E0157B"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0.22</w:t>
            </w:r>
          </w:p>
        </w:tc>
        <w:tc>
          <w:tcPr>
            <w:tcW w:w="0" w:type="auto"/>
          </w:tcPr>
          <w:p w14:paraId="47A50B17"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0.23</w:t>
            </w:r>
          </w:p>
        </w:tc>
        <w:tc>
          <w:tcPr>
            <w:tcW w:w="0" w:type="auto"/>
          </w:tcPr>
          <w:p w14:paraId="21A7517E" w14:textId="77777777" w:rsidR="000B54BD" w:rsidRPr="005C1BE4" w:rsidRDefault="000B54BD" w:rsidP="00E97A3B">
            <w:pPr>
              <w:rPr>
                <w:color w:val="000000"/>
                <w:sz w:val="18"/>
                <w:szCs w:val="18"/>
                <w:shd w:val="clear" w:color="auto" w:fill="FFFFFF"/>
              </w:rPr>
            </w:pPr>
            <w:r w:rsidRPr="005C1BE4">
              <w:rPr>
                <w:color w:val="000000"/>
                <w:sz w:val="18"/>
                <w:szCs w:val="18"/>
                <w:shd w:val="clear" w:color="auto" w:fill="FFFFFF"/>
              </w:rPr>
              <w:t>0.22</w:t>
            </w:r>
          </w:p>
        </w:tc>
      </w:tr>
    </w:tbl>
    <w:p w14:paraId="081B3FF3" w14:textId="77777777" w:rsidR="000B54BD" w:rsidRDefault="000B54BD" w:rsidP="000B54BD">
      <w:pPr>
        <w:rPr>
          <w:rFonts w:cstheme="majorHAnsi"/>
          <w:sz w:val="20"/>
        </w:rPr>
      </w:pPr>
    </w:p>
    <w:p w14:paraId="1871149D" w14:textId="77777777" w:rsidR="000B54BD" w:rsidRDefault="000B54BD" w:rsidP="000B54BD">
      <w:pPr>
        <w:rPr>
          <w:rFonts w:cstheme="majorHAnsi"/>
          <w:color w:val="000000"/>
          <w:sz w:val="20"/>
          <w:lang w:val="en-US"/>
        </w:rPr>
      </w:pPr>
      <w:r w:rsidRPr="00B416C6">
        <w:rPr>
          <w:rFonts w:cstheme="majorHAnsi"/>
          <w:sz w:val="20"/>
        </w:rPr>
        <w:t xml:space="preserve">According to the Staff Report for the 2017 IMF Article IV consultation the FY18/19 budget is expansionary and the fiscal position is projected to weaken. </w:t>
      </w:r>
      <w:r w:rsidRPr="00B416C6">
        <w:rPr>
          <w:rFonts w:cstheme="majorHAnsi"/>
          <w:color w:val="000000"/>
          <w:sz w:val="20"/>
          <w:lang w:val="en-US"/>
        </w:rPr>
        <w:t>The FY 18/19 budget reflects spending pressures from (i) wage increases; (ii) a reform of public sector employment categories;</w:t>
      </w:r>
      <w:r>
        <w:rPr>
          <w:rFonts w:ascii="Tahoma" w:hAnsi="Tahoma" w:cs="Tahoma"/>
          <w:color w:val="000000"/>
          <w:sz w:val="20"/>
          <w:lang w:val="en-US"/>
        </w:rPr>
        <w:t xml:space="preserve"> </w:t>
      </w:r>
      <w:r w:rsidRPr="00B416C6">
        <w:rPr>
          <w:rFonts w:cstheme="majorHAnsi"/>
          <w:color w:val="000000"/>
          <w:sz w:val="20"/>
          <w:lang w:val="en-US"/>
        </w:rPr>
        <w:t>and (iii) the government</w:t>
      </w:r>
      <w:r w:rsidRPr="00B416C6">
        <w:rPr>
          <w:rFonts w:ascii="Calibri" w:hAnsi="Calibri" w:cs="Calibri"/>
          <w:color w:val="000000"/>
          <w:sz w:val="20"/>
          <w:lang w:val="en-US"/>
        </w:rPr>
        <w:t>’</w:t>
      </w:r>
      <w:r w:rsidRPr="00B416C6">
        <w:rPr>
          <w:rFonts w:cstheme="majorHAnsi"/>
          <w:color w:val="000000"/>
          <w:sz w:val="20"/>
          <w:lang w:val="en-US"/>
        </w:rPr>
        <w:t>s</w:t>
      </w:r>
      <w:r>
        <w:rPr>
          <w:rFonts w:ascii="Tahoma" w:hAnsi="Tahoma" w:cs="Tahoma"/>
          <w:color w:val="000000"/>
          <w:sz w:val="20"/>
          <w:lang w:val="en-US"/>
        </w:rPr>
        <w:t xml:space="preserve"> </w:t>
      </w:r>
      <w:r w:rsidRPr="00B416C6">
        <w:rPr>
          <w:rFonts w:cstheme="majorHAnsi"/>
          <w:color w:val="000000"/>
          <w:sz w:val="20"/>
          <w:lang w:val="en-US"/>
        </w:rPr>
        <w:t>infrastructure development strategy.</w:t>
      </w:r>
    </w:p>
    <w:p w14:paraId="45307B84" w14:textId="77777777" w:rsidR="000B54BD" w:rsidRDefault="000B54BD" w:rsidP="000B54BD">
      <w:pPr>
        <w:rPr>
          <w:rFonts w:cstheme="majorHAnsi"/>
          <w:color w:val="000000"/>
          <w:sz w:val="20"/>
          <w:lang w:val="en-US"/>
        </w:rPr>
      </w:pPr>
      <w:r>
        <w:rPr>
          <w:rFonts w:cstheme="majorHAnsi"/>
          <w:color w:val="000000"/>
          <w:sz w:val="20"/>
          <w:lang w:val="en-US"/>
        </w:rPr>
        <w:lastRenderedPageBreak/>
        <w:t>1.3</w:t>
      </w:r>
    </w:p>
    <w:tbl>
      <w:tblPr>
        <w:tblStyle w:val="TableGrid"/>
        <w:tblW w:w="0" w:type="auto"/>
        <w:tblLook w:val="04A0" w:firstRow="1" w:lastRow="0" w:firstColumn="1" w:lastColumn="0" w:noHBand="0" w:noVBand="1"/>
      </w:tblPr>
      <w:tblGrid>
        <w:gridCol w:w="7305"/>
        <w:gridCol w:w="1036"/>
        <w:gridCol w:w="1036"/>
        <w:gridCol w:w="1036"/>
        <w:gridCol w:w="1036"/>
      </w:tblGrid>
      <w:tr w:rsidR="000B54BD" w:rsidRPr="00964363" w14:paraId="1CFCA1B3" w14:textId="77777777" w:rsidTr="00E97A3B">
        <w:trPr>
          <w:trHeight w:val="340"/>
        </w:trPr>
        <w:tc>
          <w:tcPr>
            <w:tcW w:w="0" w:type="auto"/>
          </w:tcPr>
          <w:p w14:paraId="6FFF3E6F" w14:textId="77777777" w:rsidR="000B54BD" w:rsidRPr="00964363" w:rsidRDefault="000B54BD" w:rsidP="00E97A3B">
            <w:pPr>
              <w:rPr>
                <w:b/>
                <w:color w:val="000000"/>
                <w:sz w:val="18"/>
                <w:szCs w:val="18"/>
                <w:shd w:val="clear" w:color="auto" w:fill="FFFFFF"/>
              </w:rPr>
            </w:pPr>
            <w:r w:rsidRPr="00964363">
              <w:rPr>
                <w:b/>
                <w:color w:val="000000"/>
                <w:sz w:val="18"/>
                <w:szCs w:val="18"/>
                <w:shd w:val="clear" w:color="auto" w:fill="FFFFFF"/>
              </w:rPr>
              <w:t>Budget allocation to public health (TOP m), excluding donor funds</w:t>
            </w:r>
          </w:p>
        </w:tc>
        <w:tc>
          <w:tcPr>
            <w:tcW w:w="0" w:type="auto"/>
          </w:tcPr>
          <w:p w14:paraId="2E0B0D1B" w14:textId="77777777" w:rsidR="000B54BD" w:rsidRPr="00964363" w:rsidRDefault="000B54BD" w:rsidP="00E97A3B">
            <w:pPr>
              <w:rPr>
                <w:b/>
                <w:color w:val="000000"/>
                <w:sz w:val="18"/>
                <w:szCs w:val="18"/>
                <w:shd w:val="clear" w:color="auto" w:fill="FFFFFF"/>
              </w:rPr>
            </w:pPr>
            <w:r w:rsidRPr="00964363">
              <w:rPr>
                <w:b/>
                <w:color w:val="000000"/>
                <w:sz w:val="18"/>
                <w:szCs w:val="18"/>
                <w:shd w:val="clear" w:color="auto" w:fill="FFFFFF"/>
              </w:rPr>
              <w:t>FY 15/16</w:t>
            </w:r>
          </w:p>
        </w:tc>
        <w:tc>
          <w:tcPr>
            <w:tcW w:w="0" w:type="auto"/>
          </w:tcPr>
          <w:p w14:paraId="7902841F" w14:textId="77777777" w:rsidR="000B54BD" w:rsidRPr="00964363" w:rsidRDefault="000B54BD" w:rsidP="00E97A3B">
            <w:pPr>
              <w:rPr>
                <w:b/>
                <w:color w:val="000000"/>
                <w:sz w:val="18"/>
                <w:szCs w:val="18"/>
                <w:shd w:val="clear" w:color="auto" w:fill="FFFFFF"/>
              </w:rPr>
            </w:pPr>
            <w:r w:rsidRPr="00964363">
              <w:rPr>
                <w:b/>
                <w:color w:val="000000"/>
                <w:sz w:val="18"/>
                <w:szCs w:val="18"/>
                <w:shd w:val="clear" w:color="auto" w:fill="FFFFFF"/>
              </w:rPr>
              <w:t>FY 16/17</w:t>
            </w:r>
          </w:p>
        </w:tc>
        <w:tc>
          <w:tcPr>
            <w:tcW w:w="0" w:type="auto"/>
          </w:tcPr>
          <w:p w14:paraId="709385C1" w14:textId="77777777" w:rsidR="000B54BD" w:rsidRPr="00964363" w:rsidRDefault="000B54BD" w:rsidP="00E97A3B">
            <w:pPr>
              <w:rPr>
                <w:b/>
                <w:color w:val="000000"/>
                <w:sz w:val="18"/>
                <w:szCs w:val="18"/>
                <w:shd w:val="clear" w:color="auto" w:fill="FFFFFF"/>
              </w:rPr>
            </w:pPr>
            <w:r w:rsidRPr="00964363">
              <w:rPr>
                <w:b/>
                <w:color w:val="000000"/>
                <w:sz w:val="18"/>
                <w:szCs w:val="18"/>
                <w:shd w:val="clear" w:color="auto" w:fill="FFFFFF"/>
              </w:rPr>
              <w:t>FY 17/18</w:t>
            </w:r>
          </w:p>
          <w:p w14:paraId="667F3DEA" w14:textId="77777777" w:rsidR="000B54BD" w:rsidRPr="00964363" w:rsidRDefault="000B54BD" w:rsidP="00E97A3B">
            <w:pPr>
              <w:rPr>
                <w:b/>
                <w:color w:val="000000"/>
                <w:sz w:val="18"/>
                <w:szCs w:val="18"/>
                <w:shd w:val="clear" w:color="auto" w:fill="FFFFFF"/>
              </w:rPr>
            </w:pPr>
            <w:r w:rsidRPr="00964363">
              <w:rPr>
                <w:b/>
                <w:color w:val="000000"/>
                <w:sz w:val="18"/>
                <w:szCs w:val="18"/>
                <w:shd w:val="clear" w:color="auto" w:fill="FFFFFF"/>
              </w:rPr>
              <w:t>(provl)</w:t>
            </w:r>
          </w:p>
        </w:tc>
        <w:tc>
          <w:tcPr>
            <w:tcW w:w="0" w:type="auto"/>
          </w:tcPr>
          <w:p w14:paraId="3A771D23" w14:textId="77777777" w:rsidR="000B54BD" w:rsidRPr="00964363" w:rsidRDefault="000B54BD" w:rsidP="00E97A3B">
            <w:pPr>
              <w:rPr>
                <w:b/>
                <w:color w:val="000000"/>
                <w:sz w:val="18"/>
                <w:szCs w:val="18"/>
                <w:shd w:val="clear" w:color="auto" w:fill="FFFFFF"/>
              </w:rPr>
            </w:pPr>
            <w:r w:rsidRPr="00964363">
              <w:rPr>
                <w:b/>
                <w:color w:val="000000"/>
                <w:sz w:val="18"/>
                <w:szCs w:val="18"/>
                <w:shd w:val="clear" w:color="auto" w:fill="FFFFFF"/>
              </w:rPr>
              <w:t>FY 18/19</w:t>
            </w:r>
          </w:p>
          <w:p w14:paraId="06A5AD79" w14:textId="77777777" w:rsidR="000B54BD" w:rsidRPr="00964363" w:rsidRDefault="000B54BD" w:rsidP="00E97A3B">
            <w:pPr>
              <w:rPr>
                <w:b/>
                <w:color w:val="000000"/>
                <w:sz w:val="18"/>
                <w:szCs w:val="18"/>
                <w:shd w:val="clear" w:color="auto" w:fill="FFFFFF"/>
              </w:rPr>
            </w:pPr>
            <w:r w:rsidRPr="00964363">
              <w:rPr>
                <w:b/>
                <w:color w:val="000000"/>
                <w:sz w:val="18"/>
                <w:szCs w:val="18"/>
                <w:shd w:val="clear" w:color="auto" w:fill="FFFFFF"/>
              </w:rPr>
              <w:t>(est)</w:t>
            </w:r>
          </w:p>
        </w:tc>
      </w:tr>
      <w:tr w:rsidR="000B54BD" w:rsidRPr="00964363" w14:paraId="261DA6D4" w14:textId="77777777" w:rsidTr="00E97A3B">
        <w:trPr>
          <w:trHeight w:val="340"/>
        </w:trPr>
        <w:tc>
          <w:tcPr>
            <w:tcW w:w="0" w:type="auto"/>
          </w:tcPr>
          <w:p w14:paraId="22D3FFFC"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Public Health Division, TOP excl. donor funds (assuming all development budget is donor funded)</w:t>
            </w:r>
          </w:p>
        </w:tc>
        <w:tc>
          <w:tcPr>
            <w:tcW w:w="0" w:type="auto"/>
          </w:tcPr>
          <w:p w14:paraId="3A10239D"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2,502,700</w:t>
            </w:r>
          </w:p>
        </w:tc>
        <w:tc>
          <w:tcPr>
            <w:tcW w:w="0" w:type="auto"/>
          </w:tcPr>
          <w:p w14:paraId="1833194D"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2,463,455</w:t>
            </w:r>
          </w:p>
        </w:tc>
        <w:tc>
          <w:tcPr>
            <w:tcW w:w="0" w:type="auto"/>
          </w:tcPr>
          <w:p w14:paraId="7B5E5B96"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4,985,000</w:t>
            </w:r>
          </w:p>
        </w:tc>
        <w:tc>
          <w:tcPr>
            <w:tcW w:w="0" w:type="auto"/>
          </w:tcPr>
          <w:p w14:paraId="6DEC87AB"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6,711,100</w:t>
            </w:r>
          </w:p>
        </w:tc>
      </w:tr>
      <w:tr w:rsidR="000B54BD" w:rsidRPr="00964363" w14:paraId="15946D11" w14:textId="77777777" w:rsidTr="00E97A3B">
        <w:trPr>
          <w:trHeight w:val="340"/>
        </w:trPr>
        <w:tc>
          <w:tcPr>
            <w:tcW w:w="0" w:type="auto"/>
          </w:tcPr>
          <w:p w14:paraId="5A95E8A8"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Total MOH budget, TOP excl. donor funds (assuming all development budget is donor funded)</w:t>
            </w:r>
          </w:p>
        </w:tc>
        <w:tc>
          <w:tcPr>
            <w:tcW w:w="0" w:type="auto"/>
          </w:tcPr>
          <w:p w14:paraId="440B6679"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30,197,500</w:t>
            </w:r>
          </w:p>
        </w:tc>
        <w:tc>
          <w:tcPr>
            <w:tcW w:w="0" w:type="auto"/>
          </w:tcPr>
          <w:p w14:paraId="046709F3"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32,596,200</w:t>
            </w:r>
          </w:p>
        </w:tc>
        <w:tc>
          <w:tcPr>
            <w:tcW w:w="0" w:type="auto"/>
          </w:tcPr>
          <w:p w14:paraId="7FF56885"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38,943,800</w:t>
            </w:r>
          </w:p>
        </w:tc>
        <w:tc>
          <w:tcPr>
            <w:tcW w:w="0" w:type="auto"/>
          </w:tcPr>
          <w:p w14:paraId="04B7ADD5"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42,832,000</w:t>
            </w:r>
          </w:p>
        </w:tc>
      </w:tr>
      <w:tr w:rsidR="000B54BD" w:rsidRPr="00964363" w14:paraId="791BE697" w14:textId="77777777" w:rsidTr="00E97A3B">
        <w:trPr>
          <w:trHeight w:val="340"/>
        </w:trPr>
        <w:tc>
          <w:tcPr>
            <w:tcW w:w="0" w:type="auto"/>
          </w:tcPr>
          <w:p w14:paraId="7A28F0DA"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Public Health Division % of MOH excl. donor funds</w:t>
            </w:r>
          </w:p>
        </w:tc>
        <w:tc>
          <w:tcPr>
            <w:tcW w:w="0" w:type="auto"/>
          </w:tcPr>
          <w:p w14:paraId="0FACC692"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8.29</w:t>
            </w:r>
          </w:p>
        </w:tc>
        <w:tc>
          <w:tcPr>
            <w:tcW w:w="0" w:type="auto"/>
          </w:tcPr>
          <w:p w14:paraId="724A8DC0"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7.56</w:t>
            </w:r>
          </w:p>
        </w:tc>
        <w:tc>
          <w:tcPr>
            <w:tcW w:w="0" w:type="auto"/>
          </w:tcPr>
          <w:p w14:paraId="312D003A"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12.80</w:t>
            </w:r>
          </w:p>
        </w:tc>
        <w:tc>
          <w:tcPr>
            <w:tcW w:w="0" w:type="auto"/>
          </w:tcPr>
          <w:p w14:paraId="266E861E" w14:textId="77777777" w:rsidR="000B54BD" w:rsidRPr="00964363" w:rsidRDefault="000B54BD" w:rsidP="00E97A3B">
            <w:pPr>
              <w:rPr>
                <w:color w:val="000000"/>
                <w:sz w:val="18"/>
                <w:szCs w:val="18"/>
                <w:shd w:val="clear" w:color="auto" w:fill="FFFFFF"/>
              </w:rPr>
            </w:pPr>
            <w:r w:rsidRPr="00964363">
              <w:rPr>
                <w:color w:val="000000"/>
                <w:sz w:val="18"/>
                <w:szCs w:val="18"/>
                <w:shd w:val="clear" w:color="auto" w:fill="FFFFFF"/>
              </w:rPr>
              <w:t>15.67</w:t>
            </w:r>
          </w:p>
        </w:tc>
      </w:tr>
    </w:tbl>
    <w:p w14:paraId="3E6A29D0" w14:textId="77777777" w:rsidR="000B54BD" w:rsidRDefault="000B54BD" w:rsidP="000B54BD">
      <w:pPr>
        <w:rPr>
          <w:rFonts w:cstheme="majorHAnsi"/>
          <w:sz w:val="20"/>
        </w:rPr>
      </w:pPr>
    </w:p>
    <w:p w14:paraId="09D2ED41" w14:textId="77777777" w:rsidR="000B54BD" w:rsidRDefault="000B54BD" w:rsidP="000B54BD">
      <w:r>
        <w:t>5.2</w:t>
      </w:r>
    </w:p>
    <w:tbl>
      <w:tblPr>
        <w:tblStyle w:val="TableGrid"/>
        <w:tblW w:w="0" w:type="auto"/>
        <w:tblLook w:val="04A0" w:firstRow="1" w:lastRow="0" w:firstColumn="1" w:lastColumn="0" w:noHBand="0" w:noVBand="1"/>
      </w:tblPr>
      <w:tblGrid>
        <w:gridCol w:w="4051"/>
        <w:gridCol w:w="1036"/>
        <w:gridCol w:w="1036"/>
        <w:gridCol w:w="1236"/>
        <w:gridCol w:w="1319"/>
      </w:tblGrid>
      <w:tr w:rsidR="000B54BD" w:rsidRPr="00FA68CA" w14:paraId="53D1F25B" w14:textId="77777777" w:rsidTr="00E97A3B">
        <w:trPr>
          <w:trHeight w:val="340"/>
        </w:trPr>
        <w:tc>
          <w:tcPr>
            <w:tcW w:w="0" w:type="auto"/>
          </w:tcPr>
          <w:p w14:paraId="7BE47E2C" w14:textId="77777777" w:rsidR="000B54BD" w:rsidRPr="00FA68CA" w:rsidRDefault="000B54BD" w:rsidP="00E97A3B">
            <w:pPr>
              <w:rPr>
                <w:b/>
                <w:color w:val="000000"/>
                <w:sz w:val="18"/>
                <w:szCs w:val="18"/>
                <w:shd w:val="clear" w:color="auto" w:fill="FFFFFF"/>
              </w:rPr>
            </w:pPr>
            <w:r w:rsidRPr="00FA68CA">
              <w:rPr>
                <w:b/>
                <w:color w:val="000000"/>
                <w:sz w:val="18"/>
                <w:szCs w:val="18"/>
                <w:shd w:val="clear" w:color="auto" w:fill="FFFFFF"/>
              </w:rPr>
              <w:t>Actual v budgeted expenditure (TOP, m)</w:t>
            </w:r>
          </w:p>
        </w:tc>
        <w:tc>
          <w:tcPr>
            <w:tcW w:w="0" w:type="auto"/>
          </w:tcPr>
          <w:p w14:paraId="07C95A98" w14:textId="77777777" w:rsidR="000B54BD" w:rsidRPr="00FA68CA" w:rsidRDefault="000B54BD" w:rsidP="00E97A3B">
            <w:pPr>
              <w:rPr>
                <w:b/>
                <w:color w:val="000000"/>
                <w:sz w:val="18"/>
                <w:szCs w:val="18"/>
                <w:shd w:val="clear" w:color="auto" w:fill="FFFFFF"/>
              </w:rPr>
            </w:pPr>
            <w:r w:rsidRPr="00FA68CA">
              <w:rPr>
                <w:b/>
                <w:color w:val="000000"/>
                <w:sz w:val="18"/>
                <w:szCs w:val="18"/>
                <w:shd w:val="clear" w:color="auto" w:fill="FFFFFF"/>
              </w:rPr>
              <w:t>FY 15/16</w:t>
            </w:r>
          </w:p>
        </w:tc>
        <w:tc>
          <w:tcPr>
            <w:tcW w:w="0" w:type="auto"/>
          </w:tcPr>
          <w:p w14:paraId="52A52F64" w14:textId="77777777" w:rsidR="000B54BD" w:rsidRPr="00FA68CA" w:rsidRDefault="000B54BD" w:rsidP="00E97A3B">
            <w:pPr>
              <w:rPr>
                <w:b/>
                <w:color w:val="000000"/>
                <w:sz w:val="18"/>
                <w:szCs w:val="18"/>
                <w:shd w:val="clear" w:color="auto" w:fill="FFFFFF"/>
              </w:rPr>
            </w:pPr>
            <w:r w:rsidRPr="00FA68CA">
              <w:rPr>
                <w:b/>
                <w:color w:val="000000"/>
                <w:sz w:val="18"/>
                <w:szCs w:val="18"/>
                <w:shd w:val="clear" w:color="auto" w:fill="FFFFFF"/>
              </w:rPr>
              <w:t>FY 16/17</w:t>
            </w:r>
          </w:p>
        </w:tc>
        <w:tc>
          <w:tcPr>
            <w:tcW w:w="0" w:type="auto"/>
          </w:tcPr>
          <w:p w14:paraId="2617F5AF" w14:textId="77777777" w:rsidR="000B54BD" w:rsidRPr="00FA68CA" w:rsidRDefault="000B54BD" w:rsidP="00E97A3B">
            <w:pPr>
              <w:rPr>
                <w:b/>
                <w:color w:val="000000"/>
                <w:sz w:val="18"/>
                <w:szCs w:val="18"/>
                <w:shd w:val="clear" w:color="auto" w:fill="FFFFFF"/>
              </w:rPr>
            </w:pPr>
            <w:r w:rsidRPr="00FA68CA">
              <w:rPr>
                <w:b/>
                <w:color w:val="000000"/>
                <w:sz w:val="18"/>
                <w:szCs w:val="18"/>
                <w:shd w:val="clear" w:color="auto" w:fill="FFFFFF"/>
              </w:rPr>
              <w:t>FY 17/18</w:t>
            </w:r>
          </w:p>
          <w:p w14:paraId="0038F2B3" w14:textId="77777777" w:rsidR="000B54BD" w:rsidRPr="00FA68CA" w:rsidRDefault="000B54BD" w:rsidP="00E97A3B">
            <w:pPr>
              <w:rPr>
                <w:b/>
                <w:color w:val="000000"/>
                <w:sz w:val="18"/>
                <w:szCs w:val="18"/>
                <w:shd w:val="clear" w:color="auto" w:fill="FFFFFF"/>
              </w:rPr>
            </w:pPr>
            <w:r w:rsidRPr="00FA68CA">
              <w:rPr>
                <w:b/>
                <w:color w:val="000000"/>
                <w:sz w:val="18"/>
                <w:szCs w:val="18"/>
                <w:shd w:val="clear" w:color="auto" w:fill="FFFFFF"/>
              </w:rPr>
              <w:t xml:space="preserve">Revised </w:t>
            </w:r>
          </w:p>
          <w:p w14:paraId="23C37261" w14:textId="77777777" w:rsidR="000B54BD" w:rsidRPr="00FA68CA" w:rsidRDefault="000B54BD" w:rsidP="00E97A3B">
            <w:pPr>
              <w:rPr>
                <w:b/>
                <w:color w:val="000000"/>
                <w:sz w:val="18"/>
                <w:szCs w:val="18"/>
                <w:shd w:val="clear" w:color="auto" w:fill="FFFFFF"/>
              </w:rPr>
            </w:pPr>
            <w:r w:rsidRPr="00FA68CA">
              <w:rPr>
                <w:b/>
                <w:color w:val="000000"/>
                <w:sz w:val="18"/>
                <w:szCs w:val="18"/>
                <w:shd w:val="clear" w:color="auto" w:fill="FFFFFF"/>
              </w:rPr>
              <w:t>Actual by Dec</w:t>
            </w:r>
          </w:p>
        </w:tc>
        <w:tc>
          <w:tcPr>
            <w:tcW w:w="0" w:type="auto"/>
          </w:tcPr>
          <w:p w14:paraId="1C07B34E" w14:textId="77777777" w:rsidR="000B54BD" w:rsidRPr="00FA68CA" w:rsidRDefault="000B54BD" w:rsidP="00E97A3B">
            <w:pPr>
              <w:rPr>
                <w:b/>
                <w:color w:val="000000"/>
                <w:sz w:val="18"/>
                <w:szCs w:val="18"/>
                <w:shd w:val="clear" w:color="auto" w:fill="FFFFFF"/>
              </w:rPr>
            </w:pPr>
            <w:r w:rsidRPr="00FA68CA">
              <w:rPr>
                <w:b/>
                <w:color w:val="000000"/>
                <w:sz w:val="18"/>
                <w:szCs w:val="18"/>
                <w:shd w:val="clear" w:color="auto" w:fill="FFFFFF"/>
              </w:rPr>
              <w:t>FY 18/19</w:t>
            </w:r>
          </w:p>
          <w:p w14:paraId="6E7684CF" w14:textId="77777777" w:rsidR="000B54BD" w:rsidRPr="00FA68CA" w:rsidRDefault="000B54BD" w:rsidP="00E97A3B">
            <w:pPr>
              <w:rPr>
                <w:b/>
                <w:color w:val="000000"/>
                <w:sz w:val="18"/>
                <w:szCs w:val="18"/>
                <w:shd w:val="clear" w:color="auto" w:fill="FFFFFF"/>
              </w:rPr>
            </w:pPr>
            <w:r w:rsidRPr="00FA68CA">
              <w:rPr>
                <w:b/>
                <w:color w:val="000000"/>
                <w:sz w:val="18"/>
                <w:szCs w:val="18"/>
                <w:shd w:val="clear" w:color="auto" w:fill="FFFFFF"/>
              </w:rPr>
              <w:t>To date</w:t>
            </w:r>
          </w:p>
        </w:tc>
      </w:tr>
      <w:tr w:rsidR="000B54BD" w:rsidRPr="00FA68CA" w14:paraId="3342C7B1" w14:textId="77777777" w:rsidTr="00E97A3B">
        <w:trPr>
          <w:trHeight w:val="340"/>
        </w:trPr>
        <w:tc>
          <w:tcPr>
            <w:tcW w:w="0" w:type="auto"/>
          </w:tcPr>
          <w:p w14:paraId="384B8252"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MOH actual expenditure (provisional outcome), TOP</w:t>
            </w:r>
          </w:p>
        </w:tc>
        <w:tc>
          <w:tcPr>
            <w:tcW w:w="0" w:type="auto"/>
          </w:tcPr>
          <w:p w14:paraId="43D367E5"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32,852,267</w:t>
            </w:r>
          </w:p>
        </w:tc>
        <w:tc>
          <w:tcPr>
            <w:tcW w:w="0" w:type="auto"/>
          </w:tcPr>
          <w:p w14:paraId="20458972"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35,821,439</w:t>
            </w:r>
          </w:p>
        </w:tc>
        <w:tc>
          <w:tcPr>
            <w:tcW w:w="0" w:type="auto"/>
          </w:tcPr>
          <w:p w14:paraId="26B6984F"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43,794,139</w:t>
            </w:r>
          </w:p>
        </w:tc>
        <w:tc>
          <w:tcPr>
            <w:tcW w:w="0" w:type="auto"/>
          </w:tcPr>
          <w:p w14:paraId="45FDC386"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11,772,025</w:t>
            </w:r>
          </w:p>
        </w:tc>
      </w:tr>
      <w:tr w:rsidR="000B54BD" w:rsidRPr="00FA68CA" w14:paraId="794726B6" w14:textId="77777777" w:rsidTr="00E97A3B">
        <w:trPr>
          <w:trHeight w:val="340"/>
        </w:trPr>
        <w:tc>
          <w:tcPr>
            <w:tcW w:w="0" w:type="auto"/>
          </w:tcPr>
          <w:p w14:paraId="23F3AD3D"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MOH budget expenditure (original budget), TOP</w:t>
            </w:r>
          </w:p>
        </w:tc>
        <w:tc>
          <w:tcPr>
            <w:tcW w:w="0" w:type="auto"/>
          </w:tcPr>
          <w:p w14:paraId="5649D221"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30,197,500</w:t>
            </w:r>
          </w:p>
        </w:tc>
        <w:tc>
          <w:tcPr>
            <w:tcW w:w="0" w:type="auto"/>
          </w:tcPr>
          <w:p w14:paraId="690F1513"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32,596,200</w:t>
            </w:r>
          </w:p>
        </w:tc>
        <w:tc>
          <w:tcPr>
            <w:tcW w:w="0" w:type="auto"/>
          </w:tcPr>
          <w:p w14:paraId="02A878FC"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38,943,800</w:t>
            </w:r>
          </w:p>
        </w:tc>
        <w:tc>
          <w:tcPr>
            <w:tcW w:w="0" w:type="auto"/>
          </w:tcPr>
          <w:p w14:paraId="1436116C"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42,832,000</w:t>
            </w:r>
          </w:p>
        </w:tc>
      </w:tr>
      <w:tr w:rsidR="000B54BD" w:rsidRPr="00FA68CA" w14:paraId="5E9A1CB7" w14:textId="77777777" w:rsidTr="00E97A3B">
        <w:trPr>
          <w:trHeight w:val="340"/>
        </w:trPr>
        <w:tc>
          <w:tcPr>
            <w:tcW w:w="0" w:type="auto"/>
          </w:tcPr>
          <w:p w14:paraId="39A51A17"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 xml:space="preserve">MOH actual: budget % </w:t>
            </w:r>
          </w:p>
        </w:tc>
        <w:tc>
          <w:tcPr>
            <w:tcW w:w="0" w:type="auto"/>
          </w:tcPr>
          <w:p w14:paraId="0DE6B582"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109</w:t>
            </w:r>
          </w:p>
        </w:tc>
        <w:tc>
          <w:tcPr>
            <w:tcW w:w="0" w:type="auto"/>
          </w:tcPr>
          <w:p w14:paraId="66CDE4D6"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110</w:t>
            </w:r>
          </w:p>
        </w:tc>
        <w:tc>
          <w:tcPr>
            <w:tcW w:w="0" w:type="auto"/>
          </w:tcPr>
          <w:p w14:paraId="03D0D0D2"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112</w:t>
            </w:r>
          </w:p>
        </w:tc>
        <w:tc>
          <w:tcPr>
            <w:tcW w:w="0" w:type="auto"/>
          </w:tcPr>
          <w:p w14:paraId="7CE7AB0D" w14:textId="77777777" w:rsidR="000B54BD" w:rsidRPr="00FA68CA" w:rsidRDefault="000B54BD" w:rsidP="00E97A3B">
            <w:pPr>
              <w:rPr>
                <w:color w:val="000000"/>
                <w:sz w:val="18"/>
                <w:szCs w:val="18"/>
                <w:shd w:val="clear" w:color="auto" w:fill="FFFFFF"/>
              </w:rPr>
            </w:pPr>
            <w:r w:rsidRPr="00FA68CA">
              <w:rPr>
                <w:color w:val="000000"/>
                <w:sz w:val="18"/>
                <w:szCs w:val="18"/>
                <w:shd w:val="clear" w:color="auto" w:fill="FFFFFF"/>
              </w:rPr>
              <w:t>27 (1</w:t>
            </w:r>
            <w:r w:rsidRPr="00FA68CA">
              <w:rPr>
                <w:color w:val="000000"/>
                <w:sz w:val="18"/>
                <w:szCs w:val="18"/>
                <w:shd w:val="clear" w:color="auto" w:fill="FFFFFF"/>
                <w:vertAlign w:val="superscript"/>
              </w:rPr>
              <w:t>st</w:t>
            </w:r>
            <w:r w:rsidRPr="00FA68CA">
              <w:rPr>
                <w:color w:val="000000"/>
                <w:sz w:val="18"/>
                <w:szCs w:val="18"/>
                <w:shd w:val="clear" w:color="auto" w:fill="FFFFFF"/>
              </w:rPr>
              <w:t xml:space="preserve"> quarter)</w:t>
            </w:r>
          </w:p>
        </w:tc>
      </w:tr>
    </w:tbl>
    <w:p w14:paraId="594C7038" w14:textId="77777777" w:rsidR="000B54BD" w:rsidRDefault="000B54BD" w:rsidP="000B54BD"/>
    <w:p w14:paraId="647A0915" w14:textId="77777777" w:rsidR="000B54BD" w:rsidRDefault="000B54BD" w:rsidP="000B54BD">
      <w:r>
        <w:t>2.</w:t>
      </w:r>
    </w:p>
    <w:tbl>
      <w:tblPr>
        <w:tblStyle w:val="TableGrid"/>
        <w:tblW w:w="0" w:type="auto"/>
        <w:tblLook w:val="04A0" w:firstRow="1" w:lastRow="0" w:firstColumn="1" w:lastColumn="0" w:noHBand="0" w:noVBand="1"/>
      </w:tblPr>
      <w:tblGrid>
        <w:gridCol w:w="6278"/>
        <w:gridCol w:w="876"/>
        <w:gridCol w:w="876"/>
        <w:gridCol w:w="876"/>
        <w:gridCol w:w="876"/>
      </w:tblGrid>
      <w:tr w:rsidR="000B54BD" w:rsidRPr="00E45020" w14:paraId="2048A699" w14:textId="77777777" w:rsidTr="00E97A3B">
        <w:trPr>
          <w:trHeight w:val="340"/>
        </w:trPr>
        <w:tc>
          <w:tcPr>
            <w:tcW w:w="0" w:type="auto"/>
          </w:tcPr>
          <w:p w14:paraId="38BB4452"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 xml:space="preserve">TongaHealth administrative costs </w:t>
            </w:r>
          </w:p>
          <w:p w14:paraId="0338C187"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 xml:space="preserve">as % of DFAT grants (or budget?) </w:t>
            </w:r>
          </w:p>
          <w:p w14:paraId="33651350"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(TOP)</w:t>
            </w:r>
          </w:p>
        </w:tc>
        <w:tc>
          <w:tcPr>
            <w:tcW w:w="0" w:type="auto"/>
          </w:tcPr>
          <w:p w14:paraId="47A2B18A"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15/16</w:t>
            </w:r>
          </w:p>
        </w:tc>
        <w:tc>
          <w:tcPr>
            <w:tcW w:w="0" w:type="auto"/>
          </w:tcPr>
          <w:p w14:paraId="4781E4EE"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16/17</w:t>
            </w:r>
          </w:p>
        </w:tc>
        <w:tc>
          <w:tcPr>
            <w:tcW w:w="0" w:type="auto"/>
          </w:tcPr>
          <w:p w14:paraId="5D386A95"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17/18</w:t>
            </w:r>
          </w:p>
          <w:p w14:paraId="585DB416"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(budget)</w:t>
            </w:r>
          </w:p>
        </w:tc>
        <w:tc>
          <w:tcPr>
            <w:tcW w:w="0" w:type="auto"/>
          </w:tcPr>
          <w:p w14:paraId="1DD2A7A8"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18/19</w:t>
            </w:r>
          </w:p>
          <w:p w14:paraId="35768E94"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(budget)</w:t>
            </w:r>
          </w:p>
        </w:tc>
      </w:tr>
      <w:tr w:rsidR="000B54BD" w:rsidRPr="00E45020" w14:paraId="6A396EEA" w14:textId="77777777" w:rsidTr="00E97A3B">
        <w:trPr>
          <w:trHeight w:val="340"/>
        </w:trPr>
        <w:tc>
          <w:tcPr>
            <w:tcW w:w="0" w:type="auto"/>
          </w:tcPr>
          <w:p w14:paraId="1E2C0577"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TongaHealth total administrative costs</w:t>
            </w:r>
          </w:p>
        </w:tc>
        <w:tc>
          <w:tcPr>
            <w:tcW w:w="0" w:type="auto"/>
          </w:tcPr>
          <w:p w14:paraId="19DA5D75"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360,425</w:t>
            </w:r>
          </w:p>
        </w:tc>
        <w:tc>
          <w:tcPr>
            <w:tcW w:w="0" w:type="auto"/>
          </w:tcPr>
          <w:p w14:paraId="693FFFF5"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390,210</w:t>
            </w:r>
          </w:p>
        </w:tc>
        <w:tc>
          <w:tcPr>
            <w:tcW w:w="0" w:type="auto"/>
          </w:tcPr>
          <w:p w14:paraId="574B4B85"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380,471</w:t>
            </w:r>
          </w:p>
        </w:tc>
        <w:tc>
          <w:tcPr>
            <w:tcW w:w="0" w:type="auto"/>
          </w:tcPr>
          <w:p w14:paraId="7E9D0E45"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533,923</w:t>
            </w:r>
          </w:p>
        </w:tc>
      </w:tr>
      <w:tr w:rsidR="000B54BD" w:rsidRPr="00E45020" w14:paraId="3F84F42E" w14:textId="77777777" w:rsidTr="00E97A3B">
        <w:trPr>
          <w:trHeight w:val="340"/>
        </w:trPr>
        <w:tc>
          <w:tcPr>
            <w:tcW w:w="0" w:type="auto"/>
          </w:tcPr>
          <w:p w14:paraId="3860FEF8"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TongaHealth total grant funds including costs of administering grants</w:t>
            </w:r>
          </w:p>
        </w:tc>
        <w:tc>
          <w:tcPr>
            <w:tcW w:w="0" w:type="auto"/>
          </w:tcPr>
          <w:p w14:paraId="7C224283"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566,857</w:t>
            </w:r>
          </w:p>
        </w:tc>
        <w:tc>
          <w:tcPr>
            <w:tcW w:w="0" w:type="auto"/>
          </w:tcPr>
          <w:p w14:paraId="495E944D"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941,299</w:t>
            </w:r>
          </w:p>
        </w:tc>
        <w:tc>
          <w:tcPr>
            <w:tcW w:w="0" w:type="auto"/>
          </w:tcPr>
          <w:p w14:paraId="4C6C196D"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853,168</w:t>
            </w:r>
          </w:p>
        </w:tc>
        <w:tc>
          <w:tcPr>
            <w:tcW w:w="0" w:type="auto"/>
          </w:tcPr>
          <w:p w14:paraId="6A184110"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684,426</w:t>
            </w:r>
          </w:p>
        </w:tc>
      </w:tr>
      <w:tr w:rsidR="000B54BD" w:rsidRPr="00E45020" w14:paraId="5DD7C8D5" w14:textId="77777777" w:rsidTr="00E97A3B">
        <w:trPr>
          <w:trHeight w:val="340"/>
        </w:trPr>
        <w:tc>
          <w:tcPr>
            <w:tcW w:w="0" w:type="auto"/>
          </w:tcPr>
          <w:p w14:paraId="6A985BBB"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TongaHealth DFAT grant funds excluding DFAT funded TongaHealth administration</w:t>
            </w:r>
          </w:p>
        </w:tc>
        <w:tc>
          <w:tcPr>
            <w:tcW w:w="0" w:type="auto"/>
          </w:tcPr>
          <w:p w14:paraId="7203F8A9"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791,849</w:t>
            </w:r>
          </w:p>
        </w:tc>
        <w:tc>
          <w:tcPr>
            <w:tcW w:w="0" w:type="auto"/>
          </w:tcPr>
          <w:p w14:paraId="1D676288"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577,111</w:t>
            </w:r>
          </w:p>
        </w:tc>
        <w:tc>
          <w:tcPr>
            <w:tcW w:w="0" w:type="auto"/>
          </w:tcPr>
          <w:p w14:paraId="223BCE0E"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625,766</w:t>
            </w:r>
          </w:p>
        </w:tc>
        <w:tc>
          <w:tcPr>
            <w:tcW w:w="0" w:type="auto"/>
          </w:tcPr>
          <w:p w14:paraId="6B5CAFF9"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567,351</w:t>
            </w:r>
          </w:p>
        </w:tc>
      </w:tr>
      <w:tr w:rsidR="000B54BD" w:rsidRPr="00E45020" w14:paraId="5B101F6F" w14:textId="77777777" w:rsidTr="00E97A3B">
        <w:trPr>
          <w:trHeight w:val="340"/>
        </w:trPr>
        <w:tc>
          <w:tcPr>
            <w:tcW w:w="0" w:type="auto"/>
          </w:tcPr>
          <w:p w14:paraId="3A408A71"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TongaHealth DFAT grant funds, including DFAT funded TongaHealth administration</w:t>
            </w:r>
          </w:p>
        </w:tc>
        <w:tc>
          <w:tcPr>
            <w:tcW w:w="0" w:type="auto"/>
          </w:tcPr>
          <w:p w14:paraId="590BDC94"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839,708</w:t>
            </w:r>
          </w:p>
        </w:tc>
        <w:tc>
          <w:tcPr>
            <w:tcW w:w="0" w:type="auto"/>
          </w:tcPr>
          <w:p w14:paraId="3719F734"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638,916</w:t>
            </w:r>
          </w:p>
        </w:tc>
        <w:tc>
          <w:tcPr>
            <w:tcW w:w="0" w:type="auto"/>
          </w:tcPr>
          <w:p w14:paraId="7A2D4CC5"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674,472</w:t>
            </w:r>
          </w:p>
        </w:tc>
        <w:tc>
          <w:tcPr>
            <w:tcW w:w="0" w:type="auto"/>
          </w:tcPr>
          <w:p w14:paraId="36E71B53"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650,000</w:t>
            </w:r>
          </w:p>
        </w:tc>
      </w:tr>
      <w:tr w:rsidR="000B54BD" w:rsidRPr="00E45020" w14:paraId="2E3CB3A1" w14:textId="77777777" w:rsidTr="00E97A3B">
        <w:trPr>
          <w:trHeight w:val="340"/>
        </w:trPr>
        <w:tc>
          <w:tcPr>
            <w:tcW w:w="0" w:type="auto"/>
          </w:tcPr>
          <w:p w14:paraId="1492CED4"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TongaHealth admin/ total DFAT</w:t>
            </w:r>
          </w:p>
          <w:p w14:paraId="5F1544E6"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xml:space="preserve"> grant funds %</w:t>
            </w:r>
          </w:p>
        </w:tc>
        <w:tc>
          <w:tcPr>
            <w:tcW w:w="0" w:type="auto"/>
          </w:tcPr>
          <w:p w14:paraId="4E011A00"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64</w:t>
            </w:r>
          </w:p>
        </w:tc>
        <w:tc>
          <w:tcPr>
            <w:tcW w:w="0" w:type="auto"/>
          </w:tcPr>
          <w:p w14:paraId="1B4F41CD"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41</w:t>
            </w:r>
          </w:p>
        </w:tc>
        <w:tc>
          <w:tcPr>
            <w:tcW w:w="0" w:type="auto"/>
          </w:tcPr>
          <w:p w14:paraId="4A9C1A1B"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45</w:t>
            </w:r>
          </w:p>
        </w:tc>
        <w:tc>
          <w:tcPr>
            <w:tcW w:w="0" w:type="auto"/>
          </w:tcPr>
          <w:p w14:paraId="61A26655"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78</w:t>
            </w:r>
          </w:p>
        </w:tc>
      </w:tr>
    </w:tbl>
    <w:p w14:paraId="69C3FEC7" w14:textId="77777777" w:rsidR="000B54BD" w:rsidRDefault="000B54BD" w:rsidP="000B54BD"/>
    <w:p w14:paraId="1F120996" w14:textId="77777777" w:rsidR="00975531" w:rsidRDefault="00975531" w:rsidP="000B54BD"/>
    <w:p w14:paraId="12068B8C" w14:textId="77777777" w:rsidR="00975531" w:rsidRDefault="00975531" w:rsidP="000B54BD"/>
    <w:p w14:paraId="20243B59" w14:textId="77777777" w:rsidR="000B54BD" w:rsidRDefault="000B54BD" w:rsidP="000B54BD">
      <w:r>
        <w:lastRenderedPageBreak/>
        <w:t>3.</w:t>
      </w:r>
    </w:p>
    <w:tbl>
      <w:tblPr>
        <w:tblStyle w:val="TableGrid"/>
        <w:tblW w:w="0" w:type="auto"/>
        <w:tblLook w:val="04A0" w:firstRow="1" w:lastRow="0" w:firstColumn="1" w:lastColumn="0" w:noHBand="0" w:noVBand="1"/>
      </w:tblPr>
      <w:tblGrid>
        <w:gridCol w:w="3556"/>
        <w:gridCol w:w="1612"/>
        <w:gridCol w:w="1190"/>
        <w:gridCol w:w="651"/>
        <w:gridCol w:w="651"/>
      </w:tblGrid>
      <w:tr w:rsidR="000B54BD" w:rsidRPr="0080133D" w14:paraId="0D6F5CE5" w14:textId="77777777" w:rsidTr="00E97A3B">
        <w:trPr>
          <w:trHeight w:val="340"/>
        </w:trPr>
        <w:tc>
          <w:tcPr>
            <w:tcW w:w="0" w:type="auto"/>
          </w:tcPr>
          <w:p w14:paraId="290595BB" w14:textId="77777777" w:rsidR="000B54BD" w:rsidRPr="00E2705C" w:rsidRDefault="000B54BD" w:rsidP="00E97A3B">
            <w:pPr>
              <w:rPr>
                <w:rFonts w:eastAsia="Times New Roman"/>
                <w:b/>
                <w:sz w:val="18"/>
                <w:szCs w:val="18"/>
                <w:lang w:eastAsia="en-AU"/>
              </w:rPr>
            </w:pPr>
            <w:r w:rsidRPr="00E2705C">
              <w:rPr>
                <w:rFonts w:eastAsia="Times New Roman"/>
                <w:b/>
                <w:sz w:val="18"/>
                <w:szCs w:val="18"/>
                <w:lang w:eastAsia="en-AU"/>
              </w:rPr>
              <w:t xml:space="preserve">Compliance to legislative and </w:t>
            </w:r>
          </w:p>
          <w:p w14:paraId="564DFCF3" w14:textId="77777777" w:rsidR="000B54BD" w:rsidRPr="00E2705C" w:rsidRDefault="000B54BD" w:rsidP="00E97A3B">
            <w:pPr>
              <w:rPr>
                <w:rFonts w:eastAsia="Times New Roman"/>
                <w:b/>
                <w:sz w:val="18"/>
                <w:szCs w:val="18"/>
                <w:lang w:eastAsia="en-AU"/>
              </w:rPr>
            </w:pPr>
            <w:r w:rsidRPr="00E2705C">
              <w:rPr>
                <w:rFonts w:eastAsia="Times New Roman"/>
                <w:b/>
                <w:sz w:val="18"/>
                <w:szCs w:val="18"/>
                <w:lang w:eastAsia="en-AU"/>
              </w:rPr>
              <w:t>DFAT contractual requirements</w:t>
            </w:r>
          </w:p>
        </w:tc>
        <w:tc>
          <w:tcPr>
            <w:tcW w:w="0" w:type="auto"/>
          </w:tcPr>
          <w:p w14:paraId="08EDE433"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 xml:space="preserve">FY </w:t>
            </w:r>
          </w:p>
          <w:p w14:paraId="29583DEA"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15/16</w:t>
            </w:r>
          </w:p>
        </w:tc>
        <w:tc>
          <w:tcPr>
            <w:tcW w:w="0" w:type="auto"/>
          </w:tcPr>
          <w:p w14:paraId="394BF521"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FY</w:t>
            </w:r>
          </w:p>
          <w:p w14:paraId="3207B287"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16/17</w:t>
            </w:r>
          </w:p>
        </w:tc>
        <w:tc>
          <w:tcPr>
            <w:tcW w:w="0" w:type="auto"/>
          </w:tcPr>
          <w:p w14:paraId="6C58C014"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 xml:space="preserve">FY </w:t>
            </w:r>
          </w:p>
          <w:p w14:paraId="23CDB3B5"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17/18</w:t>
            </w:r>
          </w:p>
        </w:tc>
        <w:tc>
          <w:tcPr>
            <w:tcW w:w="0" w:type="auto"/>
          </w:tcPr>
          <w:p w14:paraId="2573E4B9"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 xml:space="preserve">FY </w:t>
            </w:r>
          </w:p>
          <w:p w14:paraId="6A1A48FF"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18/19</w:t>
            </w:r>
          </w:p>
        </w:tc>
      </w:tr>
      <w:tr w:rsidR="000B54BD" w:rsidRPr="0080133D" w14:paraId="1259773B" w14:textId="77777777" w:rsidTr="00E97A3B">
        <w:trPr>
          <w:trHeight w:val="340"/>
        </w:trPr>
        <w:tc>
          <w:tcPr>
            <w:tcW w:w="0" w:type="auto"/>
          </w:tcPr>
          <w:p w14:paraId="044B7325"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 xml:space="preserve">Budget and Statement of Corporate </w:t>
            </w:r>
          </w:p>
          <w:p w14:paraId="5D8CFD86"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 xml:space="preserve">Intent submitted to Minister on time </w:t>
            </w:r>
          </w:p>
          <w:p w14:paraId="04E6E888"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(1 June before new financial year)?</w:t>
            </w:r>
          </w:p>
        </w:tc>
        <w:tc>
          <w:tcPr>
            <w:tcW w:w="0" w:type="auto"/>
            <w:gridSpan w:val="4"/>
          </w:tcPr>
          <w:p w14:paraId="29735DA2"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Submitted on time</w:t>
            </w:r>
          </w:p>
          <w:p w14:paraId="49DBDA7B" w14:textId="77777777" w:rsidR="000B54BD" w:rsidRPr="00E2705C" w:rsidRDefault="000B54BD" w:rsidP="00E97A3B">
            <w:pPr>
              <w:rPr>
                <w:rFonts w:eastAsia="Times New Roman"/>
                <w:sz w:val="18"/>
                <w:szCs w:val="18"/>
                <w:lang w:eastAsia="en-AU"/>
              </w:rPr>
            </w:pPr>
          </w:p>
        </w:tc>
      </w:tr>
      <w:tr w:rsidR="000B54BD" w:rsidRPr="0080133D" w14:paraId="7229D888" w14:textId="77777777" w:rsidTr="00E97A3B">
        <w:trPr>
          <w:trHeight w:val="340"/>
        </w:trPr>
        <w:tc>
          <w:tcPr>
            <w:tcW w:w="0" w:type="auto"/>
          </w:tcPr>
          <w:p w14:paraId="0D3FBE0C"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 xml:space="preserve">Annual Report published on time </w:t>
            </w:r>
          </w:p>
          <w:p w14:paraId="616A7AE5"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(31 March of following financial year)</w:t>
            </w:r>
          </w:p>
        </w:tc>
        <w:tc>
          <w:tcPr>
            <w:tcW w:w="0" w:type="auto"/>
            <w:gridSpan w:val="2"/>
          </w:tcPr>
          <w:p w14:paraId="4CF9874C"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Not yet published</w:t>
            </w:r>
          </w:p>
        </w:tc>
        <w:tc>
          <w:tcPr>
            <w:tcW w:w="0" w:type="auto"/>
            <w:gridSpan w:val="2"/>
          </w:tcPr>
          <w:p w14:paraId="1BC83BDD"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Not yet due</w:t>
            </w:r>
          </w:p>
          <w:p w14:paraId="6BAD4B2C" w14:textId="77777777" w:rsidR="000B54BD" w:rsidRPr="00E2705C" w:rsidRDefault="000B54BD" w:rsidP="00E97A3B">
            <w:pPr>
              <w:rPr>
                <w:rFonts w:eastAsia="Times New Roman"/>
                <w:sz w:val="18"/>
                <w:szCs w:val="18"/>
                <w:lang w:eastAsia="en-AU"/>
              </w:rPr>
            </w:pPr>
          </w:p>
        </w:tc>
      </w:tr>
      <w:tr w:rsidR="000B54BD" w:rsidRPr="0080133D" w14:paraId="0041DA79" w14:textId="77777777" w:rsidTr="00E97A3B">
        <w:trPr>
          <w:trHeight w:val="340"/>
        </w:trPr>
        <w:tc>
          <w:tcPr>
            <w:tcW w:w="0" w:type="auto"/>
            <w:shd w:val="clear" w:color="auto" w:fill="auto"/>
          </w:tcPr>
          <w:p w14:paraId="4A64DBDB"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 xml:space="preserve">Audit of accounts conducted on time </w:t>
            </w:r>
          </w:p>
          <w:p w14:paraId="1A53438B"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(31 December of following financial year)? (1)</w:t>
            </w:r>
          </w:p>
        </w:tc>
        <w:tc>
          <w:tcPr>
            <w:tcW w:w="0" w:type="auto"/>
            <w:shd w:val="clear" w:color="auto" w:fill="auto"/>
          </w:tcPr>
          <w:p w14:paraId="0752DCF4"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Completed Sept 17</w:t>
            </w:r>
          </w:p>
        </w:tc>
        <w:tc>
          <w:tcPr>
            <w:tcW w:w="0" w:type="auto"/>
            <w:shd w:val="clear" w:color="auto" w:fill="auto"/>
          </w:tcPr>
          <w:p w14:paraId="10F32BA0" w14:textId="77777777" w:rsidR="000B54BD" w:rsidRDefault="000B54BD" w:rsidP="00E97A3B">
            <w:pPr>
              <w:rPr>
                <w:rFonts w:eastAsia="Times New Roman"/>
                <w:sz w:val="18"/>
                <w:szCs w:val="18"/>
                <w:lang w:eastAsia="en-AU"/>
              </w:rPr>
            </w:pPr>
            <w:r w:rsidRPr="00E2705C">
              <w:rPr>
                <w:rFonts w:eastAsia="Times New Roman"/>
                <w:sz w:val="18"/>
                <w:szCs w:val="18"/>
                <w:lang w:eastAsia="en-AU"/>
              </w:rPr>
              <w:t xml:space="preserve">Completed, </w:t>
            </w:r>
          </w:p>
          <w:p w14:paraId="5BDD4854" w14:textId="77777777" w:rsidR="000B54BD" w:rsidRDefault="000B54BD" w:rsidP="00E97A3B">
            <w:pPr>
              <w:rPr>
                <w:rFonts w:eastAsia="Times New Roman"/>
                <w:sz w:val="18"/>
                <w:szCs w:val="18"/>
                <w:lang w:eastAsia="en-AU"/>
              </w:rPr>
            </w:pPr>
            <w:r w:rsidRPr="00E2705C">
              <w:rPr>
                <w:rFonts w:eastAsia="Times New Roman"/>
                <w:sz w:val="18"/>
                <w:szCs w:val="18"/>
                <w:lang w:eastAsia="en-AU"/>
              </w:rPr>
              <w:t>awa</w:t>
            </w:r>
            <w:r>
              <w:rPr>
                <w:rFonts w:eastAsia="Times New Roman"/>
                <w:sz w:val="18"/>
                <w:szCs w:val="18"/>
                <w:lang w:eastAsia="en-AU"/>
              </w:rPr>
              <w:t>i</w:t>
            </w:r>
            <w:r w:rsidRPr="00E2705C">
              <w:rPr>
                <w:rFonts w:eastAsia="Times New Roman"/>
                <w:sz w:val="18"/>
                <w:szCs w:val="18"/>
                <w:lang w:eastAsia="en-AU"/>
              </w:rPr>
              <w:t xml:space="preserve">ting </w:t>
            </w:r>
          </w:p>
          <w:p w14:paraId="532CA8FD" w14:textId="77777777" w:rsidR="000B54BD" w:rsidRDefault="000B54BD" w:rsidP="00E97A3B">
            <w:pPr>
              <w:rPr>
                <w:rFonts w:eastAsia="Times New Roman"/>
                <w:sz w:val="18"/>
                <w:szCs w:val="18"/>
                <w:lang w:eastAsia="en-AU"/>
              </w:rPr>
            </w:pPr>
            <w:r w:rsidRPr="00E2705C">
              <w:rPr>
                <w:rFonts w:eastAsia="Times New Roman"/>
                <w:sz w:val="18"/>
                <w:szCs w:val="18"/>
                <w:lang w:eastAsia="en-AU"/>
              </w:rPr>
              <w:t xml:space="preserve">management </w:t>
            </w:r>
          </w:p>
          <w:p w14:paraId="735BD004"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letter</w:t>
            </w:r>
          </w:p>
        </w:tc>
        <w:tc>
          <w:tcPr>
            <w:tcW w:w="0" w:type="auto"/>
            <w:gridSpan w:val="2"/>
            <w:shd w:val="clear" w:color="auto" w:fill="auto"/>
          </w:tcPr>
          <w:p w14:paraId="24482F0D" w14:textId="77777777" w:rsidR="000B54BD" w:rsidRPr="00E2705C" w:rsidRDefault="000B54BD" w:rsidP="00E97A3B">
            <w:pPr>
              <w:rPr>
                <w:rFonts w:eastAsia="Times New Roman"/>
                <w:sz w:val="18"/>
                <w:szCs w:val="18"/>
                <w:lang w:eastAsia="en-AU"/>
              </w:rPr>
            </w:pPr>
            <w:r w:rsidRPr="00E2705C">
              <w:rPr>
                <w:rFonts w:eastAsia="Times New Roman"/>
                <w:sz w:val="18"/>
                <w:szCs w:val="18"/>
                <w:lang w:eastAsia="en-AU"/>
              </w:rPr>
              <w:t>Not yet due</w:t>
            </w:r>
          </w:p>
        </w:tc>
      </w:tr>
    </w:tbl>
    <w:p w14:paraId="7966F1C6" w14:textId="77777777" w:rsidR="000B54BD" w:rsidRDefault="000B54BD" w:rsidP="000B54BD"/>
    <w:p w14:paraId="7D56445F" w14:textId="77777777" w:rsidR="000B54BD" w:rsidRPr="00124654" w:rsidRDefault="000B54BD" w:rsidP="000B54BD">
      <w:r>
        <w:t>4.</w:t>
      </w:r>
    </w:p>
    <w:tbl>
      <w:tblPr>
        <w:tblStyle w:val="TableGrid"/>
        <w:tblW w:w="0" w:type="auto"/>
        <w:tblLayout w:type="fixed"/>
        <w:tblLook w:val="04A0" w:firstRow="1" w:lastRow="0" w:firstColumn="1" w:lastColumn="0" w:noHBand="0" w:noVBand="1"/>
      </w:tblPr>
      <w:tblGrid>
        <w:gridCol w:w="2655"/>
        <w:gridCol w:w="876"/>
        <w:gridCol w:w="876"/>
        <w:gridCol w:w="876"/>
        <w:gridCol w:w="1261"/>
      </w:tblGrid>
      <w:tr w:rsidR="000B54BD" w:rsidRPr="00E45020" w14:paraId="557FA5BF" w14:textId="77777777" w:rsidTr="00E97A3B">
        <w:trPr>
          <w:trHeight w:val="340"/>
        </w:trPr>
        <w:tc>
          <w:tcPr>
            <w:tcW w:w="2655" w:type="dxa"/>
          </w:tcPr>
          <w:p w14:paraId="7189DA15"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Timely disbursal of grant funds</w:t>
            </w:r>
          </w:p>
        </w:tc>
        <w:tc>
          <w:tcPr>
            <w:tcW w:w="876" w:type="dxa"/>
          </w:tcPr>
          <w:p w14:paraId="50805548"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15/16</w:t>
            </w:r>
          </w:p>
        </w:tc>
        <w:tc>
          <w:tcPr>
            <w:tcW w:w="876" w:type="dxa"/>
          </w:tcPr>
          <w:p w14:paraId="66549C85"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16/17</w:t>
            </w:r>
          </w:p>
        </w:tc>
        <w:tc>
          <w:tcPr>
            <w:tcW w:w="876" w:type="dxa"/>
          </w:tcPr>
          <w:p w14:paraId="570593B3"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17/18</w:t>
            </w:r>
          </w:p>
        </w:tc>
        <w:tc>
          <w:tcPr>
            <w:tcW w:w="1261" w:type="dxa"/>
          </w:tcPr>
          <w:p w14:paraId="0C001DC3"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18/19</w:t>
            </w:r>
          </w:p>
          <w:p w14:paraId="7B826C3F"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To date</w:t>
            </w:r>
          </w:p>
        </w:tc>
      </w:tr>
      <w:tr w:rsidR="000B54BD" w:rsidRPr="00E45020" w14:paraId="7AB1201C" w14:textId="77777777" w:rsidTr="00E97A3B">
        <w:trPr>
          <w:trHeight w:val="340"/>
        </w:trPr>
        <w:tc>
          <w:tcPr>
            <w:tcW w:w="2655" w:type="dxa"/>
          </w:tcPr>
          <w:p w14:paraId="1D0669C7"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xml:space="preserve">TongaHealth grant funds actually </w:t>
            </w:r>
          </w:p>
          <w:p w14:paraId="1A14C585"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disbursed on time (by end June)</w:t>
            </w:r>
          </w:p>
        </w:tc>
        <w:tc>
          <w:tcPr>
            <w:tcW w:w="876" w:type="dxa"/>
          </w:tcPr>
          <w:p w14:paraId="29EA4B12" w14:textId="77777777" w:rsidR="000B54BD" w:rsidRPr="00E45020" w:rsidRDefault="000B54BD" w:rsidP="00E97A3B">
            <w:pPr>
              <w:rPr>
                <w:rFonts w:eastAsia="Times New Roman"/>
                <w:sz w:val="18"/>
                <w:szCs w:val="18"/>
                <w:lang w:eastAsia="en-AU"/>
              </w:rPr>
            </w:pPr>
          </w:p>
        </w:tc>
        <w:tc>
          <w:tcPr>
            <w:tcW w:w="876" w:type="dxa"/>
          </w:tcPr>
          <w:p w14:paraId="1C4EBD85" w14:textId="77777777" w:rsidR="000B54BD" w:rsidRPr="00E45020" w:rsidRDefault="000B54BD" w:rsidP="00E97A3B">
            <w:pPr>
              <w:rPr>
                <w:rFonts w:eastAsia="Times New Roman"/>
                <w:sz w:val="18"/>
                <w:szCs w:val="18"/>
                <w:lang w:eastAsia="en-AU"/>
              </w:rPr>
            </w:pPr>
          </w:p>
        </w:tc>
        <w:tc>
          <w:tcPr>
            <w:tcW w:w="876" w:type="dxa"/>
          </w:tcPr>
          <w:p w14:paraId="13C951D7" w14:textId="77777777" w:rsidR="000B54BD" w:rsidRPr="00E45020" w:rsidRDefault="000B54BD" w:rsidP="00E97A3B">
            <w:pPr>
              <w:rPr>
                <w:rFonts w:eastAsia="Times New Roman"/>
                <w:sz w:val="18"/>
                <w:szCs w:val="18"/>
                <w:lang w:eastAsia="en-AU"/>
              </w:rPr>
            </w:pPr>
          </w:p>
        </w:tc>
        <w:tc>
          <w:tcPr>
            <w:tcW w:w="1261" w:type="dxa"/>
            <w:vMerge w:val="restart"/>
          </w:tcPr>
          <w:p w14:paraId="2D555343"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As of 21.11.18</w:t>
            </w:r>
          </w:p>
          <w:p w14:paraId="3D6806FC"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xml:space="preserve">grant funds </w:t>
            </w:r>
          </w:p>
          <w:p w14:paraId="5AE0BCA0"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not recd.</w:t>
            </w:r>
          </w:p>
        </w:tc>
      </w:tr>
      <w:tr w:rsidR="000B54BD" w:rsidRPr="00E45020" w14:paraId="3DE18729" w14:textId="77777777" w:rsidTr="00E97A3B">
        <w:trPr>
          <w:trHeight w:val="340"/>
        </w:trPr>
        <w:tc>
          <w:tcPr>
            <w:tcW w:w="2655" w:type="dxa"/>
          </w:tcPr>
          <w:p w14:paraId="7829D824"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xml:space="preserve">Total TongaHealth grant funds </w:t>
            </w:r>
          </w:p>
          <w:p w14:paraId="7855D496"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disbursable</w:t>
            </w:r>
          </w:p>
        </w:tc>
        <w:tc>
          <w:tcPr>
            <w:tcW w:w="876" w:type="dxa"/>
          </w:tcPr>
          <w:p w14:paraId="0FC973E8" w14:textId="77777777" w:rsidR="000B54BD" w:rsidRPr="00E45020" w:rsidRDefault="000B54BD" w:rsidP="00E97A3B">
            <w:pPr>
              <w:rPr>
                <w:rFonts w:eastAsia="Times New Roman"/>
                <w:sz w:val="18"/>
                <w:szCs w:val="18"/>
                <w:lang w:eastAsia="en-AU"/>
              </w:rPr>
            </w:pPr>
          </w:p>
        </w:tc>
        <w:tc>
          <w:tcPr>
            <w:tcW w:w="876" w:type="dxa"/>
          </w:tcPr>
          <w:p w14:paraId="3E705709" w14:textId="77777777" w:rsidR="000B54BD" w:rsidRPr="00E45020" w:rsidRDefault="000B54BD" w:rsidP="00E97A3B">
            <w:pPr>
              <w:rPr>
                <w:rFonts w:eastAsia="Times New Roman"/>
                <w:sz w:val="18"/>
                <w:szCs w:val="18"/>
                <w:lang w:eastAsia="en-AU"/>
              </w:rPr>
            </w:pPr>
          </w:p>
        </w:tc>
        <w:tc>
          <w:tcPr>
            <w:tcW w:w="876" w:type="dxa"/>
          </w:tcPr>
          <w:p w14:paraId="76C7C03E" w14:textId="77777777" w:rsidR="000B54BD" w:rsidRPr="00E45020" w:rsidRDefault="000B54BD" w:rsidP="00E97A3B">
            <w:pPr>
              <w:rPr>
                <w:rFonts w:eastAsia="Times New Roman"/>
                <w:sz w:val="18"/>
                <w:szCs w:val="18"/>
                <w:lang w:eastAsia="en-AU"/>
              </w:rPr>
            </w:pPr>
          </w:p>
        </w:tc>
        <w:tc>
          <w:tcPr>
            <w:tcW w:w="1261" w:type="dxa"/>
            <w:vMerge/>
          </w:tcPr>
          <w:p w14:paraId="682711C4" w14:textId="77777777" w:rsidR="000B54BD" w:rsidRPr="00E45020" w:rsidRDefault="000B54BD" w:rsidP="00E97A3B">
            <w:pPr>
              <w:rPr>
                <w:rFonts w:eastAsia="Times New Roman"/>
                <w:sz w:val="18"/>
                <w:szCs w:val="18"/>
                <w:lang w:eastAsia="en-AU"/>
              </w:rPr>
            </w:pPr>
          </w:p>
        </w:tc>
      </w:tr>
      <w:tr w:rsidR="000B54BD" w:rsidRPr="00E45020" w14:paraId="234C9376" w14:textId="77777777" w:rsidTr="00E97A3B">
        <w:trPr>
          <w:trHeight w:val="340"/>
        </w:trPr>
        <w:tc>
          <w:tcPr>
            <w:tcW w:w="2655" w:type="dxa"/>
          </w:tcPr>
          <w:p w14:paraId="100B0C82"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disbursed on time/ disbursable</w:t>
            </w:r>
          </w:p>
        </w:tc>
        <w:tc>
          <w:tcPr>
            <w:tcW w:w="876" w:type="dxa"/>
          </w:tcPr>
          <w:p w14:paraId="12EB9E30"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70%</w:t>
            </w:r>
          </w:p>
        </w:tc>
        <w:tc>
          <w:tcPr>
            <w:tcW w:w="876" w:type="dxa"/>
          </w:tcPr>
          <w:p w14:paraId="74204B6F"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70%</w:t>
            </w:r>
          </w:p>
        </w:tc>
        <w:tc>
          <w:tcPr>
            <w:tcW w:w="876" w:type="dxa"/>
          </w:tcPr>
          <w:p w14:paraId="15FAE3C7"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Not known</w:t>
            </w:r>
          </w:p>
        </w:tc>
        <w:tc>
          <w:tcPr>
            <w:tcW w:w="1261" w:type="dxa"/>
            <w:vMerge/>
          </w:tcPr>
          <w:p w14:paraId="550105E9" w14:textId="77777777" w:rsidR="000B54BD" w:rsidRPr="00E45020" w:rsidRDefault="000B54BD" w:rsidP="00E97A3B">
            <w:pPr>
              <w:rPr>
                <w:rFonts w:eastAsia="Times New Roman"/>
                <w:sz w:val="18"/>
                <w:szCs w:val="18"/>
                <w:lang w:eastAsia="en-AU"/>
              </w:rPr>
            </w:pPr>
          </w:p>
        </w:tc>
      </w:tr>
    </w:tbl>
    <w:p w14:paraId="4BC1EB36" w14:textId="77777777" w:rsidR="000B54BD" w:rsidRDefault="000B54BD" w:rsidP="000B54BD"/>
    <w:p w14:paraId="69694C2F" w14:textId="77777777" w:rsidR="000B54BD" w:rsidRPr="00124654" w:rsidRDefault="000B54BD" w:rsidP="000B54BD">
      <w:r>
        <w:t>5.</w:t>
      </w:r>
    </w:p>
    <w:tbl>
      <w:tblPr>
        <w:tblStyle w:val="TableGrid"/>
        <w:tblW w:w="0" w:type="auto"/>
        <w:tblLook w:val="04A0" w:firstRow="1" w:lastRow="0" w:firstColumn="1" w:lastColumn="0" w:noHBand="0" w:noVBand="1"/>
      </w:tblPr>
      <w:tblGrid>
        <w:gridCol w:w="2750"/>
        <w:gridCol w:w="876"/>
        <w:gridCol w:w="2228"/>
        <w:gridCol w:w="3817"/>
        <w:gridCol w:w="2228"/>
      </w:tblGrid>
      <w:tr w:rsidR="000B54BD" w:rsidRPr="00E45020" w14:paraId="29A52ADE" w14:textId="77777777" w:rsidTr="00E97A3B">
        <w:trPr>
          <w:trHeight w:val="340"/>
        </w:trPr>
        <w:tc>
          <w:tcPr>
            <w:tcW w:w="0" w:type="auto"/>
          </w:tcPr>
          <w:p w14:paraId="079C918D"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Compliance with financial policies</w:t>
            </w:r>
          </w:p>
        </w:tc>
        <w:tc>
          <w:tcPr>
            <w:tcW w:w="0" w:type="auto"/>
          </w:tcPr>
          <w:p w14:paraId="1C8885F9"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14/15</w:t>
            </w:r>
          </w:p>
        </w:tc>
        <w:tc>
          <w:tcPr>
            <w:tcW w:w="0" w:type="auto"/>
          </w:tcPr>
          <w:p w14:paraId="3C885A54"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15/16</w:t>
            </w:r>
          </w:p>
        </w:tc>
        <w:tc>
          <w:tcPr>
            <w:tcW w:w="0" w:type="auto"/>
          </w:tcPr>
          <w:p w14:paraId="55FE1D2F"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16/17</w:t>
            </w:r>
          </w:p>
        </w:tc>
        <w:tc>
          <w:tcPr>
            <w:tcW w:w="0" w:type="auto"/>
          </w:tcPr>
          <w:p w14:paraId="10B277A8"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17/18</w:t>
            </w:r>
          </w:p>
        </w:tc>
      </w:tr>
      <w:tr w:rsidR="000B54BD" w:rsidRPr="00E45020" w14:paraId="51C63F6A" w14:textId="77777777" w:rsidTr="00E97A3B">
        <w:trPr>
          <w:trHeight w:val="340"/>
        </w:trPr>
        <w:tc>
          <w:tcPr>
            <w:tcW w:w="0" w:type="auto"/>
          </w:tcPr>
          <w:p w14:paraId="406A6163"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xml:space="preserve">Number of non-compliances to </w:t>
            </w:r>
          </w:p>
          <w:p w14:paraId="4C26EB88"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financial policies</w:t>
            </w:r>
          </w:p>
        </w:tc>
        <w:tc>
          <w:tcPr>
            <w:tcW w:w="0" w:type="auto"/>
          </w:tcPr>
          <w:p w14:paraId="0C268EB6"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2</w:t>
            </w:r>
          </w:p>
        </w:tc>
        <w:tc>
          <w:tcPr>
            <w:tcW w:w="0" w:type="auto"/>
          </w:tcPr>
          <w:p w14:paraId="3E3D887A"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With the Minister of Health</w:t>
            </w:r>
          </w:p>
        </w:tc>
        <w:tc>
          <w:tcPr>
            <w:tcW w:w="0" w:type="auto"/>
          </w:tcPr>
          <w:p w14:paraId="59A9782D"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Should be available last week of November 2018.</w:t>
            </w:r>
          </w:p>
        </w:tc>
        <w:tc>
          <w:tcPr>
            <w:tcW w:w="0" w:type="auto"/>
          </w:tcPr>
          <w:p w14:paraId="5574379B"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Not yet available</w:t>
            </w:r>
          </w:p>
          <w:p w14:paraId="6686064E"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xml:space="preserve">Waiting on TongaHealth </w:t>
            </w:r>
          </w:p>
          <w:p w14:paraId="3EACC5BD"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xml:space="preserve">Board to clear. </w:t>
            </w:r>
          </w:p>
          <w:p w14:paraId="052AB09E"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Aiming for December 2018.</w:t>
            </w:r>
          </w:p>
        </w:tc>
      </w:tr>
    </w:tbl>
    <w:p w14:paraId="3D7BB12E" w14:textId="77777777" w:rsidR="000B54BD" w:rsidRDefault="000B54BD" w:rsidP="000B54BD"/>
    <w:p w14:paraId="4D490C39" w14:textId="77777777" w:rsidR="00975531" w:rsidRDefault="00975531" w:rsidP="000B54BD"/>
    <w:p w14:paraId="0666D0BC" w14:textId="77777777" w:rsidR="00975531" w:rsidRDefault="00975531" w:rsidP="000B54BD"/>
    <w:p w14:paraId="31627099" w14:textId="77777777" w:rsidR="000B54BD" w:rsidRDefault="000B54BD" w:rsidP="000B54BD">
      <w:r>
        <w:lastRenderedPageBreak/>
        <w:t>19.</w:t>
      </w:r>
    </w:p>
    <w:tbl>
      <w:tblPr>
        <w:tblStyle w:val="TableGrid"/>
        <w:tblW w:w="0" w:type="auto"/>
        <w:tblLook w:val="04A0" w:firstRow="1" w:lastRow="0" w:firstColumn="1" w:lastColumn="0" w:noHBand="0" w:noVBand="1"/>
      </w:tblPr>
      <w:tblGrid>
        <w:gridCol w:w="1786"/>
        <w:gridCol w:w="945"/>
        <w:gridCol w:w="945"/>
        <w:gridCol w:w="945"/>
        <w:gridCol w:w="945"/>
      </w:tblGrid>
      <w:tr w:rsidR="000B54BD" w:rsidRPr="00E45020" w14:paraId="6D15FFB9" w14:textId="77777777" w:rsidTr="00E97A3B">
        <w:trPr>
          <w:trHeight w:val="340"/>
        </w:trPr>
        <w:tc>
          <w:tcPr>
            <w:tcW w:w="0" w:type="auto"/>
          </w:tcPr>
          <w:p w14:paraId="28866F2E" w14:textId="77777777" w:rsidR="000B54BD" w:rsidRPr="00E45020" w:rsidRDefault="000B54BD" w:rsidP="00E97A3B">
            <w:pPr>
              <w:rPr>
                <w:b/>
                <w:sz w:val="18"/>
                <w:szCs w:val="18"/>
              </w:rPr>
            </w:pPr>
            <w:r w:rsidRPr="00E45020">
              <w:rPr>
                <w:b/>
                <w:sz w:val="18"/>
                <w:szCs w:val="18"/>
              </w:rPr>
              <w:t xml:space="preserve">Funding available for </w:t>
            </w:r>
          </w:p>
          <w:p w14:paraId="48640A22" w14:textId="77777777" w:rsidR="000B54BD" w:rsidRPr="00E45020" w:rsidRDefault="000B54BD" w:rsidP="00E97A3B">
            <w:pPr>
              <w:rPr>
                <w:b/>
                <w:sz w:val="18"/>
                <w:szCs w:val="18"/>
              </w:rPr>
            </w:pPr>
            <w:r w:rsidRPr="00E45020">
              <w:rPr>
                <w:b/>
                <w:sz w:val="18"/>
                <w:szCs w:val="18"/>
              </w:rPr>
              <w:t xml:space="preserve">NCD prevention and </w:t>
            </w:r>
          </w:p>
          <w:p w14:paraId="40E58CB3" w14:textId="77777777" w:rsidR="000B54BD" w:rsidRPr="00E45020" w:rsidRDefault="000B54BD" w:rsidP="00E97A3B">
            <w:pPr>
              <w:rPr>
                <w:b/>
                <w:sz w:val="18"/>
                <w:szCs w:val="18"/>
              </w:rPr>
            </w:pPr>
            <w:r w:rsidRPr="00E45020">
              <w:rPr>
                <w:b/>
                <w:sz w:val="18"/>
                <w:szCs w:val="18"/>
              </w:rPr>
              <w:t>control</w:t>
            </w:r>
          </w:p>
        </w:tc>
        <w:tc>
          <w:tcPr>
            <w:tcW w:w="0" w:type="auto"/>
          </w:tcPr>
          <w:p w14:paraId="41537A68" w14:textId="77777777" w:rsidR="000B54BD" w:rsidRPr="00E45020" w:rsidRDefault="000B54BD" w:rsidP="00E97A3B">
            <w:pPr>
              <w:rPr>
                <w:b/>
                <w:sz w:val="18"/>
                <w:szCs w:val="18"/>
              </w:rPr>
            </w:pPr>
            <w:r w:rsidRPr="00E45020">
              <w:rPr>
                <w:b/>
                <w:sz w:val="18"/>
                <w:szCs w:val="18"/>
              </w:rPr>
              <w:t xml:space="preserve">FY 15/16 </w:t>
            </w:r>
          </w:p>
        </w:tc>
        <w:tc>
          <w:tcPr>
            <w:tcW w:w="0" w:type="auto"/>
          </w:tcPr>
          <w:p w14:paraId="3A8BB748" w14:textId="77777777" w:rsidR="000B54BD" w:rsidRPr="00E45020" w:rsidRDefault="000B54BD" w:rsidP="00E97A3B">
            <w:pPr>
              <w:rPr>
                <w:b/>
                <w:sz w:val="18"/>
                <w:szCs w:val="18"/>
              </w:rPr>
            </w:pPr>
            <w:r w:rsidRPr="00E45020">
              <w:rPr>
                <w:b/>
                <w:sz w:val="18"/>
                <w:szCs w:val="18"/>
              </w:rPr>
              <w:t>FY 16/17</w:t>
            </w:r>
          </w:p>
        </w:tc>
        <w:tc>
          <w:tcPr>
            <w:tcW w:w="0" w:type="auto"/>
          </w:tcPr>
          <w:p w14:paraId="1D031448" w14:textId="77777777" w:rsidR="000B54BD" w:rsidRPr="00E45020" w:rsidRDefault="000B54BD" w:rsidP="00E97A3B">
            <w:pPr>
              <w:rPr>
                <w:b/>
                <w:sz w:val="18"/>
                <w:szCs w:val="18"/>
              </w:rPr>
            </w:pPr>
            <w:r w:rsidRPr="00E45020">
              <w:rPr>
                <w:b/>
                <w:sz w:val="18"/>
                <w:szCs w:val="18"/>
              </w:rPr>
              <w:t>FY 17/18</w:t>
            </w:r>
          </w:p>
        </w:tc>
        <w:tc>
          <w:tcPr>
            <w:tcW w:w="0" w:type="auto"/>
          </w:tcPr>
          <w:p w14:paraId="1A2DE0CE" w14:textId="77777777" w:rsidR="000B54BD" w:rsidRPr="00E45020" w:rsidRDefault="000B54BD" w:rsidP="00E97A3B">
            <w:pPr>
              <w:rPr>
                <w:b/>
                <w:sz w:val="18"/>
                <w:szCs w:val="18"/>
              </w:rPr>
            </w:pPr>
            <w:r w:rsidRPr="00E45020">
              <w:rPr>
                <w:b/>
                <w:sz w:val="18"/>
                <w:szCs w:val="18"/>
              </w:rPr>
              <w:t>FY 18/19</w:t>
            </w:r>
          </w:p>
        </w:tc>
      </w:tr>
      <w:tr w:rsidR="000B54BD" w:rsidRPr="00E45020" w14:paraId="242800F5" w14:textId="77777777" w:rsidTr="00E97A3B">
        <w:trPr>
          <w:trHeight w:val="340"/>
        </w:trPr>
        <w:tc>
          <w:tcPr>
            <w:tcW w:w="0" w:type="auto"/>
          </w:tcPr>
          <w:p w14:paraId="00004197" w14:textId="77777777" w:rsidR="000B54BD" w:rsidRPr="00E45020" w:rsidRDefault="000B54BD" w:rsidP="00E97A3B">
            <w:pPr>
              <w:rPr>
                <w:sz w:val="18"/>
                <w:szCs w:val="18"/>
              </w:rPr>
            </w:pPr>
            <w:r w:rsidRPr="00E45020">
              <w:rPr>
                <w:sz w:val="18"/>
                <w:szCs w:val="18"/>
              </w:rPr>
              <w:t>Government funding</w:t>
            </w:r>
          </w:p>
        </w:tc>
        <w:tc>
          <w:tcPr>
            <w:tcW w:w="0" w:type="auto"/>
          </w:tcPr>
          <w:p w14:paraId="24E0E831" w14:textId="77777777" w:rsidR="000B54BD" w:rsidRPr="00E45020" w:rsidRDefault="000B54BD" w:rsidP="00E97A3B">
            <w:pPr>
              <w:jc w:val="right"/>
              <w:rPr>
                <w:sz w:val="18"/>
                <w:szCs w:val="18"/>
              </w:rPr>
            </w:pPr>
            <w:r w:rsidRPr="00E45020">
              <w:rPr>
                <w:sz w:val="18"/>
                <w:szCs w:val="18"/>
              </w:rPr>
              <w:t>688,108</w:t>
            </w:r>
          </w:p>
        </w:tc>
        <w:tc>
          <w:tcPr>
            <w:tcW w:w="0" w:type="auto"/>
          </w:tcPr>
          <w:p w14:paraId="63386B54" w14:textId="77777777" w:rsidR="000B54BD" w:rsidRPr="00E45020" w:rsidRDefault="000B54BD" w:rsidP="00E97A3B">
            <w:pPr>
              <w:jc w:val="right"/>
              <w:rPr>
                <w:sz w:val="18"/>
                <w:szCs w:val="18"/>
              </w:rPr>
            </w:pPr>
            <w:r w:rsidRPr="00E45020">
              <w:rPr>
                <w:sz w:val="18"/>
                <w:szCs w:val="18"/>
              </w:rPr>
              <w:t>500,000</w:t>
            </w:r>
          </w:p>
        </w:tc>
        <w:tc>
          <w:tcPr>
            <w:tcW w:w="0" w:type="auto"/>
          </w:tcPr>
          <w:p w14:paraId="067A60BE" w14:textId="77777777" w:rsidR="000B54BD" w:rsidRPr="00E45020" w:rsidRDefault="000B54BD" w:rsidP="00E97A3B">
            <w:pPr>
              <w:jc w:val="right"/>
              <w:rPr>
                <w:sz w:val="18"/>
                <w:szCs w:val="18"/>
              </w:rPr>
            </w:pPr>
            <w:r w:rsidRPr="00E45020">
              <w:rPr>
                <w:sz w:val="18"/>
                <w:szCs w:val="18"/>
              </w:rPr>
              <w:t>600,000</w:t>
            </w:r>
          </w:p>
        </w:tc>
        <w:tc>
          <w:tcPr>
            <w:tcW w:w="0" w:type="auto"/>
          </w:tcPr>
          <w:p w14:paraId="1FDE09BB" w14:textId="77777777" w:rsidR="000B54BD" w:rsidRPr="00E45020" w:rsidRDefault="000B54BD" w:rsidP="00E97A3B">
            <w:pPr>
              <w:jc w:val="right"/>
              <w:rPr>
                <w:sz w:val="18"/>
                <w:szCs w:val="18"/>
              </w:rPr>
            </w:pPr>
            <w:r w:rsidRPr="00E45020">
              <w:rPr>
                <w:sz w:val="18"/>
                <w:szCs w:val="18"/>
              </w:rPr>
              <w:t>700,000</w:t>
            </w:r>
          </w:p>
        </w:tc>
      </w:tr>
      <w:tr w:rsidR="000B54BD" w:rsidRPr="00E45020" w14:paraId="63BEB5C0" w14:textId="77777777" w:rsidTr="00E97A3B">
        <w:trPr>
          <w:trHeight w:val="340"/>
        </w:trPr>
        <w:tc>
          <w:tcPr>
            <w:tcW w:w="0" w:type="auto"/>
          </w:tcPr>
          <w:p w14:paraId="2DB98F6C" w14:textId="77777777" w:rsidR="000B54BD" w:rsidRPr="00E45020" w:rsidRDefault="000B54BD" w:rsidP="00E97A3B">
            <w:pPr>
              <w:rPr>
                <w:sz w:val="18"/>
                <w:szCs w:val="18"/>
              </w:rPr>
            </w:pPr>
            <w:r w:rsidRPr="00E45020">
              <w:rPr>
                <w:sz w:val="18"/>
                <w:szCs w:val="18"/>
              </w:rPr>
              <w:t>DFAT funding</w:t>
            </w:r>
          </w:p>
        </w:tc>
        <w:tc>
          <w:tcPr>
            <w:tcW w:w="0" w:type="auto"/>
          </w:tcPr>
          <w:p w14:paraId="42BFE299" w14:textId="77777777" w:rsidR="000B54BD" w:rsidRPr="00E45020" w:rsidRDefault="000B54BD" w:rsidP="00E97A3B">
            <w:pPr>
              <w:jc w:val="right"/>
              <w:rPr>
                <w:sz w:val="18"/>
                <w:szCs w:val="18"/>
              </w:rPr>
            </w:pPr>
            <w:r w:rsidRPr="00E45020">
              <w:rPr>
                <w:sz w:val="18"/>
                <w:szCs w:val="18"/>
              </w:rPr>
              <w:t>1,127,372</w:t>
            </w:r>
          </w:p>
        </w:tc>
        <w:tc>
          <w:tcPr>
            <w:tcW w:w="0" w:type="auto"/>
          </w:tcPr>
          <w:p w14:paraId="5664E28B" w14:textId="77777777" w:rsidR="000B54BD" w:rsidRPr="00E45020" w:rsidRDefault="000B54BD" w:rsidP="00E97A3B">
            <w:pPr>
              <w:jc w:val="right"/>
              <w:rPr>
                <w:sz w:val="18"/>
                <w:szCs w:val="18"/>
              </w:rPr>
            </w:pPr>
            <w:r w:rsidRPr="00E45020">
              <w:rPr>
                <w:sz w:val="18"/>
                <w:szCs w:val="18"/>
              </w:rPr>
              <w:t>638,917</w:t>
            </w:r>
          </w:p>
        </w:tc>
        <w:tc>
          <w:tcPr>
            <w:tcW w:w="0" w:type="auto"/>
          </w:tcPr>
          <w:p w14:paraId="7753DBF7" w14:textId="77777777" w:rsidR="000B54BD" w:rsidRPr="00E45020" w:rsidRDefault="000B54BD" w:rsidP="00E97A3B">
            <w:pPr>
              <w:jc w:val="right"/>
              <w:rPr>
                <w:sz w:val="18"/>
                <w:szCs w:val="18"/>
              </w:rPr>
            </w:pPr>
            <w:r w:rsidRPr="00E45020">
              <w:rPr>
                <w:sz w:val="18"/>
                <w:szCs w:val="18"/>
              </w:rPr>
              <w:t>674,472</w:t>
            </w:r>
          </w:p>
        </w:tc>
        <w:tc>
          <w:tcPr>
            <w:tcW w:w="0" w:type="auto"/>
          </w:tcPr>
          <w:p w14:paraId="672A7B07" w14:textId="77777777" w:rsidR="000B54BD" w:rsidRPr="00E45020" w:rsidRDefault="000B54BD" w:rsidP="00E97A3B">
            <w:pPr>
              <w:jc w:val="right"/>
              <w:rPr>
                <w:sz w:val="18"/>
                <w:szCs w:val="18"/>
              </w:rPr>
            </w:pPr>
            <w:r w:rsidRPr="00E45020">
              <w:rPr>
                <w:sz w:val="18"/>
                <w:szCs w:val="18"/>
              </w:rPr>
              <w:t>650,000</w:t>
            </w:r>
          </w:p>
        </w:tc>
      </w:tr>
      <w:tr w:rsidR="000B54BD" w:rsidRPr="00E45020" w14:paraId="29C0617D" w14:textId="77777777" w:rsidTr="00E97A3B">
        <w:trPr>
          <w:trHeight w:val="340"/>
        </w:trPr>
        <w:tc>
          <w:tcPr>
            <w:tcW w:w="0" w:type="auto"/>
          </w:tcPr>
          <w:p w14:paraId="264F6A68" w14:textId="77777777" w:rsidR="000B54BD" w:rsidRPr="00E45020" w:rsidRDefault="000B54BD" w:rsidP="00E97A3B">
            <w:pPr>
              <w:rPr>
                <w:sz w:val="18"/>
                <w:szCs w:val="18"/>
              </w:rPr>
            </w:pPr>
            <w:r w:rsidRPr="00E45020">
              <w:rPr>
                <w:sz w:val="18"/>
                <w:szCs w:val="18"/>
              </w:rPr>
              <w:t>Total funding</w:t>
            </w:r>
          </w:p>
        </w:tc>
        <w:tc>
          <w:tcPr>
            <w:tcW w:w="0" w:type="auto"/>
          </w:tcPr>
          <w:p w14:paraId="4FB1E196" w14:textId="77777777" w:rsidR="000B54BD" w:rsidRPr="00E45020" w:rsidRDefault="000B54BD" w:rsidP="00E97A3B">
            <w:pPr>
              <w:jc w:val="right"/>
              <w:rPr>
                <w:sz w:val="18"/>
                <w:szCs w:val="18"/>
              </w:rPr>
            </w:pPr>
            <w:r w:rsidRPr="00E45020">
              <w:rPr>
                <w:sz w:val="18"/>
                <w:szCs w:val="18"/>
              </w:rPr>
              <w:t>1,815,480</w:t>
            </w:r>
          </w:p>
        </w:tc>
        <w:tc>
          <w:tcPr>
            <w:tcW w:w="0" w:type="auto"/>
          </w:tcPr>
          <w:p w14:paraId="76280E1B" w14:textId="77777777" w:rsidR="000B54BD" w:rsidRPr="00E45020" w:rsidRDefault="000B54BD" w:rsidP="00E97A3B">
            <w:pPr>
              <w:jc w:val="right"/>
              <w:rPr>
                <w:sz w:val="18"/>
                <w:szCs w:val="18"/>
              </w:rPr>
            </w:pPr>
            <w:r w:rsidRPr="00E45020">
              <w:rPr>
                <w:sz w:val="18"/>
                <w:szCs w:val="18"/>
              </w:rPr>
              <w:t>1,138,917</w:t>
            </w:r>
          </w:p>
        </w:tc>
        <w:tc>
          <w:tcPr>
            <w:tcW w:w="0" w:type="auto"/>
          </w:tcPr>
          <w:p w14:paraId="79B2211C" w14:textId="77777777" w:rsidR="000B54BD" w:rsidRPr="00E45020" w:rsidRDefault="000B54BD" w:rsidP="00E97A3B">
            <w:pPr>
              <w:jc w:val="right"/>
              <w:rPr>
                <w:sz w:val="18"/>
                <w:szCs w:val="18"/>
              </w:rPr>
            </w:pPr>
            <w:r w:rsidRPr="00E45020">
              <w:rPr>
                <w:sz w:val="18"/>
                <w:szCs w:val="18"/>
              </w:rPr>
              <w:t>1,274,472</w:t>
            </w:r>
          </w:p>
        </w:tc>
        <w:tc>
          <w:tcPr>
            <w:tcW w:w="0" w:type="auto"/>
          </w:tcPr>
          <w:p w14:paraId="41AD2064" w14:textId="77777777" w:rsidR="000B54BD" w:rsidRPr="00E45020" w:rsidRDefault="000B54BD" w:rsidP="00E97A3B">
            <w:pPr>
              <w:jc w:val="right"/>
              <w:rPr>
                <w:sz w:val="18"/>
                <w:szCs w:val="18"/>
              </w:rPr>
            </w:pPr>
            <w:r w:rsidRPr="00E45020">
              <w:rPr>
                <w:sz w:val="18"/>
                <w:szCs w:val="18"/>
              </w:rPr>
              <w:t>1,350,000</w:t>
            </w:r>
          </w:p>
        </w:tc>
      </w:tr>
    </w:tbl>
    <w:p w14:paraId="5468C4FC" w14:textId="77777777" w:rsidR="000B54BD" w:rsidRDefault="000B54BD" w:rsidP="000B54BD"/>
    <w:p w14:paraId="5259E9D0" w14:textId="77777777" w:rsidR="000B54BD" w:rsidRDefault="000B54BD" w:rsidP="000B54BD">
      <w:r>
        <w:t>27.</w:t>
      </w:r>
    </w:p>
    <w:tbl>
      <w:tblPr>
        <w:tblStyle w:val="TableGrid"/>
        <w:tblW w:w="0" w:type="auto"/>
        <w:tblLayout w:type="fixed"/>
        <w:tblLook w:val="04A0" w:firstRow="1" w:lastRow="0" w:firstColumn="1" w:lastColumn="0" w:noHBand="0" w:noVBand="1"/>
      </w:tblPr>
      <w:tblGrid>
        <w:gridCol w:w="3161"/>
        <w:gridCol w:w="876"/>
        <w:gridCol w:w="835"/>
        <w:gridCol w:w="876"/>
        <w:gridCol w:w="876"/>
      </w:tblGrid>
      <w:tr w:rsidR="000B54BD" w:rsidRPr="00E45020" w14:paraId="19949D45" w14:textId="77777777" w:rsidTr="00E97A3B">
        <w:trPr>
          <w:trHeight w:val="340"/>
        </w:trPr>
        <w:tc>
          <w:tcPr>
            <w:tcW w:w="3161" w:type="dxa"/>
          </w:tcPr>
          <w:p w14:paraId="5E6BAA7A" w14:textId="77777777" w:rsidR="000B54BD" w:rsidRPr="00E45020" w:rsidRDefault="000B54BD" w:rsidP="00E97A3B">
            <w:pPr>
              <w:rPr>
                <w:rFonts w:eastAsia="Times New Roman"/>
                <w:b/>
                <w:sz w:val="18"/>
                <w:szCs w:val="18"/>
                <w:lang w:eastAsia="en-AU"/>
              </w:rPr>
            </w:pPr>
            <w:r w:rsidRPr="00A318B9">
              <w:rPr>
                <w:rFonts w:eastAsia="Times New Roman"/>
                <w:b/>
                <w:noProof/>
                <w:sz w:val="18"/>
                <w:szCs w:val="18"/>
                <w:lang w:eastAsia="en-AU"/>
              </w:rPr>
              <w:t>Budget</w:t>
            </w:r>
            <w:r w:rsidRPr="00E45020">
              <w:rPr>
                <w:rFonts w:eastAsia="Times New Roman"/>
                <w:b/>
                <w:sz w:val="18"/>
                <w:szCs w:val="18"/>
                <w:lang w:eastAsia="en-AU"/>
              </w:rPr>
              <w:t xml:space="preserve"> for strategy priority areas (TOP)</w:t>
            </w:r>
          </w:p>
        </w:tc>
        <w:tc>
          <w:tcPr>
            <w:tcW w:w="876" w:type="dxa"/>
          </w:tcPr>
          <w:p w14:paraId="6377E2F5"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15/16</w:t>
            </w:r>
          </w:p>
        </w:tc>
        <w:tc>
          <w:tcPr>
            <w:tcW w:w="835" w:type="dxa"/>
          </w:tcPr>
          <w:p w14:paraId="094ACCA4"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FY16/17</w:t>
            </w:r>
          </w:p>
        </w:tc>
        <w:tc>
          <w:tcPr>
            <w:tcW w:w="876" w:type="dxa"/>
          </w:tcPr>
          <w:p w14:paraId="159957D1"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17/18</w:t>
            </w:r>
          </w:p>
        </w:tc>
        <w:tc>
          <w:tcPr>
            <w:tcW w:w="876" w:type="dxa"/>
          </w:tcPr>
          <w:p w14:paraId="36CAB528"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18/19</w:t>
            </w:r>
          </w:p>
        </w:tc>
      </w:tr>
      <w:tr w:rsidR="000B54BD" w:rsidRPr="00E45020" w14:paraId="76B3BD12" w14:textId="77777777" w:rsidTr="00E97A3B">
        <w:trPr>
          <w:trHeight w:val="340"/>
        </w:trPr>
        <w:tc>
          <w:tcPr>
            <w:tcW w:w="3161" w:type="dxa"/>
          </w:tcPr>
          <w:p w14:paraId="75621C75"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Budget allocated for young people</w:t>
            </w:r>
          </w:p>
        </w:tc>
        <w:tc>
          <w:tcPr>
            <w:tcW w:w="3463" w:type="dxa"/>
            <w:gridSpan w:val="4"/>
          </w:tcPr>
          <w:p w14:paraId="4FEA9DC7"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No budget allocation for young people</w:t>
            </w:r>
          </w:p>
        </w:tc>
      </w:tr>
      <w:tr w:rsidR="000B54BD" w:rsidRPr="00E45020" w14:paraId="6FCCE8F0" w14:textId="77777777" w:rsidTr="00E97A3B">
        <w:trPr>
          <w:trHeight w:val="340"/>
        </w:trPr>
        <w:tc>
          <w:tcPr>
            <w:tcW w:w="3161" w:type="dxa"/>
          </w:tcPr>
          <w:p w14:paraId="68695D50"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Budget allocated for healthy eating</w:t>
            </w:r>
          </w:p>
        </w:tc>
        <w:tc>
          <w:tcPr>
            <w:tcW w:w="876" w:type="dxa"/>
          </w:tcPr>
          <w:p w14:paraId="2D2DB6FB"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191,722</w:t>
            </w:r>
          </w:p>
        </w:tc>
        <w:tc>
          <w:tcPr>
            <w:tcW w:w="835" w:type="dxa"/>
          </w:tcPr>
          <w:p w14:paraId="4DD18AC2"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224,000</w:t>
            </w:r>
          </w:p>
        </w:tc>
        <w:tc>
          <w:tcPr>
            <w:tcW w:w="876" w:type="dxa"/>
          </w:tcPr>
          <w:p w14:paraId="7AC50A91"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160,500</w:t>
            </w:r>
          </w:p>
        </w:tc>
        <w:tc>
          <w:tcPr>
            <w:tcW w:w="876" w:type="dxa"/>
          </w:tcPr>
          <w:p w14:paraId="74335190"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220,500</w:t>
            </w:r>
          </w:p>
        </w:tc>
      </w:tr>
      <w:tr w:rsidR="000B54BD" w:rsidRPr="00E45020" w14:paraId="3E1855C0" w14:textId="77777777" w:rsidTr="00E97A3B">
        <w:trPr>
          <w:trHeight w:val="340"/>
        </w:trPr>
        <w:tc>
          <w:tcPr>
            <w:tcW w:w="3161" w:type="dxa"/>
          </w:tcPr>
          <w:p w14:paraId="2311211F"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Budget allocated for physical activity</w:t>
            </w:r>
          </w:p>
        </w:tc>
        <w:tc>
          <w:tcPr>
            <w:tcW w:w="876" w:type="dxa"/>
          </w:tcPr>
          <w:p w14:paraId="63306552"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191,722</w:t>
            </w:r>
          </w:p>
        </w:tc>
        <w:tc>
          <w:tcPr>
            <w:tcW w:w="835" w:type="dxa"/>
          </w:tcPr>
          <w:p w14:paraId="52ABEA6E"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128,000</w:t>
            </w:r>
          </w:p>
        </w:tc>
        <w:tc>
          <w:tcPr>
            <w:tcW w:w="876" w:type="dxa"/>
          </w:tcPr>
          <w:p w14:paraId="284D7087"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98,000</w:t>
            </w:r>
          </w:p>
        </w:tc>
        <w:tc>
          <w:tcPr>
            <w:tcW w:w="876" w:type="dxa"/>
          </w:tcPr>
          <w:p w14:paraId="3DE2BA78"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20,000</w:t>
            </w:r>
          </w:p>
        </w:tc>
      </w:tr>
      <w:tr w:rsidR="000B54BD" w:rsidRPr="00E45020" w14:paraId="49C92DA2" w14:textId="77777777" w:rsidTr="00E97A3B">
        <w:trPr>
          <w:trHeight w:val="340"/>
        </w:trPr>
        <w:tc>
          <w:tcPr>
            <w:tcW w:w="3161" w:type="dxa"/>
          </w:tcPr>
          <w:p w14:paraId="469E7D84"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Budget allocated for tobacco control</w:t>
            </w:r>
          </w:p>
        </w:tc>
        <w:tc>
          <w:tcPr>
            <w:tcW w:w="876" w:type="dxa"/>
          </w:tcPr>
          <w:p w14:paraId="494217D4"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168,645</w:t>
            </w:r>
          </w:p>
        </w:tc>
        <w:tc>
          <w:tcPr>
            <w:tcW w:w="835" w:type="dxa"/>
          </w:tcPr>
          <w:p w14:paraId="079908EB"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10,000</w:t>
            </w:r>
          </w:p>
        </w:tc>
        <w:tc>
          <w:tcPr>
            <w:tcW w:w="876" w:type="dxa"/>
          </w:tcPr>
          <w:p w14:paraId="14F7DE3D"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140,000</w:t>
            </w:r>
          </w:p>
        </w:tc>
        <w:tc>
          <w:tcPr>
            <w:tcW w:w="876" w:type="dxa"/>
          </w:tcPr>
          <w:p w14:paraId="04158CDA"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170,000</w:t>
            </w:r>
          </w:p>
        </w:tc>
      </w:tr>
      <w:tr w:rsidR="000B54BD" w:rsidRPr="00E45020" w14:paraId="4366E82B" w14:textId="77777777" w:rsidTr="00E97A3B">
        <w:trPr>
          <w:trHeight w:val="340"/>
        </w:trPr>
        <w:tc>
          <w:tcPr>
            <w:tcW w:w="3161" w:type="dxa"/>
          </w:tcPr>
          <w:p w14:paraId="45E880A9"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Budget allocated for alcohol reduction</w:t>
            </w:r>
          </w:p>
        </w:tc>
        <w:tc>
          <w:tcPr>
            <w:tcW w:w="876" w:type="dxa"/>
          </w:tcPr>
          <w:p w14:paraId="039CA0F3"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35,000</w:t>
            </w:r>
          </w:p>
        </w:tc>
        <w:tc>
          <w:tcPr>
            <w:tcW w:w="835" w:type="dxa"/>
          </w:tcPr>
          <w:p w14:paraId="2AD73DAE"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70,000</w:t>
            </w:r>
          </w:p>
        </w:tc>
        <w:tc>
          <w:tcPr>
            <w:tcW w:w="876" w:type="dxa"/>
          </w:tcPr>
          <w:p w14:paraId="1E6606EB"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110,000</w:t>
            </w:r>
          </w:p>
        </w:tc>
        <w:tc>
          <w:tcPr>
            <w:tcW w:w="876" w:type="dxa"/>
          </w:tcPr>
          <w:p w14:paraId="4B241C85"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60,000</w:t>
            </w:r>
          </w:p>
        </w:tc>
      </w:tr>
      <w:tr w:rsidR="000B54BD" w:rsidRPr="00E45020" w14:paraId="33114771" w14:textId="77777777" w:rsidTr="00E97A3B">
        <w:trPr>
          <w:trHeight w:val="340"/>
        </w:trPr>
        <w:tc>
          <w:tcPr>
            <w:tcW w:w="3161" w:type="dxa"/>
          </w:tcPr>
          <w:p w14:paraId="5DE588E5"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Total budget allocated for priority areas</w:t>
            </w:r>
          </w:p>
        </w:tc>
        <w:tc>
          <w:tcPr>
            <w:tcW w:w="876" w:type="dxa"/>
          </w:tcPr>
          <w:p w14:paraId="49C199C6"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587,089</w:t>
            </w:r>
          </w:p>
        </w:tc>
        <w:tc>
          <w:tcPr>
            <w:tcW w:w="835" w:type="dxa"/>
          </w:tcPr>
          <w:p w14:paraId="23351FF1"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432,000</w:t>
            </w:r>
          </w:p>
        </w:tc>
        <w:tc>
          <w:tcPr>
            <w:tcW w:w="876" w:type="dxa"/>
          </w:tcPr>
          <w:p w14:paraId="48172051"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508,500</w:t>
            </w:r>
          </w:p>
        </w:tc>
        <w:tc>
          <w:tcPr>
            <w:tcW w:w="876" w:type="dxa"/>
          </w:tcPr>
          <w:p w14:paraId="3A3F8D02"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470,500</w:t>
            </w:r>
          </w:p>
        </w:tc>
      </w:tr>
      <w:tr w:rsidR="000B54BD" w:rsidRPr="00E45020" w14:paraId="28667BAC" w14:textId="77777777" w:rsidTr="00E97A3B">
        <w:trPr>
          <w:trHeight w:val="340"/>
        </w:trPr>
        <w:tc>
          <w:tcPr>
            <w:tcW w:w="3161" w:type="dxa"/>
          </w:tcPr>
          <w:p w14:paraId="38EE78FE"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Total budget allocation</w:t>
            </w:r>
          </w:p>
        </w:tc>
        <w:tc>
          <w:tcPr>
            <w:tcW w:w="876" w:type="dxa"/>
          </w:tcPr>
          <w:p w14:paraId="2FA471EE"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875,518</w:t>
            </w:r>
          </w:p>
        </w:tc>
        <w:tc>
          <w:tcPr>
            <w:tcW w:w="835" w:type="dxa"/>
          </w:tcPr>
          <w:p w14:paraId="52B38024"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725,440</w:t>
            </w:r>
          </w:p>
        </w:tc>
        <w:tc>
          <w:tcPr>
            <w:tcW w:w="876" w:type="dxa"/>
          </w:tcPr>
          <w:p w14:paraId="4B47C642"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833,585</w:t>
            </w:r>
          </w:p>
        </w:tc>
        <w:tc>
          <w:tcPr>
            <w:tcW w:w="876" w:type="dxa"/>
          </w:tcPr>
          <w:p w14:paraId="1B8DC25F"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786,726</w:t>
            </w:r>
          </w:p>
        </w:tc>
      </w:tr>
      <w:tr w:rsidR="000B54BD" w:rsidRPr="00E45020" w14:paraId="01A03389" w14:textId="77777777" w:rsidTr="00E97A3B">
        <w:trPr>
          <w:trHeight w:val="340"/>
        </w:trPr>
        <w:tc>
          <w:tcPr>
            <w:tcW w:w="3161" w:type="dxa"/>
          </w:tcPr>
          <w:p w14:paraId="7EA3420F"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xml:space="preserve">% of </w:t>
            </w:r>
            <w:r w:rsidRPr="00A318B9">
              <w:rPr>
                <w:rFonts w:eastAsia="Times New Roman"/>
                <w:noProof/>
                <w:sz w:val="18"/>
                <w:szCs w:val="18"/>
                <w:lang w:eastAsia="en-AU"/>
              </w:rPr>
              <w:t>total</w:t>
            </w:r>
            <w:r w:rsidRPr="00E45020">
              <w:rPr>
                <w:rFonts w:eastAsia="Times New Roman"/>
                <w:sz w:val="18"/>
                <w:szCs w:val="18"/>
                <w:lang w:eastAsia="en-AU"/>
              </w:rPr>
              <w:t xml:space="preserve"> budget allocated for strategic </w:t>
            </w:r>
          </w:p>
          <w:p w14:paraId="582A2BB7"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priority areas</w:t>
            </w:r>
          </w:p>
        </w:tc>
        <w:tc>
          <w:tcPr>
            <w:tcW w:w="876" w:type="dxa"/>
          </w:tcPr>
          <w:p w14:paraId="64DBE578"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67</w:t>
            </w:r>
          </w:p>
        </w:tc>
        <w:tc>
          <w:tcPr>
            <w:tcW w:w="835" w:type="dxa"/>
          </w:tcPr>
          <w:p w14:paraId="62FF0C33"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69</w:t>
            </w:r>
          </w:p>
        </w:tc>
        <w:tc>
          <w:tcPr>
            <w:tcW w:w="876" w:type="dxa"/>
          </w:tcPr>
          <w:p w14:paraId="6D83F809"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61</w:t>
            </w:r>
          </w:p>
        </w:tc>
        <w:tc>
          <w:tcPr>
            <w:tcW w:w="876" w:type="dxa"/>
          </w:tcPr>
          <w:p w14:paraId="7ACF669B"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60</w:t>
            </w:r>
          </w:p>
        </w:tc>
      </w:tr>
    </w:tbl>
    <w:p w14:paraId="79E5BF8B" w14:textId="77777777" w:rsidR="000B54BD" w:rsidRDefault="000B54BD" w:rsidP="000B54BD"/>
    <w:p w14:paraId="7DF24136" w14:textId="77777777" w:rsidR="000B54BD" w:rsidRDefault="000B54BD" w:rsidP="000B54BD">
      <w:r>
        <w:t>45.</w:t>
      </w:r>
    </w:p>
    <w:tbl>
      <w:tblPr>
        <w:tblStyle w:val="TableGrid"/>
        <w:tblW w:w="0" w:type="auto"/>
        <w:tblLook w:val="04A0" w:firstRow="1" w:lastRow="0" w:firstColumn="1" w:lastColumn="0" w:noHBand="0" w:noVBand="1"/>
      </w:tblPr>
      <w:tblGrid>
        <w:gridCol w:w="3873"/>
        <w:gridCol w:w="1036"/>
        <w:gridCol w:w="1036"/>
        <w:gridCol w:w="1036"/>
        <w:gridCol w:w="876"/>
        <w:gridCol w:w="876"/>
      </w:tblGrid>
      <w:tr w:rsidR="000B54BD" w:rsidRPr="00E45020" w14:paraId="45329AC9" w14:textId="77777777" w:rsidTr="00E97A3B">
        <w:trPr>
          <w:trHeight w:val="340"/>
        </w:trPr>
        <w:tc>
          <w:tcPr>
            <w:tcW w:w="0" w:type="auto"/>
          </w:tcPr>
          <w:p w14:paraId="51BCBAD0"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 xml:space="preserve">Budget allocation for HPIS excluding donor funds </w:t>
            </w:r>
          </w:p>
          <w:p w14:paraId="5057A3B0"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(TOP m)</w:t>
            </w:r>
          </w:p>
        </w:tc>
        <w:tc>
          <w:tcPr>
            <w:tcW w:w="0" w:type="auto"/>
          </w:tcPr>
          <w:p w14:paraId="4D2F86E1"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14/15</w:t>
            </w:r>
          </w:p>
        </w:tc>
        <w:tc>
          <w:tcPr>
            <w:tcW w:w="0" w:type="auto"/>
          </w:tcPr>
          <w:p w14:paraId="33564DD1"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15/16</w:t>
            </w:r>
          </w:p>
        </w:tc>
        <w:tc>
          <w:tcPr>
            <w:tcW w:w="0" w:type="auto"/>
          </w:tcPr>
          <w:p w14:paraId="10F409DE"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16/17</w:t>
            </w:r>
          </w:p>
        </w:tc>
        <w:tc>
          <w:tcPr>
            <w:tcW w:w="0" w:type="auto"/>
          </w:tcPr>
          <w:p w14:paraId="7D2B534D"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17/18</w:t>
            </w:r>
          </w:p>
        </w:tc>
        <w:tc>
          <w:tcPr>
            <w:tcW w:w="0" w:type="auto"/>
          </w:tcPr>
          <w:p w14:paraId="0227A005" w14:textId="77777777" w:rsidR="000B54BD" w:rsidRPr="00E45020" w:rsidRDefault="000B54BD" w:rsidP="00E97A3B">
            <w:pPr>
              <w:rPr>
                <w:rFonts w:eastAsia="Times New Roman"/>
                <w:b/>
                <w:sz w:val="18"/>
                <w:szCs w:val="18"/>
                <w:lang w:eastAsia="en-AU"/>
              </w:rPr>
            </w:pPr>
            <w:r w:rsidRPr="00E45020">
              <w:rPr>
                <w:rFonts w:eastAsia="Times New Roman"/>
                <w:b/>
                <w:sz w:val="18"/>
                <w:szCs w:val="18"/>
                <w:lang w:eastAsia="en-AU"/>
              </w:rPr>
              <w:t>FY 18/19</w:t>
            </w:r>
          </w:p>
        </w:tc>
      </w:tr>
      <w:tr w:rsidR="000B54BD" w:rsidRPr="00E45020" w14:paraId="1152C91C" w14:textId="77777777" w:rsidTr="00E97A3B">
        <w:trPr>
          <w:trHeight w:val="340"/>
        </w:trPr>
        <w:tc>
          <w:tcPr>
            <w:tcW w:w="0" w:type="auto"/>
          </w:tcPr>
          <w:p w14:paraId="4168E8FD"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Budget allocated for HPIS, excl. donor funds</w:t>
            </w:r>
          </w:p>
        </w:tc>
        <w:tc>
          <w:tcPr>
            <w:tcW w:w="0" w:type="auto"/>
          </w:tcPr>
          <w:p w14:paraId="70BF05D4"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470,106</w:t>
            </w:r>
          </w:p>
        </w:tc>
        <w:tc>
          <w:tcPr>
            <w:tcW w:w="0" w:type="auto"/>
          </w:tcPr>
          <w:p w14:paraId="6B4F80A3"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538,700</w:t>
            </w:r>
          </w:p>
        </w:tc>
        <w:tc>
          <w:tcPr>
            <w:tcW w:w="0" w:type="auto"/>
          </w:tcPr>
          <w:p w14:paraId="6406D956"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734,800</w:t>
            </w:r>
          </w:p>
        </w:tc>
        <w:tc>
          <w:tcPr>
            <w:tcW w:w="0" w:type="auto"/>
            <w:gridSpan w:val="2"/>
            <w:vMerge w:val="restart"/>
          </w:tcPr>
          <w:p w14:paraId="75CC9646"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xml:space="preserve">HPIS merged into </w:t>
            </w:r>
          </w:p>
          <w:p w14:paraId="44ADFA0F"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xml:space="preserve">Corporate Services </w:t>
            </w:r>
          </w:p>
          <w:p w14:paraId="615EEA63"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from FY 17/18</w:t>
            </w:r>
          </w:p>
        </w:tc>
      </w:tr>
      <w:tr w:rsidR="000B54BD" w:rsidRPr="00E45020" w14:paraId="1B9EF525" w14:textId="77777777" w:rsidTr="00E97A3B">
        <w:trPr>
          <w:trHeight w:val="340"/>
        </w:trPr>
        <w:tc>
          <w:tcPr>
            <w:tcW w:w="0" w:type="auto"/>
          </w:tcPr>
          <w:p w14:paraId="2FF9F54A"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Total MOH budget, excl. donor funds</w:t>
            </w:r>
          </w:p>
        </w:tc>
        <w:tc>
          <w:tcPr>
            <w:tcW w:w="0" w:type="auto"/>
          </w:tcPr>
          <w:p w14:paraId="2343E19D"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28,066,893</w:t>
            </w:r>
          </w:p>
        </w:tc>
        <w:tc>
          <w:tcPr>
            <w:tcW w:w="0" w:type="auto"/>
          </w:tcPr>
          <w:p w14:paraId="7E3313AE"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30,197,500</w:t>
            </w:r>
          </w:p>
        </w:tc>
        <w:tc>
          <w:tcPr>
            <w:tcW w:w="0" w:type="auto"/>
          </w:tcPr>
          <w:p w14:paraId="0886FDA4"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32,596,200</w:t>
            </w:r>
          </w:p>
        </w:tc>
        <w:tc>
          <w:tcPr>
            <w:tcW w:w="0" w:type="auto"/>
            <w:gridSpan w:val="2"/>
            <w:vMerge/>
          </w:tcPr>
          <w:p w14:paraId="3DBD20C5" w14:textId="77777777" w:rsidR="000B54BD" w:rsidRPr="00E45020" w:rsidRDefault="000B54BD" w:rsidP="00E97A3B">
            <w:pPr>
              <w:rPr>
                <w:rFonts w:eastAsia="Times New Roman"/>
                <w:sz w:val="18"/>
                <w:szCs w:val="18"/>
                <w:lang w:eastAsia="en-AU"/>
              </w:rPr>
            </w:pPr>
          </w:p>
        </w:tc>
      </w:tr>
      <w:tr w:rsidR="000B54BD" w:rsidRPr="00E45020" w14:paraId="62BABE7D" w14:textId="77777777" w:rsidTr="00E97A3B">
        <w:trPr>
          <w:trHeight w:val="340"/>
        </w:trPr>
        <w:tc>
          <w:tcPr>
            <w:tcW w:w="0" w:type="auto"/>
          </w:tcPr>
          <w:p w14:paraId="3C2F3C2C"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 xml:space="preserve">% of total MOH budget allocated to HPIS, excl. </w:t>
            </w:r>
          </w:p>
          <w:p w14:paraId="7B243282"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donor funds</w:t>
            </w:r>
          </w:p>
        </w:tc>
        <w:tc>
          <w:tcPr>
            <w:tcW w:w="0" w:type="auto"/>
          </w:tcPr>
          <w:p w14:paraId="36B28CDA"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1.67</w:t>
            </w:r>
          </w:p>
        </w:tc>
        <w:tc>
          <w:tcPr>
            <w:tcW w:w="0" w:type="auto"/>
          </w:tcPr>
          <w:p w14:paraId="7AD26920"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1.78</w:t>
            </w:r>
          </w:p>
        </w:tc>
        <w:tc>
          <w:tcPr>
            <w:tcW w:w="0" w:type="auto"/>
          </w:tcPr>
          <w:p w14:paraId="7517D9F9" w14:textId="77777777" w:rsidR="000B54BD" w:rsidRPr="00E45020" w:rsidRDefault="000B54BD" w:rsidP="00E97A3B">
            <w:pPr>
              <w:rPr>
                <w:rFonts w:eastAsia="Times New Roman"/>
                <w:sz w:val="18"/>
                <w:szCs w:val="18"/>
                <w:lang w:eastAsia="en-AU"/>
              </w:rPr>
            </w:pPr>
            <w:r w:rsidRPr="00E45020">
              <w:rPr>
                <w:rFonts w:eastAsia="Times New Roman"/>
                <w:sz w:val="18"/>
                <w:szCs w:val="18"/>
                <w:lang w:eastAsia="en-AU"/>
              </w:rPr>
              <w:t>2.25</w:t>
            </w:r>
          </w:p>
        </w:tc>
        <w:tc>
          <w:tcPr>
            <w:tcW w:w="0" w:type="auto"/>
            <w:gridSpan w:val="2"/>
            <w:vMerge/>
          </w:tcPr>
          <w:p w14:paraId="2F120E48" w14:textId="77777777" w:rsidR="000B54BD" w:rsidRPr="00E45020" w:rsidRDefault="000B54BD" w:rsidP="00E97A3B">
            <w:pPr>
              <w:rPr>
                <w:rFonts w:eastAsia="Times New Roman"/>
                <w:sz w:val="18"/>
                <w:szCs w:val="18"/>
                <w:lang w:eastAsia="en-AU"/>
              </w:rPr>
            </w:pPr>
          </w:p>
        </w:tc>
      </w:tr>
    </w:tbl>
    <w:p w14:paraId="312AB58D" w14:textId="77777777" w:rsidR="000B54BD" w:rsidRDefault="000B54BD" w:rsidP="000B54BD"/>
    <w:p w14:paraId="4E83AA87" w14:textId="77777777" w:rsidR="00395C8D" w:rsidRDefault="00395C8D" w:rsidP="000B54BD">
      <w:pPr>
        <w:sectPr w:rsidR="00395C8D" w:rsidSect="00E97A3B">
          <w:pgSz w:w="16839" w:h="11907" w:orient="landscape" w:code="9"/>
          <w:pgMar w:top="1247" w:right="1440" w:bottom="1247" w:left="1440" w:header="709" w:footer="709" w:gutter="0"/>
          <w:cols w:space="708"/>
          <w:docGrid w:linePitch="360"/>
        </w:sectPr>
      </w:pPr>
    </w:p>
    <w:p w14:paraId="2C31E1C0" w14:textId="77777777" w:rsidR="00812ECB" w:rsidRPr="005F7F99" w:rsidRDefault="00812ECB" w:rsidP="00812ECB">
      <w:pPr>
        <w:pStyle w:val="NumberedTitle"/>
        <w:jc w:val="left"/>
        <w:rPr>
          <w:sz w:val="26"/>
          <w:szCs w:val="26"/>
          <w:lang w:val="en-GB"/>
        </w:rPr>
      </w:pPr>
      <w:bookmarkStart w:id="88" w:name="_Toc536205483"/>
      <w:r w:rsidRPr="005F7F99">
        <w:rPr>
          <w:sz w:val="26"/>
          <w:szCs w:val="26"/>
          <w:lang w:val="en-GB"/>
        </w:rPr>
        <w:lastRenderedPageBreak/>
        <w:t xml:space="preserve">Annex </w:t>
      </w:r>
      <w:r w:rsidR="00A318B9">
        <w:rPr>
          <w:sz w:val="26"/>
          <w:szCs w:val="26"/>
          <w:lang w:val="en-GB"/>
        </w:rPr>
        <w:t>E</w:t>
      </w:r>
      <w:r w:rsidRPr="005F7F99">
        <w:rPr>
          <w:sz w:val="26"/>
          <w:szCs w:val="26"/>
          <w:lang w:val="en-GB"/>
        </w:rPr>
        <w:t xml:space="preserve">: </w:t>
      </w:r>
      <w:r>
        <w:rPr>
          <w:sz w:val="26"/>
          <w:szCs w:val="26"/>
          <w:lang w:val="en-GB"/>
        </w:rPr>
        <w:t>Analytical products</w:t>
      </w:r>
      <w:bookmarkEnd w:id="88"/>
    </w:p>
    <w:p w14:paraId="10AE3B06" w14:textId="77777777" w:rsidR="00812ECB" w:rsidRDefault="00812ECB" w:rsidP="00812ECB"/>
    <w:p w14:paraId="071B1878" w14:textId="77777777" w:rsidR="00CA1876" w:rsidRDefault="00CA1876" w:rsidP="00CA1876">
      <w:pPr>
        <w:rPr>
          <w:lang w:val="en-AU"/>
        </w:rPr>
      </w:pPr>
      <w:r w:rsidRPr="00A318B9">
        <w:rPr>
          <w:noProof/>
          <w:lang w:val="en-AU"/>
        </w:rPr>
        <w:t>Outlines of major tasks/themes for analytical products to inform future health sector program design.</w:t>
      </w:r>
    </w:p>
    <w:p w14:paraId="35866B6B" w14:textId="77777777" w:rsidR="00CA1876" w:rsidRDefault="00CA1876" w:rsidP="00812ECB"/>
    <w:p w14:paraId="00D3A7B7" w14:textId="77777777" w:rsidR="00812ECB" w:rsidRPr="001F6EEE" w:rsidRDefault="00812ECB" w:rsidP="00DD0215">
      <w:pPr>
        <w:pStyle w:val="Level2Heading"/>
        <w:numPr>
          <w:ilvl w:val="0"/>
          <w:numId w:val="0"/>
        </w:numPr>
        <w:ind w:left="30"/>
      </w:pPr>
      <w:r>
        <w:t>Service system mapping and PEHS gap analysis</w:t>
      </w:r>
    </w:p>
    <w:p w14:paraId="52D5C1AA" w14:textId="77777777" w:rsidR="00BE02B0" w:rsidRDefault="00BE02B0" w:rsidP="00BE02B0">
      <w:pPr>
        <w:rPr>
          <w:rFonts w:cstheme="majorHAnsi"/>
          <w:lang w:eastAsia="en-AU"/>
        </w:rPr>
      </w:pPr>
      <w:r>
        <w:rPr>
          <w:rFonts w:cstheme="majorHAnsi"/>
          <w:lang w:eastAsia="en-AU"/>
        </w:rPr>
        <w:t>In consultation with the MoH Divisions</w:t>
      </w:r>
      <w:r w:rsidR="0098565A">
        <w:rPr>
          <w:rFonts w:cstheme="majorHAnsi"/>
          <w:lang w:eastAsia="en-AU"/>
        </w:rPr>
        <w:t xml:space="preserve"> and based on the structure of the PEHS</w:t>
      </w:r>
      <w:r>
        <w:rPr>
          <w:rFonts w:cstheme="majorHAnsi"/>
          <w:lang w:eastAsia="en-AU"/>
        </w:rPr>
        <w:t xml:space="preserve">, for </w:t>
      </w:r>
      <w:r w:rsidRPr="00A318B9">
        <w:rPr>
          <w:rFonts w:cstheme="majorHAnsi"/>
          <w:noProof/>
          <w:lang w:eastAsia="en-AU"/>
        </w:rPr>
        <w:t>each individual</w:t>
      </w:r>
      <w:r>
        <w:rPr>
          <w:rFonts w:cstheme="majorHAnsi"/>
          <w:lang w:eastAsia="en-AU"/>
        </w:rPr>
        <w:t xml:space="preserve"> health facility, document:</w:t>
      </w:r>
    </w:p>
    <w:p w14:paraId="6D737AB6" w14:textId="77777777" w:rsidR="00BE02B0" w:rsidRDefault="00BE02B0" w:rsidP="00AC0818">
      <w:pPr>
        <w:pStyle w:val="ListParagraph"/>
        <w:numPr>
          <w:ilvl w:val="0"/>
          <w:numId w:val="45"/>
        </w:numPr>
        <w:rPr>
          <w:rFonts w:cstheme="majorHAnsi"/>
          <w:lang w:eastAsia="en-AU"/>
        </w:rPr>
      </w:pPr>
      <w:r>
        <w:rPr>
          <w:rFonts w:cstheme="majorHAnsi"/>
          <w:lang w:eastAsia="en-AU"/>
        </w:rPr>
        <w:t>s</w:t>
      </w:r>
      <w:r w:rsidRPr="00CA1876">
        <w:rPr>
          <w:rFonts w:cstheme="majorHAnsi"/>
          <w:lang w:eastAsia="en-AU"/>
        </w:rPr>
        <w:t>taffing</w:t>
      </w:r>
    </w:p>
    <w:p w14:paraId="02378943" w14:textId="77777777" w:rsidR="00BE02B0" w:rsidRDefault="00BE02B0" w:rsidP="00AC0818">
      <w:pPr>
        <w:pStyle w:val="ListParagraph"/>
        <w:numPr>
          <w:ilvl w:val="0"/>
          <w:numId w:val="45"/>
        </w:numPr>
        <w:rPr>
          <w:rFonts w:cstheme="majorHAnsi"/>
          <w:lang w:eastAsia="en-AU"/>
        </w:rPr>
      </w:pPr>
      <w:r w:rsidRPr="00CA1876">
        <w:rPr>
          <w:rFonts w:cstheme="majorHAnsi"/>
          <w:lang w:eastAsia="en-AU"/>
        </w:rPr>
        <w:t>major infrastructure</w:t>
      </w:r>
    </w:p>
    <w:p w14:paraId="27998D9B" w14:textId="77777777" w:rsidR="00BE02B0" w:rsidRDefault="00BE02B0" w:rsidP="00AC0818">
      <w:pPr>
        <w:pStyle w:val="ListParagraph"/>
        <w:numPr>
          <w:ilvl w:val="0"/>
          <w:numId w:val="45"/>
        </w:numPr>
        <w:rPr>
          <w:rFonts w:cstheme="majorHAnsi"/>
          <w:lang w:eastAsia="en-AU"/>
        </w:rPr>
      </w:pPr>
      <w:r w:rsidRPr="00CA1876">
        <w:rPr>
          <w:rFonts w:cstheme="majorHAnsi"/>
          <w:lang w:eastAsia="en-AU"/>
        </w:rPr>
        <w:t>transport assets</w:t>
      </w:r>
    </w:p>
    <w:p w14:paraId="48DA4AFA" w14:textId="77777777" w:rsidR="00BE02B0" w:rsidRDefault="00BE02B0" w:rsidP="00AC0818">
      <w:pPr>
        <w:pStyle w:val="ListParagraph"/>
        <w:numPr>
          <w:ilvl w:val="0"/>
          <w:numId w:val="45"/>
        </w:numPr>
        <w:rPr>
          <w:rFonts w:cstheme="majorHAnsi"/>
          <w:lang w:eastAsia="en-AU"/>
        </w:rPr>
      </w:pPr>
      <w:r w:rsidRPr="00CA1876">
        <w:rPr>
          <w:rFonts w:cstheme="majorHAnsi"/>
          <w:lang w:eastAsia="en-AU"/>
        </w:rPr>
        <w:t>major and minor medical equipment</w:t>
      </w:r>
    </w:p>
    <w:p w14:paraId="797B373A" w14:textId="77777777" w:rsidR="002E4C9D" w:rsidRDefault="002E4C9D" w:rsidP="00AC0818">
      <w:pPr>
        <w:pStyle w:val="ListParagraph"/>
        <w:numPr>
          <w:ilvl w:val="0"/>
          <w:numId w:val="45"/>
        </w:numPr>
        <w:rPr>
          <w:rFonts w:cstheme="majorHAnsi"/>
          <w:lang w:eastAsia="en-AU"/>
        </w:rPr>
      </w:pPr>
      <w:r>
        <w:rPr>
          <w:rFonts w:cstheme="majorHAnsi"/>
          <w:lang w:eastAsia="en-AU"/>
        </w:rPr>
        <w:t>treatment guidelines and tools (patient information, education and communication materials)</w:t>
      </w:r>
    </w:p>
    <w:p w14:paraId="0702A72E" w14:textId="77777777" w:rsidR="00BE02B0" w:rsidRDefault="00BE02B0" w:rsidP="00AC0818">
      <w:pPr>
        <w:pStyle w:val="ListParagraph"/>
        <w:numPr>
          <w:ilvl w:val="0"/>
          <w:numId w:val="45"/>
        </w:numPr>
        <w:rPr>
          <w:rFonts w:cstheme="majorHAnsi"/>
          <w:lang w:eastAsia="en-AU"/>
        </w:rPr>
      </w:pPr>
      <w:r w:rsidRPr="00CA1876">
        <w:rPr>
          <w:rFonts w:cstheme="majorHAnsi"/>
          <w:lang w:eastAsia="en-AU"/>
        </w:rPr>
        <w:t xml:space="preserve">communications </w:t>
      </w:r>
      <w:r w:rsidR="002E4C9D">
        <w:rPr>
          <w:rFonts w:cstheme="majorHAnsi"/>
          <w:lang w:eastAsia="en-AU"/>
        </w:rPr>
        <w:t>(</w:t>
      </w:r>
      <w:r w:rsidRPr="00CA1876">
        <w:rPr>
          <w:rFonts w:cstheme="majorHAnsi"/>
          <w:lang w:eastAsia="en-AU"/>
        </w:rPr>
        <w:t>equipment</w:t>
      </w:r>
      <w:r w:rsidR="002E4C9D">
        <w:rPr>
          <w:rFonts w:cstheme="majorHAnsi"/>
          <w:lang w:eastAsia="en-AU"/>
        </w:rPr>
        <w:t>/devices</w:t>
      </w:r>
      <w:r w:rsidRPr="00CA1876">
        <w:rPr>
          <w:rFonts w:cstheme="majorHAnsi"/>
          <w:lang w:eastAsia="en-AU"/>
        </w:rPr>
        <w:t xml:space="preserve">, </w:t>
      </w:r>
      <w:r w:rsidR="002E4C9D">
        <w:rPr>
          <w:rFonts w:cstheme="majorHAnsi"/>
          <w:lang w:eastAsia="en-AU"/>
        </w:rPr>
        <w:t xml:space="preserve">network connectivity, </w:t>
      </w:r>
      <w:r w:rsidRPr="00A318B9">
        <w:rPr>
          <w:rFonts w:cstheme="majorHAnsi"/>
          <w:noProof/>
          <w:lang w:eastAsia="en-AU"/>
        </w:rPr>
        <w:t>etc</w:t>
      </w:r>
      <w:r w:rsidR="002E4C9D">
        <w:rPr>
          <w:rFonts w:cstheme="majorHAnsi"/>
          <w:lang w:eastAsia="en-AU"/>
        </w:rPr>
        <w:t>)</w:t>
      </w:r>
    </w:p>
    <w:p w14:paraId="0BD453F9" w14:textId="77777777" w:rsidR="00BE02B0" w:rsidRDefault="00BE02B0" w:rsidP="00BE02B0">
      <w:pPr>
        <w:rPr>
          <w:rFonts w:cstheme="majorHAnsi"/>
          <w:lang w:eastAsia="en-AU"/>
        </w:rPr>
      </w:pPr>
      <w:r>
        <w:rPr>
          <w:rFonts w:cstheme="majorHAnsi"/>
          <w:lang w:eastAsia="en-AU"/>
        </w:rPr>
        <w:t xml:space="preserve">For </w:t>
      </w:r>
      <w:r w:rsidRPr="00A318B9">
        <w:rPr>
          <w:rFonts w:cstheme="majorHAnsi"/>
          <w:noProof/>
          <w:lang w:eastAsia="en-AU"/>
        </w:rPr>
        <w:t>each individual</w:t>
      </w:r>
      <w:r>
        <w:rPr>
          <w:rFonts w:cstheme="majorHAnsi"/>
          <w:lang w:eastAsia="en-AU"/>
        </w:rPr>
        <w:t xml:space="preserve"> health facility, document:</w:t>
      </w:r>
    </w:p>
    <w:p w14:paraId="6BA63D23" w14:textId="77777777" w:rsidR="00BE02B0" w:rsidRDefault="00BE02B0" w:rsidP="00AC0818">
      <w:pPr>
        <w:pStyle w:val="ListParagraph"/>
        <w:numPr>
          <w:ilvl w:val="0"/>
          <w:numId w:val="46"/>
        </w:numPr>
        <w:rPr>
          <w:rFonts w:cstheme="majorHAnsi"/>
          <w:lang w:eastAsia="en-AU"/>
        </w:rPr>
      </w:pPr>
      <w:r w:rsidRPr="00BE02B0">
        <w:rPr>
          <w:rFonts w:cstheme="majorHAnsi"/>
          <w:lang w:eastAsia="en-AU"/>
        </w:rPr>
        <w:t>medical supply logistics</w:t>
      </w:r>
    </w:p>
    <w:p w14:paraId="63846511" w14:textId="77777777" w:rsidR="002E4C9D" w:rsidRPr="00BE02B0" w:rsidRDefault="002E4C9D" w:rsidP="00AC0818">
      <w:pPr>
        <w:pStyle w:val="ListParagraph"/>
        <w:numPr>
          <w:ilvl w:val="0"/>
          <w:numId w:val="46"/>
        </w:numPr>
        <w:rPr>
          <w:rFonts w:cstheme="majorHAnsi"/>
          <w:lang w:eastAsia="en-AU"/>
        </w:rPr>
      </w:pPr>
      <w:r>
        <w:rPr>
          <w:rFonts w:cstheme="majorHAnsi"/>
          <w:lang w:eastAsia="en-AU"/>
        </w:rPr>
        <w:t>referral arrangements for diagnostic services</w:t>
      </w:r>
    </w:p>
    <w:p w14:paraId="69263908" w14:textId="77777777" w:rsidR="00BE02B0" w:rsidRDefault="00BE02B0" w:rsidP="00AC0818">
      <w:pPr>
        <w:pStyle w:val="ListParagraph"/>
        <w:numPr>
          <w:ilvl w:val="0"/>
          <w:numId w:val="46"/>
        </w:numPr>
        <w:rPr>
          <w:rFonts w:cstheme="majorHAnsi"/>
          <w:lang w:eastAsia="en-AU"/>
        </w:rPr>
      </w:pPr>
      <w:r w:rsidRPr="00BE02B0">
        <w:rPr>
          <w:rFonts w:cstheme="majorHAnsi"/>
          <w:lang w:eastAsia="en-AU"/>
        </w:rPr>
        <w:t>clinical supervision</w:t>
      </w:r>
      <w:r>
        <w:rPr>
          <w:rFonts w:cstheme="majorHAnsi"/>
          <w:lang w:eastAsia="en-AU"/>
        </w:rPr>
        <w:t xml:space="preserve"> (including vertical program structures, if applicable)</w:t>
      </w:r>
    </w:p>
    <w:p w14:paraId="7A66CB68" w14:textId="77777777" w:rsidR="00BE02B0" w:rsidRDefault="00BE02B0" w:rsidP="00AC0818">
      <w:pPr>
        <w:pStyle w:val="ListParagraph"/>
        <w:numPr>
          <w:ilvl w:val="0"/>
          <w:numId w:val="46"/>
        </w:numPr>
        <w:rPr>
          <w:rFonts w:cstheme="majorHAnsi"/>
          <w:lang w:eastAsia="en-AU"/>
        </w:rPr>
      </w:pPr>
      <w:r>
        <w:rPr>
          <w:rFonts w:cstheme="majorHAnsi"/>
          <w:lang w:eastAsia="en-AU"/>
        </w:rPr>
        <w:t>managerial supervision</w:t>
      </w:r>
    </w:p>
    <w:p w14:paraId="54965D60" w14:textId="77777777" w:rsidR="002E4C9D" w:rsidRPr="00BE02B0" w:rsidRDefault="002E4C9D" w:rsidP="00AC0818">
      <w:pPr>
        <w:pStyle w:val="ListParagraph"/>
        <w:numPr>
          <w:ilvl w:val="0"/>
          <w:numId w:val="46"/>
        </w:numPr>
        <w:rPr>
          <w:rFonts w:cstheme="majorHAnsi"/>
          <w:lang w:eastAsia="en-AU"/>
        </w:rPr>
      </w:pPr>
      <w:r>
        <w:rPr>
          <w:rFonts w:cstheme="majorHAnsi"/>
          <w:lang w:eastAsia="en-AU"/>
        </w:rPr>
        <w:t xml:space="preserve">reporting arrangements (tablet, paper, </w:t>
      </w:r>
      <w:r w:rsidRPr="00A318B9">
        <w:rPr>
          <w:rFonts w:cstheme="majorHAnsi"/>
          <w:noProof/>
          <w:lang w:eastAsia="en-AU"/>
        </w:rPr>
        <w:t>etc</w:t>
      </w:r>
      <w:r>
        <w:rPr>
          <w:rFonts w:cstheme="majorHAnsi"/>
          <w:lang w:eastAsia="en-AU"/>
        </w:rPr>
        <w:t>)</w:t>
      </w:r>
    </w:p>
    <w:p w14:paraId="27890AD0" w14:textId="77777777" w:rsidR="00BE02B0" w:rsidRPr="00CA1876" w:rsidRDefault="00BE02B0" w:rsidP="00BE02B0">
      <w:pPr>
        <w:rPr>
          <w:rFonts w:cstheme="majorHAnsi"/>
          <w:lang w:eastAsia="en-AU"/>
        </w:rPr>
      </w:pPr>
      <w:r>
        <w:rPr>
          <w:rFonts w:cstheme="majorHAnsi"/>
          <w:lang w:eastAsia="en-AU"/>
        </w:rPr>
        <w:t>Order of work to f</w:t>
      </w:r>
      <w:r w:rsidRPr="00CA1876">
        <w:rPr>
          <w:rFonts w:cstheme="majorHAnsi"/>
          <w:lang w:eastAsia="en-AU"/>
        </w:rPr>
        <w:t>ocus initially on facilities in the outer islands and the locations on Tongatapu earmarked to become community health centres.</w:t>
      </w:r>
      <w:r w:rsidR="002E4C9D">
        <w:rPr>
          <w:rFonts w:cstheme="majorHAnsi"/>
          <w:lang w:eastAsia="en-AU"/>
        </w:rPr>
        <w:t xml:space="preserve"> Subject to final agreement on the scale and scope of this activity, coordinate a comprehensive audit of all PEHS elements within health facilities OR priority PEHS themes </w:t>
      </w:r>
      <w:r w:rsidR="00256D8C">
        <w:rPr>
          <w:rFonts w:cstheme="majorHAnsi"/>
          <w:lang w:eastAsia="en-AU"/>
        </w:rPr>
        <w:t>determin</w:t>
      </w:r>
      <w:r w:rsidR="002E4C9D">
        <w:rPr>
          <w:rFonts w:cstheme="majorHAnsi"/>
          <w:lang w:eastAsia="en-AU"/>
        </w:rPr>
        <w:t xml:space="preserve">ed by the MoH </w:t>
      </w:r>
      <w:r w:rsidR="00256D8C">
        <w:rPr>
          <w:rFonts w:cstheme="majorHAnsi"/>
          <w:lang w:eastAsia="en-AU"/>
        </w:rPr>
        <w:t xml:space="preserve">(which must include </w:t>
      </w:r>
      <w:r w:rsidR="002E4C9D">
        <w:rPr>
          <w:rFonts w:cstheme="majorHAnsi"/>
          <w:lang w:eastAsia="en-AU"/>
        </w:rPr>
        <w:t xml:space="preserve">NCD </w:t>
      </w:r>
      <w:r w:rsidR="00256D8C">
        <w:rPr>
          <w:rFonts w:cstheme="majorHAnsi"/>
          <w:lang w:eastAsia="en-AU"/>
        </w:rPr>
        <w:t>p</w:t>
      </w:r>
      <w:r w:rsidR="002E4C9D">
        <w:rPr>
          <w:rFonts w:cstheme="majorHAnsi"/>
          <w:lang w:eastAsia="en-AU"/>
        </w:rPr>
        <w:t xml:space="preserve">revention and </w:t>
      </w:r>
      <w:r w:rsidR="00256D8C">
        <w:rPr>
          <w:rFonts w:cstheme="majorHAnsi"/>
          <w:lang w:eastAsia="en-AU"/>
        </w:rPr>
        <w:t>m</w:t>
      </w:r>
      <w:r w:rsidR="002E4C9D">
        <w:rPr>
          <w:rFonts w:cstheme="majorHAnsi"/>
          <w:lang w:eastAsia="en-AU"/>
        </w:rPr>
        <w:t>anagement</w:t>
      </w:r>
      <w:r w:rsidR="00256D8C">
        <w:rPr>
          <w:rFonts w:cstheme="majorHAnsi"/>
          <w:lang w:eastAsia="en-AU"/>
        </w:rPr>
        <w:t>).</w:t>
      </w:r>
    </w:p>
    <w:p w14:paraId="4F70865C" w14:textId="77777777" w:rsidR="00BE02B0" w:rsidRDefault="00BE02B0" w:rsidP="00BE02B0">
      <w:pPr>
        <w:rPr>
          <w:rFonts w:cstheme="majorHAnsi"/>
          <w:lang w:eastAsia="en-AU"/>
        </w:rPr>
      </w:pPr>
      <w:r>
        <w:rPr>
          <w:rFonts w:cstheme="majorHAnsi"/>
          <w:lang w:eastAsia="en-AU"/>
        </w:rPr>
        <w:t>Field travel as required.</w:t>
      </w:r>
    </w:p>
    <w:p w14:paraId="2ADF4520" w14:textId="77777777" w:rsidR="0098565A" w:rsidRDefault="0098565A" w:rsidP="00BE02B0">
      <w:pPr>
        <w:rPr>
          <w:rFonts w:cstheme="majorHAnsi"/>
          <w:lang w:eastAsia="en-AU"/>
        </w:rPr>
      </w:pPr>
      <w:r>
        <w:rPr>
          <w:rFonts w:cstheme="majorHAnsi"/>
          <w:lang w:eastAsia="en-AU"/>
        </w:rPr>
        <w:t>Document findings in a simple electronic file format (e.g. Excel spreadsheet) for handover to MoH</w:t>
      </w:r>
      <w:r w:rsidR="008E64B7">
        <w:rPr>
          <w:rFonts w:cstheme="majorHAnsi"/>
          <w:lang w:eastAsia="en-AU"/>
        </w:rPr>
        <w:t>.</w:t>
      </w:r>
      <w:r w:rsidR="00256D8C">
        <w:rPr>
          <w:rFonts w:cstheme="majorHAnsi"/>
          <w:lang w:eastAsia="en-AU"/>
        </w:rPr>
        <w:t xml:space="preserve"> Upload into Tupaia platform where relevant.</w:t>
      </w:r>
    </w:p>
    <w:p w14:paraId="526B9DF6" w14:textId="77777777" w:rsidR="0098565A" w:rsidRDefault="0098565A" w:rsidP="00BE02B0">
      <w:pPr>
        <w:rPr>
          <w:rFonts w:cstheme="majorHAnsi"/>
          <w:lang w:eastAsia="en-AU"/>
        </w:rPr>
      </w:pPr>
      <w:r>
        <w:rPr>
          <w:rFonts w:cstheme="majorHAnsi"/>
          <w:lang w:eastAsia="en-AU"/>
        </w:rPr>
        <w:t>Provide a written report including narrative</w:t>
      </w:r>
      <w:r w:rsidR="008E64B7">
        <w:rPr>
          <w:rFonts w:cstheme="majorHAnsi"/>
          <w:lang w:eastAsia="en-AU"/>
        </w:rPr>
        <w:t>.</w:t>
      </w:r>
    </w:p>
    <w:p w14:paraId="0597CF32" w14:textId="77777777" w:rsidR="00BE02B0" w:rsidRDefault="00BE02B0" w:rsidP="00812ECB">
      <w:pPr>
        <w:rPr>
          <w:rFonts w:cstheme="majorHAnsi"/>
          <w:lang w:eastAsia="en-AU"/>
        </w:rPr>
      </w:pPr>
    </w:p>
    <w:p w14:paraId="2BF46910" w14:textId="77777777" w:rsidR="00812ECB" w:rsidRDefault="00812ECB" w:rsidP="00DD0215">
      <w:pPr>
        <w:pStyle w:val="Level2Heading"/>
        <w:numPr>
          <w:ilvl w:val="0"/>
          <w:numId w:val="0"/>
        </w:numPr>
        <w:ind w:left="30"/>
      </w:pPr>
      <w:r>
        <w:t>Quality assurance for management of NCDs</w:t>
      </w:r>
    </w:p>
    <w:p w14:paraId="5A6F519E" w14:textId="77777777" w:rsidR="0098565A" w:rsidRDefault="0098565A" w:rsidP="0098565A">
      <w:pPr>
        <w:rPr>
          <w:rFonts w:cstheme="majorHAnsi"/>
          <w:lang w:eastAsia="en-AU"/>
        </w:rPr>
      </w:pPr>
      <w:r>
        <w:rPr>
          <w:rFonts w:cstheme="majorHAnsi"/>
          <w:lang w:eastAsia="en-AU"/>
        </w:rPr>
        <w:t xml:space="preserve">In consultation with the MoH Divisions and based on the structure of the PEHS, </w:t>
      </w:r>
      <w:r w:rsidR="008E64B7">
        <w:rPr>
          <w:rFonts w:cstheme="majorHAnsi"/>
          <w:lang w:eastAsia="en-AU"/>
        </w:rPr>
        <w:t xml:space="preserve">develop a simple audit model using indicators of quality of care </w:t>
      </w:r>
      <w:r>
        <w:rPr>
          <w:rFonts w:cstheme="majorHAnsi"/>
          <w:lang w:eastAsia="en-AU"/>
        </w:rPr>
        <w:t>for</w:t>
      </w:r>
      <w:r w:rsidR="008E64B7">
        <w:rPr>
          <w:rFonts w:cstheme="majorHAnsi"/>
          <w:lang w:eastAsia="en-AU"/>
        </w:rPr>
        <w:t xml:space="preserve"> the four </w:t>
      </w:r>
      <w:r w:rsidR="008E64B7" w:rsidRPr="00812ECB">
        <w:rPr>
          <w:rFonts w:cstheme="majorHAnsi"/>
          <w:lang w:eastAsia="en-AU"/>
        </w:rPr>
        <w:t xml:space="preserve">major </w:t>
      </w:r>
      <w:r w:rsidR="00256D8C">
        <w:rPr>
          <w:rFonts w:cstheme="majorHAnsi"/>
          <w:lang w:eastAsia="en-AU"/>
        </w:rPr>
        <w:t xml:space="preserve">NCD </w:t>
      </w:r>
      <w:r w:rsidR="008E64B7" w:rsidRPr="00812ECB">
        <w:rPr>
          <w:rFonts w:cstheme="majorHAnsi"/>
          <w:lang w:eastAsia="en-AU"/>
        </w:rPr>
        <w:t>conditions (diabetes</w:t>
      </w:r>
      <w:r w:rsidR="008E64B7">
        <w:rPr>
          <w:rFonts w:cstheme="majorHAnsi"/>
          <w:lang w:eastAsia="en-AU"/>
        </w:rPr>
        <w:t xml:space="preserve"> (T2DM)</w:t>
      </w:r>
      <w:r w:rsidR="008E64B7" w:rsidRPr="00812ECB">
        <w:rPr>
          <w:rFonts w:cstheme="majorHAnsi"/>
          <w:lang w:eastAsia="en-AU"/>
        </w:rPr>
        <w:t xml:space="preserve">, </w:t>
      </w:r>
      <w:r w:rsidR="008E64B7">
        <w:rPr>
          <w:rFonts w:cstheme="majorHAnsi"/>
          <w:lang w:eastAsia="en-AU"/>
        </w:rPr>
        <w:t>heart disease, cancer and COPD</w:t>
      </w:r>
      <w:r w:rsidR="008E64B7" w:rsidRPr="00812ECB">
        <w:rPr>
          <w:rFonts w:cstheme="majorHAnsi"/>
          <w:lang w:eastAsia="en-AU"/>
        </w:rPr>
        <w:t>)</w:t>
      </w:r>
      <w:r w:rsidR="008E64B7">
        <w:rPr>
          <w:rFonts w:cstheme="majorHAnsi"/>
          <w:lang w:eastAsia="en-AU"/>
        </w:rPr>
        <w:t>.</w:t>
      </w:r>
      <w:r w:rsidR="00256D8C">
        <w:rPr>
          <w:rFonts w:cstheme="majorHAnsi"/>
          <w:lang w:eastAsia="en-AU"/>
        </w:rPr>
        <w:t xml:space="preserve"> Indicators should encompass responsible staff, medication supply, monitoring of patient progress, management of defaulters, tools/guidelines for patient care, referral pathways and patient satisfaction.</w:t>
      </w:r>
    </w:p>
    <w:p w14:paraId="7B9B0D2F" w14:textId="77777777" w:rsidR="008E64B7" w:rsidRDefault="008E64B7" w:rsidP="0098565A">
      <w:pPr>
        <w:rPr>
          <w:rFonts w:cstheme="majorHAnsi"/>
          <w:lang w:eastAsia="en-AU"/>
        </w:rPr>
      </w:pPr>
      <w:r>
        <w:rPr>
          <w:rFonts w:cstheme="majorHAnsi"/>
          <w:lang w:eastAsia="en-AU"/>
        </w:rPr>
        <w:t>Pilot test the audit using MoH staff as auditors.</w:t>
      </w:r>
    </w:p>
    <w:p w14:paraId="0655CEC5" w14:textId="77777777" w:rsidR="008E64B7" w:rsidRDefault="008E64B7" w:rsidP="0098565A">
      <w:pPr>
        <w:rPr>
          <w:rFonts w:cstheme="majorHAnsi"/>
          <w:lang w:eastAsia="en-AU"/>
        </w:rPr>
      </w:pPr>
      <w:r>
        <w:rPr>
          <w:rFonts w:cstheme="majorHAnsi"/>
          <w:lang w:eastAsia="en-AU"/>
        </w:rPr>
        <w:t xml:space="preserve">Subject to final agreement on the scale and scope of this activity, coordinate a comprehensive audit at all health facilities OR a selective audit that includes at least one health facility from every level of the </w:t>
      </w:r>
      <w:r>
        <w:rPr>
          <w:rFonts w:cstheme="majorHAnsi"/>
          <w:lang w:eastAsia="en-AU"/>
        </w:rPr>
        <w:lastRenderedPageBreak/>
        <w:t>referral system AND one complete outer islands district AND the Tongatapu facilities earmarked to become Community Health Centres.</w:t>
      </w:r>
    </w:p>
    <w:p w14:paraId="24EA1770" w14:textId="77777777" w:rsidR="008E64B7" w:rsidRDefault="008E64B7" w:rsidP="008E64B7">
      <w:pPr>
        <w:rPr>
          <w:rFonts w:cstheme="majorHAnsi"/>
          <w:lang w:eastAsia="en-AU"/>
        </w:rPr>
      </w:pPr>
      <w:r>
        <w:rPr>
          <w:rFonts w:cstheme="majorHAnsi"/>
          <w:lang w:eastAsia="en-AU"/>
        </w:rPr>
        <w:t>Document findings in a simple electronic file format (e.g. Excel spreadsheet) for handover to MoH.</w:t>
      </w:r>
    </w:p>
    <w:p w14:paraId="4391DC2F" w14:textId="77777777" w:rsidR="008E64B7" w:rsidRDefault="008E64B7" w:rsidP="008E64B7">
      <w:pPr>
        <w:rPr>
          <w:rFonts w:cstheme="majorHAnsi"/>
          <w:lang w:eastAsia="en-AU"/>
        </w:rPr>
      </w:pPr>
      <w:r>
        <w:rPr>
          <w:rFonts w:cstheme="majorHAnsi"/>
          <w:lang w:eastAsia="en-AU"/>
        </w:rPr>
        <w:t>Provide a written report including narrative, including recommendations for continuing professional development.</w:t>
      </w:r>
    </w:p>
    <w:p w14:paraId="4DB8CF44" w14:textId="77777777" w:rsidR="008E64B7" w:rsidRDefault="008E64B7" w:rsidP="0098565A">
      <w:pPr>
        <w:rPr>
          <w:rFonts w:cstheme="majorHAnsi"/>
          <w:lang w:eastAsia="en-AU"/>
        </w:rPr>
      </w:pPr>
    </w:p>
    <w:p w14:paraId="45F43586" w14:textId="77777777" w:rsidR="00812ECB" w:rsidRDefault="00812ECB" w:rsidP="00DD0215">
      <w:pPr>
        <w:pStyle w:val="Level2Heading"/>
        <w:numPr>
          <w:ilvl w:val="0"/>
          <w:numId w:val="0"/>
        </w:numPr>
        <w:ind w:left="30"/>
      </w:pPr>
      <w:r>
        <w:t>Health workforce</w:t>
      </w:r>
    </w:p>
    <w:p w14:paraId="44B63D01" w14:textId="77777777" w:rsidR="008E64B7" w:rsidRDefault="008E64B7" w:rsidP="008E64B7">
      <w:pPr>
        <w:rPr>
          <w:rFonts w:cstheme="majorHAnsi"/>
          <w:lang w:eastAsia="en-AU"/>
        </w:rPr>
      </w:pPr>
      <w:r>
        <w:rPr>
          <w:rFonts w:cstheme="majorHAnsi"/>
          <w:lang w:eastAsia="en-AU"/>
        </w:rPr>
        <w:t>In consultation with the MoH Divisions, for each individual MoH employee document:</w:t>
      </w:r>
    </w:p>
    <w:p w14:paraId="1E4F3BB6" w14:textId="77777777" w:rsidR="008E64B7" w:rsidRDefault="008E64B7" w:rsidP="00AC0818">
      <w:pPr>
        <w:pStyle w:val="ListParagraph"/>
        <w:numPr>
          <w:ilvl w:val="0"/>
          <w:numId w:val="45"/>
        </w:numPr>
        <w:rPr>
          <w:rFonts w:cstheme="majorHAnsi"/>
          <w:lang w:eastAsia="en-AU"/>
        </w:rPr>
      </w:pPr>
      <w:r>
        <w:rPr>
          <w:rFonts w:cstheme="majorHAnsi"/>
          <w:lang w:eastAsia="en-AU"/>
        </w:rPr>
        <w:t>formal academic qualifications</w:t>
      </w:r>
    </w:p>
    <w:p w14:paraId="60B2819E" w14:textId="77777777" w:rsidR="00177666" w:rsidRDefault="008E64B7" w:rsidP="00AC0818">
      <w:pPr>
        <w:pStyle w:val="ListParagraph"/>
        <w:numPr>
          <w:ilvl w:val="0"/>
          <w:numId w:val="45"/>
        </w:numPr>
        <w:rPr>
          <w:rFonts w:cstheme="majorHAnsi"/>
          <w:lang w:eastAsia="en-AU"/>
        </w:rPr>
      </w:pPr>
      <w:r>
        <w:rPr>
          <w:rFonts w:cstheme="majorHAnsi"/>
          <w:lang w:eastAsia="en-AU"/>
        </w:rPr>
        <w:t xml:space="preserve">in-service training </w:t>
      </w:r>
      <w:r w:rsidR="00177666">
        <w:rPr>
          <w:rFonts w:cstheme="majorHAnsi"/>
          <w:lang w:eastAsia="en-AU"/>
        </w:rPr>
        <w:t>undertaken within the past 5 years</w:t>
      </w:r>
    </w:p>
    <w:p w14:paraId="3B2375B2" w14:textId="77777777" w:rsidR="008E64B7" w:rsidRDefault="00177666" w:rsidP="00AC0818">
      <w:pPr>
        <w:pStyle w:val="ListParagraph"/>
        <w:numPr>
          <w:ilvl w:val="0"/>
          <w:numId w:val="45"/>
        </w:numPr>
        <w:rPr>
          <w:rFonts w:cstheme="majorHAnsi"/>
          <w:lang w:eastAsia="en-AU"/>
        </w:rPr>
      </w:pPr>
      <w:r>
        <w:rPr>
          <w:rFonts w:cstheme="majorHAnsi"/>
          <w:lang w:eastAsia="en-AU"/>
        </w:rPr>
        <w:t>competencies with respect to the requirements of the individual’s current role as indicated by the PEHS</w:t>
      </w:r>
    </w:p>
    <w:p w14:paraId="5A670BB3" w14:textId="77777777" w:rsidR="00177666" w:rsidRDefault="00177666" w:rsidP="00177666">
      <w:pPr>
        <w:rPr>
          <w:rFonts w:cstheme="majorHAnsi"/>
          <w:lang w:eastAsia="en-AU"/>
        </w:rPr>
      </w:pPr>
      <w:r>
        <w:rPr>
          <w:rFonts w:cstheme="majorHAnsi"/>
          <w:lang w:eastAsia="en-AU"/>
        </w:rPr>
        <w:t>Document findings in a simple electronic file format (e.g. Excel spreadsheet) for handover to MoH and future uploading to an HR Information System.</w:t>
      </w:r>
    </w:p>
    <w:p w14:paraId="3E38AA4B" w14:textId="77777777" w:rsidR="00177666" w:rsidRDefault="00177666" w:rsidP="00177666">
      <w:pPr>
        <w:rPr>
          <w:rFonts w:cstheme="majorHAnsi"/>
          <w:lang w:eastAsia="en-AU"/>
        </w:rPr>
      </w:pPr>
      <w:r>
        <w:rPr>
          <w:rFonts w:cstheme="majorHAnsi"/>
          <w:lang w:eastAsia="en-AU"/>
        </w:rPr>
        <w:t>Provide a written report including narrative, including recommendations for continuing professional development.</w:t>
      </w:r>
    </w:p>
    <w:p w14:paraId="1EE9D80A" w14:textId="77777777" w:rsidR="00177666" w:rsidRDefault="00177666" w:rsidP="00177666">
      <w:pPr>
        <w:rPr>
          <w:rFonts w:cstheme="majorHAnsi"/>
          <w:lang w:eastAsia="en-AU"/>
        </w:rPr>
      </w:pPr>
    </w:p>
    <w:p w14:paraId="0C11B47A" w14:textId="77777777" w:rsidR="00812ECB" w:rsidRDefault="00812ECB" w:rsidP="00DD0215">
      <w:pPr>
        <w:pStyle w:val="Level2Heading"/>
        <w:numPr>
          <w:ilvl w:val="0"/>
          <w:numId w:val="0"/>
        </w:numPr>
        <w:ind w:left="30"/>
      </w:pPr>
      <w:r>
        <w:t>Health promotion research</w:t>
      </w:r>
    </w:p>
    <w:p w14:paraId="1E4572AE" w14:textId="77777777" w:rsidR="00256D8C" w:rsidRDefault="00256D8C" w:rsidP="00EA4340">
      <w:r>
        <w:t>Working jointly with TongaHealth and the MoH:</w:t>
      </w:r>
    </w:p>
    <w:p w14:paraId="694D4630" w14:textId="77777777" w:rsidR="00EA4340" w:rsidRDefault="00EA4340" w:rsidP="00AC0818">
      <w:pPr>
        <w:pStyle w:val="ListParagraph"/>
        <w:numPr>
          <w:ilvl w:val="0"/>
          <w:numId w:val="48"/>
        </w:numPr>
      </w:pPr>
      <w:r>
        <w:t xml:space="preserve">Identify existing bodies of work </w:t>
      </w:r>
      <w:r w:rsidR="00256D8C">
        <w:t xml:space="preserve">with a focus on NCDs </w:t>
      </w:r>
      <w:r>
        <w:t>that are suitable for publication and support local staff to pre</w:t>
      </w:r>
      <w:r w:rsidR="00256D8C">
        <w:t>pare and submit for publication (for example, progress in patient care within the diabetes centre)</w:t>
      </w:r>
    </w:p>
    <w:p w14:paraId="548A9C7E" w14:textId="77777777" w:rsidR="00256D8C" w:rsidRPr="00923C0D" w:rsidRDefault="00256D8C" w:rsidP="00AC0818">
      <w:pPr>
        <w:pStyle w:val="ListParagraph"/>
        <w:numPr>
          <w:ilvl w:val="0"/>
          <w:numId w:val="47"/>
        </w:numPr>
        <w:rPr>
          <w:rFonts w:cstheme="majorHAnsi"/>
          <w:lang w:eastAsia="en-AU"/>
        </w:rPr>
      </w:pPr>
      <w:r>
        <w:t xml:space="preserve">Identify opportunities for local research into </w:t>
      </w:r>
      <w:r w:rsidRPr="00AA5B6C">
        <w:t xml:space="preserve">health promotion </w:t>
      </w:r>
      <w:r>
        <w:t xml:space="preserve">approaches and message content </w:t>
      </w:r>
      <w:r w:rsidRPr="00AA5B6C">
        <w:t>(</w:t>
      </w:r>
      <w:r>
        <w:t xml:space="preserve">focusing on </w:t>
      </w:r>
      <w:r w:rsidRPr="00AA5B6C">
        <w:t>healthy eating</w:t>
      </w:r>
      <w:r>
        <w:t xml:space="preserve">, </w:t>
      </w:r>
      <w:r w:rsidRPr="00AA5B6C">
        <w:t>health</w:t>
      </w:r>
      <w:r>
        <w:t>-</w:t>
      </w:r>
      <w:r w:rsidRPr="00AA5B6C">
        <w:t>promoting churches</w:t>
      </w:r>
      <w:r>
        <w:t>, and approaches to addressing beliefs on traditional medicines in order to improve NCD control</w:t>
      </w:r>
      <w:r w:rsidRPr="00AA5B6C">
        <w:t>)</w:t>
      </w:r>
      <w:r>
        <w:t>.</w:t>
      </w:r>
    </w:p>
    <w:p w14:paraId="64A26DAE" w14:textId="77777777" w:rsidR="00256D8C" w:rsidRPr="007A020C" w:rsidRDefault="00256D8C" w:rsidP="00AC0818">
      <w:pPr>
        <w:pStyle w:val="ListParagraph"/>
        <w:numPr>
          <w:ilvl w:val="0"/>
          <w:numId w:val="47"/>
        </w:numPr>
        <w:rPr>
          <w:rFonts w:cstheme="majorHAnsi"/>
          <w:lang w:eastAsia="en-AU"/>
        </w:rPr>
      </w:pPr>
      <w:r>
        <w:t xml:space="preserve">Identify Tonga-specific approaches to marketing </w:t>
      </w:r>
      <w:r w:rsidR="00075F29">
        <w:t xml:space="preserve">of </w:t>
      </w:r>
      <w:r>
        <w:t>improved diet.</w:t>
      </w:r>
    </w:p>
    <w:p w14:paraId="4656993B" w14:textId="77777777" w:rsidR="00256D8C" w:rsidRDefault="00256D8C" w:rsidP="00AC0818">
      <w:pPr>
        <w:pStyle w:val="ListParagraph"/>
        <w:numPr>
          <w:ilvl w:val="0"/>
          <w:numId w:val="47"/>
        </w:numPr>
        <w:rPr>
          <w:rFonts w:cstheme="majorHAnsi"/>
          <w:lang w:eastAsia="en-AU"/>
        </w:rPr>
      </w:pPr>
      <w:r>
        <w:t>Capacity building in research skills</w:t>
      </w:r>
      <w:r>
        <w:rPr>
          <w:rFonts w:cstheme="majorHAnsi"/>
          <w:lang w:eastAsia="en-AU"/>
        </w:rPr>
        <w:t xml:space="preserve"> (with emphasis on the nursing workforce and monitoring of TongaHealth grants to encourage locally produced and owned research).</w:t>
      </w:r>
    </w:p>
    <w:p w14:paraId="0341514B" w14:textId="77777777" w:rsidR="00256D8C" w:rsidRPr="00C9079A" w:rsidRDefault="00256D8C" w:rsidP="00AC0818">
      <w:pPr>
        <w:pStyle w:val="ListParagraph"/>
        <w:numPr>
          <w:ilvl w:val="0"/>
          <w:numId w:val="47"/>
        </w:numPr>
        <w:rPr>
          <w:rFonts w:cstheme="majorHAnsi"/>
          <w:lang w:eastAsia="en-AU"/>
        </w:rPr>
      </w:pPr>
      <w:r>
        <w:t>Reinforcement of the multi-sector approach (for example, through the publication of research into the impact of different sectors on NCD risk factors).</w:t>
      </w:r>
    </w:p>
    <w:p w14:paraId="7BD84A16" w14:textId="77777777" w:rsidR="00256D8C" w:rsidRDefault="00256D8C" w:rsidP="00EA4340"/>
    <w:p w14:paraId="339F35C4" w14:textId="77777777" w:rsidR="00812ECB" w:rsidRDefault="00812ECB"/>
    <w:sectPr w:rsidR="00812ECB" w:rsidSect="00C23730">
      <w:pgSz w:w="11907" w:h="16839" w:code="9"/>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B5B07" w14:textId="77777777" w:rsidR="0000120C" w:rsidRDefault="0000120C" w:rsidP="009603AB">
      <w:pPr>
        <w:spacing w:after="0" w:line="240" w:lineRule="auto"/>
      </w:pPr>
      <w:r>
        <w:separator/>
      </w:r>
    </w:p>
  </w:endnote>
  <w:endnote w:type="continuationSeparator" w:id="0">
    <w:p w14:paraId="32F87D1A" w14:textId="77777777" w:rsidR="0000120C" w:rsidRDefault="0000120C" w:rsidP="0096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ranklin Gothic Book">
    <w:altName w:val="Trebuchet MS"/>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GMinchoB">
    <w:altName w:val="MS Gothic"/>
    <w:panose1 w:val="00000000000000000000"/>
    <w:charset w:val="8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Bold">
    <w:altName w:val="Arial"/>
    <w:panose1 w:val="020B0704020202020204"/>
    <w:charset w:val="00"/>
    <w:family w:val="auto"/>
    <w:pitch w:val="variable"/>
    <w:sig w:usb0="00000003" w:usb1="00000000" w:usb2="00000000" w:usb3="00000000" w:csb0="00000001" w:csb1="00000000"/>
  </w:font>
  <w:font w:name="Gotham Light">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9DB7" w14:textId="77777777" w:rsidR="0000120C" w:rsidRPr="0039790A" w:rsidRDefault="0000120C" w:rsidP="00EB517B">
    <w:pPr>
      <w:pStyle w:val="Disclaimertext"/>
    </w:pPr>
    <w:r w:rsidRPr="0039790A">
      <w:rPr>
        <w:lang w:val="en-US"/>
      </w:rPr>
      <w:t>Disclaimer</w:t>
    </w:r>
  </w:p>
  <w:p w14:paraId="4EE92788" w14:textId="77777777" w:rsidR="0000120C" w:rsidRDefault="0000120C" w:rsidP="00EB517B">
    <w:pPr>
      <w:pStyle w:val="Disclaimertext"/>
    </w:pPr>
    <w:r w:rsidRPr="00A10BEF">
      <w:t xml:space="preserve">The Specialist Health Service (SHS) provides health technical assistance to the Australian Government. The SHS is an initiative funded by the Australian Government Department of Foreign Affairs and Trade (DFAT) and managed by Abt </w:t>
    </w:r>
    <w:r>
      <w:t>Associates</w:t>
    </w:r>
    <w:r w:rsidRPr="00A10BEF">
      <w:t xml:space="preserve"> Pty Ltd.</w:t>
    </w:r>
  </w:p>
  <w:p w14:paraId="619E7322" w14:textId="77777777" w:rsidR="0000120C" w:rsidRDefault="0000120C" w:rsidP="00EB517B">
    <w:pPr>
      <w:pStyle w:val="Disclaimertext"/>
    </w:pPr>
    <w:r w:rsidRPr="00A10BEF">
      <w:t>This document was produced by the SHS, and does not necessarily represent the views or the policy of DFAT or the Commonwealth of Australia.</w:t>
    </w:r>
  </w:p>
  <w:p w14:paraId="16B3BA51" w14:textId="77777777" w:rsidR="0000120C" w:rsidRDefault="0000120C" w:rsidP="00EB517B">
    <w:pPr>
      <w:pStyle w:val="Disclaimertext"/>
    </w:pPr>
    <w:r w:rsidRPr="00A10BEF">
      <w:t>This document has been prepared solely for the purpose agreed with the SHS and for the information of the commissioning Commonwealth Government Agency, and is not to be used for any other purpose or distributed to any other party without DFAT’s prior written consent.</w:t>
    </w:r>
  </w:p>
  <w:p w14:paraId="07FF7C89" w14:textId="77777777" w:rsidR="0000120C" w:rsidRPr="00A10BEF" w:rsidRDefault="0000120C" w:rsidP="00EB517B">
    <w:pPr>
      <w:pStyle w:val="Disclaimertext"/>
    </w:pPr>
    <w:r w:rsidRPr="00A10BEF">
      <w:t xml:space="preserve">The Commonwealth of Australia and Abt </w:t>
    </w:r>
    <w:r>
      <w:t>Associates</w:t>
    </w:r>
    <w:r w:rsidRPr="00A10BEF">
      <w:t xml:space="preserve"> Pty Ltd accept no responsibility for any loss, damage or injury resulting from reliance on any of the information or views contained in this document.</w:t>
    </w:r>
  </w:p>
  <w:p w14:paraId="6F5955B4" w14:textId="77777777" w:rsidR="0000120C" w:rsidRPr="00C536E7" w:rsidRDefault="0000120C" w:rsidP="00EB517B">
    <w:pPr>
      <w:pStyle w:val="Disclaimertext"/>
      <w:rPr>
        <w:sz w:val="20"/>
      </w:rPr>
    </w:pPr>
    <w:r w:rsidRPr="00A10BEF">
      <w:t>© Commonwealth of Australia</w:t>
    </w:r>
  </w:p>
  <w:p w14:paraId="5139D499" w14:textId="77777777" w:rsidR="0000120C" w:rsidRPr="00BA0375" w:rsidRDefault="0000120C" w:rsidP="00EB5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D2ED5" w14:textId="77777777" w:rsidR="0000120C" w:rsidRDefault="0000120C">
    <w:pPr>
      <w:pStyle w:val="Footer"/>
    </w:pPr>
    <w:r>
      <w:rPr>
        <w:noProof/>
        <w:lang w:eastAsia="en-AU"/>
      </w:rPr>
      <mc:AlternateContent>
        <mc:Choice Requires="wps">
          <w:drawing>
            <wp:anchor distT="45720" distB="45720" distL="114300" distR="114300" simplePos="0" relativeHeight="251665408" behindDoc="0" locked="0" layoutInCell="1" allowOverlap="1" wp14:anchorId="3473AC5C" wp14:editId="54A8282D">
              <wp:simplePos x="0" y="0"/>
              <wp:positionH relativeFrom="margin">
                <wp:align>left</wp:align>
              </wp:positionH>
              <wp:positionV relativeFrom="paragraph">
                <wp:posOffset>-440055</wp:posOffset>
              </wp:positionV>
              <wp:extent cx="4365625" cy="2317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5625" cy="231775"/>
                      </a:xfrm>
                      <a:prstGeom prst="rect">
                        <a:avLst/>
                      </a:prstGeom>
                      <a:solidFill>
                        <a:srgbClr val="FFFFFF"/>
                      </a:solidFill>
                      <a:ln w="9525">
                        <a:noFill/>
                        <a:miter lim="800000"/>
                        <a:headEnd/>
                        <a:tailEnd/>
                      </a:ln>
                    </wps:spPr>
                    <wps:txbx>
                      <w:txbxContent>
                        <w:p w14:paraId="746BF0BE" w14:textId="77777777" w:rsidR="0000120C" w:rsidRPr="004733C6" w:rsidRDefault="0000120C" w:rsidP="002E4FC3">
                          <w:pPr>
                            <w:spacing w:line="240" w:lineRule="auto"/>
                            <w:jc w:val="right"/>
                            <w:rPr>
                              <w:rFonts w:ascii="Times New Roman" w:hAnsi="Times New Roman"/>
                              <w:i/>
                              <w:color w:val="DA291C"/>
                              <w:sz w:val="28"/>
                            </w:rPr>
                          </w:pPr>
                          <w:r w:rsidRPr="004733C6">
                            <w:rPr>
                              <w:i/>
                              <w:color w:val="DA291C"/>
                              <w:sz w:val="18"/>
                            </w:rPr>
                            <w:t xml:space="preserve">Strategic input on health to the Australian </w:t>
                          </w:r>
                          <w:r>
                            <w:rPr>
                              <w:i/>
                              <w:color w:val="DA291C"/>
                              <w:sz w:val="18"/>
                            </w:rPr>
                            <w:t>Government</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73AC5C" id="_x0000_t202" coordsize="21600,21600" o:spt="202" path="m,l,21600r21600,l21600,xe">
              <v:stroke joinstyle="miter"/>
              <v:path gradientshapeok="t" o:connecttype="rect"/>
            </v:shapetype>
            <v:shape id="Text Box 2" o:spid="_x0000_s1026" type="#_x0000_t202" style="position:absolute;margin-left:0;margin-top:-34.65pt;width:343.75pt;height:18.25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" stroked="f">
              <v:textbox style="mso-fit-shape-to-text:t">
                <w:txbxContent>
                  <w:p w14:paraId="746BF0BE" w14:textId="77777777" w:rsidR="0000120C" w:rsidRPr="004733C6" w:rsidRDefault="0000120C" w:rsidP="002E4FC3">
                    <w:pPr>
                      <w:spacing w:line="240" w:lineRule="auto"/>
                      <w:jc w:val="right"/>
                      <w:rPr>
                        <w:rFonts w:ascii="Times New Roman" w:hAnsi="Times New Roman"/>
                        <w:i/>
                        <w:color w:val="DA291C"/>
                        <w:sz w:val="28"/>
                      </w:rPr>
                    </w:pPr>
                    <w:r w:rsidRPr="004733C6">
                      <w:rPr>
                        <w:i/>
                        <w:color w:val="DA291C"/>
                        <w:sz w:val="18"/>
                      </w:rPr>
                      <w:t xml:space="preserve">Strategic input on health to the Australian </w:t>
                    </w:r>
                    <w:r>
                      <w:rPr>
                        <w:i/>
                        <w:color w:val="DA291C"/>
                        <w:sz w:val="18"/>
                      </w:rPr>
                      <w:t>Government</w:t>
                    </w:r>
                  </w:p>
                </w:txbxContent>
              </v:textbox>
              <w10:wrap type="square" anchorx="margin"/>
            </v:shape>
          </w:pict>
        </mc:Fallback>
      </mc:AlternateContent>
    </w:r>
    <w:r w:rsidRPr="002E4FC3">
      <w:rPr>
        <w:noProof/>
        <w:lang w:eastAsia="en-AU"/>
      </w:rPr>
      <w:drawing>
        <wp:anchor distT="0" distB="0" distL="114300" distR="114300" simplePos="0" relativeHeight="251664384" behindDoc="0" locked="0" layoutInCell="1" allowOverlap="1" wp14:anchorId="521A2F9F" wp14:editId="51A1C878">
          <wp:simplePos x="0" y="0"/>
          <wp:positionH relativeFrom="margin">
            <wp:posOffset>4481830</wp:posOffset>
          </wp:positionH>
          <wp:positionV relativeFrom="margin">
            <wp:posOffset>7421880</wp:posOffset>
          </wp:positionV>
          <wp:extent cx="1844675" cy="1473200"/>
          <wp:effectExtent l="0" t="0" r="3175"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2215 SHS Logo v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675" cy="1473200"/>
                  </a:xfrm>
                  <a:prstGeom prst="rect">
                    <a:avLst/>
                  </a:prstGeom>
                  <a:noFill/>
                </pic:spPr>
              </pic:pic>
            </a:graphicData>
          </a:graphic>
        </wp:anchor>
      </w:drawing>
    </w:r>
    <w:r>
      <w:rPr>
        <w:rFonts w:ascii="Times New Roman" w:hAnsi="Times New Roman" w:cs="Times New Roman"/>
        <w:noProof/>
        <w:sz w:val="24"/>
        <w:szCs w:val="24"/>
        <w:lang w:eastAsia="en-AU"/>
      </w:rPr>
      <w:drawing>
        <wp:anchor distT="0" distB="0" distL="114300" distR="114300" simplePos="0" relativeHeight="251661312" behindDoc="0" locked="0" layoutInCell="1" allowOverlap="1" wp14:anchorId="4694780A" wp14:editId="48CDE64F">
          <wp:simplePos x="0" y="0"/>
          <wp:positionH relativeFrom="margin">
            <wp:posOffset>8865235</wp:posOffset>
          </wp:positionH>
          <wp:positionV relativeFrom="margin">
            <wp:posOffset>7543165</wp:posOffset>
          </wp:positionV>
          <wp:extent cx="1844675" cy="14732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44675" cy="1473200"/>
                  </a:xfrm>
                  <a:prstGeom prst="rect">
                    <a:avLst/>
                  </a:prstGeom>
                  <a:noFill/>
                </pic:spPr>
              </pic:pic>
            </a:graphicData>
          </a:graphic>
        </wp:anchor>
      </w:drawing>
    </w:r>
    <w:r>
      <w:rPr>
        <w:noProof/>
        <w:lang w:eastAsia="en-AU"/>
      </w:rPr>
      <mc:AlternateContent>
        <mc:Choice Requires="wps">
          <w:drawing>
            <wp:anchor distT="45720" distB="45720" distL="114300" distR="114300" simplePos="0" relativeHeight="251662336" behindDoc="0" locked="0" layoutInCell="1" allowOverlap="1" wp14:anchorId="1E0933E7" wp14:editId="6218D82B">
              <wp:simplePos x="0" y="0"/>
              <wp:positionH relativeFrom="column">
                <wp:posOffset>130175</wp:posOffset>
              </wp:positionH>
              <wp:positionV relativeFrom="paragraph">
                <wp:posOffset>970915</wp:posOffset>
              </wp:positionV>
              <wp:extent cx="4365625" cy="2343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65625" cy="234315"/>
                      </a:xfrm>
                      <a:prstGeom prst="rect">
                        <a:avLst/>
                      </a:prstGeom>
                      <a:solidFill>
                        <a:srgbClr val="FFFFFF"/>
                      </a:solidFill>
                      <a:ln w="9525">
                        <a:noFill/>
                        <a:miter lim="800000"/>
                        <a:headEnd/>
                        <a:tailEnd/>
                      </a:ln>
                    </wps:spPr>
                    <wps:txbx>
                      <w:txbxContent>
                        <w:p w14:paraId="4942B0DF" w14:textId="77777777" w:rsidR="0000120C" w:rsidRDefault="0000120C" w:rsidP="002E4FC3">
                          <w:pPr>
                            <w:pStyle w:val="HeaderFooterText"/>
                            <w:spacing w:line="240" w:lineRule="auto"/>
                            <w:jc w:val="right"/>
                            <w:rPr>
                              <w:rFonts w:ascii="Times New Roman" w:hAnsi="Times New Roman"/>
                              <w:i/>
                              <w:color w:val="DA291C"/>
                              <w:sz w:val="28"/>
                            </w:rPr>
                          </w:pPr>
                          <w:r>
                            <w:rPr>
                              <w:i/>
                              <w:color w:val="DA291C"/>
                              <w:sz w:val="18"/>
                            </w:rPr>
                            <w:t>Strategic input on health to the Australian Government</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0933E7" id="_x0000_s1027" type="#_x0000_t202" style="position:absolute;margin-left:10.25pt;margin-top:76.45pt;width:343.75pt;height:18.4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" stroked="f">
              <v:textbox style="mso-fit-shape-to-text:t">
                <w:txbxContent>
                  <w:p w14:paraId="4942B0DF" w14:textId="77777777" w:rsidR="0000120C" w:rsidRDefault="0000120C" w:rsidP="002E4FC3">
                    <w:pPr>
                      <w:pStyle w:val="HeaderFooterText"/>
                      <w:spacing w:line="240" w:lineRule="auto"/>
                      <w:jc w:val="right"/>
                      <w:rPr>
                        <w:rFonts w:ascii="Times New Roman" w:hAnsi="Times New Roman"/>
                        <w:i/>
                        <w:color w:val="DA291C"/>
                        <w:sz w:val="28"/>
                      </w:rPr>
                    </w:pPr>
                    <w:r>
                      <w:rPr>
                        <w:i/>
                        <w:color w:val="DA291C"/>
                        <w:sz w:val="18"/>
                      </w:rPr>
                      <w:t>Strategic input on health to the Australian Government</w:t>
                    </w:r>
                  </w:p>
                </w:txbxContent>
              </v:textbox>
              <w10:wrap type="square"/>
            </v:shape>
          </w:pict>
        </mc:Fallback>
      </mc:AlternateContent>
    </w:r>
    <w:r>
      <w:rPr>
        <w:rFonts w:ascii="Times New Roman" w:hAnsi="Times New Roman" w:cs="Times New Roman"/>
        <w:noProof/>
        <w:sz w:val="24"/>
        <w:szCs w:val="24"/>
        <w:lang w:eastAsia="en-AU"/>
      </w:rPr>
      <w:drawing>
        <wp:anchor distT="0" distB="0" distL="114300" distR="114300" simplePos="0" relativeHeight="251659264" behindDoc="0" locked="0" layoutInCell="1" allowOverlap="1" wp14:anchorId="6E29CCC0" wp14:editId="54A0C780">
          <wp:simplePos x="0" y="0"/>
          <wp:positionH relativeFrom="margin">
            <wp:posOffset>8712835</wp:posOffset>
          </wp:positionH>
          <wp:positionV relativeFrom="margin">
            <wp:posOffset>7390765</wp:posOffset>
          </wp:positionV>
          <wp:extent cx="1844675" cy="1473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844675" cy="147320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EF8E" w14:textId="77777777" w:rsidR="0000120C" w:rsidRPr="0039790A" w:rsidRDefault="0000120C" w:rsidP="00EB517B">
    <w:pPr>
      <w:pStyle w:val="Disclaimertext"/>
    </w:pPr>
    <w:r w:rsidRPr="0039790A">
      <w:rPr>
        <w:lang w:val="en-US"/>
      </w:rPr>
      <w:t>Disclaimer</w:t>
    </w:r>
  </w:p>
  <w:p w14:paraId="1E71C273" w14:textId="77777777" w:rsidR="0000120C" w:rsidRDefault="0000120C" w:rsidP="00EB517B">
    <w:pPr>
      <w:pStyle w:val="Disclaimertext"/>
    </w:pPr>
    <w:r w:rsidRPr="00A10BEF">
      <w:t xml:space="preserve">The Specialist Health Service (SHS) provides health technical assistance to the Australian Government. The SHS is an initiative funded by the Australian Government Department of Foreign Affairs and Trade (DFAT) and managed by Abt </w:t>
    </w:r>
    <w:r>
      <w:t>Associates</w:t>
    </w:r>
    <w:r w:rsidRPr="00A10BEF">
      <w:t xml:space="preserve"> Pty Ltd.</w:t>
    </w:r>
  </w:p>
  <w:p w14:paraId="0D3D8189" w14:textId="77777777" w:rsidR="0000120C" w:rsidRDefault="0000120C" w:rsidP="00EB517B">
    <w:pPr>
      <w:pStyle w:val="Disclaimertext"/>
    </w:pPr>
    <w:r w:rsidRPr="00A10BEF">
      <w:t>This document was produced by the SHS, and does not necessarily represent the views or the policy of DFAT or the Commonwealth of Australia.</w:t>
    </w:r>
  </w:p>
  <w:p w14:paraId="0B9F0A63" w14:textId="77777777" w:rsidR="0000120C" w:rsidRDefault="0000120C" w:rsidP="00EB517B">
    <w:pPr>
      <w:pStyle w:val="Disclaimertext"/>
    </w:pPr>
    <w:r w:rsidRPr="00A10BEF">
      <w:t>This document has been prepared solely for the purpose agreed with the SHS and for the information of the commissioning Commonwealth Government Agency, and is not to be used for any other purpose or distributed to any other party without DFAT’s prior written consent.</w:t>
    </w:r>
  </w:p>
  <w:p w14:paraId="6F5E327B" w14:textId="77777777" w:rsidR="0000120C" w:rsidRPr="00A10BEF" w:rsidRDefault="0000120C" w:rsidP="00EB517B">
    <w:pPr>
      <w:pStyle w:val="Disclaimertext"/>
    </w:pPr>
    <w:r w:rsidRPr="00A10BEF">
      <w:t xml:space="preserve">The Commonwealth of Australia and Abt </w:t>
    </w:r>
    <w:r>
      <w:t>Associates</w:t>
    </w:r>
    <w:r w:rsidRPr="00A10BEF">
      <w:t xml:space="preserve"> Pty Ltd accept no responsibility for any loss, damage or injury resulting from reliance on any of the information or views contained in this document.</w:t>
    </w:r>
  </w:p>
  <w:p w14:paraId="0BC39392" w14:textId="77777777" w:rsidR="0000120C" w:rsidRPr="00C536E7" w:rsidRDefault="0000120C" w:rsidP="00EB517B">
    <w:pPr>
      <w:pStyle w:val="Disclaimertext"/>
      <w:rPr>
        <w:sz w:val="20"/>
      </w:rPr>
    </w:pPr>
    <w:r w:rsidRPr="00A10BEF">
      <w:t>© Commonwealth of Australia</w:t>
    </w:r>
  </w:p>
  <w:p w14:paraId="6900F751" w14:textId="77777777" w:rsidR="0000120C" w:rsidRPr="00BA0375" w:rsidRDefault="0000120C" w:rsidP="00EB51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51A4" w14:textId="69A2DDB8" w:rsidR="0000120C" w:rsidRPr="008F19BE" w:rsidRDefault="0000120C" w:rsidP="00094C86">
    <w:pPr>
      <w:pStyle w:val="Footer"/>
      <w:pBdr>
        <w:top w:val="single" w:sz="4" w:space="1" w:color="auto"/>
      </w:pBdr>
      <w:tabs>
        <w:tab w:val="clear" w:pos="9026"/>
        <w:tab w:val="right" w:pos="9753"/>
      </w:tabs>
      <w:jc w:val="both"/>
      <w:rPr>
        <w:rFonts w:cs="Arial"/>
        <w:noProof/>
        <w:sz w:val="18"/>
        <w:szCs w:val="20"/>
      </w:rPr>
    </w:pPr>
    <w:r>
      <w:rPr>
        <w:rStyle w:val="HeaderFooterTextChar"/>
        <w:rFonts w:asciiTheme="minorHAnsi" w:hAnsiTheme="minorHAnsi"/>
        <w:color w:val="808080" w:themeColor="background1" w:themeShade="80"/>
      </w:rPr>
      <w:t>Tonga Health Systems Support Program Phase 2 (THSSP2) Mid-term Evaluation</w:t>
    </w:r>
    <w:r>
      <w:rPr>
        <w:rStyle w:val="HeaderFooterTextChar"/>
        <w:rFonts w:asciiTheme="minorHAnsi" w:hAnsiTheme="minorHAnsi"/>
        <w:color w:val="808080" w:themeColor="background1" w:themeShade="80"/>
      </w:rPr>
      <w:tab/>
    </w:r>
    <w:r w:rsidRPr="008F19BE">
      <w:rPr>
        <w:rFonts w:cs="Arial"/>
        <w:color w:val="DA291C"/>
        <w:sz w:val="18"/>
        <w:szCs w:val="20"/>
      </w:rPr>
      <w:sym w:font="Wingdings" w:char="F06E"/>
    </w:r>
    <w:r w:rsidRPr="008F19BE">
      <w:rPr>
        <w:rFonts w:cs="Arial"/>
        <w:color w:val="808080" w:themeColor="background1" w:themeShade="80"/>
        <w:sz w:val="18"/>
        <w:szCs w:val="20"/>
      </w:rPr>
      <w:fldChar w:fldCharType="begin"/>
    </w:r>
    <w:r w:rsidRPr="008F19BE">
      <w:rPr>
        <w:rFonts w:cs="Arial"/>
        <w:color w:val="808080" w:themeColor="background1" w:themeShade="80"/>
        <w:sz w:val="18"/>
        <w:szCs w:val="20"/>
      </w:rPr>
      <w:instrText xml:space="preserve"> PAGE   \* MERGEFORMAT </w:instrText>
    </w:r>
    <w:r w:rsidRPr="008F19BE">
      <w:rPr>
        <w:rFonts w:cs="Arial"/>
        <w:color w:val="808080" w:themeColor="background1" w:themeShade="80"/>
        <w:sz w:val="18"/>
        <w:szCs w:val="20"/>
      </w:rPr>
      <w:fldChar w:fldCharType="separate"/>
    </w:r>
    <w:r w:rsidR="001A663F">
      <w:rPr>
        <w:rFonts w:cs="Arial"/>
        <w:noProof/>
        <w:color w:val="808080" w:themeColor="background1" w:themeShade="80"/>
        <w:sz w:val="18"/>
        <w:szCs w:val="20"/>
      </w:rPr>
      <w:t>48</w:t>
    </w:r>
    <w:r w:rsidRPr="008F19BE">
      <w:rPr>
        <w:rFonts w:cs="Arial"/>
        <w:noProof/>
        <w:color w:val="808080" w:themeColor="background1" w:themeShade="80"/>
        <w:sz w:val="18"/>
        <w:szCs w:val="20"/>
      </w:rPr>
      <w:fldChar w:fldCharType="end"/>
    </w:r>
  </w:p>
  <w:p w14:paraId="6CCBB9D2" w14:textId="77777777" w:rsidR="0000120C" w:rsidRPr="00B973F3" w:rsidRDefault="0000120C" w:rsidP="00094C86">
    <w:pPr>
      <w:pStyle w:val="Footer"/>
      <w:tabs>
        <w:tab w:val="clear" w:pos="9026"/>
        <w:tab w:val="right" w:pos="9753"/>
      </w:tabs>
      <w:rPr>
        <w:rFonts w:ascii="Tahoma" w:hAnsi="Tahoma"/>
        <w:sz w:val="18"/>
        <w:szCs w:val="18"/>
      </w:rPr>
    </w:pPr>
    <w:r w:rsidRPr="0072055B">
      <w:rPr>
        <w:noProof/>
        <w:color w:val="C00000"/>
        <w:sz w:val="18"/>
        <w:szCs w:val="18"/>
      </w:rPr>
      <w:t>Specialist Health Service</w:t>
    </w:r>
    <w:r>
      <w:rPr>
        <w:noProof/>
        <w:color w:val="C00000"/>
        <w:sz w:val="18"/>
        <w:szCs w:val="18"/>
      </w:rPr>
      <w:tab/>
    </w:r>
    <w:r>
      <w:rPr>
        <w:noProof/>
        <w:color w:val="C00000"/>
        <w:sz w:val="18"/>
        <w:szCs w:val="18"/>
      </w:rPr>
      <w:tab/>
      <w:t xml:space="preserve"> </w:t>
    </w:r>
  </w:p>
  <w:p w14:paraId="5EA4A4CC" w14:textId="77777777" w:rsidR="0000120C" w:rsidRPr="00BA0375" w:rsidRDefault="0000120C" w:rsidP="00EB51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1DB4" w14:textId="76042153" w:rsidR="0000120C" w:rsidRPr="008F19BE" w:rsidRDefault="0000120C" w:rsidP="00094C86">
    <w:pPr>
      <w:pStyle w:val="Footer"/>
      <w:pBdr>
        <w:top w:val="single" w:sz="4" w:space="1" w:color="auto"/>
      </w:pBdr>
      <w:tabs>
        <w:tab w:val="clear" w:pos="9026"/>
        <w:tab w:val="right" w:pos="9753"/>
      </w:tabs>
      <w:jc w:val="both"/>
      <w:rPr>
        <w:rFonts w:cs="Arial"/>
        <w:noProof/>
        <w:sz w:val="18"/>
        <w:szCs w:val="20"/>
      </w:rPr>
    </w:pPr>
    <w:r>
      <w:rPr>
        <w:rStyle w:val="HeaderFooterTextChar"/>
        <w:rFonts w:asciiTheme="minorHAnsi" w:hAnsiTheme="minorHAnsi"/>
        <w:color w:val="808080" w:themeColor="background1" w:themeShade="80"/>
      </w:rPr>
      <w:t>Tonga Health Systems Support Program Phase 2 (THSSP2) Mid-term Evaluation</w:t>
    </w:r>
    <w:r>
      <w:rPr>
        <w:rStyle w:val="HeaderFooterTextChar"/>
        <w:rFonts w:asciiTheme="minorHAnsi" w:hAnsiTheme="minorHAnsi"/>
        <w:color w:val="808080" w:themeColor="background1" w:themeShade="80"/>
      </w:rPr>
      <w:tab/>
    </w:r>
    <w:r w:rsidRPr="008F19BE">
      <w:rPr>
        <w:rFonts w:cs="Arial"/>
        <w:color w:val="DA291C"/>
        <w:sz w:val="18"/>
        <w:szCs w:val="20"/>
      </w:rPr>
      <w:sym w:font="Wingdings" w:char="F06E"/>
    </w:r>
    <w:r w:rsidRPr="008F19BE">
      <w:rPr>
        <w:rFonts w:cs="Arial"/>
        <w:color w:val="808080" w:themeColor="background1" w:themeShade="80"/>
        <w:sz w:val="18"/>
        <w:szCs w:val="20"/>
      </w:rPr>
      <w:fldChar w:fldCharType="begin"/>
    </w:r>
    <w:r w:rsidRPr="008F19BE">
      <w:rPr>
        <w:rFonts w:cs="Arial"/>
        <w:color w:val="808080" w:themeColor="background1" w:themeShade="80"/>
        <w:sz w:val="18"/>
        <w:szCs w:val="20"/>
      </w:rPr>
      <w:instrText xml:space="preserve"> PAGE   \* MERGEFORMAT </w:instrText>
    </w:r>
    <w:r w:rsidRPr="008F19BE">
      <w:rPr>
        <w:rFonts w:cs="Arial"/>
        <w:color w:val="808080" w:themeColor="background1" w:themeShade="80"/>
        <w:sz w:val="18"/>
        <w:szCs w:val="20"/>
      </w:rPr>
      <w:fldChar w:fldCharType="separate"/>
    </w:r>
    <w:r w:rsidR="001A663F">
      <w:rPr>
        <w:rFonts w:cs="Arial"/>
        <w:noProof/>
        <w:color w:val="808080" w:themeColor="background1" w:themeShade="80"/>
        <w:sz w:val="18"/>
        <w:szCs w:val="20"/>
      </w:rPr>
      <w:t>117</w:t>
    </w:r>
    <w:r w:rsidRPr="008F19BE">
      <w:rPr>
        <w:rFonts w:cs="Arial"/>
        <w:noProof/>
        <w:color w:val="808080" w:themeColor="background1" w:themeShade="80"/>
        <w:sz w:val="18"/>
        <w:szCs w:val="20"/>
      </w:rPr>
      <w:fldChar w:fldCharType="end"/>
    </w:r>
  </w:p>
  <w:p w14:paraId="69B474A7" w14:textId="77777777" w:rsidR="0000120C" w:rsidRPr="00B973F3" w:rsidRDefault="0000120C" w:rsidP="00094C86">
    <w:pPr>
      <w:pStyle w:val="Footer"/>
      <w:tabs>
        <w:tab w:val="clear" w:pos="9026"/>
        <w:tab w:val="right" w:pos="9753"/>
      </w:tabs>
      <w:rPr>
        <w:rFonts w:ascii="Tahoma" w:hAnsi="Tahoma"/>
        <w:sz w:val="18"/>
        <w:szCs w:val="18"/>
      </w:rPr>
    </w:pPr>
    <w:r w:rsidRPr="0072055B">
      <w:rPr>
        <w:noProof/>
        <w:color w:val="C00000"/>
        <w:sz w:val="18"/>
        <w:szCs w:val="18"/>
      </w:rPr>
      <w:t>Specialist Health Service</w:t>
    </w:r>
    <w:r>
      <w:rPr>
        <w:noProof/>
        <w:color w:val="C00000"/>
        <w:sz w:val="18"/>
        <w:szCs w:val="18"/>
      </w:rPr>
      <w:tab/>
    </w:r>
    <w:r>
      <w:rPr>
        <w:noProof/>
        <w:color w:val="C00000"/>
        <w:sz w:val="18"/>
        <w:szCs w:val="18"/>
      </w:rPr>
      <w:tab/>
      <w:t xml:space="preserve"> </w:t>
    </w:r>
  </w:p>
  <w:p w14:paraId="4AEC2AF2" w14:textId="77777777" w:rsidR="0000120C" w:rsidRPr="00BA0375" w:rsidRDefault="0000120C" w:rsidP="00EB5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A57CB" w14:textId="77777777" w:rsidR="0000120C" w:rsidRDefault="0000120C" w:rsidP="009603AB">
      <w:pPr>
        <w:spacing w:after="0" w:line="240" w:lineRule="auto"/>
      </w:pPr>
      <w:r>
        <w:separator/>
      </w:r>
    </w:p>
  </w:footnote>
  <w:footnote w:type="continuationSeparator" w:id="0">
    <w:p w14:paraId="67DE257E" w14:textId="77777777" w:rsidR="0000120C" w:rsidRDefault="0000120C" w:rsidP="009603AB">
      <w:pPr>
        <w:spacing w:after="0" w:line="240" w:lineRule="auto"/>
      </w:pPr>
      <w:r>
        <w:continuationSeparator/>
      </w:r>
    </w:p>
  </w:footnote>
  <w:footnote w:id="1">
    <w:p w14:paraId="1C53C0AA" w14:textId="77777777" w:rsidR="0000120C" w:rsidRPr="005D2D39" w:rsidRDefault="0000120C" w:rsidP="00D2231A">
      <w:pPr>
        <w:pStyle w:val="FootnoteText"/>
        <w:rPr>
          <w:sz w:val="22"/>
          <w:szCs w:val="22"/>
        </w:rPr>
      </w:pPr>
      <w:r>
        <w:rPr>
          <w:rStyle w:val="FootnoteReference"/>
        </w:rPr>
        <w:footnoteRef/>
      </w:r>
      <w:r>
        <w:t xml:space="preserve"> </w:t>
      </w:r>
      <w:r w:rsidRPr="005D2D39">
        <w:rPr>
          <w:sz w:val="22"/>
          <w:szCs w:val="22"/>
        </w:rPr>
        <w:t>Indicative at this stage may vary depending on profile of final team.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AF5C" w14:textId="77777777" w:rsidR="0000120C" w:rsidRDefault="0000120C">
    <w:pPr>
      <w:pStyle w:val="Header"/>
    </w:pPr>
    <w:r>
      <w:rPr>
        <w:noProof/>
        <w:lang w:val="en-AU" w:eastAsia="en-AU"/>
      </w:rPr>
      <mc:AlternateContent>
        <mc:Choice Requires="wps">
          <w:drawing>
            <wp:anchor distT="0" distB="0" distL="114300" distR="114300" simplePos="0" relativeHeight="251668480" behindDoc="1" locked="0" layoutInCell="0" allowOverlap="1" wp14:anchorId="37126D1D" wp14:editId="58F0D5CA">
              <wp:simplePos x="0" y="0"/>
              <wp:positionH relativeFrom="margin">
                <wp:align>center</wp:align>
              </wp:positionH>
              <wp:positionV relativeFrom="margin">
                <wp:align>center</wp:align>
              </wp:positionV>
              <wp:extent cx="5267325" cy="106680"/>
              <wp:effectExtent l="0" t="0" r="0" b="0"/>
              <wp:wrapNone/>
              <wp:docPr id="5"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67325" cy="106680"/>
                      </a:xfrm>
                      <a:prstGeom prst="rect">
                        <a:avLst/>
                      </a:prstGeom>
                      <a:extLst/>
                    </wps:spPr>
                    <wps:txbx>
                      <w:txbxContent>
                        <w:p w14:paraId="689A354C" w14:textId="77777777" w:rsidR="0000120C" w:rsidRDefault="0000120C" w:rsidP="00E97A3B">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126D1D" id="_x0000_t202" coordsize="21600,21600" o:spt="202" path="m,l,21600r21600,l21600,xe">
              <v:stroke joinstyle="miter"/>
              <v:path gradientshapeok="t" o:connecttype="rect"/>
            </v:shapetype>
            <v:shape id="WordArt 11" o:spid="_x0000_s1028" type="#_x0000_t202" style="position:absolute;margin-left:0;margin-top:0;width:414.75pt;height:8.4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" o:allowincell="f" filled="f" stroked="f">
              <o:lock v:ext="edit" shapetype="t"/>
              <v:textbox style="mso-fit-shape-to-text:t">
                <w:txbxContent>
                  <w:p w14:paraId="689A354C" w14:textId="77777777" w:rsidR="0000120C" w:rsidRDefault="0000120C" w:rsidP="00E97A3B">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42DB" w14:textId="77777777" w:rsidR="0000120C" w:rsidRPr="00C8592C" w:rsidRDefault="0000120C" w:rsidP="00E97A3B">
    <w:pPr>
      <w:pStyle w:val="Header"/>
    </w:pPr>
    <w:r>
      <w:rPr>
        <w:noProof/>
        <w:lang w:val="en-AU" w:eastAsia="en-AU"/>
      </w:rPr>
      <mc:AlternateContent>
        <mc:Choice Requires="wps">
          <w:drawing>
            <wp:anchor distT="0" distB="0" distL="114300" distR="114300" simplePos="0" relativeHeight="251667456" behindDoc="1" locked="0" layoutInCell="0" allowOverlap="1" wp14:anchorId="2A468192" wp14:editId="6DE59A0C">
              <wp:simplePos x="0" y="0"/>
              <wp:positionH relativeFrom="margin">
                <wp:align>center</wp:align>
              </wp:positionH>
              <wp:positionV relativeFrom="margin">
                <wp:align>center</wp:align>
              </wp:positionV>
              <wp:extent cx="5267325" cy="106680"/>
              <wp:effectExtent l="0" t="0" r="0" b="0"/>
              <wp:wrapNone/>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67325" cy="106680"/>
                      </a:xfrm>
                      <a:prstGeom prst="rect">
                        <a:avLst/>
                      </a:prstGeom>
                      <a:extLst/>
                    </wps:spPr>
                    <wps:txbx>
                      <w:txbxContent>
                        <w:p w14:paraId="16B513D3" w14:textId="77777777" w:rsidR="0000120C" w:rsidRDefault="0000120C" w:rsidP="00E97A3B">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468192" id="_x0000_t202" coordsize="21600,21600" o:spt="202" path="m,l,21600r21600,l21600,xe">
              <v:stroke joinstyle="miter"/>
              <v:path gradientshapeok="t" o:connecttype="rect"/>
            </v:shapetype>
            <v:shape id="WordArt 10" o:spid="_x0000_s1029" type="#_x0000_t202" style="position:absolute;margin-left:0;margin-top:0;width:414.75pt;height:8.4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" o:allowincell="f" filled="f" stroked="f">
              <o:lock v:ext="edit" shapetype="t"/>
              <v:textbox style="mso-fit-shape-to-text:t">
                <w:txbxContent>
                  <w:p w14:paraId="16B513D3" w14:textId="77777777" w:rsidR="0000120C" w:rsidRDefault="0000120C" w:rsidP="00E97A3B">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458"/>
    <w:multiLevelType w:val="hybridMultilevel"/>
    <w:tmpl w:val="A416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1E7A"/>
    <w:multiLevelType w:val="hybridMultilevel"/>
    <w:tmpl w:val="E6668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E6F3E"/>
    <w:multiLevelType w:val="hybridMultilevel"/>
    <w:tmpl w:val="EDA21FAE"/>
    <w:lvl w:ilvl="0" w:tplc="C32CE308">
      <w:start w:val="1"/>
      <w:numFmt w:val="decimal"/>
      <w:lvlText w:val="%1."/>
      <w:lvlJc w:val="left"/>
      <w:pPr>
        <w:ind w:left="360" w:hanging="360"/>
      </w:pPr>
      <w:rPr>
        <w:rFonts w:asciiTheme="minorHAnsi" w:eastAsiaTheme="minorHAnsi" w:hAnsiTheme="minorHAnsi" w:cstheme="majorHAnsi"/>
      </w:rPr>
    </w:lvl>
    <w:lvl w:ilvl="1" w:tplc="6E761610">
      <w:start w:val="1"/>
      <w:numFmt w:val="decimal"/>
      <w:lvlText w:val="%2."/>
      <w:lvlJc w:val="left"/>
      <w:pPr>
        <w:ind w:left="1080" w:hanging="360"/>
      </w:pPr>
      <w:rPr>
        <w:rFonts w:ascii="Arial" w:eastAsiaTheme="minorHAnsi"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4978DE"/>
    <w:multiLevelType w:val="hybridMultilevel"/>
    <w:tmpl w:val="80967BB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4" w15:restartNumberingAfterBreak="0">
    <w:nsid w:val="0A5B06DF"/>
    <w:multiLevelType w:val="hybridMultilevel"/>
    <w:tmpl w:val="9DB6C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8D5ECB"/>
    <w:multiLevelType w:val="hybridMultilevel"/>
    <w:tmpl w:val="A7061FF2"/>
    <w:lvl w:ilvl="0" w:tplc="FA843992">
      <w:start w:val="1"/>
      <w:numFmt w:val="decimal"/>
      <w:lvlText w:val="%1."/>
      <w:lvlJc w:val="left"/>
      <w:pPr>
        <w:ind w:left="390" w:hanging="360"/>
      </w:pPr>
      <w:rPr>
        <w:rFonts w:asciiTheme="minorHAnsi" w:hAnsiTheme="minorHAnsi" w:cstheme="minorBidi" w:hint="default"/>
        <w:b/>
      </w:rPr>
    </w:lvl>
    <w:lvl w:ilvl="1" w:tplc="08090001">
      <w:start w:val="1"/>
      <w:numFmt w:val="bullet"/>
      <w:lvlText w:val=""/>
      <w:lvlJc w:val="left"/>
      <w:pPr>
        <w:ind w:left="1110" w:hanging="360"/>
      </w:pPr>
      <w:rPr>
        <w:rFonts w:ascii="Symbol" w:hAnsi="Symbol" w:hint="default"/>
      </w:r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6" w15:restartNumberingAfterBreak="0">
    <w:nsid w:val="0DF76965"/>
    <w:multiLevelType w:val="hybridMultilevel"/>
    <w:tmpl w:val="3C3AD4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42E72"/>
    <w:multiLevelType w:val="hybridMultilevel"/>
    <w:tmpl w:val="F17CC1D4"/>
    <w:lvl w:ilvl="0" w:tplc="6F045216">
      <w:start w:val="1"/>
      <w:numFmt w:val="decimal"/>
      <w:pStyle w:val="NumberedList"/>
      <w:lvlText w:val="%1."/>
      <w:lvlJc w:val="left"/>
      <w:pPr>
        <w:ind w:left="1004" w:hanging="360"/>
      </w:pPr>
      <w:rPr>
        <w:b/>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109F4421"/>
    <w:multiLevelType w:val="multilevel"/>
    <w:tmpl w:val="CD445738"/>
    <w:lvl w:ilvl="0">
      <w:start w:val="1"/>
      <w:numFmt w:val="decimal"/>
      <w:lvlText w:val="%1."/>
      <w:lvlJc w:val="left"/>
      <w:pPr>
        <w:ind w:left="360" w:hanging="360"/>
      </w:pPr>
      <w:rPr>
        <w:rFonts w:hint="default"/>
      </w:rPr>
    </w:lvl>
    <w:lvl w:ilvl="1">
      <w:start w:val="1"/>
      <w:numFmt w:val="decimal"/>
      <w:lvlText w:val="2.%2"/>
      <w:lvlJc w:val="left"/>
      <w:pPr>
        <w:ind w:left="284" w:firstLine="0"/>
      </w:pPr>
      <w:rPr>
        <w:rFonts w:ascii="Calibri" w:hAnsi="Calibri" w:hint="default"/>
        <w:sz w:val="24"/>
      </w:rPr>
    </w:lvl>
    <w:lvl w:ilvl="2">
      <w:start w:val="1"/>
      <w:numFmt w:val="decimal"/>
      <w:lvlText w:val="%1.%2.%3."/>
      <w:lvlJc w:val="left"/>
      <w:pPr>
        <w:ind w:left="56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B94D56"/>
    <w:multiLevelType w:val="hybridMultilevel"/>
    <w:tmpl w:val="36060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8065A1"/>
    <w:multiLevelType w:val="multilevel"/>
    <w:tmpl w:val="6B0ACF54"/>
    <w:lvl w:ilvl="0">
      <w:start w:val="1"/>
      <w:numFmt w:val="decimal"/>
      <w:lvlText w:val="%1."/>
      <w:lvlJc w:val="left"/>
      <w:pPr>
        <w:ind w:left="360" w:hanging="360"/>
      </w:pPr>
      <w:rPr>
        <w:rFonts w:hint="default"/>
      </w:rPr>
    </w:lvl>
    <w:lvl w:ilvl="1">
      <w:start w:val="1"/>
      <w:numFmt w:val="decimal"/>
      <w:pStyle w:val="Heading2"/>
      <w:lvlText w:val="%1.%2."/>
      <w:lvlJc w:val="left"/>
      <w:pPr>
        <w:ind w:left="284" w:firstLine="0"/>
      </w:pPr>
      <w:rPr>
        <w:rFonts w:hint="default"/>
      </w:rPr>
    </w:lvl>
    <w:lvl w:ilvl="2">
      <w:start w:val="1"/>
      <w:numFmt w:val="decimal"/>
      <w:lvlText w:val="%1.%2.%3."/>
      <w:lvlJc w:val="left"/>
      <w:pPr>
        <w:ind w:left="56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AE50FE"/>
    <w:multiLevelType w:val="hybridMultilevel"/>
    <w:tmpl w:val="E6447742"/>
    <w:lvl w:ilvl="0" w:tplc="FA843992">
      <w:start w:val="1"/>
      <w:numFmt w:val="decimal"/>
      <w:lvlText w:val="%1."/>
      <w:lvlJc w:val="left"/>
      <w:pPr>
        <w:ind w:left="390" w:hanging="360"/>
      </w:pPr>
      <w:rPr>
        <w:rFonts w:asciiTheme="minorHAnsi" w:hAnsiTheme="minorHAnsi" w:cstheme="minorBidi" w:hint="default"/>
        <w:b/>
      </w:rPr>
    </w:lvl>
    <w:lvl w:ilvl="1" w:tplc="0C09001B">
      <w:start w:val="1"/>
      <w:numFmt w:val="lowerRoman"/>
      <w:lvlText w:val="%2."/>
      <w:lvlJc w:val="right"/>
      <w:pPr>
        <w:ind w:left="1110" w:hanging="360"/>
      </w:pPr>
      <w:rPr>
        <w:rFonts w:hint="default"/>
      </w:r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2" w15:restartNumberingAfterBreak="0">
    <w:nsid w:val="1614340E"/>
    <w:multiLevelType w:val="hybridMultilevel"/>
    <w:tmpl w:val="725E1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184D13"/>
    <w:multiLevelType w:val="hybridMultilevel"/>
    <w:tmpl w:val="5E485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A07E9F"/>
    <w:multiLevelType w:val="hybridMultilevel"/>
    <w:tmpl w:val="C0DE9D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CF6D60"/>
    <w:multiLevelType w:val="hybridMultilevel"/>
    <w:tmpl w:val="842A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C675D"/>
    <w:multiLevelType w:val="hybridMultilevel"/>
    <w:tmpl w:val="E3C0F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37059B"/>
    <w:multiLevelType w:val="hybridMultilevel"/>
    <w:tmpl w:val="76B6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A733A2"/>
    <w:multiLevelType w:val="hybridMultilevel"/>
    <w:tmpl w:val="283A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8F04DC"/>
    <w:multiLevelType w:val="hybridMultilevel"/>
    <w:tmpl w:val="6AC6C17E"/>
    <w:lvl w:ilvl="0" w:tplc="5B30DD4C">
      <w:start w:val="1"/>
      <w:numFmt w:val="decimal"/>
      <w:lvlText w:val="%1."/>
      <w:lvlJc w:val="left"/>
      <w:pPr>
        <w:ind w:left="390" w:hanging="360"/>
      </w:pPr>
      <w:rPr>
        <w:rFonts w:asciiTheme="minorHAnsi" w:hAnsi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244307"/>
    <w:multiLevelType w:val="hybridMultilevel"/>
    <w:tmpl w:val="B994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821486"/>
    <w:multiLevelType w:val="hybridMultilevel"/>
    <w:tmpl w:val="05C0CF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1C4010"/>
    <w:multiLevelType w:val="hybridMultilevel"/>
    <w:tmpl w:val="C72A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0550C2"/>
    <w:multiLevelType w:val="hybridMultilevel"/>
    <w:tmpl w:val="8B4ED916"/>
    <w:lvl w:ilvl="0" w:tplc="FEAE2518">
      <w:start w:val="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0870B6"/>
    <w:multiLevelType w:val="hybridMultilevel"/>
    <w:tmpl w:val="B0AC2D8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5" w15:restartNumberingAfterBreak="0">
    <w:nsid w:val="2F9C2BFA"/>
    <w:multiLevelType w:val="hybridMultilevel"/>
    <w:tmpl w:val="8176F56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160CF4"/>
    <w:multiLevelType w:val="hybridMultilevel"/>
    <w:tmpl w:val="4B404336"/>
    <w:lvl w:ilvl="0" w:tplc="08090011">
      <w:start w:val="1"/>
      <w:numFmt w:val="decimal"/>
      <w:lvlText w:val="%1)"/>
      <w:lvlJc w:val="left"/>
      <w:pPr>
        <w:ind w:left="360" w:hanging="360"/>
      </w:pPr>
    </w:lvl>
    <w:lvl w:ilvl="1" w:tplc="6E761610">
      <w:start w:val="1"/>
      <w:numFmt w:val="decimal"/>
      <w:lvlText w:val="%2."/>
      <w:lvlJc w:val="left"/>
      <w:pPr>
        <w:ind w:left="1080" w:hanging="360"/>
      </w:pPr>
      <w:rPr>
        <w:rFonts w:ascii="Arial" w:eastAsiaTheme="minorHAnsi" w:hAnsi="Arial" w:cs="Arial"/>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60229F2"/>
    <w:multiLevelType w:val="hybridMultilevel"/>
    <w:tmpl w:val="AF60A778"/>
    <w:lvl w:ilvl="0" w:tplc="969C71D6">
      <w:start w:val="4"/>
      <w:numFmt w:val="bullet"/>
      <w:lvlText w:val=""/>
      <w:lvlJc w:val="left"/>
      <w:pPr>
        <w:tabs>
          <w:tab w:val="num" w:pos="720"/>
        </w:tabs>
        <w:ind w:left="720" w:hanging="360"/>
      </w:pPr>
      <w:rPr>
        <w:rFonts w:ascii="Symbol" w:eastAsia="Times New Roman" w:hAnsi="Symbol" w:cs="Arial" w:hint="default"/>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A1E5311"/>
    <w:multiLevelType w:val="hybridMultilevel"/>
    <w:tmpl w:val="D59E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7D3534"/>
    <w:multiLevelType w:val="hybridMultilevel"/>
    <w:tmpl w:val="B4A47A0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587B5E"/>
    <w:multiLevelType w:val="hybridMultilevel"/>
    <w:tmpl w:val="26E47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6575B5"/>
    <w:multiLevelType w:val="hybridMultilevel"/>
    <w:tmpl w:val="F110796E"/>
    <w:lvl w:ilvl="0" w:tplc="2AE017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E6419B"/>
    <w:multiLevelType w:val="hybridMultilevel"/>
    <w:tmpl w:val="131A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F565B"/>
    <w:multiLevelType w:val="hybridMultilevel"/>
    <w:tmpl w:val="2178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DD3E4D"/>
    <w:multiLevelType w:val="hybridMultilevel"/>
    <w:tmpl w:val="7F8A7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9C1DFA"/>
    <w:multiLevelType w:val="hybridMultilevel"/>
    <w:tmpl w:val="65D40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99D6273"/>
    <w:multiLevelType w:val="hybridMultilevel"/>
    <w:tmpl w:val="2B00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A6B2FBD"/>
    <w:multiLevelType w:val="hybridMultilevel"/>
    <w:tmpl w:val="103409CA"/>
    <w:lvl w:ilvl="0" w:tplc="129EB792">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8A4224"/>
    <w:multiLevelType w:val="hybridMultilevel"/>
    <w:tmpl w:val="5BE02B6E"/>
    <w:lvl w:ilvl="0" w:tplc="9A02AE44">
      <w:start w:val="1"/>
      <w:numFmt w:val="bullet"/>
      <w:lvlText w:val="•"/>
      <w:lvlJc w:val="left"/>
      <w:pPr>
        <w:tabs>
          <w:tab w:val="num" w:pos="720"/>
        </w:tabs>
        <w:ind w:left="720" w:hanging="360"/>
      </w:pPr>
      <w:rPr>
        <w:rFonts w:ascii="Arial" w:hAnsi="Arial" w:hint="default"/>
      </w:rPr>
    </w:lvl>
    <w:lvl w:ilvl="1" w:tplc="15D26C00" w:tentative="1">
      <w:start w:val="1"/>
      <w:numFmt w:val="bullet"/>
      <w:lvlText w:val="•"/>
      <w:lvlJc w:val="left"/>
      <w:pPr>
        <w:tabs>
          <w:tab w:val="num" w:pos="1440"/>
        </w:tabs>
        <w:ind w:left="1440" w:hanging="360"/>
      </w:pPr>
      <w:rPr>
        <w:rFonts w:ascii="Arial" w:hAnsi="Arial" w:hint="default"/>
      </w:rPr>
    </w:lvl>
    <w:lvl w:ilvl="2" w:tplc="B93242EC" w:tentative="1">
      <w:start w:val="1"/>
      <w:numFmt w:val="bullet"/>
      <w:lvlText w:val="•"/>
      <w:lvlJc w:val="left"/>
      <w:pPr>
        <w:tabs>
          <w:tab w:val="num" w:pos="2160"/>
        </w:tabs>
        <w:ind w:left="2160" w:hanging="360"/>
      </w:pPr>
      <w:rPr>
        <w:rFonts w:ascii="Arial" w:hAnsi="Arial" w:hint="default"/>
      </w:rPr>
    </w:lvl>
    <w:lvl w:ilvl="3" w:tplc="AD90E6AE" w:tentative="1">
      <w:start w:val="1"/>
      <w:numFmt w:val="bullet"/>
      <w:lvlText w:val="•"/>
      <w:lvlJc w:val="left"/>
      <w:pPr>
        <w:tabs>
          <w:tab w:val="num" w:pos="2880"/>
        </w:tabs>
        <w:ind w:left="2880" w:hanging="360"/>
      </w:pPr>
      <w:rPr>
        <w:rFonts w:ascii="Arial" w:hAnsi="Arial" w:hint="default"/>
      </w:rPr>
    </w:lvl>
    <w:lvl w:ilvl="4" w:tplc="20C8ECB4" w:tentative="1">
      <w:start w:val="1"/>
      <w:numFmt w:val="bullet"/>
      <w:lvlText w:val="•"/>
      <w:lvlJc w:val="left"/>
      <w:pPr>
        <w:tabs>
          <w:tab w:val="num" w:pos="3600"/>
        </w:tabs>
        <w:ind w:left="3600" w:hanging="360"/>
      </w:pPr>
      <w:rPr>
        <w:rFonts w:ascii="Arial" w:hAnsi="Arial" w:hint="default"/>
      </w:rPr>
    </w:lvl>
    <w:lvl w:ilvl="5" w:tplc="62B8BE4A" w:tentative="1">
      <w:start w:val="1"/>
      <w:numFmt w:val="bullet"/>
      <w:lvlText w:val="•"/>
      <w:lvlJc w:val="left"/>
      <w:pPr>
        <w:tabs>
          <w:tab w:val="num" w:pos="4320"/>
        </w:tabs>
        <w:ind w:left="4320" w:hanging="360"/>
      </w:pPr>
      <w:rPr>
        <w:rFonts w:ascii="Arial" w:hAnsi="Arial" w:hint="default"/>
      </w:rPr>
    </w:lvl>
    <w:lvl w:ilvl="6" w:tplc="8DFA550A" w:tentative="1">
      <w:start w:val="1"/>
      <w:numFmt w:val="bullet"/>
      <w:lvlText w:val="•"/>
      <w:lvlJc w:val="left"/>
      <w:pPr>
        <w:tabs>
          <w:tab w:val="num" w:pos="5040"/>
        </w:tabs>
        <w:ind w:left="5040" w:hanging="360"/>
      </w:pPr>
      <w:rPr>
        <w:rFonts w:ascii="Arial" w:hAnsi="Arial" w:hint="default"/>
      </w:rPr>
    </w:lvl>
    <w:lvl w:ilvl="7" w:tplc="F66EA02E" w:tentative="1">
      <w:start w:val="1"/>
      <w:numFmt w:val="bullet"/>
      <w:lvlText w:val="•"/>
      <w:lvlJc w:val="left"/>
      <w:pPr>
        <w:tabs>
          <w:tab w:val="num" w:pos="5760"/>
        </w:tabs>
        <w:ind w:left="5760" w:hanging="360"/>
      </w:pPr>
      <w:rPr>
        <w:rFonts w:ascii="Arial" w:hAnsi="Arial" w:hint="default"/>
      </w:rPr>
    </w:lvl>
    <w:lvl w:ilvl="8" w:tplc="B01E1B0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ECB0FD5"/>
    <w:multiLevelType w:val="hybridMultilevel"/>
    <w:tmpl w:val="2466B918"/>
    <w:lvl w:ilvl="0" w:tplc="BF6620B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0936FE1"/>
    <w:multiLevelType w:val="hybridMultilevel"/>
    <w:tmpl w:val="C92C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CD7EA1"/>
    <w:multiLevelType w:val="hybridMultilevel"/>
    <w:tmpl w:val="770220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59741C1"/>
    <w:multiLevelType w:val="hybridMultilevel"/>
    <w:tmpl w:val="78A869C4"/>
    <w:lvl w:ilvl="0" w:tplc="08090011">
      <w:start w:val="1"/>
      <w:numFmt w:val="decimal"/>
      <w:lvlText w:val="%1)"/>
      <w:lvlJc w:val="left"/>
      <w:pPr>
        <w:ind w:left="750" w:hanging="360"/>
      </w:pPr>
      <w:rPr>
        <w:rFonts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3" w15:restartNumberingAfterBreak="0">
    <w:nsid w:val="588527B4"/>
    <w:multiLevelType w:val="hybridMultilevel"/>
    <w:tmpl w:val="DE8A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0F684E"/>
    <w:multiLevelType w:val="hybridMultilevel"/>
    <w:tmpl w:val="7BA4BE1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2818A5"/>
    <w:multiLevelType w:val="hybridMultilevel"/>
    <w:tmpl w:val="A7061FF2"/>
    <w:lvl w:ilvl="0" w:tplc="FA843992">
      <w:start w:val="1"/>
      <w:numFmt w:val="decimal"/>
      <w:lvlText w:val="%1."/>
      <w:lvlJc w:val="left"/>
      <w:pPr>
        <w:ind w:left="390" w:hanging="360"/>
      </w:pPr>
      <w:rPr>
        <w:rFonts w:asciiTheme="minorHAnsi" w:hAnsiTheme="minorHAnsi" w:cstheme="minorBidi" w:hint="default"/>
        <w:b/>
      </w:rPr>
    </w:lvl>
    <w:lvl w:ilvl="1" w:tplc="08090001">
      <w:start w:val="1"/>
      <w:numFmt w:val="bullet"/>
      <w:lvlText w:val=""/>
      <w:lvlJc w:val="left"/>
      <w:pPr>
        <w:ind w:left="1110" w:hanging="360"/>
      </w:pPr>
      <w:rPr>
        <w:rFonts w:ascii="Symbol" w:hAnsi="Symbol" w:hint="default"/>
      </w:r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46" w15:restartNumberingAfterBreak="0">
    <w:nsid w:val="5DFE16F9"/>
    <w:multiLevelType w:val="hybridMultilevel"/>
    <w:tmpl w:val="1E86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FF34F5"/>
    <w:multiLevelType w:val="hybridMultilevel"/>
    <w:tmpl w:val="F044F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02F288C"/>
    <w:multiLevelType w:val="hybridMultilevel"/>
    <w:tmpl w:val="98C2DF9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9" w15:restartNumberingAfterBreak="0">
    <w:nsid w:val="62DD0520"/>
    <w:multiLevelType w:val="hybridMultilevel"/>
    <w:tmpl w:val="9E8A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306E53"/>
    <w:multiLevelType w:val="multilevel"/>
    <w:tmpl w:val="9F8EA99A"/>
    <w:lvl w:ilvl="0">
      <w:start w:val="1"/>
      <w:numFmt w:val="decimal"/>
      <w:pStyle w:val="Heading1"/>
      <w:lvlText w:val="%1."/>
      <w:lvlJc w:val="left"/>
      <w:pPr>
        <w:ind w:left="360" w:hanging="360"/>
      </w:pPr>
    </w:lvl>
    <w:lvl w:ilvl="1">
      <w:start w:val="1"/>
      <w:numFmt w:val="decimal"/>
      <w:lvlText w:val="%1.%2."/>
      <w:lvlJc w:val="left"/>
      <w:pPr>
        <w:ind w:left="553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8084E80"/>
    <w:multiLevelType w:val="hybridMultilevel"/>
    <w:tmpl w:val="AF02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5936E9"/>
    <w:multiLevelType w:val="multilevel"/>
    <w:tmpl w:val="E3EEBA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CA65E93"/>
    <w:multiLevelType w:val="hybridMultilevel"/>
    <w:tmpl w:val="FF12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9666ED"/>
    <w:multiLevelType w:val="hybridMultilevel"/>
    <w:tmpl w:val="E056F2A8"/>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55" w15:restartNumberingAfterBreak="0">
    <w:nsid w:val="70FB233A"/>
    <w:multiLevelType w:val="hybridMultilevel"/>
    <w:tmpl w:val="DCEE181E"/>
    <w:lvl w:ilvl="0" w:tplc="08090001">
      <w:start w:val="1"/>
      <w:numFmt w:val="bullet"/>
      <w:lvlText w:val=""/>
      <w:lvlJc w:val="left"/>
      <w:pPr>
        <w:ind w:left="720" w:hanging="360"/>
      </w:pPr>
      <w:rPr>
        <w:rFonts w:ascii="Symbol" w:hAnsi="Symbol" w:hint="default"/>
      </w:rPr>
    </w:lvl>
    <w:lvl w:ilvl="1" w:tplc="A22AA39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97782C"/>
    <w:multiLevelType w:val="multilevel"/>
    <w:tmpl w:val="760ACE96"/>
    <w:lvl w:ilvl="0">
      <w:start w:val="1"/>
      <w:numFmt w:val="decimal"/>
      <w:pStyle w:val="NumberedLevel1heading"/>
      <w:lvlText w:val="%1."/>
      <w:lvlJc w:val="left"/>
      <w:pPr>
        <w:ind w:left="360" w:hanging="360"/>
      </w:pPr>
      <w:rPr>
        <w:rFonts w:hint="default"/>
      </w:rPr>
    </w:lvl>
    <w:lvl w:ilvl="1">
      <w:start w:val="1"/>
      <w:numFmt w:val="decimal"/>
      <w:pStyle w:val="Level2Heading"/>
      <w:lvlText w:val="%1.%2."/>
      <w:lvlJc w:val="left"/>
      <w:pPr>
        <w:ind w:left="284" w:firstLine="0"/>
      </w:pPr>
      <w:rPr>
        <w:rFonts w:hint="default"/>
      </w:rPr>
    </w:lvl>
    <w:lvl w:ilvl="2">
      <w:start w:val="1"/>
      <w:numFmt w:val="decimal"/>
      <w:pStyle w:val="Level3heading"/>
      <w:lvlText w:val="%1.%2.%3."/>
      <w:lvlJc w:val="left"/>
      <w:pPr>
        <w:ind w:left="56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1EA6202"/>
    <w:multiLevelType w:val="hybridMultilevel"/>
    <w:tmpl w:val="6704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8365DA"/>
    <w:multiLevelType w:val="hybridMultilevel"/>
    <w:tmpl w:val="718446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5866EE3"/>
    <w:multiLevelType w:val="hybridMultilevel"/>
    <w:tmpl w:val="6A12A8F6"/>
    <w:lvl w:ilvl="0" w:tplc="2F80A0A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 w15:restartNumberingAfterBreak="0">
    <w:nsid w:val="75D53254"/>
    <w:multiLevelType w:val="hybridMultilevel"/>
    <w:tmpl w:val="167E5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6C36205"/>
    <w:multiLevelType w:val="multilevel"/>
    <w:tmpl w:val="3FA40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799E749B"/>
    <w:multiLevelType w:val="hybridMultilevel"/>
    <w:tmpl w:val="A7AC1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2"/>
  </w:num>
  <w:num w:numId="2">
    <w:abstractNumId w:val="50"/>
  </w:num>
  <w:num w:numId="3">
    <w:abstractNumId w:val="14"/>
  </w:num>
  <w:num w:numId="4">
    <w:abstractNumId w:val="31"/>
  </w:num>
  <w:num w:numId="5">
    <w:abstractNumId w:val="46"/>
  </w:num>
  <w:num w:numId="6">
    <w:abstractNumId w:val="21"/>
  </w:num>
  <w:num w:numId="7">
    <w:abstractNumId w:val="26"/>
  </w:num>
  <w:num w:numId="8">
    <w:abstractNumId w:val="55"/>
  </w:num>
  <w:num w:numId="9">
    <w:abstractNumId w:val="0"/>
  </w:num>
  <w:num w:numId="10">
    <w:abstractNumId w:val="57"/>
  </w:num>
  <w:num w:numId="11">
    <w:abstractNumId w:val="22"/>
  </w:num>
  <w:num w:numId="12">
    <w:abstractNumId w:val="20"/>
  </w:num>
  <w:num w:numId="13">
    <w:abstractNumId w:val="48"/>
  </w:num>
  <w:num w:numId="14">
    <w:abstractNumId w:val="4"/>
  </w:num>
  <w:num w:numId="15">
    <w:abstractNumId w:val="60"/>
  </w:num>
  <w:num w:numId="16">
    <w:abstractNumId w:val="10"/>
  </w:num>
  <w:num w:numId="17">
    <w:abstractNumId w:val="38"/>
  </w:num>
  <w:num w:numId="18">
    <w:abstractNumId w:val="44"/>
  </w:num>
  <w:num w:numId="19">
    <w:abstractNumId w:val="6"/>
  </w:num>
  <w:num w:numId="20">
    <w:abstractNumId w:val="51"/>
  </w:num>
  <w:num w:numId="21">
    <w:abstractNumId w:val="28"/>
  </w:num>
  <w:num w:numId="22">
    <w:abstractNumId w:val="43"/>
  </w:num>
  <w:num w:numId="23">
    <w:abstractNumId w:val="11"/>
  </w:num>
  <w:num w:numId="24">
    <w:abstractNumId w:val="29"/>
  </w:num>
  <w:num w:numId="25">
    <w:abstractNumId w:val="25"/>
  </w:num>
  <w:num w:numId="26">
    <w:abstractNumId w:val="2"/>
  </w:num>
  <w:num w:numId="27">
    <w:abstractNumId w:val="27"/>
  </w:num>
  <w:num w:numId="28">
    <w:abstractNumId w:val="39"/>
  </w:num>
  <w:num w:numId="29">
    <w:abstractNumId w:val="23"/>
  </w:num>
  <w:num w:numId="30">
    <w:abstractNumId w:val="37"/>
  </w:num>
  <w:num w:numId="31">
    <w:abstractNumId w:val="47"/>
  </w:num>
  <w:num w:numId="32">
    <w:abstractNumId w:val="62"/>
  </w:num>
  <w:num w:numId="33">
    <w:abstractNumId w:val="41"/>
  </w:num>
  <w:num w:numId="34">
    <w:abstractNumId w:val="34"/>
  </w:num>
  <w:num w:numId="35">
    <w:abstractNumId w:val="36"/>
  </w:num>
  <w:num w:numId="36">
    <w:abstractNumId w:val="18"/>
  </w:num>
  <w:num w:numId="37">
    <w:abstractNumId w:val="7"/>
  </w:num>
  <w:num w:numId="38">
    <w:abstractNumId w:val="58"/>
  </w:num>
  <w:num w:numId="39">
    <w:abstractNumId w:val="35"/>
  </w:num>
  <w:num w:numId="40">
    <w:abstractNumId w:val="52"/>
  </w:num>
  <w:num w:numId="41">
    <w:abstractNumId w:val="54"/>
  </w:num>
  <w:num w:numId="42">
    <w:abstractNumId w:val="3"/>
  </w:num>
  <w:num w:numId="43">
    <w:abstractNumId w:val="15"/>
  </w:num>
  <w:num w:numId="44">
    <w:abstractNumId w:val="53"/>
  </w:num>
  <w:num w:numId="45">
    <w:abstractNumId w:val="24"/>
  </w:num>
  <w:num w:numId="46">
    <w:abstractNumId w:val="33"/>
  </w:num>
  <w:num w:numId="47">
    <w:abstractNumId w:val="32"/>
  </w:num>
  <w:num w:numId="48">
    <w:abstractNumId w:val="17"/>
  </w:num>
  <w:num w:numId="49">
    <w:abstractNumId w:val="13"/>
  </w:num>
  <w:num w:numId="50">
    <w:abstractNumId w:val="16"/>
  </w:num>
  <w:num w:numId="51">
    <w:abstractNumId w:val="9"/>
  </w:num>
  <w:num w:numId="52">
    <w:abstractNumId w:val="40"/>
  </w:num>
  <w:num w:numId="53">
    <w:abstractNumId w:val="1"/>
  </w:num>
  <w:num w:numId="54">
    <w:abstractNumId w:val="19"/>
  </w:num>
  <w:num w:numId="55">
    <w:abstractNumId w:val="12"/>
  </w:num>
  <w:num w:numId="56">
    <w:abstractNumId w:val="56"/>
  </w:num>
  <w:num w:numId="57">
    <w:abstractNumId w:val="8"/>
  </w:num>
  <w:num w:numId="58">
    <w:abstractNumId w:val="45"/>
  </w:num>
  <w:num w:numId="59">
    <w:abstractNumId w:val="30"/>
  </w:num>
  <w:num w:numId="60">
    <w:abstractNumId w:val="49"/>
  </w:num>
  <w:num w:numId="61">
    <w:abstractNumId w:val="5"/>
  </w:num>
  <w:num w:numId="62">
    <w:abstractNumId w:val="59"/>
  </w:num>
  <w:num w:numId="63">
    <w:abstractNumId w:val="61"/>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0M7cwMbc0MzAwNzBS0lEKTi0uzszPAykwrwUALNfECSwAAAA="/>
  </w:docVars>
  <w:rsids>
    <w:rsidRoot w:val="005A2AF0"/>
    <w:rsid w:val="00000502"/>
    <w:rsid w:val="00000741"/>
    <w:rsid w:val="00000E16"/>
    <w:rsid w:val="0000120C"/>
    <w:rsid w:val="000028DD"/>
    <w:rsid w:val="00002A48"/>
    <w:rsid w:val="00003AD9"/>
    <w:rsid w:val="00005573"/>
    <w:rsid w:val="00007595"/>
    <w:rsid w:val="00010285"/>
    <w:rsid w:val="000115D9"/>
    <w:rsid w:val="000128A1"/>
    <w:rsid w:val="000154D3"/>
    <w:rsid w:val="00016078"/>
    <w:rsid w:val="0001608A"/>
    <w:rsid w:val="000217BE"/>
    <w:rsid w:val="00022A8F"/>
    <w:rsid w:val="00022CDD"/>
    <w:rsid w:val="00022D77"/>
    <w:rsid w:val="00024020"/>
    <w:rsid w:val="00025353"/>
    <w:rsid w:val="000259FB"/>
    <w:rsid w:val="00027CA6"/>
    <w:rsid w:val="00030F47"/>
    <w:rsid w:val="000313EB"/>
    <w:rsid w:val="0003250C"/>
    <w:rsid w:val="00033DD0"/>
    <w:rsid w:val="00034288"/>
    <w:rsid w:val="00034996"/>
    <w:rsid w:val="0003499A"/>
    <w:rsid w:val="00036068"/>
    <w:rsid w:val="00037535"/>
    <w:rsid w:val="0004082E"/>
    <w:rsid w:val="00040B4D"/>
    <w:rsid w:val="0004496F"/>
    <w:rsid w:val="000472F1"/>
    <w:rsid w:val="00047B49"/>
    <w:rsid w:val="00047D3B"/>
    <w:rsid w:val="00051128"/>
    <w:rsid w:val="00051F47"/>
    <w:rsid w:val="00053FD3"/>
    <w:rsid w:val="000627FA"/>
    <w:rsid w:val="00062F8C"/>
    <w:rsid w:val="000636F1"/>
    <w:rsid w:val="00064969"/>
    <w:rsid w:val="00070BA5"/>
    <w:rsid w:val="0007130E"/>
    <w:rsid w:val="00071CE2"/>
    <w:rsid w:val="00072426"/>
    <w:rsid w:val="00075F29"/>
    <w:rsid w:val="000763F8"/>
    <w:rsid w:val="00080711"/>
    <w:rsid w:val="00080AFD"/>
    <w:rsid w:val="00080F39"/>
    <w:rsid w:val="00081936"/>
    <w:rsid w:val="000857D3"/>
    <w:rsid w:val="000910D0"/>
    <w:rsid w:val="00091B41"/>
    <w:rsid w:val="00094638"/>
    <w:rsid w:val="00094C86"/>
    <w:rsid w:val="0009505B"/>
    <w:rsid w:val="00095DDC"/>
    <w:rsid w:val="000A05F9"/>
    <w:rsid w:val="000A15D4"/>
    <w:rsid w:val="000A4C44"/>
    <w:rsid w:val="000A5DD2"/>
    <w:rsid w:val="000A7546"/>
    <w:rsid w:val="000A78D5"/>
    <w:rsid w:val="000B028C"/>
    <w:rsid w:val="000B28E7"/>
    <w:rsid w:val="000B39A3"/>
    <w:rsid w:val="000B54BD"/>
    <w:rsid w:val="000B5E4B"/>
    <w:rsid w:val="000B6345"/>
    <w:rsid w:val="000B65F9"/>
    <w:rsid w:val="000C0352"/>
    <w:rsid w:val="000C30D1"/>
    <w:rsid w:val="000C39CF"/>
    <w:rsid w:val="000C3BE0"/>
    <w:rsid w:val="000C6F0C"/>
    <w:rsid w:val="000D0315"/>
    <w:rsid w:val="000D0727"/>
    <w:rsid w:val="000D11B4"/>
    <w:rsid w:val="000D2608"/>
    <w:rsid w:val="000D3654"/>
    <w:rsid w:val="000D493D"/>
    <w:rsid w:val="000D651C"/>
    <w:rsid w:val="000E7681"/>
    <w:rsid w:val="000E7802"/>
    <w:rsid w:val="000E78B9"/>
    <w:rsid w:val="000F0317"/>
    <w:rsid w:val="000F1389"/>
    <w:rsid w:val="000F5F8D"/>
    <w:rsid w:val="0010108B"/>
    <w:rsid w:val="00101857"/>
    <w:rsid w:val="0010230B"/>
    <w:rsid w:val="00105FD3"/>
    <w:rsid w:val="001078DB"/>
    <w:rsid w:val="00110E80"/>
    <w:rsid w:val="001123C1"/>
    <w:rsid w:val="001124DA"/>
    <w:rsid w:val="00113E53"/>
    <w:rsid w:val="00115E42"/>
    <w:rsid w:val="00116074"/>
    <w:rsid w:val="00116A43"/>
    <w:rsid w:val="00117D35"/>
    <w:rsid w:val="00120191"/>
    <w:rsid w:val="00120996"/>
    <w:rsid w:val="001214E9"/>
    <w:rsid w:val="001223F0"/>
    <w:rsid w:val="0012268D"/>
    <w:rsid w:val="00126F8E"/>
    <w:rsid w:val="00127B49"/>
    <w:rsid w:val="00130F48"/>
    <w:rsid w:val="00132F87"/>
    <w:rsid w:val="0013436B"/>
    <w:rsid w:val="0014042C"/>
    <w:rsid w:val="00143078"/>
    <w:rsid w:val="00143CD9"/>
    <w:rsid w:val="00145594"/>
    <w:rsid w:val="00145AE0"/>
    <w:rsid w:val="00145FFD"/>
    <w:rsid w:val="00150658"/>
    <w:rsid w:val="001511FC"/>
    <w:rsid w:val="00151217"/>
    <w:rsid w:val="00152B08"/>
    <w:rsid w:val="001532A4"/>
    <w:rsid w:val="00153D28"/>
    <w:rsid w:val="001544BF"/>
    <w:rsid w:val="00154A73"/>
    <w:rsid w:val="00157F89"/>
    <w:rsid w:val="001605A2"/>
    <w:rsid w:val="00160CDE"/>
    <w:rsid w:val="00162433"/>
    <w:rsid w:val="001625B2"/>
    <w:rsid w:val="00162B7E"/>
    <w:rsid w:val="001633D9"/>
    <w:rsid w:val="001678DB"/>
    <w:rsid w:val="001702E5"/>
    <w:rsid w:val="00170BCC"/>
    <w:rsid w:val="0017102C"/>
    <w:rsid w:val="00171596"/>
    <w:rsid w:val="00171819"/>
    <w:rsid w:val="0017354C"/>
    <w:rsid w:val="00173F04"/>
    <w:rsid w:val="00174101"/>
    <w:rsid w:val="00175BAB"/>
    <w:rsid w:val="00177666"/>
    <w:rsid w:val="00177CC7"/>
    <w:rsid w:val="00180287"/>
    <w:rsid w:val="00183979"/>
    <w:rsid w:val="00184529"/>
    <w:rsid w:val="00184936"/>
    <w:rsid w:val="00185699"/>
    <w:rsid w:val="001860B6"/>
    <w:rsid w:val="001940F4"/>
    <w:rsid w:val="0019561B"/>
    <w:rsid w:val="00196E31"/>
    <w:rsid w:val="001A0B33"/>
    <w:rsid w:val="001A328C"/>
    <w:rsid w:val="001A6284"/>
    <w:rsid w:val="001A663F"/>
    <w:rsid w:val="001A7866"/>
    <w:rsid w:val="001B0459"/>
    <w:rsid w:val="001B0860"/>
    <w:rsid w:val="001B25E3"/>
    <w:rsid w:val="001B2FFE"/>
    <w:rsid w:val="001B375E"/>
    <w:rsid w:val="001B5D6B"/>
    <w:rsid w:val="001B6912"/>
    <w:rsid w:val="001C2632"/>
    <w:rsid w:val="001C38F0"/>
    <w:rsid w:val="001C43E5"/>
    <w:rsid w:val="001C782A"/>
    <w:rsid w:val="001C7940"/>
    <w:rsid w:val="001D5319"/>
    <w:rsid w:val="001E17BC"/>
    <w:rsid w:val="001E45B9"/>
    <w:rsid w:val="001E4651"/>
    <w:rsid w:val="001E4FFE"/>
    <w:rsid w:val="001E5B4F"/>
    <w:rsid w:val="001F0168"/>
    <w:rsid w:val="001F2BE3"/>
    <w:rsid w:val="001F3B1E"/>
    <w:rsid w:val="001F5E9A"/>
    <w:rsid w:val="001F7136"/>
    <w:rsid w:val="001F731D"/>
    <w:rsid w:val="00200E03"/>
    <w:rsid w:val="00200E87"/>
    <w:rsid w:val="00201149"/>
    <w:rsid w:val="002016A6"/>
    <w:rsid w:val="0020186C"/>
    <w:rsid w:val="00202DF5"/>
    <w:rsid w:val="0020605F"/>
    <w:rsid w:val="0020613D"/>
    <w:rsid w:val="00215501"/>
    <w:rsid w:val="00216064"/>
    <w:rsid w:val="0021784A"/>
    <w:rsid w:val="00217B45"/>
    <w:rsid w:val="0022081E"/>
    <w:rsid w:val="00221BDB"/>
    <w:rsid w:val="00224A3D"/>
    <w:rsid w:val="00225C7C"/>
    <w:rsid w:val="00226768"/>
    <w:rsid w:val="0023242F"/>
    <w:rsid w:val="00236270"/>
    <w:rsid w:val="0023751D"/>
    <w:rsid w:val="0024017D"/>
    <w:rsid w:val="002401B7"/>
    <w:rsid w:val="00240A2C"/>
    <w:rsid w:val="00240D20"/>
    <w:rsid w:val="00240DC3"/>
    <w:rsid w:val="00241CD5"/>
    <w:rsid w:val="00242CCE"/>
    <w:rsid w:val="00244F91"/>
    <w:rsid w:val="00245BD3"/>
    <w:rsid w:val="00245C95"/>
    <w:rsid w:val="00246BC4"/>
    <w:rsid w:val="002525E0"/>
    <w:rsid w:val="00255BE1"/>
    <w:rsid w:val="00255C1F"/>
    <w:rsid w:val="00256D8C"/>
    <w:rsid w:val="00260F7C"/>
    <w:rsid w:val="00261485"/>
    <w:rsid w:val="00262068"/>
    <w:rsid w:val="0026250B"/>
    <w:rsid w:val="00263DED"/>
    <w:rsid w:val="0026683A"/>
    <w:rsid w:val="00266CB9"/>
    <w:rsid w:val="0026731A"/>
    <w:rsid w:val="00270701"/>
    <w:rsid w:val="00270BB5"/>
    <w:rsid w:val="0027118B"/>
    <w:rsid w:val="00274691"/>
    <w:rsid w:val="002768E8"/>
    <w:rsid w:val="0027786A"/>
    <w:rsid w:val="002836C6"/>
    <w:rsid w:val="002845DD"/>
    <w:rsid w:val="0028504F"/>
    <w:rsid w:val="002853B5"/>
    <w:rsid w:val="002856C0"/>
    <w:rsid w:val="00287CAB"/>
    <w:rsid w:val="002903A9"/>
    <w:rsid w:val="0029164A"/>
    <w:rsid w:val="002919C4"/>
    <w:rsid w:val="00296EFE"/>
    <w:rsid w:val="002A00D1"/>
    <w:rsid w:val="002A223D"/>
    <w:rsid w:val="002A4665"/>
    <w:rsid w:val="002A5B30"/>
    <w:rsid w:val="002B150E"/>
    <w:rsid w:val="002B1B44"/>
    <w:rsid w:val="002C1788"/>
    <w:rsid w:val="002C3497"/>
    <w:rsid w:val="002C35AD"/>
    <w:rsid w:val="002C3EBA"/>
    <w:rsid w:val="002C44C5"/>
    <w:rsid w:val="002C4E28"/>
    <w:rsid w:val="002C5098"/>
    <w:rsid w:val="002D2D08"/>
    <w:rsid w:val="002D2FD6"/>
    <w:rsid w:val="002D3F3A"/>
    <w:rsid w:val="002D50F3"/>
    <w:rsid w:val="002D65FE"/>
    <w:rsid w:val="002D7195"/>
    <w:rsid w:val="002E15BC"/>
    <w:rsid w:val="002E1E9B"/>
    <w:rsid w:val="002E288F"/>
    <w:rsid w:val="002E4C9D"/>
    <w:rsid w:val="002E4FC3"/>
    <w:rsid w:val="002E5221"/>
    <w:rsid w:val="002E65B9"/>
    <w:rsid w:val="002F19B4"/>
    <w:rsid w:val="002F2390"/>
    <w:rsid w:val="002F257A"/>
    <w:rsid w:val="002F2A6B"/>
    <w:rsid w:val="002F3A98"/>
    <w:rsid w:val="002F4B3C"/>
    <w:rsid w:val="002F66CD"/>
    <w:rsid w:val="002F68BF"/>
    <w:rsid w:val="002F7F85"/>
    <w:rsid w:val="00300CE8"/>
    <w:rsid w:val="0030137D"/>
    <w:rsid w:val="00301FD7"/>
    <w:rsid w:val="00302A54"/>
    <w:rsid w:val="00305CC0"/>
    <w:rsid w:val="003073D3"/>
    <w:rsid w:val="0030769D"/>
    <w:rsid w:val="00312A1D"/>
    <w:rsid w:val="003131B8"/>
    <w:rsid w:val="00315B09"/>
    <w:rsid w:val="00315C56"/>
    <w:rsid w:val="00316A47"/>
    <w:rsid w:val="00316F3B"/>
    <w:rsid w:val="00320350"/>
    <w:rsid w:val="003207A5"/>
    <w:rsid w:val="00320AB4"/>
    <w:rsid w:val="00320EA8"/>
    <w:rsid w:val="00323C44"/>
    <w:rsid w:val="00324937"/>
    <w:rsid w:val="00324F62"/>
    <w:rsid w:val="00324FBF"/>
    <w:rsid w:val="0033003C"/>
    <w:rsid w:val="003320A7"/>
    <w:rsid w:val="003321E8"/>
    <w:rsid w:val="003349D5"/>
    <w:rsid w:val="00335B77"/>
    <w:rsid w:val="003366DE"/>
    <w:rsid w:val="003378AA"/>
    <w:rsid w:val="00341523"/>
    <w:rsid w:val="0034179B"/>
    <w:rsid w:val="00345A40"/>
    <w:rsid w:val="00346517"/>
    <w:rsid w:val="0035093A"/>
    <w:rsid w:val="00355A33"/>
    <w:rsid w:val="003572FA"/>
    <w:rsid w:val="00357CE3"/>
    <w:rsid w:val="0036014A"/>
    <w:rsid w:val="00364484"/>
    <w:rsid w:val="00364F88"/>
    <w:rsid w:val="003653EB"/>
    <w:rsid w:val="00367258"/>
    <w:rsid w:val="003704E6"/>
    <w:rsid w:val="0037234D"/>
    <w:rsid w:val="003726D9"/>
    <w:rsid w:val="003727D0"/>
    <w:rsid w:val="00373D25"/>
    <w:rsid w:val="00374DDB"/>
    <w:rsid w:val="00382691"/>
    <w:rsid w:val="003830A6"/>
    <w:rsid w:val="00383397"/>
    <w:rsid w:val="00383D9B"/>
    <w:rsid w:val="00384FB9"/>
    <w:rsid w:val="0038668B"/>
    <w:rsid w:val="00386FE5"/>
    <w:rsid w:val="0038786C"/>
    <w:rsid w:val="00387B6C"/>
    <w:rsid w:val="00390E41"/>
    <w:rsid w:val="0039155E"/>
    <w:rsid w:val="00392223"/>
    <w:rsid w:val="003934AF"/>
    <w:rsid w:val="003938C0"/>
    <w:rsid w:val="00394C33"/>
    <w:rsid w:val="00395C8D"/>
    <w:rsid w:val="003A37E8"/>
    <w:rsid w:val="003A3A8F"/>
    <w:rsid w:val="003A5BA4"/>
    <w:rsid w:val="003B1DF2"/>
    <w:rsid w:val="003B363F"/>
    <w:rsid w:val="003B639B"/>
    <w:rsid w:val="003B6D75"/>
    <w:rsid w:val="003C04A3"/>
    <w:rsid w:val="003C04CE"/>
    <w:rsid w:val="003C3AC3"/>
    <w:rsid w:val="003D6BD7"/>
    <w:rsid w:val="003D6E08"/>
    <w:rsid w:val="003D6F79"/>
    <w:rsid w:val="003D6FBC"/>
    <w:rsid w:val="003D755A"/>
    <w:rsid w:val="003D7D38"/>
    <w:rsid w:val="003E201E"/>
    <w:rsid w:val="003E2256"/>
    <w:rsid w:val="003E2C3E"/>
    <w:rsid w:val="003F0C7A"/>
    <w:rsid w:val="003F11F8"/>
    <w:rsid w:val="003F1D8C"/>
    <w:rsid w:val="003F2DC7"/>
    <w:rsid w:val="003F4192"/>
    <w:rsid w:val="003F427B"/>
    <w:rsid w:val="003F4C9E"/>
    <w:rsid w:val="003F5DF7"/>
    <w:rsid w:val="003F66E4"/>
    <w:rsid w:val="004005C3"/>
    <w:rsid w:val="004018F8"/>
    <w:rsid w:val="00401F26"/>
    <w:rsid w:val="00404398"/>
    <w:rsid w:val="00404CAF"/>
    <w:rsid w:val="0040517D"/>
    <w:rsid w:val="004065E2"/>
    <w:rsid w:val="00407A6F"/>
    <w:rsid w:val="00410A55"/>
    <w:rsid w:val="00415C47"/>
    <w:rsid w:val="00417D80"/>
    <w:rsid w:val="00420662"/>
    <w:rsid w:val="00421C48"/>
    <w:rsid w:val="00422C1F"/>
    <w:rsid w:val="00432C2F"/>
    <w:rsid w:val="00433EC5"/>
    <w:rsid w:val="0043433D"/>
    <w:rsid w:val="00436DD0"/>
    <w:rsid w:val="004372E2"/>
    <w:rsid w:val="00440628"/>
    <w:rsid w:val="00441657"/>
    <w:rsid w:val="00441D69"/>
    <w:rsid w:val="00445D92"/>
    <w:rsid w:val="00445E07"/>
    <w:rsid w:val="00446EF8"/>
    <w:rsid w:val="004501B1"/>
    <w:rsid w:val="00451540"/>
    <w:rsid w:val="00454539"/>
    <w:rsid w:val="004545C6"/>
    <w:rsid w:val="00456653"/>
    <w:rsid w:val="0045753F"/>
    <w:rsid w:val="00460C29"/>
    <w:rsid w:val="00464FB3"/>
    <w:rsid w:val="004707C9"/>
    <w:rsid w:val="00471368"/>
    <w:rsid w:val="004717E6"/>
    <w:rsid w:val="00471AFF"/>
    <w:rsid w:val="00471F15"/>
    <w:rsid w:val="004724E7"/>
    <w:rsid w:val="0047318D"/>
    <w:rsid w:val="00473AF1"/>
    <w:rsid w:val="00474D41"/>
    <w:rsid w:val="00477AD4"/>
    <w:rsid w:val="00480868"/>
    <w:rsid w:val="00480A33"/>
    <w:rsid w:val="00480DBD"/>
    <w:rsid w:val="00480E2F"/>
    <w:rsid w:val="00482B31"/>
    <w:rsid w:val="0048384D"/>
    <w:rsid w:val="00484D86"/>
    <w:rsid w:val="00487BC3"/>
    <w:rsid w:val="00490102"/>
    <w:rsid w:val="0049337F"/>
    <w:rsid w:val="0049594D"/>
    <w:rsid w:val="004960D8"/>
    <w:rsid w:val="0049688C"/>
    <w:rsid w:val="004975DF"/>
    <w:rsid w:val="004978F3"/>
    <w:rsid w:val="00497900"/>
    <w:rsid w:val="004A1999"/>
    <w:rsid w:val="004A220C"/>
    <w:rsid w:val="004A3C20"/>
    <w:rsid w:val="004A559A"/>
    <w:rsid w:val="004A641A"/>
    <w:rsid w:val="004B0170"/>
    <w:rsid w:val="004B0D96"/>
    <w:rsid w:val="004B10F2"/>
    <w:rsid w:val="004B1B1A"/>
    <w:rsid w:val="004B3C34"/>
    <w:rsid w:val="004B56D2"/>
    <w:rsid w:val="004B7E20"/>
    <w:rsid w:val="004C08ED"/>
    <w:rsid w:val="004C3495"/>
    <w:rsid w:val="004C6731"/>
    <w:rsid w:val="004C7500"/>
    <w:rsid w:val="004D1A51"/>
    <w:rsid w:val="004D6D81"/>
    <w:rsid w:val="004D717A"/>
    <w:rsid w:val="004E0391"/>
    <w:rsid w:val="004E079A"/>
    <w:rsid w:val="004E09AD"/>
    <w:rsid w:val="004E3597"/>
    <w:rsid w:val="004E54A3"/>
    <w:rsid w:val="004E6917"/>
    <w:rsid w:val="004E6B6F"/>
    <w:rsid w:val="004E7FCE"/>
    <w:rsid w:val="004F04ED"/>
    <w:rsid w:val="004F2E9B"/>
    <w:rsid w:val="004F3107"/>
    <w:rsid w:val="004F3CED"/>
    <w:rsid w:val="004F3DCB"/>
    <w:rsid w:val="004F4B60"/>
    <w:rsid w:val="004F5023"/>
    <w:rsid w:val="004F6568"/>
    <w:rsid w:val="004F6A8F"/>
    <w:rsid w:val="004F7D2E"/>
    <w:rsid w:val="00501E23"/>
    <w:rsid w:val="0050206E"/>
    <w:rsid w:val="005035AD"/>
    <w:rsid w:val="005046A4"/>
    <w:rsid w:val="00513CCC"/>
    <w:rsid w:val="00515365"/>
    <w:rsid w:val="00515E82"/>
    <w:rsid w:val="00515FB4"/>
    <w:rsid w:val="00517335"/>
    <w:rsid w:val="00521289"/>
    <w:rsid w:val="005220AB"/>
    <w:rsid w:val="00523721"/>
    <w:rsid w:val="00523BBC"/>
    <w:rsid w:val="00523F7F"/>
    <w:rsid w:val="005302D4"/>
    <w:rsid w:val="0053058C"/>
    <w:rsid w:val="005309B7"/>
    <w:rsid w:val="00531C94"/>
    <w:rsid w:val="00534304"/>
    <w:rsid w:val="005356E0"/>
    <w:rsid w:val="00535E4C"/>
    <w:rsid w:val="00536A73"/>
    <w:rsid w:val="00536E8A"/>
    <w:rsid w:val="00536F62"/>
    <w:rsid w:val="00540206"/>
    <w:rsid w:val="005410A9"/>
    <w:rsid w:val="005439B2"/>
    <w:rsid w:val="00547799"/>
    <w:rsid w:val="00550647"/>
    <w:rsid w:val="005511D5"/>
    <w:rsid w:val="00552784"/>
    <w:rsid w:val="00553B35"/>
    <w:rsid w:val="005551A7"/>
    <w:rsid w:val="00556690"/>
    <w:rsid w:val="005573AB"/>
    <w:rsid w:val="005615FD"/>
    <w:rsid w:val="00561EC2"/>
    <w:rsid w:val="00562E95"/>
    <w:rsid w:val="0056309C"/>
    <w:rsid w:val="00566145"/>
    <w:rsid w:val="0056719A"/>
    <w:rsid w:val="00570690"/>
    <w:rsid w:val="005708F7"/>
    <w:rsid w:val="005728B5"/>
    <w:rsid w:val="00575997"/>
    <w:rsid w:val="00580D3C"/>
    <w:rsid w:val="0058440E"/>
    <w:rsid w:val="00592CC9"/>
    <w:rsid w:val="0059616B"/>
    <w:rsid w:val="005A035A"/>
    <w:rsid w:val="005A091D"/>
    <w:rsid w:val="005A1708"/>
    <w:rsid w:val="005A2698"/>
    <w:rsid w:val="005A2AF0"/>
    <w:rsid w:val="005A3380"/>
    <w:rsid w:val="005A4307"/>
    <w:rsid w:val="005A48AD"/>
    <w:rsid w:val="005A51DE"/>
    <w:rsid w:val="005A69AB"/>
    <w:rsid w:val="005B0621"/>
    <w:rsid w:val="005B1517"/>
    <w:rsid w:val="005B1BD2"/>
    <w:rsid w:val="005B21B2"/>
    <w:rsid w:val="005B50E6"/>
    <w:rsid w:val="005B5739"/>
    <w:rsid w:val="005B6947"/>
    <w:rsid w:val="005B71E7"/>
    <w:rsid w:val="005B76EC"/>
    <w:rsid w:val="005C0BDE"/>
    <w:rsid w:val="005C2B04"/>
    <w:rsid w:val="005C2BDB"/>
    <w:rsid w:val="005C3BDD"/>
    <w:rsid w:val="005C5648"/>
    <w:rsid w:val="005C62D6"/>
    <w:rsid w:val="005C6B62"/>
    <w:rsid w:val="005D219D"/>
    <w:rsid w:val="005D2D39"/>
    <w:rsid w:val="005D39E9"/>
    <w:rsid w:val="005D4873"/>
    <w:rsid w:val="005D567C"/>
    <w:rsid w:val="005D5D06"/>
    <w:rsid w:val="005E0AE5"/>
    <w:rsid w:val="005E10FA"/>
    <w:rsid w:val="005E1ED9"/>
    <w:rsid w:val="005E311F"/>
    <w:rsid w:val="005E33A5"/>
    <w:rsid w:val="005E6422"/>
    <w:rsid w:val="005E675E"/>
    <w:rsid w:val="005E6919"/>
    <w:rsid w:val="005F3779"/>
    <w:rsid w:val="005F651A"/>
    <w:rsid w:val="005F6532"/>
    <w:rsid w:val="006005E7"/>
    <w:rsid w:val="00600F31"/>
    <w:rsid w:val="006022FF"/>
    <w:rsid w:val="006023F8"/>
    <w:rsid w:val="0060535B"/>
    <w:rsid w:val="006062DF"/>
    <w:rsid w:val="00606F80"/>
    <w:rsid w:val="0061162C"/>
    <w:rsid w:val="00613977"/>
    <w:rsid w:val="006179FE"/>
    <w:rsid w:val="00617BDE"/>
    <w:rsid w:val="00620186"/>
    <w:rsid w:val="006206D4"/>
    <w:rsid w:val="0062115B"/>
    <w:rsid w:val="0062269E"/>
    <w:rsid w:val="0062320E"/>
    <w:rsid w:val="00624BD3"/>
    <w:rsid w:val="00626A65"/>
    <w:rsid w:val="00631786"/>
    <w:rsid w:val="00632284"/>
    <w:rsid w:val="0063278A"/>
    <w:rsid w:val="00633877"/>
    <w:rsid w:val="006338A4"/>
    <w:rsid w:val="006403EF"/>
    <w:rsid w:val="006406CA"/>
    <w:rsid w:val="00640A52"/>
    <w:rsid w:val="00643F07"/>
    <w:rsid w:val="00645AF0"/>
    <w:rsid w:val="0065091C"/>
    <w:rsid w:val="006520A1"/>
    <w:rsid w:val="00661A2F"/>
    <w:rsid w:val="00662DC2"/>
    <w:rsid w:val="00663427"/>
    <w:rsid w:val="00664D93"/>
    <w:rsid w:val="00666CC3"/>
    <w:rsid w:val="00666E12"/>
    <w:rsid w:val="00667B7C"/>
    <w:rsid w:val="006712A9"/>
    <w:rsid w:val="006719C2"/>
    <w:rsid w:val="00672333"/>
    <w:rsid w:val="0067532B"/>
    <w:rsid w:val="00677E7C"/>
    <w:rsid w:val="006823DF"/>
    <w:rsid w:val="00683CD2"/>
    <w:rsid w:val="006855E7"/>
    <w:rsid w:val="006857B7"/>
    <w:rsid w:val="00685E51"/>
    <w:rsid w:val="00686923"/>
    <w:rsid w:val="00687268"/>
    <w:rsid w:val="00690139"/>
    <w:rsid w:val="00692D02"/>
    <w:rsid w:val="00693C21"/>
    <w:rsid w:val="00693E66"/>
    <w:rsid w:val="00695247"/>
    <w:rsid w:val="00696DA6"/>
    <w:rsid w:val="006A03DF"/>
    <w:rsid w:val="006A15C8"/>
    <w:rsid w:val="006A1996"/>
    <w:rsid w:val="006A322C"/>
    <w:rsid w:val="006A41CD"/>
    <w:rsid w:val="006A4DEC"/>
    <w:rsid w:val="006A5908"/>
    <w:rsid w:val="006A60D2"/>
    <w:rsid w:val="006B129A"/>
    <w:rsid w:val="006B1FCD"/>
    <w:rsid w:val="006B296D"/>
    <w:rsid w:val="006B2E5E"/>
    <w:rsid w:val="006B6453"/>
    <w:rsid w:val="006B7E48"/>
    <w:rsid w:val="006C04DA"/>
    <w:rsid w:val="006C1096"/>
    <w:rsid w:val="006C14EC"/>
    <w:rsid w:val="006C1EBA"/>
    <w:rsid w:val="006C1FDB"/>
    <w:rsid w:val="006C3924"/>
    <w:rsid w:val="006C5926"/>
    <w:rsid w:val="006C5B05"/>
    <w:rsid w:val="006C6F2E"/>
    <w:rsid w:val="006D17BE"/>
    <w:rsid w:val="006D2552"/>
    <w:rsid w:val="006D3242"/>
    <w:rsid w:val="006D7B33"/>
    <w:rsid w:val="006E0E05"/>
    <w:rsid w:val="006E1A42"/>
    <w:rsid w:val="006E273F"/>
    <w:rsid w:val="006E30BD"/>
    <w:rsid w:val="006E3AF3"/>
    <w:rsid w:val="006E457C"/>
    <w:rsid w:val="006E5305"/>
    <w:rsid w:val="006E5A67"/>
    <w:rsid w:val="006E6B6F"/>
    <w:rsid w:val="006F03BF"/>
    <w:rsid w:val="006F241A"/>
    <w:rsid w:val="006F3558"/>
    <w:rsid w:val="006F3F7B"/>
    <w:rsid w:val="006F54C6"/>
    <w:rsid w:val="006F5945"/>
    <w:rsid w:val="006F59B9"/>
    <w:rsid w:val="007008D9"/>
    <w:rsid w:val="007078E8"/>
    <w:rsid w:val="00710338"/>
    <w:rsid w:val="007116CA"/>
    <w:rsid w:val="00715089"/>
    <w:rsid w:val="00715D15"/>
    <w:rsid w:val="00716D39"/>
    <w:rsid w:val="00716DB4"/>
    <w:rsid w:val="00720E2B"/>
    <w:rsid w:val="00720FD0"/>
    <w:rsid w:val="0072216F"/>
    <w:rsid w:val="00725ED1"/>
    <w:rsid w:val="007270BC"/>
    <w:rsid w:val="007275C6"/>
    <w:rsid w:val="00730020"/>
    <w:rsid w:val="00730924"/>
    <w:rsid w:val="00731B2A"/>
    <w:rsid w:val="00732E1C"/>
    <w:rsid w:val="00733CB3"/>
    <w:rsid w:val="00736844"/>
    <w:rsid w:val="00736D62"/>
    <w:rsid w:val="00740CBA"/>
    <w:rsid w:val="007424A9"/>
    <w:rsid w:val="00746326"/>
    <w:rsid w:val="00747B67"/>
    <w:rsid w:val="00750831"/>
    <w:rsid w:val="00750FD9"/>
    <w:rsid w:val="00751000"/>
    <w:rsid w:val="00756132"/>
    <w:rsid w:val="00756450"/>
    <w:rsid w:val="00757B59"/>
    <w:rsid w:val="00757FE0"/>
    <w:rsid w:val="00760392"/>
    <w:rsid w:val="00761BF3"/>
    <w:rsid w:val="00763298"/>
    <w:rsid w:val="00763E64"/>
    <w:rsid w:val="00766056"/>
    <w:rsid w:val="00766C6F"/>
    <w:rsid w:val="00770A86"/>
    <w:rsid w:val="007712E6"/>
    <w:rsid w:val="00771317"/>
    <w:rsid w:val="00771DA6"/>
    <w:rsid w:val="00771E72"/>
    <w:rsid w:val="007772DC"/>
    <w:rsid w:val="0078075A"/>
    <w:rsid w:val="00780FB6"/>
    <w:rsid w:val="00781DA7"/>
    <w:rsid w:val="00783E0F"/>
    <w:rsid w:val="007850B0"/>
    <w:rsid w:val="00792A5A"/>
    <w:rsid w:val="007936C1"/>
    <w:rsid w:val="00795B2D"/>
    <w:rsid w:val="00795F50"/>
    <w:rsid w:val="00797EEC"/>
    <w:rsid w:val="007A0491"/>
    <w:rsid w:val="007A18E9"/>
    <w:rsid w:val="007A2FFA"/>
    <w:rsid w:val="007A3161"/>
    <w:rsid w:val="007A3EAF"/>
    <w:rsid w:val="007A46CA"/>
    <w:rsid w:val="007A500F"/>
    <w:rsid w:val="007A5FFC"/>
    <w:rsid w:val="007B0F54"/>
    <w:rsid w:val="007B2F3C"/>
    <w:rsid w:val="007B4F88"/>
    <w:rsid w:val="007B7B8F"/>
    <w:rsid w:val="007B7FEE"/>
    <w:rsid w:val="007C0C03"/>
    <w:rsid w:val="007C0E31"/>
    <w:rsid w:val="007C14B6"/>
    <w:rsid w:val="007C1ADC"/>
    <w:rsid w:val="007C1D20"/>
    <w:rsid w:val="007C1EFD"/>
    <w:rsid w:val="007C2631"/>
    <w:rsid w:val="007C3594"/>
    <w:rsid w:val="007C4C1F"/>
    <w:rsid w:val="007C66F3"/>
    <w:rsid w:val="007C77F0"/>
    <w:rsid w:val="007D10E9"/>
    <w:rsid w:val="007D16B5"/>
    <w:rsid w:val="007D1762"/>
    <w:rsid w:val="007D4A15"/>
    <w:rsid w:val="007D4AF0"/>
    <w:rsid w:val="007D7EFF"/>
    <w:rsid w:val="007E02FF"/>
    <w:rsid w:val="007E0AD2"/>
    <w:rsid w:val="007E129B"/>
    <w:rsid w:val="007E2ABE"/>
    <w:rsid w:val="007E59A2"/>
    <w:rsid w:val="007E75BD"/>
    <w:rsid w:val="007F09D5"/>
    <w:rsid w:val="007F1C8E"/>
    <w:rsid w:val="007F2359"/>
    <w:rsid w:val="007F24D7"/>
    <w:rsid w:val="007F2893"/>
    <w:rsid w:val="007F3347"/>
    <w:rsid w:val="007F5360"/>
    <w:rsid w:val="007F6225"/>
    <w:rsid w:val="0080075C"/>
    <w:rsid w:val="00801437"/>
    <w:rsid w:val="00801547"/>
    <w:rsid w:val="008019B2"/>
    <w:rsid w:val="00802169"/>
    <w:rsid w:val="00805132"/>
    <w:rsid w:val="008051BA"/>
    <w:rsid w:val="0080634B"/>
    <w:rsid w:val="00806A37"/>
    <w:rsid w:val="00807BB2"/>
    <w:rsid w:val="008109B1"/>
    <w:rsid w:val="00811853"/>
    <w:rsid w:val="00812ECB"/>
    <w:rsid w:val="008136F7"/>
    <w:rsid w:val="00814744"/>
    <w:rsid w:val="008147B6"/>
    <w:rsid w:val="00814E7F"/>
    <w:rsid w:val="00815DB6"/>
    <w:rsid w:val="008209D3"/>
    <w:rsid w:val="00820B0D"/>
    <w:rsid w:val="0082211C"/>
    <w:rsid w:val="0082348F"/>
    <w:rsid w:val="00823912"/>
    <w:rsid w:val="00825833"/>
    <w:rsid w:val="0082712B"/>
    <w:rsid w:val="008272A5"/>
    <w:rsid w:val="00827444"/>
    <w:rsid w:val="0083119E"/>
    <w:rsid w:val="00832C9F"/>
    <w:rsid w:val="00835571"/>
    <w:rsid w:val="00840D82"/>
    <w:rsid w:val="00842CBE"/>
    <w:rsid w:val="00846590"/>
    <w:rsid w:val="00846F39"/>
    <w:rsid w:val="00847A62"/>
    <w:rsid w:val="008506D2"/>
    <w:rsid w:val="00850B2E"/>
    <w:rsid w:val="00851765"/>
    <w:rsid w:val="00852728"/>
    <w:rsid w:val="00852DEF"/>
    <w:rsid w:val="00853CE4"/>
    <w:rsid w:val="008565FF"/>
    <w:rsid w:val="0086296B"/>
    <w:rsid w:val="0086432E"/>
    <w:rsid w:val="00864FDC"/>
    <w:rsid w:val="008662FF"/>
    <w:rsid w:val="00872D88"/>
    <w:rsid w:val="00875113"/>
    <w:rsid w:val="0087770E"/>
    <w:rsid w:val="0087797F"/>
    <w:rsid w:val="00881933"/>
    <w:rsid w:val="008834E5"/>
    <w:rsid w:val="0088658D"/>
    <w:rsid w:val="00886EE6"/>
    <w:rsid w:val="00887A3E"/>
    <w:rsid w:val="00890B67"/>
    <w:rsid w:val="00892555"/>
    <w:rsid w:val="0089554E"/>
    <w:rsid w:val="008964F2"/>
    <w:rsid w:val="00896F52"/>
    <w:rsid w:val="00897E63"/>
    <w:rsid w:val="008A0A04"/>
    <w:rsid w:val="008B0870"/>
    <w:rsid w:val="008B217B"/>
    <w:rsid w:val="008B2853"/>
    <w:rsid w:val="008B2864"/>
    <w:rsid w:val="008B62B4"/>
    <w:rsid w:val="008B66AE"/>
    <w:rsid w:val="008C2EE7"/>
    <w:rsid w:val="008C32A6"/>
    <w:rsid w:val="008C43F8"/>
    <w:rsid w:val="008C6EEB"/>
    <w:rsid w:val="008D24F1"/>
    <w:rsid w:val="008D2B36"/>
    <w:rsid w:val="008D308F"/>
    <w:rsid w:val="008D3E7D"/>
    <w:rsid w:val="008D586D"/>
    <w:rsid w:val="008D7EF6"/>
    <w:rsid w:val="008E0397"/>
    <w:rsid w:val="008E0979"/>
    <w:rsid w:val="008E10E1"/>
    <w:rsid w:val="008E16C0"/>
    <w:rsid w:val="008E3131"/>
    <w:rsid w:val="008E4834"/>
    <w:rsid w:val="008E5139"/>
    <w:rsid w:val="008E53E5"/>
    <w:rsid w:val="008E64B7"/>
    <w:rsid w:val="008E6F0E"/>
    <w:rsid w:val="008F08FF"/>
    <w:rsid w:val="008F25BD"/>
    <w:rsid w:val="008F2855"/>
    <w:rsid w:val="008F5705"/>
    <w:rsid w:val="008F7E46"/>
    <w:rsid w:val="00900905"/>
    <w:rsid w:val="00904624"/>
    <w:rsid w:val="00905693"/>
    <w:rsid w:val="00905EFD"/>
    <w:rsid w:val="00910D99"/>
    <w:rsid w:val="0091109E"/>
    <w:rsid w:val="009111FD"/>
    <w:rsid w:val="00914168"/>
    <w:rsid w:val="009149F3"/>
    <w:rsid w:val="009152DC"/>
    <w:rsid w:val="0091614A"/>
    <w:rsid w:val="00916D73"/>
    <w:rsid w:val="00916FAB"/>
    <w:rsid w:val="0092021F"/>
    <w:rsid w:val="00920D03"/>
    <w:rsid w:val="00921540"/>
    <w:rsid w:val="00921B4B"/>
    <w:rsid w:val="00923C0D"/>
    <w:rsid w:val="00923C44"/>
    <w:rsid w:val="00924910"/>
    <w:rsid w:val="00924EEF"/>
    <w:rsid w:val="00924F63"/>
    <w:rsid w:val="00926535"/>
    <w:rsid w:val="00926EE1"/>
    <w:rsid w:val="009270F9"/>
    <w:rsid w:val="00927639"/>
    <w:rsid w:val="009304AC"/>
    <w:rsid w:val="00930F19"/>
    <w:rsid w:val="009314C1"/>
    <w:rsid w:val="0093160D"/>
    <w:rsid w:val="009319B7"/>
    <w:rsid w:val="00931AC6"/>
    <w:rsid w:val="00934BAF"/>
    <w:rsid w:val="00935429"/>
    <w:rsid w:val="009363E5"/>
    <w:rsid w:val="0093705A"/>
    <w:rsid w:val="00941783"/>
    <w:rsid w:val="00941832"/>
    <w:rsid w:val="00943BB4"/>
    <w:rsid w:val="0094674D"/>
    <w:rsid w:val="009505C2"/>
    <w:rsid w:val="00950673"/>
    <w:rsid w:val="009515AB"/>
    <w:rsid w:val="009519C4"/>
    <w:rsid w:val="0095498A"/>
    <w:rsid w:val="00954EAE"/>
    <w:rsid w:val="009551DB"/>
    <w:rsid w:val="00955E87"/>
    <w:rsid w:val="0095671F"/>
    <w:rsid w:val="00957346"/>
    <w:rsid w:val="009603AB"/>
    <w:rsid w:val="00960B06"/>
    <w:rsid w:val="00964C6A"/>
    <w:rsid w:val="00964DB5"/>
    <w:rsid w:val="0096609E"/>
    <w:rsid w:val="009707D7"/>
    <w:rsid w:val="00971014"/>
    <w:rsid w:val="00971EB3"/>
    <w:rsid w:val="00971ED8"/>
    <w:rsid w:val="00973F82"/>
    <w:rsid w:val="009743FC"/>
    <w:rsid w:val="009745A0"/>
    <w:rsid w:val="00974601"/>
    <w:rsid w:val="00975531"/>
    <w:rsid w:val="00976A78"/>
    <w:rsid w:val="009814E1"/>
    <w:rsid w:val="00981FBB"/>
    <w:rsid w:val="00982105"/>
    <w:rsid w:val="00982ECA"/>
    <w:rsid w:val="00984E29"/>
    <w:rsid w:val="0098565A"/>
    <w:rsid w:val="00985BF2"/>
    <w:rsid w:val="009878A7"/>
    <w:rsid w:val="00991A4C"/>
    <w:rsid w:val="009943AB"/>
    <w:rsid w:val="0099710D"/>
    <w:rsid w:val="0099762B"/>
    <w:rsid w:val="00997717"/>
    <w:rsid w:val="00997BBA"/>
    <w:rsid w:val="009A04B7"/>
    <w:rsid w:val="009A11F5"/>
    <w:rsid w:val="009A4301"/>
    <w:rsid w:val="009A65A7"/>
    <w:rsid w:val="009B285B"/>
    <w:rsid w:val="009B3B10"/>
    <w:rsid w:val="009B5008"/>
    <w:rsid w:val="009B7019"/>
    <w:rsid w:val="009C03B2"/>
    <w:rsid w:val="009C2350"/>
    <w:rsid w:val="009C2B07"/>
    <w:rsid w:val="009C5337"/>
    <w:rsid w:val="009C584C"/>
    <w:rsid w:val="009C6EF0"/>
    <w:rsid w:val="009D1298"/>
    <w:rsid w:val="009D1C97"/>
    <w:rsid w:val="009D1EDC"/>
    <w:rsid w:val="009D3F0A"/>
    <w:rsid w:val="009D6A0C"/>
    <w:rsid w:val="009D7723"/>
    <w:rsid w:val="009D7DA1"/>
    <w:rsid w:val="009E0FE2"/>
    <w:rsid w:val="009E2079"/>
    <w:rsid w:val="009E2E05"/>
    <w:rsid w:val="009E422B"/>
    <w:rsid w:val="009E4E9B"/>
    <w:rsid w:val="009E5C99"/>
    <w:rsid w:val="009E723B"/>
    <w:rsid w:val="009F3302"/>
    <w:rsid w:val="009F36A6"/>
    <w:rsid w:val="009F3707"/>
    <w:rsid w:val="009F3FD0"/>
    <w:rsid w:val="009F73CA"/>
    <w:rsid w:val="00A0443B"/>
    <w:rsid w:val="00A044DB"/>
    <w:rsid w:val="00A11C27"/>
    <w:rsid w:val="00A121E3"/>
    <w:rsid w:val="00A12255"/>
    <w:rsid w:val="00A12FC4"/>
    <w:rsid w:val="00A1433A"/>
    <w:rsid w:val="00A149CA"/>
    <w:rsid w:val="00A204B4"/>
    <w:rsid w:val="00A21196"/>
    <w:rsid w:val="00A2226E"/>
    <w:rsid w:val="00A240AF"/>
    <w:rsid w:val="00A2708C"/>
    <w:rsid w:val="00A318B9"/>
    <w:rsid w:val="00A320C5"/>
    <w:rsid w:val="00A37363"/>
    <w:rsid w:val="00A37A7F"/>
    <w:rsid w:val="00A40AF6"/>
    <w:rsid w:val="00A40F02"/>
    <w:rsid w:val="00A421B7"/>
    <w:rsid w:val="00A43463"/>
    <w:rsid w:val="00A445D7"/>
    <w:rsid w:val="00A51082"/>
    <w:rsid w:val="00A53361"/>
    <w:rsid w:val="00A540BB"/>
    <w:rsid w:val="00A56665"/>
    <w:rsid w:val="00A60365"/>
    <w:rsid w:val="00A63795"/>
    <w:rsid w:val="00A644C6"/>
    <w:rsid w:val="00A670F6"/>
    <w:rsid w:val="00A67B0D"/>
    <w:rsid w:val="00A739A1"/>
    <w:rsid w:val="00A74C88"/>
    <w:rsid w:val="00A752BB"/>
    <w:rsid w:val="00A75A77"/>
    <w:rsid w:val="00A7641C"/>
    <w:rsid w:val="00A76565"/>
    <w:rsid w:val="00A805E5"/>
    <w:rsid w:val="00A8259B"/>
    <w:rsid w:val="00A82688"/>
    <w:rsid w:val="00A8542D"/>
    <w:rsid w:val="00A862EA"/>
    <w:rsid w:val="00A86B02"/>
    <w:rsid w:val="00A90476"/>
    <w:rsid w:val="00A910B7"/>
    <w:rsid w:val="00A91206"/>
    <w:rsid w:val="00A912F0"/>
    <w:rsid w:val="00A912F3"/>
    <w:rsid w:val="00A927DE"/>
    <w:rsid w:val="00A94109"/>
    <w:rsid w:val="00A9437D"/>
    <w:rsid w:val="00A94C0B"/>
    <w:rsid w:val="00A97B55"/>
    <w:rsid w:val="00AA04A1"/>
    <w:rsid w:val="00AA1B8D"/>
    <w:rsid w:val="00AA554C"/>
    <w:rsid w:val="00AA5B6C"/>
    <w:rsid w:val="00AB0C41"/>
    <w:rsid w:val="00AB16A6"/>
    <w:rsid w:val="00AB1DAA"/>
    <w:rsid w:val="00AB2574"/>
    <w:rsid w:val="00AB3449"/>
    <w:rsid w:val="00AB3EE7"/>
    <w:rsid w:val="00AB7322"/>
    <w:rsid w:val="00AC0818"/>
    <w:rsid w:val="00AC38CD"/>
    <w:rsid w:val="00AC5302"/>
    <w:rsid w:val="00AC677F"/>
    <w:rsid w:val="00AD0168"/>
    <w:rsid w:val="00AD1B8E"/>
    <w:rsid w:val="00AD362E"/>
    <w:rsid w:val="00AD3EE4"/>
    <w:rsid w:val="00AD412E"/>
    <w:rsid w:val="00AD46A6"/>
    <w:rsid w:val="00AD69C0"/>
    <w:rsid w:val="00AD6D85"/>
    <w:rsid w:val="00AE203D"/>
    <w:rsid w:val="00AE2C8E"/>
    <w:rsid w:val="00AE47C9"/>
    <w:rsid w:val="00AE5632"/>
    <w:rsid w:val="00AF0F2D"/>
    <w:rsid w:val="00AF106C"/>
    <w:rsid w:val="00AF2992"/>
    <w:rsid w:val="00AF2BF1"/>
    <w:rsid w:val="00AF7020"/>
    <w:rsid w:val="00AF7B86"/>
    <w:rsid w:val="00B0049E"/>
    <w:rsid w:val="00B0230B"/>
    <w:rsid w:val="00B04A9B"/>
    <w:rsid w:val="00B05533"/>
    <w:rsid w:val="00B057B0"/>
    <w:rsid w:val="00B1067F"/>
    <w:rsid w:val="00B11A3D"/>
    <w:rsid w:val="00B14B34"/>
    <w:rsid w:val="00B2165A"/>
    <w:rsid w:val="00B223B2"/>
    <w:rsid w:val="00B2274D"/>
    <w:rsid w:val="00B2730F"/>
    <w:rsid w:val="00B30B08"/>
    <w:rsid w:val="00B31AE0"/>
    <w:rsid w:val="00B33159"/>
    <w:rsid w:val="00B33F8C"/>
    <w:rsid w:val="00B35861"/>
    <w:rsid w:val="00B3775E"/>
    <w:rsid w:val="00B40D47"/>
    <w:rsid w:val="00B417EB"/>
    <w:rsid w:val="00B41B2D"/>
    <w:rsid w:val="00B4266F"/>
    <w:rsid w:val="00B42805"/>
    <w:rsid w:val="00B44F38"/>
    <w:rsid w:val="00B4756A"/>
    <w:rsid w:val="00B5021F"/>
    <w:rsid w:val="00B502CD"/>
    <w:rsid w:val="00B50E9B"/>
    <w:rsid w:val="00B51609"/>
    <w:rsid w:val="00B52791"/>
    <w:rsid w:val="00B54420"/>
    <w:rsid w:val="00B549EC"/>
    <w:rsid w:val="00B55231"/>
    <w:rsid w:val="00B56130"/>
    <w:rsid w:val="00B606F5"/>
    <w:rsid w:val="00B607D3"/>
    <w:rsid w:val="00B60E1B"/>
    <w:rsid w:val="00B61478"/>
    <w:rsid w:val="00B61DFB"/>
    <w:rsid w:val="00B62E26"/>
    <w:rsid w:val="00B63454"/>
    <w:rsid w:val="00B66DBB"/>
    <w:rsid w:val="00B71169"/>
    <w:rsid w:val="00B717A2"/>
    <w:rsid w:val="00B71E4C"/>
    <w:rsid w:val="00B7212C"/>
    <w:rsid w:val="00B744DF"/>
    <w:rsid w:val="00B74E52"/>
    <w:rsid w:val="00B76DEC"/>
    <w:rsid w:val="00B8001F"/>
    <w:rsid w:val="00B81850"/>
    <w:rsid w:val="00B84FF0"/>
    <w:rsid w:val="00B91567"/>
    <w:rsid w:val="00B917EC"/>
    <w:rsid w:val="00B92EBA"/>
    <w:rsid w:val="00B9411C"/>
    <w:rsid w:val="00B9590F"/>
    <w:rsid w:val="00B96CD8"/>
    <w:rsid w:val="00B97841"/>
    <w:rsid w:val="00B97972"/>
    <w:rsid w:val="00BA0A88"/>
    <w:rsid w:val="00BA0EBC"/>
    <w:rsid w:val="00BA134F"/>
    <w:rsid w:val="00BA15F8"/>
    <w:rsid w:val="00BA31AC"/>
    <w:rsid w:val="00BA3D96"/>
    <w:rsid w:val="00BA5E38"/>
    <w:rsid w:val="00BA6AEF"/>
    <w:rsid w:val="00BB0572"/>
    <w:rsid w:val="00BB129B"/>
    <w:rsid w:val="00BB184A"/>
    <w:rsid w:val="00BB1A3A"/>
    <w:rsid w:val="00BB1B7B"/>
    <w:rsid w:val="00BB244D"/>
    <w:rsid w:val="00BB2599"/>
    <w:rsid w:val="00BB2625"/>
    <w:rsid w:val="00BB2641"/>
    <w:rsid w:val="00BB4A67"/>
    <w:rsid w:val="00BB4DA5"/>
    <w:rsid w:val="00BB6B20"/>
    <w:rsid w:val="00BB6B7F"/>
    <w:rsid w:val="00BC066D"/>
    <w:rsid w:val="00BC0773"/>
    <w:rsid w:val="00BC12F5"/>
    <w:rsid w:val="00BC35EC"/>
    <w:rsid w:val="00BC5ADE"/>
    <w:rsid w:val="00BC6579"/>
    <w:rsid w:val="00BD0286"/>
    <w:rsid w:val="00BD4D82"/>
    <w:rsid w:val="00BE02B0"/>
    <w:rsid w:val="00BE2183"/>
    <w:rsid w:val="00BF055D"/>
    <w:rsid w:val="00BF146C"/>
    <w:rsid w:val="00BF2A18"/>
    <w:rsid w:val="00BF2D4E"/>
    <w:rsid w:val="00BF6C71"/>
    <w:rsid w:val="00C00028"/>
    <w:rsid w:val="00C000E2"/>
    <w:rsid w:val="00C00543"/>
    <w:rsid w:val="00C01098"/>
    <w:rsid w:val="00C01D59"/>
    <w:rsid w:val="00C04BD1"/>
    <w:rsid w:val="00C1015B"/>
    <w:rsid w:val="00C122C6"/>
    <w:rsid w:val="00C12BCC"/>
    <w:rsid w:val="00C1795F"/>
    <w:rsid w:val="00C179B5"/>
    <w:rsid w:val="00C203CD"/>
    <w:rsid w:val="00C20EE6"/>
    <w:rsid w:val="00C20F9F"/>
    <w:rsid w:val="00C22451"/>
    <w:rsid w:val="00C23730"/>
    <w:rsid w:val="00C244F9"/>
    <w:rsid w:val="00C247DD"/>
    <w:rsid w:val="00C258D0"/>
    <w:rsid w:val="00C26D51"/>
    <w:rsid w:val="00C27097"/>
    <w:rsid w:val="00C27400"/>
    <w:rsid w:val="00C30172"/>
    <w:rsid w:val="00C32C63"/>
    <w:rsid w:val="00C32D4A"/>
    <w:rsid w:val="00C3531A"/>
    <w:rsid w:val="00C41C6D"/>
    <w:rsid w:val="00C427E0"/>
    <w:rsid w:val="00C44750"/>
    <w:rsid w:val="00C46D48"/>
    <w:rsid w:val="00C47C0F"/>
    <w:rsid w:val="00C47E6B"/>
    <w:rsid w:val="00C50B7D"/>
    <w:rsid w:val="00C52AE9"/>
    <w:rsid w:val="00C53F25"/>
    <w:rsid w:val="00C54106"/>
    <w:rsid w:val="00C541EA"/>
    <w:rsid w:val="00C54968"/>
    <w:rsid w:val="00C54A39"/>
    <w:rsid w:val="00C559F5"/>
    <w:rsid w:val="00C560CC"/>
    <w:rsid w:val="00C560E1"/>
    <w:rsid w:val="00C6028D"/>
    <w:rsid w:val="00C60B2F"/>
    <w:rsid w:val="00C6154B"/>
    <w:rsid w:val="00C62188"/>
    <w:rsid w:val="00C62C68"/>
    <w:rsid w:val="00C6338C"/>
    <w:rsid w:val="00C6520A"/>
    <w:rsid w:val="00C65719"/>
    <w:rsid w:val="00C66CFD"/>
    <w:rsid w:val="00C705F3"/>
    <w:rsid w:val="00C70F7D"/>
    <w:rsid w:val="00C71BD1"/>
    <w:rsid w:val="00C71E52"/>
    <w:rsid w:val="00C727A9"/>
    <w:rsid w:val="00C73218"/>
    <w:rsid w:val="00C75360"/>
    <w:rsid w:val="00C75F97"/>
    <w:rsid w:val="00C76D16"/>
    <w:rsid w:val="00C8034F"/>
    <w:rsid w:val="00C8176B"/>
    <w:rsid w:val="00C828AF"/>
    <w:rsid w:val="00C83F3F"/>
    <w:rsid w:val="00C87489"/>
    <w:rsid w:val="00C9022E"/>
    <w:rsid w:val="00C90F34"/>
    <w:rsid w:val="00C9175C"/>
    <w:rsid w:val="00C930D1"/>
    <w:rsid w:val="00C931C9"/>
    <w:rsid w:val="00C93C88"/>
    <w:rsid w:val="00C945AE"/>
    <w:rsid w:val="00C9499A"/>
    <w:rsid w:val="00CA10EA"/>
    <w:rsid w:val="00CA1426"/>
    <w:rsid w:val="00CA1876"/>
    <w:rsid w:val="00CA31EE"/>
    <w:rsid w:val="00CA6E19"/>
    <w:rsid w:val="00CB0290"/>
    <w:rsid w:val="00CB151A"/>
    <w:rsid w:val="00CB183B"/>
    <w:rsid w:val="00CB75BD"/>
    <w:rsid w:val="00CC04FB"/>
    <w:rsid w:val="00CC0AE3"/>
    <w:rsid w:val="00CC26F0"/>
    <w:rsid w:val="00CC34FD"/>
    <w:rsid w:val="00CC59BF"/>
    <w:rsid w:val="00CC7E03"/>
    <w:rsid w:val="00CD0515"/>
    <w:rsid w:val="00CD0CB6"/>
    <w:rsid w:val="00CD5270"/>
    <w:rsid w:val="00CD5B7A"/>
    <w:rsid w:val="00CD5F8F"/>
    <w:rsid w:val="00CD6BE8"/>
    <w:rsid w:val="00CE1DED"/>
    <w:rsid w:val="00CE1FCE"/>
    <w:rsid w:val="00CE3234"/>
    <w:rsid w:val="00CE35D2"/>
    <w:rsid w:val="00CE365E"/>
    <w:rsid w:val="00CE5A60"/>
    <w:rsid w:val="00CE5F3C"/>
    <w:rsid w:val="00CF0687"/>
    <w:rsid w:val="00CF274A"/>
    <w:rsid w:val="00CF43C9"/>
    <w:rsid w:val="00CF48BA"/>
    <w:rsid w:val="00CF5602"/>
    <w:rsid w:val="00CF5645"/>
    <w:rsid w:val="00CF59D3"/>
    <w:rsid w:val="00CF5AE0"/>
    <w:rsid w:val="00CF61E0"/>
    <w:rsid w:val="00D054DC"/>
    <w:rsid w:val="00D0598F"/>
    <w:rsid w:val="00D069A5"/>
    <w:rsid w:val="00D06FB0"/>
    <w:rsid w:val="00D0796E"/>
    <w:rsid w:val="00D11462"/>
    <w:rsid w:val="00D12F81"/>
    <w:rsid w:val="00D145CC"/>
    <w:rsid w:val="00D162E6"/>
    <w:rsid w:val="00D166D9"/>
    <w:rsid w:val="00D21FF2"/>
    <w:rsid w:val="00D222F0"/>
    <w:rsid w:val="00D2231A"/>
    <w:rsid w:val="00D24279"/>
    <w:rsid w:val="00D2433C"/>
    <w:rsid w:val="00D243AF"/>
    <w:rsid w:val="00D2451B"/>
    <w:rsid w:val="00D267E1"/>
    <w:rsid w:val="00D26EC9"/>
    <w:rsid w:val="00D27D61"/>
    <w:rsid w:val="00D329C5"/>
    <w:rsid w:val="00D33888"/>
    <w:rsid w:val="00D35977"/>
    <w:rsid w:val="00D35DFB"/>
    <w:rsid w:val="00D37F60"/>
    <w:rsid w:val="00D45461"/>
    <w:rsid w:val="00D47CB8"/>
    <w:rsid w:val="00D51FC7"/>
    <w:rsid w:val="00D52E93"/>
    <w:rsid w:val="00D52F83"/>
    <w:rsid w:val="00D53097"/>
    <w:rsid w:val="00D542CF"/>
    <w:rsid w:val="00D5797D"/>
    <w:rsid w:val="00D61AF4"/>
    <w:rsid w:val="00D62345"/>
    <w:rsid w:val="00D64140"/>
    <w:rsid w:val="00D65FBE"/>
    <w:rsid w:val="00D671D4"/>
    <w:rsid w:val="00D72194"/>
    <w:rsid w:val="00D72FB4"/>
    <w:rsid w:val="00D73D62"/>
    <w:rsid w:val="00D806FD"/>
    <w:rsid w:val="00D82B75"/>
    <w:rsid w:val="00D863C7"/>
    <w:rsid w:val="00D867DD"/>
    <w:rsid w:val="00D91469"/>
    <w:rsid w:val="00D92577"/>
    <w:rsid w:val="00D9271C"/>
    <w:rsid w:val="00D93892"/>
    <w:rsid w:val="00D938F9"/>
    <w:rsid w:val="00D93923"/>
    <w:rsid w:val="00DA1F35"/>
    <w:rsid w:val="00DA2CF2"/>
    <w:rsid w:val="00DA461A"/>
    <w:rsid w:val="00DA58AC"/>
    <w:rsid w:val="00DA58B5"/>
    <w:rsid w:val="00DA6CF9"/>
    <w:rsid w:val="00DB0694"/>
    <w:rsid w:val="00DB12A9"/>
    <w:rsid w:val="00DB30F0"/>
    <w:rsid w:val="00DC020D"/>
    <w:rsid w:val="00DC05FD"/>
    <w:rsid w:val="00DC0A24"/>
    <w:rsid w:val="00DC2685"/>
    <w:rsid w:val="00DC5C2C"/>
    <w:rsid w:val="00DC60F9"/>
    <w:rsid w:val="00DC6372"/>
    <w:rsid w:val="00DC6780"/>
    <w:rsid w:val="00DC77E4"/>
    <w:rsid w:val="00DD0215"/>
    <w:rsid w:val="00DD0AEA"/>
    <w:rsid w:val="00DD4308"/>
    <w:rsid w:val="00DD6492"/>
    <w:rsid w:val="00DD6EE2"/>
    <w:rsid w:val="00DE01B6"/>
    <w:rsid w:val="00DE0478"/>
    <w:rsid w:val="00DE2AA8"/>
    <w:rsid w:val="00DE30AD"/>
    <w:rsid w:val="00DE3507"/>
    <w:rsid w:val="00DE3AE8"/>
    <w:rsid w:val="00DE4226"/>
    <w:rsid w:val="00DE73EC"/>
    <w:rsid w:val="00DE77AA"/>
    <w:rsid w:val="00DF49C0"/>
    <w:rsid w:val="00E036F4"/>
    <w:rsid w:val="00E0392D"/>
    <w:rsid w:val="00E07AC7"/>
    <w:rsid w:val="00E07E05"/>
    <w:rsid w:val="00E13639"/>
    <w:rsid w:val="00E1488F"/>
    <w:rsid w:val="00E17DE9"/>
    <w:rsid w:val="00E21525"/>
    <w:rsid w:val="00E23B89"/>
    <w:rsid w:val="00E246E8"/>
    <w:rsid w:val="00E304BF"/>
    <w:rsid w:val="00E32DF1"/>
    <w:rsid w:val="00E36A4C"/>
    <w:rsid w:val="00E37B61"/>
    <w:rsid w:val="00E408DC"/>
    <w:rsid w:val="00E40CE6"/>
    <w:rsid w:val="00E42377"/>
    <w:rsid w:val="00E42802"/>
    <w:rsid w:val="00E43AF4"/>
    <w:rsid w:val="00E44498"/>
    <w:rsid w:val="00E476CE"/>
    <w:rsid w:val="00E51005"/>
    <w:rsid w:val="00E51ABF"/>
    <w:rsid w:val="00E619AE"/>
    <w:rsid w:val="00E61A49"/>
    <w:rsid w:val="00E642C7"/>
    <w:rsid w:val="00E652E3"/>
    <w:rsid w:val="00E72F47"/>
    <w:rsid w:val="00E734B8"/>
    <w:rsid w:val="00E772E9"/>
    <w:rsid w:val="00E81D7E"/>
    <w:rsid w:val="00E81DE5"/>
    <w:rsid w:val="00E83E43"/>
    <w:rsid w:val="00E84724"/>
    <w:rsid w:val="00E86D22"/>
    <w:rsid w:val="00E90746"/>
    <w:rsid w:val="00E910D0"/>
    <w:rsid w:val="00E9434E"/>
    <w:rsid w:val="00E9504F"/>
    <w:rsid w:val="00E96054"/>
    <w:rsid w:val="00E971FA"/>
    <w:rsid w:val="00E97A3B"/>
    <w:rsid w:val="00EA4340"/>
    <w:rsid w:val="00EA5643"/>
    <w:rsid w:val="00EA59FC"/>
    <w:rsid w:val="00EA6139"/>
    <w:rsid w:val="00EA6AE6"/>
    <w:rsid w:val="00EA6EC8"/>
    <w:rsid w:val="00EA71E5"/>
    <w:rsid w:val="00EB3004"/>
    <w:rsid w:val="00EB517B"/>
    <w:rsid w:val="00EC20FE"/>
    <w:rsid w:val="00EC419B"/>
    <w:rsid w:val="00EC4F81"/>
    <w:rsid w:val="00EC6E98"/>
    <w:rsid w:val="00EC7328"/>
    <w:rsid w:val="00EC73C0"/>
    <w:rsid w:val="00EC7D09"/>
    <w:rsid w:val="00EC7F50"/>
    <w:rsid w:val="00ED187E"/>
    <w:rsid w:val="00ED215F"/>
    <w:rsid w:val="00ED3CFD"/>
    <w:rsid w:val="00ED4B1D"/>
    <w:rsid w:val="00ED5B21"/>
    <w:rsid w:val="00ED66BD"/>
    <w:rsid w:val="00ED76E0"/>
    <w:rsid w:val="00EE0087"/>
    <w:rsid w:val="00EE0DC9"/>
    <w:rsid w:val="00EE4698"/>
    <w:rsid w:val="00EE5EFF"/>
    <w:rsid w:val="00EE6309"/>
    <w:rsid w:val="00EF03E1"/>
    <w:rsid w:val="00EF1781"/>
    <w:rsid w:val="00EF199E"/>
    <w:rsid w:val="00EF260D"/>
    <w:rsid w:val="00EF5488"/>
    <w:rsid w:val="00F02B7E"/>
    <w:rsid w:val="00F03D2A"/>
    <w:rsid w:val="00F046F2"/>
    <w:rsid w:val="00F06E97"/>
    <w:rsid w:val="00F105C5"/>
    <w:rsid w:val="00F1259A"/>
    <w:rsid w:val="00F12674"/>
    <w:rsid w:val="00F12A69"/>
    <w:rsid w:val="00F1302A"/>
    <w:rsid w:val="00F14274"/>
    <w:rsid w:val="00F17558"/>
    <w:rsid w:val="00F216F2"/>
    <w:rsid w:val="00F21F91"/>
    <w:rsid w:val="00F22B40"/>
    <w:rsid w:val="00F254F9"/>
    <w:rsid w:val="00F30659"/>
    <w:rsid w:val="00F32F3D"/>
    <w:rsid w:val="00F343B1"/>
    <w:rsid w:val="00F34AB1"/>
    <w:rsid w:val="00F403E7"/>
    <w:rsid w:val="00F41522"/>
    <w:rsid w:val="00F42C0D"/>
    <w:rsid w:val="00F42EE5"/>
    <w:rsid w:val="00F43E98"/>
    <w:rsid w:val="00F44374"/>
    <w:rsid w:val="00F44B85"/>
    <w:rsid w:val="00F455E2"/>
    <w:rsid w:val="00F45997"/>
    <w:rsid w:val="00F47BC1"/>
    <w:rsid w:val="00F50991"/>
    <w:rsid w:val="00F5105D"/>
    <w:rsid w:val="00F517FD"/>
    <w:rsid w:val="00F5603B"/>
    <w:rsid w:val="00F565A7"/>
    <w:rsid w:val="00F573F4"/>
    <w:rsid w:val="00F61231"/>
    <w:rsid w:val="00F646AE"/>
    <w:rsid w:val="00F65512"/>
    <w:rsid w:val="00F677BF"/>
    <w:rsid w:val="00F717BF"/>
    <w:rsid w:val="00F72F9F"/>
    <w:rsid w:val="00F75217"/>
    <w:rsid w:val="00F80FB0"/>
    <w:rsid w:val="00F8174C"/>
    <w:rsid w:val="00F823AF"/>
    <w:rsid w:val="00F82661"/>
    <w:rsid w:val="00F83DED"/>
    <w:rsid w:val="00F83E4E"/>
    <w:rsid w:val="00F83F73"/>
    <w:rsid w:val="00F84425"/>
    <w:rsid w:val="00F84E52"/>
    <w:rsid w:val="00F8581C"/>
    <w:rsid w:val="00F87A81"/>
    <w:rsid w:val="00F909BD"/>
    <w:rsid w:val="00F91895"/>
    <w:rsid w:val="00F928C2"/>
    <w:rsid w:val="00F93544"/>
    <w:rsid w:val="00F938B2"/>
    <w:rsid w:val="00F93CBE"/>
    <w:rsid w:val="00F93E46"/>
    <w:rsid w:val="00F965B7"/>
    <w:rsid w:val="00F96AF3"/>
    <w:rsid w:val="00FA1353"/>
    <w:rsid w:val="00FA167A"/>
    <w:rsid w:val="00FA2894"/>
    <w:rsid w:val="00FA3370"/>
    <w:rsid w:val="00FA496F"/>
    <w:rsid w:val="00FA5212"/>
    <w:rsid w:val="00FA6460"/>
    <w:rsid w:val="00FB3E7D"/>
    <w:rsid w:val="00FB67E5"/>
    <w:rsid w:val="00FB6995"/>
    <w:rsid w:val="00FC37CF"/>
    <w:rsid w:val="00FC63A9"/>
    <w:rsid w:val="00FC63CD"/>
    <w:rsid w:val="00FC6977"/>
    <w:rsid w:val="00FD105D"/>
    <w:rsid w:val="00FD2FEF"/>
    <w:rsid w:val="00FD7BB5"/>
    <w:rsid w:val="00FD7D1D"/>
    <w:rsid w:val="00FE0E0C"/>
    <w:rsid w:val="00FE15D0"/>
    <w:rsid w:val="00FE2BE3"/>
    <w:rsid w:val="00FE4243"/>
    <w:rsid w:val="00FE6C53"/>
    <w:rsid w:val="00FF0377"/>
    <w:rsid w:val="00FF160C"/>
    <w:rsid w:val="00FF1A91"/>
    <w:rsid w:val="00FF1B43"/>
    <w:rsid w:val="00FF253B"/>
    <w:rsid w:val="00FF2662"/>
    <w:rsid w:val="00FF728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D57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318D"/>
    <w:pPr>
      <w:numPr>
        <w:numId w:val="2"/>
      </w:numPr>
      <w:autoSpaceDE w:val="0"/>
      <w:autoSpaceDN w:val="0"/>
      <w:adjustRightInd w:val="0"/>
      <w:spacing w:after="0" w:line="240" w:lineRule="auto"/>
      <w:outlineLvl w:val="0"/>
    </w:pPr>
    <w:rPr>
      <w:rFonts w:ascii="Arial" w:eastAsiaTheme="majorEastAsia" w:hAnsi="Arial" w:cs="Arial"/>
      <w:b/>
      <w:color w:val="DA291C"/>
      <w:sz w:val="26"/>
      <w:szCs w:val="26"/>
      <w:lang w:eastAsia="ja-JP"/>
    </w:rPr>
  </w:style>
  <w:style w:type="paragraph" w:styleId="Heading2">
    <w:name w:val="heading 2"/>
    <w:basedOn w:val="Level2Heading"/>
    <w:next w:val="Normal"/>
    <w:link w:val="Heading2Char"/>
    <w:uiPriority w:val="9"/>
    <w:qFormat/>
    <w:rsid w:val="00C32D4A"/>
    <w:pPr>
      <w:numPr>
        <w:numId w:val="16"/>
      </w:numPr>
      <w:outlineLvl w:val="1"/>
    </w:pPr>
  </w:style>
  <w:style w:type="paragraph" w:styleId="Heading3">
    <w:name w:val="heading 3"/>
    <w:basedOn w:val="Normal"/>
    <w:next w:val="Normal"/>
    <w:link w:val="Heading3Char"/>
    <w:uiPriority w:val="9"/>
    <w:unhideWhenUsed/>
    <w:qFormat/>
    <w:rsid w:val="00DD02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0B54BD"/>
    <w:pPr>
      <w:keepNext/>
      <w:keepLines/>
      <w:spacing w:before="40" w:after="0" w:line="276" w:lineRule="auto"/>
      <w:ind w:left="864" w:hanging="864"/>
      <w:jc w:val="both"/>
      <w:outlineLvl w:val="3"/>
    </w:pPr>
    <w:rPr>
      <w:rFonts w:asciiTheme="majorHAnsi" w:eastAsiaTheme="majorEastAsia" w:hAnsiTheme="majorHAnsi" w:cstheme="majorBidi"/>
      <w:lang w:val="en-AU" w:eastAsia="ja-JP"/>
    </w:rPr>
  </w:style>
  <w:style w:type="paragraph" w:styleId="Heading5">
    <w:name w:val="heading 5"/>
    <w:basedOn w:val="Normal"/>
    <w:next w:val="Normal"/>
    <w:link w:val="Heading5Char"/>
    <w:uiPriority w:val="9"/>
    <w:unhideWhenUsed/>
    <w:rsid w:val="000B54BD"/>
    <w:pPr>
      <w:keepNext/>
      <w:keepLines/>
      <w:spacing w:before="40" w:after="0" w:line="276" w:lineRule="auto"/>
      <w:ind w:left="1008" w:hanging="1008"/>
      <w:jc w:val="both"/>
      <w:outlineLvl w:val="4"/>
    </w:pPr>
    <w:rPr>
      <w:rFonts w:asciiTheme="majorHAnsi" w:eastAsiaTheme="majorEastAsia" w:hAnsiTheme="majorHAnsi" w:cstheme="majorBidi"/>
      <w:color w:val="44546A" w:themeColor="text2"/>
      <w:lang w:val="en-AU" w:eastAsia="ja-JP"/>
    </w:rPr>
  </w:style>
  <w:style w:type="paragraph" w:styleId="Heading6">
    <w:name w:val="heading 6"/>
    <w:basedOn w:val="Normal"/>
    <w:next w:val="Normal"/>
    <w:link w:val="Heading6Char"/>
    <w:uiPriority w:val="9"/>
    <w:unhideWhenUsed/>
    <w:rsid w:val="000B54BD"/>
    <w:pPr>
      <w:keepNext/>
      <w:keepLines/>
      <w:spacing w:before="40" w:after="0" w:line="276" w:lineRule="auto"/>
      <w:ind w:left="1152" w:hanging="1152"/>
      <w:jc w:val="both"/>
      <w:outlineLvl w:val="5"/>
    </w:pPr>
    <w:rPr>
      <w:rFonts w:asciiTheme="majorHAnsi" w:eastAsiaTheme="majorEastAsia" w:hAnsiTheme="majorHAnsi" w:cstheme="majorBidi"/>
      <w:i/>
      <w:iCs/>
      <w:color w:val="44546A" w:themeColor="text2"/>
      <w:sz w:val="21"/>
      <w:szCs w:val="21"/>
      <w:lang w:val="en-AU" w:eastAsia="ja-JP"/>
    </w:rPr>
  </w:style>
  <w:style w:type="paragraph" w:styleId="Heading7">
    <w:name w:val="heading 7"/>
    <w:basedOn w:val="Normal"/>
    <w:next w:val="Normal"/>
    <w:link w:val="Heading7Char"/>
    <w:uiPriority w:val="9"/>
    <w:unhideWhenUsed/>
    <w:rsid w:val="000B54BD"/>
    <w:pPr>
      <w:keepNext/>
      <w:keepLines/>
      <w:spacing w:before="40" w:after="0" w:line="276" w:lineRule="auto"/>
      <w:ind w:left="1296" w:hanging="1296"/>
      <w:jc w:val="both"/>
      <w:outlineLvl w:val="6"/>
    </w:pPr>
    <w:rPr>
      <w:rFonts w:asciiTheme="majorHAnsi" w:eastAsiaTheme="majorEastAsia" w:hAnsiTheme="majorHAnsi" w:cstheme="majorBidi"/>
      <w:i/>
      <w:iCs/>
      <w:color w:val="1F4E79" w:themeColor="accent1" w:themeShade="80"/>
      <w:sz w:val="21"/>
      <w:szCs w:val="21"/>
      <w:lang w:val="en-AU" w:eastAsia="ja-JP"/>
    </w:rPr>
  </w:style>
  <w:style w:type="paragraph" w:styleId="Heading8">
    <w:name w:val="heading 8"/>
    <w:basedOn w:val="Normal"/>
    <w:next w:val="Normal"/>
    <w:link w:val="Heading8Char"/>
    <w:uiPriority w:val="9"/>
    <w:unhideWhenUsed/>
    <w:rsid w:val="000B54BD"/>
    <w:pPr>
      <w:keepNext/>
      <w:keepLines/>
      <w:spacing w:before="40" w:after="0" w:line="276" w:lineRule="auto"/>
      <w:ind w:left="1440" w:hanging="1440"/>
      <w:jc w:val="both"/>
      <w:outlineLvl w:val="7"/>
    </w:pPr>
    <w:rPr>
      <w:rFonts w:asciiTheme="majorHAnsi" w:eastAsiaTheme="majorEastAsia" w:hAnsiTheme="majorHAnsi" w:cstheme="majorBidi"/>
      <w:b/>
      <w:bCs/>
      <w:color w:val="44546A" w:themeColor="text2"/>
      <w:szCs w:val="20"/>
      <w:lang w:val="en-AU" w:eastAsia="ja-JP"/>
    </w:rPr>
  </w:style>
  <w:style w:type="paragraph" w:styleId="Heading9">
    <w:name w:val="heading 9"/>
    <w:basedOn w:val="Normal"/>
    <w:next w:val="Normal"/>
    <w:link w:val="Heading9Char"/>
    <w:uiPriority w:val="9"/>
    <w:unhideWhenUsed/>
    <w:rsid w:val="000B54BD"/>
    <w:pPr>
      <w:keepNext/>
      <w:keepLines/>
      <w:spacing w:before="40" w:after="0" w:line="276" w:lineRule="auto"/>
      <w:ind w:left="1584" w:hanging="1584"/>
      <w:jc w:val="both"/>
      <w:outlineLvl w:val="8"/>
    </w:pPr>
    <w:rPr>
      <w:rFonts w:asciiTheme="majorHAnsi" w:eastAsiaTheme="majorEastAsia" w:hAnsiTheme="majorHAnsi" w:cstheme="majorBidi"/>
      <w:b/>
      <w:bCs/>
      <w:i/>
      <w:iCs/>
      <w:color w:val="44546A" w:themeColor="text2"/>
      <w:szCs w:val="20"/>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Recommendation,CV text,Table text,Colorful List - Accent 11,COOP,Primary Bullet List,List Paragraph (numbered (a)),MCHIP_list paragraph,Bullet List,FooterText,F5 List Paragraph,Dot pt,No Spacing1"/>
    <w:basedOn w:val="Normal"/>
    <w:link w:val="ListParagraphChar"/>
    <w:uiPriority w:val="34"/>
    <w:qFormat/>
    <w:rsid w:val="00E86D22"/>
    <w:pPr>
      <w:ind w:left="720"/>
      <w:contextualSpacing/>
    </w:pPr>
  </w:style>
  <w:style w:type="character" w:styleId="Hyperlink">
    <w:name w:val="Hyperlink"/>
    <w:basedOn w:val="DefaultParagraphFont"/>
    <w:uiPriority w:val="99"/>
    <w:unhideWhenUsed/>
    <w:rsid w:val="00B92EBA"/>
    <w:rPr>
      <w:color w:val="0563C1" w:themeColor="hyperlink"/>
      <w:u w:val="single"/>
    </w:rPr>
  </w:style>
  <w:style w:type="paragraph" w:styleId="NormalWeb">
    <w:name w:val="Normal (Web)"/>
    <w:basedOn w:val="Normal"/>
    <w:uiPriority w:val="99"/>
    <w:unhideWhenUsed/>
    <w:rsid w:val="00984E2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aliases w:val="DPS Table Grid"/>
    <w:basedOn w:val="TableNormal"/>
    <w:uiPriority w:val="39"/>
    <w:rsid w:val="00D7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L Char,Recommendation Char,CV text Char,Table text Char,Colorful List - Accent 11 Char,COOP Char,Primary Bullet List Char,List Paragraph (numbered (a)) Char,MCHIP_list paragraph Char"/>
    <w:basedOn w:val="DefaultParagraphFont"/>
    <w:link w:val="ListParagraph"/>
    <w:uiPriority w:val="34"/>
    <w:qFormat/>
    <w:locked/>
    <w:rsid w:val="00CF48BA"/>
  </w:style>
  <w:style w:type="character" w:customStyle="1" w:styleId="Heading1Char">
    <w:name w:val="Heading 1 Char"/>
    <w:basedOn w:val="DefaultParagraphFont"/>
    <w:link w:val="Heading1"/>
    <w:uiPriority w:val="9"/>
    <w:rsid w:val="0047318D"/>
    <w:rPr>
      <w:rFonts w:ascii="Arial" w:eastAsiaTheme="majorEastAsia" w:hAnsi="Arial" w:cs="Arial"/>
      <w:b/>
      <w:color w:val="DA291C"/>
      <w:sz w:val="26"/>
      <w:szCs w:val="26"/>
      <w:lang w:eastAsia="ja-JP"/>
    </w:rPr>
  </w:style>
  <w:style w:type="character" w:customStyle="1" w:styleId="Heading2Char">
    <w:name w:val="Heading 2 Char"/>
    <w:basedOn w:val="DefaultParagraphFont"/>
    <w:link w:val="Heading2"/>
    <w:uiPriority w:val="9"/>
    <w:rsid w:val="00C32D4A"/>
    <w:rPr>
      <w:rFonts w:ascii="Calibri" w:eastAsia="Times New Roman" w:hAnsi="Calibri" w:cs="Arial"/>
      <w:b/>
      <w:color w:val="3B3838" w:themeColor="background2" w:themeShade="40"/>
      <w:spacing w:val="-10"/>
      <w:kern w:val="28"/>
      <w:sz w:val="24"/>
      <w:szCs w:val="32"/>
      <w:lang w:eastAsia="ja-JP"/>
    </w:rPr>
  </w:style>
  <w:style w:type="paragraph" w:styleId="BodyText">
    <w:name w:val="Body Text"/>
    <w:basedOn w:val="Normal"/>
    <w:link w:val="BodyTextChar"/>
    <w:qFormat/>
    <w:rsid w:val="0047318D"/>
    <w:pPr>
      <w:spacing w:line="280" w:lineRule="exact"/>
    </w:pPr>
    <w:rPr>
      <w:rFonts w:ascii="Franklin Gothic Book" w:eastAsia="Times New Roman" w:hAnsi="Franklin Gothic Book" w:cs="Times New Roman"/>
      <w:sz w:val="21"/>
      <w:szCs w:val="24"/>
      <w:lang w:val="en-AU" w:eastAsia="en-AU"/>
    </w:rPr>
  </w:style>
  <w:style w:type="character" w:customStyle="1" w:styleId="BodyTextChar">
    <w:name w:val="Body Text Char"/>
    <w:basedOn w:val="DefaultParagraphFont"/>
    <w:link w:val="BodyText"/>
    <w:rsid w:val="0047318D"/>
    <w:rPr>
      <w:rFonts w:ascii="Franklin Gothic Book" w:eastAsia="Times New Roman" w:hAnsi="Franklin Gothic Book" w:cs="Times New Roman"/>
      <w:sz w:val="21"/>
      <w:szCs w:val="24"/>
      <w:lang w:val="en-AU" w:eastAsia="en-AU"/>
    </w:rPr>
  </w:style>
  <w:style w:type="paragraph" w:styleId="NoSpacing">
    <w:name w:val="No Spacing"/>
    <w:link w:val="NoSpacingChar"/>
    <w:uiPriority w:val="1"/>
    <w:qFormat/>
    <w:rsid w:val="00716D39"/>
    <w:pPr>
      <w:spacing w:after="0" w:line="240" w:lineRule="auto"/>
    </w:pPr>
  </w:style>
  <w:style w:type="character" w:customStyle="1" w:styleId="Heading3Char">
    <w:name w:val="Heading 3 Char"/>
    <w:basedOn w:val="DefaultParagraphFont"/>
    <w:link w:val="Heading3"/>
    <w:uiPriority w:val="9"/>
    <w:rsid w:val="00DD0215"/>
    <w:rPr>
      <w:rFonts w:asciiTheme="majorHAnsi" w:eastAsiaTheme="majorEastAsia" w:hAnsiTheme="majorHAnsi" w:cstheme="majorBidi"/>
      <w:color w:val="1F4D78" w:themeColor="accent1" w:themeShade="7F"/>
      <w:sz w:val="24"/>
      <w:szCs w:val="24"/>
    </w:rPr>
  </w:style>
  <w:style w:type="paragraph" w:customStyle="1" w:styleId="Default">
    <w:name w:val="Default"/>
    <w:rsid w:val="0003250C"/>
    <w:pPr>
      <w:autoSpaceDE w:val="0"/>
      <w:autoSpaceDN w:val="0"/>
      <w:adjustRightInd w:val="0"/>
      <w:spacing w:after="0" w:line="240" w:lineRule="auto"/>
    </w:pPr>
    <w:rPr>
      <w:rFonts w:ascii="Arial" w:hAnsi="Arial" w:cs="Arial"/>
      <w:color w:val="000000"/>
      <w:sz w:val="24"/>
      <w:szCs w:val="24"/>
      <w:lang w:val="en-AU"/>
    </w:rPr>
  </w:style>
  <w:style w:type="paragraph" w:customStyle="1" w:styleId="p2">
    <w:name w:val="p2"/>
    <w:basedOn w:val="Normal"/>
    <w:rsid w:val="00F455E2"/>
    <w:pPr>
      <w:spacing w:after="0" w:line="56" w:lineRule="atLeast"/>
    </w:pPr>
    <w:rPr>
      <w:rFonts w:ascii="Trebuchet MS" w:eastAsiaTheme="minorEastAsia" w:hAnsi="Trebuchet MS" w:cs="Times New Roman"/>
      <w:color w:val="000000"/>
      <w:sz w:val="17"/>
      <w:szCs w:val="17"/>
      <w:lang w:eastAsia="en-GB"/>
    </w:rPr>
  </w:style>
  <w:style w:type="paragraph" w:customStyle="1" w:styleId="p5">
    <w:name w:val="p5"/>
    <w:basedOn w:val="Normal"/>
    <w:rsid w:val="00F455E2"/>
    <w:pPr>
      <w:spacing w:after="0" w:line="150" w:lineRule="atLeast"/>
    </w:pPr>
    <w:rPr>
      <w:rFonts w:ascii="Times New Roman" w:eastAsiaTheme="minorEastAsia" w:hAnsi="Times New Roman" w:cs="Times New Roman"/>
      <w:color w:val="000000"/>
      <w:sz w:val="15"/>
      <w:szCs w:val="15"/>
      <w:lang w:eastAsia="en-GB"/>
    </w:rPr>
  </w:style>
  <w:style w:type="character" w:customStyle="1" w:styleId="s2">
    <w:name w:val="s2"/>
    <w:basedOn w:val="DefaultParagraphFont"/>
    <w:rsid w:val="00F455E2"/>
    <w:rPr>
      <w:rFonts w:ascii="Trebuchet MS" w:hAnsi="Trebuchet MS" w:hint="default"/>
      <w:b/>
      <w:bCs/>
      <w:i w:val="0"/>
      <w:iCs w:val="0"/>
      <w:sz w:val="22"/>
      <w:szCs w:val="22"/>
    </w:rPr>
  </w:style>
  <w:style w:type="character" w:customStyle="1" w:styleId="s3">
    <w:name w:val="s3"/>
    <w:basedOn w:val="DefaultParagraphFont"/>
    <w:rsid w:val="00F455E2"/>
    <w:rPr>
      <w:rFonts w:ascii="Trebuchet MS" w:hAnsi="Trebuchet MS" w:hint="default"/>
      <w:b w:val="0"/>
      <w:bCs w:val="0"/>
      <w:i w:val="0"/>
      <w:iCs w:val="0"/>
      <w:sz w:val="22"/>
      <w:szCs w:val="22"/>
    </w:rPr>
  </w:style>
  <w:style w:type="paragraph" w:customStyle="1" w:styleId="yiv6676576847msolistparagraph">
    <w:name w:val="yiv6676576847msolistparagraph"/>
    <w:basedOn w:val="Normal"/>
    <w:rsid w:val="00D267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76576847msonormal">
    <w:name w:val="yiv6676576847msonormal"/>
    <w:basedOn w:val="Normal"/>
    <w:rsid w:val="00D267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9603AB"/>
    <w:pPr>
      <w:spacing w:after="0" w:line="240" w:lineRule="auto"/>
    </w:pPr>
    <w:rPr>
      <w:rFonts w:eastAsiaTheme="minorEastAsia"/>
      <w:sz w:val="24"/>
      <w:szCs w:val="24"/>
      <w:lang w:val="en-US"/>
    </w:rPr>
  </w:style>
  <w:style w:type="character" w:customStyle="1" w:styleId="EndnoteTextChar">
    <w:name w:val="Endnote Text Char"/>
    <w:basedOn w:val="DefaultParagraphFont"/>
    <w:link w:val="EndnoteText"/>
    <w:uiPriority w:val="99"/>
    <w:rsid w:val="009603AB"/>
    <w:rPr>
      <w:rFonts w:eastAsiaTheme="minorEastAsia"/>
      <w:sz w:val="24"/>
      <w:szCs w:val="24"/>
      <w:lang w:val="en-US"/>
    </w:rPr>
  </w:style>
  <w:style w:type="character" w:styleId="EndnoteReference">
    <w:name w:val="endnote reference"/>
    <w:basedOn w:val="DefaultParagraphFont"/>
    <w:uiPriority w:val="99"/>
    <w:unhideWhenUsed/>
    <w:rsid w:val="009603AB"/>
    <w:rPr>
      <w:vertAlign w:val="superscript"/>
    </w:rPr>
  </w:style>
  <w:style w:type="paragraph" w:styleId="FootnoteText">
    <w:name w:val="footnote text"/>
    <w:aliases w:val="Footnote,12pt,ft,single space,FOOTNOTES,fn,footnote text,Footnote Text Char Char Char Char Char Char Char Char Char Char,Footnote Text Char Char Char Char Char Char Char Char Char Char Char Char,Footnote Text2,ft2,Footnote Text1,f,Geneva 9"/>
    <w:basedOn w:val="Normal"/>
    <w:link w:val="FootnoteTextChar"/>
    <w:uiPriority w:val="99"/>
    <w:unhideWhenUsed/>
    <w:qFormat/>
    <w:rsid w:val="00217B45"/>
    <w:pPr>
      <w:spacing w:after="0" w:line="240" w:lineRule="auto"/>
    </w:pPr>
    <w:rPr>
      <w:rFonts w:eastAsiaTheme="minorEastAsia"/>
      <w:sz w:val="24"/>
      <w:szCs w:val="24"/>
      <w:lang w:val="en-US"/>
    </w:rPr>
  </w:style>
  <w:style w:type="character" w:customStyle="1" w:styleId="FootnoteTextChar">
    <w:name w:val="Footnote Text Char"/>
    <w:aliases w:val="Footnote Char,12pt Char,ft Char,single space Char,FOOTNOTES Char,fn Char,footnote text Char,Footnote Text Char Char Char Char Char Char Char Char Char Char Char,Footnote Text2 Char,ft2 Char,Footnote Text1 Char,f Char,Geneva 9 Char"/>
    <w:basedOn w:val="DefaultParagraphFont"/>
    <w:link w:val="FootnoteText"/>
    <w:uiPriority w:val="99"/>
    <w:rsid w:val="00217B45"/>
    <w:rPr>
      <w:rFonts w:eastAsiaTheme="minorEastAsia"/>
      <w:sz w:val="24"/>
      <w:szCs w:val="24"/>
      <w:lang w:val="en-US"/>
    </w:rPr>
  </w:style>
  <w:style w:type="paragraph" w:styleId="TOC1">
    <w:name w:val="toc 1"/>
    <w:basedOn w:val="Normal"/>
    <w:next w:val="Normal"/>
    <w:autoRedefine/>
    <w:uiPriority w:val="39"/>
    <w:rsid w:val="00BF055D"/>
    <w:pPr>
      <w:spacing w:after="0" w:line="240" w:lineRule="auto"/>
    </w:pPr>
    <w:rPr>
      <w:rFonts w:ascii="Arial" w:eastAsia="Times New Roman" w:hAnsi="Arial" w:cs="Times New Roman"/>
      <w:sz w:val="24"/>
      <w:szCs w:val="24"/>
      <w:lang w:val="en-AU"/>
    </w:rPr>
  </w:style>
  <w:style w:type="paragraph" w:styleId="TOC2">
    <w:name w:val="toc 2"/>
    <w:basedOn w:val="Normal"/>
    <w:next w:val="Normal"/>
    <w:autoRedefine/>
    <w:uiPriority w:val="39"/>
    <w:unhideWhenUsed/>
    <w:rsid w:val="00BF055D"/>
    <w:pPr>
      <w:spacing w:after="100" w:line="280" w:lineRule="exact"/>
      <w:ind w:left="220"/>
    </w:pPr>
    <w:rPr>
      <w:rFonts w:ascii="Franklin Gothic Book" w:hAnsi="Franklin Gothic Book"/>
      <w:sz w:val="21"/>
      <w:lang w:val="en-AU"/>
    </w:rPr>
  </w:style>
  <w:style w:type="paragraph" w:styleId="Footer">
    <w:name w:val="footer"/>
    <w:basedOn w:val="Normal"/>
    <w:link w:val="FooterChar"/>
    <w:uiPriority w:val="99"/>
    <w:unhideWhenUsed/>
    <w:rsid w:val="00BF055D"/>
    <w:pPr>
      <w:tabs>
        <w:tab w:val="center" w:pos="4513"/>
        <w:tab w:val="right" w:pos="9026"/>
      </w:tabs>
      <w:spacing w:after="0" w:line="240" w:lineRule="auto"/>
    </w:pPr>
    <w:rPr>
      <w:rFonts w:ascii="Franklin Gothic Book" w:hAnsi="Franklin Gothic Book"/>
      <w:sz w:val="21"/>
      <w:lang w:val="en-AU"/>
    </w:rPr>
  </w:style>
  <w:style w:type="character" w:customStyle="1" w:styleId="FooterChar">
    <w:name w:val="Footer Char"/>
    <w:basedOn w:val="DefaultParagraphFont"/>
    <w:link w:val="Footer"/>
    <w:uiPriority w:val="99"/>
    <w:rsid w:val="00BF055D"/>
    <w:rPr>
      <w:rFonts w:ascii="Franklin Gothic Book" w:hAnsi="Franklin Gothic Book"/>
      <w:sz w:val="21"/>
      <w:lang w:val="en-AU"/>
    </w:rPr>
  </w:style>
  <w:style w:type="paragraph" w:styleId="TOCHeading">
    <w:name w:val="TOC Heading"/>
    <w:basedOn w:val="Heading1"/>
    <w:next w:val="Normal"/>
    <w:uiPriority w:val="39"/>
    <w:unhideWhenUsed/>
    <w:qFormat/>
    <w:rsid w:val="00BF055D"/>
    <w:pPr>
      <w:keepNext/>
      <w:keepLines/>
      <w:numPr>
        <w:numId w:val="0"/>
      </w:numPr>
      <w:autoSpaceDE/>
      <w:autoSpaceDN/>
      <w:adjustRightInd/>
      <w:spacing w:before="480" w:line="276" w:lineRule="auto"/>
      <w:outlineLvl w:val="9"/>
    </w:pPr>
    <w:rPr>
      <w:rFonts w:asciiTheme="majorHAnsi" w:hAnsiTheme="majorHAnsi" w:cstheme="majorBidi"/>
      <w:bCs/>
      <w:color w:val="2E74B5" w:themeColor="accent1" w:themeShade="BF"/>
      <w:sz w:val="28"/>
      <w:szCs w:val="28"/>
      <w:lang w:val="en-US"/>
    </w:rPr>
  </w:style>
  <w:style w:type="paragraph" w:customStyle="1" w:styleId="Disclaimertext">
    <w:name w:val="Disclaimer text"/>
    <w:basedOn w:val="Normal"/>
    <w:qFormat/>
    <w:rsid w:val="00BF055D"/>
    <w:pPr>
      <w:spacing w:after="120" w:line="276" w:lineRule="auto"/>
    </w:pPr>
    <w:rPr>
      <w:rFonts w:eastAsia="HGMinchoB" w:cs="Mangal"/>
      <w:i/>
      <w:iCs/>
      <w:sz w:val="18"/>
      <w:szCs w:val="24"/>
      <w:lang w:val="en-AU" w:eastAsia="ja-JP" w:bidi="hi-IN"/>
    </w:rPr>
  </w:style>
  <w:style w:type="paragraph" w:styleId="Header">
    <w:name w:val="header"/>
    <w:basedOn w:val="Normal"/>
    <w:link w:val="HeaderChar"/>
    <w:uiPriority w:val="99"/>
    <w:unhideWhenUsed/>
    <w:rsid w:val="00EB5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17B"/>
  </w:style>
  <w:style w:type="character" w:customStyle="1" w:styleId="HeaderFooterTextChar">
    <w:name w:val="Header_Footer Text Char"/>
    <w:basedOn w:val="DefaultParagraphFont"/>
    <w:link w:val="HeaderFooterText"/>
    <w:locked/>
    <w:rsid w:val="002E4FC3"/>
    <w:rPr>
      <w:rFonts w:ascii="Arial" w:eastAsiaTheme="minorEastAsia" w:hAnsi="Arial" w:cs="Arial"/>
      <w:sz w:val="16"/>
      <w:szCs w:val="20"/>
      <w:lang w:val="en-AU" w:eastAsia="ja-JP"/>
    </w:rPr>
  </w:style>
  <w:style w:type="paragraph" w:customStyle="1" w:styleId="HeaderFooterText">
    <w:name w:val="Header_Footer Text"/>
    <w:basedOn w:val="Footer"/>
    <w:link w:val="HeaderFooterTextChar"/>
    <w:qFormat/>
    <w:rsid w:val="002E4FC3"/>
    <w:pPr>
      <w:spacing w:line="276" w:lineRule="auto"/>
      <w:jc w:val="both"/>
    </w:pPr>
    <w:rPr>
      <w:rFonts w:ascii="Arial" w:eastAsiaTheme="minorEastAsia" w:hAnsi="Arial" w:cs="Arial"/>
      <w:sz w:val="16"/>
      <w:szCs w:val="20"/>
      <w:lang w:eastAsia="ja-JP"/>
    </w:rPr>
  </w:style>
  <w:style w:type="paragraph" w:styleId="TOC3">
    <w:name w:val="toc 3"/>
    <w:basedOn w:val="Normal"/>
    <w:next w:val="Normal"/>
    <w:autoRedefine/>
    <w:uiPriority w:val="39"/>
    <w:unhideWhenUsed/>
    <w:rsid w:val="00324FBF"/>
    <w:pPr>
      <w:spacing w:after="100"/>
      <w:ind w:left="440"/>
    </w:pPr>
  </w:style>
  <w:style w:type="paragraph" w:styleId="BalloonText">
    <w:name w:val="Balloon Text"/>
    <w:basedOn w:val="Normal"/>
    <w:link w:val="BalloonTextChar"/>
    <w:uiPriority w:val="99"/>
    <w:semiHidden/>
    <w:unhideWhenUsed/>
    <w:rsid w:val="00C179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95F"/>
    <w:rPr>
      <w:rFonts w:ascii="Lucida Grande" w:hAnsi="Lucida Grande" w:cs="Lucida Grande"/>
      <w:sz w:val="18"/>
      <w:szCs w:val="18"/>
    </w:rPr>
  </w:style>
  <w:style w:type="character" w:styleId="CommentReference">
    <w:name w:val="annotation reference"/>
    <w:basedOn w:val="DefaultParagraphFont"/>
    <w:uiPriority w:val="99"/>
    <w:unhideWhenUsed/>
    <w:rsid w:val="000627FA"/>
    <w:rPr>
      <w:sz w:val="18"/>
      <w:szCs w:val="18"/>
    </w:rPr>
  </w:style>
  <w:style w:type="paragraph" w:styleId="CommentText">
    <w:name w:val="annotation text"/>
    <w:basedOn w:val="Normal"/>
    <w:link w:val="CommentTextChar"/>
    <w:uiPriority w:val="99"/>
    <w:unhideWhenUsed/>
    <w:rsid w:val="000627FA"/>
    <w:pPr>
      <w:spacing w:line="240" w:lineRule="auto"/>
    </w:pPr>
    <w:rPr>
      <w:sz w:val="24"/>
      <w:szCs w:val="24"/>
    </w:rPr>
  </w:style>
  <w:style w:type="character" w:customStyle="1" w:styleId="CommentTextChar">
    <w:name w:val="Comment Text Char"/>
    <w:basedOn w:val="DefaultParagraphFont"/>
    <w:link w:val="CommentText"/>
    <w:uiPriority w:val="99"/>
    <w:rsid w:val="000627FA"/>
    <w:rPr>
      <w:sz w:val="24"/>
      <w:szCs w:val="24"/>
    </w:rPr>
  </w:style>
  <w:style w:type="paragraph" w:styleId="CommentSubject">
    <w:name w:val="annotation subject"/>
    <w:basedOn w:val="CommentText"/>
    <w:next w:val="CommentText"/>
    <w:link w:val="CommentSubjectChar"/>
    <w:uiPriority w:val="99"/>
    <w:semiHidden/>
    <w:unhideWhenUsed/>
    <w:rsid w:val="000627FA"/>
    <w:rPr>
      <w:b/>
      <w:bCs/>
      <w:sz w:val="20"/>
      <w:szCs w:val="20"/>
    </w:rPr>
  </w:style>
  <w:style w:type="character" w:customStyle="1" w:styleId="CommentSubjectChar">
    <w:name w:val="Comment Subject Char"/>
    <w:basedOn w:val="CommentTextChar"/>
    <w:link w:val="CommentSubject"/>
    <w:uiPriority w:val="99"/>
    <w:semiHidden/>
    <w:rsid w:val="000627FA"/>
    <w:rPr>
      <w:b/>
      <w:bCs/>
      <w:sz w:val="20"/>
      <w:szCs w:val="20"/>
    </w:rPr>
  </w:style>
  <w:style w:type="paragraph" w:customStyle="1" w:styleId="Level2Heading">
    <w:name w:val="Level 2 Heading"/>
    <w:basedOn w:val="Normal"/>
    <w:next w:val="Normal"/>
    <w:link w:val="Level2HeadingChar"/>
    <w:qFormat/>
    <w:rsid w:val="00DD0215"/>
    <w:pPr>
      <w:numPr>
        <w:ilvl w:val="1"/>
        <w:numId w:val="56"/>
      </w:numPr>
      <w:spacing w:before="120" w:after="120" w:line="276" w:lineRule="auto"/>
    </w:pPr>
    <w:rPr>
      <w:rFonts w:ascii="Calibri" w:eastAsia="Times New Roman" w:hAnsi="Calibri" w:cs="Arial"/>
      <w:b/>
      <w:color w:val="3B3838" w:themeColor="background2" w:themeShade="40"/>
      <w:spacing w:val="-10"/>
      <w:kern w:val="28"/>
      <w:sz w:val="24"/>
      <w:szCs w:val="32"/>
      <w:lang w:eastAsia="ja-JP"/>
    </w:rPr>
  </w:style>
  <w:style w:type="character" w:customStyle="1" w:styleId="Level2HeadingChar">
    <w:name w:val="Level 2 Heading Char"/>
    <w:basedOn w:val="DefaultParagraphFont"/>
    <w:link w:val="Level2Heading"/>
    <w:rsid w:val="00DD0215"/>
    <w:rPr>
      <w:rFonts w:ascii="Calibri" w:eastAsia="Times New Roman" w:hAnsi="Calibri" w:cs="Arial"/>
      <w:b/>
      <w:color w:val="3B3838" w:themeColor="background2" w:themeShade="40"/>
      <w:spacing w:val="-10"/>
      <w:kern w:val="28"/>
      <w:sz w:val="24"/>
      <w:szCs w:val="32"/>
      <w:lang w:eastAsia="ja-JP"/>
    </w:rPr>
  </w:style>
  <w:style w:type="paragraph" w:customStyle="1" w:styleId="Level3heading">
    <w:name w:val="Level 3 heading"/>
    <w:basedOn w:val="Level2Heading"/>
    <w:next w:val="Normal"/>
    <w:qFormat/>
    <w:rsid w:val="00DD0215"/>
    <w:pPr>
      <w:numPr>
        <w:ilvl w:val="2"/>
      </w:numPr>
      <w:spacing w:after="60"/>
      <w:outlineLvl w:val="2"/>
    </w:pPr>
    <w:rPr>
      <w:rFonts w:asciiTheme="minorHAnsi" w:eastAsiaTheme="majorEastAsia" w:hAnsiTheme="minorHAnsi"/>
      <w:b w:val="0"/>
      <w:szCs w:val="24"/>
    </w:rPr>
  </w:style>
  <w:style w:type="paragraph" w:customStyle="1" w:styleId="NumberedLevel1heading">
    <w:name w:val="Numbered Level 1 heading"/>
    <w:basedOn w:val="Normal"/>
    <w:next w:val="Normal"/>
    <w:autoRedefine/>
    <w:qFormat/>
    <w:rsid w:val="00154A73"/>
    <w:pPr>
      <w:numPr>
        <w:numId w:val="56"/>
      </w:numPr>
      <w:spacing w:before="320" w:after="0" w:line="276" w:lineRule="auto"/>
      <w:outlineLvl w:val="0"/>
    </w:pPr>
    <w:rPr>
      <w:rFonts w:ascii="Calibri" w:eastAsia="Times New Roman" w:hAnsi="Calibri" w:cs="Arial"/>
      <w:b/>
      <w:color w:val="D5291C"/>
      <w:sz w:val="28"/>
      <w:szCs w:val="24"/>
      <w:lang w:eastAsia="ja-JP" w:bidi="hi-IN"/>
    </w:rPr>
  </w:style>
  <w:style w:type="paragraph" w:styleId="Revision">
    <w:name w:val="Revision"/>
    <w:hidden/>
    <w:uiPriority w:val="99"/>
    <w:semiHidden/>
    <w:rsid w:val="00FC37CF"/>
    <w:pPr>
      <w:spacing w:after="0" w:line="240" w:lineRule="auto"/>
    </w:pPr>
  </w:style>
  <w:style w:type="paragraph" w:customStyle="1" w:styleId="yiv6173163470msonormal">
    <w:name w:val="yiv6173163470msonormal"/>
    <w:basedOn w:val="Normal"/>
    <w:rsid w:val="00DE42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173163470gmail-msolistparagraph">
    <w:name w:val="yiv6173163470gmail-msolistparagraph"/>
    <w:basedOn w:val="Normal"/>
    <w:rsid w:val="00DE42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45BD3"/>
    <w:rPr>
      <w:color w:val="605E5C"/>
      <w:shd w:val="clear" w:color="auto" w:fill="E1DFDD"/>
    </w:rPr>
  </w:style>
  <w:style w:type="character" w:customStyle="1" w:styleId="NoSpacingChar">
    <w:name w:val="No Spacing Char"/>
    <w:basedOn w:val="DefaultParagraphFont"/>
    <w:link w:val="NoSpacing"/>
    <w:uiPriority w:val="1"/>
    <w:rsid w:val="00D2231A"/>
  </w:style>
  <w:style w:type="paragraph" w:customStyle="1" w:styleId="NumberedTitle">
    <w:name w:val="Numbered Title"/>
    <w:basedOn w:val="Heading1"/>
    <w:next w:val="Normal"/>
    <w:link w:val="NumberedTitleChar"/>
    <w:qFormat/>
    <w:rsid w:val="00D2231A"/>
    <w:pPr>
      <w:keepNext/>
      <w:keepLines/>
      <w:numPr>
        <w:numId w:val="0"/>
      </w:numPr>
      <w:autoSpaceDE/>
      <w:autoSpaceDN/>
      <w:adjustRightInd/>
      <w:spacing w:before="320" w:line="276" w:lineRule="auto"/>
      <w:jc w:val="both"/>
    </w:pPr>
    <w:rPr>
      <w:sz w:val="24"/>
      <w:szCs w:val="32"/>
      <w:lang w:val="en-AU"/>
    </w:rPr>
  </w:style>
  <w:style w:type="character" w:customStyle="1" w:styleId="NumberedTitleChar">
    <w:name w:val="Numbered Title Char"/>
    <w:basedOn w:val="DefaultParagraphFont"/>
    <w:link w:val="NumberedTitle"/>
    <w:rsid w:val="00D2231A"/>
    <w:rPr>
      <w:rFonts w:ascii="Arial" w:eastAsiaTheme="majorEastAsia" w:hAnsi="Arial" w:cs="Arial"/>
      <w:b/>
      <w:color w:val="DA291C"/>
      <w:sz w:val="24"/>
      <w:szCs w:val="32"/>
      <w:lang w:val="en-AU" w:eastAsia="ja-JP"/>
    </w:rPr>
  </w:style>
  <w:style w:type="character" w:styleId="FootnoteReference">
    <w:name w:val="footnote reference"/>
    <w:aliases w:val=" BVI fnr,BVI fnr,ftref,referencia nota al pie,footnote ref,16 Point,Superscript 6 Point,fr,(NECG) Footnote Reference,ASI Footer,Ref,de nota al pie,BVI fnr Car Car,BVI fnr Car,BVI fnr Car Car Car Car,BVI fnr Car Car Car Car Char,10 pt"/>
    <w:basedOn w:val="DefaultParagraphFont"/>
    <w:uiPriority w:val="99"/>
    <w:unhideWhenUsed/>
    <w:qFormat/>
    <w:rsid w:val="00D2231A"/>
    <w:rPr>
      <w:vertAlign w:val="superscript"/>
    </w:rPr>
  </w:style>
  <w:style w:type="paragraph" w:customStyle="1" w:styleId="Style1">
    <w:name w:val="Style 1"/>
    <w:uiPriority w:val="99"/>
    <w:rsid w:val="00D2231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table" w:customStyle="1" w:styleId="Tablewithnoheader">
    <w:name w:val="Table with no header"/>
    <w:basedOn w:val="TableNormal"/>
    <w:rsid w:val="00D2231A"/>
    <w:pPr>
      <w:spacing w:after="0" w:line="240" w:lineRule="auto"/>
    </w:pPr>
    <w:rPr>
      <w:rFonts w:ascii="Arial" w:eastAsia="Times New Roman" w:hAnsi="Arial" w:cs="Times New Roman"/>
      <w:sz w:val="20"/>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DPSTableGrid1">
    <w:name w:val="DPS Table Grid1"/>
    <w:basedOn w:val="TableNormal"/>
    <w:next w:val="TableGrid"/>
    <w:uiPriority w:val="59"/>
    <w:rsid w:val="000B54BD"/>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54BD"/>
    <w:rPr>
      <w:rFonts w:asciiTheme="majorHAnsi" w:eastAsiaTheme="majorEastAsia" w:hAnsiTheme="majorHAnsi" w:cstheme="majorBidi"/>
      <w:lang w:val="en-AU" w:eastAsia="ja-JP"/>
    </w:rPr>
  </w:style>
  <w:style w:type="character" w:customStyle="1" w:styleId="Heading5Char">
    <w:name w:val="Heading 5 Char"/>
    <w:basedOn w:val="DefaultParagraphFont"/>
    <w:link w:val="Heading5"/>
    <w:uiPriority w:val="9"/>
    <w:rsid w:val="000B54BD"/>
    <w:rPr>
      <w:rFonts w:asciiTheme="majorHAnsi" w:eastAsiaTheme="majorEastAsia" w:hAnsiTheme="majorHAnsi" w:cstheme="majorBidi"/>
      <w:color w:val="44546A" w:themeColor="text2"/>
      <w:lang w:val="en-AU" w:eastAsia="ja-JP"/>
    </w:rPr>
  </w:style>
  <w:style w:type="character" w:customStyle="1" w:styleId="Heading6Char">
    <w:name w:val="Heading 6 Char"/>
    <w:basedOn w:val="DefaultParagraphFont"/>
    <w:link w:val="Heading6"/>
    <w:uiPriority w:val="9"/>
    <w:rsid w:val="000B54BD"/>
    <w:rPr>
      <w:rFonts w:asciiTheme="majorHAnsi" w:eastAsiaTheme="majorEastAsia" w:hAnsiTheme="majorHAnsi" w:cstheme="majorBidi"/>
      <w:i/>
      <w:iCs/>
      <w:color w:val="44546A" w:themeColor="text2"/>
      <w:sz w:val="21"/>
      <w:szCs w:val="21"/>
      <w:lang w:val="en-AU" w:eastAsia="ja-JP"/>
    </w:rPr>
  </w:style>
  <w:style w:type="character" w:customStyle="1" w:styleId="Heading7Char">
    <w:name w:val="Heading 7 Char"/>
    <w:basedOn w:val="DefaultParagraphFont"/>
    <w:link w:val="Heading7"/>
    <w:uiPriority w:val="9"/>
    <w:rsid w:val="000B54BD"/>
    <w:rPr>
      <w:rFonts w:asciiTheme="majorHAnsi" w:eastAsiaTheme="majorEastAsia" w:hAnsiTheme="majorHAnsi" w:cstheme="majorBidi"/>
      <w:i/>
      <w:iCs/>
      <w:color w:val="1F4E79" w:themeColor="accent1" w:themeShade="80"/>
      <w:sz w:val="21"/>
      <w:szCs w:val="21"/>
      <w:lang w:val="en-AU" w:eastAsia="ja-JP"/>
    </w:rPr>
  </w:style>
  <w:style w:type="character" w:customStyle="1" w:styleId="Heading8Char">
    <w:name w:val="Heading 8 Char"/>
    <w:basedOn w:val="DefaultParagraphFont"/>
    <w:link w:val="Heading8"/>
    <w:uiPriority w:val="9"/>
    <w:rsid w:val="000B54BD"/>
    <w:rPr>
      <w:rFonts w:asciiTheme="majorHAnsi" w:eastAsiaTheme="majorEastAsia" w:hAnsiTheme="majorHAnsi" w:cstheme="majorBidi"/>
      <w:b/>
      <w:bCs/>
      <w:color w:val="44546A" w:themeColor="text2"/>
      <w:szCs w:val="20"/>
      <w:lang w:val="en-AU" w:eastAsia="ja-JP"/>
    </w:rPr>
  </w:style>
  <w:style w:type="character" w:customStyle="1" w:styleId="Heading9Char">
    <w:name w:val="Heading 9 Char"/>
    <w:basedOn w:val="DefaultParagraphFont"/>
    <w:link w:val="Heading9"/>
    <w:uiPriority w:val="9"/>
    <w:rsid w:val="000B54BD"/>
    <w:rPr>
      <w:rFonts w:asciiTheme="majorHAnsi" w:eastAsiaTheme="majorEastAsia" w:hAnsiTheme="majorHAnsi" w:cstheme="majorBidi"/>
      <w:b/>
      <w:bCs/>
      <w:i/>
      <w:iCs/>
      <w:color w:val="44546A" w:themeColor="text2"/>
      <w:szCs w:val="20"/>
      <w:lang w:val="en-AU" w:eastAsia="ja-JP"/>
    </w:rPr>
  </w:style>
  <w:style w:type="paragraph" w:styleId="Subtitle">
    <w:name w:val="Subtitle"/>
    <w:aliases w:val="Heading Title 3"/>
    <w:basedOn w:val="Normal"/>
    <w:next w:val="Normal"/>
    <w:link w:val="SubtitleChar"/>
    <w:uiPriority w:val="11"/>
    <w:qFormat/>
    <w:rsid w:val="000B54BD"/>
    <w:pPr>
      <w:numPr>
        <w:ilvl w:val="1"/>
      </w:numPr>
      <w:spacing w:after="120" w:line="276" w:lineRule="auto"/>
      <w:jc w:val="both"/>
    </w:pPr>
    <w:rPr>
      <w:rFonts w:ascii="Arial" w:eastAsiaTheme="majorEastAsia" w:hAnsi="Arial" w:cs="Arial"/>
      <w:b/>
      <w:szCs w:val="24"/>
      <w:lang w:val="en-AU" w:eastAsia="ja-JP"/>
    </w:rPr>
  </w:style>
  <w:style w:type="character" w:customStyle="1" w:styleId="SubtitleChar">
    <w:name w:val="Subtitle Char"/>
    <w:aliases w:val="Heading Title 3 Char"/>
    <w:basedOn w:val="DefaultParagraphFont"/>
    <w:link w:val="Subtitle"/>
    <w:uiPriority w:val="11"/>
    <w:rsid w:val="000B54BD"/>
    <w:rPr>
      <w:rFonts w:ascii="Arial" w:eastAsiaTheme="majorEastAsia" w:hAnsi="Arial" w:cs="Arial"/>
      <w:b/>
      <w:szCs w:val="24"/>
      <w:lang w:val="en-AU" w:eastAsia="ja-JP"/>
    </w:rPr>
  </w:style>
  <w:style w:type="paragraph" w:customStyle="1" w:styleId="3rdLevelNumberedTitle">
    <w:name w:val="3rd Level Numbered Title"/>
    <w:basedOn w:val="SecondLevelNumberedTitle"/>
    <w:link w:val="3rdLevelNumberedTitleChar"/>
    <w:qFormat/>
    <w:rsid w:val="000B54BD"/>
    <w:pPr>
      <w:ind w:hanging="432"/>
    </w:pPr>
    <w:rPr>
      <w:rFonts w:asciiTheme="majorHAnsi" w:hAnsiTheme="majorHAnsi"/>
      <w:b/>
      <w:lang w:val="en-AU"/>
    </w:rPr>
  </w:style>
  <w:style w:type="character" w:customStyle="1" w:styleId="3rdLevelNumberedTitleChar">
    <w:name w:val="3rd Level Numbered Title Char"/>
    <w:basedOn w:val="SubtitleChar"/>
    <w:link w:val="3rdLevelNumberedTitle"/>
    <w:rsid w:val="000B54BD"/>
    <w:rPr>
      <w:rFonts w:asciiTheme="majorHAnsi" w:eastAsiaTheme="majorEastAsia" w:hAnsiTheme="majorHAnsi" w:cs="Arial"/>
      <w:b/>
      <w:color w:val="404040" w:themeColor="text1" w:themeTint="BF"/>
      <w:szCs w:val="24"/>
      <w:lang w:val="en-AU" w:eastAsia="ja-JP"/>
    </w:rPr>
  </w:style>
  <w:style w:type="character" w:styleId="BookTitle">
    <w:name w:val="Book Title"/>
    <w:basedOn w:val="DefaultParagraphFont"/>
    <w:uiPriority w:val="33"/>
    <w:rsid w:val="000B54BD"/>
    <w:rPr>
      <w:b/>
      <w:bCs/>
      <w:smallCaps/>
    </w:rPr>
  </w:style>
  <w:style w:type="paragraph" w:styleId="Caption">
    <w:name w:val="caption"/>
    <w:basedOn w:val="Normal"/>
    <w:next w:val="Normal"/>
    <w:uiPriority w:val="35"/>
    <w:unhideWhenUsed/>
    <w:qFormat/>
    <w:rsid w:val="000B54BD"/>
    <w:pPr>
      <w:spacing w:after="120" w:line="276" w:lineRule="auto"/>
      <w:jc w:val="both"/>
    </w:pPr>
    <w:rPr>
      <w:rFonts w:ascii="Arial Bold" w:eastAsiaTheme="minorEastAsia" w:hAnsi="Arial Bold" w:cs="Times New Roman"/>
      <w:b/>
      <w:bCs/>
      <w:color w:val="595959" w:themeColor="text1" w:themeTint="A6"/>
      <w:spacing w:val="6"/>
      <w:sz w:val="16"/>
      <w:szCs w:val="20"/>
      <w:lang w:val="en-AU" w:eastAsia="ja-JP"/>
    </w:rPr>
  </w:style>
  <w:style w:type="character" w:styleId="Emphasis">
    <w:name w:val="Emphasis"/>
    <w:basedOn w:val="DefaultParagraphFont"/>
    <w:uiPriority w:val="20"/>
    <w:qFormat/>
    <w:rsid w:val="000B54BD"/>
    <w:rPr>
      <w:rFonts w:ascii="Arial" w:hAnsi="Arial"/>
      <w:i/>
      <w:iCs/>
    </w:rPr>
  </w:style>
  <w:style w:type="character" w:styleId="FollowedHyperlink">
    <w:name w:val="FollowedHyperlink"/>
    <w:basedOn w:val="DefaultParagraphFont"/>
    <w:uiPriority w:val="99"/>
    <w:semiHidden/>
    <w:unhideWhenUsed/>
    <w:rsid w:val="000B54BD"/>
    <w:rPr>
      <w:color w:val="954F72" w:themeColor="followedHyperlink"/>
      <w:u w:val="single"/>
    </w:rPr>
  </w:style>
  <w:style w:type="character" w:styleId="IntenseEmphasis">
    <w:name w:val="Intense Emphasis"/>
    <w:basedOn w:val="DefaultParagraphFont"/>
    <w:uiPriority w:val="21"/>
    <w:qFormat/>
    <w:rsid w:val="000B54BD"/>
    <w:rPr>
      <w:rFonts w:ascii="Arial" w:hAnsi="Arial"/>
      <w:b/>
      <w:bCs/>
      <w:i/>
      <w:iCs/>
    </w:rPr>
  </w:style>
  <w:style w:type="paragraph" w:styleId="IntenseQuote">
    <w:name w:val="Intense Quote"/>
    <w:basedOn w:val="Normal"/>
    <w:next w:val="Normal"/>
    <w:link w:val="IntenseQuoteChar"/>
    <w:uiPriority w:val="30"/>
    <w:qFormat/>
    <w:rsid w:val="000B54BD"/>
    <w:pPr>
      <w:pBdr>
        <w:left w:val="single" w:sz="18" w:space="12" w:color="DA291C"/>
      </w:pBdr>
      <w:spacing w:before="100" w:beforeAutospacing="1" w:after="120" w:line="300" w:lineRule="auto"/>
      <w:ind w:left="1224" w:right="1224"/>
      <w:jc w:val="both"/>
    </w:pPr>
    <w:rPr>
      <w:rFonts w:asciiTheme="majorHAnsi" w:eastAsiaTheme="majorEastAsia" w:hAnsiTheme="majorHAnsi" w:cstheme="majorBidi"/>
      <w:color w:val="000000" w:themeColor="text1"/>
      <w:szCs w:val="28"/>
      <w:lang w:val="en-AU" w:eastAsia="ja-JP"/>
    </w:rPr>
  </w:style>
  <w:style w:type="character" w:customStyle="1" w:styleId="IntenseQuoteChar">
    <w:name w:val="Intense Quote Char"/>
    <w:basedOn w:val="DefaultParagraphFont"/>
    <w:link w:val="IntenseQuote"/>
    <w:uiPriority w:val="30"/>
    <w:rsid w:val="000B54BD"/>
    <w:rPr>
      <w:rFonts w:asciiTheme="majorHAnsi" w:eastAsiaTheme="majorEastAsia" w:hAnsiTheme="majorHAnsi" w:cstheme="majorBidi"/>
      <w:color w:val="000000" w:themeColor="text1"/>
      <w:szCs w:val="28"/>
      <w:lang w:val="en-AU" w:eastAsia="ja-JP"/>
    </w:rPr>
  </w:style>
  <w:style w:type="character" w:styleId="IntenseReference">
    <w:name w:val="Intense Reference"/>
    <w:basedOn w:val="DefaultParagraphFont"/>
    <w:uiPriority w:val="32"/>
    <w:rsid w:val="000B54BD"/>
    <w:rPr>
      <w:b/>
      <w:bCs/>
      <w:smallCaps/>
      <w:spacing w:val="5"/>
      <w:u w:val="single"/>
    </w:rPr>
  </w:style>
  <w:style w:type="paragraph" w:customStyle="1" w:styleId="NumberedList">
    <w:name w:val="Numbered List"/>
    <w:basedOn w:val="ListParagraph"/>
    <w:link w:val="NumberedListChar"/>
    <w:qFormat/>
    <w:rsid w:val="000B54BD"/>
    <w:pPr>
      <w:numPr>
        <w:numId w:val="37"/>
      </w:numPr>
      <w:spacing w:before="120" w:after="120" w:line="276" w:lineRule="auto"/>
      <w:contextualSpacing w:val="0"/>
      <w:jc w:val="both"/>
    </w:pPr>
    <w:rPr>
      <w:rFonts w:asciiTheme="majorHAnsi" w:eastAsiaTheme="minorEastAsia" w:hAnsiTheme="majorHAnsi" w:cs="Times New Roman"/>
      <w:szCs w:val="20"/>
      <w:lang w:val="en-AU" w:eastAsia="ja-JP"/>
    </w:rPr>
  </w:style>
  <w:style w:type="character" w:customStyle="1" w:styleId="NumberedListChar">
    <w:name w:val="Numbered List Char"/>
    <w:basedOn w:val="DefaultParagraphFont"/>
    <w:link w:val="NumberedList"/>
    <w:rsid w:val="000B54BD"/>
    <w:rPr>
      <w:rFonts w:asciiTheme="majorHAnsi" w:eastAsiaTheme="minorEastAsia" w:hAnsiTheme="majorHAnsi" w:cs="Times New Roman"/>
      <w:szCs w:val="20"/>
      <w:lang w:val="en-AU" w:eastAsia="ja-JP"/>
    </w:rPr>
  </w:style>
  <w:style w:type="paragraph" w:styleId="Title">
    <w:name w:val="Title"/>
    <w:basedOn w:val="Normal"/>
    <w:next w:val="Normal"/>
    <w:link w:val="TitleChar"/>
    <w:uiPriority w:val="10"/>
    <w:qFormat/>
    <w:rsid w:val="000B54BD"/>
    <w:pPr>
      <w:spacing w:after="0" w:line="276" w:lineRule="auto"/>
      <w:contextualSpacing/>
      <w:jc w:val="both"/>
    </w:pPr>
    <w:rPr>
      <w:rFonts w:ascii="Arial" w:eastAsiaTheme="majorEastAsia" w:hAnsi="Arial" w:cs="Arial"/>
      <w:color w:val="DA291C"/>
      <w:spacing w:val="-10"/>
      <w:sz w:val="28"/>
      <w:szCs w:val="56"/>
      <w:lang w:val="en-AU" w:eastAsia="ja-JP"/>
    </w:rPr>
  </w:style>
  <w:style w:type="character" w:customStyle="1" w:styleId="TitleChar">
    <w:name w:val="Title Char"/>
    <w:basedOn w:val="DefaultParagraphFont"/>
    <w:link w:val="Title"/>
    <w:uiPriority w:val="10"/>
    <w:rsid w:val="000B54BD"/>
    <w:rPr>
      <w:rFonts w:ascii="Arial" w:eastAsiaTheme="majorEastAsia" w:hAnsi="Arial" w:cs="Arial"/>
      <w:color w:val="DA291C"/>
      <w:spacing w:val="-10"/>
      <w:sz w:val="28"/>
      <w:szCs w:val="56"/>
      <w:lang w:val="en-AU" w:eastAsia="ja-JP"/>
    </w:rPr>
  </w:style>
  <w:style w:type="character" w:styleId="PlaceholderText">
    <w:name w:val="Placeholder Text"/>
    <w:basedOn w:val="DefaultParagraphFont"/>
    <w:uiPriority w:val="99"/>
    <w:semiHidden/>
    <w:rsid w:val="000B54BD"/>
    <w:rPr>
      <w:color w:val="808080"/>
    </w:rPr>
  </w:style>
  <w:style w:type="table" w:customStyle="1" w:styleId="PlainTable11">
    <w:name w:val="Plain Table 11"/>
    <w:basedOn w:val="TableNormal"/>
    <w:uiPriority w:val="41"/>
    <w:rsid w:val="000B54BD"/>
    <w:pPr>
      <w:spacing w:after="0" w:line="240" w:lineRule="auto"/>
    </w:pPr>
    <w:rPr>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0B54BD"/>
    <w:pPr>
      <w:spacing w:before="160" w:after="120" w:line="276" w:lineRule="auto"/>
      <w:ind w:left="720" w:right="720"/>
      <w:jc w:val="both"/>
    </w:pPr>
    <w:rPr>
      <w:rFonts w:asciiTheme="majorHAnsi" w:eastAsiaTheme="minorEastAsia" w:hAnsiTheme="majorHAnsi" w:cs="Times New Roman"/>
      <w:i/>
      <w:iCs/>
      <w:color w:val="404040" w:themeColor="text1" w:themeTint="BF"/>
      <w:szCs w:val="20"/>
      <w:lang w:val="en-AU" w:eastAsia="ja-JP"/>
    </w:rPr>
  </w:style>
  <w:style w:type="character" w:customStyle="1" w:styleId="QuoteChar">
    <w:name w:val="Quote Char"/>
    <w:basedOn w:val="DefaultParagraphFont"/>
    <w:link w:val="Quote"/>
    <w:uiPriority w:val="29"/>
    <w:rsid w:val="000B54BD"/>
    <w:rPr>
      <w:rFonts w:asciiTheme="majorHAnsi" w:eastAsiaTheme="minorEastAsia" w:hAnsiTheme="majorHAnsi" w:cs="Times New Roman"/>
      <w:i/>
      <w:iCs/>
      <w:color w:val="404040" w:themeColor="text1" w:themeTint="BF"/>
      <w:szCs w:val="20"/>
      <w:lang w:val="en-AU" w:eastAsia="ja-JP"/>
    </w:rPr>
  </w:style>
  <w:style w:type="table" w:customStyle="1" w:styleId="ReportTable">
    <w:name w:val="Report Table"/>
    <w:basedOn w:val="TableGrid"/>
    <w:uiPriority w:val="99"/>
    <w:rsid w:val="000B54BD"/>
    <w:rPr>
      <w:rFonts w:eastAsiaTheme="minorEastAsia"/>
      <w:sz w:val="20"/>
      <w:szCs w:val="20"/>
      <w:lang w:val="en-US" w:eastAsia="ja-JP"/>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rFonts w:ascii="Arial" w:hAnsi="Arial"/>
        <w:b/>
        <w:color w:val="FFFFFF" w:themeColor="background1"/>
        <w:sz w:val="20"/>
      </w:rPr>
      <w:tblPr/>
      <w:tcPr>
        <w:shd w:val="clear" w:color="auto" w:fill="DA291C"/>
      </w:tcPr>
    </w:tblStylePr>
    <w:tblStylePr w:type="band1Horz">
      <w:tblPr/>
      <w:tcPr>
        <w:tcBorders>
          <w:insideV w:val="nil"/>
        </w:tcBorders>
        <w:shd w:val="clear" w:color="auto" w:fill="FFFFFF" w:themeFill="background1"/>
      </w:tcPr>
    </w:tblStylePr>
    <w:tblStylePr w:type="band2Horz">
      <w:rPr>
        <w:rFonts w:ascii="Arial" w:hAnsi="Arial"/>
        <w:sz w:val="20"/>
      </w:rPr>
      <w:tblPr/>
      <w:tcPr>
        <w:tcBorders>
          <w:insideH w:val="nil"/>
          <w:insideV w:val="nil"/>
        </w:tcBorders>
        <w:shd w:val="clear" w:color="auto" w:fill="F2F2F2" w:themeFill="background1" w:themeFillShade="F2"/>
      </w:tcPr>
    </w:tblStylePr>
  </w:style>
  <w:style w:type="paragraph" w:customStyle="1" w:styleId="SecondLevelNumberedTitle">
    <w:name w:val="Second Level Numbered Title"/>
    <w:basedOn w:val="Heading2"/>
    <w:next w:val="Normal"/>
    <w:link w:val="SecondLevelNumberedTitleChar"/>
    <w:qFormat/>
    <w:rsid w:val="000B54BD"/>
    <w:pPr>
      <w:numPr>
        <w:ilvl w:val="0"/>
        <w:numId w:val="0"/>
      </w:numPr>
      <w:ind w:left="792" w:hanging="360"/>
      <w:jc w:val="both"/>
    </w:pPr>
    <w:rPr>
      <w:b w:val="0"/>
      <w:color w:val="404040" w:themeColor="text1" w:themeTint="BF"/>
      <w:sz w:val="26"/>
    </w:rPr>
  </w:style>
  <w:style w:type="character" w:customStyle="1" w:styleId="SecondLevelNumberedTitleChar">
    <w:name w:val="Second Level Numbered Title Char"/>
    <w:basedOn w:val="Heading1Char"/>
    <w:link w:val="SecondLevelNumberedTitle"/>
    <w:rsid w:val="000B54BD"/>
    <w:rPr>
      <w:rFonts w:ascii="Arial" w:eastAsiaTheme="majorEastAsia" w:hAnsi="Arial" w:cs="Arial"/>
      <w:b w:val="0"/>
      <w:color w:val="404040" w:themeColor="text1" w:themeTint="BF"/>
      <w:sz w:val="26"/>
      <w:szCs w:val="24"/>
      <w:lang w:eastAsia="ja-JP"/>
    </w:rPr>
  </w:style>
  <w:style w:type="character" w:styleId="Strong">
    <w:name w:val="Strong"/>
    <w:basedOn w:val="DefaultParagraphFont"/>
    <w:uiPriority w:val="22"/>
    <w:rsid w:val="000B54BD"/>
    <w:rPr>
      <w:b/>
      <w:bCs/>
    </w:rPr>
  </w:style>
  <w:style w:type="character" w:styleId="SubtleEmphasis">
    <w:name w:val="Subtle Emphasis"/>
    <w:basedOn w:val="DefaultParagraphFont"/>
    <w:uiPriority w:val="19"/>
    <w:qFormat/>
    <w:rsid w:val="000B54BD"/>
    <w:rPr>
      <w:rFonts w:ascii="Arial" w:hAnsi="Arial"/>
      <w:i/>
      <w:iCs/>
      <w:color w:val="404040" w:themeColor="text1" w:themeTint="BF"/>
    </w:rPr>
  </w:style>
  <w:style w:type="character" w:styleId="SubtleReference">
    <w:name w:val="Subtle Reference"/>
    <w:basedOn w:val="DefaultParagraphFont"/>
    <w:uiPriority w:val="31"/>
    <w:qFormat/>
    <w:rsid w:val="000B54BD"/>
    <w:rPr>
      <w:smallCaps/>
      <w:color w:val="404040" w:themeColor="text1" w:themeTint="BF"/>
      <w:u w:val="single" w:color="7F7F7F" w:themeColor="text1" w:themeTint="80"/>
    </w:rPr>
  </w:style>
  <w:style w:type="paragraph" w:customStyle="1" w:styleId="HeadingTItle2">
    <w:name w:val="Heading TItle 2"/>
    <w:basedOn w:val="Heading2"/>
    <w:link w:val="HeadingTItle2Char"/>
    <w:qFormat/>
    <w:rsid w:val="000B54BD"/>
    <w:pPr>
      <w:numPr>
        <w:ilvl w:val="0"/>
        <w:numId w:val="0"/>
      </w:numPr>
      <w:ind w:left="576" w:hanging="576"/>
      <w:jc w:val="both"/>
    </w:pPr>
    <w:rPr>
      <w:b w:val="0"/>
      <w:color w:val="404040" w:themeColor="text1" w:themeTint="BF"/>
    </w:rPr>
  </w:style>
  <w:style w:type="character" w:customStyle="1" w:styleId="HeadingTItle2Char">
    <w:name w:val="Heading TItle 2 Char"/>
    <w:basedOn w:val="Heading2Char"/>
    <w:link w:val="HeadingTItle2"/>
    <w:rsid w:val="000B54BD"/>
    <w:rPr>
      <w:rFonts w:ascii="Arial" w:eastAsiaTheme="majorEastAsia" w:hAnsi="Arial" w:cs="Arial"/>
      <w:b w:val="0"/>
      <w:color w:val="404040" w:themeColor="text1" w:themeTint="BF"/>
      <w:spacing w:val="-10"/>
      <w:kern w:val="28"/>
      <w:sz w:val="24"/>
      <w:szCs w:val="24"/>
      <w:lang w:eastAsia="ja-JP"/>
    </w:rPr>
  </w:style>
  <w:style w:type="paragraph" w:customStyle="1" w:styleId="Reference">
    <w:name w:val="Reference"/>
    <w:basedOn w:val="Normal"/>
    <w:link w:val="ReferenceChar"/>
    <w:qFormat/>
    <w:rsid w:val="000B54BD"/>
    <w:pPr>
      <w:spacing w:after="120" w:line="276" w:lineRule="auto"/>
      <w:jc w:val="both"/>
    </w:pPr>
    <w:rPr>
      <w:rFonts w:asciiTheme="majorHAnsi" w:eastAsiaTheme="minorEastAsia" w:hAnsiTheme="majorHAnsi" w:cs="Times New Roman"/>
      <w:sz w:val="16"/>
      <w:szCs w:val="16"/>
      <w:lang w:val="en-AU" w:eastAsia="ja-JP"/>
    </w:rPr>
  </w:style>
  <w:style w:type="character" w:customStyle="1" w:styleId="ReferenceChar">
    <w:name w:val="Reference Char"/>
    <w:basedOn w:val="DefaultParagraphFont"/>
    <w:link w:val="Reference"/>
    <w:rsid w:val="000B54BD"/>
    <w:rPr>
      <w:rFonts w:asciiTheme="majorHAnsi" w:eastAsiaTheme="minorEastAsia" w:hAnsiTheme="majorHAnsi" w:cs="Times New Roman"/>
      <w:sz w:val="16"/>
      <w:szCs w:val="16"/>
      <w:lang w:val="en-AU" w:eastAsia="ja-JP"/>
    </w:rPr>
  </w:style>
  <w:style w:type="paragraph" w:styleId="TableofFigures">
    <w:name w:val="table of figures"/>
    <w:basedOn w:val="Normal"/>
    <w:next w:val="Normal"/>
    <w:uiPriority w:val="99"/>
    <w:unhideWhenUsed/>
    <w:qFormat/>
    <w:rsid w:val="000B54BD"/>
    <w:pPr>
      <w:spacing w:after="0" w:line="276" w:lineRule="auto"/>
      <w:jc w:val="both"/>
    </w:pPr>
    <w:rPr>
      <w:rFonts w:asciiTheme="majorHAnsi" w:eastAsiaTheme="minorEastAsia" w:hAnsiTheme="majorHAnsi" w:cs="Times New Roman"/>
      <w:szCs w:val="20"/>
      <w:lang w:val="en-AU" w:eastAsia="ja-JP"/>
    </w:rPr>
  </w:style>
  <w:style w:type="paragraph" w:styleId="BodyTextIndent2">
    <w:name w:val="Body Text Indent 2"/>
    <w:basedOn w:val="Normal"/>
    <w:link w:val="BodyTextIndent2Char"/>
    <w:unhideWhenUsed/>
    <w:rsid w:val="000B54BD"/>
    <w:pPr>
      <w:spacing w:before="40" w:after="120" w:line="480" w:lineRule="auto"/>
      <w:ind w:left="360"/>
    </w:pPr>
    <w:rPr>
      <w:rFonts w:ascii="Gotham Light" w:hAnsi="Gotham Light"/>
      <w:kern w:val="20"/>
      <w:sz w:val="24"/>
      <w:szCs w:val="24"/>
      <w:lang w:val="en-AU" w:eastAsia="ja-JP"/>
    </w:rPr>
  </w:style>
  <w:style w:type="character" w:customStyle="1" w:styleId="BodyTextIndent2Char">
    <w:name w:val="Body Text Indent 2 Char"/>
    <w:basedOn w:val="DefaultParagraphFont"/>
    <w:link w:val="BodyTextIndent2"/>
    <w:rsid w:val="000B54BD"/>
    <w:rPr>
      <w:rFonts w:ascii="Gotham Light" w:hAnsi="Gotham Light"/>
      <w:kern w:val="20"/>
      <w:sz w:val="24"/>
      <w:szCs w:val="24"/>
      <w:lang w:val="en-AU" w:eastAsia="ja-JP"/>
    </w:rPr>
  </w:style>
  <w:style w:type="paragraph" w:customStyle="1" w:styleId="4thLevelHeading">
    <w:name w:val="4th Level Heading"/>
    <w:basedOn w:val="3rdLevelNumberedTitle"/>
    <w:link w:val="4thLevelHeadingChar"/>
    <w:qFormat/>
    <w:rsid w:val="000B54BD"/>
    <w:pPr>
      <w:numPr>
        <w:ilvl w:val="3"/>
      </w:numPr>
      <w:ind w:left="788" w:hanging="431"/>
      <w:outlineLvl w:val="3"/>
    </w:pPr>
    <w:rPr>
      <w:b w:val="0"/>
      <w:i/>
    </w:rPr>
  </w:style>
  <w:style w:type="character" w:customStyle="1" w:styleId="4thLevelHeadingChar">
    <w:name w:val="4th Level Heading Char"/>
    <w:basedOn w:val="3rdLevelNumberedTitleChar"/>
    <w:link w:val="4thLevelHeading"/>
    <w:rsid w:val="000B54BD"/>
    <w:rPr>
      <w:rFonts w:asciiTheme="majorHAnsi" w:eastAsiaTheme="majorEastAsia" w:hAnsiTheme="majorHAnsi" w:cs="Arial"/>
      <w:b w:val="0"/>
      <w:i/>
      <w:color w:val="404040" w:themeColor="text1" w:themeTint="BF"/>
      <w:sz w:val="26"/>
      <w:szCs w:val="24"/>
      <w:lang w:val="en-AU" w:eastAsia="ja-JP"/>
    </w:rPr>
  </w:style>
  <w:style w:type="table" w:customStyle="1" w:styleId="PlainTable41">
    <w:name w:val="Plain Table 41"/>
    <w:basedOn w:val="TableNormal"/>
    <w:uiPriority w:val="44"/>
    <w:rsid w:val="000B54BD"/>
    <w:pPr>
      <w:spacing w:after="0" w:line="240" w:lineRule="auto"/>
    </w:pPr>
    <w:rPr>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olorfulGrid-Accent1">
    <w:name w:val="Colorful Grid Accent 1"/>
    <w:basedOn w:val="TableNormal"/>
    <w:uiPriority w:val="29"/>
    <w:rsid w:val="000B54BD"/>
    <w:pPr>
      <w:spacing w:after="0" w:line="240" w:lineRule="auto"/>
    </w:pPr>
    <w:rPr>
      <w:color w:val="000000" w:themeColor="text1"/>
      <w:sz w:val="24"/>
      <w:szCs w:val="24"/>
      <w:lang w:val="en-US" w:eastAsia="ja-JP"/>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MediumShading1-Accent11">
    <w:name w:val="Medium Shading 1 - Accent 11"/>
    <w:basedOn w:val="TableNormal"/>
    <w:uiPriority w:val="63"/>
    <w:rsid w:val="000B54BD"/>
    <w:pPr>
      <w:spacing w:after="0" w:line="240" w:lineRule="auto"/>
    </w:pPr>
    <w:rPr>
      <w:color w:val="595959" w:themeColor="text1" w:themeTint="A6"/>
      <w:sz w:val="24"/>
      <w:szCs w:val="24"/>
      <w:lang w:val="en-US"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0B54BD"/>
    <w:pPr>
      <w:spacing w:after="0" w:line="240" w:lineRule="auto"/>
    </w:pPr>
    <w:rPr>
      <w:color w:val="595959" w:themeColor="text1" w:themeTint="A6"/>
      <w:sz w:val="24"/>
      <w:szCs w:val="24"/>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GridTable4-Accent51">
    <w:name w:val="Grid Table 4 - Accent 51"/>
    <w:basedOn w:val="TableNormal"/>
    <w:uiPriority w:val="49"/>
    <w:rsid w:val="000B54BD"/>
    <w:pPr>
      <w:spacing w:before="40" w:after="0" w:line="240" w:lineRule="auto"/>
    </w:pPr>
    <w:rPr>
      <w:color w:val="595959" w:themeColor="text1" w:themeTint="A6"/>
      <w:sz w:val="24"/>
      <w:szCs w:val="24"/>
      <w:lang w:val="en-US"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4">
    <w:name w:val="toc 4"/>
    <w:basedOn w:val="Normal"/>
    <w:next w:val="Normal"/>
    <w:autoRedefine/>
    <w:uiPriority w:val="39"/>
    <w:unhideWhenUsed/>
    <w:rsid w:val="00F44B85"/>
    <w:pPr>
      <w:spacing w:after="100"/>
      <w:ind w:left="660"/>
    </w:pPr>
    <w:rPr>
      <w:rFonts w:eastAsiaTheme="minorEastAsia"/>
      <w:lang w:val="en-AU" w:eastAsia="en-AU"/>
    </w:rPr>
  </w:style>
  <w:style w:type="paragraph" w:styleId="TOC5">
    <w:name w:val="toc 5"/>
    <w:basedOn w:val="Normal"/>
    <w:next w:val="Normal"/>
    <w:autoRedefine/>
    <w:uiPriority w:val="39"/>
    <w:unhideWhenUsed/>
    <w:rsid w:val="00F44B85"/>
    <w:pPr>
      <w:spacing w:after="100"/>
      <w:ind w:left="880"/>
    </w:pPr>
    <w:rPr>
      <w:rFonts w:eastAsiaTheme="minorEastAsia"/>
      <w:lang w:val="en-AU" w:eastAsia="en-AU"/>
    </w:rPr>
  </w:style>
  <w:style w:type="paragraph" w:styleId="TOC6">
    <w:name w:val="toc 6"/>
    <w:basedOn w:val="Normal"/>
    <w:next w:val="Normal"/>
    <w:autoRedefine/>
    <w:uiPriority w:val="39"/>
    <w:unhideWhenUsed/>
    <w:rsid w:val="00F44B85"/>
    <w:pPr>
      <w:spacing w:after="100"/>
      <w:ind w:left="1100"/>
    </w:pPr>
    <w:rPr>
      <w:rFonts w:eastAsiaTheme="minorEastAsia"/>
      <w:lang w:val="en-AU" w:eastAsia="en-AU"/>
    </w:rPr>
  </w:style>
  <w:style w:type="paragraph" w:styleId="TOC7">
    <w:name w:val="toc 7"/>
    <w:basedOn w:val="Normal"/>
    <w:next w:val="Normal"/>
    <w:autoRedefine/>
    <w:uiPriority w:val="39"/>
    <w:unhideWhenUsed/>
    <w:rsid w:val="00F44B85"/>
    <w:pPr>
      <w:spacing w:after="100"/>
      <w:ind w:left="1320"/>
    </w:pPr>
    <w:rPr>
      <w:rFonts w:eastAsiaTheme="minorEastAsia"/>
      <w:lang w:val="en-AU" w:eastAsia="en-AU"/>
    </w:rPr>
  </w:style>
  <w:style w:type="paragraph" w:styleId="TOC8">
    <w:name w:val="toc 8"/>
    <w:basedOn w:val="Normal"/>
    <w:next w:val="Normal"/>
    <w:autoRedefine/>
    <w:uiPriority w:val="39"/>
    <w:unhideWhenUsed/>
    <w:rsid w:val="00F44B85"/>
    <w:pPr>
      <w:spacing w:after="100"/>
      <w:ind w:left="1540"/>
    </w:pPr>
    <w:rPr>
      <w:rFonts w:eastAsiaTheme="minorEastAsia"/>
      <w:lang w:val="en-AU" w:eastAsia="en-AU"/>
    </w:rPr>
  </w:style>
  <w:style w:type="paragraph" w:styleId="TOC9">
    <w:name w:val="toc 9"/>
    <w:basedOn w:val="Normal"/>
    <w:next w:val="Normal"/>
    <w:autoRedefine/>
    <w:uiPriority w:val="39"/>
    <w:unhideWhenUsed/>
    <w:rsid w:val="00F44B85"/>
    <w:pPr>
      <w:spacing w:after="100"/>
      <w:ind w:left="1760"/>
    </w:pPr>
    <w:rPr>
      <w:rFonts w:eastAsiaTheme="minorEastAsia"/>
      <w:lang w:val="en-AU" w:eastAsia="en-AU"/>
    </w:rPr>
  </w:style>
  <w:style w:type="character" w:customStyle="1" w:styleId="UnresolvedMention2">
    <w:name w:val="Unresolved Mention2"/>
    <w:basedOn w:val="DefaultParagraphFont"/>
    <w:uiPriority w:val="99"/>
    <w:semiHidden/>
    <w:unhideWhenUsed/>
    <w:rsid w:val="00F44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4328">
      <w:bodyDiv w:val="1"/>
      <w:marLeft w:val="0"/>
      <w:marRight w:val="0"/>
      <w:marTop w:val="0"/>
      <w:marBottom w:val="0"/>
      <w:divBdr>
        <w:top w:val="none" w:sz="0" w:space="0" w:color="auto"/>
        <w:left w:val="none" w:sz="0" w:space="0" w:color="auto"/>
        <w:bottom w:val="none" w:sz="0" w:space="0" w:color="auto"/>
        <w:right w:val="none" w:sz="0" w:space="0" w:color="auto"/>
      </w:divBdr>
      <w:divsChild>
        <w:div w:id="13308368">
          <w:marLeft w:val="0"/>
          <w:marRight w:val="0"/>
          <w:marTop w:val="0"/>
          <w:marBottom w:val="0"/>
          <w:divBdr>
            <w:top w:val="none" w:sz="0" w:space="0" w:color="auto"/>
            <w:left w:val="none" w:sz="0" w:space="0" w:color="auto"/>
            <w:bottom w:val="none" w:sz="0" w:space="0" w:color="auto"/>
            <w:right w:val="none" w:sz="0" w:space="0" w:color="auto"/>
          </w:divBdr>
        </w:div>
        <w:div w:id="163594810">
          <w:marLeft w:val="0"/>
          <w:marRight w:val="0"/>
          <w:marTop w:val="0"/>
          <w:marBottom w:val="0"/>
          <w:divBdr>
            <w:top w:val="none" w:sz="0" w:space="0" w:color="auto"/>
            <w:left w:val="none" w:sz="0" w:space="0" w:color="auto"/>
            <w:bottom w:val="none" w:sz="0" w:space="0" w:color="auto"/>
            <w:right w:val="none" w:sz="0" w:space="0" w:color="auto"/>
          </w:divBdr>
        </w:div>
        <w:div w:id="195119490">
          <w:marLeft w:val="0"/>
          <w:marRight w:val="0"/>
          <w:marTop w:val="0"/>
          <w:marBottom w:val="0"/>
          <w:divBdr>
            <w:top w:val="none" w:sz="0" w:space="0" w:color="auto"/>
            <w:left w:val="none" w:sz="0" w:space="0" w:color="auto"/>
            <w:bottom w:val="none" w:sz="0" w:space="0" w:color="auto"/>
            <w:right w:val="none" w:sz="0" w:space="0" w:color="auto"/>
          </w:divBdr>
        </w:div>
        <w:div w:id="258871738">
          <w:marLeft w:val="0"/>
          <w:marRight w:val="0"/>
          <w:marTop w:val="0"/>
          <w:marBottom w:val="0"/>
          <w:divBdr>
            <w:top w:val="none" w:sz="0" w:space="0" w:color="auto"/>
            <w:left w:val="none" w:sz="0" w:space="0" w:color="auto"/>
            <w:bottom w:val="none" w:sz="0" w:space="0" w:color="auto"/>
            <w:right w:val="none" w:sz="0" w:space="0" w:color="auto"/>
          </w:divBdr>
        </w:div>
        <w:div w:id="388041404">
          <w:marLeft w:val="0"/>
          <w:marRight w:val="0"/>
          <w:marTop w:val="0"/>
          <w:marBottom w:val="0"/>
          <w:divBdr>
            <w:top w:val="none" w:sz="0" w:space="0" w:color="auto"/>
            <w:left w:val="none" w:sz="0" w:space="0" w:color="auto"/>
            <w:bottom w:val="none" w:sz="0" w:space="0" w:color="auto"/>
            <w:right w:val="none" w:sz="0" w:space="0" w:color="auto"/>
          </w:divBdr>
        </w:div>
        <w:div w:id="428741116">
          <w:marLeft w:val="0"/>
          <w:marRight w:val="0"/>
          <w:marTop w:val="0"/>
          <w:marBottom w:val="0"/>
          <w:divBdr>
            <w:top w:val="none" w:sz="0" w:space="0" w:color="auto"/>
            <w:left w:val="none" w:sz="0" w:space="0" w:color="auto"/>
            <w:bottom w:val="none" w:sz="0" w:space="0" w:color="auto"/>
            <w:right w:val="none" w:sz="0" w:space="0" w:color="auto"/>
          </w:divBdr>
        </w:div>
        <w:div w:id="638657624">
          <w:marLeft w:val="0"/>
          <w:marRight w:val="0"/>
          <w:marTop w:val="0"/>
          <w:marBottom w:val="0"/>
          <w:divBdr>
            <w:top w:val="none" w:sz="0" w:space="0" w:color="auto"/>
            <w:left w:val="none" w:sz="0" w:space="0" w:color="auto"/>
            <w:bottom w:val="none" w:sz="0" w:space="0" w:color="auto"/>
            <w:right w:val="none" w:sz="0" w:space="0" w:color="auto"/>
          </w:divBdr>
        </w:div>
        <w:div w:id="648828007">
          <w:marLeft w:val="0"/>
          <w:marRight w:val="0"/>
          <w:marTop w:val="0"/>
          <w:marBottom w:val="0"/>
          <w:divBdr>
            <w:top w:val="none" w:sz="0" w:space="0" w:color="auto"/>
            <w:left w:val="none" w:sz="0" w:space="0" w:color="auto"/>
            <w:bottom w:val="none" w:sz="0" w:space="0" w:color="auto"/>
            <w:right w:val="none" w:sz="0" w:space="0" w:color="auto"/>
          </w:divBdr>
        </w:div>
        <w:div w:id="803233175">
          <w:marLeft w:val="0"/>
          <w:marRight w:val="0"/>
          <w:marTop w:val="0"/>
          <w:marBottom w:val="0"/>
          <w:divBdr>
            <w:top w:val="none" w:sz="0" w:space="0" w:color="auto"/>
            <w:left w:val="none" w:sz="0" w:space="0" w:color="auto"/>
            <w:bottom w:val="none" w:sz="0" w:space="0" w:color="auto"/>
            <w:right w:val="none" w:sz="0" w:space="0" w:color="auto"/>
          </w:divBdr>
        </w:div>
        <w:div w:id="872112489">
          <w:marLeft w:val="0"/>
          <w:marRight w:val="0"/>
          <w:marTop w:val="0"/>
          <w:marBottom w:val="0"/>
          <w:divBdr>
            <w:top w:val="none" w:sz="0" w:space="0" w:color="auto"/>
            <w:left w:val="none" w:sz="0" w:space="0" w:color="auto"/>
            <w:bottom w:val="none" w:sz="0" w:space="0" w:color="auto"/>
            <w:right w:val="none" w:sz="0" w:space="0" w:color="auto"/>
          </w:divBdr>
        </w:div>
        <w:div w:id="1010716170">
          <w:marLeft w:val="0"/>
          <w:marRight w:val="0"/>
          <w:marTop w:val="0"/>
          <w:marBottom w:val="0"/>
          <w:divBdr>
            <w:top w:val="none" w:sz="0" w:space="0" w:color="auto"/>
            <w:left w:val="none" w:sz="0" w:space="0" w:color="auto"/>
            <w:bottom w:val="none" w:sz="0" w:space="0" w:color="auto"/>
            <w:right w:val="none" w:sz="0" w:space="0" w:color="auto"/>
          </w:divBdr>
        </w:div>
        <w:div w:id="1028456585">
          <w:marLeft w:val="0"/>
          <w:marRight w:val="0"/>
          <w:marTop w:val="0"/>
          <w:marBottom w:val="0"/>
          <w:divBdr>
            <w:top w:val="none" w:sz="0" w:space="0" w:color="auto"/>
            <w:left w:val="none" w:sz="0" w:space="0" w:color="auto"/>
            <w:bottom w:val="none" w:sz="0" w:space="0" w:color="auto"/>
            <w:right w:val="none" w:sz="0" w:space="0" w:color="auto"/>
          </w:divBdr>
        </w:div>
        <w:div w:id="1164662977">
          <w:marLeft w:val="0"/>
          <w:marRight w:val="0"/>
          <w:marTop w:val="0"/>
          <w:marBottom w:val="0"/>
          <w:divBdr>
            <w:top w:val="none" w:sz="0" w:space="0" w:color="auto"/>
            <w:left w:val="none" w:sz="0" w:space="0" w:color="auto"/>
            <w:bottom w:val="none" w:sz="0" w:space="0" w:color="auto"/>
            <w:right w:val="none" w:sz="0" w:space="0" w:color="auto"/>
          </w:divBdr>
        </w:div>
        <w:div w:id="1297832912">
          <w:marLeft w:val="0"/>
          <w:marRight w:val="0"/>
          <w:marTop w:val="0"/>
          <w:marBottom w:val="0"/>
          <w:divBdr>
            <w:top w:val="none" w:sz="0" w:space="0" w:color="auto"/>
            <w:left w:val="none" w:sz="0" w:space="0" w:color="auto"/>
            <w:bottom w:val="none" w:sz="0" w:space="0" w:color="auto"/>
            <w:right w:val="none" w:sz="0" w:space="0" w:color="auto"/>
          </w:divBdr>
        </w:div>
        <w:div w:id="1400251893">
          <w:marLeft w:val="0"/>
          <w:marRight w:val="0"/>
          <w:marTop w:val="0"/>
          <w:marBottom w:val="0"/>
          <w:divBdr>
            <w:top w:val="none" w:sz="0" w:space="0" w:color="auto"/>
            <w:left w:val="none" w:sz="0" w:space="0" w:color="auto"/>
            <w:bottom w:val="none" w:sz="0" w:space="0" w:color="auto"/>
            <w:right w:val="none" w:sz="0" w:space="0" w:color="auto"/>
          </w:divBdr>
        </w:div>
        <w:div w:id="1515143984">
          <w:marLeft w:val="0"/>
          <w:marRight w:val="0"/>
          <w:marTop w:val="0"/>
          <w:marBottom w:val="0"/>
          <w:divBdr>
            <w:top w:val="none" w:sz="0" w:space="0" w:color="auto"/>
            <w:left w:val="none" w:sz="0" w:space="0" w:color="auto"/>
            <w:bottom w:val="none" w:sz="0" w:space="0" w:color="auto"/>
            <w:right w:val="none" w:sz="0" w:space="0" w:color="auto"/>
          </w:divBdr>
        </w:div>
        <w:div w:id="1607419767">
          <w:marLeft w:val="0"/>
          <w:marRight w:val="0"/>
          <w:marTop w:val="0"/>
          <w:marBottom w:val="0"/>
          <w:divBdr>
            <w:top w:val="none" w:sz="0" w:space="0" w:color="auto"/>
            <w:left w:val="none" w:sz="0" w:space="0" w:color="auto"/>
            <w:bottom w:val="none" w:sz="0" w:space="0" w:color="auto"/>
            <w:right w:val="none" w:sz="0" w:space="0" w:color="auto"/>
          </w:divBdr>
        </w:div>
        <w:div w:id="1721440168">
          <w:marLeft w:val="0"/>
          <w:marRight w:val="0"/>
          <w:marTop w:val="0"/>
          <w:marBottom w:val="0"/>
          <w:divBdr>
            <w:top w:val="none" w:sz="0" w:space="0" w:color="auto"/>
            <w:left w:val="none" w:sz="0" w:space="0" w:color="auto"/>
            <w:bottom w:val="none" w:sz="0" w:space="0" w:color="auto"/>
            <w:right w:val="none" w:sz="0" w:space="0" w:color="auto"/>
          </w:divBdr>
        </w:div>
        <w:div w:id="2025744977">
          <w:marLeft w:val="0"/>
          <w:marRight w:val="0"/>
          <w:marTop w:val="0"/>
          <w:marBottom w:val="0"/>
          <w:divBdr>
            <w:top w:val="none" w:sz="0" w:space="0" w:color="auto"/>
            <w:left w:val="none" w:sz="0" w:space="0" w:color="auto"/>
            <w:bottom w:val="none" w:sz="0" w:space="0" w:color="auto"/>
            <w:right w:val="none" w:sz="0" w:space="0" w:color="auto"/>
          </w:divBdr>
        </w:div>
      </w:divsChild>
    </w:div>
    <w:div w:id="248269874">
      <w:bodyDiv w:val="1"/>
      <w:marLeft w:val="0"/>
      <w:marRight w:val="0"/>
      <w:marTop w:val="0"/>
      <w:marBottom w:val="0"/>
      <w:divBdr>
        <w:top w:val="none" w:sz="0" w:space="0" w:color="auto"/>
        <w:left w:val="none" w:sz="0" w:space="0" w:color="auto"/>
        <w:bottom w:val="none" w:sz="0" w:space="0" w:color="auto"/>
        <w:right w:val="none" w:sz="0" w:space="0" w:color="auto"/>
      </w:divBdr>
    </w:div>
    <w:div w:id="287589538">
      <w:bodyDiv w:val="1"/>
      <w:marLeft w:val="0"/>
      <w:marRight w:val="0"/>
      <w:marTop w:val="0"/>
      <w:marBottom w:val="0"/>
      <w:divBdr>
        <w:top w:val="none" w:sz="0" w:space="0" w:color="auto"/>
        <w:left w:val="none" w:sz="0" w:space="0" w:color="auto"/>
        <w:bottom w:val="none" w:sz="0" w:space="0" w:color="auto"/>
        <w:right w:val="none" w:sz="0" w:space="0" w:color="auto"/>
      </w:divBdr>
    </w:div>
    <w:div w:id="470682170">
      <w:bodyDiv w:val="1"/>
      <w:marLeft w:val="0"/>
      <w:marRight w:val="0"/>
      <w:marTop w:val="0"/>
      <w:marBottom w:val="0"/>
      <w:divBdr>
        <w:top w:val="none" w:sz="0" w:space="0" w:color="auto"/>
        <w:left w:val="none" w:sz="0" w:space="0" w:color="auto"/>
        <w:bottom w:val="none" w:sz="0" w:space="0" w:color="auto"/>
        <w:right w:val="none" w:sz="0" w:space="0" w:color="auto"/>
      </w:divBdr>
    </w:div>
    <w:div w:id="597444004">
      <w:bodyDiv w:val="1"/>
      <w:marLeft w:val="0"/>
      <w:marRight w:val="0"/>
      <w:marTop w:val="0"/>
      <w:marBottom w:val="0"/>
      <w:divBdr>
        <w:top w:val="none" w:sz="0" w:space="0" w:color="auto"/>
        <w:left w:val="none" w:sz="0" w:space="0" w:color="auto"/>
        <w:bottom w:val="none" w:sz="0" w:space="0" w:color="auto"/>
        <w:right w:val="none" w:sz="0" w:space="0" w:color="auto"/>
      </w:divBdr>
    </w:div>
    <w:div w:id="642004694">
      <w:bodyDiv w:val="1"/>
      <w:marLeft w:val="0"/>
      <w:marRight w:val="0"/>
      <w:marTop w:val="0"/>
      <w:marBottom w:val="0"/>
      <w:divBdr>
        <w:top w:val="none" w:sz="0" w:space="0" w:color="auto"/>
        <w:left w:val="none" w:sz="0" w:space="0" w:color="auto"/>
        <w:bottom w:val="none" w:sz="0" w:space="0" w:color="auto"/>
        <w:right w:val="none" w:sz="0" w:space="0" w:color="auto"/>
      </w:divBdr>
    </w:div>
    <w:div w:id="1038705214">
      <w:bodyDiv w:val="1"/>
      <w:marLeft w:val="0"/>
      <w:marRight w:val="0"/>
      <w:marTop w:val="0"/>
      <w:marBottom w:val="0"/>
      <w:divBdr>
        <w:top w:val="none" w:sz="0" w:space="0" w:color="auto"/>
        <w:left w:val="none" w:sz="0" w:space="0" w:color="auto"/>
        <w:bottom w:val="none" w:sz="0" w:space="0" w:color="auto"/>
        <w:right w:val="none" w:sz="0" w:space="0" w:color="auto"/>
      </w:divBdr>
    </w:div>
    <w:div w:id="1077747696">
      <w:bodyDiv w:val="1"/>
      <w:marLeft w:val="0"/>
      <w:marRight w:val="0"/>
      <w:marTop w:val="0"/>
      <w:marBottom w:val="0"/>
      <w:divBdr>
        <w:top w:val="none" w:sz="0" w:space="0" w:color="auto"/>
        <w:left w:val="none" w:sz="0" w:space="0" w:color="auto"/>
        <w:bottom w:val="none" w:sz="0" w:space="0" w:color="auto"/>
        <w:right w:val="none" w:sz="0" w:space="0" w:color="auto"/>
      </w:divBdr>
      <w:divsChild>
        <w:div w:id="1266041382">
          <w:marLeft w:val="0"/>
          <w:marRight w:val="0"/>
          <w:marTop w:val="0"/>
          <w:marBottom w:val="0"/>
          <w:divBdr>
            <w:top w:val="none" w:sz="0" w:space="0" w:color="auto"/>
            <w:left w:val="none" w:sz="0" w:space="0" w:color="auto"/>
            <w:bottom w:val="none" w:sz="0" w:space="0" w:color="auto"/>
            <w:right w:val="none" w:sz="0" w:space="0" w:color="auto"/>
          </w:divBdr>
        </w:div>
      </w:divsChild>
    </w:div>
    <w:div w:id="1334182170">
      <w:bodyDiv w:val="1"/>
      <w:marLeft w:val="0"/>
      <w:marRight w:val="0"/>
      <w:marTop w:val="0"/>
      <w:marBottom w:val="0"/>
      <w:divBdr>
        <w:top w:val="none" w:sz="0" w:space="0" w:color="auto"/>
        <w:left w:val="none" w:sz="0" w:space="0" w:color="auto"/>
        <w:bottom w:val="none" w:sz="0" w:space="0" w:color="auto"/>
        <w:right w:val="none" w:sz="0" w:space="0" w:color="auto"/>
      </w:divBdr>
    </w:div>
    <w:div w:id="1428307434">
      <w:bodyDiv w:val="1"/>
      <w:marLeft w:val="0"/>
      <w:marRight w:val="0"/>
      <w:marTop w:val="0"/>
      <w:marBottom w:val="0"/>
      <w:divBdr>
        <w:top w:val="none" w:sz="0" w:space="0" w:color="auto"/>
        <w:left w:val="none" w:sz="0" w:space="0" w:color="auto"/>
        <w:bottom w:val="none" w:sz="0" w:space="0" w:color="auto"/>
        <w:right w:val="none" w:sz="0" w:space="0" w:color="auto"/>
      </w:divBdr>
    </w:div>
    <w:div w:id="1700935158">
      <w:bodyDiv w:val="1"/>
      <w:marLeft w:val="0"/>
      <w:marRight w:val="0"/>
      <w:marTop w:val="0"/>
      <w:marBottom w:val="0"/>
      <w:divBdr>
        <w:top w:val="none" w:sz="0" w:space="0" w:color="auto"/>
        <w:left w:val="none" w:sz="0" w:space="0" w:color="auto"/>
        <w:bottom w:val="none" w:sz="0" w:space="0" w:color="auto"/>
        <w:right w:val="none" w:sz="0" w:space="0" w:color="auto"/>
      </w:divBdr>
    </w:div>
    <w:div w:id="1826243837">
      <w:bodyDiv w:val="1"/>
      <w:marLeft w:val="0"/>
      <w:marRight w:val="0"/>
      <w:marTop w:val="0"/>
      <w:marBottom w:val="0"/>
      <w:divBdr>
        <w:top w:val="none" w:sz="0" w:space="0" w:color="auto"/>
        <w:left w:val="none" w:sz="0" w:space="0" w:color="auto"/>
        <w:bottom w:val="none" w:sz="0" w:space="0" w:color="auto"/>
        <w:right w:val="none" w:sz="0" w:space="0" w:color="auto"/>
      </w:divBdr>
      <w:divsChild>
        <w:div w:id="390807682">
          <w:marLeft w:val="0"/>
          <w:marRight w:val="0"/>
          <w:marTop w:val="0"/>
          <w:marBottom w:val="0"/>
          <w:divBdr>
            <w:top w:val="none" w:sz="0" w:space="0" w:color="auto"/>
            <w:left w:val="none" w:sz="0" w:space="0" w:color="auto"/>
            <w:bottom w:val="none" w:sz="0" w:space="0" w:color="auto"/>
            <w:right w:val="none" w:sz="0" w:space="0" w:color="auto"/>
          </w:divBdr>
        </w:div>
        <w:div w:id="431902673">
          <w:marLeft w:val="0"/>
          <w:marRight w:val="0"/>
          <w:marTop w:val="0"/>
          <w:marBottom w:val="0"/>
          <w:divBdr>
            <w:top w:val="none" w:sz="0" w:space="0" w:color="auto"/>
            <w:left w:val="none" w:sz="0" w:space="0" w:color="auto"/>
            <w:bottom w:val="none" w:sz="0" w:space="0" w:color="auto"/>
            <w:right w:val="none" w:sz="0" w:space="0" w:color="auto"/>
          </w:divBdr>
        </w:div>
        <w:div w:id="1319770887">
          <w:marLeft w:val="0"/>
          <w:marRight w:val="0"/>
          <w:marTop w:val="0"/>
          <w:marBottom w:val="0"/>
          <w:divBdr>
            <w:top w:val="none" w:sz="0" w:space="0" w:color="auto"/>
            <w:left w:val="none" w:sz="0" w:space="0" w:color="auto"/>
            <w:bottom w:val="none" w:sz="0" w:space="0" w:color="auto"/>
            <w:right w:val="none" w:sz="0" w:space="0" w:color="auto"/>
          </w:divBdr>
          <w:divsChild>
            <w:div w:id="742990382">
              <w:marLeft w:val="0"/>
              <w:marRight w:val="0"/>
              <w:marTop w:val="0"/>
              <w:marBottom w:val="0"/>
              <w:divBdr>
                <w:top w:val="none" w:sz="0" w:space="0" w:color="auto"/>
                <w:left w:val="none" w:sz="0" w:space="0" w:color="auto"/>
                <w:bottom w:val="none" w:sz="0" w:space="0" w:color="auto"/>
                <w:right w:val="none" w:sz="0" w:space="0" w:color="auto"/>
              </w:divBdr>
            </w:div>
          </w:divsChild>
        </w:div>
        <w:div w:id="1571842288">
          <w:marLeft w:val="0"/>
          <w:marRight w:val="0"/>
          <w:marTop w:val="0"/>
          <w:marBottom w:val="0"/>
          <w:divBdr>
            <w:top w:val="none" w:sz="0" w:space="0" w:color="auto"/>
            <w:left w:val="none" w:sz="0" w:space="0" w:color="auto"/>
            <w:bottom w:val="none" w:sz="0" w:space="0" w:color="auto"/>
            <w:right w:val="none" w:sz="0" w:space="0" w:color="auto"/>
          </w:divBdr>
        </w:div>
      </w:divsChild>
    </w:div>
    <w:div w:id="1882788026">
      <w:bodyDiv w:val="1"/>
      <w:marLeft w:val="0"/>
      <w:marRight w:val="0"/>
      <w:marTop w:val="0"/>
      <w:marBottom w:val="0"/>
      <w:divBdr>
        <w:top w:val="none" w:sz="0" w:space="0" w:color="auto"/>
        <w:left w:val="none" w:sz="0" w:space="0" w:color="auto"/>
        <w:bottom w:val="none" w:sz="0" w:space="0" w:color="auto"/>
        <w:right w:val="none" w:sz="0" w:space="0" w:color="auto"/>
      </w:divBdr>
    </w:div>
    <w:div w:id="1914317710">
      <w:bodyDiv w:val="1"/>
      <w:marLeft w:val="0"/>
      <w:marRight w:val="0"/>
      <w:marTop w:val="0"/>
      <w:marBottom w:val="0"/>
      <w:divBdr>
        <w:top w:val="none" w:sz="0" w:space="0" w:color="auto"/>
        <w:left w:val="none" w:sz="0" w:space="0" w:color="auto"/>
        <w:bottom w:val="none" w:sz="0" w:space="0" w:color="auto"/>
        <w:right w:val="none" w:sz="0" w:space="0" w:color="auto"/>
      </w:divBdr>
    </w:div>
    <w:div w:id="1944605159">
      <w:bodyDiv w:val="1"/>
      <w:marLeft w:val="0"/>
      <w:marRight w:val="0"/>
      <w:marTop w:val="0"/>
      <w:marBottom w:val="0"/>
      <w:divBdr>
        <w:top w:val="none" w:sz="0" w:space="0" w:color="auto"/>
        <w:left w:val="none" w:sz="0" w:space="0" w:color="auto"/>
        <w:bottom w:val="none" w:sz="0" w:space="0" w:color="auto"/>
        <w:right w:val="none" w:sz="0" w:space="0" w:color="auto"/>
      </w:divBdr>
    </w:div>
    <w:div w:id="19481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ncds/surveillance/gshs/GSHS_Tonga_2010_Report.pdf" TargetMode="External"/><Relationship Id="rId18" Type="http://schemas.openxmlformats.org/officeDocument/2006/relationships/hyperlink" Target="http://www.tandfonline.com/doi/abs/10.1080/03670244.2011.586315" TargetMode="External"/><Relationship Id="rId26" Type="http://schemas.openxmlformats.org/officeDocument/2006/relationships/hyperlink" Target="mailto:sialeakauola@yahoo.com" TargetMode="External"/><Relationship Id="rId39" Type="http://schemas.openxmlformats.org/officeDocument/2006/relationships/hyperlink" Target="mailto:ahoponoa@tongafamilyhealth.org.to" TargetMode="External"/><Relationship Id="rId21" Type="http://schemas.openxmlformats.org/officeDocument/2006/relationships/hyperlink" Target="http://tonga.prism.spc.int" TargetMode="External"/><Relationship Id="rId34" Type="http://schemas.openxmlformats.org/officeDocument/2006/relationships/hyperlink" Target="mailto:kpuleiku@finance.gov.to" TargetMode="External"/><Relationship Id="rId42" Type="http://schemas.openxmlformats.org/officeDocument/2006/relationships/hyperlink" Target="mailto:melenaitemahe@gmail.com" TargetMode="External"/><Relationship Id="rId47" Type="http://schemas.openxmlformats.org/officeDocument/2006/relationships/hyperlink" Target="https://vizhub.healthdata.org/sdg/" TargetMode="Externa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ealth.gov.to/sites/default/files/AR%202010.pdf" TargetMode="External"/><Relationship Id="rId29" Type="http://schemas.openxmlformats.org/officeDocument/2006/relationships/hyperlink" Target="mailto:sfukofuka@health.gov.to" TargetMode="External"/><Relationship Id="rId11" Type="http://schemas.openxmlformats.org/officeDocument/2006/relationships/footer" Target="footer4.xml"/><Relationship Id="rId24" Type="http://schemas.openxmlformats.org/officeDocument/2006/relationships/hyperlink" Target="http://apps.who.int/iris/bitstream/10665/258940/1/9789241513029-eng.pdf?ua=1" TargetMode="External"/><Relationship Id="rId32" Type="http://schemas.openxmlformats.org/officeDocument/2006/relationships/hyperlink" Target="mailto:msiliva@finance.gov.to" TargetMode="External"/><Relationship Id="rId37" Type="http://schemas.openxmlformats.org/officeDocument/2006/relationships/hyperlink" Target="mailto:sayline23031966@gmail.com" TargetMode="External"/><Relationship Id="rId40" Type="http://schemas.openxmlformats.org/officeDocument/2006/relationships/hyperlink" Target="mailto:toa.pele@gmail.com"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fat.gov.au/about-us/publications/Documents/tonga-national-non-communicable-disease-strategy-2015-20.pdf" TargetMode="External"/><Relationship Id="rId23" Type="http://schemas.openxmlformats.org/officeDocument/2006/relationships/hyperlink" Target="https://www.who.int/ncds/surveillance/gshs/TOH2017_fact_sheet.pdf" TargetMode="External"/><Relationship Id="rId28" Type="http://schemas.openxmlformats.org/officeDocument/2006/relationships/hyperlink" Target="mailto:monicat@tongahealth.org.to" TargetMode="External"/><Relationship Id="rId36" Type="http://schemas.openxmlformats.org/officeDocument/2006/relationships/hyperlink" Target="mailto:matotov@gmail.com" TargetMode="External"/><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onlinelibrary.wiley.com/doi/pdf/10.1111/1753-0407.12447" TargetMode="External"/><Relationship Id="rId31" Type="http://schemas.openxmlformats.org/officeDocument/2006/relationships/hyperlink" Target="mailto:ameliahalakiumatatuitupou@gmail.com" TargetMode="External"/><Relationship Id="rId44" Type="http://schemas.openxmlformats.org/officeDocument/2006/relationships/header" Target="header1.xm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who.int/ncds/surveillance/steps/2012_Tonga_STEPSReport.pdf" TargetMode="External"/><Relationship Id="rId22" Type="http://schemas.openxmlformats.org/officeDocument/2006/relationships/hyperlink" Target="http://unstats.un.org/unsd/demographic/sources/census/2010_PHC/Tonga/release.pdf" TargetMode="External"/><Relationship Id="rId27" Type="http://schemas.openxmlformats.org/officeDocument/2006/relationships/hyperlink" Target="mailto:juliebowen@outlook.com.au" TargetMode="External"/><Relationship Id="rId30" Type="http://schemas.openxmlformats.org/officeDocument/2006/relationships/hyperlink" Target="mailto:losaline.fonua@tongahealth.org.to" TargetMode="External"/><Relationship Id="rId35" Type="http://schemas.openxmlformats.org/officeDocument/2006/relationships/hyperlink" Target="mailto:mau.alipate@gmail.com" TargetMode="External"/><Relationship Id="rId43" Type="http://schemas.openxmlformats.org/officeDocument/2006/relationships/hyperlink" Target="mailto:fukofukavika@gmail.com" TargetMode="External"/><Relationship Id="rId4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www.cia.gov/library/publications/the-world-factbook/geos/print_tn.html" TargetMode="External"/><Relationship Id="rId17" Type="http://schemas.openxmlformats.org/officeDocument/2006/relationships/hyperlink" Target="http://www.healthdata.org/tonga" TargetMode="External"/><Relationship Id="rId25" Type="http://schemas.openxmlformats.org/officeDocument/2006/relationships/hyperlink" Target="mailto:jeanie.mckenzie@hotmail.com" TargetMode="External"/><Relationship Id="rId33" Type="http://schemas.openxmlformats.org/officeDocument/2006/relationships/hyperlink" Target="mailto:ebaker@finance.gov.to" TargetMode="External"/><Relationship Id="rId38" Type="http://schemas.openxmlformats.org/officeDocument/2006/relationships/hyperlink" Target="mailto:tilimacama@yahoo.co.nz" TargetMode="External"/><Relationship Id="rId46" Type="http://schemas.openxmlformats.org/officeDocument/2006/relationships/header" Target="header2.xml"/><Relationship Id="rId20" Type="http://schemas.openxmlformats.org/officeDocument/2006/relationships/hyperlink" Target="http://tonga.prism.spc.int/census-population/general-table-data" TargetMode="External"/><Relationship Id="rId41" Type="http://schemas.openxmlformats.org/officeDocument/2006/relationships/hyperlink" Target="mailto:alamaite_tonga@yahoo.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5C9524-5DBB-4B4D-93B0-9BD492B7EF66}"/>
</file>

<file path=customXml/itemProps2.xml><?xml version="1.0" encoding="utf-8"?>
<ds:datastoreItem xmlns:ds="http://schemas.openxmlformats.org/officeDocument/2006/customXml" ds:itemID="{B10FC503-9642-437C-A4CD-1E15D1626630}"/>
</file>

<file path=customXml/itemProps3.xml><?xml version="1.0" encoding="utf-8"?>
<ds:datastoreItem xmlns:ds="http://schemas.openxmlformats.org/officeDocument/2006/customXml" ds:itemID="{612B031E-01EA-48B2-AA0E-B1E5ABEACF99}"/>
</file>

<file path=customXml/itemProps4.xml><?xml version="1.0" encoding="utf-8"?>
<ds:datastoreItem xmlns:ds="http://schemas.openxmlformats.org/officeDocument/2006/customXml" ds:itemID="{464F8F1A-87A3-41B4-9DB8-7A754672A69A}"/>
</file>

<file path=docProps/app.xml><?xml version="1.0" encoding="utf-8"?>
<Properties xmlns="http://schemas.openxmlformats.org/officeDocument/2006/extended-properties" xmlns:vt="http://schemas.openxmlformats.org/officeDocument/2006/docPropsVTypes">
  <Template>Normal.dotm</Template>
  <TotalTime>0</TotalTime>
  <Pages>134</Pages>
  <Words>47483</Words>
  <Characters>270656</Characters>
  <Application>Microsoft Office Word</Application>
  <DocSecurity>0</DocSecurity>
  <Lines>2255</Lines>
  <Paragraphs>635</Paragraphs>
  <ScaleCrop>false</ScaleCrop>
  <Company/>
  <LinksUpToDate>false</LinksUpToDate>
  <CharactersWithSpaces>317504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2019-08-20T04:29:00Z</dcterms:created>
  <dcterms:modified xsi:type="dcterms:W3CDTF">2019-08-20T04:31:00Z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822a349c-5d06-4f9f-9198-faa0c5eaa640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1255900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