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EE5C05" w:rsidRPr="005F4FAA" w:rsidTr="00FC33D1">
        <w:trPr>
          <w:cantSplit/>
          <w:trHeight w:val="289"/>
        </w:trPr>
        <w:tc>
          <w:tcPr>
            <w:tcW w:w="9838" w:type="dxa"/>
            <w:tcBorders>
              <w:bottom w:val="single" w:sz="4" w:space="0" w:color="808080"/>
            </w:tcBorders>
            <w:shd w:val="clear" w:color="auto" w:fill="B8CCE4" w:themeFill="accent1" w:themeFillTint="66"/>
          </w:tcPr>
          <w:p w:rsidR="00EE5C05" w:rsidRPr="005F4FAA" w:rsidRDefault="00EE5C05" w:rsidP="00FC33D1">
            <w:pPr>
              <w:spacing w:before="60"/>
              <w:rPr>
                <w:rFonts w:ascii="Franklin Gothic Book" w:hAnsi="Franklin Gothic Book"/>
                <w:b/>
                <w:i/>
                <w:szCs w:val="20"/>
              </w:rPr>
            </w:pPr>
            <w:bookmarkStart w:id="0" w:name="_GoBack"/>
            <w:bookmarkEnd w:id="0"/>
            <w:r>
              <w:rPr>
                <w:rFonts w:ascii="Franklin Gothic Book" w:hAnsi="Franklin Gothic Book"/>
                <w:b/>
                <w:szCs w:val="20"/>
              </w:rPr>
              <w:t xml:space="preserve">Design Document: </w:t>
            </w:r>
            <w:r w:rsidRPr="005F4FAA">
              <w:rPr>
                <w:rFonts w:ascii="Franklin Gothic Book" w:hAnsi="Franklin Gothic Book"/>
                <w:b/>
                <w:szCs w:val="20"/>
              </w:rPr>
              <w:t>Tonga Health Systems Support Program 2</w:t>
            </w:r>
          </w:p>
        </w:tc>
      </w:tr>
    </w:tbl>
    <w:p w:rsidR="002B7C42" w:rsidRDefault="002B7C42" w:rsidP="00764C9C">
      <w:pPr>
        <w:rPr>
          <w:rFonts w:ascii="Franklin Gothic Book" w:eastAsia="Times New Roman" w:hAnsi="Franklin Gothic Book"/>
          <w:szCs w:val="20"/>
          <w:lang w:eastAsia="en-US"/>
        </w:rPr>
      </w:pPr>
    </w:p>
    <w:p w:rsidR="00B652E1" w:rsidRPr="00FC33D1" w:rsidRDefault="00B652E1" w:rsidP="00F63C34">
      <w:pPr>
        <w:pStyle w:val="Heading1"/>
        <w:rPr>
          <w:lang w:eastAsia="en-US"/>
        </w:rPr>
      </w:pPr>
      <w:r w:rsidRPr="00FC33D1">
        <w:rPr>
          <w:lang w:eastAsia="en-US"/>
        </w:rPr>
        <w:t xml:space="preserve">Table of Contents </w:t>
      </w:r>
    </w:p>
    <w:p w:rsidR="00B652E1" w:rsidRDefault="00B652E1" w:rsidP="00B652E1">
      <w:pPr>
        <w:jc w:val="both"/>
        <w:rPr>
          <w:rFonts w:ascii="Franklin Gothic Book" w:eastAsia="Times New Roman" w:hAnsi="Franklin Gothic Book"/>
          <w:szCs w:val="20"/>
          <w:lang w:eastAsia="en-US"/>
        </w:rPr>
      </w:pPr>
    </w:p>
    <w:p w:rsidR="00B652E1" w:rsidRDefault="00B652E1" w:rsidP="00B652E1">
      <w:pPr>
        <w:jc w:val="both"/>
        <w:rPr>
          <w:rFonts w:ascii="Franklin Gothic Book" w:hAnsi="Franklin Gothic Book"/>
          <w:b/>
          <w:szCs w:val="20"/>
        </w:rPr>
      </w:pPr>
      <w:r w:rsidRPr="00FC33D1">
        <w:rPr>
          <w:rFonts w:ascii="Franklin Gothic Book" w:eastAsia="Times New Roman" w:hAnsi="Franklin Gothic Book"/>
          <w:b/>
          <w:szCs w:val="20"/>
          <w:lang w:eastAsia="en-US"/>
        </w:rPr>
        <w:t xml:space="preserve">A: </w:t>
      </w:r>
      <w:r w:rsidRPr="00FC33D1">
        <w:rPr>
          <w:rFonts w:ascii="Franklin Gothic Book" w:hAnsi="Franklin Gothic Book"/>
          <w:b/>
          <w:szCs w:val="20"/>
        </w:rPr>
        <w:t>Tonga</w:t>
      </w:r>
      <w:r w:rsidRPr="005F4FAA">
        <w:rPr>
          <w:rFonts w:ascii="Franklin Gothic Book" w:hAnsi="Franklin Gothic Book"/>
          <w:b/>
          <w:szCs w:val="20"/>
        </w:rPr>
        <w:t xml:space="preserve"> Health Systems Support Program 2</w:t>
      </w:r>
      <w:r>
        <w:rPr>
          <w:rFonts w:ascii="Franklin Gothic Book" w:hAnsi="Franklin Gothic Book"/>
          <w:b/>
          <w:szCs w:val="20"/>
        </w:rPr>
        <w:t>: basic program information</w:t>
      </w:r>
    </w:p>
    <w:p w:rsidR="00B652E1" w:rsidRDefault="00B652E1" w:rsidP="00B652E1">
      <w:pPr>
        <w:jc w:val="both"/>
        <w:rPr>
          <w:rFonts w:ascii="Franklin Gothic Book" w:hAnsi="Franklin Gothic Book"/>
          <w:b/>
          <w:szCs w:val="20"/>
        </w:rPr>
      </w:pPr>
    </w:p>
    <w:p w:rsidR="00B652E1" w:rsidRDefault="00B652E1" w:rsidP="00B652E1">
      <w:pPr>
        <w:jc w:val="both"/>
        <w:rPr>
          <w:rFonts w:ascii="Franklin Gothic Book" w:hAnsi="Franklin Gothic Book"/>
          <w:b/>
          <w:szCs w:val="20"/>
        </w:rPr>
      </w:pPr>
      <w:r>
        <w:rPr>
          <w:rFonts w:ascii="Franklin Gothic Book" w:hAnsi="Franklin Gothic Book"/>
          <w:b/>
          <w:szCs w:val="20"/>
        </w:rPr>
        <w:t>B: Executive Summary</w:t>
      </w:r>
    </w:p>
    <w:p w:rsidR="00B652E1" w:rsidRDefault="00B652E1" w:rsidP="00B652E1">
      <w:pPr>
        <w:jc w:val="both"/>
        <w:rPr>
          <w:rFonts w:ascii="Franklin Gothic Book" w:hAnsi="Franklin Gothic Book"/>
          <w:b/>
          <w:szCs w:val="20"/>
        </w:rPr>
      </w:pPr>
    </w:p>
    <w:p w:rsidR="00B652E1" w:rsidRPr="00FC33D1" w:rsidRDefault="00B652E1" w:rsidP="00B652E1">
      <w:pPr>
        <w:jc w:val="both"/>
        <w:rPr>
          <w:rFonts w:ascii="Franklin Gothic Book" w:eastAsia="Times New Roman" w:hAnsi="Franklin Gothic Book"/>
          <w:b/>
          <w:szCs w:val="20"/>
          <w:lang w:eastAsia="en-US"/>
        </w:rPr>
      </w:pPr>
      <w:r>
        <w:rPr>
          <w:rFonts w:ascii="Franklin Gothic Book" w:hAnsi="Franklin Gothic Book"/>
          <w:b/>
          <w:szCs w:val="20"/>
        </w:rPr>
        <w:t xml:space="preserve">C: Analysis and Strategic Context </w:t>
      </w:r>
    </w:p>
    <w:p w:rsidR="00B652E1" w:rsidRDefault="00B652E1" w:rsidP="00B652E1">
      <w:pPr>
        <w:rPr>
          <w:rFonts w:ascii="Franklin Gothic Book" w:eastAsia="Times New Roman" w:hAnsi="Franklin Gothic Book"/>
          <w:szCs w:val="20"/>
          <w:lang w:eastAsia="en-US"/>
        </w:rPr>
      </w:pPr>
    </w:p>
    <w:p w:rsidR="00B652E1" w:rsidRPr="005F4FAA" w:rsidRDefault="00B652E1" w:rsidP="00B652E1">
      <w:pPr>
        <w:spacing w:line="276" w:lineRule="auto"/>
        <w:rPr>
          <w:rFonts w:ascii="Franklin Gothic Book" w:eastAsia="Times New Roman" w:hAnsi="Franklin Gothic Book"/>
          <w:i/>
          <w:szCs w:val="20"/>
          <w:lang w:eastAsia="en-US"/>
        </w:rPr>
      </w:pPr>
      <w:r>
        <w:rPr>
          <w:rFonts w:ascii="Franklin Gothic Book" w:eastAsia="Times New Roman" w:hAnsi="Franklin Gothic Book"/>
          <w:szCs w:val="20"/>
          <w:lang w:eastAsia="en-US"/>
        </w:rPr>
        <w:tab/>
      </w:r>
      <w:r w:rsidRPr="005F4FAA">
        <w:rPr>
          <w:rFonts w:ascii="Franklin Gothic Book" w:eastAsia="Times New Roman" w:hAnsi="Franklin Gothic Book"/>
          <w:i/>
          <w:szCs w:val="20"/>
          <w:u w:val="single"/>
          <w:lang w:eastAsia="en-US"/>
        </w:rPr>
        <w:t>Introduction</w:t>
      </w:r>
    </w:p>
    <w:p w:rsidR="00B652E1" w:rsidRPr="005F4FAA" w:rsidRDefault="00B652E1" w:rsidP="00B652E1">
      <w:pPr>
        <w:spacing w:line="276" w:lineRule="auto"/>
        <w:ind w:firstLine="720"/>
        <w:rPr>
          <w:rFonts w:ascii="Franklin Gothic Book" w:hAnsi="Franklin Gothic Book"/>
          <w:i/>
          <w:szCs w:val="20"/>
          <w:u w:val="single"/>
        </w:rPr>
      </w:pPr>
      <w:r w:rsidRPr="005F4FAA">
        <w:rPr>
          <w:rFonts w:ascii="Franklin Gothic Book" w:hAnsi="Franklin Gothic Book"/>
          <w:i/>
          <w:szCs w:val="20"/>
          <w:u w:val="single"/>
        </w:rPr>
        <w:t>Non-communicable diseases</w:t>
      </w:r>
    </w:p>
    <w:p w:rsidR="00B652E1" w:rsidRPr="005F4FAA" w:rsidRDefault="00B652E1" w:rsidP="00B652E1">
      <w:pPr>
        <w:spacing w:line="276" w:lineRule="auto"/>
        <w:ind w:left="72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Economic impact of NCDs</w:t>
      </w:r>
    </w:p>
    <w:p w:rsidR="00B652E1" w:rsidRPr="005F4FAA" w:rsidRDefault="00B652E1" w:rsidP="00B652E1">
      <w:pPr>
        <w:spacing w:line="276" w:lineRule="auto"/>
        <w:ind w:left="720" w:firstLine="720"/>
        <w:rPr>
          <w:rFonts w:ascii="Franklin Gothic Book" w:hAnsi="Franklin Gothic Book"/>
          <w:i/>
          <w:szCs w:val="20"/>
        </w:rPr>
      </w:pPr>
      <w:r w:rsidRPr="005F4FAA">
        <w:rPr>
          <w:rFonts w:ascii="Franklin Gothic Book" w:hAnsi="Franklin Gothic Book"/>
          <w:i/>
          <w:szCs w:val="20"/>
        </w:rPr>
        <w:t>NCDs are a regional and national priority</w:t>
      </w:r>
    </w:p>
    <w:p w:rsidR="00B652E1" w:rsidRPr="009C044C" w:rsidRDefault="00B652E1" w:rsidP="00B652E1">
      <w:pPr>
        <w:spacing w:line="276" w:lineRule="auto"/>
        <w:ind w:firstLine="720"/>
        <w:rPr>
          <w:rFonts w:ascii="Franklin Gothic Book" w:hAnsi="Franklin Gothic Book"/>
          <w:i/>
          <w:szCs w:val="20"/>
          <w:u w:val="single"/>
        </w:rPr>
      </w:pPr>
      <w:r w:rsidRPr="009C044C">
        <w:rPr>
          <w:rFonts w:ascii="Franklin Gothic Book" w:hAnsi="Franklin Gothic Book"/>
          <w:i/>
          <w:szCs w:val="20"/>
          <w:u w:val="single"/>
        </w:rPr>
        <w:t>Other health issues</w:t>
      </w:r>
    </w:p>
    <w:p w:rsidR="00B652E1" w:rsidRPr="005F4FAA" w:rsidRDefault="00B652E1" w:rsidP="00B652E1">
      <w:pPr>
        <w:spacing w:line="276" w:lineRule="auto"/>
        <w:ind w:firstLine="720"/>
        <w:rPr>
          <w:rFonts w:ascii="Franklin Gothic Book" w:hAnsi="Franklin Gothic Book"/>
          <w:i/>
          <w:szCs w:val="20"/>
          <w:u w:val="single"/>
        </w:rPr>
      </w:pPr>
      <w:r w:rsidRPr="005F4FAA">
        <w:rPr>
          <w:rFonts w:ascii="Franklin Gothic Book" w:hAnsi="Franklin Gothic Book"/>
          <w:i/>
          <w:szCs w:val="20"/>
          <w:u w:val="single"/>
        </w:rPr>
        <w:t xml:space="preserve">Universal health coverage </w:t>
      </w:r>
    </w:p>
    <w:p w:rsidR="00B652E1" w:rsidRPr="005F4FAA" w:rsidRDefault="00B652E1" w:rsidP="00B652E1">
      <w:pPr>
        <w:spacing w:line="276" w:lineRule="auto"/>
        <w:ind w:firstLine="720"/>
        <w:rPr>
          <w:rFonts w:ascii="Franklin Gothic Book" w:hAnsi="Franklin Gothic Book"/>
          <w:i/>
          <w:szCs w:val="20"/>
          <w:u w:val="single"/>
        </w:rPr>
      </w:pPr>
      <w:r w:rsidRPr="005F4FAA">
        <w:rPr>
          <w:rFonts w:ascii="Franklin Gothic Book" w:hAnsi="Franklin Gothic Book"/>
          <w:i/>
          <w:szCs w:val="20"/>
          <w:u w:val="single"/>
        </w:rPr>
        <w:t xml:space="preserve">Systems strengthening </w:t>
      </w:r>
    </w:p>
    <w:p w:rsidR="00B652E1" w:rsidRPr="005F4FAA" w:rsidRDefault="00B652E1" w:rsidP="00B652E1">
      <w:pPr>
        <w:spacing w:line="276" w:lineRule="auto"/>
        <w:ind w:firstLine="720"/>
        <w:rPr>
          <w:rFonts w:ascii="Franklin Gothic Book" w:hAnsi="Franklin Gothic Book"/>
          <w:i/>
          <w:szCs w:val="20"/>
          <w:u w:val="single"/>
        </w:rPr>
      </w:pPr>
      <w:r w:rsidRPr="005F4FAA">
        <w:rPr>
          <w:rFonts w:ascii="Franklin Gothic Book" w:hAnsi="Franklin Gothic Book"/>
          <w:i/>
          <w:szCs w:val="20"/>
          <w:u w:val="single"/>
        </w:rPr>
        <w:t xml:space="preserve">Gender equality and disability </w:t>
      </w:r>
      <w:r>
        <w:rPr>
          <w:rFonts w:ascii="Franklin Gothic Book" w:hAnsi="Franklin Gothic Book"/>
          <w:i/>
          <w:szCs w:val="20"/>
          <w:u w:val="single"/>
        </w:rPr>
        <w:t>inclusion</w:t>
      </w:r>
      <w:r w:rsidRPr="005F4FAA">
        <w:rPr>
          <w:rFonts w:ascii="Franklin Gothic Book" w:hAnsi="Franklin Gothic Book"/>
          <w:i/>
          <w:szCs w:val="20"/>
          <w:u w:val="single"/>
        </w:rPr>
        <w:t xml:space="preserve"> </w:t>
      </w:r>
    </w:p>
    <w:p w:rsidR="00B652E1" w:rsidRDefault="00B652E1" w:rsidP="00B652E1">
      <w:pPr>
        <w:spacing w:line="276" w:lineRule="auto"/>
        <w:ind w:left="720" w:firstLine="720"/>
        <w:rPr>
          <w:rFonts w:ascii="Franklin Gothic Book" w:hAnsi="Franklin Gothic Book"/>
          <w:szCs w:val="20"/>
        </w:rPr>
      </w:pPr>
      <w:r w:rsidRPr="00CA5B7A">
        <w:rPr>
          <w:rFonts w:ascii="Franklin Gothic Book" w:hAnsi="Franklin Gothic Book"/>
          <w:i/>
          <w:szCs w:val="20"/>
        </w:rPr>
        <w:t>Gender</w:t>
      </w:r>
      <w:r>
        <w:rPr>
          <w:rFonts w:ascii="Franklin Gothic Book" w:hAnsi="Franklin Gothic Book"/>
          <w:szCs w:val="20"/>
        </w:rPr>
        <w:t xml:space="preserve"> </w:t>
      </w:r>
      <w:r w:rsidRPr="00CA5B7A">
        <w:rPr>
          <w:rFonts w:ascii="Franklin Gothic Book" w:hAnsi="Franklin Gothic Book"/>
          <w:i/>
          <w:szCs w:val="20"/>
        </w:rPr>
        <w:t>equality</w:t>
      </w:r>
      <w:r>
        <w:rPr>
          <w:rFonts w:ascii="Franklin Gothic Book" w:hAnsi="Franklin Gothic Book"/>
          <w:szCs w:val="20"/>
        </w:rPr>
        <w:t xml:space="preserve"> </w:t>
      </w:r>
    </w:p>
    <w:p w:rsidR="00B652E1" w:rsidRPr="009C044C" w:rsidRDefault="00B652E1" w:rsidP="00B652E1">
      <w:pPr>
        <w:spacing w:line="276" w:lineRule="auto"/>
        <w:ind w:left="720" w:firstLine="720"/>
        <w:rPr>
          <w:rFonts w:ascii="Franklin Gothic Book" w:hAnsi="Franklin Gothic Book"/>
          <w:szCs w:val="20"/>
        </w:rPr>
      </w:pPr>
      <w:r w:rsidRPr="009C044C">
        <w:rPr>
          <w:rFonts w:ascii="Franklin Gothic Book" w:hAnsi="Franklin Gothic Book"/>
          <w:i/>
          <w:szCs w:val="20"/>
        </w:rPr>
        <w:t>Disability</w:t>
      </w:r>
      <w:r w:rsidRPr="009C044C">
        <w:rPr>
          <w:rFonts w:ascii="Franklin Gothic Book" w:hAnsi="Franklin Gothic Book"/>
          <w:szCs w:val="20"/>
        </w:rPr>
        <w:t xml:space="preserve"> </w:t>
      </w:r>
      <w:r w:rsidRPr="009C044C">
        <w:rPr>
          <w:rFonts w:ascii="Franklin Gothic Book" w:hAnsi="Franklin Gothic Book"/>
          <w:i/>
          <w:szCs w:val="20"/>
        </w:rPr>
        <w:t>inclusion</w:t>
      </w:r>
    </w:p>
    <w:p w:rsidR="00B652E1" w:rsidRPr="005F4FAA" w:rsidRDefault="00B652E1" w:rsidP="00B652E1">
      <w:pPr>
        <w:spacing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 xml:space="preserve">Development Problem/Issue Analysis </w:t>
      </w:r>
    </w:p>
    <w:p w:rsidR="00B652E1" w:rsidRPr="005F4FAA" w:rsidRDefault="00B652E1" w:rsidP="00B652E1">
      <w:pPr>
        <w:spacing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Evidence-base/Lessons Learned</w:t>
      </w:r>
    </w:p>
    <w:p w:rsidR="00B652E1" w:rsidRPr="005F4FAA"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lang w:eastAsia="en-US"/>
        </w:rPr>
        <w:t>Lessons from the existing DFAT health portfolio in Tonga</w:t>
      </w:r>
    </w:p>
    <w:p w:rsidR="00B652E1" w:rsidRPr="005F4FAA"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lang w:eastAsia="en-US"/>
        </w:rPr>
        <w:t>Lessons from the wider DFAT portfolio in Tonga</w:t>
      </w:r>
    </w:p>
    <w:p w:rsidR="00B652E1"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lang w:eastAsia="en-US"/>
        </w:rPr>
        <w:t>Relevant aspects of the work of other development partners in Tonga</w:t>
      </w:r>
    </w:p>
    <w:p w:rsidR="00B652E1" w:rsidRPr="005F4FAA"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rPr>
        <w:t>Lessons from elsewhere</w:t>
      </w:r>
    </w:p>
    <w:p w:rsidR="00B652E1" w:rsidRPr="005F4FAA"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lang w:eastAsia="en-US"/>
        </w:rPr>
        <w:t>Lessons from the DFAT health program in Solomon Islands</w:t>
      </w:r>
    </w:p>
    <w:p w:rsidR="00B652E1" w:rsidRPr="005F4FAA" w:rsidRDefault="00B652E1" w:rsidP="00B652E1">
      <w:pPr>
        <w:spacing w:line="276" w:lineRule="auto"/>
        <w:ind w:left="720" w:firstLine="720"/>
        <w:rPr>
          <w:rFonts w:ascii="Franklin Gothic Book" w:hAnsi="Franklin Gothic Book"/>
          <w:i/>
          <w:szCs w:val="20"/>
          <w:lang w:eastAsia="en-US"/>
        </w:rPr>
      </w:pPr>
      <w:r w:rsidRPr="005F4FAA">
        <w:rPr>
          <w:rFonts w:ascii="Franklin Gothic Book" w:hAnsi="Franklin Gothic Book"/>
          <w:i/>
          <w:szCs w:val="20"/>
          <w:lang w:eastAsia="en-US"/>
        </w:rPr>
        <w:t>Global technical evidence about the control of NCDs</w:t>
      </w:r>
    </w:p>
    <w:p w:rsidR="00B652E1" w:rsidRPr="005F4FAA" w:rsidRDefault="00B652E1" w:rsidP="00B652E1">
      <w:pPr>
        <w:spacing w:line="276" w:lineRule="auto"/>
        <w:ind w:left="788" w:firstLine="652"/>
        <w:rPr>
          <w:rFonts w:ascii="Franklin Gothic Book" w:hAnsi="Franklin Gothic Book"/>
          <w:i/>
          <w:szCs w:val="20"/>
          <w:lang w:eastAsia="en-US"/>
        </w:rPr>
      </w:pPr>
      <w:r w:rsidRPr="005F4FAA">
        <w:rPr>
          <w:rFonts w:ascii="Franklin Gothic Book" w:hAnsi="Franklin Gothic Book"/>
          <w:i/>
          <w:szCs w:val="20"/>
          <w:lang w:eastAsia="en-US"/>
        </w:rPr>
        <w:t>Other ways in which the Ministry of Health and TongaHealth use evidence</w:t>
      </w:r>
    </w:p>
    <w:p w:rsidR="00B652E1" w:rsidRPr="005F4FAA" w:rsidRDefault="00B652E1" w:rsidP="00B652E1">
      <w:pPr>
        <w:spacing w:before="80"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Strategic Setting and Rationale for Australian/DFAT engagement</w:t>
      </w:r>
    </w:p>
    <w:p w:rsidR="00B652E1" w:rsidRDefault="00B652E1" w:rsidP="00B652E1">
      <w:pPr>
        <w:spacing w:line="276" w:lineRule="auto"/>
        <w:ind w:left="426"/>
        <w:rPr>
          <w:rFonts w:ascii="Franklin Gothic Book" w:hAnsi="Franklin Gothic Book"/>
          <w:szCs w:val="20"/>
        </w:rPr>
      </w:pPr>
    </w:p>
    <w:p w:rsidR="00B652E1" w:rsidRPr="00FC33D1" w:rsidRDefault="00B652E1" w:rsidP="00B652E1">
      <w:pPr>
        <w:spacing w:line="276" w:lineRule="auto"/>
        <w:jc w:val="both"/>
        <w:rPr>
          <w:rFonts w:ascii="Franklin Gothic Book" w:eastAsia="Times New Roman" w:hAnsi="Franklin Gothic Book"/>
          <w:b/>
          <w:szCs w:val="20"/>
          <w:lang w:eastAsia="en-US"/>
        </w:rPr>
      </w:pPr>
      <w:r>
        <w:rPr>
          <w:rFonts w:ascii="Franklin Gothic Book" w:hAnsi="Franklin Gothic Book"/>
          <w:b/>
          <w:szCs w:val="20"/>
        </w:rPr>
        <w:t xml:space="preserve">D: Investment Description </w:t>
      </w:r>
    </w:p>
    <w:p w:rsidR="00B652E1" w:rsidRPr="00FC33D1" w:rsidRDefault="00B652E1" w:rsidP="00B652E1">
      <w:pPr>
        <w:spacing w:line="276" w:lineRule="auto"/>
        <w:ind w:left="426"/>
        <w:rPr>
          <w:rFonts w:ascii="Franklin Gothic Book" w:hAnsi="Franklin Gothic Book"/>
          <w:b/>
          <w:szCs w:val="20"/>
        </w:rPr>
      </w:pPr>
    </w:p>
    <w:p w:rsidR="00B652E1" w:rsidRPr="005F4FAA" w:rsidRDefault="00B652E1" w:rsidP="00B652E1">
      <w:pPr>
        <w:spacing w:before="80"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Delivery Approach</w:t>
      </w:r>
    </w:p>
    <w:p w:rsidR="00B652E1" w:rsidRPr="005F4FAA" w:rsidRDefault="00B652E1" w:rsidP="00B652E1">
      <w:pPr>
        <w:spacing w:before="80" w:line="276" w:lineRule="auto"/>
        <w:ind w:firstLine="720"/>
        <w:rPr>
          <w:rFonts w:ascii="Franklin Gothic Book" w:eastAsia="Times New Roman" w:hAnsi="Franklin Gothic Book"/>
          <w:i/>
          <w:szCs w:val="20"/>
          <w:lang w:eastAsia="en-US"/>
        </w:rPr>
      </w:pPr>
      <w:r w:rsidRPr="005F4FAA">
        <w:rPr>
          <w:rFonts w:ascii="Franklin Gothic Book" w:eastAsia="Times New Roman" w:hAnsi="Franklin Gothic Book"/>
          <w:szCs w:val="20"/>
          <w:u w:val="single"/>
          <w:lang w:eastAsia="en-US"/>
        </w:rPr>
        <w:t>Resources</w:t>
      </w:r>
    </w:p>
    <w:p w:rsidR="00B652E1" w:rsidRPr="005F4FAA" w:rsidRDefault="00B652E1" w:rsidP="00B652E1">
      <w:pPr>
        <w:spacing w:before="80" w:line="276" w:lineRule="auto"/>
        <w:ind w:firstLine="720"/>
        <w:rPr>
          <w:rFonts w:ascii="Franklin Gothic Book" w:eastAsia="Times New Roman" w:hAnsi="Franklin Gothic Book"/>
          <w:i/>
          <w:szCs w:val="20"/>
          <w:lang w:eastAsia="en-US"/>
        </w:rPr>
      </w:pPr>
      <w:r>
        <w:rPr>
          <w:rFonts w:ascii="Franklin Gothic Book" w:eastAsia="Times New Roman" w:hAnsi="Franklin Gothic Book"/>
          <w:szCs w:val="20"/>
          <w:u w:val="single"/>
          <w:lang w:eastAsia="en-US"/>
        </w:rPr>
        <w:t xml:space="preserve">Program </w:t>
      </w:r>
      <w:r w:rsidRPr="005F4FAA">
        <w:rPr>
          <w:rFonts w:ascii="Franklin Gothic Book" w:eastAsia="Times New Roman" w:hAnsi="Franklin Gothic Book"/>
          <w:szCs w:val="20"/>
          <w:u w:val="single"/>
          <w:lang w:eastAsia="en-US"/>
        </w:rPr>
        <w:t>Logic and Expected Outcomes</w:t>
      </w:r>
      <w:r w:rsidRPr="005F4FAA">
        <w:rPr>
          <w:rFonts w:ascii="Franklin Gothic Book" w:eastAsia="Times New Roman" w:hAnsi="Franklin Gothic Book"/>
          <w:i/>
          <w:szCs w:val="20"/>
          <w:lang w:eastAsia="en-US"/>
        </w:rPr>
        <w:t xml:space="preserve"> </w:t>
      </w:r>
    </w:p>
    <w:p w:rsidR="00B652E1" w:rsidRPr="00BD6763" w:rsidRDefault="00B652E1" w:rsidP="00B652E1">
      <w:pPr>
        <w:spacing w:before="80" w:line="276" w:lineRule="auto"/>
        <w:ind w:left="720" w:firstLine="720"/>
        <w:rPr>
          <w:rFonts w:ascii="Franklin Gothic Book" w:eastAsia="Times New Roman" w:hAnsi="Franklin Gothic Book"/>
          <w:i/>
          <w:szCs w:val="20"/>
          <w:lang w:eastAsia="en-US"/>
        </w:rPr>
      </w:pPr>
      <w:r>
        <w:rPr>
          <w:rFonts w:ascii="Franklin Gothic Book" w:eastAsia="Times New Roman" w:hAnsi="Franklin Gothic Book"/>
          <w:i/>
          <w:szCs w:val="20"/>
          <w:lang w:eastAsia="en-US"/>
        </w:rPr>
        <w:t>Indicators of results</w:t>
      </w:r>
    </w:p>
    <w:p w:rsidR="00B652E1" w:rsidRPr="00FC33D1" w:rsidRDefault="00B652E1" w:rsidP="00B652E1">
      <w:pPr>
        <w:spacing w:after="200" w:line="276" w:lineRule="auto"/>
        <w:ind w:left="720" w:firstLine="720"/>
        <w:rPr>
          <w:rFonts w:ascii="Franklin Gothic Book" w:hAnsi="Franklin Gothic Book"/>
          <w:i/>
          <w:szCs w:val="20"/>
        </w:rPr>
      </w:pPr>
      <w:r>
        <w:rPr>
          <w:rFonts w:ascii="Franklin Gothic Book" w:hAnsi="Franklin Gothic Book"/>
          <w:i/>
          <w:szCs w:val="20"/>
        </w:rPr>
        <w:t>Program Logic</w:t>
      </w:r>
    </w:p>
    <w:p w:rsidR="00B652E1" w:rsidRPr="00FC33D1" w:rsidRDefault="00B652E1" w:rsidP="00B652E1">
      <w:pPr>
        <w:spacing w:line="276" w:lineRule="auto"/>
        <w:jc w:val="both"/>
        <w:rPr>
          <w:rFonts w:ascii="Franklin Gothic Book" w:eastAsia="Times New Roman" w:hAnsi="Franklin Gothic Book"/>
          <w:b/>
          <w:szCs w:val="20"/>
          <w:lang w:eastAsia="en-US"/>
        </w:rPr>
      </w:pPr>
      <w:r>
        <w:rPr>
          <w:rFonts w:ascii="Franklin Gothic Book" w:hAnsi="Franklin Gothic Book"/>
          <w:b/>
          <w:szCs w:val="20"/>
        </w:rPr>
        <w:t xml:space="preserve">E: Implementation Arrangements </w:t>
      </w:r>
    </w:p>
    <w:p w:rsidR="00B652E1" w:rsidRPr="005F4FAA" w:rsidRDefault="00B652E1" w:rsidP="00B652E1">
      <w:pPr>
        <w:spacing w:line="276" w:lineRule="auto"/>
        <w:rPr>
          <w:rFonts w:ascii="Franklin Gothic Book" w:eastAsia="Times New Roman" w:hAnsi="Franklin Gothic Book"/>
          <w:i/>
          <w:szCs w:val="20"/>
          <w:lang w:eastAsia="en-US"/>
        </w:rPr>
      </w:pPr>
    </w:p>
    <w:p w:rsidR="00B652E1" w:rsidRDefault="00B652E1" w:rsidP="00B652E1">
      <w:pPr>
        <w:spacing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Management and Governance Arrangements and Structure</w:t>
      </w:r>
    </w:p>
    <w:p w:rsidR="00B652E1" w:rsidRPr="005F4FAA" w:rsidRDefault="00B652E1" w:rsidP="00B652E1">
      <w:pPr>
        <w:spacing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Implementation Plan</w:t>
      </w:r>
    </w:p>
    <w:p w:rsidR="00B652E1" w:rsidRDefault="00B652E1" w:rsidP="00B652E1">
      <w:pPr>
        <w:spacing w:before="80" w:line="276" w:lineRule="auto"/>
        <w:ind w:firstLine="72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Financial management arrangements</w:t>
      </w:r>
    </w:p>
    <w:p w:rsidR="00B652E1" w:rsidRPr="00FC33D1" w:rsidRDefault="00B652E1" w:rsidP="00B652E1">
      <w:pPr>
        <w:spacing w:before="80" w:line="276" w:lineRule="auto"/>
        <w:ind w:left="720" w:firstLine="720"/>
        <w:rPr>
          <w:rFonts w:ascii="Franklin Gothic Book" w:eastAsia="Times New Roman" w:hAnsi="Franklin Gothic Book"/>
          <w:szCs w:val="20"/>
          <w:u w:val="single"/>
          <w:lang w:eastAsia="en-US"/>
        </w:rPr>
      </w:pPr>
      <w:r w:rsidRPr="005F4FAA">
        <w:rPr>
          <w:rFonts w:ascii="Franklin Gothic Book" w:eastAsia="Times New Roman" w:hAnsi="Franklin Gothic Book"/>
          <w:i/>
          <w:szCs w:val="20"/>
          <w:lang w:eastAsia="en-US"/>
        </w:rPr>
        <w:t xml:space="preserve">Funding flows </w:t>
      </w:r>
    </w:p>
    <w:p w:rsidR="00B652E1" w:rsidRPr="005F4FAA" w:rsidRDefault="00B652E1" w:rsidP="00B652E1">
      <w:pPr>
        <w:spacing w:line="276" w:lineRule="auto"/>
        <w:ind w:left="1440" w:firstLine="720"/>
        <w:rPr>
          <w:rFonts w:ascii="Franklin Gothic Book" w:eastAsia="Times New Roman" w:hAnsi="Franklin Gothic Book"/>
          <w:b/>
          <w:szCs w:val="20"/>
          <w:lang w:eastAsia="en-US"/>
        </w:rPr>
      </w:pPr>
      <w:r>
        <w:rPr>
          <w:rFonts w:ascii="Franklin Gothic Book" w:eastAsia="Times New Roman" w:hAnsi="Franklin Gothic Book"/>
          <w:b/>
          <w:szCs w:val="20"/>
          <w:lang w:eastAsia="en-US"/>
        </w:rPr>
        <w:t>M</w:t>
      </w:r>
      <w:r w:rsidRPr="005F4FAA">
        <w:rPr>
          <w:rFonts w:ascii="Franklin Gothic Book" w:eastAsia="Times New Roman" w:hAnsi="Franklin Gothic Book"/>
          <w:b/>
          <w:szCs w:val="20"/>
          <w:lang w:eastAsia="en-US"/>
        </w:rPr>
        <w:t>inistry of Health</w:t>
      </w:r>
    </w:p>
    <w:p w:rsidR="00B652E1" w:rsidRPr="005F4FAA"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lastRenderedPageBreak/>
        <w:t>Responsibility for financial management</w:t>
      </w:r>
    </w:p>
    <w:p w:rsidR="00B652E1" w:rsidRPr="005F4FAA"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Budget allocation and use of SUN accounting system</w:t>
      </w:r>
    </w:p>
    <w:p w:rsidR="00B652E1"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Procurement Arrangements</w:t>
      </w:r>
    </w:p>
    <w:p w:rsidR="00B652E1"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Procurement of TA – DFAT direct procurement</w:t>
      </w:r>
    </w:p>
    <w:p w:rsidR="00B652E1"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Financial reporting</w:t>
      </w:r>
    </w:p>
    <w:p w:rsidR="00B652E1" w:rsidRPr="005F4FAA" w:rsidRDefault="00B652E1" w:rsidP="00B652E1">
      <w:pPr>
        <w:spacing w:line="276" w:lineRule="auto"/>
        <w:ind w:left="1440" w:firstLine="72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External Audit</w:t>
      </w:r>
    </w:p>
    <w:p w:rsidR="00B652E1" w:rsidRDefault="00B652E1" w:rsidP="00B652E1">
      <w:pPr>
        <w:spacing w:before="80" w:line="276" w:lineRule="auto"/>
        <w:ind w:left="1440" w:firstLine="720"/>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TongaHealth</w:t>
      </w:r>
    </w:p>
    <w:p w:rsidR="00B652E1" w:rsidRDefault="00B652E1" w:rsidP="00B652E1">
      <w:pPr>
        <w:spacing w:before="80" w:line="276" w:lineRule="auto"/>
        <w:ind w:left="1440" w:firstLine="720"/>
        <w:rPr>
          <w:rFonts w:ascii="Franklin Gothic Book" w:eastAsia="Times New Roman" w:hAnsi="Franklin Gothic Book"/>
          <w:b/>
          <w:szCs w:val="20"/>
          <w:lang w:eastAsia="en-US"/>
        </w:rPr>
      </w:pPr>
      <w:r w:rsidRPr="005F4FAA">
        <w:rPr>
          <w:rFonts w:ascii="Franklin Gothic Book" w:eastAsia="Times New Roman" w:hAnsi="Franklin Gothic Book"/>
          <w:i/>
          <w:szCs w:val="20"/>
          <w:lang w:eastAsia="en-US"/>
        </w:rPr>
        <w:t xml:space="preserve">Responsibility for financial management </w:t>
      </w:r>
    </w:p>
    <w:p w:rsidR="00B652E1" w:rsidRDefault="00B652E1" w:rsidP="00B652E1">
      <w:pPr>
        <w:spacing w:before="80" w:line="276" w:lineRule="auto"/>
        <w:ind w:left="1440" w:firstLine="720"/>
        <w:rPr>
          <w:rFonts w:ascii="Franklin Gothic Book" w:eastAsia="Times New Roman" w:hAnsi="Franklin Gothic Book"/>
          <w:b/>
          <w:szCs w:val="20"/>
          <w:lang w:eastAsia="en-US"/>
        </w:rPr>
      </w:pPr>
      <w:r w:rsidRPr="005F4FAA">
        <w:rPr>
          <w:rFonts w:ascii="Franklin Gothic Book" w:eastAsia="Times New Roman" w:hAnsi="Franklin Gothic Book"/>
          <w:i/>
          <w:szCs w:val="20"/>
          <w:lang w:eastAsia="en-US"/>
        </w:rPr>
        <w:t>Procurement arrangements</w:t>
      </w:r>
    </w:p>
    <w:p w:rsidR="00B652E1" w:rsidRDefault="00B652E1" w:rsidP="00B652E1">
      <w:pPr>
        <w:spacing w:before="80" w:line="276" w:lineRule="auto"/>
        <w:ind w:left="1440" w:firstLine="720"/>
        <w:rPr>
          <w:rFonts w:ascii="Franklin Gothic Book" w:eastAsia="Times New Roman" w:hAnsi="Franklin Gothic Book"/>
          <w:b/>
          <w:szCs w:val="20"/>
          <w:lang w:eastAsia="en-US"/>
        </w:rPr>
      </w:pPr>
      <w:r w:rsidRPr="005F4FAA">
        <w:rPr>
          <w:rFonts w:ascii="Franklin Gothic Book" w:eastAsia="Times New Roman" w:hAnsi="Franklin Gothic Book"/>
          <w:i/>
          <w:szCs w:val="20"/>
          <w:lang w:eastAsia="en-US"/>
        </w:rPr>
        <w:t>Financial reporting</w:t>
      </w:r>
    </w:p>
    <w:p w:rsidR="00B652E1" w:rsidRPr="00FC33D1" w:rsidRDefault="00B652E1" w:rsidP="00B652E1">
      <w:pPr>
        <w:spacing w:before="80" w:line="276" w:lineRule="auto"/>
        <w:ind w:left="1440" w:firstLine="720"/>
        <w:rPr>
          <w:rFonts w:ascii="Franklin Gothic Book" w:eastAsia="Times New Roman" w:hAnsi="Franklin Gothic Book"/>
          <w:b/>
          <w:szCs w:val="20"/>
          <w:lang w:eastAsia="en-US"/>
        </w:rPr>
      </w:pPr>
      <w:r w:rsidRPr="005F4FAA">
        <w:rPr>
          <w:rFonts w:ascii="Franklin Gothic Book" w:eastAsia="Times New Roman" w:hAnsi="Franklin Gothic Book"/>
          <w:i/>
          <w:szCs w:val="20"/>
          <w:lang w:eastAsia="en-US"/>
        </w:rPr>
        <w:t>Audit</w:t>
      </w:r>
    </w:p>
    <w:p w:rsidR="00B652E1" w:rsidRPr="005F4FAA" w:rsidRDefault="00B652E1" w:rsidP="00B652E1">
      <w:pPr>
        <w:spacing w:before="80" w:line="276" w:lineRule="auto"/>
        <w:ind w:left="1440"/>
        <w:rPr>
          <w:rFonts w:ascii="Franklin Gothic Book" w:eastAsia="Times New Roman" w:hAnsi="Franklin Gothic Book"/>
          <w:szCs w:val="20"/>
          <w:u w:val="single"/>
          <w:lang w:eastAsia="en-US"/>
        </w:rPr>
      </w:pPr>
      <w:r w:rsidRPr="005F4FAA">
        <w:rPr>
          <w:rFonts w:ascii="Franklin Gothic Book" w:eastAsia="Times New Roman" w:hAnsi="Franklin Gothic Book"/>
          <w:szCs w:val="20"/>
          <w:u w:val="single"/>
          <w:lang w:eastAsia="en-US"/>
        </w:rPr>
        <w:t xml:space="preserve">Disbursement triggers for the release of DFAT funds </w:t>
      </w:r>
    </w:p>
    <w:p w:rsidR="00B652E1" w:rsidRPr="005F4FAA" w:rsidRDefault="00B652E1" w:rsidP="00B652E1">
      <w:pPr>
        <w:spacing w:line="276" w:lineRule="auto"/>
        <w:ind w:left="1440" w:firstLine="720"/>
        <w:rPr>
          <w:rFonts w:ascii="Franklin Gothic Book" w:hAnsi="Franklin Gothic Book"/>
          <w:i/>
          <w:szCs w:val="20"/>
        </w:rPr>
      </w:pPr>
      <w:r w:rsidRPr="005F4FAA">
        <w:rPr>
          <w:rFonts w:ascii="Franklin Gothic Book" w:hAnsi="Franklin Gothic Book"/>
          <w:i/>
          <w:szCs w:val="20"/>
        </w:rPr>
        <w:t>Pre-conditions</w:t>
      </w:r>
    </w:p>
    <w:p w:rsidR="00B652E1" w:rsidRPr="005F4FAA" w:rsidRDefault="00B652E1" w:rsidP="00B652E1">
      <w:pPr>
        <w:tabs>
          <w:tab w:val="num" w:pos="720"/>
        </w:tabs>
        <w:spacing w:line="276" w:lineRule="auto"/>
        <w:rPr>
          <w:rFonts w:ascii="Franklin Gothic Book" w:hAnsi="Franklin Gothic Book"/>
          <w:i/>
          <w:szCs w:val="20"/>
          <w:lang w:val="en-GB"/>
        </w:rPr>
      </w:pPr>
      <w:r>
        <w:rPr>
          <w:rFonts w:ascii="Franklin Gothic Book" w:hAnsi="Franklin Gothic Book"/>
          <w:i/>
          <w:szCs w:val="20"/>
          <w:lang w:val="en-GB"/>
        </w:rPr>
        <w:tab/>
      </w:r>
      <w:r>
        <w:rPr>
          <w:rFonts w:ascii="Franklin Gothic Book" w:hAnsi="Franklin Gothic Book"/>
          <w:i/>
          <w:szCs w:val="20"/>
          <w:lang w:val="en-GB"/>
        </w:rPr>
        <w:tab/>
      </w:r>
      <w:r>
        <w:rPr>
          <w:rFonts w:ascii="Franklin Gothic Book" w:hAnsi="Franklin Gothic Book"/>
          <w:i/>
          <w:szCs w:val="20"/>
          <w:lang w:val="en-GB"/>
        </w:rPr>
        <w:tab/>
      </w:r>
      <w:r w:rsidRPr="005F4FAA">
        <w:rPr>
          <w:rFonts w:ascii="Franklin Gothic Book" w:hAnsi="Franklin Gothic Book"/>
          <w:i/>
          <w:szCs w:val="20"/>
          <w:lang w:val="en-GB"/>
        </w:rPr>
        <w:t>Six-monthly disbursements</w:t>
      </w:r>
    </w:p>
    <w:p w:rsidR="00B652E1" w:rsidRDefault="00B652E1" w:rsidP="00B652E1">
      <w:pPr>
        <w:spacing w:line="276" w:lineRule="auto"/>
        <w:ind w:left="1440" w:firstLine="720"/>
        <w:rPr>
          <w:rFonts w:ascii="Franklin Gothic Book" w:hAnsi="Franklin Gothic Book"/>
          <w:i/>
          <w:szCs w:val="20"/>
          <w:lang w:val="en-GB"/>
        </w:rPr>
      </w:pPr>
      <w:r w:rsidRPr="005F4FAA">
        <w:rPr>
          <w:rFonts w:ascii="Franklin Gothic Book" w:hAnsi="Franklin Gothic Book"/>
          <w:i/>
          <w:szCs w:val="20"/>
          <w:lang w:val="en-GB"/>
        </w:rPr>
        <w:t xml:space="preserve">Performance incentives </w:t>
      </w:r>
    </w:p>
    <w:p w:rsidR="00B652E1" w:rsidRDefault="00B652E1" w:rsidP="00B652E1">
      <w:pPr>
        <w:spacing w:line="276" w:lineRule="auto"/>
        <w:ind w:left="720" w:firstLine="720"/>
        <w:rPr>
          <w:rFonts w:ascii="Franklin Gothic Book" w:hAnsi="Franklin Gothic Book"/>
          <w:i/>
          <w:szCs w:val="20"/>
          <w:lang w:val="en-GB"/>
        </w:rPr>
      </w:pPr>
      <w:r w:rsidRPr="00D91041">
        <w:rPr>
          <w:rFonts w:ascii="Franklin Gothic Book" w:hAnsi="Franklin Gothic Book"/>
          <w:u w:val="single"/>
        </w:rPr>
        <w:t>Monitoring and Evaluation (M&amp;E)</w:t>
      </w:r>
      <w:r>
        <w:rPr>
          <w:rFonts w:ascii="Franklin Gothic Book" w:eastAsia="Times New Roman" w:hAnsi="Franklin Gothic Book"/>
          <w:szCs w:val="20"/>
          <w:u w:val="single"/>
          <w:lang w:eastAsia="en-US"/>
        </w:rPr>
        <w:t xml:space="preserve"> </w:t>
      </w:r>
      <w:r>
        <w:rPr>
          <w:rFonts w:ascii="Franklin Gothic Book" w:hAnsi="Franklin Gothic Book"/>
          <w:i/>
          <w:szCs w:val="20"/>
          <w:lang w:val="en-GB"/>
        </w:rPr>
        <w:tab/>
      </w:r>
    </w:p>
    <w:p w:rsidR="00B652E1" w:rsidRDefault="00B652E1" w:rsidP="00B652E1">
      <w:pPr>
        <w:spacing w:line="276" w:lineRule="auto"/>
        <w:ind w:left="720" w:firstLine="720"/>
        <w:rPr>
          <w:rFonts w:ascii="Franklin Gothic Book" w:hAnsi="Franklin Gothic Book"/>
          <w:i/>
          <w:szCs w:val="20"/>
          <w:lang w:val="en-GB"/>
        </w:rPr>
      </w:pPr>
      <w:r w:rsidRPr="005F4FAA">
        <w:rPr>
          <w:rFonts w:ascii="Franklin Gothic Book" w:eastAsia="Times New Roman" w:hAnsi="Franklin Gothic Book"/>
          <w:szCs w:val="20"/>
          <w:u w:val="single"/>
          <w:lang w:eastAsia="en-US"/>
        </w:rPr>
        <w:t>Sustainability</w:t>
      </w:r>
    </w:p>
    <w:p w:rsidR="00B652E1" w:rsidRDefault="00B652E1" w:rsidP="00B652E1">
      <w:pPr>
        <w:spacing w:line="276" w:lineRule="auto"/>
        <w:ind w:left="720" w:firstLine="720"/>
        <w:rPr>
          <w:rFonts w:ascii="Franklin Gothic Book" w:hAnsi="Franklin Gothic Book"/>
          <w:i/>
          <w:szCs w:val="20"/>
          <w:lang w:val="en-GB"/>
        </w:rPr>
      </w:pPr>
      <w:r w:rsidRPr="005F4FAA">
        <w:rPr>
          <w:rFonts w:ascii="Franklin Gothic Book" w:eastAsia="Times New Roman" w:hAnsi="Franklin Gothic Book"/>
          <w:szCs w:val="20"/>
          <w:u w:val="single"/>
          <w:lang w:eastAsia="en-US"/>
        </w:rPr>
        <w:t>Gender Equality</w:t>
      </w:r>
    </w:p>
    <w:p w:rsidR="00B652E1" w:rsidRDefault="00B652E1" w:rsidP="00B652E1">
      <w:pPr>
        <w:spacing w:line="276" w:lineRule="auto"/>
        <w:ind w:left="720" w:firstLine="720"/>
        <w:rPr>
          <w:rFonts w:ascii="Franklin Gothic Book" w:hAnsi="Franklin Gothic Book"/>
          <w:i/>
          <w:szCs w:val="20"/>
          <w:lang w:val="en-GB"/>
        </w:rPr>
      </w:pPr>
      <w:r w:rsidRPr="005F4FAA">
        <w:rPr>
          <w:rFonts w:ascii="Franklin Gothic Book" w:eastAsia="Times New Roman" w:hAnsi="Franklin Gothic Book"/>
          <w:szCs w:val="20"/>
          <w:u w:val="single"/>
          <w:lang w:eastAsia="en-US"/>
        </w:rPr>
        <w:t>Disability Inclus</w:t>
      </w:r>
      <w:r>
        <w:rPr>
          <w:rFonts w:ascii="Franklin Gothic Book" w:eastAsia="Times New Roman" w:hAnsi="Franklin Gothic Book"/>
          <w:szCs w:val="20"/>
          <w:u w:val="single"/>
          <w:lang w:eastAsia="en-US"/>
        </w:rPr>
        <w:t>ion</w:t>
      </w:r>
    </w:p>
    <w:p w:rsidR="00B652E1" w:rsidRDefault="00B652E1" w:rsidP="00B652E1">
      <w:pPr>
        <w:spacing w:line="276" w:lineRule="auto"/>
        <w:ind w:left="720" w:firstLine="720"/>
        <w:rPr>
          <w:rFonts w:ascii="Franklin Gothic Book" w:hAnsi="Franklin Gothic Book"/>
          <w:i/>
          <w:szCs w:val="20"/>
          <w:lang w:val="en-GB"/>
        </w:rPr>
      </w:pPr>
      <w:r w:rsidRPr="002D4943">
        <w:rPr>
          <w:rFonts w:ascii="Franklin Gothic Book" w:eastAsia="Times New Roman" w:hAnsi="Franklin Gothic Book"/>
          <w:szCs w:val="20"/>
          <w:u w:val="single"/>
          <w:lang w:eastAsia="en-US"/>
        </w:rPr>
        <w:t>Risk Management Plan</w:t>
      </w:r>
      <w:r w:rsidRPr="005F4FAA">
        <w:rPr>
          <w:rFonts w:ascii="Franklin Gothic Book" w:eastAsia="Times New Roman" w:hAnsi="Franklin Gothic Book"/>
          <w:szCs w:val="20"/>
          <w:u w:val="single"/>
          <w:lang w:eastAsia="en-US"/>
        </w:rPr>
        <w:t xml:space="preserve"> </w:t>
      </w:r>
    </w:p>
    <w:p w:rsidR="00B652E1" w:rsidRDefault="00B652E1" w:rsidP="00B652E1">
      <w:pPr>
        <w:spacing w:line="276" w:lineRule="auto"/>
        <w:ind w:left="720" w:firstLine="720"/>
        <w:rPr>
          <w:rFonts w:ascii="Franklin Gothic Book" w:hAnsi="Franklin Gothic Book"/>
          <w:i/>
          <w:szCs w:val="20"/>
          <w:lang w:val="en-GB"/>
        </w:rPr>
      </w:pPr>
      <w:r w:rsidRPr="005F4FAA">
        <w:rPr>
          <w:rFonts w:ascii="Franklin Gothic Book" w:eastAsia="Times New Roman" w:hAnsi="Franklin Gothic Book"/>
          <w:szCs w:val="20"/>
          <w:u w:val="single"/>
          <w:lang w:eastAsia="en-US"/>
        </w:rPr>
        <w:t>Private Sector</w:t>
      </w:r>
    </w:p>
    <w:p w:rsidR="00B652E1" w:rsidRDefault="00B652E1" w:rsidP="00B652E1">
      <w:pPr>
        <w:spacing w:line="276" w:lineRule="auto"/>
        <w:ind w:left="720" w:firstLine="720"/>
        <w:rPr>
          <w:rFonts w:ascii="Franklin Gothic Book" w:hAnsi="Franklin Gothic Book"/>
          <w:i/>
          <w:szCs w:val="20"/>
          <w:lang w:val="en-GB"/>
        </w:rPr>
      </w:pPr>
      <w:r w:rsidRPr="005F4FAA">
        <w:rPr>
          <w:rFonts w:ascii="Franklin Gothic Book" w:eastAsia="Times New Roman" w:hAnsi="Franklin Gothic Book"/>
          <w:szCs w:val="20"/>
          <w:u w:val="single"/>
          <w:lang w:eastAsia="en-US"/>
        </w:rPr>
        <w:t>Safeguards</w:t>
      </w:r>
    </w:p>
    <w:p w:rsidR="00B652E1" w:rsidRDefault="00B652E1" w:rsidP="00B652E1">
      <w:pPr>
        <w:spacing w:line="276" w:lineRule="auto"/>
        <w:ind w:left="1440" w:firstLine="720"/>
        <w:rPr>
          <w:rFonts w:ascii="Franklin Gothic Book" w:hAnsi="Franklin Gothic Book"/>
          <w:i/>
          <w:szCs w:val="20"/>
          <w:lang w:val="en-GB"/>
        </w:rPr>
      </w:pPr>
      <w:r w:rsidRPr="005F4FAA">
        <w:rPr>
          <w:rFonts w:ascii="Franklin Gothic Book" w:eastAsia="Times New Roman" w:hAnsi="Franklin Gothic Book"/>
          <w:i/>
          <w:szCs w:val="20"/>
          <w:lang w:eastAsia="en-US"/>
        </w:rPr>
        <w:t>Environment and Resettlement Safeguards</w:t>
      </w:r>
    </w:p>
    <w:p w:rsidR="00B652E1" w:rsidRPr="00FC33D1" w:rsidRDefault="00B652E1" w:rsidP="00B652E1">
      <w:pPr>
        <w:spacing w:line="276" w:lineRule="auto"/>
        <w:ind w:left="1440" w:firstLine="720"/>
        <w:rPr>
          <w:rFonts w:ascii="Franklin Gothic Book" w:hAnsi="Franklin Gothic Book"/>
          <w:i/>
          <w:szCs w:val="20"/>
          <w:lang w:val="en-GB"/>
        </w:rPr>
      </w:pPr>
      <w:r w:rsidRPr="005F4FAA">
        <w:rPr>
          <w:rFonts w:ascii="Franklin Gothic Book" w:eastAsia="Times New Roman" w:hAnsi="Franklin Gothic Book"/>
          <w:i/>
          <w:szCs w:val="20"/>
          <w:lang w:eastAsia="en-US"/>
        </w:rPr>
        <w:t>Child Protection and Child Protection Safeguards</w:t>
      </w:r>
    </w:p>
    <w:p w:rsidR="00B652E1" w:rsidRPr="005F4FAA" w:rsidRDefault="00B652E1" w:rsidP="00B652E1">
      <w:pPr>
        <w:tabs>
          <w:tab w:val="left" w:pos="1454"/>
        </w:tabs>
        <w:spacing w:before="80" w:line="276" w:lineRule="auto"/>
        <w:rPr>
          <w:rFonts w:ascii="Franklin Gothic Book" w:hAnsi="Franklin Gothic Book"/>
          <w:szCs w:val="20"/>
        </w:rPr>
      </w:pPr>
    </w:p>
    <w:p w:rsidR="00B652E1" w:rsidRPr="005F4FAA" w:rsidRDefault="00B652E1" w:rsidP="00B652E1">
      <w:pPr>
        <w:rPr>
          <w:rFonts w:ascii="Franklin Gothic Book" w:eastAsia="Times New Roman" w:hAnsi="Franklin Gothic Book"/>
          <w:szCs w:val="20"/>
          <w:lang w:eastAsia="en-US"/>
        </w:rPr>
      </w:pPr>
    </w:p>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B652E1" w:rsidRPr="005F4FAA" w:rsidTr="00B652E1">
        <w:trPr>
          <w:cantSplit/>
          <w:trHeight w:val="289"/>
        </w:trPr>
        <w:tc>
          <w:tcPr>
            <w:tcW w:w="9838" w:type="dxa"/>
            <w:tcBorders>
              <w:bottom w:val="single" w:sz="4" w:space="0" w:color="808080"/>
            </w:tcBorders>
            <w:shd w:val="clear" w:color="auto" w:fill="B8CCE4" w:themeFill="accent1" w:themeFillTint="66"/>
          </w:tcPr>
          <w:p w:rsidR="00B652E1" w:rsidRPr="005F4FAA" w:rsidRDefault="00B652E1" w:rsidP="00B652E1">
            <w:pPr>
              <w:spacing w:before="60"/>
              <w:rPr>
                <w:rFonts w:ascii="Franklin Gothic Book" w:hAnsi="Franklin Gothic Book"/>
                <w:b/>
                <w:i/>
                <w:szCs w:val="20"/>
              </w:rPr>
            </w:pPr>
            <w:r w:rsidRPr="005F4FAA">
              <w:rPr>
                <w:rFonts w:ascii="Franklin Gothic Book" w:hAnsi="Franklin Gothic Book"/>
                <w:b/>
                <w:szCs w:val="20"/>
              </w:rPr>
              <w:t>A:</w:t>
            </w:r>
            <w:r w:rsidRPr="005F4FAA">
              <w:rPr>
                <w:rFonts w:ascii="Franklin Gothic Book" w:hAnsi="Franklin Gothic Book"/>
                <w:b/>
                <w:szCs w:val="20"/>
              </w:rPr>
              <w:tab/>
              <w:t xml:space="preserve"> Tonga Health Systems Support Program 2</w:t>
            </w:r>
          </w:p>
        </w:tc>
      </w:tr>
      <w:tr w:rsidR="00B652E1" w:rsidRPr="005F4FAA" w:rsidTr="00B652E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BE5F1" w:themeFill="accent1" w:themeFillTint="33"/>
          </w:tcPr>
          <w:p w:rsidR="00B652E1" w:rsidRPr="005F4FAA" w:rsidRDefault="00B652E1" w:rsidP="00B652E1">
            <w:pPr>
              <w:spacing w:before="60"/>
              <w:rPr>
                <w:rFonts w:ascii="Franklin Gothic Book" w:hAnsi="Franklin Gothic Book"/>
                <w:b/>
                <w:szCs w:val="20"/>
              </w:rPr>
            </w:pPr>
            <w:r w:rsidRPr="005F4FAA">
              <w:rPr>
                <w:rFonts w:ascii="Franklin Gothic Book" w:hAnsi="Franklin Gothic Book"/>
                <w:b/>
                <w:szCs w:val="20"/>
              </w:rPr>
              <w:t>Start date: July 2015</w:t>
            </w:r>
            <w:r w:rsidRPr="005F4FAA">
              <w:rPr>
                <w:rFonts w:ascii="Franklin Gothic Book" w:hAnsi="Franklin Gothic Book"/>
                <w:b/>
                <w:szCs w:val="20"/>
              </w:rPr>
              <w:tab/>
            </w:r>
            <w:r w:rsidRPr="005F4FAA">
              <w:rPr>
                <w:rFonts w:ascii="Franklin Gothic Book" w:hAnsi="Franklin Gothic Book"/>
                <w:b/>
                <w:szCs w:val="20"/>
              </w:rPr>
              <w:tab/>
              <w:t>End Date:  June 2020</w:t>
            </w:r>
          </w:p>
        </w:tc>
      </w:tr>
      <w:tr w:rsidR="00B652E1" w:rsidRPr="005F4FAA" w:rsidTr="00B652E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BE5F1" w:themeFill="accent1" w:themeFillTint="33"/>
          </w:tcPr>
          <w:p w:rsidR="00B652E1" w:rsidRPr="005F4FAA" w:rsidRDefault="00B652E1" w:rsidP="00B652E1">
            <w:pPr>
              <w:spacing w:before="60"/>
              <w:rPr>
                <w:rFonts w:ascii="Franklin Gothic Book" w:hAnsi="Franklin Gothic Book"/>
                <w:b/>
                <w:szCs w:val="20"/>
              </w:rPr>
            </w:pPr>
            <w:r w:rsidRPr="005F4FAA">
              <w:rPr>
                <w:rFonts w:ascii="Franklin Gothic Book" w:hAnsi="Franklin Gothic Book"/>
                <w:b/>
                <w:szCs w:val="20"/>
              </w:rPr>
              <w:t xml:space="preserve">Total proposed funding allocation: $10,000,000 </w:t>
            </w:r>
          </w:p>
        </w:tc>
      </w:tr>
      <w:tr w:rsidR="00B652E1" w:rsidRPr="005F4FAA" w:rsidTr="00B652E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BE5F1" w:themeFill="accent1" w:themeFillTint="33"/>
          </w:tcPr>
          <w:p w:rsidR="00B652E1" w:rsidRPr="005F4FAA" w:rsidRDefault="00B652E1" w:rsidP="00B652E1">
            <w:pPr>
              <w:spacing w:before="60"/>
              <w:rPr>
                <w:rFonts w:ascii="Franklin Gothic Book" w:hAnsi="Franklin Gothic Book"/>
                <w:b/>
                <w:szCs w:val="20"/>
              </w:rPr>
            </w:pPr>
            <w:r w:rsidRPr="005F4FAA">
              <w:rPr>
                <w:rFonts w:ascii="Franklin Gothic Book" w:hAnsi="Franklin Gothic Book"/>
                <w:b/>
                <w:szCs w:val="20"/>
              </w:rPr>
              <w:t>Investment Concept (IC) approved by: Brett Aldam</w:t>
            </w:r>
            <w:r w:rsidRPr="005F4FAA">
              <w:rPr>
                <w:rFonts w:ascii="Franklin Gothic Book" w:hAnsi="Franklin Gothic Book"/>
                <w:b/>
                <w:szCs w:val="20"/>
              </w:rPr>
              <w:tab/>
              <w:t xml:space="preserve">       IC Endorsed by AIC: NA</w:t>
            </w:r>
          </w:p>
        </w:tc>
      </w:tr>
      <w:tr w:rsidR="00B652E1" w:rsidRPr="005F4FAA" w:rsidTr="00B652E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BE5F1" w:themeFill="accent1" w:themeFillTint="33"/>
          </w:tcPr>
          <w:p w:rsidR="00B652E1" w:rsidRPr="005F4FAA" w:rsidRDefault="00B652E1" w:rsidP="00B652E1">
            <w:pPr>
              <w:spacing w:before="60"/>
              <w:rPr>
                <w:rFonts w:ascii="Franklin Gothic Book" w:hAnsi="Franklin Gothic Book"/>
                <w:b/>
                <w:szCs w:val="20"/>
              </w:rPr>
            </w:pPr>
            <w:r w:rsidRPr="005F4FAA">
              <w:rPr>
                <w:rFonts w:ascii="Franklin Gothic Book" w:hAnsi="Franklin Gothic Book"/>
                <w:b/>
                <w:szCs w:val="20"/>
              </w:rPr>
              <w:t>Quality Assurance (QA) Completed:  Peer review + independent assessment</w:t>
            </w:r>
          </w:p>
        </w:tc>
      </w:tr>
    </w:tbl>
    <w:p w:rsidR="00B652E1" w:rsidRDefault="00B652E1" w:rsidP="00B652E1">
      <w:r>
        <w:br w:type="page"/>
      </w:r>
    </w:p>
    <w:p w:rsidR="00B652E1" w:rsidRPr="00E40D0D" w:rsidRDefault="00B652E1" w:rsidP="00F63C34">
      <w:pPr>
        <w:pStyle w:val="Heading1"/>
        <w:rPr>
          <w:rFonts w:ascii="Franklin Gothic Book" w:hAnsi="Franklin Gothic Book"/>
          <w:szCs w:val="20"/>
          <w:lang w:eastAsia="en-US"/>
        </w:rPr>
      </w:pPr>
      <w:r>
        <w:lastRenderedPageBreak/>
        <w:t xml:space="preserve">B:  </w:t>
      </w:r>
      <w:r w:rsidRPr="005F4FAA">
        <w:t>Executive Summary</w:t>
      </w:r>
    </w:p>
    <w:p w:rsidR="00B652E1" w:rsidRPr="00A5578E" w:rsidRDefault="00B652E1" w:rsidP="00F63C34">
      <w:pPr>
        <w:pStyle w:val="Heading4"/>
      </w:pPr>
      <w:r>
        <w:t xml:space="preserve">Problem to be addressed </w:t>
      </w:r>
    </w:p>
    <w:p w:rsidR="00B652E1" w:rsidRDefault="00B652E1" w:rsidP="00B652E1">
      <w:pPr>
        <w:spacing w:before="80" w:line="276" w:lineRule="auto"/>
        <w:rPr>
          <w:rFonts w:ascii="Franklin Gothic Medium" w:eastAsia="Times New Roman" w:hAnsi="Franklin Gothic Medium"/>
          <w:szCs w:val="20"/>
          <w:lang w:eastAsia="en-US"/>
        </w:rPr>
      </w:pPr>
      <w:r w:rsidRPr="00A5578E">
        <w:rPr>
          <w:rFonts w:ascii="Franklin Gothic Medium" w:eastAsia="Times New Roman" w:hAnsi="Franklin Gothic Medium"/>
          <w:szCs w:val="20"/>
          <w:lang w:eastAsia="en-US"/>
        </w:rPr>
        <w:t xml:space="preserve">The main problem addressed by the second Tonga Health Systems Support Program (THSSP2) is </w:t>
      </w:r>
      <w:r w:rsidRPr="00A5578E">
        <w:rPr>
          <w:rFonts w:ascii="Franklin Gothic Medium" w:eastAsia="Times New Roman" w:hAnsi="Franklin Gothic Medium"/>
          <w:b/>
          <w:szCs w:val="20"/>
          <w:lang w:eastAsia="en-US"/>
        </w:rPr>
        <w:t xml:space="preserve">non-communicable diseases </w:t>
      </w:r>
      <w:r w:rsidRPr="00A5578E">
        <w:rPr>
          <w:rFonts w:ascii="Franklin Gothic Medium" w:eastAsia="Times New Roman" w:hAnsi="Franklin Gothic Medium"/>
          <w:szCs w:val="20"/>
          <w:lang w:eastAsia="en-US"/>
        </w:rPr>
        <w:t xml:space="preserve">(NCDs). NCDs are a major cause of premature death in Tonga: in 2011 it was calculated that life expectancy had actually </w:t>
      </w:r>
      <w:r w:rsidRPr="00A5578E">
        <w:rPr>
          <w:rFonts w:ascii="Franklin Gothic Medium" w:eastAsia="Times New Roman" w:hAnsi="Franklin Gothic Medium"/>
          <w:i/>
          <w:szCs w:val="20"/>
          <w:lang w:eastAsia="en-US"/>
        </w:rPr>
        <w:t>decreased</w:t>
      </w:r>
      <w:r w:rsidRPr="00A5578E">
        <w:rPr>
          <w:rFonts w:ascii="Franklin Gothic Medium" w:eastAsia="Times New Roman" w:hAnsi="Franklin Gothic Medium"/>
          <w:szCs w:val="20"/>
          <w:lang w:eastAsia="en-US"/>
        </w:rPr>
        <w:t xml:space="preserve"> by five years, largely due to NCDs.</w:t>
      </w:r>
      <w:r w:rsidRPr="00A5578E">
        <w:rPr>
          <w:rStyle w:val="FootnoteReference"/>
          <w:rFonts w:ascii="Franklin Gothic Medium" w:eastAsia="Times New Roman" w:hAnsi="Franklin Gothic Medium"/>
          <w:sz w:val="20"/>
          <w:szCs w:val="20"/>
          <w:lang w:eastAsia="en-US"/>
        </w:rPr>
        <w:footnoteReference w:id="2"/>
      </w:r>
      <w:r w:rsidRPr="00A5578E">
        <w:rPr>
          <w:rFonts w:ascii="Franklin Gothic Medium" w:eastAsia="Times New Roman" w:hAnsi="Franklin Gothic Medium"/>
          <w:szCs w:val="20"/>
          <w:lang w:eastAsia="en-US"/>
        </w:rPr>
        <w:t xml:space="preserve"> The major risk factors for NCDs are poor diet, lack of exercise, smoking, alcohol misuse and obesity. </w:t>
      </w:r>
      <w:r>
        <w:rPr>
          <w:rFonts w:ascii="Franklin Gothic Medium" w:eastAsia="Times New Roman" w:hAnsi="Franklin Gothic Medium"/>
          <w:szCs w:val="20"/>
          <w:lang w:eastAsia="en-US"/>
        </w:rPr>
        <w:t>It is a startling fact that i</w:t>
      </w:r>
      <w:r w:rsidRPr="00A5578E">
        <w:rPr>
          <w:rFonts w:ascii="Franklin Gothic Medium" w:eastAsia="Times New Roman" w:hAnsi="Franklin Gothic Medium"/>
          <w:szCs w:val="20"/>
          <w:lang w:eastAsia="en-US"/>
        </w:rPr>
        <w:t xml:space="preserve">n 2014 WHO concluded that </w:t>
      </w:r>
      <w:r w:rsidRPr="00A5578E">
        <w:rPr>
          <w:rFonts w:ascii="Franklin Gothic Medium" w:eastAsia="Times New Roman" w:hAnsi="Franklin Gothic Medium"/>
          <w:b/>
          <w:szCs w:val="20"/>
          <w:lang w:eastAsia="en-US"/>
        </w:rPr>
        <w:t xml:space="preserve">the </w:t>
      </w:r>
      <w:r w:rsidRPr="00A5578E">
        <w:rPr>
          <w:rFonts w:ascii="Franklin Gothic Medium" w:eastAsia="Times New Roman" w:hAnsi="Franklin Gothic Medium"/>
          <w:b/>
          <w:i/>
          <w:szCs w:val="20"/>
          <w:lang w:eastAsia="en-US"/>
        </w:rPr>
        <w:t>entire adult population</w:t>
      </w:r>
      <w:r w:rsidRPr="00A5578E">
        <w:rPr>
          <w:rFonts w:ascii="Franklin Gothic Medium" w:eastAsia="Times New Roman" w:hAnsi="Franklin Gothic Medium"/>
          <w:b/>
          <w:szCs w:val="20"/>
          <w:lang w:eastAsia="en-US"/>
        </w:rPr>
        <w:t xml:space="preserve"> is at moderate to high risk of developing an NCD.</w:t>
      </w:r>
      <w:r>
        <w:rPr>
          <w:rFonts w:ascii="Franklin Gothic Medium" w:eastAsia="Times New Roman" w:hAnsi="Franklin Gothic Medium"/>
          <w:szCs w:val="20"/>
          <w:lang w:eastAsia="en-US"/>
        </w:rPr>
        <w:t xml:space="preserve"> </w:t>
      </w:r>
      <w:r w:rsidRPr="00A5578E">
        <w:rPr>
          <w:rFonts w:ascii="Franklin Gothic Medium" w:eastAsia="Times New Roman" w:hAnsi="Franklin Gothic Medium"/>
          <w:szCs w:val="20"/>
          <w:lang w:eastAsia="en-US"/>
        </w:rPr>
        <w:t>The Government of Tonga fully recognises the seriousness of its NCD situation describing it as a national crisis in the 2014 budget.</w:t>
      </w:r>
    </w:p>
    <w:p w:rsidR="00B652E1" w:rsidRPr="00A5578E" w:rsidRDefault="00B652E1" w:rsidP="00B652E1">
      <w:pPr>
        <w:spacing w:before="80" w:line="276" w:lineRule="auto"/>
        <w:rPr>
          <w:rFonts w:ascii="Franklin Gothic Medium" w:eastAsia="Times New Roman" w:hAnsi="Franklin Gothic Medium"/>
          <w:szCs w:val="20"/>
          <w:lang w:eastAsia="en-US"/>
        </w:rPr>
      </w:pPr>
      <w:r>
        <w:rPr>
          <w:rFonts w:ascii="Franklin Gothic Medium" w:eastAsia="Times New Roman" w:hAnsi="Franklin Gothic Medium"/>
          <w:szCs w:val="20"/>
          <w:lang w:eastAsia="en-US"/>
        </w:rPr>
        <w:t>Given these enormously high levels of risk factors for NCDs, Tonga will have to work very hard even to stay still in terms of NCD rates in its population. However the issue must be tackled head-on, because NCDs are proving to have high costs in Tonga both in terms of health sector spending and the effects on economic productivity. THSSP2 is about doing as much as possible to tackle the NCD epidemic – preventing NCDs in the younger generation and managing existing NCDs as cost-effectively as possible.</w:t>
      </w:r>
    </w:p>
    <w:p w:rsidR="00B652E1" w:rsidRPr="00A5578E" w:rsidRDefault="00B652E1" w:rsidP="00F63C34">
      <w:pPr>
        <w:pStyle w:val="Heading4"/>
      </w:pPr>
      <w:r w:rsidRPr="00A5578E">
        <w:t xml:space="preserve">Description of THSSP2: areas </w:t>
      </w:r>
      <w:r>
        <w:t xml:space="preserve">to </w:t>
      </w:r>
      <w:r w:rsidRPr="00A5578E">
        <w:t xml:space="preserve">be funded  </w:t>
      </w:r>
    </w:p>
    <w:p w:rsidR="00B652E1" w:rsidRPr="00A5578E" w:rsidRDefault="00B652E1" w:rsidP="00B652E1">
      <w:pPr>
        <w:spacing w:before="80" w:line="276" w:lineRule="auto"/>
        <w:rPr>
          <w:rFonts w:ascii="Franklin Gothic Medium" w:eastAsia="Times New Roman" w:hAnsi="Franklin Gothic Medium"/>
          <w:szCs w:val="20"/>
          <w:lang w:eastAsia="en-US"/>
        </w:rPr>
      </w:pPr>
      <w:r w:rsidRPr="00A5578E">
        <w:rPr>
          <w:rFonts w:ascii="Franklin Gothic Medium" w:eastAsia="Times New Roman" w:hAnsi="Franklin Gothic Medium"/>
          <w:szCs w:val="20"/>
          <w:lang w:eastAsia="en-US"/>
        </w:rPr>
        <w:t>THSSP2 has four components:</w:t>
      </w:r>
    </w:p>
    <w:p w:rsidR="00B652E1" w:rsidRPr="00A5578E" w:rsidRDefault="00B652E1" w:rsidP="00B652E1">
      <w:pPr>
        <w:pStyle w:val="ListParagraph"/>
        <w:numPr>
          <w:ilvl w:val="0"/>
          <w:numId w:val="38"/>
        </w:numPr>
        <w:spacing w:before="80" w:line="276" w:lineRule="auto"/>
        <w:contextualSpacing/>
        <w:rPr>
          <w:rFonts w:ascii="Franklin Gothic Medium" w:hAnsi="Franklin Gothic Medium"/>
          <w:sz w:val="20"/>
          <w:szCs w:val="20"/>
          <w:lang w:eastAsia="en-US"/>
        </w:rPr>
      </w:pPr>
      <w:r w:rsidRPr="00A5578E">
        <w:rPr>
          <w:rFonts w:ascii="Franklin Gothic Medium" w:hAnsi="Franklin Gothic Medium"/>
          <w:sz w:val="20"/>
          <w:szCs w:val="20"/>
          <w:lang w:eastAsia="en-US"/>
        </w:rPr>
        <w:t>Management of NCDs in primary care: primary and secondary prevention</w:t>
      </w:r>
    </w:p>
    <w:p w:rsidR="00B652E1" w:rsidRPr="00A5578E" w:rsidRDefault="00B652E1" w:rsidP="00B652E1">
      <w:pPr>
        <w:pStyle w:val="ListParagraph"/>
        <w:numPr>
          <w:ilvl w:val="0"/>
          <w:numId w:val="38"/>
        </w:numPr>
        <w:spacing w:before="80" w:line="276" w:lineRule="auto"/>
        <w:contextualSpacing/>
        <w:rPr>
          <w:rFonts w:ascii="Franklin Gothic Medium" w:hAnsi="Franklin Gothic Medium"/>
          <w:sz w:val="20"/>
          <w:szCs w:val="20"/>
          <w:lang w:eastAsia="en-US"/>
        </w:rPr>
      </w:pPr>
      <w:r w:rsidRPr="00A5578E">
        <w:rPr>
          <w:rFonts w:ascii="Franklin Gothic Medium" w:hAnsi="Franklin Gothic Medium"/>
          <w:sz w:val="20"/>
          <w:szCs w:val="20"/>
          <w:lang w:eastAsia="en-US"/>
        </w:rPr>
        <w:t>Health promotion related to NCDs</w:t>
      </w:r>
    </w:p>
    <w:p w:rsidR="00B652E1" w:rsidRPr="00A5578E" w:rsidRDefault="00B652E1" w:rsidP="00B652E1">
      <w:pPr>
        <w:pStyle w:val="ListParagraph"/>
        <w:numPr>
          <w:ilvl w:val="0"/>
          <w:numId w:val="38"/>
        </w:numPr>
        <w:spacing w:before="80" w:line="276" w:lineRule="auto"/>
        <w:contextualSpacing/>
        <w:rPr>
          <w:rFonts w:ascii="Franklin Gothic Medium" w:hAnsi="Franklin Gothic Medium"/>
          <w:sz w:val="20"/>
          <w:szCs w:val="20"/>
          <w:lang w:eastAsia="en-US"/>
        </w:rPr>
      </w:pPr>
      <w:r w:rsidRPr="00A5578E">
        <w:rPr>
          <w:rFonts w:ascii="Franklin Gothic Medium" w:hAnsi="Franklin Gothic Medium"/>
          <w:sz w:val="20"/>
          <w:szCs w:val="20"/>
          <w:lang w:eastAsia="en-US"/>
        </w:rPr>
        <w:t>Health systems strengthening</w:t>
      </w:r>
    </w:p>
    <w:p w:rsidR="00B652E1" w:rsidRPr="00A5578E" w:rsidRDefault="00B652E1" w:rsidP="00B652E1">
      <w:pPr>
        <w:pStyle w:val="ListParagraph"/>
        <w:numPr>
          <w:ilvl w:val="0"/>
          <w:numId w:val="38"/>
        </w:numPr>
        <w:spacing w:before="80" w:line="276" w:lineRule="auto"/>
        <w:contextualSpacing/>
        <w:rPr>
          <w:rFonts w:ascii="Franklin Gothic Medium" w:hAnsi="Franklin Gothic Medium"/>
          <w:sz w:val="20"/>
          <w:szCs w:val="20"/>
          <w:lang w:eastAsia="en-US"/>
        </w:rPr>
      </w:pPr>
      <w:r w:rsidRPr="00A5578E">
        <w:rPr>
          <w:rFonts w:ascii="Franklin Gothic Medium" w:hAnsi="Franklin Gothic Medium"/>
          <w:sz w:val="20"/>
          <w:szCs w:val="20"/>
          <w:lang w:eastAsia="en-US"/>
        </w:rPr>
        <w:t xml:space="preserve">Support for mental health and disability services. </w:t>
      </w:r>
    </w:p>
    <w:p w:rsidR="00B652E1" w:rsidRPr="00A5578E" w:rsidRDefault="00B652E1" w:rsidP="00B652E1">
      <w:pPr>
        <w:spacing w:before="80" w:line="276" w:lineRule="auto"/>
        <w:rPr>
          <w:rFonts w:ascii="Franklin Gothic Medium" w:eastAsia="Times New Roman" w:hAnsi="Franklin Gothic Medium"/>
          <w:szCs w:val="20"/>
          <w:lang w:eastAsia="en-US"/>
        </w:rPr>
      </w:pPr>
    </w:p>
    <w:p w:rsidR="00B652E1" w:rsidRPr="005F4FAA" w:rsidRDefault="00B652E1" w:rsidP="00B652E1">
      <w:pPr>
        <w:spacing w:line="276" w:lineRule="auto"/>
        <w:rPr>
          <w:rFonts w:ascii="Franklin Gothic Book" w:hAnsi="Franklin Gothic Book"/>
          <w:szCs w:val="20"/>
        </w:rPr>
      </w:pPr>
      <w:r w:rsidRPr="00A5578E">
        <w:rPr>
          <w:rFonts w:ascii="Franklin Gothic Medium" w:eastAsia="Times New Roman" w:hAnsi="Franklin Gothic Medium"/>
          <w:szCs w:val="20"/>
          <w:lang w:eastAsia="en-US"/>
        </w:rPr>
        <w:t>Together</w:t>
      </w:r>
      <w:r w:rsidRPr="005F4FAA">
        <w:rPr>
          <w:rFonts w:ascii="Franklin Gothic Book" w:eastAsia="Times New Roman" w:hAnsi="Franklin Gothic Book"/>
          <w:szCs w:val="20"/>
          <w:lang w:eastAsia="en-US"/>
        </w:rPr>
        <w:t xml:space="preserve"> these components support the goal of the Ministry of Health’s Corporate Plan – </w:t>
      </w:r>
      <w:r w:rsidRPr="005F4FAA">
        <w:rPr>
          <w:rFonts w:ascii="Franklin Gothic Book" w:eastAsia="Times New Roman" w:hAnsi="Franklin Gothic Book"/>
          <w:b/>
          <w:szCs w:val="20"/>
          <w:lang w:eastAsia="en-US"/>
        </w:rPr>
        <w:t>Universal Health Coverage</w:t>
      </w:r>
      <w:r w:rsidRPr="005F4FAA">
        <w:rPr>
          <w:rFonts w:ascii="Franklin Gothic Book" w:eastAsia="Times New Roman" w:hAnsi="Franklin Gothic Book"/>
          <w:szCs w:val="20"/>
          <w:lang w:eastAsia="en-US"/>
        </w:rPr>
        <w:t xml:space="preserve"> (UHC) in Tonga.  </w:t>
      </w:r>
      <w:r w:rsidRPr="005F4FAA">
        <w:rPr>
          <w:rFonts w:ascii="Franklin Gothic Book" w:hAnsi="Franklin Gothic Book"/>
          <w:szCs w:val="20"/>
        </w:rPr>
        <w:t xml:space="preserve">UHC is about ensuring that all people (men, women, boys and girls) obtain health services based on need and without suffering financial hardship when paying for them. In Tonga, a particular challenge is to provide a reasonable level of health services to people living on the most remote islands.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An important aspect of UHC is specifying what services will be provided at which level of the health system. A cost-effective response to NCDs requires that </w:t>
      </w:r>
      <w:r w:rsidRPr="005F4FAA">
        <w:rPr>
          <w:rFonts w:ascii="Franklin Gothic Book" w:hAnsi="Franklin Gothic Book"/>
          <w:b/>
          <w:szCs w:val="20"/>
        </w:rPr>
        <w:t>primary health care facilities</w:t>
      </w:r>
      <w:r w:rsidRPr="005F4FAA">
        <w:rPr>
          <w:rFonts w:ascii="Franklin Gothic Book" w:hAnsi="Franklin Gothic Book"/>
          <w:szCs w:val="20"/>
        </w:rPr>
        <w:t xml:space="preserve"> provide screening (to identify the presence of NCDs or their risk factors), preventive activities (such as practical support to stop smoking) and sound management of existing NCDs to prevent them from escalating into much more serious conditions (such as diabetic-related blindness and amputations).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Nationally organized </w:t>
      </w:r>
      <w:r w:rsidRPr="005F4FAA">
        <w:rPr>
          <w:rFonts w:ascii="Franklin Gothic Book" w:hAnsi="Franklin Gothic Book"/>
          <w:b/>
          <w:szCs w:val="20"/>
        </w:rPr>
        <w:t>health</w:t>
      </w:r>
      <w:r w:rsidRPr="005F4FAA">
        <w:rPr>
          <w:rFonts w:ascii="Franklin Gothic Book" w:hAnsi="Franklin Gothic Book"/>
          <w:szCs w:val="20"/>
        </w:rPr>
        <w:t xml:space="preserve"> </w:t>
      </w:r>
      <w:r w:rsidRPr="005F4FAA">
        <w:rPr>
          <w:rFonts w:ascii="Franklin Gothic Book" w:hAnsi="Franklin Gothic Book"/>
          <w:b/>
          <w:szCs w:val="20"/>
        </w:rPr>
        <w:t>promotion</w:t>
      </w:r>
      <w:r w:rsidRPr="005F4FAA">
        <w:rPr>
          <w:rFonts w:ascii="Franklin Gothic Book" w:hAnsi="Franklin Gothic Book"/>
          <w:szCs w:val="20"/>
        </w:rPr>
        <w:t xml:space="preserve"> activities complement services provided in primary care facilities. Examples are media campaigns and programs which promote healthier lifestyles in other ways (e.g. improving diet through using more </w:t>
      </w:r>
      <w:r>
        <w:rPr>
          <w:rFonts w:ascii="Franklin Gothic Book" w:hAnsi="Franklin Gothic Book"/>
          <w:szCs w:val="20"/>
        </w:rPr>
        <w:t xml:space="preserve">fresh, </w:t>
      </w:r>
      <w:r w:rsidRPr="005F4FAA">
        <w:rPr>
          <w:rFonts w:ascii="Franklin Gothic Book" w:hAnsi="Franklin Gothic Book"/>
          <w:szCs w:val="20"/>
        </w:rPr>
        <w:t xml:space="preserve">local foods). For NCDs, health promotion focuses on the four major risk factors of poor diet, insufficient exercise, smoking and alcohol misuse.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after="240" w:line="276" w:lineRule="auto"/>
        <w:rPr>
          <w:rFonts w:ascii="Franklin Gothic Book" w:hAnsi="Franklin Gothic Book"/>
          <w:szCs w:val="20"/>
        </w:rPr>
      </w:pPr>
      <w:r w:rsidRPr="005F4FAA">
        <w:rPr>
          <w:rFonts w:ascii="Franklin Gothic Book" w:hAnsi="Franklin Gothic Book"/>
          <w:szCs w:val="20"/>
        </w:rPr>
        <w:t xml:space="preserve">The support for </w:t>
      </w:r>
      <w:r w:rsidRPr="005F4FAA">
        <w:rPr>
          <w:rFonts w:ascii="Franklin Gothic Book" w:hAnsi="Franklin Gothic Book"/>
          <w:b/>
          <w:szCs w:val="20"/>
        </w:rPr>
        <w:t>health systems strengthening</w:t>
      </w:r>
      <w:r w:rsidRPr="005F4FAA">
        <w:rPr>
          <w:rFonts w:ascii="Franklin Gothic Book" w:hAnsi="Franklin Gothic Book"/>
          <w:szCs w:val="20"/>
        </w:rPr>
        <w:t xml:space="preserve"> is important because a national health system does not operate as a series of discrete disease-specific packages: rather it consists of a number of health facilities and programs which rely on </w:t>
      </w:r>
      <w:r w:rsidRPr="005F4FAA">
        <w:rPr>
          <w:rFonts w:ascii="Franklin Gothic Book" w:hAnsi="Franklin Gothic Book"/>
          <w:i/>
          <w:szCs w:val="20"/>
        </w:rPr>
        <w:t>systems</w:t>
      </w:r>
      <w:r w:rsidRPr="005F4FAA">
        <w:rPr>
          <w:rFonts w:ascii="Franklin Gothic Book" w:hAnsi="Franklin Gothic Book"/>
          <w:szCs w:val="20"/>
        </w:rPr>
        <w:t xml:space="preserve"> to provide them with the appropriate human resources, drugs and equipment, information etc. To improve the quality and sustainability of the NCD response in Tonga it is not enough to support just the narrow technical aspects directly related to non-communicable diseases. A sustained, efficient response to NCDs requires well-functioning systems of planning, resource allocation, </w:t>
      </w:r>
      <w:r>
        <w:rPr>
          <w:rFonts w:ascii="Franklin Gothic Book" w:hAnsi="Franklin Gothic Book"/>
          <w:szCs w:val="20"/>
        </w:rPr>
        <w:t xml:space="preserve">asset management and </w:t>
      </w:r>
      <w:r w:rsidRPr="005F4FAA">
        <w:rPr>
          <w:rFonts w:ascii="Franklin Gothic Book" w:hAnsi="Franklin Gothic Book"/>
          <w:szCs w:val="20"/>
        </w:rPr>
        <w:t>procurement, for example. An important focus of THSSP2 is to use government systems and to strengthen them by so doing.</w:t>
      </w:r>
    </w:p>
    <w:p w:rsidR="00B652E1" w:rsidRDefault="00B652E1" w:rsidP="00B652E1">
      <w:pPr>
        <w:spacing w:before="80" w:after="24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relatively modest financial support for </w:t>
      </w:r>
      <w:r w:rsidRPr="005F4FAA">
        <w:rPr>
          <w:rFonts w:ascii="Franklin Gothic Book" w:eastAsia="Times New Roman" w:hAnsi="Franklin Gothic Book"/>
          <w:b/>
          <w:szCs w:val="20"/>
          <w:lang w:eastAsia="en-US"/>
        </w:rPr>
        <w:t>mental health and disability</w:t>
      </w:r>
      <w:r>
        <w:rPr>
          <w:rFonts w:ascii="Franklin Gothic Book" w:eastAsia="Times New Roman" w:hAnsi="Franklin Gothic Book"/>
          <w:b/>
          <w:szCs w:val="20"/>
          <w:lang w:eastAsia="en-US"/>
        </w:rPr>
        <w:t xml:space="preserve"> services</w:t>
      </w:r>
      <w:r w:rsidRPr="005F4FAA">
        <w:rPr>
          <w:rFonts w:ascii="Franklin Gothic Book" w:eastAsia="Times New Roman" w:hAnsi="Franklin Gothic Book"/>
          <w:szCs w:val="20"/>
          <w:lang w:eastAsia="en-US"/>
        </w:rPr>
        <w:t xml:space="preserve">  was championed by the Ministry of Health, which  recognized that these areas have been under-funded and even stigmatized in the past, even though they are vital in terms of both health and social inclusion. </w:t>
      </w:r>
    </w:p>
    <w:p w:rsidR="00B652E1" w:rsidRPr="00A40A80" w:rsidRDefault="00B652E1" w:rsidP="00B652E1">
      <w:pPr>
        <w:spacing w:line="276" w:lineRule="auto"/>
        <w:rPr>
          <w:rFonts w:ascii="Franklin Gothic Book" w:hAnsi="Franklin Gothic Book"/>
          <w:szCs w:val="20"/>
        </w:rPr>
      </w:pPr>
      <w:r>
        <w:rPr>
          <w:rFonts w:ascii="Franklin Gothic Book" w:hAnsi="Franklin Gothic Book"/>
          <w:szCs w:val="20"/>
        </w:rPr>
        <w:t xml:space="preserve">Tonga is vulnerable to natural disasters and it is important that there is enough flexibility within THSSP2 to respond to </w:t>
      </w:r>
      <w:r w:rsidRPr="008C735E">
        <w:rPr>
          <w:rFonts w:ascii="Franklin Gothic Book" w:hAnsi="Franklin Gothic Book"/>
          <w:b/>
          <w:szCs w:val="20"/>
        </w:rPr>
        <w:t>emergencies</w:t>
      </w:r>
      <w:r>
        <w:rPr>
          <w:rFonts w:ascii="Franklin Gothic Book" w:hAnsi="Franklin Gothic Book"/>
          <w:szCs w:val="20"/>
        </w:rPr>
        <w:t xml:space="preserve">. During THSSP1 the Flexible Fund was used to respond </w:t>
      </w:r>
      <w:r w:rsidRPr="00A40A80">
        <w:rPr>
          <w:rFonts w:ascii="Franklin Gothic Book" w:hAnsi="Franklin Gothic Book"/>
          <w:szCs w:val="20"/>
        </w:rPr>
        <w:t xml:space="preserve">quickly to the effects of Tropical Cyclone Ian in 2014. </w:t>
      </w:r>
      <w:r w:rsidRPr="00B67EAD">
        <w:rPr>
          <w:rFonts w:ascii="Franklin Gothic Book" w:hAnsi="Franklin Gothic Book"/>
          <w:szCs w:val="20"/>
        </w:rPr>
        <w:t>In exceptional circumstances, an emergency meeting of the NHDC can be called (or at least as many members as are available in the circumstances) and recommendations made about funding for emergency needs. This provides a valuable response mechanism which is flexible and rapid. Assuming that both parties agree that the situation is indeed and “emergency”, funds can be re-directed quickly, with a later decision about whether this will ultimately be paid for through re-prioritisation of the existing THSSP2 budget or through a top-up from DFAT. This is an important part of overall disaster preparedness planning in Tonga.</w:t>
      </w:r>
      <w:r w:rsidRPr="00A40A80">
        <w:rPr>
          <w:rFonts w:ascii="Franklin Gothic Book" w:hAnsi="Franklin Gothic Book"/>
          <w:szCs w:val="20"/>
        </w:rPr>
        <w:t xml:space="preserve">    </w:t>
      </w:r>
    </w:p>
    <w:p w:rsidR="00B652E1" w:rsidRPr="00A40A80" w:rsidRDefault="00B652E1" w:rsidP="00F63C34">
      <w:pPr>
        <w:pStyle w:val="Heading4"/>
      </w:pPr>
      <w:r w:rsidRPr="00A40A80">
        <w:t xml:space="preserve">Targets </w:t>
      </w:r>
    </w:p>
    <w:p w:rsidR="00B652E1" w:rsidRPr="00A40A80" w:rsidRDefault="00B652E1" w:rsidP="00B652E1">
      <w:pPr>
        <w:spacing w:line="276" w:lineRule="auto"/>
        <w:rPr>
          <w:rFonts w:ascii="Franklin Gothic Book" w:hAnsi="Franklin Gothic Book"/>
          <w:szCs w:val="20"/>
        </w:rPr>
      </w:pPr>
    </w:p>
    <w:p w:rsidR="00B652E1" w:rsidRPr="00A40A80" w:rsidRDefault="00B652E1" w:rsidP="00B652E1">
      <w:pPr>
        <w:spacing w:line="276" w:lineRule="auto"/>
        <w:contextualSpacing/>
        <w:rPr>
          <w:rFonts w:ascii="Franklin Gothic Book" w:hAnsi="Franklin Gothic Book"/>
          <w:szCs w:val="20"/>
        </w:rPr>
      </w:pPr>
      <w:r w:rsidRPr="00A40A80">
        <w:rPr>
          <w:rFonts w:ascii="Franklin Gothic Book" w:hAnsi="Franklin Gothic Book"/>
          <w:szCs w:val="20"/>
        </w:rPr>
        <w:t xml:space="preserve">There are five targets (with associated outcome indicators) to be achieved by the end of THSSP2. Two are directly related to NCD risk factors and health status, one is about cost efficiencies and universal coverage: </w:t>
      </w:r>
    </w:p>
    <w:p w:rsidR="00B652E1" w:rsidRPr="00B67EAD" w:rsidRDefault="00B652E1" w:rsidP="00B652E1">
      <w:pPr>
        <w:rPr>
          <w:rFonts w:ascii="Franklin Gothic Book" w:hAnsi="Franklin Gothic Book"/>
          <w:szCs w:val="20"/>
        </w:rPr>
      </w:pPr>
    </w:p>
    <w:p w:rsidR="00B652E1" w:rsidRPr="00B67EAD" w:rsidRDefault="00B652E1" w:rsidP="00B652E1">
      <w:pPr>
        <w:pStyle w:val="ListParagraph"/>
        <w:numPr>
          <w:ilvl w:val="0"/>
          <w:numId w:val="58"/>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Decrease in percentage of population at high risk of developing an NCD, for both males and females. (Risk factors are diet, inactivity, smoking and alcohol abuse.) </w:t>
      </w:r>
    </w:p>
    <w:p w:rsidR="00B652E1" w:rsidRPr="00B67EAD" w:rsidRDefault="00B652E1" w:rsidP="00B652E1">
      <w:pPr>
        <w:pStyle w:val="ListParagraph"/>
        <w:numPr>
          <w:ilvl w:val="0"/>
          <w:numId w:val="0"/>
        </w:numPr>
        <w:spacing w:after="0"/>
        <w:ind w:left="360"/>
        <w:contextualSpacing/>
        <w:rPr>
          <w:rFonts w:ascii="Franklin Gothic Book" w:hAnsi="Franklin Gothic Book"/>
          <w:sz w:val="20"/>
          <w:szCs w:val="20"/>
        </w:rPr>
      </w:pPr>
    </w:p>
    <w:p w:rsidR="00B652E1" w:rsidRPr="00B67EAD" w:rsidRDefault="00B652E1" w:rsidP="00B652E1">
      <w:pPr>
        <w:pStyle w:val="ListParagraph"/>
        <w:numPr>
          <w:ilvl w:val="0"/>
          <w:numId w:val="58"/>
        </w:numPr>
        <w:spacing w:after="0"/>
        <w:contextualSpacing/>
        <w:rPr>
          <w:rFonts w:ascii="Franklin Gothic Book" w:hAnsi="Franklin Gothic Book"/>
          <w:sz w:val="20"/>
          <w:szCs w:val="20"/>
        </w:rPr>
      </w:pPr>
      <w:r w:rsidRPr="00B67EAD">
        <w:rPr>
          <w:rFonts w:ascii="Franklin Gothic Book" w:hAnsi="Franklin Gothic Book"/>
          <w:sz w:val="20"/>
          <w:szCs w:val="20"/>
        </w:rPr>
        <w:t>Downward trend in the rates of premature deaths and preventable disability</w:t>
      </w:r>
      <w:r w:rsidR="00903EBB" w:rsidRPr="00B67EAD">
        <w:rPr>
          <w:rStyle w:val="FootnoteReference"/>
        </w:rPr>
        <w:footnoteReference w:id="3"/>
      </w:r>
      <w:r w:rsidRPr="00B67EAD">
        <w:rPr>
          <w:rFonts w:ascii="Franklin Gothic Book" w:hAnsi="Franklin Gothic Book"/>
          <w:sz w:val="20"/>
          <w:szCs w:val="20"/>
        </w:rPr>
        <w:t xml:space="preserve"> related to NCDs in men and in women. </w:t>
      </w:r>
    </w:p>
    <w:p w:rsidR="00B652E1" w:rsidRPr="00B67EAD" w:rsidRDefault="00B652E1" w:rsidP="00B652E1">
      <w:pPr>
        <w:pStyle w:val="ListParagraph"/>
        <w:numPr>
          <w:ilvl w:val="0"/>
          <w:numId w:val="0"/>
        </w:numPr>
        <w:spacing w:after="0"/>
        <w:ind w:left="360"/>
        <w:contextualSpacing/>
        <w:rPr>
          <w:rFonts w:ascii="Franklin Gothic Book" w:hAnsi="Franklin Gothic Book"/>
          <w:sz w:val="20"/>
          <w:szCs w:val="20"/>
        </w:rPr>
      </w:pPr>
    </w:p>
    <w:p w:rsidR="00B652E1" w:rsidRPr="00B67EAD" w:rsidRDefault="00B652E1" w:rsidP="00B652E1">
      <w:pPr>
        <w:pStyle w:val="ListParagraph"/>
        <w:numPr>
          <w:ilvl w:val="0"/>
          <w:numId w:val="58"/>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NCD management as part of Universal Health Coverage leads to cost savings in hospitals. </w:t>
      </w:r>
    </w:p>
    <w:p w:rsidR="00B652E1" w:rsidRPr="00B67EAD" w:rsidRDefault="00B652E1" w:rsidP="00B652E1">
      <w:pPr>
        <w:rPr>
          <w:szCs w:val="20"/>
        </w:rPr>
      </w:pPr>
    </w:p>
    <w:p w:rsidR="00B652E1" w:rsidRPr="00B67EAD" w:rsidRDefault="00B652E1" w:rsidP="00B652E1">
      <w:pPr>
        <w:pStyle w:val="ListParagraph"/>
        <w:numPr>
          <w:ilvl w:val="0"/>
          <w:numId w:val="58"/>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Strengthened health system management, including planning, financial management, implementation, monitoring, health information, procurement and human resources.  </w:t>
      </w:r>
    </w:p>
    <w:p w:rsidR="00B652E1" w:rsidRPr="00B67EAD" w:rsidRDefault="00B652E1" w:rsidP="00B652E1">
      <w:pPr>
        <w:rPr>
          <w:rFonts w:ascii="Franklin Gothic Book" w:hAnsi="Franklin Gothic Book"/>
          <w:szCs w:val="20"/>
        </w:rPr>
      </w:pPr>
    </w:p>
    <w:p w:rsidR="00B652E1" w:rsidRPr="00B67EAD" w:rsidRDefault="00B652E1" w:rsidP="00B652E1">
      <w:pPr>
        <w:pStyle w:val="ListParagraph"/>
        <w:numPr>
          <w:ilvl w:val="0"/>
          <w:numId w:val="58"/>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Development of GESI as a cross-cutting issue: at least 80% of annual plans from the Ministry of Health and TongaHealth reflect GESI considerations. (The most relevant GESI considerations for THSSP2 are gender, geographic equity, and inclusion of disabled and mentally ill people.) </w:t>
      </w:r>
    </w:p>
    <w:p w:rsidR="00B652E1" w:rsidRPr="005F4FAA" w:rsidRDefault="00B652E1" w:rsidP="00B652E1">
      <w:pPr>
        <w:pStyle w:val="Default"/>
        <w:spacing w:line="276" w:lineRule="auto"/>
        <w:rPr>
          <w:rFonts w:ascii="Franklin Gothic Book" w:hAnsi="Franklin Gothic Book"/>
          <w:bCs/>
          <w:color w:val="auto"/>
          <w:sz w:val="20"/>
          <w:szCs w:val="20"/>
        </w:rPr>
      </w:pPr>
    </w:p>
    <w:p w:rsidR="00B652E1" w:rsidRPr="00C65E0C" w:rsidRDefault="00B652E1" w:rsidP="00B652E1">
      <w:pPr>
        <w:pStyle w:val="Default"/>
        <w:spacing w:line="276" w:lineRule="auto"/>
        <w:rPr>
          <w:rFonts w:ascii="Franklin Gothic Book" w:hAnsi="Franklin Gothic Book"/>
          <w:bCs/>
          <w:color w:val="auto"/>
          <w:sz w:val="20"/>
          <w:szCs w:val="20"/>
        </w:rPr>
      </w:pPr>
      <w:r w:rsidRPr="0012300E">
        <w:rPr>
          <w:rFonts w:ascii="Franklin Gothic Book" w:hAnsi="Franklin Gothic Book"/>
          <w:bCs/>
          <w:color w:val="auto"/>
          <w:sz w:val="20"/>
          <w:szCs w:val="20"/>
        </w:rPr>
        <w:t xml:space="preserve">This </w:t>
      </w:r>
      <w:r>
        <w:rPr>
          <w:rFonts w:ascii="Franklin Gothic Book" w:hAnsi="Franklin Gothic Book"/>
          <w:bCs/>
          <w:color w:val="auto"/>
          <w:sz w:val="20"/>
          <w:szCs w:val="20"/>
        </w:rPr>
        <w:t xml:space="preserve">is </w:t>
      </w:r>
      <w:r w:rsidRPr="0012300E">
        <w:rPr>
          <w:rFonts w:ascii="Franklin Gothic Book" w:hAnsi="Franklin Gothic Book"/>
          <w:bCs/>
          <w:color w:val="auto"/>
          <w:sz w:val="20"/>
          <w:szCs w:val="20"/>
        </w:rPr>
        <w:t>summarised into one over</w:t>
      </w:r>
      <w:r>
        <w:rPr>
          <w:rFonts w:ascii="Franklin Gothic Book" w:hAnsi="Franklin Gothic Book"/>
          <w:bCs/>
          <w:color w:val="auto"/>
          <w:sz w:val="20"/>
          <w:szCs w:val="20"/>
        </w:rPr>
        <w:t>-</w:t>
      </w:r>
      <w:r w:rsidRPr="0012300E">
        <w:rPr>
          <w:rFonts w:ascii="Franklin Gothic Book" w:hAnsi="Franklin Gothic Book"/>
          <w:bCs/>
          <w:color w:val="auto"/>
          <w:sz w:val="20"/>
          <w:szCs w:val="20"/>
        </w:rPr>
        <w:t>arching objective</w:t>
      </w:r>
      <w:r>
        <w:rPr>
          <w:rFonts w:ascii="Franklin Gothic Book" w:hAnsi="Franklin Gothic Book"/>
          <w:bCs/>
          <w:color w:val="auto"/>
          <w:sz w:val="20"/>
          <w:szCs w:val="20"/>
        </w:rPr>
        <w:t xml:space="preserve"> (or vision)</w:t>
      </w:r>
      <w:r w:rsidRPr="0012300E">
        <w:rPr>
          <w:rFonts w:ascii="Franklin Gothic Book" w:hAnsi="Franklin Gothic Book"/>
          <w:bCs/>
          <w:color w:val="auto"/>
          <w:sz w:val="20"/>
          <w:szCs w:val="20"/>
        </w:rPr>
        <w:t xml:space="preserve">: </w:t>
      </w:r>
      <w:r w:rsidRPr="00216A98">
        <w:rPr>
          <w:rFonts w:ascii="Franklin Gothic Book" w:hAnsi="Franklin Gothic Book"/>
          <w:b/>
          <w:sz w:val="20"/>
          <w:szCs w:val="20"/>
        </w:rPr>
        <w:t>a more effective, efficient and equitable health system which reduces the</w:t>
      </w:r>
      <w:r w:rsidR="00E90AA1">
        <w:rPr>
          <w:rFonts w:ascii="Franklin Gothic Book" w:hAnsi="Franklin Gothic Book"/>
          <w:b/>
          <w:sz w:val="20"/>
          <w:szCs w:val="20"/>
        </w:rPr>
        <w:t xml:space="preserve"> health and economic</w:t>
      </w:r>
      <w:r w:rsidRPr="00216A98">
        <w:rPr>
          <w:rFonts w:ascii="Franklin Gothic Book" w:hAnsi="Franklin Gothic Book"/>
          <w:b/>
          <w:sz w:val="20"/>
          <w:szCs w:val="20"/>
        </w:rPr>
        <w:t xml:space="preserve"> burden of non-communicable diseases in Tonga</w:t>
      </w:r>
      <w:r w:rsidRPr="0012300E">
        <w:rPr>
          <w:rFonts w:ascii="Franklin Gothic Book" w:hAnsi="Franklin Gothic Book"/>
          <w:sz w:val="20"/>
          <w:szCs w:val="20"/>
        </w:rPr>
        <w:t>.</w:t>
      </w:r>
      <w:r w:rsidRPr="0012300E">
        <w:rPr>
          <w:rFonts w:ascii="Franklin Gothic Book" w:hAnsi="Franklin Gothic Book"/>
          <w:bCs/>
          <w:i/>
          <w:color w:val="auto"/>
          <w:sz w:val="20"/>
          <w:szCs w:val="20"/>
        </w:rPr>
        <w:t xml:space="preserve"> </w:t>
      </w:r>
    </w:p>
    <w:p w:rsidR="00B652E1" w:rsidRDefault="00B652E1" w:rsidP="00B652E1">
      <w:pPr>
        <w:pStyle w:val="Default"/>
        <w:spacing w:line="276" w:lineRule="auto"/>
        <w:rPr>
          <w:rFonts w:ascii="Franklin Gothic Book" w:hAnsi="Franklin Gothic Book"/>
          <w:bCs/>
          <w:color w:val="auto"/>
          <w:sz w:val="20"/>
          <w:szCs w:val="20"/>
        </w:rPr>
      </w:pPr>
      <w:r>
        <w:rPr>
          <w:rFonts w:ascii="Franklin Gothic Book" w:hAnsi="Franklin Gothic Book"/>
          <w:bCs/>
          <w:color w:val="auto"/>
          <w:sz w:val="20"/>
          <w:szCs w:val="20"/>
        </w:rPr>
        <w:t xml:space="preserve">The beneficiaries of THSSP2 are in a very real sense </w:t>
      </w:r>
      <w:r w:rsidRPr="000878A8">
        <w:rPr>
          <w:rFonts w:ascii="Franklin Gothic Book" w:hAnsi="Franklin Gothic Book"/>
          <w:bCs/>
          <w:i/>
          <w:color w:val="auto"/>
          <w:sz w:val="20"/>
          <w:szCs w:val="20"/>
        </w:rPr>
        <w:t>all</w:t>
      </w:r>
      <w:r>
        <w:rPr>
          <w:rFonts w:ascii="Franklin Gothic Book" w:hAnsi="Franklin Gothic Book"/>
          <w:bCs/>
          <w:color w:val="auto"/>
          <w:sz w:val="20"/>
          <w:szCs w:val="20"/>
        </w:rPr>
        <w:t xml:space="preserve"> Tongans, because all Tongans are at medium to high risk of developing an NCD. The younger generation will benefit most from preventive work; the older generation from the improved management of NCDs. </w:t>
      </w:r>
    </w:p>
    <w:p w:rsidR="00B652E1" w:rsidRPr="000878A8" w:rsidRDefault="00B652E1" w:rsidP="00B652E1">
      <w:pPr>
        <w:pStyle w:val="Default"/>
        <w:spacing w:line="276" w:lineRule="auto"/>
        <w:rPr>
          <w:rFonts w:ascii="Franklin Gothic Book" w:hAnsi="Franklin Gothic Book"/>
          <w:bCs/>
          <w:color w:val="auto"/>
          <w:sz w:val="20"/>
          <w:szCs w:val="20"/>
        </w:rPr>
      </w:pPr>
    </w:p>
    <w:p w:rsidR="00B652E1" w:rsidRPr="005F4FAA" w:rsidRDefault="00B652E1" w:rsidP="00B652E1">
      <w:pPr>
        <w:pStyle w:val="Default"/>
        <w:spacing w:after="240" w:line="276" w:lineRule="auto"/>
        <w:rPr>
          <w:rFonts w:ascii="Franklin Gothic Book" w:hAnsi="Franklin Gothic Book"/>
          <w:sz w:val="20"/>
          <w:szCs w:val="20"/>
        </w:rPr>
      </w:pPr>
      <w:r w:rsidRPr="002E61FB">
        <w:rPr>
          <w:rFonts w:ascii="Franklin Gothic Book" w:hAnsi="Franklin Gothic Book"/>
          <w:sz w:val="20"/>
          <w:szCs w:val="20"/>
        </w:rPr>
        <w:t>The first and second</w:t>
      </w:r>
      <w:r w:rsidRPr="005F4FAA">
        <w:rPr>
          <w:rFonts w:ascii="Franklin Gothic Book" w:hAnsi="Franklin Gothic Book"/>
          <w:sz w:val="20"/>
          <w:szCs w:val="20"/>
        </w:rPr>
        <w:t xml:space="preserve"> </w:t>
      </w:r>
      <w:r>
        <w:rPr>
          <w:rFonts w:ascii="Franklin Gothic Book" w:hAnsi="Franklin Gothic Book"/>
          <w:sz w:val="20"/>
          <w:szCs w:val="20"/>
        </w:rPr>
        <w:t xml:space="preserve">targets </w:t>
      </w:r>
      <w:r w:rsidRPr="005F4FAA">
        <w:rPr>
          <w:rFonts w:ascii="Franklin Gothic Book" w:hAnsi="Franklin Gothic Book"/>
          <w:sz w:val="20"/>
          <w:szCs w:val="20"/>
        </w:rPr>
        <w:t xml:space="preserve">about </w:t>
      </w:r>
      <w:r>
        <w:rPr>
          <w:rFonts w:ascii="Franklin Gothic Book" w:hAnsi="Franklin Gothic Book"/>
          <w:sz w:val="20"/>
          <w:szCs w:val="20"/>
        </w:rPr>
        <w:t xml:space="preserve">NCDs and </w:t>
      </w:r>
      <w:r w:rsidRPr="005F4FAA">
        <w:rPr>
          <w:rFonts w:ascii="Franklin Gothic Book" w:hAnsi="Franklin Gothic Book"/>
          <w:sz w:val="20"/>
          <w:szCs w:val="20"/>
        </w:rPr>
        <w:t xml:space="preserve">mortality </w:t>
      </w:r>
      <w:r>
        <w:rPr>
          <w:rFonts w:ascii="Franklin Gothic Book" w:hAnsi="Franklin Gothic Book"/>
          <w:sz w:val="20"/>
          <w:szCs w:val="20"/>
        </w:rPr>
        <w:t xml:space="preserve">are </w:t>
      </w:r>
      <w:r w:rsidRPr="005F4FAA">
        <w:rPr>
          <w:rFonts w:ascii="Franklin Gothic Book" w:hAnsi="Franklin Gothic Book"/>
          <w:sz w:val="20"/>
          <w:szCs w:val="20"/>
        </w:rPr>
        <w:t xml:space="preserve">linked to the </w:t>
      </w:r>
      <w:r>
        <w:rPr>
          <w:rFonts w:ascii="Franklin Gothic Book" w:hAnsi="Franklin Gothic Book"/>
          <w:sz w:val="20"/>
          <w:szCs w:val="20"/>
        </w:rPr>
        <w:t xml:space="preserve">WHO </w:t>
      </w:r>
      <w:r w:rsidRPr="005F4FAA">
        <w:rPr>
          <w:rFonts w:ascii="Franklin Gothic Book" w:hAnsi="Franklin Gothic Book"/>
          <w:sz w:val="20"/>
          <w:szCs w:val="20"/>
        </w:rPr>
        <w:t xml:space="preserve">Global NCD targets. </w:t>
      </w:r>
    </w:p>
    <w:p w:rsidR="00B652E1" w:rsidRPr="00903049" w:rsidRDefault="00B652E1" w:rsidP="00B652E1">
      <w:pPr>
        <w:spacing w:after="240" w:line="276" w:lineRule="auto"/>
        <w:rPr>
          <w:rFonts w:ascii="Franklin Gothic Book" w:hAnsi="Franklin Gothic Book"/>
          <w:szCs w:val="20"/>
        </w:rPr>
      </w:pPr>
      <w:r w:rsidRPr="00903049">
        <w:rPr>
          <w:rFonts w:ascii="Franklin Gothic Book" w:hAnsi="Franklin Gothic Book"/>
          <w:szCs w:val="20"/>
        </w:rPr>
        <w:t xml:space="preserve">The reason for including the third and fourth targets (cost efficiencies and strengthened systems) is the significant economic and social burden of NCDs. </w:t>
      </w:r>
      <w:r>
        <w:rPr>
          <w:rFonts w:ascii="Franklin Gothic Book" w:hAnsi="Franklin Gothic Book"/>
          <w:szCs w:val="20"/>
        </w:rPr>
        <w:t xml:space="preserve">It is vital that the Government of Tonga controls the escalating costs of NCDs. </w:t>
      </w:r>
      <w:r w:rsidRPr="00903049">
        <w:rPr>
          <w:rFonts w:ascii="Franklin Gothic Book" w:hAnsi="Franklin Gothic Book"/>
          <w:szCs w:val="20"/>
        </w:rPr>
        <w:t>Cost efficiencies will be measured through management of NCDs in primary care</w:t>
      </w:r>
      <w:r>
        <w:rPr>
          <w:rFonts w:ascii="Franklin Gothic Book" w:hAnsi="Franklin Gothic Book"/>
          <w:szCs w:val="20"/>
        </w:rPr>
        <w:t>:</w:t>
      </w:r>
      <w:r w:rsidRPr="00903049">
        <w:rPr>
          <w:rFonts w:ascii="Franklin Gothic Book" w:hAnsi="Franklin Gothic Book"/>
          <w:szCs w:val="20"/>
        </w:rPr>
        <w:t xml:space="preserve"> for example, reductions in </w:t>
      </w:r>
      <w:r>
        <w:rPr>
          <w:rFonts w:ascii="Franklin Gothic Book" w:hAnsi="Franklin Gothic Book"/>
          <w:szCs w:val="20"/>
        </w:rPr>
        <w:t xml:space="preserve">amputations due to </w:t>
      </w:r>
      <w:r w:rsidRPr="00903049">
        <w:rPr>
          <w:rFonts w:ascii="Franklin Gothic Book" w:hAnsi="Franklin Gothic Book"/>
          <w:szCs w:val="20"/>
        </w:rPr>
        <w:t xml:space="preserve">diabetic foot syndrome, reductions in hospital length of stay (due to better diabetic care) and fewer hospital admissions for preventable aspects of NCDs. Universal Health Coverage </w:t>
      </w:r>
      <w:r>
        <w:rPr>
          <w:rFonts w:ascii="Franklin Gothic Book" w:hAnsi="Franklin Gothic Book"/>
          <w:szCs w:val="20"/>
        </w:rPr>
        <w:t xml:space="preserve">will be promoted </w:t>
      </w:r>
      <w:r w:rsidRPr="00903049">
        <w:rPr>
          <w:rFonts w:ascii="Franklin Gothic Book" w:hAnsi="Franklin Gothic Book"/>
          <w:szCs w:val="20"/>
        </w:rPr>
        <w:t xml:space="preserve">through the development of an Essential Health Package for health </w:t>
      </w:r>
      <w:r>
        <w:rPr>
          <w:rFonts w:ascii="Franklin Gothic Book" w:hAnsi="Franklin Gothic Book"/>
          <w:szCs w:val="20"/>
        </w:rPr>
        <w:t xml:space="preserve">facilities </w:t>
      </w:r>
      <w:r w:rsidRPr="00903049">
        <w:rPr>
          <w:rFonts w:ascii="Franklin Gothic Book" w:hAnsi="Franklin Gothic Book"/>
          <w:szCs w:val="20"/>
        </w:rPr>
        <w:t xml:space="preserve">across Tonga. </w:t>
      </w:r>
      <w:r>
        <w:rPr>
          <w:rFonts w:ascii="Franklin Gothic Book" w:hAnsi="Franklin Gothic Book"/>
          <w:szCs w:val="20"/>
        </w:rPr>
        <w:t>E</w:t>
      </w:r>
      <w:r w:rsidRPr="00903049">
        <w:rPr>
          <w:rFonts w:ascii="Franklin Gothic Book" w:hAnsi="Franklin Gothic Book"/>
          <w:szCs w:val="20"/>
        </w:rPr>
        <w:t xml:space="preserve">ndorsement of the Health Centre Operational Manual </w:t>
      </w:r>
      <w:r>
        <w:rPr>
          <w:rFonts w:ascii="Franklin Gothic Book" w:hAnsi="Franklin Gothic Book"/>
          <w:szCs w:val="20"/>
        </w:rPr>
        <w:t xml:space="preserve">(currently in draft form and being reviewed) </w:t>
      </w:r>
      <w:r w:rsidRPr="00903049">
        <w:rPr>
          <w:rFonts w:ascii="Franklin Gothic Book" w:hAnsi="Franklin Gothic Book"/>
          <w:szCs w:val="20"/>
        </w:rPr>
        <w:t xml:space="preserve">will also </w:t>
      </w:r>
      <w:r>
        <w:rPr>
          <w:rFonts w:ascii="Franklin Gothic Book" w:hAnsi="Franklin Gothic Book"/>
          <w:szCs w:val="20"/>
        </w:rPr>
        <w:t xml:space="preserve">contribute </w:t>
      </w:r>
      <w:r w:rsidRPr="00903049">
        <w:rPr>
          <w:rFonts w:ascii="Franklin Gothic Book" w:hAnsi="Franklin Gothic Book"/>
          <w:szCs w:val="20"/>
        </w:rPr>
        <w:t>to equitable health service</w:t>
      </w:r>
      <w:r>
        <w:rPr>
          <w:rFonts w:ascii="Franklin Gothic Book" w:hAnsi="Franklin Gothic Book"/>
          <w:szCs w:val="20"/>
        </w:rPr>
        <w:t>s</w:t>
      </w:r>
      <w:r w:rsidRPr="00903049">
        <w:rPr>
          <w:rFonts w:ascii="Franklin Gothic Book" w:hAnsi="Franklin Gothic Book"/>
          <w:szCs w:val="20"/>
        </w:rPr>
        <w:t>.</w:t>
      </w:r>
    </w:p>
    <w:p w:rsidR="00B652E1" w:rsidRDefault="00B652E1" w:rsidP="00B652E1">
      <w:pPr>
        <w:spacing w:after="240" w:line="276" w:lineRule="auto"/>
        <w:rPr>
          <w:rFonts w:ascii="Franklin Gothic Book" w:hAnsi="Franklin Gothic Book"/>
          <w:szCs w:val="20"/>
        </w:rPr>
      </w:pPr>
      <w:r w:rsidRPr="005F4FAA">
        <w:rPr>
          <w:rFonts w:ascii="Franklin Gothic Book" w:hAnsi="Franklin Gothic Book"/>
          <w:szCs w:val="20"/>
        </w:rPr>
        <w:t xml:space="preserve">Strengthened health systems will be measured through progress in the areas of planning, </w:t>
      </w:r>
      <w:r>
        <w:rPr>
          <w:rFonts w:ascii="Franklin Gothic Book" w:hAnsi="Franklin Gothic Book"/>
          <w:szCs w:val="20"/>
        </w:rPr>
        <w:t xml:space="preserve">implementation, monitoring, </w:t>
      </w:r>
      <w:r w:rsidRPr="005F4FAA">
        <w:rPr>
          <w:rFonts w:ascii="Franklin Gothic Book" w:hAnsi="Franklin Gothic Book"/>
          <w:szCs w:val="20"/>
        </w:rPr>
        <w:t xml:space="preserve">and </w:t>
      </w:r>
      <w:r>
        <w:rPr>
          <w:rFonts w:ascii="Franklin Gothic Book" w:hAnsi="Franklin Gothic Book"/>
          <w:szCs w:val="20"/>
        </w:rPr>
        <w:t xml:space="preserve">human resources, with particular interest in </w:t>
      </w:r>
      <w:r w:rsidRPr="005F4FAA">
        <w:rPr>
          <w:rFonts w:ascii="Franklin Gothic Book" w:hAnsi="Franklin Gothic Book"/>
          <w:szCs w:val="20"/>
        </w:rPr>
        <w:t xml:space="preserve">the area of public financial management and specifically in procurement. </w:t>
      </w:r>
      <w:r>
        <w:rPr>
          <w:rFonts w:ascii="Franklin Gothic Book" w:hAnsi="Franklin Gothic Book"/>
          <w:szCs w:val="20"/>
        </w:rPr>
        <w:t>(</w:t>
      </w:r>
      <w:r w:rsidRPr="005F4FAA">
        <w:rPr>
          <w:rFonts w:ascii="Franklin Gothic Book" w:hAnsi="Franklin Gothic Book"/>
          <w:szCs w:val="20"/>
        </w:rPr>
        <w:t xml:space="preserve">In March 2015, Vaiola hospital experienced a 3-6 </w:t>
      </w:r>
      <w:r w:rsidRPr="005920FC">
        <w:rPr>
          <w:rFonts w:ascii="Franklin Gothic Book" w:hAnsi="Franklin Gothic Book"/>
          <w:szCs w:val="20"/>
        </w:rPr>
        <w:t>month stock-out due to improper planning leading to procurement delays.) Strengthening the processes around planning and budgeting should contribute to better and faster procurement.</w:t>
      </w:r>
      <w:r>
        <w:rPr>
          <w:rFonts w:ascii="Franklin Gothic Book" w:hAnsi="Franklin Gothic Book"/>
          <w:szCs w:val="20"/>
        </w:rPr>
        <w:t xml:space="preserve"> </w:t>
      </w:r>
    </w:p>
    <w:p w:rsidR="00B652E1"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 xml:space="preserve">The final outcome indicator reflects the importance of including gender, equity and social inclusion (including mental health and disability) as cross cutting issues around MOH and TongaHealth activities. </w:t>
      </w:r>
    </w:p>
    <w:p w:rsidR="00B652E1" w:rsidRPr="00B67EAD" w:rsidRDefault="00B652E1" w:rsidP="00B652E1">
      <w:pPr>
        <w:spacing w:before="80" w:line="276" w:lineRule="auto"/>
        <w:rPr>
          <w:rFonts w:ascii="Franklin Gothic Book" w:eastAsia="Times New Roman" w:hAnsi="Franklin Gothic Book"/>
          <w:szCs w:val="20"/>
          <w:lang w:eastAsia="en-US"/>
        </w:rPr>
      </w:pPr>
      <w:r w:rsidRPr="00B67EAD">
        <w:rPr>
          <w:rFonts w:ascii="Franklin Gothic Book" w:eastAsia="Times New Roman" w:hAnsi="Franklin Gothic Book"/>
          <w:szCs w:val="20"/>
          <w:lang w:eastAsia="en-US"/>
        </w:rPr>
        <w:t xml:space="preserve">It is important to stress that responsibility for achieving the THSSP2 targets is shared amongst the Ministry of Health, TongaHealth, DFAT and (to a lesser extent) many other stakeholders in Tonga. THSSP2 works through the Ministry of Health’s systems and relies on activities delivered by MoH staff. This is not a separate and discrete project which can achieve all its targets acting in isolation: the model of shared responsibility is integral to the design of THSSP2 because we know that separate projects about NCD will not be sustainable. </w:t>
      </w:r>
    </w:p>
    <w:p w:rsidR="00B652E1" w:rsidRPr="00B67EAD" w:rsidRDefault="00B652E1" w:rsidP="00B652E1">
      <w:pPr>
        <w:spacing w:before="80" w:line="276" w:lineRule="auto"/>
        <w:rPr>
          <w:rFonts w:ascii="Franklin Gothic Book" w:eastAsia="Times New Roman" w:hAnsi="Franklin Gothic Book"/>
          <w:szCs w:val="20"/>
          <w:lang w:eastAsia="en-US"/>
        </w:rPr>
      </w:pPr>
    </w:p>
    <w:p w:rsidR="00B652E1" w:rsidRPr="00A40A80" w:rsidRDefault="00B652E1" w:rsidP="00B652E1">
      <w:pPr>
        <w:spacing w:after="200" w:line="276" w:lineRule="auto"/>
        <w:rPr>
          <w:rFonts w:ascii="Franklin Gothic Book" w:hAnsi="Franklin Gothic Book"/>
          <w:szCs w:val="20"/>
        </w:rPr>
      </w:pPr>
      <w:r w:rsidRPr="00B67EAD">
        <w:rPr>
          <w:rFonts w:ascii="Franklin Gothic Book" w:eastAsia="Times New Roman" w:hAnsi="Franklin Gothic Book"/>
          <w:szCs w:val="20"/>
          <w:lang w:eastAsia="en-US"/>
        </w:rPr>
        <w:t xml:space="preserve">Another important point about the targets is to appreciate how ambitious it is for a five-year Program to aim for a </w:t>
      </w:r>
      <w:r w:rsidRPr="00B67EAD">
        <w:rPr>
          <w:rFonts w:ascii="Franklin Gothic Book" w:hAnsi="Franklin Gothic Book"/>
          <w:szCs w:val="20"/>
        </w:rPr>
        <w:t>downward trend in the rates of premature deaths and preventable disability and for a decrease in the percentage of population at high risk of developing an NCD. (Risk factors are diet, inactivity, smoking and alcohol abuse.) It is ambitious because the current population of Tongans is already a “time-bomb” in terms of having extremely high chances of developing NCDs. The really significant drops in NCD rates will not be possible until a generation of Tongans has adopted healthier lifestyles. The priorities at the moment are to make sure that this generational shift happens, and that the health sector is able to manage the inevitable NCD burden as cost-effectively as possible.</w:t>
      </w:r>
    </w:p>
    <w:p w:rsidR="00B652E1" w:rsidRPr="00B67EAD" w:rsidRDefault="00B652E1" w:rsidP="00B652E1">
      <w:pPr>
        <w:pStyle w:val="Default"/>
        <w:spacing w:line="276" w:lineRule="auto"/>
        <w:rPr>
          <w:rFonts w:ascii="Franklin Gothic Book" w:hAnsi="Franklin Gothic Book"/>
          <w:b/>
          <w:bCs/>
          <w:color w:val="auto"/>
          <w:sz w:val="20"/>
          <w:szCs w:val="20"/>
        </w:rPr>
      </w:pPr>
      <w:r w:rsidRPr="00B67EAD">
        <w:rPr>
          <w:rFonts w:ascii="Franklin Gothic Book" w:hAnsi="Franklin Gothic Book"/>
          <w:bCs/>
          <w:color w:val="auto"/>
          <w:sz w:val="20"/>
          <w:szCs w:val="20"/>
        </w:rPr>
        <w:t xml:space="preserve">The target related to reduced premature death is deliberately ambitious. If nothing is done, NCD rates will soar; even reversing this upward-spiralling trend will be an achievement. It is vital that Tonga develops the decision-making processes and systems to tackle NCDs effectively. Without this, Tonga’s overall development will be hampered by lost economic productivity through early deaths and chronic illness, and by escalating health care costs. Working through the hierarchy of outcomes described in Annex 12 entails focusing on doing the right kinds of things to reduce NCDs – for example prevented hospitalisations show that the systems are in place to manage NCDs more efficiently (thus avoiding public spending on these hospital stays). The targets are ambitious because Tonga needs to be ambitious in this area. However it is important that any evaluations of THSSP2 focus on whether the right things – and enough of the right things – are being done to tackle the NCD crisis. It is always a possibility that prevention and treatment activities are carried out extremely well, but that the damage already done to the health of middle-aged Tongans  (in terms of unhealthy lifestyles) means that five years is too short to impact on rates of premature death. </w:t>
      </w:r>
    </w:p>
    <w:p w:rsidR="00B652E1" w:rsidRPr="00A40A80" w:rsidRDefault="00B652E1" w:rsidP="00F63C34">
      <w:pPr>
        <w:pStyle w:val="Heading4"/>
      </w:pPr>
      <w:r w:rsidRPr="00A40A80">
        <w:t>Delivery approach</w:t>
      </w:r>
    </w:p>
    <w:p w:rsidR="00B652E1" w:rsidRPr="005F4FAA" w:rsidRDefault="00B652E1" w:rsidP="00B652E1">
      <w:pPr>
        <w:spacing w:after="200" w:line="276" w:lineRule="auto"/>
        <w:rPr>
          <w:rFonts w:ascii="Franklin Gothic Book" w:hAnsi="Franklin Gothic Book"/>
          <w:szCs w:val="20"/>
        </w:rPr>
      </w:pPr>
      <w:r>
        <w:rPr>
          <w:rFonts w:ascii="Franklin Gothic Book" w:hAnsi="Franklin Gothic Book"/>
          <w:szCs w:val="20"/>
        </w:rPr>
        <w:t xml:space="preserve">The delivery approach is </w:t>
      </w:r>
      <w:r w:rsidRPr="005F4FAA">
        <w:rPr>
          <w:rFonts w:ascii="Franklin Gothic Book" w:hAnsi="Franklin Gothic Book"/>
          <w:szCs w:val="20"/>
        </w:rPr>
        <w:t xml:space="preserve">a </w:t>
      </w:r>
      <w:r w:rsidRPr="00314D9F">
        <w:rPr>
          <w:rFonts w:ascii="Franklin Gothic Book" w:hAnsi="Franklin Gothic Book"/>
          <w:b/>
          <w:szCs w:val="20"/>
        </w:rPr>
        <w:t>financing agreement based on high-quality annual plans</w:t>
      </w:r>
      <w:r w:rsidRPr="005F4FAA">
        <w:rPr>
          <w:rFonts w:ascii="Franklin Gothic Book" w:hAnsi="Franklin Gothic Book"/>
          <w:szCs w:val="20"/>
        </w:rPr>
        <w:t xml:space="preserve">. The activities to be funded by THSSP2 will be described in the annual work-plans of the Ministry of Health and TongaHealth. (TongaHealth is a Foundation which serves as a funding and co-ordinating mechanism to pass on and manage grants to other organizations doing work in relation to NCDs.) Examples of the types of activity which might be funded are: </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Non-Communicable Diseases</w:t>
      </w:r>
    </w:p>
    <w:p w:rsidR="00B652E1" w:rsidRPr="00707181" w:rsidRDefault="00B652E1" w:rsidP="00B652E1">
      <w:pPr>
        <w:pStyle w:val="ListParagraph"/>
        <w:numPr>
          <w:ilvl w:val="0"/>
          <w:numId w:val="30"/>
        </w:numPr>
        <w:spacing w:after="0" w:line="276" w:lineRule="auto"/>
        <w:contextualSpacing/>
        <w:rPr>
          <w:rFonts w:ascii="Franklin Gothic Book" w:hAnsi="Franklin Gothic Book"/>
          <w:b/>
          <w:sz w:val="20"/>
          <w:szCs w:val="20"/>
        </w:rPr>
      </w:pPr>
      <w:r w:rsidRPr="005F4FAA">
        <w:rPr>
          <w:rFonts w:ascii="Franklin Gothic Book" w:hAnsi="Franklin Gothic Book"/>
          <w:sz w:val="20"/>
          <w:szCs w:val="20"/>
        </w:rPr>
        <w:t>Mass (gender-targeted) campaigns related to smoking, exercise and diet.</w:t>
      </w:r>
    </w:p>
    <w:p w:rsidR="00B652E1" w:rsidRPr="005F4FAA" w:rsidRDefault="00B652E1" w:rsidP="00B652E1">
      <w:pPr>
        <w:pStyle w:val="ListParagraph"/>
        <w:numPr>
          <w:ilvl w:val="0"/>
          <w:numId w:val="30"/>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Annual audit of the quality of care for NCDs in all government health facilities. </w:t>
      </w:r>
    </w:p>
    <w:p w:rsidR="00B652E1" w:rsidRPr="005F4FAA" w:rsidRDefault="00B652E1" w:rsidP="00B652E1">
      <w:pPr>
        <w:pStyle w:val="ListParagraph"/>
        <w:numPr>
          <w:ilvl w:val="0"/>
          <w:numId w:val="30"/>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Improved services for diabetics in remote parts of Tonga. </w:t>
      </w:r>
    </w:p>
    <w:p w:rsidR="00B652E1" w:rsidRPr="005F4FAA" w:rsidRDefault="00B652E1" w:rsidP="00B652E1">
      <w:pPr>
        <w:spacing w:line="276" w:lineRule="auto"/>
        <w:rPr>
          <w:rFonts w:ascii="Franklin Gothic Book" w:hAnsi="Franklin Gothic Book"/>
          <w:b/>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Health Systems Strengthening</w:t>
      </w:r>
    </w:p>
    <w:p w:rsidR="00B652E1" w:rsidRPr="005F4FAA"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Describe what </w:t>
      </w:r>
      <w:r>
        <w:rPr>
          <w:rFonts w:ascii="Franklin Gothic Book" w:hAnsi="Franklin Gothic Book"/>
          <w:sz w:val="20"/>
          <w:szCs w:val="20"/>
        </w:rPr>
        <w:t>universal health coverage</w:t>
      </w:r>
      <w:r w:rsidRPr="005F4FAA">
        <w:rPr>
          <w:rFonts w:ascii="Franklin Gothic Book" w:hAnsi="Franklin Gothic Book"/>
          <w:sz w:val="20"/>
          <w:szCs w:val="20"/>
        </w:rPr>
        <w:t xml:space="preserve"> means for all people (men, women, boys and girls) living on Tonga’s smallest islands and begin to develop the appropriate services. </w:t>
      </w:r>
    </w:p>
    <w:p w:rsidR="00B652E1" w:rsidRPr="005F4FAA"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Operationalise the Human Resource Strategy: this could involve </w:t>
      </w:r>
      <w:r>
        <w:rPr>
          <w:rFonts w:ascii="Franklin Gothic Book" w:hAnsi="Franklin Gothic Book"/>
          <w:sz w:val="20"/>
          <w:szCs w:val="20"/>
        </w:rPr>
        <w:t xml:space="preserve">activities such as </w:t>
      </w:r>
      <w:r w:rsidRPr="005F4FAA">
        <w:rPr>
          <w:rFonts w:ascii="Franklin Gothic Book" w:hAnsi="Franklin Gothic Book"/>
          <w:sz w:val="20"/>
          <w:szCs w:val="20"/>
        </w:rPr>
        <w:t xml:space="preserve">strengthening hospital roster arrangements with a view to reducing </w:t>
      </w:r>
      <w:r>
        <w:rPr>
          <w:rFonts w:ascii="Franklin Gothic Book" w:hAnsi="Franklin Gothic Book"/>
          <w:sz w:val="20"/>
          <w:szCs w:val="20"/>
        </w:rPr>
        <w:t xml:space="preserve">overtime </w:t>
      </w:r>
      <w:r w:rsidRPr="005F4FAA">
        <w:rPr>
          <w:rFonts w:ascii="Franklin Gothic Book" w:hAnsi="Franklin Gothic Book"/>
          <w:sz w:val="20"/>
          <w:szCs w:val="20"/>
        </w:rPr>
        <w:t>costs and increasing output</w:t>
      </w:r>
      <w:r w:rsidRPr="00086865">
        <w:rPr>
          <w:rFonts w:ascii="Franklin Gothic Book" w:hAnsi="Franklin Gothic Book"/>
          <w:sz w:val="20"/>
          <w:szCs w:val="20"/>
        </w:rPr>
        <w:t xml:space="preserve">s, </w:t>
      </w:r>
      <w:r w:rsidRPr="009C044C">
        <w:rPr>
          <w:rFonts w:ascii="Franklin Gothic Book" w:hAnsi="Franklin Gothic Book"/>
          <w:sz w:val="20"/>
          <w:szCs w:val="20"/>
        </w:rPr>
        <w:t>or improving opportunities for women in leadership positions.</w:t>
      </w:r>
    </w:p>
    <w:p w:rsidR="00B652E1" w:rsidRPr="005F4FAA"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Develop the primary health care information system so that basic data on out-patient utilisation is collated regularly.</w:t>
      </w:r>
    </w:p>
    <w:p w:rsidR="00B652E1"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Ensure that arrangements for procuring and distributing crucial supplies related to laboratories and pharmaceuticals are as robust as possible, so that (for example) there are not harmful stock-outs </w:t>
      </w:r>
      <w:r>
        <w:rPr>
          <w:rFonts w:ascii="Franklin Gothic Book" w:hAnsi="Franklin Gothic Book"/>
          <w:sz w:val="20"/>
          <w:szCs w:val="20"/>
        </w:rPr>
        <w:t>leading to emergency procurement at significantly higher prices.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Mental health and disability</w:t>
      </w:r>
      <w:r>
        <w:rPr>
          <w:rFonts w:ascii="Franklin Gothic Book" w:hAnsi="Franklin Gothic Book"/>
          <w:b/>
          <w:i/>
          <w:szCs w:val="20"/>
        </w:rPr>
        <w:t xml:space="preserve"> services</w:t>
      </w:r>
    </w:p>
    <w:p w:rsidR="00B652E1" w:rsidRPr="005F4FAA" w:rsidRDefault="00B652E1" w:rsidP="00B652E1">
      <w:pPr>
        <w:pStyle w:val="ListParagraph"/>
        <w:numPr>
          <w:ilvl w:val="0"/>
          <w:numId w:val="32"/>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Ensure that mental health and disability are included in an appropriate way in the curricula of health workers trained in Tonga.</w:t>
      </w:r>
    </w:p>
    <w:p w:rsidR="00B652E1" w:rsidRPr="008C256D" w:rsidRDefault="00B652E1" w:rsidP="00B652E1">
      <w:pPr>
        <w:pStyle w:val="ListParagraph"/>
        <w:numPr>
          <w:ilvl w:val="0"/>
          <w:numId w:val="32"/>
        </w:numPr>
        <w:spacing w:after="0" w:line="276" w:lineRule="auto"/>
        <w:contextualSpacing/>
        <w:rPr>
          <w:rFonts w:ascii="Franklin Gothic Book" w:hAnsi="Franklin Gothic Book"/>
          <w:szCs w:val="20"/>
        </w:rPr>
      </w:pPr>
      <w:r w:rsidRPr="005F4FAA">
        <w:rPr>
          <w:rFonts w:ascii="Franklin Gothic Book" w:hAnsi="Franklin Gothic Book"/>
          <w:sz w:val="20"/>
          <w:szCs w:val="20"/>
        </w:rPr>
        <w:t xml:space="preserve">Develop a national strategic plan for the gradual expansion of disability-inclusive health, rehabilitation and mental health services in Tonga. </w:t>
      </w:r>
    </w:p>
    <w:p w:rsidR="00B652E1" w:rsidRPr="008C256D" w:rsidRDefault="00B652E1" w:rsidP="00B652E1">
      <w:pPr>
        <w:pStyle w:val="ListParagraph"/>
        <w:numPr>
          <w:ilvl w:val="0"/>
          <w:numId w:val="32"/>
        </w:numPr>
        <w:spacing w:after="0" w:line="276" w:lineRule="auto"/>
        <w:contextualSpacing/>
        <w:rPr>
          <w:rFonts w:ascii="Franklin Gothic Book" w:hAnsi="Franklin Gothic Book"/>
          <w:szCs w:val="20"/>
        </w:rPr>
      </w:pPr>
      <w:r w:rsidRPr="008C256D">
        <w:rPr>
          <w:rFonts w:ascii="Franklin Gothic Book" w:hAnsi="Franklin Gothic Book"/>
          <w:sz w:val="20"/>
          <w:szCs w:val="20"/>
        </w:rPr>
        <w:t>Expand support for mental health at the community level.</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THSSP will be organised around the funding of the </w:t>
      </w:r>
      <w:r w:rsidRPr="005F4FAA">
        <w:rPr>
          <w:rFonts w:ascii="Franklin Gothic Book" w:hAnsi="Franklin Gothic Book"/>
          <w:b/>
          <w:szCs w:val="20"/>
        </w:rPr>
        <w:t>annual work-plans</w:t>
      </w:r>
      <w:r w:rsidRPr="005F4FAA">
        <w:rPr>
          <w:rFonts w:ascii="Franklin Gothic Book" w:hAnsi="Franklin Gothic Book"/>
          <w:szCs w:val="20"/>
        </w:rPr>
        <w:t xml:space="preserve"> of the Ministry of Health and TongaHealth.</w:t>
      </w:r>
      <w:r>
        <w:rPr>
          <w:rStyle w:val="FootnoteReference"/>
        </w:rPr>
        <w:footnoteReference w:id="4"/>
      </w:r>
      <w:r w:rsidRPr="005F4FAA">
        <w:rPr>
          <w:rFonts w:ascii="Franklin Gothic Book" w:hAnsi="Franklin Gothic Book"/>
          <w:szCs w:val="20"/>
        </w:rPr>
        <w:t xml:space="preserve"> This combines a government-led approach with support for systems strengthening</w:t>
      </w:r>
      <w:r>
        <w:rPr>
          <w:rFonts w:ascii="Franklin Gothic Book" w:hAnsi="Franklin Gothic Book"/>
          <w:szCs w:val="20"/>
        </w:rPr>
        <w:t>,</w:t>
      </w:r>
      <w:r w:rsidRPr="005F4FAA">
        <w:rPr>
          <w:rFonts w:ascii="Franklin Gothic Book" w:hAnsi="Franklin Gothic Book"/>
          <w:szCs w:val="20"/>
        </w:rPr>
        <w:t xml:space="preserve"> with involvement from DFAT in agreeing areas for funding and in monitoring achievements. A key aim of THSSP2 is to strengthen systems of planning, budgeting, financial management and reporting so that there is strong local capacity to sustain the response to the NCD crisis.  </w:t>
      </w:r>
    </w:p>
    <w:p w:rsidR="00B652E1" w:rsidRPr="005F4FAA" w:rsidRDefault="00B652E1" w:rsidP="00B652E1">
      <w:pPr>
        <w:spacing w:line="276" w:lineRule="auto"/>
        <w:rPr>
          <w:rFonts w:ascii="Franklin Gothic Book" w:hAnsi="Franklin Gothic Book"/>
          <w:szCs w:val="20"/>
        </w:rPr>
      </w:pPr>
    </w:p>
    <w:p w:rsidR="00B652E1" w:rsidRPr="00A40A80" w:rsidRDefault="00B652E1" w:rsidP="00B652E1">
      <w:pPr>
        <w:spacing w:line="276" w:lineRule="auto"/>
        <w:rPr>
          <w:rFonts w:ascii="Franklin Gothic Book" w:hAnsi="Franklin Gothic Book"/>
          <w:szCs w:val="20"/>
        </w:rPr>
      </w:pPr>
      <w:r w:rsidRPr="00B67EAD">
        <w:rPr>
          <w:rFonts w:ascii="Franklin Gothic Book" w:hAnsi="Franklin Gothic Book"/>
          <w:szCs w:val="20"/>
        </w:rPr>
        <w:t>There will a Direct Funding Agreement (DFA) involving the Ministry of Finance and National Planning (MoFNP) and a grant agreement with TongaHealth: these will describe the modalities and payment schedules for THSSP2 as relevant to the Ministry of Health and TongaHealth. The DFA will be between DFAT and the MOFNP and the Ministry of Health as co-signatories on behalf of the Government of Tonga. (See Annex 9 for a draft DFA.) A separate grant agreement will be signed with TongaHealth. The separate agreements are to allow for flexibility and to mitigate the risk of funding delays to TongaHealth due to under-utilisation by the Ministry of Health or vice versa. Although the administered funds will be regulated through separate agreements, funding to the health sector will be considered as a whole over the five years of the program.</w:t>
      </w:r>
      <w:r w:rsidRPr="00A40A80">
        <w:rPr>
          <w:rFonts w:ascii="Franklin Gothic Book" w:hAnsi="Franklin Gothic Book"/>
          <w:szCs w:val="20"/>
        </w:rPr>
        <w:t xml:space="preserve">       </w:t>
      </w:r>
    </w:p>
    <w:p w:rsidR="00B652E1" w:rsidRPr="00A40A80" w:rsidRDefault="00B652E1" w:rsidP="00B652E1">
      <w:pPr>
        <w:spacing w:before="80" w:line="276" w:lineRule="auto"/>
        <w:rPr>
          <w:rFonts w:ascii="Franklin Gothic Book" w:hAnsi="Franklin Gothic Book"/>
        </w:rPr>
      </w:pPr>
      <w:r w:rsidRPr="00A40A80">
        <w:rPr>
          <w:rFonts w:ascii="Franklin Gothic Book" w:eastAsia="Times New Roman" w:hAnsi="Franklin Gothic Book"/>
          <w:szCs w:val="20"/>
          <w:lang w:eastAsia="en-US"/>
        </w:rPr>
        <w:t>Financial management and procurement will follow Government of Tonga legislation and regulations, and TongaHealth’s Administration Procedures Manual. Money will flow through to TongaHealth and through the Ministry of Finance and National Planning to the Ministry of Health.</w:t>
      </w:r>
      <w:r w:rsidRPr="00A40A80">
        <w:rPr>
          <w:rFonts w:ascii="Franklin Gothic Book" w:hAnsi="Franklin Gothic Book"/>
          <w:i/>
          <w:szCs w:val="20"/>
          <w:lang w:eastAsia="en-US"/>
        </w:rPr>
        <w:t xml:space="preserve"> </w:t>
      </w:r>
    </w:p>
    <w:p w:rsidR="00B652E1" w:rsidRPr="00A40A80" w:rsidRDefault="00B652E1" w:rsidP="00B652E1">
      <w:pPr>
        <w:spacing w:line="276" w:lineRule="auto"/>
        <w:rPr>
          <w:rFonts w:ascii="Franklin Gothic Book" w:hAnsi="Franklin Gothic Book"/>
          <w:szCs w:val="20"/>
        </w:rPr>
      </w:pPr>
    </w:p>
    <w:p w:rsidR="00B652E1" w:rsidRPr="0095402A" w:rsidRDefault="00B652E1" w:rsidP="00B652E1">
      <w:pPr>
        <w:spacing w:before="80" w:line="276" w:lineRule="auto"/>
        <w:rPr>
          <w:rFonts w:ascii="Franklin Gothic Book" w:eastAsia="Times New Roman" w:hAnsi="Franklin Gothic Book"/>
          <w:szCs w:val="20"/>
        </w:rPr>
      </w:pPr>
      <w:r w:rsidRPr="00A40A80">
        <w:rPr>
          <w:rFonts w:ascii="Franklin Gothic Book" w:hAnsi="Franklin Gothic Book"/>
          <w:szCs w:val="20"/>
        </w:rPr>
        <w:t xml:space="preserve">The National Health Development Committee (the highest governance structure in the Ministry of Health) and the TongaHealth Board are the crucial </w:t>
      </w:r>
      <w:r w:rsidRPr="00A40A80">
        <w:rPr>
          <w:rFonts w:ascii="Franklin Gothic Book" w:hAnsi="Franklin Gothic Book"/>
          <w:b/>
          <w:szCs w:val="20"/>
        </w:rPr>
        <w:t>governance structures</w:t>
      </w:r>
      <w:r w:rsidRPr="00A40A80">
        <w:rPr>
          <w:rFonts w:ascii="Franklin Gothic Book" w:hAnsi="Franklin Gothic Book"/>
          <w:szCs w:val="20"/>
        </w:rPr>
        <w:t xml:space="preserve"> for THSSP2. These</w:t>
      </w:r>
      <w:r w:rsidRPr="005F4FAA">
        <w:rPr>
          <w:rFonts w:ascii="Franklin Gothic Book" w:hAnsi="Franklin Gothic Book"/>
          <w:szCs w:val="20"/>
        </w:rPr>
        <w:t xml:space="preserve"> two bodies will approve work-plans (and will actively use the quarterly monitoring reports as management tools to improve implementation. </w:t>
      </w:r>
      <w:r>
        <w:rPr>
          <w:rFonts w:ascii="Franklin Gothic Book" w:hAnsi="Franklin Gothic Book"/>
          <w:szCs w:val="20"/>
        </w:rPr>
        <w:t xml:space="preserve">DFAT will be closely involved in the dialog around what is included in these work-plans. There will be a final stage of formal approval by DFAT of work-plans which are to receive DFAT funding.  </w:t>
      </w:r>
    </w:p>
    <w:p w:rsidR="00B652E1" w:rsidRDefault="00B652E1" w:rsidP="00B652E1">
      <w:pPr>
        <w:spacing w:line="276" w:lineRule="auto"/>
        <w:rPr>
          <w:rFonts w:ascii="Franklin Gothic Book" w:hAnsi="Franklin Gothic Book"/>
          <w:i/>
          <w:szCs w:val="20"/>
        </w:rPr>
      </w:pPr>
    </w:p>
    <w:p w:rsidR="00B652E1" w:rsidRPr="00DF213A" w:rsidRDefault="00B652E1" w:rsidP="00B652E1">
      <w:pPr>
        <w:spacing w:line="276" w:lineRule="auto"/>
        <w:rPr>
          <w:rFonts w:ascii="Franklin Gothic Book" w:hAnsi="Franklin Gothic Book"/>
          <w:szCs w:val="20"/>
        </w:rPr>
      </w:pPr>
      <w:r>
        <w:rPr>
          <w:rFonts w:ascii="Franklin Gothic Book" w:hAnsi="Franklin Gothic Book"/>
          <w:szCs w:val="20"/>
        </w:rPr>
        <w:t xml:space="preserve">A risk register has been competed for THSSP2. </w:t>
      </w:r>
    </w:p>
    <w:p w:rsidR="00B652E1" w:rsidRDefault="00B652E1" w:rsidP="00B652E1">
      <w:pPr>
        <w:spacing w:line="276" w:lineRule="auto"/>
        <w:rPr>
          <w:rFonts w:ascii="Franklin Gothic Book" w:hAnsi="Franklin Gothic Book"/>
          <w:i/>
          <w:szCs w:val="20"/>
        </w:rPr>
      </w:pPr>
    </w:p>
    <w:p w:rsidR="00B652E1" w:rsidRDefault="00B652E1" w:rsidP="00B652E1">
      <w:pPr>
        <w:spacing w:line="276" w:lineRule="auto"/>
        <w:rPr>
          <w:rFonts w:ascii="Franklin Gothic Book" w:hAnsi="Franklin Gothic Book"/>
          <w:i/>
          <w:szCs w:val="20"/>
        </w:rPr>
      </w:pPr>
    </w:p>
    <w:p w:rsidR="00B652E1" w:rsidRDefault="00B652E1" w:rsidP="00F63C34">
      <w:pPr>
        <w:pStyle w:val="Heading4"/>
      </w:pPr>
      <w:r>
        <w:t xml:space="preserve">Resources for THSSP2 </w:t>
      </w:r>
    </w:p>
    <w:p w:rsidR="00B652E1" w:rsidRPr="00DF213A" w:rsidRDefault="00B652E1" w:rsidP="00B652E1">
      <w:pPr>
        <w:spacing w:line="276" w:lineRule="auto"/>
        <w:rPr>
          <w:rFonts w:ascii="Franklin Gothic Book" w:hAnsi="Franklin Gothic Book"/>
          <w:i/>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overall </w:t>
      </w:r>
      <w:r w:rsidRPr="005F4FAA">
        <w:rPr>
          <w:rFonts w:ascii="Franklin Gothic Book" w:hAnsi="Franklin Gothic Book"/>
          <w:b/>
          <w:szCs w:val="20"/>
        </w:rPr>
        <w:t>budget</w:t>
      </w:r>
      <w:r w:rsidRPr="005F4FAA">
        <w:rPr>
          <w:rFonts w:ascii="Franklin Gothic Book" w:hAnsi="Franklin Gothic Book"/>
          <w:szCs w:val="20"/>
        </w:rPr>
        <w:t xml:space="preserve"> is $10 million over five years (July 2015-June</w:t>
      </w:r>
      <w:r>
        <w:rPr>
          <w:rFonts w:ascii="Franklin Gothic Book" w:hAnsi="Franklin Gothic Book"/>
          <w:szCs w:val="20"/>
        </w:rPr>
        <w:t xml:space="preserve"> </w:t>
      </w:r>
      <w:r w:rsidRPr="005F4FAA">
        <w:rPr>
          <w:rFonts w:ascii="Franklin Gothic Book" w:hAnsi="Franklin Gothic Book"/>
          <w:szCs w:val="20"/>
        </w:rPr>
        <w:t>2020), broken down as follows: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pStyle w:val="ListParagraph"/>
        <w:numPr>
          <w:ilvl w:val="0"/>
          <w:numId w:val="34"/>
        </w:numPr>
        <w:spacing w:line="276" w:lineRule="auto"/>
        <w:rPr>
          <w:rFonts w:ascii="Franklin Gothic Book" w:hAnsi="Franklin Gothic Book"/>
          <w:sz w:val="20"/>
          <w:szCs w:val="20"/>
          <w:lang w:val="en-GB"/>
        </w:rPr>
      </w:pPr>
      <w:r w:rsidRPr="005F4FAA">
        <w:rPr>
          <w:rFonts w:ascii="Franklin Gothic Book" w:eastAsiaTheme="minorEastAsia" w:hAnsi="Franklin Gothic Book"/>
          <w:sz w:val="20"/>
          <w:szCs w:val="20"/>
          <w:lang w:val="en-GB"/>
        </w:rPr>
        <w:t>$120,000</w:t>
      </w:r>
      <w:r w:rsidRPr="005F4FAA">
        <w:rPr>
          <w:rFonts w:ascii="Franklin Gothic Book" w:hAnsi="Franklin Gothic Book"/>
          <w:sz w:val="20"/>
          <w:szCs w:val="20"/>
          <w:lang w:val="en-GB"/>
        </w:rPr>
        <w:t xml:space="preserve"> per year top-sliced for management costs (Post’s time and travel, accountancy, audit etc.)</w:t>
      </w:r>
    </w:p>
    <w:p w:rsidR="00B652E1" w:rsidRPr="005F4FAA" w:rsidRDefault="00B652E1" w:rsidP="00B652E1">
      <w:pPr>
        <w:pStyle w:val="ListParagraph"/>
        <w:numPr>
          <w:ilvl w:val="0"/>
          <w:numId w:val="34"/>
        </w:numPr>
        <w:spacing w:line="276" w:lineRule="auto"/>
        <w:rPr>
          <w:rFonts w:ascii="Franklin Gothic Book" w:hAnsi="Franklin Gothic Book"/>
          <w:sz w:val="20"/>
          <w:szCs w:val="20"/>
          <w:lang w:val="en-GB"/>
        </w:rPr>
      </w:pPr>
      <w:r w:rsidRPr="005F4FAA">
        <w:rPr>
          <w:rFonts w:ascii="Franklin Gothic Book" w:eastAsiaTheme="minorEastAsia" w:hAnsi="Franklin Gothic Book"/>
          <w:sz w:val="20"/>
          <w:szCs w:val="20"/>
          <w:lang w:val="en-GB"/>
        </w:rPr>
        <w:t>Up to $400,000</w:t>
      </w:r>
      <w:r w:rsidRPr="005F4FAA">
        <w:rPr>
          <w:rFonts w:ascii="Franklin Gothic Book" w:hAnsi="Franklin Gothic Book"/>
          <w:sz w:val="20"/>
          <w:szCs w:val="20"/>
          <w:lang w:val="en-GB"/>
        </w:rPr>
        <w:t xml:space="preserve"> allocated to </w:t>
      </w:r>
      <w:r w:rsidRPr="005F4FAA">
        <w:rPr>
          <w:rFonts w:ascii="Franklin Gothic Book" w:eastAsiaTheme="minorEastAsia" w:hAnsi="Franklin Gothic Book"/>
          <w:sz w:val="20"/>
          <w:szCs w:val="20"/>
          <w:lang w:val="en-GB"/>
        </w:rPr>
        <w:t xml:space="preserve">TongaHealth in the first year. Thereafter this allocation will be reviewed annually. </w:t>
      </w:r>
    </w:p>
    <w:p w:rsidR="00B652E1" w:rsidRPr="005F4FAA" w:rsidRDefault="00B652E1" w:rsidP="00B652E1">
      <w:pPr>
        <w:pStyle w:val="ListParagraph"/>
        <w:numPr>
          <w:ilvl w:val="0"/>
          <w:numId w:val="34"/>
        </w:numPr>
        <w:spacing w:line="276" w:lineRule="auto"/>
        <w:rPr>
          <w:rFonts w:ascii="Franklin Gothic Book" w:hAnsi="Franklin Gothic Book"/>
          <w:sz w:val="20"/>
          <w:szCs w:val="20"/>
          <w:lang w:val="en-GB"/>
        </w:rPr>
      </w:pPr>
      <w:r w:rsidRPr="005F4FAA">
        <w:rPr>
          <w:rFonts w:ascii="Franklin Gothic Book" w:hAnsi="Franklin Gothic Book"/>
          <w:sz w:val="20"/>
          <w:szCs w:val="20"/>
        </w:rPr>
        <w:t>$1 million total reserved for performance based payments to Ministry of Health.</w:t>
      </w:r>
    </w:p>
    <w:p w:rsidR="00B652E1" w:rsidRPr="00A40A80" w:rsidRDefault="00B652E1" w:rsidP="00B652E1">
      <w:pPr>
        <w:spacing w:line="276" w:lineRule="auto"/>
        <w:rPr>
          <w:rFonts w:ascii="Franklin Gothic Book" w:hAnsi="Franklin Gothic Book"/>
          <w:szCs w:val="20"/>
          <w:lang w:val="en-GB"/>
        </w:rPr>
      </w:pPr>
      <w:r w:rsidRPr="005F4FAA">
        <w:rPr>
          <w:rFonts w:ascii="Franklin Gothic Book" w:hAnsi="Franklin Gothic Book"/>
          <w:szCs w:val="20"/>
          <w:lang w:val="en-GB"/>
        </w:rPr>
        <w:t xml:space="preserve">This leaves about $6.4 million to be allocated against the Ministry of Health’s Annual </w:t>
      </w:r>
      <w:r w:rsidRPr="00A40A80">
        <w:rPr>
          <w:rFonts w:ascii="Franklin Gothic Book" w:hAnsi="Franklin Gothic Book"/>
          <w:szCs w:val="20"/>
          <w:lang w:val="en-GB"/>
        </w:rPr>
        <w:t xml:space="preserve">Management Plans (depending on the exact amounts allocated to TongaHealth in later years) </w:t>
      </w:r>
      <w:r w:rsidRPr="00B67EAD">
        <w:rPr>
          <w:rFonts w:ascii="Franklin Gothic Book" w:hAnsi="Franklin Gothic Book"/>
          <w:szCs w:val="20"/>
          <w:lang w:val="en-GB"/>
        </w:rPr>
        <w:t>to support NCD prevention and control, health systems strengthening and disability/mental health.</w:t>
      </w:r>
    </w:p>
    <w:p w:rsidR="00B652E1" w:rsidRPr="00A40A80" w:rsidRDefault="00B652E1" w:rsidP="00B652E1">
      <w:pPr>
        <w:spacing w:line="276" w:lineRule="auto"/>
        <w:rPr>
          <w:rFonts w:ascii="Franklin Gothic Book" w:eastAsia="Times New Roman" w:hAnsi="Franklin Gothic Book"/>
          <w:b/>
          <w:szCs w:val="20"/>
          <w:lang w:eastAsia="en-US"/>
        </w:rPr>
      </w:pPr>
    </w:p>
    <w:p w:rsidR="00B652E1" w:rsidRPr="005F4FAA" w:rsidRDefault="00B652E1" w:rsidP="00B652E1">
      <w:pPr>
        <w:spacing w:line="276" w:lineRule="auto"/>
        <w:rPr>
          <w:rFonts w:ascii="Franklin Gothic Book" w:eastAsia="Times New Roman" w:hAnsi="Franklin Gothic Book"/>
          <w:szCs w:val="20"/>
          <w:lang w:eastAsia="en-US"/>
        </w:rPr>
      </w:pPr>
      <w:r w:rsidRPr="00A40A80">
        <w:rPr>
          <w:rFonts w:ascii="Franklin Gothic Book" w:eastAsia="Times New Roman" w:hAnsi="Franklin Gothic Book"/>
          <w:b/>
          <w:szCs w:val="20"/>
          <w:lang w:eastAsia="en-US"/>
        </w:rPr>
        <w:t>Technical assistance</w:t>
      </w:r>
      <w:r w:rsidRPr="00A40A80">
        <w:rPr>
          <w:rFonts w:ascii="Franklin Gothic Book" w:eastAsia="Times New Roman" w:hAnsi="Franklin Gothic Book"/>
          <w:szCs w:val="20"/>
          <w:lang w:eastAsia="en-US"/>
        </w:rPr>
        <w:t xml:space="preserve"> will be funded out of the $6.4 million to support planning, public health and</w:t>
      </w:r>
      <w:r w:rsidRPr="005F4FAA">
        <w:rPr>
          <w:rFonts w:ascii="Franklin Gothic Book" w:eastAsia="Times New Roman" w:hAnsi="Franklin Gothic Book"/>
          <w:szCs w:val="20"/>
          <w:lang w:eastAsia="en-US"/>
        </w:rPr>
        <w:t xml:space="preserve"> health promotion. </w:t>
      </w:r>
    </w:p>
    <w:p w:rsidR="00B652E1" w:rsidRPr="005F4FAA" w:rsidRDefault="00B652E1" w:rsidP="00B652E1">
      <w:pPr>
        <w:spacing w:line="276" w:lineRule="auto"/>
        <w:rPr>
          <w:rFonts w:ascii="Franklin Gothic Book" w:hAnsi="Franklin Gothic Book"/>
          <w:szCs w:val="20"/>
        </w:rPr>
      </w:pPr>
    </w:p>
    <w:p w:rsidR="00B652E1" w:rsidRPr="00B67EAD"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 well-documented risk to a donor which provides significant support to a particular sector is that the recipient government allocates fewer of its own resources to that sector, which it regards as </w:t>
      </w:r>
      <w:r w:rsidRPr="00A40A80">
        <w:rPr>
          <w:rFonts w:ascii="Franklin Gothic Book" w:hAnsi="Franklin Gothic Book"/>
          <w:szCs w:val="20"/>
        </w:rPr>
        <w:t xml:space="preserve">being relatively well catered for. This compromises the intent of the donor, which wishes to provide </w:t>
      </w:r>
      <w:r w:rsidRPr="00A40A80">
        <w:rPr>
          <w:rFonts w:ascii="Franklin Gothic Book" w:hAnsi="Franklin Gothic Book"/>
          <w:i/>
          <w:szCs w:val="20"/>
        </w:rPr>
        <w:t>additional</w:t>
      </w:r>
      <w:r w:rsidRPr="00A40A80">
        <w:rPr>
          <w:rFonts w:ascii="Franklin Gothic Book" w:hAnsi="Franklin Gothic Book"/>
          <w:szCs w:val="20"/>
        </w:rPr>
        <w:t xml:space="preserve"> resources to the sector. </w:t>
      </w:r>
      <w:r w:rsidRPr="00B67EAD">
        <w:rPr>
          <w:rFonts w:ascii="Franklin Gothic Book" w:hAnsi="Franklin Gothic Book"/>
          <w:szCs w:val="20"/>
        </w:rPr>
        <w:t xml:space="preserve">For this reason, there are two </w:t>
      </w:r>
      <w:r w:rsidRPr="00B67EAD">
        <w:rPr>
          <w:rFonts w:ascii="Franklin Gothic Book" w:hAnsi="Franklin Gothic Book"/>
          <w:b/>
          <w:szCs w:val="20"/>
        </w:rPr>
        <w:t>pre-conditions</w:t>
      </w:r>
      <w:r w:rsidRPr="00B67EAD">
        <w:rPr>
          <w:rFonts w:ascii="Franklin Gothic Book" w:hAnsi="Franklin Gothic Book"/>
          <w:szCs w:val="20"/>
        </w:rPr>
        <w:t xml:space="preserve">: </w:t>
      </w:r>
    </w:p>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 </w:t>
      </w:r>
    </w:p>
    <w:p w:rsidR="00B652E1" w:rsidRPr="00B67EAD" w:rsidRDefault="00B652E1" w:rsidP="00B652E1">
      <w:pPr>
        <w:pStyle w:val="ListParagraph"/>
        <w:numPr>
          <w:ilvl w:val="0"/>
          <w:numId w:val="36"/>
        </w:numPr>
        <w:spacing w:line="276" w:lineRule="auto"/>
        <w:rPr>
          <w:rFonts w:ascii="Franklin Gothic Book" w:hAnsi="Franklin Gothic Book"/>
          <w:sz w:val="20"/>
          <w:szCs w:val="20"/>
          <w:lang w:val="en-GB"/>
        </w:rPr>
      </w:pPr>
      <w:r w:rsidRPr="00B67EAD">
        <w:rPr>
          <w:rFonts w:ascii="Franklin Gothic Book" w:eastAsiaTheme="minorEastAsia" w:hAnsi="Franklin Gothic Book"/>
          <w:sz w:val="20"/>
          <w:szCs w:val="20"/>
          <w:lang w:val="en-GB"/>
        </w:rPr>
        <w:t>The combined MOH plus TongaHealth budgets (excluding donor funds) as a percentage of the total government budget do not decrease (taking 2015 as the baseline).</w:t>
      </w:r>
    </w:p>
    <w:p w:rsidR="00B652E1" w:rsidRPr="00B67EAD" w:rsidRDefault="00B652E1" w:rsidP="00B652E1">
      <w:pPr>
        <w:pStyle w:val="ListParagraph"/>
        <w:numPr>
          <w:ilvl w:val="0"/>
          <w:numId w:val="36"/>
        </w:numPr>
        <w:spacing w:line="276" w:lineRule="auto"/>
        <w:rPr>
          <w:rFonts w:ascii="Franklin Gothic Book" w:hAnsi="Franklin Gothic Book"/>
          <w:szCs w:val="20"/>
          <w:lang w:val="en-GB"/>
        </w:rPr>
      </w:pPr>
      <w:r w:rsidRPr="00B67EAD">
        <w:rPr>
          <w:rFonts w:ascii="Franklin Gothic Book" w:eastAsiaTheme="minorEastAsia" w:hAnsi="Franklin Gothic Book"/>
          <w:sz w:val="20"/>
          <w:szCs w:val="20"/>
          <w:lang w:val="en-GB"/>
        </w:rPr>
        <w:t xml:space="preserve">The MOH’s budget for the Public Health Division (excluding donor funds) increases as a percentage of the total MOH budget (taking 2015 as the baseline). </w:t>
      </w:r>
    </w:p>
    <w:p w:rsidR="00B652E1" w:rsidRPr="005F4FAA" w:rsidRDefault="00B652E1" w:rsidP="00B652E1">
      <w:pPr>
        <w:spacing w:line="276" w:lineRule="auto"/>
        <w:rPr>
          <w:rFonts w:ascii="Franklin Gothic Book" w:hAnsi="Franklin Gothic Book"/>
          <w:szCs w:val="20"/>
          <w:lang w:val="en-GB"/>
        </w:rPr>
      </w:pPr>
      <w:r w:rsidRPr="00B67EAD">
        <w:rPr>
          <w:rFonts w:ascii="Franklin Gothic Book" w:hAnsi="Franklin Gothic Book"/>
          <w:szCs w:val="20"/>
          <w:lang w:val="en-GB"/>
        </w:rPr>
        <w:t>The first condition reflects the Government of Tonga’s overall commitment to the health sector; the second is about the funding of the most cost-effective services which should be available to all Tongans. (Public health, health promotion and primary care are all under the Public Health Division.) If these conditions are not met, DFAT may formally re-assess the level of its financial contribution to THSSP2.</w:t>
      </w:r>
      <w:r>
        <w:rPr>
          <w:rFonts w:ascii="Franklin Gothic Book" w:hAnsi="Franklin Gothic Book"/>
          <w:szCs w:val="20"/>
          <w:lang w:val="en-GB"/>
        </w:rPr>
        <w:t xml:space="preserve"> </w:t>
      </w:r>
    </w:p>
    <w:p w:rsidR="00B652E1" w:rsidRPr="005F4FAA" w:rsidRDefault="00B652E1" w:rsidP="00B652E1">
      <w:pPr>
        <w:spacing w:line="276" w:lineRule="auto"/>
        <w:ind w:left="360"/>
        <w:rPr>
          <w:rFonts w:ascii="Franklin Gothic Book" w:hAnsi="Franklin Gothic Book"/>
          <w:szCs w:val="20"/>
          <w:lang w:val="en-GB"/>
        </w:rPr>
      </w:pPr>
    </w:p>
    <w:p w:rsidR="00B652E1" w:rsidRDefault="00B652E1" w:rsidP="00B652E1">
      <w:pPr>
        <w:spacing w:before="60"/>
        <w:rPr>
          <w:rFonts w:ascii="Franklin Gothic Book" w:hAnsi="Franklin Gothic Book"/>
          <w:b/>
          <w:szCs w:val="20"/>
        </w:rPr>
      </w:pPr>
    </w:p>
    <w:p w:rsidR="00B652E1" w:rsidRPr="005F4FAA" w:rsidRDefault="00F63C34" w:rsidP="00F63C34">
      <w:pPr>
        <w:pStyle w:val="Heading1"/>
        <w:rPr>
          <w:rFonts w:ascii="Franklin Gothic Book" w:hAnsi="Franklin Gothic Book"/>
          <w:szCs w:val="20"/>
        </w:rPr>
      </w:pPr>
      <w:r>
        <w:t xml:space="preserve">C: </w:t>
      </w:r>
      <w:r w:rsidRPr="005F4FAA">
        <w:t>Analysis and Strategic Context</w:t>
      </w:r>
    </w:p>
    <w:p w:rsidR="00B652E1" w:rsidRDefault="00B652E1" w:rsidP="00B652E1">
      <w:pPr>
        <w:spacing w:before="80"/>
        <w:rPr>
          <w:rFonts w:ascii="Franklin Gothic Book" w:eastAsia="Times New Roman" w:hAnsi="Franklin Gothic Book"/>
          <w:i/>
          <w:szCs w:val="20"/>
          <w:u w:val="single"/>
          <w:lang w:eastAsia="en-US"/>
        </w:rPr>
      </w:pPr>
    </w:p>
    <w:p w:rsidR="00B652E1" w:rsidRPr="005F4FAA" w:rsidRDefault="00B652E1" w:rsidP="00F63C34">
      <w:pPr>
        <w:pStyle w:val="Heading2"/>
        <w:rPr>
          <w:lang w:eastAsia="en-US"/>
        </w:rPr>
      </w:pPr>
      <w:r w:rsidRPr="005F4FAA">
        <w:rPr>
          <w:lang w:eastAsia="en-US"/>
        </w:rPr>
        <w:t>Introduction</w:t>
      </w:r>
    </w:p>
    <w:p w:rsidR="00B652E1" w:rsidRPr="005F4FAA" w:rsidRDefault="00B652E1" w:rsidP="00B652E1">
      <w:pPr>
        <w:spacing w:before="80"/>
        <w:rPr>
          <w:rFonts w:ascii="Franklin Gothic Book" w:eastAsia="Times New Roman" w:hAnsi="Franklin Gothic Book"/>
          <w:szCs w:val="20"/>
          <w:lang w:eastAsia="en-US"/>
        </w:rPr>
      </w:pPr>
    </w:p>
    <w:p w:rsidR="00B652E1" w:rsidRPr="00B67EAD" w:rsidRDefault="00B652E1" w:rsidP="00B652E1">
      <w:pPr>
        <w:spacing w:before="80"/>
        <w:rPr>
          <w:rFonts w:ascii="Franklin Gothic Book" w:eastAsia="Times New Roman" w:hAnsi="Franklin Gothic Book"/>
          <w:szCs w:val="20"/>
          <w:lang w:eastAsia="en-US"/>
        </w:rPr>
      </w:pPr>
      <w:r w:rsidRPr="00B67EAD">
        <w:rPr>
          <w:rFonts w:ascii="Franklin Gothic Book" w:eastAsia="Times New Roman" w:hAnsi="Franklin Gothic Book"/>
          <w:szCs w:val="20"/>
          <w:lang w:eastAsia="en-US"/>
        </w:rPr>
        <w:t xml:space="preserve">The design of the second Tonga Health Systems Support Program (THSSP2) brings together three broad themes: non-communicable diseases (NCDs), universal health coverage (which has strong links to equity and social inclusion) and systems strengthening.  Extensive work was done to describe these issues and why they are important to Tonga. This analysis – which includes discussions of gender equality and disability inclusion - is presented in full in Annex 1. Further background information about the Tonga health sector is given in Annex 2, which reproduces the Executive Summary of the 2014 </w:t>
      </w:r>
      <w:bookmarkStart w:id="1" w:name="SubTitle"/>
      <w:r w:rsidRPr="00B67EAD">
        <w:rPr>
          <w:rFonts w:ascii="Franklin Gothic Book" w:eastAsia="Times New Roman" w:hAnsi="Franklin Gothic Book"/>
          <w:i/>
          <w:szCs w:val="20"/>
          <w:lang w:eastAsia="en-US"/>
        </w:rPr>
        <w:t>Tonga Health Sector Analysis</w:t>
      </w:r>
      <w:bookmarkEnd w:id="1"/>
      <w:r w:rsidRPr="00B67EAD">
        <w:rPr>
          <w:rFonts w:ascii="Franklin Gothic Book" w:eastAsia="Times New Roman" w:hAnsi="Franklin Gothic Book"/>
          <w:i/>
          <w:szCs w:val="20"/>
          <w:lang w:eastAsia="en-US"/>
        </w:rPr>
        <w:t xml:space="preserve"> </w:t>
      </w:r>
      <w:r w:rsidRPr="00B67EAD">
        <w:rPr>
          <w:rFonts w:ascii="Franklin Gothic Book" w:eastAsia="Times New Roman" w:hAnsi="Franklin Gothic Book"/>
          <w:szCs w:val="20"/>
          <w:lang w:eastAsia="en-US"/>
        </w:rPr>
        <w:t>commissioned by DFAT.</w:t>
      </w:r>
    </w:p>
    <w:p w:rsidR="00B652E1" w:rsidRPr="00B67EAD" w:rsidRDefault="00B652E1" w:rsidP="00B652E1">
      <w:pPr>
        <w:spacing w:before="80"/>
        <w:rPr>
          <w:rFonts w:ascii="Franklin Gothic Book" w:eastAsia="Times New Roman" w:hAnsi="Franklin Gothic Book"/>
          <w:szCs w:val="20"/>
          <w:lang w:eastAsia="en-US"/>
        </w:rPr>
      </w:pPr>
    </w:p>
    <w:p w:rsidR="00B652E1" w:rsidRPr="00A40A80" w:rsidRDefault="00B652E1" w:rsidP="00B652E1">
      <w:pPr>
        <w:spacing w:before="80"/>
        <w:rPr>
          <w:rFonts w:ascii="Franklin Gothic Book" w:eastAsia="Times New Roman" w:hAnsi="Franklin Gothic Book"/>
          <w:szCs w:val="20"/>
          <w:lang w:eastAsia="en-US"/>
        </w:rPr>
      </w:pPr>
      <w:r w:rsidRPr="00B67EAD">
        <w:rPr>
          <w:rFonts w:ascii="Franklin Gothic Book" w:eastAsia="Times New Roman" w:hAnsi="Franklin Gothic Book"/>
          <w:szCs w:val="20"/>
          <w:lang w:eastAsia="en-US"/>
        </w:rPr>
        <w:t>The main points from this detailed analysis are summarised here.</w:t>
      </w:r>
      <w:r w:rsidRPr="00A40A80">
        <w:rPr>
          <w:rFonts w:ascii="Franklin Gothic Book" w:eastAsia="Times New Roman" w:hAnsi="Franklin Gothic Book"/>
          <w:szCs w:val="20"/>
          <w:lang w:eastAsia="en-US"/>
        </w:rPr>
        <w:t xml:space="preserve"> </w:t>
      </w:r>
    </w:p>
    <w:p w:rsidR="00B652E1" w:rsidRPr="00A40A80" w:rsidRDefault="00B652E1" w:rsidP="00B652E1">
      <w:pPr>
        <w:spacing w:line="276" w:lineRule="auto"/>
        <w:rPr>
          <w:rFonts w:ascii="Franklin Gothic Book" w:hAnsi="Franklin Gothic Book"/>
          <w:i/>
          <w:szCs w:val="20"/>
          <w:u w:val="single"/>
        </w:rPr>
      </w:pPr>
    </w:p>
    <w:p w:rsidR="00B652E1" w:rsidRPr="005F4FAA" w:rsidRDefault="00B652E1" w:rsidP="00F63C34">
      <w:pPr>
        <w:pStyle w:val="Heading2"/>
      </w:pPr>
      <w:r w:rsidRPr="00A40A80">
        <w:t>Non-communicable diseases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before="8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The problem of NCDs</w:t>
      </w:r>
    </w:p>
    <w:p w:rsidR="00B652E1" w:rsidRPr="0009165E" w:rsidRDefault="00B652E1" w:rsidP="00B652E1">
      <w:pPr>
        <w:spacing w:before="80"/>
        <w:rPr>
          <w:rFonts w:ascii="Franklin Gothic Book" w:eastAsia="Times New Roman" w:hAnsi="Franklin Gothic Book"/>
          <w:szCs w:val="20"/>
          <w:lang w:eastAsia="en-US"/>
        </w:rPr>
      </w:pPr>
      <w:r w:rsidRPr="003061C0">
        <w:rPr>
          <w:rFonts w:ascii="Franklin Gothic Book" w:eastAsia="Times New Roman" w:hAnsi="Franklin Gothic Book"/>
          <w:szCs w:val="20"/>
          <w:lang w:eastAsia="en-US"/>
        </w:rPr>
        <w:t xml:space="preserve">Tonga has some of the best health indicators in the Pacific and has achieved substantial reductions in communicable </w:t>
      </w:r>
      <w:r w:rsidRPr="003061C0">
        <w:rPr>
          <w:rFonts w:ascii="Franklin Gothic Medium" w:eastAsia="Times New Roman" w:hAnsi="Franklin Gothic Medium"/>
          <w:szCs w:val="20"/>
          <w:lang w:eastAsia="en-US"/>
        </w:rPr>
        <w:t>diseases and maternal and child mortality.</w:t>
      </w:r>
      <w:r w:rsidRPr="003061C0">
        <w:rPr>
          <w:rStyle w:val="FootnoteReference"/>
          <w:rFonts w:eastAsia="Times New Roman"/>
          <w:lang w:eastAsia="en-US"/>
        </w:rPr>
        <w:footnoteReference w:id="5"/>
      </w:r>
      <w:r w:rsidRPr="003061C0">
        <w:rPr>
          <w:rFonts w:ascii="Franklin Gothic Medium" w:eastAsia="Times New Roman" w:hAnsi="Franklin Gothic Medium"/>
          <w:szCs w:val="20"/>
          <w:lang w:eastAsia="en-US"/>
        </w:rPr>
        <w:t xml:space="preserve"> Non-communicable diseases (NCDs) are now the fastest-growing cause of morbidity and mortality, accounting for 75 per cent of all deaths; NCDs are also a </w:t>
      </w:r>
      <w:r w:rsidRPr="003061C0">
        <w:rPr>
          <w:rFonts w:ascii="Franklin Gothic Medium" w:hAnsi="Franklin Gothic Medium"/>
          <w:szCs w:val="20"/>
        </w:rPr>
        <w:t>leading cause of premature death and disability</w:t>
      </w:r>
      <w:r w:rsidRPr="003061C0">
        <w:rPr>
          <w:rFonts w:ascii="Franklin Gothic Medium" w:eastAsia="Times New Roman" w:hAnsi="Franklin Gothic Medium"/>
          <w:szCs w:val="20"/>
          <w:lang w:eastAsia="en-US"/>
        </w:rPr>
        <w:t>.</w:t>
      </w:r>
      <w:r w:rsidRPr="003061C0">
        <w:rPr>
          <w:rStyle w:val="FootnoteReference"/>
          <w:rFonts w:eastAsia="Times New Roman"/>
          <w:lang w:eastAsia="en-US"/>
        </w:rPr>
        <w:footnoteReference w:id="6"/>
      </w:r>
      <w:r w:rsidRPr="003061C0">
        <w:rPr>
          <w:rFonts w:ascii="Franklin Gothic Medium" w:eastAsia="Times New Roman" w:hAnsi="Franklin Gothic Medium"/>
          <w:szCs w:val="20"/>
          <w:lang w:eastAsia="en-US"/>
        </w:rPr>
        <w:t xml:space="preserve"> In 2012 an article in </w:t>
      </w:r>
      <w:r w:rsidRPr="003061C0">
        <w:rPr>
          <w:rFonts w:ascii="Franklin Gothic Medium" w:eastAsia="Times New Roman" w:hAnsi="Franklin Gothic Medium"/>
          <w:i/>
          <w:szCs w:val="20"/>
          <w:lang w:eastAsia="en-US"/>
        </w:rPr>
        <w:t xml:space="preserve">Population Health Metrics </w:t>
      </w:r>
      <w:r w:rsidRPr="003061C0">
        <w:rPr>
          <w:rFonts w:ascii="Franklin Gothic Medium" w:eastAsia="Times New Roman" w:hAnsi="Franklin Gothic Medium"/>
          <w:szCs w:val="20"/>
          <w:lang w:eastAsia="en-US"/>
        </w:rPr>
        <w:t>stated</w:t>
      </w:r>
      <w:r w:rsidRPr="003061C0">
        <w:rPr>
          <w:rFonts w:ascii="Franklin Gothic Medium" w:eastAsia="Times New Roman" w:hAnsi="Franklin Gothic Medium"/>
          <w:i/>
          <w:szCs w:val="20"/>
          <w:lang w:eastAsia="en-US"/>
        </w:rPr>
        <w:t xml:space="preserve"> </w:t>
      </w:r>
      <w:r w:rsidRPr="003061C0">
        <w:rPr>
          <w:rFonts w:ascii="Franklin Gothic Medium" w:eastAsia="Times New Roman" w:hAnsi="Franklin Gothic Medium"/>
          <w:szCs w:val="20"/>
          <w:lang w:eastAsia="en-US"/>
        </w:rPr>
        <w:t>that life expectancy</w:t>
      </w:r>
      <w:r w:rsidRPr="003061C0">
        <w:rPr>
          <w:rFonts w:ascii="Franklin Gothic Book" w:eastAsia="Times New Roman" w:hAnsi="Franklin Gothic Book"/>
          <w:szCs w:val="20"/>
          <w:lang w:eastAsia="en-US"/>
        </w:rPr>
        <w:t xml:space="preserve"> had actually </w:t>
      </w:r>
      <w:r w:rsidRPr="003061C0">
        <w:rPr>
          <w:rFonts w:ascii="Franklin Gothic Book" w:eastAsia="Times New Roman" w:hAnsi="Franklin Gothic Book"/>
          <w:i/>
          <w:szCs w:val="20"/>
          <w:lang w:eastAsia="en-US"/>
        </w:rPr>
        <w:t>decreased</w:t>
      </w:r>
      <w:r w:rsidRPr="003061C0">
        <w:rPr>
          <w:rFonts w:ascii="Franklin Gothic Book" w:eastAsia="Times New Roman" w:hAnsi="Franklin Gothic Book"/>
          <w:szCs w:val="20"/>
          <w:lang w:eastAsia="en-US"/>
        </w:rPr>
        <w:t xml:space="preserve"> by five years, largely because of NCDs.</w:t>
      </w:r>
      <w:r w:rsidRPr="003061C0">
        <w:rPr>
          <w:rStyle w:val="FootnoteReference"/>
          <w:rFonts w:eastAsia="Times New Roman"/>
          <w:lang w:eastAsia="en-US"/>
        </w:rPr>
        <w:footnoteReference w:id="7"/>
      </w:r>
      <w:r w:rsidRPr="003061C0">
        <w:rPr>
          <w:rFonts w:ascii="Franklin Gothic Book" w:eastAsia="Times New Roman" w:hAnsi="Franklin Gothic Book"/>
          <w:szCs w:val="20"/>
          <w:lang w:eastAsia="en-US"/>
        </w:rPr>
        <w:t xml:space="preserve"> This claim is contradicted by some international sources – for example UNDP’s Human Development Index records a slight </w:t>
      </w:r>
      <w:r w:rsidRPr="003061C0">
        <w:rPr>
          <w:rFonts w:ascii="Franklin Gothic Book" w:eastAsia="Times New Roman" w:hAnsi="Franklin Gothic Book"/>
          <w:i/>
          <w:szCs w:val="20"/>
          <w:lang w:eastAsia="en-US"/>
        </w:rPr>
        <w:t>increase</w:t>
      </w:r>
      <w:r w:rsidRPr="003061C0">
        <w:rPr>
          <w:rFonts w:ascii="Franklin Gothic Book" w:eastAsia="Times New Roman" w:hAnsi="Franklin Gothic Book"/>
          <w:szCs w:val="20"/>
          <w:lang w:eastAsia="en-US"/>
        </w:rPr>
        <w:t xml:space="preserve"> in life expectancy.</w:t>
      </w:r>
      <w:r w:rsidRPr="003061C0">
        <w:rPr>
          <w:rStyle w:val="FootnoteReference"/>
          <w:rFonts w:eastAsia="Times New Roman"/>
          <w:lang w:eastAsia="en-US"/>
        </w:rPr>
        <w:footnoteReference w:id="8"/>
      </w:r>
      <w:r w:rsidRPr="003061C0">
        <w:rPr>
          <w:rFonts w:ascii="Franklin Gothic Book" w:eastAsia="Times New Roman" w:hAnsi="Franklin Gothic Book"/>
          <w:szCs w:val="20"/>
          <w:lang w:eastAsia="en-US"/>
        </w:rPr>
        <w:t xml:space="preserve"> The Ministry of Health accepts the claim that there has been a fall, and this is also stated in the National NCD Strategy and World Bank publications.</w:t>
      </w:r>
      <w:r w:rsidRPr="003061C0">
        <w:rPr>
          <w:rStyle w:val="FootnoteReference"/>
          <w:rFonts w:eastAsia="Times New Roman"/>
          <w:lang w:eastAsia="en-US"/>
        </w:rPr>
        <w:footnoteReference w:id="9"/>
      </w:r>
      <w:r w:rsidRPr="003061C0">
        <w:rPr>
          <w:rFonts w:ascii="Franklin Gothic Book" w:eastAsia="Times New Roman" w:hAnsi="Franklin Gothic Book"/>
          <w:szCs w:val="20"/>
          <w:lang w:eastAsia="en-US"/>
        </w:rPr>
        <w:t xml:space="preserve"> Despite this lack of consensus (caused by incomplete reporting and small numbers), it is generally accepted that NCDs are </w:t>
      </w:r>
      <w:r w:rsidRPr="00670BF4">
        <w:rPr>
          <w:rFonts w:ascii="Franklin Gothic Book" w:eastAsia="Times New Roman" w:hAnsi="Franklin Gothic Book"/>
          <w:szCs w:val="20"/>
          <w:u w:val="single"/>
          <w:lang w:eastAsia="en-US"/>
        </w:rPr>
        <w:t>the</w:t>
      </w:r>
      <w:r w:rsidRPr="003061C0">
        <w:rPr>
          <w:rFonts w:ascii="Franklin Gothic Book" w:eastAsia="Times New Roman" w:hAnsi="Franklin Gothic Book"/>
          <w:szCs w:val="20"/>
          <w:lang w:eastAsia="en-US"/>
        </w:rPr>
        <w:t xml:space="preserve"> major health problem in Tonga.</w:t>
      </w:r>
      <w:r>
        <w:rPr>
          <w:rFonts w:ascii="Franklin Gothic Book" w:eastAsia="Times New Roman" w:hAnsi="Franklin Gothic Book"/>
          <w:szCs w:val="20"/>
          <w:lang w:eastAsia="en-US"/>
        </w:rPr>
        <w:t xml:space="preserve"> </w:t>
      </w:r>
    </w:p>
    <w:p w:rsidR="00B652E1" w:rsidRPr="005F4FAA" w:rsidRDefault="00B652E1" w:rsidP="00B652E1">
      <w:pPr>
        <w:spacing w:before="80"/>
        <w:rPr>
          <w:rFonts w:ascii="Franklin Gothic Book" w:eastAsia="Times New Roman" w:hAnsi="Franklin Gothic Book"/>
          <w:szCs w:val="20"/>
          <w:lang w:eastAsia="en-US"/>
        </w:rPr>
      </w:pPr>
    </w:p>
    <w:p w:rsidR="00B652E1" w:rsidRPr="005F4FAA" w:rsidRDefault="00B652E1" w:rsidP="00B652E1">
      <w:pPr>
        <w:spacing w:before="80"/>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Quantifying accurate future levels of NCDs is impossible. But it is widely accepted that </w:t>
      </w:r>
      <w:r>
        <w:rPr>
          <w:rFonts w:ascii="Franklin Gothic Book" w:eastAsia="Times New Roman" w:hAnsi="Franklin Gothic Book"/>
          <w:szCs w:val="20"/>
          <w:lang w:eastAsia="en-US"/>
        </w:rPr>
        <w:t xml:space="preserve">– without drastic interventions - </w:t>
      </w:r>
      <w:r w:rsidRPr="005F4FAA">
        <w:rPr>
          <w:rFonts w:ascii="Franklin Gothic Book" w:eastAsia="Times New Roman" w:hAnsi="Franklin Gothic Book"/>
          <w:szCs w:val="20"/>
          <w:lang w:eastAsia="en-US"/>
        </w:rPr>
        <w:t xml:space="preserve">NCD rates </w:t>
      </w:r>
      <w:r>
        <w:rPr>
          <w:rFonts w:ascii="Franklin Gothic Book" w:eastAsia="Times New Roman" w:hAnsi="Franklin Gothic Book"/>
          <w:szCs w:val="20"/>
          <w:lang w:eastAsia="en-US"/>
        </w:rPr>
        <w:t xml:space="preserve">will </w:t>
      </w:r>
      <w:r w:rsidRPr="005F4FAA">
        <w:rPr>
          <w:rFonts w:ascii="Franklin Gothic Book" w:eastAsia="Times New Roman" w:hAnsi="Franklin Gothic Book"/>
          <w:szCs w:val="20"/>
          <w:lang w:eastAsia="en-US"/>
        </w:rPr>
        <w:t xml:space="preserve">to continue to rise. This expectation is based on two main facts – Tonga’s current young population and the known high levels of risk factors for NCDs. Taken together, these two facts suggest that there </w:t>
      </w:r>
      <w:r>
        <w:rPr>
          <w:rFonts w:ascii="Franklin Gothic Book" w:eastAsia="Times New Roman" w:hAnsi="Franklin Gothic Book"/>
          <w:szCs w:val="20"/>
          <w:lang w:eastAsia="en-US"/>
        </w:rPr>
        <w:t xml:space="preserve">could well </w:t>
      </w:r>
      <w:r w:rsidRPr="005F4FAA">
        <w:rPr>
          <w:rFonts w:ascii="Franklin Gothic Book" w:eastAsia="Times New Roman" w:hAnsi="Franklin Gothic Book"/>
          <w:szCs w:val="20"/>
          <w:lang w:eastAsia="en-US"/>
        </w:rPr>
        <w:t xml:space="preserve">be a significant increase in both the absolute numbers and the rates of people with NCDs as the current large generation of people under 30 years of age gets older.  In 2014 WHO concluded that </w:t>
      </w:r>
      <w:r w:rsidRPr="00670BF4">
        <w:rPr>
          <w:rFonts w:ascii="Franklin Gothic Book" w:eastAsia="Times New Roman" w:hAnsi="Franklin Gothic Book"/>
          <w:b/>
          <w:szCs w:val="20"/>
          <w:lang w:eastAsia="en-US"/>
        </w:rPr>
        <w:t xml:space="preserve">the </w:t>
      </w:r>
      <w:r w:rsidRPr="00670BF4">
        <w:rPr>
          <w:rFonts w:ascii="Franklin Gothic Book" w:eastAsia="Times New Roman" w:hAnsi="Franklin Gothic Book"/>
          <w:b/>
          <w:i/>
          <w:szCs w:val="20"/>
          <w:lang w:eastAsia="en-US"/>
        </w:rPr>
        <w:t>entire adult population</w:t>
      </w:r>
      <w:r w:rsidRPr="00670BF4">
        <w:rPr>
          <w:rFonts w:ascii="Franklin Gothic Book" w:eastAsia="Times New Roman" w:hAnsi="Franklin Gothic Book"/>
          <w:b/>
          <w:szCs w:val="20"/>
          <w:lang w:eastAsia="en-US"/>
        </w:rPr>
        <w:t xml:space="preserve"> is at moderate to high risk of developing an NCD. </w:t>
      </w:r>
    </w:p>
    <w:p w:rsidR="00B652E1" w:rsidRDefault="00B652E1" w:rsidP="00B652E1">
      <w:pPr>
        <w:spacing w:before="80"/>
        <w:rPr>
          <w:rFonts w:ascii="Franklin Gothic Book" w:eastAsia="Times New Roman" w:hAnsi="Franklin Gothic Book"/>
          <w:szCs w:val="20"/>
          <w:lang w:eastAsia="en-US"/>
        </w:rPr>
      </w:pPr>
    </w:p>
    <w:p w:rsidR="00B652E1" w:rsidRPr="005F4FAA" w:rsidRDefault="00B652E1" w:rsidP="00B652E1">
      <w:pPr>
        <w:spacing w:before="80"/>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Rates of NCDs in women and men are not radically different, though the way in which the genders are affected by various risk factors does differ. Women, for example, are more prone to obesity; in contrast smoking rates are in the range of 42-48 per cent for men and 10-15 per cent for women.  </w:t>
      </w:r>
    </w:p>
    <w:p w:rsidR="00B652E1" w:rsidRPr="005F4FAA" w:rsidRDefault="00B652E1" w:rsidP="00B652E1">
      <w:pPr>
        <w:spacing w:before="80"/>
        <w:rPr>
          <w:rFonts w:ascii="Franklin Gothic Book" w:eastAsia="Times New Roman" w:hAnsi="Franklin Gothic Book"/>
          <w:szCs w:val="20"/>
          <w:lang w:eastAsia="en-US"/>
        </w:rPr>
      </w:pPr>
    </w:p>
    <w:p w:rsidR="00B652E1" w:rsidRDefault="00B652E1" w:rsidP="00B652E1">
      <w:pPr>
        <w:spacing w:before="80"/>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Crucially, much of the future burden of NCDs is preventable. Primary prevention is about stopping the onset of the diseases in the first place; secondary prevention is about managing diseases well to prevent them from escalating into more serious manifestations.</w:t>
      </w:r>
      <w:r w:rsidRPr="005F4FAA">
        <w:rPr>
          <w:rStyle w:val="FootnoteReference"/>
          <w:rFonts w:ascii="Franklin Gothic Book" w:eastAsia="Times New Roman" w:hAnsi="Franklin Gothic Book"/>
          <w:lang w:eastAsia="en-US"/>
        </w:rPr>
        <w:footnoteReference w:id="10"/>
      </w:r>
      <w:r w:rsidRPr="005F4FAA">
        <w:rPr>
          <w:rFonts w:ascii="Franklin Gothic Book" w:eastAsia="Times New Roman" w:hAnsi="Franklin Gothic Book"/>
          <w:szCs w:val="20"/>
          <w:lang w:eastAsia="en-US"/>
        </w:rPr>
        <w:t xml:space="preserve"> How Tonga tackles the risk factors of nutrition, physical activity, tobacco and alcohol in the short term, and how well its primary health care facilities deal with secondary prevention, will impact on the demand for health services</w:t>
      </w:r>
      <w:r>
        <w:rPr>
          <w:rFonts w:ascii="Franklin Gothic Book" w:eastAsia="Times New Roman" w:hAnsi="Franklin Gothic Book"/>
          <w:szCs w:val="20"/>
          <w:lang w:eastAsia="en-US"/>
        </w:rPr>
        <w:t xml:space="preserve"> and health costs</w:t>
      </w:r>
      <w:r w:rsidRPr="005F4FAA">
        <w:rPr>
          <w:rFonts w:ascii="Franklin Gothic Book" w:eastAsia="Times New Roman" w:hAnsi="Franklin Gothic Book"/>
          <w:szCs w:val="20"/>
          <w:lang w:eastAsia="en-US"/>
        </w:rPr>
        <w:t xml:space="preserve"> in the long term. </w:t>
      </w:r>
    </w:p>
    <w:p w:rsidR="00B652E1" w:rsidRDefault="00B652E1" w:rsidP="00B652E1">
      <w:pPr>
        <w:spacing w:before="80"/>
        <w:rPr>
          <w:rFonts w:ascii="Franklin Gothic Book" w:eastAsia="Times New Roman" w:hAnsi="Franklin Gothic Book"/>
          <w:szCs w:val="20"/>
          <w:lang w:eastAsia="en-US"/>
        </w:rPr>
      </w:pPr>
    </w:p>
    <w:p w:rsidR="00B652E1" w:rsidRPr="005F4FAA" w:rsidRDefault="00B652E1" w:rsidP="00B652E1">
      <w:pPr>
        <w:spacing w:before="80"/>
        <w:rPr>
          <w:rFonts w:ascii="Franklin Gothic Book" w:eastAsia="Times New Roman" w:hAnsi="Franklin Gothic Book"/>
          <w:szCs w:val="20"/>
          <w:lang w:eastAsia="en-US"/>
        </w:rPr>
      </w:pPr>
      <w:r w:rsidRPr="00B67EAD">
        <w:rPr>
          <w:rFonts w:ascii="Franklin Gothic Book" w:eastAsia="Times New Roman" w:hAnsi="Franklin Gothic Book"/>
          <w:szCs w:val="20"/>
          <w:lang w:eastAsia="en-US"/>
        </w:rPr>
        <w:t>As discussed later in this document, the existing high levels of risk factors mean that Tonga will have to work hard merely to stand still in terms of NCD rates. In other words there are a lot of Tongans who will, almost inevitably, develop NCDs because of their lifestyles so far. It is vital that Tonga reverses the situation for the younger generation, but in the next decade NCD rates will include the generation who have already had unhealthy lifestyles. Keeping at the same levels of NCDs, or very modest reductions will actually be very positive achievements in Tonga, even if they do not immediately appear to be a dramatic return on a financial investment.</w:t>
      </w:r>
      <w:r>
        <w:rPr>
          <w:rFonts w:ascii="Franklin Gothic Book" w:eastAsia="Times New Roman" w:hAnsi="Franklin Gothic Book"/>
          <w:szCs w:val="20"/>
          <w:lang w:eastAsia="en-US"/>
        </w:rPr>
        <w:t xml:space="preserve">  </w:t>
      </w:r>
    </w:p>
    <w:p w:rsidR="00B652E1" w:rsidRPr="005F4FAA" w:rsidRDefault="00B652E1" w:rsidP="00B652E1">
      <w:pPr>
        <w:spacing w:before="80"/>
        <w:rPr>
          <w:rFonts w:ascii="Franklin Gothic Book" w:eastAsia="Times New Roman" w:hAnsi="Franklin Gothic Book"/>
          <w:szCs w:val="20"/>
          <w:lang w:eastAsia="en-US"/>
        </w:rPr>
      </w:pPr>
    </w:p>
    <w:p w:rsidR="00B652E1" w:rsidRPr="005F4FAA" w:rsidRDefault="00B652E1" w:rsidP="00B652E1">
      <w:pPr>
        <w:spacing w:before="80"/>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Economic impact of NCDs</w:t>
      </w:r>
    </w:p>
    <w:p w:rsidR="00B652E1" w:rsidRDefault="00B652E1" w:rsidP="00B652E1">
      <w:pPr>
        <w:spacing w:line="276" w:lineRule="auto"/>
        <w:rPr>
          <w:rFonts w:ascii="Franklin Gothic Book" w:eastAsiaTheme="minorHAnsi" w:hAnsi="Franklin Gothic Book"/>
          <w:iCs/>
          <w:szCs w:val="20"/>
          <w:lang w:val="en-GB" w:eastAsia="en-US"/>
        </w:rPr>
      </w:pPr>
    </w:p>
    <w:p w:rsidR="00B652E1" w:rsidRPr="005F4FAA" w:rsidRDefault="00B652E1" w:rsidP="00B652E1">
      <w:pPr>
        <w:spacing w:line="276" w:lineRule="auto"/>
        <w:rPr>
          <w:rFonts w:ascii="Franklin Gothic Book" w:eastAsia="Times New Roman" w:hAnsi="Franklin Gothic Book"/>
          <w:szCs w:val="20"/>
          <w:lang w:eastAsia="en-US"/>
        </w:rPr>
      </w:pPr>
      <w:r>
        <w:rPr>
          <w:rFonts w:ascii="Franklin Gothic Book" w:eastAsiaTheme="minorHAnsi" w:hAnsi="Franklin Gothic Book"/>
          <w:iCs/>
          <w:szCs w:val="20"/>
          <w:lang w:val="en-GB" w:eastAsia="en-US"/>
        </w:rPr>
        <w:t>T</w:t>
      </w:r>
      <w:r w:rsidRPr="005F4FAA">
        <w:rPr>
          <w:rFonts w:ascii="Franklin Gothic Book" w:eastAsiaTheme="minorHAnsi" w:hAnsi="Franklin Gothic Book"/>
          <w:iCs/>
          <w:szCs w:val="20"/>
          <w:lang w:val="en-GB" w:eastAsia="en-US"/>
        </w:rPr>
        <w:t xml:space="preserve">he major health </w:t>
      </w:r>
      <w:r w:rsidRPr="000466FD">
        <w:rPr>
          <w:rFonts w:ascii="Franklin Gothic Book" w:eastAsiaTheme="minorHAnsi" w:hAnsi="Franklin Gothic Book"/>
          <w:iCs/>
          <w:szCs w:val="20"/>
          <w:lang w:val="en-GB" w:eastAsia="en-US"/>
        </w:rPr>
        <w:t>financing issue in Tonga is efficiency savings. In 2009 a World Bank review of h</w:t>
      </w:r>
      <w:r w:rsidRPr="000466FD">
        <w:rPr>
          <w:rFonts w:ascii="Franklin Gothic Book" w:eastAsiaTheme="minorHAnsi" w:hAnsi="Franklin Gothic Book"/>
          <w:szCs w:val="20"/>
          <w:lang w:val="en-GB" w:eastAsia="en-US"/>
        </w:rPr>
        <w:t>ealth financing options in Tonga concluded that “Continuing to rely on general revenue financing while generating additional resources for the sector through efficiency savings is likely to be the most feasible and sustainable financing option for Tonga”.</w:t>
      </w:r>
      <w:r w:rsidRPr="000466FD">
        <w:rPr>
          <w:rStyle w:val="FootnoteReference"/>
          <w:rFonts w:ascii="Franklin Gothic Book" w:eastAsiaTheme="minorHAnsi" w:hAnsi="Franklin Gothic Book"/>
          <w:sz w:val="20"/>
          <w:szCs w:val="20"/>
          <w:lang w:val="en-GB" w:eastAsia="en-US"/>
        </w:rPr>
        <w:footnoteReference w:id="11"/>
      </w:r>
      <w:r w:rsidRPr="000466FD">
        <w:rPr>
          <w:rFonts w:ascii="Franklin Gothic Book" w:eastAsiaTheme="minorHAnsi" w:hAnsi="Franklin Gothic Book"/>
          <w:szCs w:val="20"/>
          <w:lang w:val="en-GB" w:eastAsia="en-US"/>
        </w:rPr>
        <w:t xml:space="preserve"> </w:t>
      </w:r>
      <w:r>
        <w:rPr>
          <w:rFonts w:ascii="Franklin Gothic Book" w:eastAsiaTheme="minorHAnsi" w:hAnsi="Franklin Gothic Book"/>
          <w:szCs w:val="20"/>
          <w:lang w:val="en-GB" w:eastAsia="en-US"/>
        </w:rPr>
        <w:t xml:space="preserve">For NCDs, </w:t>
      </w:r>
      <w:r w:rsidRPr="005F4FAA">
        <w:rPr>
          <w:rFonts w:ascii="Franklin Gothic Book" w:eastAsia="Times New Roman" w:hAnsi="Franklin Gothic Book"/>
          <w:szCs w:val="20"/>
          <w:lang w:eastAsia="en-US"/>
        </w:rPr>
        <w:t>expenditure more than treble</w:t>
      </w:r>
      <w:r>
        <w:rPr>
          <w:rFonts w:ascii="Franklin Gothic Book" w:eastAsia="Times New Roman" w:hAnsi="Franklin Gothic Book"/>
          <w:szCs w:val="20"/>
          <w:lang w:eastAsia="en-US"/>
        </w:rPr>
        <w:t>s</w:t>
      </w:r>
      <w:r w:rsidRPr="005F4FAA">
        <w:rPr>
          <w:rFonts w:ascii="Franklin Gothic Book" w:eastAsia="Times New Roman" w:hAnsi="Franklin Gothic Book"/>
          <w:szCs w:val="20"/>
          <w:lang w:eastAsia="en-US"/>
        </w:rPr>
        <w:t xml:space="preserve"> as care goes from health centres to out</w:t>
      </w:r>
      <w:r>
        <w:rPr>
          <w:rFonts w:ascii="Franklin Gothic Book" w:eastAsia="Times New Roman" w:hAnsi="Franklin Gothic Book"/>
          <w:szCs w:val="20"/>
          <w:lang w:eastAsia="en-US"/>
        </w:rPr>
        <w:t>-patients at the main h</w:t>
      </w:r>
      <w:r w:rsidRPr="005F4FAA">
        <w:rPr>
          <w:rFonts w:ascii="Franklin Gothic Book" w:eastAsia="Times New Roman" w:hAnsi="Franklin Gothic Book"/>
          <w:szCs w:val="20"/>
          <w:lang w:eastAsia="en-US"/>
        </w:rPr>
        <w:t>ospita</w:t>
      </w:r>
      <w:r>
        <w:rPr>
          <w:rFonts w:ascii="Franklin Gothic Book" w:eastAsia="Times New Roman" w:hAnsi="Franklin Gothic Book"/>
          <w:szCs w:val="20"/>
          <w:lang w:eastAsia="en-US"/>
        </w:rPr>
        <w:t>l, and increases a further nine-</w:t>
      </w:r>
      <w:r w:rsidRPr="005F4FAA">
        <w:rPr>
          <w:rFonts w:ascii="Franklin Gothic Book" w:eastAsia="Times New Roman" w:hAnsi="Franklin Gothic Book"/>
          <w:szCs w:val="20"/>
          <w:lang w:eastAsia="en-US"/>
        </w:rPr>
        <w:t>fold as treatment moves from</w:t>
      </w:r>
      <w:r>
        <w:rPr>
          <w:rFonts w:ascii="Franklin Gothic Book" w:eastAsia="Times New Roman" w:hAnsi="Franklin Gothic Book"/>
          <w:szCs w:val="20"/>
          <w:lang w:eastAsia="en-US"/>
        </w:rPr>
        <w:t xml:space="preserve"> out-patients to in-patient care. This is why it is so important to manage the clinical aspects of NCDs efficiently.</w:t>
      </w:r>
      <w:r w:rsidRPr="005F4FAA">
        <w:rPr>
          <w:rFonts w:ascii="Franklin Gothic Book" w:eastAsia="Times New Roman" w:hAnsi="Franklin Gothic Book"/>
          <w:szCs w:val="20"/>
          <w:lang w:eastAsia="en-US"/>
        </w:rPr>
        <w:t xml:space="preserve"> (Anderson I, 2012).</w:t>
      </w:r>
    </w:p>
    <w:p w:rsidR="00B652E1" w:rsidRPr="005F4FAA" w:rsidRDefault="00B652E1" w:rsidP="00B652E1">
      <w:pPr>
        <w:autoSpaceDE w:val="0"/>
        <w:autoSpaceDN w:val="0"/>
        <w:adjustRightInd w:val="0"/>
        <w:spacing w:line="276" w:lineRule="auto"/>
        <w:rPr>
          <w:rFonts w:ascii="Franklin Gothic Book" w:eastAsia="Times New Roman" w:hAnsi="Franklin Gothic Book"/>
          <w:szCs w:val="20"/>
          <w:lang w:eastAsia="en-US"/>
        </w:rPr>
      </w:pPr>
    </w:p>
    <w:p w:rsidR="00B652E1" w:rsidRPr="000466FD" w:rsidRDefault="00B652E1" w:rsidP="00B652E1">
      <w:pPr>
        <w:spacing w:before="80" w:line="276" w:lineRule="auto"/>
        <w:rPr>
          <w:rFonts w:ascii="Franklin Gothic Book" w:eastAsia="Times New Roman" w:hAnsi="Franklin Gothic Book"/>
          <w:szCs w:val="20"/>
          <w:lang w:eastAsia="en-US"/>
        </w:rPr>
      </w:pPr>
      <w:r>
        <w:rPr>
          <w:rFonts w:ascii="Franklin Gothic Book" w:eastAsia="Times New Roman" w:hAnsi="Franklin Gothic Book"/>
          <w:szCs w:val="20"/>
          <w:lang w:eastAsia="en-US"/>
        </w:rPr>
        <w:t xml:space="preserve">As well as being expensive in terms of health care, </w:t>
      </w:r>
      <w:r w:rsidRPr="000466FD">
        <w:rPr>
          <w:rFonts w:ascii="Franklin Gothic Book" w:eastAsia="Times New Roman" w:hAnsi="Franklin Gothic Book"/>
          <w:szCs w:val="20"/>
          <w:lang w:eastAsia="en-US"/>
        </w:rPr>
        <w:t>NCDs lead to costs in terms of lost labour productivity because of high rates of premature mortality and morbidity. These issues were highlighted in the NCD Roadmap sponsored by the World Bank, DFAT, WHO, Government of New Zealand and the Secretariat of the Pacific</w:t>
      </w:r>
      <w:r>
        <w:rPr>
          <w:rFonts w:ascii="Franklin Gothic Book" w:eastAsia="Times New Roman" w:hAnsi="Franklin Gothic Book"/>
          <w:szCs w:val="20"/>
          <w:lang w:eastAsia="en-US"/>
        </w:rPr>
        <w:t xml:space="preserve"> Community</w:t>
      </w:r>
      <w:r w:rsidRPr="000466FD">
        <w:rPr>
          <w:rFonts w:ascii="Franklin Gothic Book" w:eastAsia="Times New Roman" w:hAnsi="Franklin Gothic Book"/>
          <w:szCs w:val="20"/>
          <w:lang w:eastAsia="en-US"/>
        </w:rPr>
        <w:t xml:space="preserve">:  </w:t>
      </w:r>
    </w:p>
    <w:p w:rsidR="00B652E1" w:rsidRPr="000466FD" w:rsidRDefault="00B652E1" w:rsidP="00B652E1">
      <w:pPr>
        <w:autoSpaceDE w:val="0"/>
        <w:autoSpaceDN w:val="0"/>
        <w:adjustRightInd w:val="0"/>
        <w:spacing w:line="276" w:lineRule="auto"/>
        <w:ind w:left="720"/>
        <w:rPr>
          <w:rFonts w:ascii="Franklin Gothic Book" w:eastAsiaTheme="minorHAnsi" w:hAnsi="Franklin Gothic Book"/>
          <w:szCs w:val="20"/>
          <w:highlight w:val="yellow"/>
          <w:lang w:val="en-GB" w:eastAsia="en-US"/>
        </w:rPr>
      </w:pPr>
    </w:p>
    <w:p w:rsidR="00B652E1" w:rsidRPr="005F4FAA" w:rsidRDefault="00B652E1" w:rsidP="00B652E1">
      <w:pPr>
        <w:spacing w:before="80" w:line="276" w:lineRule="auto"/>
        <w:ind w:left="720" w:right="1077"/>
        <w:rPr>
          <w:rFonts w:ascii="Franklin Gothic Book" w:eastAsia="Times New Roman" w:hAnsi="Franklin Gothic Book"/>
          <w:szCs w:val="20"/>
          <w:lang w:eastAsia="en-US"/>
        </w:rPr>
      </w:pPr>
      <w:r w:rsidRPr="000466FD">
        <w:rPr>
          <w:rFonts w:ascii="Franklin Gothic Book" w:eastAsia="Times New Roman" w:hAnsi="Franklin Gothic Book"/>
          <w:szCs w:val="20"/>
          <w:lang w:eastAsia="en-US"/>
        </w:rPr>
        <w:t>“The rising costs of (preventable) NCD treatment extend beyond the health sector, undermining national budgets and national investments. NCDs also impose large – but again often preventable – economic costs on individuals and the economy more broadly through death and disability of key skilled workers. Adverse social impacts occur when people – especially girls – are withdrawn from education or the workforce to become carers for tho</w:t>
      </w:r>
      <w:r w:rsidRPr="005F4FAA">
        <w:rPr>
          <w:rFonts w:ascii="Franklin Gothic Book" w:eastAsia="Times New Roman" w:hAnsi="Franklin Gothic Book"/>
          <w:szCs w:val="20"/>
          <w:lang w:eastAsia="en-US"/>
        </w:rPr>
        <w:t>se with NCD disabilities. Orphans and widows caused by premature NCD deaths are vulnerable to poverty and exploitation.”</w:t>
      </w:r>
    </w:p>
    <w:p w:rsidR="00B652E1" w:rsidRDefault="00B652E1" w:rsidP="00B652E1">
      <w:pPr>
        <w:spacing w:line="276" w:lineRule="auto"/>
        <w:rPr>
          <w:rFonts w:ascii="Franklin Gothic Book" w:hAnsi="Franklin Gothic Book"/>
          <w:i/>
          <w:szCs w:val="20"/>
        </w:rPr>
      </w:pPr>
    </w:p>
    <w:p w:rsidR="00B652E1" w:rsidRPr="005F4FAA" w:rsidRDefault="00B652E1" w:rsidP="00B652E1">
      <w:pPr>
        <w:spacing w:line="276" w:lineRule="auto"/>
        <w:rPr>
          <w:rFonts w:ascii="Franklin Gothic Book" w:hAnsi="Franklin Gothic Book"/>
          <w:i/>
          <w:szCs w:val="20"/>
        </w:rPr>
      </w:pPr>
      <w:r w:rsidRPr="005F4FAA">
        <w:rPr>
          <w:rFonts w:ascii="Franklin Gothic Book" w:hAnsi="Franklin Gothic Book"/>
          <w:i/>
          <w:szCs w:val="20"/>
        </w:rPr>
        <w:t>NCDs are a regional and national priority</w:t>
      </w:r>
    </w:p>
    <w:p w:rsidR="00B652E1" w:rsidRPr="005F4FAA" w:rsidRDefault="00B652E1" w:rsidP="00B652E1">
      <w:pPr>
        <w:spacing w:line="276" w:lineRule="auto"/>
        <w:rPr>
          <w:rFonts w:ascii="Franklin Gothic Book" w:hAnsi="Franklin Gothic Book"/>
          <w:i/>
          <w:szCs w:val="20"/>
        </w:rPr>
      </w:pPr>
    </w:p>
    <w:p w:rsidR="00B652E1" w:rsidRPr="005F4FAA" w:rsidRDefault="00B652E1" w:rsidP="00B652E1">
      <w:pPr>
        <w:pStyle w:val="Default"/>
        <w:spacing w:line="276" w:lineRule="auto"/>
        <w:rPr>
          <w:rFonts w:ascii="Franklin Gothic Book" w:hAnsi="Franklin Gothic Book"/>
          <w:sz w:val="20"/>
          <w:szCs w:val="20"/>
        </w:rPr>
      </w:pPr>
      <w:r w:rsidRPr="005F4FAA">
        <w:rPr>
          <w:rFonts w:ascii="Franklin Gothic Book" w:hAnsi="Franklin Gothic Book"/>
          <w:sz w:val="20"/>
          <w:szCs w:val="20"/>
        </w:rPr>
        <w:t>In 2014 the Government of Tonga participated in the Joint Forum Economic and Pacific Economic and Health Ministers which issued an Outcomes Statement which emphasised the high pri</w:t>
      </w:r>
      <w:r>
        <w:rPr>
          <w:rFonts w:ascii="Franklin Gothic Book" w:hAnsi="Franklin Gothic Book"/>
          <w:sz w:val="20"/>
          <w:szCs w:val="20"/>
        </w:rPr>
        <w:t xml:space="preserve">ority afforded to tackling NCDs. </w:t>
      </w:r>
      <w:r w:rsidRPr="005F4FAA">
        <w:rPr>
          <w:rFonts w:ascii="Franklin Gothic Book" w:hAnsi="Franklin Gothic Book"/>
          <w:sz w:val="20"/>
          <w:szCs w:val="20"/>
        </w:rPr>
        <w:t>The Ministers committed to action in five broad areas: tobacco control, reducing harmful alcohol consumption, improving nutrition, strengthening evidence and improving the efficiency and impact of the health budget. The specific commitment in relation to the health budget was “re-allocating scarce health resources to targeted primary and secondary prevention of cardio-vascular disease and diabetes, including through the Package of Essential Non-Communicable Disease Interventions of ‘best buys’”.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after="200" w:line="276" w:lineRule="auto"/>
        <w:rPr>
          <w:rFonts w:ascii="Franklin Gothic Book" w:eastAsiaTheme="minorHAnsi" w:hAnsi="Franklin Gothic Book"/>
          <w:color w:val="000000"/>
          <w:szCs w:val="20"/>
          <w:lang w:val="en-GB" w:eastAsia="en-US"/>
        </w:rPr>
      </w:pPr>
      <w:r w:rsidRPr="005F4FAA">
        <w:rPr>
          <w:rFonts w:ascii="Franklin Gothic Book" w:hAnsi="Franklin Gothic Book"/>
          <w:szCs w:val="20"/>
        </w:rPr>
        <w:t xml:space="preserve">Key documents from the Government of the Kingdom of Tonga </w:t>
      </w:r>
      <w:r>
        <w:rPr>
          <w:rFonts w:ascii="Franklin Gothic Book" w:hAnsi="Franklin Gothic Book"/>
          <w:szCs w:val="20"/>
        </w:rPr>
        <w:t xml:space="preserve">– including the </w:t>
      </w:r>
      <w:r w:rsidRPr="005F4FAA">
        <w:rPr>
          <w:rFonts w:ascii="Franklin Gothic Book" w:hAnsi="Franklin Gothic Book"/>
          <w:szCs w:val="20"/>
        </w:rPr>
        <w:t>[draft] National Strat</w:t>
      </w:r>
      <w:r>
        <w:rPr>
          <w:rFonts w:ascii="Franklin Gothic Book" w:hAnsi="Franklin Gothic Book"/>
          <w:szCs w:val="20"/>
        </w:rPr>
        <w:t>egic Development Framework 2015–</w:t>
      </w:r>
      <w:r w:rsidRPr="005F4FAA">
        <w:rPr>
          <w:rFonts w:ascii="Franklin Gothic Book" w:hAnsi="Franklin Gothic Book"/>
          <w:szCs w:val="20"/>
        </w:rPr>
        <w:t xml:space="preserve">2025 </w:t>
      </w:r>
      <w:r>
        <w:rPr>
          <w:rFonts w:ascii="Franklin Gothic Book" w:hAnsi="Franklin Gothic Book"/>
          <w:szCs w:val="20"/>
        </w:rPr>
        <w:t xml:space="preserve">and the Ministry of Health’s Corporate Plan - </w:t>
      </w:r>
      <w:r w:rsidRPr="005F4FAA">
        <w:rPr>
          <w:rFonts w:ascii="Franklin Gothic Book" w:hAnsi="Franklin Gothic Book"/>
          <w:szCs w:val="20"/>
        </w:rPr>
        <w:t xml:space="preserve">are equally clear about the importance of tackling NCDs. </w:t>
      </w:r>
    </w:p>
    <w:p w:rsidR="00B652E1" w:rsidRPr="00EC42FB" w:rsidRDefault="00B652E1" w:rsidP="00B652E1">
      <w:pPr>
        <w:pStyle w:val="Default"/>
        <w:spacing w:line="276" w:lineRule="auto"/>
        <w:rPr>
          <w:rFonts w:ascii="Franklin Gothic Book" w:hAnsi="Franklin Gothic Book"/>
          <w:sz w:val="20"/>
          <w:szCs w:val="20"/>
        </w:rPr>
      </w:pPr>
      <w:r w:rsidRPr="00EC42FB">
        <w:rPr>
          <w:rFonts w:ascii="Franklin Gothic Book" w:hAnsi="Franklin Gothic Book"/>
          <w:sz w:val="20"/>
          <w:szCs w:val="20"/>
        </w:rPr>
        <w:t>The main focus of THSSP2 is sup</w:t>
      </w:r>
      <w:r>
        <w:rPr>
          <w:rFonts w:ascii="Franklin Gothic Book" w:hAnsi="Franklin Gothic Book"/>
          <w:sz w:val="20"/>
          <w:szCs w:val="20"/>
        </w:rPr>
        <w:t xml:space="preserve">port for NCD ‘best buys’, i.e. </w:t>
      </w:r>
      <w:r w:rsidRPr="00EC42FB">
        <w:rPr>
          <w:rFonts w:ascii="Franklin Gothic Book" w:hAnsi="Franklin Gothic Book"/>
          <w:sz w:val="20"/>
          <w:szCs w:val="20"/>
        </w:rPr>
        <w:t>the health interventions which provide the most cost-effective ways of preventing and managing NCDs, as summarised in WHO’s Package of Essential Non-Communicable Disease Interventions (PEN).</w:t>
      </w:r>
      <w:r w:rsidRPr="008E2803">
        <w:rPr>
          <w:rFonts w:ascii="Franklin Gothic Book" w:hAnsi="Franklin Gothic Book"/>
          <w:sz w:val="20"/>
          <w:szCs w:val="20"/>
        </w:rPr>
        <w:t xml:space="preserve"> This focus is fully compatible with the recommendations of the </w:t>
      </w:r>
      <w:r w:rsidRPr="00EC42FB">
        <w:rPr>
          <w:rFonts w:ascii="Franklin Gothic Book" w:eastAsia="Times New Roman" w:hAnsi="Franklin Gothic Book"/>
          <w:sz w:val="20"/>
          <w:szCs w:val="20"/>
        </w:rPr>
        <w:t xml:space="preserve">Joint Forum of Economic and Health Ministers.  </w:t>
      </w:r>
    </w:p>
    <w:p w:rsidR="00B652E1" w:rsidRPr="005F4FAA" w:rsidRDefault="00B652E1" w:rsidP="00B652E1">
      <w:pPr>
        <w:spacing w:line="276" w:lineRule="auto"/>
        <w:rPr>
          <w:rFonts w:ascii="Franklin Gothic Book" w:hAnsi="Franklin Gothic Book"/>
          <w:i/>
          <w:szCs w:val="20"/>
        </w:rPr>
      </w:pPr>
    </w:p>
    <w:p w:rsidR="00B652E1" w:rsidRPr="005F4FAA" w:rsidRDefault="00B652E1" w:rsidP="00F63C34">
      <w:pPr>
        <w:pStyle w:val="Heading2"/>
      </w:pPr>
      <w:r w:rsidRPr="005F4FAA">
        <w:t xml:space="preserve">Universal health coverage </w:t>
      </w:r>
    </w:p>
    <w:p w:rsidR="00B652E1" w:rsidRPr="007B758F" w:rsidRDefault="00B652E1" w:rsidP="00B652E1">
      <w:pPr>
        <w:spacing w:before="100" w:beforeAutospacing="1" w:after="100" w:afterAutospacing="1" w:line="276" w:lineRule="auto"/>
        <w:rPr>
          <w:rFonts w:ascii="Franklin Gothic Book" w:eastAsia="Times New Roman" w:hAnsi="Franklin Gothic Book"/>
          <w:szCs w:val="20"/>
          <w:lang w:val="en-GB" w:eastAsia="en-GB"/>
        </w:rPr>
      </w:pPr>
      <w:r w:rsidRPr="005F4FAA">
        <w:rPr>
          <w:rFonts w:ascii="Franklin Gothic Book" w:eastAsia="Times New Roman" w:hAnsi="Franklin Gothic Book"/>
          <w:szCs w:val="20"/>
          <w:lang w:val="en-GB" w:eastAsia="en-GB"/>
        </w:rPr>
        <w:t>In 2012 the United Nations General Assembly adopted a resolution that emphasized the importance of moving towa</w:t>
      </w:r>
      <w:r>
        <w:rPr>
          <w:rFonts w:ascii="Franklin Gothic Book" w:eastAsia="Times New Roman" w:hAnsi="Franklin Gothic Book"/>
          <w:szCs w:val="20"/>
          <w:lang w:val="en-GB" w:eastAsia="en-GB"/>
        </w:rPr>
        <w:t xml:space="preserve">rds universal health coverage. </w:t>
      </w:r>
      <w:r w:rsidRPr="005F4FAA">
        <w:rPr>
          <w:rFonts w:ascii="Franklin Gothic Book" w:hAnsi="Franklin Gothic Book"/>
          <w:szCs w:val="20"/>
        </w:rPr>
        <w:t>The goal of universal health coverage (UHC) is to ensure that people obtain health services based on need and without suffering financial hardship when paying for them. The</w:t>
      </w:r>
      <w:r>
        <w:rPr>
          <w:rFonts w:ascii="Franklin Gothic Book" w:hAnsi="Franklin Gothic Book"/>
          <w:szCs w:val="20"/>
        </w:rPr>
        <w:t>re are three dimensions of UHC</w:t>
      </w:r>
      <w:r w:rsidRPr="005F4FAA">
        <w:rPr>
          <w:rFonts w:ascii="Franklin Gothic Book" w:hAnsi="Franklin Gothic Book"/>
          <w:szCs w:val="20"/>
        </w:rPr>
        <w:t>:</w:t>
      </w:r>
    </w:p>
    <w:p w:rsidR="00B652E1" w:rsidRPr="005F4FAA" w:rsidRDefault="00B652E1" w:rsidP="00B652E1">
      <w:pPr>
        <w:pStyle w:val="ListParagraph"/>
        <w:numPr>
          <w:ilvl w:val="0"/>
          <w:numId w:val="2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the population which is covered: does everyone have access to appropriate health services?</w:t>
      </w:r>
    </w:p>
    <w:p w:rsidR="00B652E1" w:rsidRPr="005F4FAA" w:rsidRDefault="00B652E1" w:rsidP="00B652E1">
      <w:pPr>
        <w:pStyle w:val="ListParagraph"/>
        <w:numPr>
          <w:ilvl w:val="0"/>
          <w:numId w:val="2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the services which are available: is a package of ‘best buys’ available to everyone who needs those services?</w:t>
      </w:r>
    </w:p>
    <w:p w:rsidR="00B652E1" w:rsidRPr="005F4FAA" w:rsidRDefault="00B652E1" w:rsidP="00B652E1">
      <w:pPr>
        <w:pStyle w:val="ListParagraph"/>
        <w:numPr>
          <w:ilvl w:val="0"/>
          <w:numId w:val="2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the extent to which costs are pooled through taxation or health insurance: is health care free (or almost free) at the point of use?</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goal of the new Corporate Plan of the Ministry of Health in Tonga is “universal health coverage to improve accessibility to quality health services for better health impact and outcomes”, or in short “UHC for better health impact”. For Tonga, the key issues in moving towards </w:t>
      </w:r>
      <w:r>
        <w:rPr>
          <w:rFonts w:ascii="Franklin Gothic Book" w:hAnsi="Franklin Gothic Book"/>
          <w:szCs w:val="20"/>
        </w:rPr>
        <w:t>universal health coverage</w:t>
      </w:r>
      <w:r w:rsidRPr="005F4FAA">
        <w:rPr>
          <w:rFonts w:ascii="Franklin Gothic Book" w:hAnsi="Franklin Gothic Book"/>
          <w:szCs w:val="20"/>
        </w:rPr>
        <w:t xml:space="preserve"> are defining a package of services and specifying how this will be made available to people throughout Tonga. </w:t>
      </w:r>
      <w:r>
        <w:rPr>
          <w:rFonts w:ascii="Franklin Gothic Book" w:hAnsi="Franklin Gothic Book"/>
          <w:szCs w:val="20"/>
        </w:rPr>
        <w:t xml:space="preserve">This should help to address the geographic and socio-economic inequalities in current service provision. </w:t>
      </w:r>
      <w:r w:rsidRPr="005F4FAA">
        <w:rPr>
          <w:rFonts w:ascii="Franklin Gothic Book" w:hAnsi="Franklin Gothic Book"/>
          <w:szCs w:val="20"/>
        </w:rPr>
        <w:t xml:space="preserve">By definition, the work on essential health care services will </w:t>
      </w:r>
      <w:r>
        <w:rPr>
          <w:rFonts w:ascii="Franklin Gothic Book" w:hAnsi="Franklin Gothic Book"/>
          <w:szCs w:val="20"/>
        </w:rPr>
        <w:t xml:space="preserve">also </w:t>
      </w:r>
      <w:r w:rsidRPr="005F4FAA">
        <w:rPr>
          <w:rFonts w:ascii="Franklin Gothic Book" w:hAnsi="Franklin Gothic Book"/>
          <w:szCs w:val="20"/>
        </w:rPr>
        <w:t xml:space="preserve">include consideration of services for people </w:t>
      </w:r>
      <w:r>
        <w:rPr>
          <w:rFonts w:ascii="Franklin Gothic Book" w:hAnsi="Franklin Gothic Book"/>
          <w:szCs w:val="20"/>
        </w:rPr>
        <w:t>with disability or mental health conditions</w:t>
      </w:r>
      <w:r w:rsidRPr="005F4FAA">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Pr="005F4FAA" w:rsidRDefault="00B652E1" w:rsidP="00F63C34">
      <w:pPr>
        <w:pStyle w:val="Heading2"/>
      </w:pPr>
      <w:r w:rsidRPr="005F4FAA">
        <w:t xml:space="preserve">Systems strengthening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 national health system does not operate as a series of discrete disease-specific packages: rather it consists of a number of health facilities and programs which rely on </w:t>
      </w:r>
      <w:r w:rsidRPr="005F4FAA">
        <w:rPr>
          <w:rFonts w:ascii="Franklin Gothic Book" w:hAnsi="Franklin Gothic Book"/>
          <w:i/>
          <w:szCs w:val="20"/>
        </w:rPr>
        <w:t>systems</w:t>
      </w:r>
      <w:r w:rsidRPr="005F4FAA">
        <w:rPr>
          <w:rFonts w:ascii="Franklin Gothic Book" w:hAnsi="Franklin Gothic Book"/>
          <w:szCs w:val="20"/>
        </w:rPr>
        <w:t xml:space="preserve"> to provide them with the appropriate human resources, drugs and equipment, information etc. To improve the quality and sustainability of the NCD response in Tonga it is not enough to support just the narrow technical aspects directly related to non-communicable diseases. A sustained, efficient response to NCDs requires well-functioning systems of planning, resource allocation, human resources, </w:t>
      </w:r>
      <w:r>
        <w:rPr>
          <w:rFonts w:ascii="Franklin Gothic Book" w:hAnsi="Franklin Gothic Book"/>
          <w:szCs w:val="20"/>
        </w:rPr>
        <w:t xml:space="preserve">asset management, </w:t>
      </w:r>
      <w:r w:rsidRPr="005F4FAA">
        <w:rPr>
          <w:rFonts w:ascii="Franklin Gothic Book" w:hAnsi="Franklin Gothic Book"/>
          <w:szCs w:val="20"/>
        </w:rPr>
        <w:t>procurement and health information, for example. An important focus of THSSP2 is to use government systems and to strengthen them by so doing.</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w:t>
      </w:r>
      <w:r>
        <w:rPr>
          <w:rFonts w:ascii="Franklin Gothic Book" w:hAnsi="Franklin Gothic Book"/>
          <w:szCs w:val="20"/>
        </w:rPr>
        <w:t xml:space="preserve">Ministry of Health’s </w:t>
      </w:r>
      <w:r w:rsidRPr="005F4FAA">
        <w:rPr>
          <w:rFonts w:ascii="Franklin Gothic Book" w:hAnsi="Franklin Gothic Book"/>
          <w:szCs w:val="20"/>
        </w:rPr>
        <w:t>Corporate Plan shows an awareness of the importance of systems strengthening. The National Health Development Committee (NHDC) has also demonstrated its commitment to health systems strengthening by approving the DFAT Investment Concept N</w:t>
      </w:r>
      <w:r>
        <w:rPr>
          <w:rFonts w:ascii="Franklin Gothic Book" w:hAnsi="Franklin Gothic Book"/>
          <w:szCs w:val="20"/>
        </w:rPr>
        <w:t>ote in October 2014 (see Annex 3</w:t>
      </w:r>
      <w:r w:rsidRPr="005F4FAA">
        <w:rPr>
          <w:rFonts w:ascii="Franklin Gothic Book" w:hAnsi="Franklin Gothic Book"/>
          <w:szCs w:val="20"/>
        </w:rPr>
        <w:t xml:space="preserve">). This concept note gave the NHDC the choice of whether or not to include health systems strengthening as a significant part of THSSP2: the NHDC quickly agreed that this was a vital component.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3061C0">
        <w:rPr>
          <w:rFonts w:ascii="Franklin Gothic Book" w:hAnsi="Franklin Gothic Book"/>
          <w:szCs w:val="20"/>
        </w:rPr>
        <w:t xml:space="preserve">To inform the design of THSSP2, an assessment of the MoH’s PFM systems was undertaken at the end of 2013. This assessment identified several system weaknesses, along with the fiduciary risks resulting from those weaknesses. The report also included recommendations to mitigate the identified risks, and to inform the longer term systems strengthening objective of THSSP2. </w:t>
      </w:r>
      <w:r>
        <w:rPr>
          <w:rFonts w:ascii="Franklin Gothic Book" w:hAnsi="Franklin Gothic Book"/>
          <w:szCs w:val="20"/>
        </w:rPr>
        <w:t>The Risk Matrix</w:t>
      </w:r>
      <w:r w:rsidRPr="003061C0">
        <w:rPr>
          <w:rFonts w:ascii="Franklin Gothic Book" w:hAnsi="Franklin Gothic Book"/>
          <w:szCs w:val="20"/>
        </w:rPr>
        <w:t xml:space="preserve"> is </w:t>
      </w:r>
      <w:r>
        <w:rPr>
          <w:rFonts w:ascii="Franklin Gothic Book" w:hAnsi="Franklin Gothic Book"/>
          <w:szCs w:val="20"/>
        </w:rPr>
        <w:t>provided at Annex 22</w:t>
      </w:r>
      <w:r w:rsidRPr="00E07107">
        <w:rPr>
          <w:rFonts w:ascii="Franklin Gothic Book" w:hAnsi="Franklin Gothic Book"/>
          <w:szCs w:val="20"/>
        </w:rPr>
        <w:t>, along</w:t>
      </w:r>
      <w:r w:rsidRPr="003061C0">
        <w:rPr>
          <w:rFonts w:ascii="Franklin Gothic Book" w:hAnsi="Franklin Gothic Book"/>
          <w:szCs w:val="20"/>
        </w:rPr>
        <w:t xml:space="preserve"> with a response to how the recommendations regarding mitigation measures have been incorporated into the THSSP2 design.</w:t>
      </w:r>
    </w:p>
    <w:p w:rsidR="00B652E1" w:rsidRDefault="00B652E1" w:rsidP="00B652E1">
      <w:pPr>
        <w:spacing w:line="276" w:lineRule="auto"/>
        <w:rPr>
          <w:rFonts w:ascii="Franklin Gothic Book" w:hAnsi="Franklin Gothic Book"/>
          <w:i/>
          <w:szCs w:val="20"/>
        </w:rPr>
      </w:pPr>
    </w:p>
    <w:p w:rsidR="00B652E1" w:rsidRDefault="00B652E1" w:rsidP="00B652E1">
      <w:pPr>
        <w:spacing w:line="276" w:lineRule="auto"/>
        <w:rPr>
          <w:rFonts w:ascii="Franklin Gothic Book" w:hAnsi="Franklin Gothic Book"/>
          <w:szCs w:val="20"/>
        </w:rPr>
      </w:pPr>
      <w:r>
        <w:rPr>
          <w:rFonts w:ascii="Franklin Gothic Book" w:hAnsi="Franklin Gothic Book"/>
          <w:szCs w:val="20"/>
        </w:rPr>
        <w:t xml:space="preserve">The Ministry of Health does not work in isolation: for systems to improve in the MOH improvements also need to be made in other ministries and agencies, notably the Ministry of Finance and National Planning. It is hoped that improvements in the MOH will act as an influential demonstration for other ministries about what can be achieved within the Government of Tonga system. </w:t>
      </w:r>
    </w:p>
    <w:p w:rsidR="00B652E1" w:rsidRPr="00931C0F" w:rsidRDefault="00B652E1" w:rsidP="00B652E1">
      <w:pPr>
        <w:spacing w:line="276" w:lineRule="auto"/>
        <w:rPr>
          <w:rFonts w:ascii="Franklin Gothic Book" w:hAnsi="Franklin Gothic Book"/>
          <w:szCs w:val="20"/>
        </w:rPr>
      </w:pPr>
    </w:p>
    <w:p w:rsidR="00B652E1" w:rsidRPr="005F4FAA" w:rsidRDefault="00B652E1" w:rsidP="00F63C34">
      <w:pPr>
        <w:pStyle w:val="Heading2"/>
      </w:pPr>
      <w:r w:rsidRPr="005F4FAA">
        <w:t xml:space="preserve">Gender equality and disability </w:t>
      </w:r>
      <w:r>
        <w:t>inclusion</w:t>
      </w:r>
      <w:r w:rsidRPr="005F4FAA">
        <w:t xml:space="preserve">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Gender and disability are both highly relevant to the work supported by THSSP2. </w:t>
      </w:r>
      <w:r w:rsidRPr="009C044C">
        <w:rPr>
          <w:rFonts w:ascii="Franklin Gothic Book" w:hAnsi="Franklin Gothic Book"/>
          <w:szCs w:val="20"/>
        </w:rPr>
        <w:t xml:space="preserve">An important activity under THSSP2 is defining a “universal health coverage” package for </w:t>
      </w:r>
      <w:r w:rsidRPr="009C044C">
        <w:rPr>
          <w:rFonts w:ascii="Franklin Gothic Book" w:hAnsi="Franklin Gothic Book"/>
          <w:i/>
          <w:szCs w:val="20"/>
        </w:rPr>
        <w:t>all</w:t>
      </w:r>
      <w:r w:rsidRPr="009C044C">
        <w:rPr>
          <w:rFonts w:ascii="Franklin Gothic Book" w:hAnsi="Franklin Gothic Book"/>
          <w:szCs w:val="20"/>
        </w:rPr>
        <w:t xml:space="preserve"> Tongans – poor and disadvantaged groups stand to benefit from this disproportionately because they are less likely to access health care for reasons of geography or disability, for example. The different barriers faced by men, women, boys and girls in accessing health information and services in Tonga are multiplied for those with disability, who also  experience physical, communication and cultural barriers to access, and problems related to the suitability of services. (For example people with mental health conditions are often reluctant to visit health facilities because of the stigma attached to mental illness.) THSSP2 will seek to address these barriers by supporting work on universal health coverage and by requiring MoH Annual </w:t>
      </w:r>
      <w:r>
        <w:rPr>
          <w:rFonts w:ascii="Franklin Gothic Book" w:hAnsi="Franklin Gothic Book"/>
          <w:szCs w:val="20"/>
        </w:rPr>
        <w:t xml:space="preserve">Management </w:t>
      </w:r>
      <w:r w:rsidRPr="009C044C">
        <w:rPr>
          <w:rFonts w:ascii="Franklin Gothic Book" w:hAnsi="Franklin Gothic Book"/>
          <w:szCs w:val="20"/>
        </w:rPr>
        <w:t>Plans to show how they address gender, equity and social inclusion issues.</w:t>
      </w:r>
      <w:r>
        <w:rPr>
          <w:rStyle w:val="FootnoteReference"/>
        </w:rPr>
        <w:footnoteReference w:id="12"/>
      </w:r>
      <w:r w:rsidRPr="009C044C">
        <w:rPr>
          <w:rFonts w:ascii="Franklin Gothic Book" w:hAnsi="Franklin Gothic Book"/>
          <w:szCs w:val="20"/>
        </w:rPr>
        <w:t xml:space="preserve"> Provision of the package will be monitored, with the information disaggregated by gender and location.</w:t>
      </w:r>
      <w:r w:rsidRPr="005F4FAA">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CA5B7A">
        <w:rPr>
          <w:rFonts w:ascii="Franklin Gothic Book" w:hAnsi="Franklin Gothic Book"/>
          <w:i/>
          <w:szCs w:val="20"/>
        </w:rPr>
        <w:t>Gender</w:t>
      </w:r>
      <w:r>
        <w:rPr>
          <w:rFonts w:ascii="Franklin Gothic Book" w:hAnsi="Franklin Gothic Book"/>
          <w:szCs w:val="20"/>
        </w:rPr>
        <w:t xml:space="preserve"> </w:t>
      </w:r>
      <w:r w:rsidRPr="00CA5B7A">
        <w:rPr>
          <w:rFonts w:ascii="Franklin Gothic Book" w:hAnsi="Franklin Gothic Book"/>
          <w:i/>
          <w:szCs w:val="20"/>
        </w:rPr>
        <w:t>equality</w:t>
      </w:r>
      <w:r>
        <w:rPr>
          <w:rFonts w:ascii="Franklin Gothic Book" w:hAnsi="Franklin Gothic Book"/>
          <w:szCs w:val="20"/>
        </w:rPr>
        <w:t xml:space="preserv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NCDs affect women and men differently and the response needs to be tailored accordingly. For example men are less likely to visit a health practitioner and there is a need for targeted intervention</w:t>
      </w:r>
      <w:r>
        <w:rPr>
          <w:rFonts w:ascii="Franklin Gothic Book" w:hAnsi="Franklin Gothic Book"/>
          <w:szCs w:val="20"/>
        </w:rPr>
        <w:t xml:space="preserve">s to improve male utilisation. </w:t>
      </w:r>
      <w:r w:rsidRPr="005F4FAA">
        <w:rPr>
          <w:rFonts w:ascii="Franklin Gothic Book" w:hAnsi="Franklin Gothic Book"/>
          <w:szCs w:val="20"/>
        </w:rPr>
        <w:t xml:space="preserve">A mass media campaign about tobacco use would benefit men more than women; in contrast a campaign promoting participation in netball would benefit mostly women and girls. </w:t>
      </w:r>
    </w:p>
    <w:p w:rsidR="00B652E1" w:rsidRPr="005F4FAA" w:rsidRDefault="00B652E1" w:rsidP="00B652E1">
      <w:pPr>
        <w:spacing w:line="276" w:lineRule="auto"/>
        <w:rPr>
          <w:rFonts w:ascii="Franklin Gothic Book" w:hAnsi="Franklin Gothic Book"/>
          <w:szCs w:val="20"/>
        </w:rPr>
      </w:pPr>
    </w:p>
    <w:p w:rsidR="00B652E1" w:rsidRPr="005D06FD" w:rsidRDefault="00B652E1" w:rsidP="00B652E1">
      <w:pPr>
        <w:spacing w:line="276" w:lineRule="auto"/>
        <w:rPr>
          <w:rFonts w:ascii="Franklin Gothic Book" w:hAnsi="Franklin Gothic Book"/>
          <w:szCs w:val="20"/>
        </w:rPr>
      </w:pPr>
      <w:r w:rsidRPr="005F4FAA">
        <w:rPr>
          <w:rFonts w:ascii="Franklin Gothic Book" w:hAnsi="Franklin Gothic Book"/>
          <w:szCs w:val="20"/>
        </w:rPr>
        <w:t>Designing and maintaining gender-appropriate responses require good data</w:t>
      </w:r>
      <w:r>
        <w:rPr>
          <w:rFonts w:ascii="Franklin Gothic Book" w:hAnsi="Franklin Gothic Book"/>
          <w:szCs w:val="20"/>
        </w:rPr>
        <w:t>. F</w:t>
      </w:r>
      <w:r w:rsidRPr="005F4FAA">
        <w:rPr>
          <w:rFonts w:ascii="Franklin Gothic Book" w:hAnsi="Franklin Gothic Book"/>
          <w:szCs w:val="20"/>
        </w:rPr>
        <w:t>ortunately, the main sources of information on NCDs – facility information, Knowledge-Attitude-Behaviour Sur</w:t>
      </w:r>
      <w:r>
        <w:rPr>
          <w:rFonts w:ascii="Franklin Gothic Book" w:hAnsi="Franklin Gothic Book"/>
          <w:szCs w:val="20"/>
        </w:rPr>
        <w:t>veys and the five-yearly STEPS S</w:t>
      </w:r>
      <w:r w:rsidRPr="005F4FAA">
        <w:rPr>
          <w:rFonts w:ascii="Franklin Gothic Book" w:hAnsi="Franklin Gothic Book"/>
          <w:szCs w:val="20"/>
        </w:rPr>
        <w:t>urvey – disaggregate most of their information by gender.</w:t>
      </w:r>
      <w:r w:rsidRPr="005F4FAA">
        <w:rPr>
          <w:rStyle w:val="FootnoteReference"/>
          <w:rFonts w:ascii="Franklin Gothic Book" w:hAnsi="Franklin Gothic Book"/>
        </w:rPr>
        <w:footnoteReference w:id="13"/>
      </w:r>
      <w:r w:rsidRPr="005F4FAA">
        <w:rPr>
          <w:rFonts w:ascii="Franklin Gothic Book" w:hAnsi="Franklin Gothic Book"/>
          <w:szCs w:val="20"/>
        </w:rPr>
        <w:t xml:space="preserve"> </w:t>
      </w:r>
      <w:r w:rsidRPr="009C044C">
        <w:rPr>
          <w:rFonts w:ascii="Franklin Gothic Book" w:hAnsi="Franklin Gothic Book"/>
          <w:szCs w:val="20"/>
        </w:rPr>
        <w:t>Although the quality of much of the data needs to be improved, there is a reasonably good foundation for the pursuit of gender equality.</w:t>
      </w:r>
      <w:r w:rsidRPr="005D06FD">
        <w:rPr>
          <w:rFonts w:ascii="Franklin Gothic Book" w:hAnsi="Franklin Gothic Book"/>
          <w:szCs w:val="20"/>
        </w:rPr>
        <w:t xml:space="preserve">  </w:t>
      </w:r>
    </w:p>
    <w:p w:rsidR="00B652E1" w:rsidRPr="00EC0F31" w:rsidRDefault="00B652E1" w:rsidP="00B652E1">
      <w:pPr>
        <w:spacing w:line="276" w:lineRule="auto"/>
        <w:rPr>
          <w:rFonts w:ascii="Franklin Gothic Book" w:hAnsi="Franklin Gothic Book"/>
          <w:szCs w:val="20"/>
        </w:rPr>
      </w:pPr>
    </w:p>
    <w:p w:rsidR="00B652E1" w:rsidRPr="009C044C" w:rsidRDefault="00B652E1" w:rsidP="00B652E1">
      <w:pPr>
        <w:spacing w:line="276" w:lineRule="auto"/>
        <w:rPr>
          <w:rFonts w:ascii="Franklin Gothic Book" w:hAnsi="Franklin Gothic Book"/>
          <w:szCs w:val="20"/>
        </w:rPr>
      </w:pPr>
      <w:r w:rsidRPr="009C044C">
        <w:rPr>
          <w:rFonts w:ascii="Franklin Gothic Book" w:hAnsi="Franklin Gothic Book"/>
          <w:i/>
          <w:szCs w:val="20"/>
        </w:rPr>
        <w:t>Disability</w:t>
      </w:r>
      <w:r w:rsidRPr="009C044C">
        <w:rPr>
          <w:rFonts w:ascii="Franklin Gothic Book" w:hAnsi="Franklin Gothic Book"/>
          <w:szCs w:val="20"/>
        </w:rPr>
        <w:t xml:space="preserve"> </w:t>
      </w:r>
      <w:r w:rsidRPr="009C044C">
        <w:rPr>
          <w:rFonts w:ascii="Franklin Gothic Book" w:hAnsi="Franklin Gothic Book"/>
          <w:i/>
          <w:szCs w:val="20"/>
        </w:rPr>
        <w:t>inclusion</w:t>
      </w:r>
    </w:p>
    <w:p w:rsidR="00B652E1" w:rsidRDefault="00B652E1" w:rsidP="00B652E1">
      <w:pPr>
        <w:spacing w:before="120" w:line="276" w:lineRule="auto"/>
        <w:rPr>
          <w:rFonts w:ascii="Franklin Gothic Book" w:hAnsi="Franklin Gothic Book" w:cs="Arial"/>
          <w:szCs w:val="22"/>
        </w:rPr>
      </w:pPr>
      <w:r>
        <w:rPr>
          <w:rFonts w:ascii="Franklin Gothic Book" w:hAnsi="Franklin Gothic Book" w:cs="Arial"/>
          <w:szCs w:val="22"/>
        </w:rPr>
        <w:t>R</w:t>
      </w:r>
      <w:r w:rsidRPr="009C044C">
        <w:rPr>
          <w:rFonts w:ascii="Franklin Gothic Book" w:hAnsi="Franklin Gothic Book" w:cs="Arial"/>
          <w:szCs w:val="22"/>
        </w:rPr>
        <w:t>ates of disability are on the rise in Tonga, meaning greater numbers of people with disability require health services. Therefore it is important to ensure that work on promoting universal coverage and addressing NCDs specifically consider</w:t>
      </w:r>
      <w:r>
        <w:rPr>
          <w:rFonts w:ascii="Franklin Gothic Book" w:hAnsi="Franklin Gothic Book" w:cs="Arial"/>
          <w:szCs w:val="22"/>
        </w:rPr>
        <w:t>s</w:t>
      </w:r>
      <w:r w:rsidRPr="009C044C">
        <w:rPr>
          <w:rFonts w:ascii="Franklin Gothic Book" w:hAnsi="Franklin Gothic Book" w:cs="Arial"/>
          <w:szCs w:val="22"/>
        </w:rPr>
        <w:t xml:space="preserve"> the needs of people with disability and address</w:t>
      </w:r>
      <w:r>
        <w:rPr>
          <w:rFonts w:ascii="Franklin Gothic Book" w:hAnsi="Franklin Gothic Book" w:cs="Arial"/>
          <w:szCs w:val="22"/>
        </w:rPr>
        <w:t>es</w:t>
      </w:r>
      <w:r w:rsidRPr="009C044C">
        <w:rPr>
          <w:rFonts w:ascii="Franklin Gothic Book" w:hAnsi="Franklin Gothic Book" w:cs="Arial"/>
          <w:szCs w:val="22"/>
        </w:rPr>
        <w:t xml:space="preserve"> barriers they face. </w:t>
      </w:r>
    </w:p>
    <w:p w:rsidR="00B652E1" w:rsidRPr="003061C0" w:rsidRDefault="00B652E1" w:rsidP="00B652E1">
      <w:pPr>
        <w:spacing w:line="276" w:lineRule="auto"/>
        <w:rPr>
          <w:rFonts w:ascii="Franklin Gothic Book" w:hAnsi="Franklin Gothic Book"/>
          <w:szCs w:val="20"/>
        </w:rPr>
      </w:pPr>
    </w:p>
    <w:p w:rsidR="00B652E1" w:rsidRPr="00A40A80" w:rsidRDefault="00B652E1" w:rsidP="00B652E1">
      <w:pPr>
        <w:spacing w:line="276" w:lineRule="auto"/>
        <w:rPr>
          <w:rFonts w:ascii="Franklin Gothic Book" w:hAnsi="Franklin Gothic Book"/>
          <w:szCs w:val="20"/>
        </w:rPr>
      </w:pPr>
      <w:r w:rsidRPr="003061C0">
        <w:rPr>
          <w:rFonts w:ascii="Franklin Gothic Book" w:hAnsi="Franklin Gothic Book"/>
          <w:szCs w:val="20"/>
        </w:rPr>
        <w:t xml:space="preserve">There is a strong link between the increase in rates of disability (including mental health conditions) in Tonga and the incidence of NCDs: for example amputations related to diabetic sepsis, paralysis relating to stroke and vision impairment due to diabetes. THSSP2 will contribute to preventing some of these conditions and limiting the disabling consequences of NCDs. Services for people with disability and mental health conditions are very limited in Tonga – even some highly cost-effective interventions (for example community-based rehabilitation) are not currently available.  To complement the universal health coverage package, THSSP2 will </w:t>
      </w:r>
      <w:r w:rsidRPr="00A40A80">
        <w:rPr>
          <w:rFonts w:ascii="Franklin Gothic Book" w:hAnsi="Franklin Gothic Book"/>
          <w:szCs w:val="20"/>
        </w:rPr>
        <w:t xml:space="preserve">make available seed money for disability and mental health services, in recognition that these are under-developed and at times stigmatised services. </w:t>
      </w:r>
      <w:r w:rsidRPr="00B67EAD">
        <w:rPr>
          <w:rFonts w:ascii="Franklin Gothic Book" w:hAnsi="Franklin Gothic Book"/>
          <w:szCs w:val="20"/>
        </w:rPr>
        <w:t>This design document deliberately does not specify a percentage of the budget to be spent on mental health and disability because this depends on the quality of the relevant Annual Management Plans. The disability/mental health spending is intended to be catalytic – i.e. to raise the profile of these vulnerable groups, to support advocacy activities and to demonstrate what types of services are possible. The funds are certainly not intended for large-scale service delivery, for example for routinely prescribed psychiatric drugs. (See Annex 4 for Guidelines on the use of THSSP2 funds.)</w:t>
      </w:r>
      <w:r w:rsidRPr="00A40A80">
        <w:rPr>
          <w:rFonts w:ascii="Franklin Gothic Book" w:hAnsi="Franklin Gothic Book"/>
          <w:szCs w:val="20"/>
        </w:rPr>
        <w:t xml:space="preserve"> </w:t>
      </w:r>
    </w:p>
    <w:p w:rsidR="00B652E1" w:rsidRPr="00A40A80" w:rsidRDefault="00B652E1" w:rsidP="00F63C34">
      <w:pPr>
        <w:pStyle w:val="Heading2"/>
        <w:rPr>
          <w:lang w:eastAsia="en-US"/>
        </w:rPr>
      </w:pPr>
      <w:r w:rsidRPr="00A40A80">
        <w:rPr>
          <w:lang w:eastAsia="en-US"/>
        </w:rPr>
        <w:t xml:space="preserve">Development Problem/Issue Analysis </w:t>
      </w:r>
    </w:p>
    <w:p w:rsidR="00B652E1" w:rsidRPr="00A40A80" w:rsidRDefault="00B652E1" w:rsidP="00B652E1">
      <w:pPr>
        <w:spacing w:line="276" w:lineRule="auto"/>
        <w:rPr>
          <w:rFonts w:ascii="Franklin Gothic Book" w:hAnsi="Franklin Gothic Book"/>
          <w:szCs w:val="20"/>
        </w:rPr>
      </w:pPr>
    </w:p>
    <w:p w:rsidR="00B652E1" w:rsidRPr="00A40A80" w:rsidRDefault="00B652E1" w:rsidP="00B652E1">
      <w:pPr>
        <w:spacing w:line="276" w:lineRule="auto"/>
        <w:rPr>
          <w:rFonts w:ascii="Franklin Gothic Book" w:hAnsi="Franklin Gothic Book"/>
          <w:szCs w:val="20"/>
        </w:rPr>
      </w:pPr>
      <w:r w:rsidRPr="00A40A80">
        <w:rPr>
          <w:rFonts w:ascii="Franklin Gothic Book" w:hAnsi="Franklin Gothic Book"/>
          <w:szCs w:val="20"/>
        </w:rPr>
        <w:t xml:space="preserve">Previous </w:t>
      </w:r>
      <w:r w:rsidRPr="00B67EAD">
        <w:rPr>
          <w:rFonts w:ascii="Franklin Gothic Book" w:hAnsi="Franklin Gothic Book"/>
          <w:szCs w:val="20"/>
        </w:rPr>
        <w:t>sections, plus Annexes 1 and 2, describe the major health and health system issues to be addressed by THSSP2</w:t>
      </w:r>
      <w:r w:rsidRPr="00A40A80">
        <w:rPr>
          <w:rFonts w:ascii="Franklin Gothic Book" w:hAnsi="Franklin Gothic Book"/>
          <w:szCs w:val="20"/>
        </w:rPr>
        <w:t>. In summary, the program will address the following development issues:</w:t>
      </w:r>
    </w:p>
    <w:p w:rsidR="00B652E1" w:rsidRPr="00A40A80" w:rsidRDefault="00B652E1" w:rsidP="00B652E1">
      <w:pPr>
        <w:spacing w:line="276" w:lineRule="auto"/>
        <w:rPr>
          <w:rFonts w:ascii="Franklin Gothic Book" w:hAnsi="Franklin Gothic Book"/>
          <w:szCs w:val="20"/>
        </w:rPr>
      </w:pPr>
    </w:p>
    <w:p w:rsidR="00B652E1" w:rsidRPr="00A40A80" w:rsidRDefault="00B652E1" w:rsidP="00B652E1">
      <w:pPr>
        <w:pStyle w:val="ListParagraph"/>
        <w:numPr>
          <w:ilvl w:val="0"/>
          <w:numId w:val="22"/>
        </w:numPr>
        <w:spacing w:after="0" w:line="276" w:lineRule="auto"/>
        <w:contextualSpacing/>
        <w:rPr>
          <w:rFonts w:ascii="Franklin Gothic Book" w:hAnsi="Franklin Gothic Book"/>
          <w:sz w:val="20"/>
          <w:szCs w:val="20"/>
        </w:rPr>
      </w:pPr>
      <w:r w:rsidRPr="00A40A80">
        <w:rPr>
          <w:rFonts w:ascii="Franklin Gothic Book" w:hAnsi="Franklin Gothic Book"/>
          <w:i/>
          <w:sz w:val="20"/>
          <w:szCs w:val="20"/>
        </w:rPr>
        <w:t>Health</w:t>
      </w:r>
      <w:r w:rsidRPr="00A40A80">
        <w:rPr>
          <w:rFonts w:ascii="Franklin Gothic Book" w:hAnsi="Franklin Gothic Book"/>
          <w:sz w:val="20"/>
          <w:szCs w:val="20"/>
        </w:rPr>
        <w:t xml:space="preserve">: NCDs are a serious health problem. The Ministry of Health believes that NCDs have caused a </w:t>
      </w:r>
      <w:r w:rsidRPr="00A40A80">
        <w:rPr>
          <w:rFonts w:ascii="Franklin Gothic Book" w:hAnsi="Franklin Gothic Book"/>
          <w:i/>
          <w:sz w:val="20"/>
          <w:szCs w:val="20"/>
        </w:rPr>
        <w:t xml:space="preserve">decrease </w:t>
      </w:r>
      <w:r w:rsidRPr="00A40A80">
        <w:rPr>
          <w:rFonts w:ascii="Franklin Gothic Book" w:hAnsi="Franklin Gothic Book"/>
          <w:sz w:val="20"/>
          <w:szCs w:val="20"/>
        </w:rPr>
        <w:t xml:space="preserve">in life expectancy in Tonga. </w:t>
      </w:r>
    </w:p>
    <w:p w:rsidR="00B652E1" w:rsidRPr="005F4FAA" w:rsidRDefault="00B652E1" w:rsidP="00B652E1">
      <w:pPr>
        <w:pStyle w:val="ListParagraph"/>
        <w:numPr>
          <w:ilvl w:val="0"/>
          <w:numId w:val="22"/>
        </w:numPr>
        <w:spacing w:after="0" w:line="276" w:lineRule="auto"/>
        <w:contextualSpacing/>
        <w:rPr>
          <w:rFonts w:ascii="Franklin Gothic Book" w:hAnsi="Franklin Gothic Book"/>
          <w:sz w:val="20"/>
          <w:szCs w:val="20"/>
        </w:rPr>
      </w:pPr>
      <w:r>
        <w:rPr>
          <w:rFonts w:ascii="Franklin Gothic Book" w:hAnsi="Franklin Gothic Book"/>
          <w:i/>
          <w:sz w:val="20"/>
          <w:szCs w:val="20"/>
        </w:rPr>
        <w:t>E</w:t>
      </w:r>
      <w:r w:rsidRPr="005F4FAA">
        <w:rPr>
          <w:rFonts w:ascii="Franklin Gothic Book" w:hAnsi="Franklin Gothic Book"/>
          <w:i/>
          <w:sz w:val="20"/>
          <w:szCs w:val="20"/>
        </w:rPr>
        <w:t>conomic and social</w:t>
      </w:r>
      <w:r w:rsidRPr="005F4FAA">
        <w:rPr>
          <w:rFonts w:ascii="Franklin Gothic Book" w:hAnsi="Franklin Gothic Book"/>
          <w:sz w:val="20"/>
          <w:szCs w:val="20"/>
        </w:rPr>
        <w:t xml:space="preserve">: NCDs are costly to both government budgets and the economy more broadly. They have high social costs by imposing a heavy burden on (mostly female) carers and creating households which have lost their main income earner. </w:t>
      </w:r>
    </w:p>
    <w:p w:rsidR="00B652E1" w:rsidRDefault="00B652E1" w:rsidP="00B652E1">
      <w:pPr>
        <w:pStyle w:val="ListParagraph"/>
        <w:numPr>
          <w:ilvl w:val="0"/>
          <w:numId w:val="22"/>
        </w:numPr>
        <w:spacing w:after="0" w:line="276" w:lineRule="auto"/>
        <w:contextualSpacing/>
        <w:rPr>
          <w:rFonts w:ascii="Franklin Gothic Book" w:hAnsi="Franklin Gothic Book"/>
          <w:sz w:val="20"/>
          <w:szCs w:val="20"/>
        </w:rPr>
      </w:pPr>
      <w:r w:rsidRPr="00A93D51">
        <w:rPr>
          <w:rFonts w:ascii="Franklin Gothic Book" w:hAnsi="Franklin Gothic Book"/>
          <w:i/>
          <w:sz w:val="20"/>
          <w:szCs w:val="20"/>
        </w:rPr>
        <w:t>Country ownership and country systems</w:t>
      </w:r>
      <w:r w:rsidRPr="00A93D51">
        <w:rPr>
          <w:rFonts w:ascii="Franklin Gothic Book" w:hAnsi="Franklin Gothic Book"/>
          <w:sz w:val="20"/>
          <w:szCs w:val="20"/>
        </w:rPr>
        <w:t xml:space="preserve">: THSSP2 is designed to ensure that decisions about resource allocation and the practicalities of implementation will be made by local organisations. This is vital for developing a sustained response to the NCD crisis. </w:t>
      </w:r>
    </w:p>
    <w:p w:rsidR="00B652E1" w:rsidRPr="00A93D51" w:rsidRDefault="00B652E1" w:rsidP="00B652E1">
      <w:pPr>
        <w:pStyle w:val="ListParagraph"/>
        <w:numPr>
          <w:ilvl w:val="0"/>
          <w:numId w:val="22"/>
        </w:numPr>
        <w:spacing w:after="0" w:line="276" w:lineRule="auto"/>
        <w:contextualSpacing/>
        <w:rPr>
          <w:rFonts w:ascii="Franklin Gothic Book" w:hAnsi="Franklin Gothic Book"/>
          <w:sz w:val="20"/>
          <w:szCs w:val="20"/>
        </w:rPr>
      </w:pPr>
      <w:r w:rsidRPr="00A93D51">
        <w:rPr>
          <w:rFonts w:ascii="Franklin Gothic Book" w:hAnsi="Franklin Gothic Book"/>
          <w:i/>
          <w:sz w:val="20"/>
          <w:szCs w:val="20"/>
        </w:rPr>
        <w:t>Inclusion:</w:t>
      </w:r>
      <w:r w:rsidRPr="00A93D51">
        <w:rPr>
          <w:rFonts w:ascii="Franklin Gothic Book" w:hAnsi="Franklin Gothic Book"/>
          <w:sz w:val="20"/>
          <w:szCs w:val="20"/>
        </w:rPr>
        <w:t xml:space="preserve"> there is currently no comprehensive planning and prioritisation system which takes into account the health needs of </w:t>
      </w:r>
      <w:r w:rsidRPr="00A93D51">
        <w:rPr>
          <w:rFonts w:ascii="Franklin Gothic Book" w:hAnsi="Franklin Gothic Book"/>
          <w:i/>
          <w:sz w:val="20"/>
          <w:szCs w:val="20"/>
        </w:rPr>
        <w:t>all</w:t>
      </w:r>
      <w:r w:rsidRPr="00A93D51">
        <w:rPr>
          <w:rFonts w:ascii="Franklin Gothic Book" w:hAnsi="Franklin Gothic Book"/>
          <w:sz w:val="20"/>
          <w:szCs w:val="20"/>
        </w:rPr>
        <w:t xml:space="preserve"> Tongans, regardless of gender, disability, </w:t>
      </w:r>
      <w:r w:rsidRPr="009074A5">
        <w:rPr>
          <w:rFonts w:ascii="Franklin Gothic Book" w:hAnsi="Franklin Gothic Book"/>
          <w:sz w:val="20"/>
          <w:szCs w:val="20"/>
        </w:rPr>
        <w:t>geograp</w:t>
      </w:r>
      <w:r w:rsidRPr="0029798B">
        <w:rPr>
          <w:rFonts w:ascii="Franklin Gothic Book" w:hAnsi="Franklin Gothic Book"/>
          <w:sz w:val="20"/>
          <w:szCs w:val="20"/>
        </w:rPr>
        <w:t xml:space="preserve">hical location or the nature of their health need. THSSP2 seeks to address this by supporting </w:t>
      </w:r>
      <w:r>
        <w:rPr>
          <w:rFonts w:ascii="Franklin Gothic Book" w:hAnsi="Franklin Gothic Book"/>
          <w:sz w:val="20"/>
          <w:szCs w:val="20"/>
        </w:rPr>
        <w:t>Universal Health Coverage</w:t>
      </w:r>
      <w:r w:rsidRPr="0029798B">
        <w:rPr>
          <w:rFonts w:ascii="Franklin Gothic Book" w:hAnsi="Franklin Gothic Book"/>
          <w:sz w:val="20"/>
          <w:szCs w:val="20"/>
        </w:rPr>
        <w:t xml:space="preserve"> and strengthening planning systems. Plans will be informed by information disaggregated</w:t>
      </w:r>
      <w:r w:rsidRPr="00A93D51">
        <w:rPr>
          <w:rFonts w:ascii="Franklin Gothic Book" w:hAnsi="Franklin Gothic Book"/>
          <w:sz w:val="20"/>
          <w:szCs w:val="20"/>
        </w:rPr>
        <w:t xml:space="preserve"> by gender, with different services for females and males when appropriate. </w:t>
      </w:r>
      <w:r>
        <w:rPr>
          <w:rFonts w:ascii="Franklin Gothic Book" w:hAnsi="Franklin Gothic Book"/>
          <w:sz w:val="20"/>
          <w:szCs w:val="20"/>
        </w:rPr>
        <w:t xml:space="preserve">Information related to disabilities will also be improved.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There would be a number of dimensions to success for this investment:</w:t>
      </w:r>
    </w:p>
    <w:p w:rsidR="00B652E1" w:rsidRPr="005F4FAA" w:rsidRDefault="00B652E1" w:rsidP="00B652E1">
      <w:pPr>
        <w:spacing w:line="276" w:lineRule="auto"/>
        <w:rPr>
          <w:rFonts w:ascii="Franklin Gothic Book" w:hAnsi="Franklin Gothic Book"/>
          <w:szCs w:val="20"/>
        </w:rPr>
      </w:pPr>
    </w:p>
    <w:p w:rsidR="00B652E1" w:rsidRPr="00A40A80"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Essential health care services specified and their provision monitored, as per the current </w:t>
      </w:r>
      <w:r w:rsidRPr="00A40A80">
        <w:rPr>
          <w:rFonts w:ascii="Franklin Gothic Book" w:hAnsi="Franklin Gothic Book"/>
          <w:sz w:val="20"/>
          <w:szCs w:val="20"/>
        </w:rPr>
        <w:t xml:space="preserve">Corporate Plan. Information about gender, disability, geographical location and the types of services being used will enable consideration of gender, equity and social inclusion. </w:t>
      </w:r>
    </w:p>
    <w:p w:rsidR="00B652E1" w:rsidRPr="00B67EAD"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A40A80">
        <w:rPr>
          <w:rFonts w:ascii="Franklin Gothic Book" w:hAnsi="Franklin Gothic Book"/>
          <w:sz w:val="20"/>
          <w:szCs w:val="20"/>
        </w:rPr>
        <w:t>Improved trends in key NCD indicators for women and for men. (</w:t>
      </w:r>
      <w:r w:rsidRPr="00B67EAD">
        <w:rPr>
          <w:rFonts w:ascii="Franklin Gothic Book" w:hAnsi="Franklin Gothic Book"/>
          <w:sz w:val="20"/>
          <w:szCs w:val="20"/>
        </w:rPr>
        <w:t>As explained above, Tonga will have to work hard even to maintain stable rates of NCDs, so this is an ambitious – but necessary – aim.)</w:t>
      </w:r>
    </w:p>
    <w:p w:rsidR="00B652E1" w:rsidRPr="005F4FAA"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Information available about the number and cost of prevented hospitalisations because of better out-patient management of NCDs. (This can start by focussing on particular types of hospitalisation, e.g. for amputations.)</w:t>
      </w:r>
    </w:p>
    <w:p w:rsidR="00B652E1" w:rsidRPr="005F4FAA"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Annual planning-implementation-monitoring cycle functioning for the Ministry of Health, with the resulting information used to make resource allocation decisions. Towards the end of THSSP2 progress with this can be used to assess whether the Ministry may be ready to receive Sector Budget Support.</w:t>
      </w:r>
    </w:p>
    <w:p w:rsidR="00B652E1" w:rsidRPr="005F4FAA"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Measurable population changes in knowledge, attitudes and behaviours around healthy living.</w:t>
      </w:r>
    </w:p>
    <w:p w:rsidR="00B652E1" w:rsidRPr="005F4FAA"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Implementation of a multi-sectoral NCD National Strategy, with TongaHealth playing an effective leadership and co-ordination role. </w:t>
      </w:r>
    </w:p>
    <w:p w:rsidR="00B652E1" w:rsidRPr="00931C0F" w:rsidRDefault="00B652E1" w:rsidP="00B652E1">
      <w:pPr>
        <w:pStyle w:val="ListParagraph"/>
        <w:numPr>
          <w:ilvl w:val="0"/>
          <w:numId w:val="23"/>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Basic disability and mental health</w:t>
      </w:r>
      <w:r>
        <w:rPr>
          <w:rFonts w:ascii="Franklin Gothic Book" w:hAnsi="Franklin Gothic Book"/>
          <w:sz w:val="20"/>
          <w:szCs w:val="20"/>
        </w:rPr>
        <w:t xml:space="preserve"> services</w:t>
      </w:r>
      <w:r w:rsidRPr="005F4FAA">
        <w:rPr>
          <w:rFonts w:ascii="Franklin Gothic Book" w:hAnsi="Franklin Gothic Book"/>
          <w:sz w:val="20"/>
          <w:szCs w:val="20"/>
        </w:rPr>
        <w:t xml:space="preserve"> included in the essential services package and new resources available to expand service provision in these areas.  (Funding from THSSP2 </w:t>
      </w:r>
      <w:r w:rsidRPr="00931C0F">
        <w:rPr>
          <w:rFonts w:ascii="Franklin Gothic Book" w:hAnsi="Franklin Gothic Book"/>
          <w:sz w:val="20"/>
          <w:szCs w:val="20"/>
        </w:rPr>
        <w:t xml:space="preserve">itself is marginal for these services; certainly not enough to develop a universal service.) </w:t>
      </w:r>
    </w:p>
    <w:p w:rsidR="00B652E1" w:rsidRPr="00A40A80" w:rsidRDefault="00B652E1" w:rsidP="00B652E1">
      <w:pPr>
        <w:pStyle w:val="ListParagraph"/>
        <w:numPr>
          <w:ilvl w:val="0"/>
          <w:numId w:val="23"/>
        </w:numPr>
        <w:spacing w:before="80" w:line="276" w:lineRule="auto"/>
        <w:rPr>
          <w:rFonts w:ascii="Franklin Gothic Book" w:hAnsi="Franklin Gothic Book"/>
          <w:sz w:val="20"/>
          <w:szCs w:val="20"/>
          <w:u w:val="single"/>
          <w:lang w:eastAsia="en-US"/>
        </w:rPr>
      </w:pPr>
      <w:r w:rsidRPr="00931C0F">
        <w:rPr>
          <w:rFonts w:ascii="Franklin Gothic Book" w:hAnsi="Franklin Gothic Book"/>
          <w:sz w:val="20"/>
          <w:szCs w:val="20"/>
          <w:lang w:val="en-GB"/>
        </w:rPr>
        <w:t>The c</w:t>
      </w:r>
      <w:r w:rsidRPr="00931C0F">
        <w:rPr>
          <w:rFonts w:ascii="Franklin Gothic Book" w:eastAsiaTheme="minorEastAsia" w:hAnsi="Franklin Gothic Book"/>
          <w:sz w:val="20"/>
          <w:szCs w:val="20"/>
          <w:lang w:val="en-GB"/>
        </w:rPr>
        <w:t>ombined Ministry of Health + TongaHealth budgets</w:t>
      </w:r>
      <w:r w:rsidRPr="00931C0F">
        <w:rPr>
          <w:rFonts w:ascii="Franklin Gothic Book" w:hAnsi="Franklin Gothic Book"/>
          <w:sz w:val="20"/>
          <w:szCs w:val="20"/>
          <w:lang w:val="en-GB"/>
        </w:rPr>
        <w:t xml:space="preserve"> (excluding donor funds)</w:t>
      </w:r>
      <w:r w:rsidRPr="00931C0F">
        <w:rPr>
          <w:rFonts w:ascii="Franklin Gothic Book" w:eastAsiaTheme="minorEastAsia" w:hAnsi="Franklin Gothic Book"/>
          <w:sz w:val="20"/>
          <w:szCs w:val="20"/>
          <w:lang w:val="en-GB"/>
        </w:rPr>
        <w:t xml:space="preserve"> as a percentage of total government budget </w:t>
      </w:r>
      <w:r w:rsidRPr="00931C0F">
        <w:rPr>
          <w:rFonts w:ascii="Franklin Gothic Book" w:hAnsi="Franklin Gothic Book"/>
          <w:sz w:val="20"/>
          <w:szCs w:val="20"/>
          <w:lang w:val="en-GB"/>
        </w:rPr>
        <w:t>have not decreased and the</w:t>
      </w:r>
      <w:r w:rsidRPr="00931C0F">
        <w:rPr>
          <w:rFonts w:ascii="Franklin Gothic Book" w:eastAsiaTheme="minorEastAsia" w:hAnsi="Franklin Gothic Book"/>
          <w:sz w:val="20"/>
          <w:szCs w:val="20"/>
          <w:lang w:val="en-GB"/>
        </w:rPr>
        <w:t xml:space="preserve"> MOH budget for </w:t>
      </w:r>
      <w:r w:rsidRPr="00931C0F">
        <w:rPr>
          <w:rFonts w:ascii="Franklin Gothic Book" w:hAnsi="Franklin Gothic Book"/>
          <w:sz w:val="20"/>
          <w:szCs w:val="20"/>
          <w:lang w:val="en-GB"/>
        </w:rPr>
        <w:t xml:space="preserve">the </w:t>
      </w:r>
      <w:r w:rsidRPr="00931C0F">
        <w:rPr>
          <w:rFonts w:ascii="Franklin Gothic Book" w:eastAsiaTheme="minorEastAsia" w:hAnsi="Franklin Gothic Book"/>
          <w:sz w:val="20"/>
          <w:szCs w:val="20"/>
          <w:lang w:val="en-GB"/>
        </w:rPr>
        <w:t xml:space="preserve">Public Health Division </w:t>
      </w:r>
      <w:r w:rsidRPr="00931C0F">
        <w:rPr>
          <w:rFonts w:ascii="Franklin Gothic Book" w:hAnsi="Franklin Gothic Book"/>
          <w:sz w:val="20"/>
          <w:szCs w:val="20"/>
          <w:lang w:val="en-GB"/>
        </w:rPr>
        <w:t>has increased</w:t>
      </w:r>
      <w:r w:rsidRPr="00931C0F">
        <w:rPr>
          <w:rFonts w:ascii="Franklin Gothic Book" w:eastAsiaTheme="minorEastAsia" w:hAnsi="Franklin Gothic Book"/>
          <w:sz w:val="20"/>
          <w:szCs w:val="20"/>
          <w:lang w:val="en-GB"/>
        </w:rPr>
        <w:t xml:space="preserve"> as a percentage of the total Ministry budget</w:t>
      </w:r>
      <w:r w:rsidRPr="00931C0F">
        <w:rPr>
          <w:rFonts w:ascii="Franklin Gothic Book" w:hAnsi="Franklin Gothic Book"/>
          <w:sz w:val="20"/>
          <w:szCs w:val="20"/>
          <w:lang w:val="en-GB"/>
        </w:rPr>
        <w:t xml:space="preserve">. (These are </w:t>
      </w:r>
      <w:r w:rsidRPr="00A40A80">
        <w:rPr>
          <w:rFonts w:ascii="Franklin Gothic Book" w:hAnsi="Franklin Gothic Book"/>
          <w:sz w:val="20"/>
          <w:szCs w:val="20"/>
          <w:lang w:val="en-GB"/>
        </w:rPr>
        <w:t xml:space="preserve">the two pre-conditions for THSSP2.) </w:t>
      </w:r>
    </w:p>
    <w:p w:rsidR="00B652E1" w:rsidRPr="00685778" w:rsidRDefault="00B652E1" w:rsidP="00B652E1">
      <w:pPr>
        <w:pStyle w:val="ListParagraph"/>
        <w:numPr>
          <w:ilvl w:val="0"/>
          <w:numId w:val="0"/>
        </w:numPr>
        <w:spacing w:before="80" w:line="276" w:lineRule="auto"/>
        <w:rPr>
          <w:rFonts w:ascii="Franklin Gothic Book" w:hAnsi="Franklin Gothic Book"/>
          <w:sz w:val="20"/>
          <w:szCs w:val="20"/>
          <w:lang w:eastAsia="en-US"/>
        </w:rPr>
      </w:pPr>
      <w:r w:rsidRPr="00B67EAD">
        <w:rPr>
          <w:rFonts w:ascii="Franklin Gothic Book" w:hAnsi="Franklin Gothic Book"/>
          <w:sz w:val="20"/>
          <w:szCs w:val="20"/>
          <w:lang w:eastAsia="en-US"/>
        </w:rPr>
        <w:t>Taken together, these dimensions of success can be summarised as “</w:t>
      </w:r>
      <w:r w:rsidRPr="00B67EAD">
        <w:rPr>
          <w:rFonts w:ascii="Franklin Gothic Book" w:hAnsi="Franklin Gothic Book"/>
          <w:b/>
          <w:sz w:val="20"/>
          <w:szCs w:val="20"/>
          <w:lang w:eastAsia="en-US"/>
        </w:rPr>
        <w:t>taking control of the NCD crisis</w:t>
      </w:r>
      <w:r w:rsidRPr="00B67EAD">
        <w:rPr>
          <w:rFonts w:ascii="Franklin Gothic Book" w:hAnsi="Franklin Gothic Book"/>
          <w:sz w:val="20"/>
          <w:szCs w:val="20"/>
          <w:lang w:eastAsia="en-US"/>
        </w:rPr>
        <w:t>”.  If its overall development is not to be jeopardised, Tonga needs to ensure that the younger generation have healthier lifestyles and that the health system deals with NCDs in a more cost-effective manner.</w:t>
      </w:r>
      <w:r w:rsidRPr="00685778">
        <w:rPr>
          <w:rFonts w:ascii="Franklin Gothic Book" w:hAnsi="Franklin Gothic Book"/>
          <w:sz w:val="20"/>
          <w:szCs w:val="20"/>
          <w:lang w:eastAsia="en-US"/>
        </w:rPr>
        <w:t xml:space="preserve">  </w:t>
      </w:r>
    </w:p>
    <w:p w:rsidR="00B652E1" w:rsidRPr="005F4FAA" w:rsidRDefault="00B652E1" w:rsidP="00F63C34">
      <w:pPr>
        <w:pStyle w:val="Heading2"/>
        <w:rPr>
          <w:lang w:eastAsia="en-US"/>
        </w:rPr>
      </w:pPr>
      <w:r w:rsidRPr="005F4FAA">
        <w:rPr>
          <w:lang w:eastAsia="en-US"/>
        </w:rPr>
        <w:t>Evidence-base/Lessons Learned</w:t>
      </w:r>
    </w:p>
    <w:p w:rsidR="00B652E1"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The</w:t>
      </w:r>
      <w:r w:rsidRPr="005F4FAA">
        <w:rPr>
          <w:rFonts w:ascii="Franklin Gothic Book" w:eastAsia="Times New Roman" w:hAnsi="Franklin Gothic Book"/>
          <w:i/>
          <w:szCs w:val="20"/>
          <w:lang w:eastAsia="en-US"/>
        </w:rPr>
        <w:t xml:space="preserve"> </w:t>
      </w:r>
      <w:r w:rsidRPr="005F4FAA">
        <w:rPr>
          <w:rFonts w:ascii="Franklin Gothic Book" w:eastAsia="Times New Roman" w:hAnsi="Franklin Gothic Book"/>
          <w:szCs w:val="20"/>
          <w:lang w:eastAsia="en-US"/>
        </w:rPr>
        <w:t>Investment Design template now moves on to a section about how reference has been made to evidence and lessons learned from comparable programs. This section looks at this issue from a number of perspectives:</w:t>
      </w:r>
    </w:p>
    <w:p w:rsidR="00B652E1" w:rsidRPr="005F4FAA" w:rsidRDefault="00B652E1" w:rsidP="00B652E1">
      <w:pPr>
        <w:spacing w:before="80" w:line="276" w:lineRule="auto"/>
        <w:rPr>
          <w:rFonts w:ascii="Franklin Gothic Book" w:eastAsia="Times New Roman" w:hAnsi="Franklin Gothic Book"/>
          <w:szCs w:val="20"/>
          <w:lang w:eastAsia="en-US"/>
        </w:rPr>
      </w:pPr>
    </w:p>
    <w:p w:rsidR="00B652E1" w:rsidRPr="005F4FAA" w:rsidRDefault="00B652E1" w:rsidP="00B652E1">
      <w:pPr>
        <w:pStyle w:val="ListParagraph"/>
        <w:numPr>
          <w:ilvl w:val="0"/>
          <w:numId w:val="37"/>
        </w:numPr>
        <w:rPr>
          <w:rFonts w:ascii="Franklin Gothic Book" w:hAnsi="Franklin Gothic Book"/>
          <w:sz w:val="20"/>
          <w:szCs w:val="20"/>
          <w:lang w:eastAsia="en-US"/>
        </w:rPr>
      </w:pPr>
      <w:r w:rsidRPr="005F4FAA">
        <w:rPr>
          <w:rFonts w:ascii="Franklin Gothic Book" w:hAnsi="Franklin Gothic Book"/>
          <w:sz w:val="20"/>
          <w:szCs w:val="20"/>
          <w:lang w:eastAsia="en-US"/>
        </w:rPr>
        <w:t xml:space="preserve">lessons from </w:t>
      </w:r>
      <w:r>
        <w:rPr>
          <w:rFonts w:ascii="Franklin Gothic Book" w:hAnsi="Franklin Gothic Book"/>
          <w:sz w:val="20"/>
          <w:szCs w:val="20"/>
          <w:lang w:eastAsia="en-US"/>
        </w:rPr>
        <w:t xml:space="preserve">THSSP1 and other aspects of </w:t>
      </w:r>
      <w:r w:rsidRPr="005F4FAA">
        <w:rPr>
          <w:rFonts w:ascii="Franklin Gothic Book" w:hAnsi="Franklin Gothic Book"/>
          <w:sz w:val="20"/>
          <w:szCs w:val="20"/>
          <w:lang w:eastAsia="en-US"/>
        </w:rPr>
        <w:t xml:space="preserve">the DFAT health portfolio in Tonga, including the Tonga Assessment of the Public Finance  Management System in the Health Sector </w:t>
      </w:r>
      <w:r>
        <w:rPr>
          <w:rFonts w:ascii="Franklin Gothic Book" w:hAnsi="Franklin Gothic Book"/>
          <w:sz w:val="20"/>
          <w:szCs w:val="20"/>
          <w:lang w:eastAsia="en-US"/>
        </w:rPr>
        <w:t>2013</w:t>
      </w:r>
    </w:p>
    <w:p w:rsidR="00B652E1" w:rsidRPr="005F4FAA" w:rsidRDefault="00B652E1" w:rsidP="00B652E1">
      <w:pPr>
        <w:pStyle w:val="ListParagraph"/>
        <w:numPr>
          <w:ilvl w:val="0"/>
          <w:numId w:val="37"/>
        </w:numPr>
        <w:spacing w:before="80" w:line="276" w:lineRule="auto"/>
        <w:rPr>
          <w:rFonts w:ascii="Franklin Gothic Book" w:hAnsi="Franklin Gothic Book"/>
          <w:sz w:val="20"/>
          <w:szCs w:val="20"/>
          <w:lang w:eastAsia="en-US"/>
        </w:rPr>
      </w:pPr>
      <w:r w:rsidRPr="005F4FAA">
        <w:rPr>
          <w:rFonts w:ascii="Franklin Gothic Book" w:hAnsi="Franklin Gothic Book"/>
          <w:sz w:val="20"/>
          <w:szCs w:val="20"/>
          <w:lang w:eastAsia="en-US"/>
        </w:rPr>
        <w:t xml:space="preserve">lessons from the wider DFAT portfolio in Tonga, including </w:t>
      </w:r>
      <w:r>
        <w:rPr>
          <w:rFonts w:ascii="Franklin Gothic Book" w:hAnsi="Franklin Gothic Book"/>
          <w:sz w:val="20"/>
          <w:szCs w:val="20"/>
          <w:lang w:eastAsia="en-US"/>
        </w:rPr>
        <w:t xml:space="preserve">the Tonga Education Sector Program and </w:t>
      </w:r>
      <w:r w:rsidRPr="005F4FAA">
        <w:rPr>
          <w:rFonts w:ascii="Franklin Gothic Book" w:hAnsi="Franklin Gothic Book"/>
          <w:sz w:val="20"/>
          <w:szCs w:val="20"/>
          <w:lang w:eastAsia="en-US"/>
        </w:rPr>
        <w:t>Assessments of National Systems (ANS) (2012 and draft 2015)</w:t>
      </w:r>
    </w:p>
    <w:p w:rsidR="00B652E1" w:rsidRPr="005F4FAA" w:rsidRDefault="00B652E1" w:rsidP="00B652E1">
      <w:pPr>
        <w:pStyle w:val="ListParagraph"/>
        <w:numPr>
          <w:ilvl w:val="0"/>
          <w:numId w:val="37"/>
        </w:numPr>
        <w:spacing w:before="80" w:line="276" w:lineRule="auto"/>
        <w:rPr>
          <w:rFonts w:ascii="Franklin Gothic Book" w:hAnsi="Franklin Gothic Book"/>
          <w:sz w:val="20"/>
          <w:szCs w:val="20"/>
          <w:lang w:eastAsia="en-US"/>
        </w:rPr>
      </w:pPr>
      <w:r w:rsidRPr="005F4FAA">
        <w:rPr>
          <w:rFonts w:ascii="Franklin Gothic Book" w:hAnsi="Franklin Gothic Book"/>
          <w:sz w:val="20"/>
          <w:szCs w:val="20"/>
          <w:lang w:eastAsia="en-US"/>
        </w:rPr>
        <w:t>relevant points from the work of other development partners in Tonga</w:t>
      </w:r>
    </w:p>
    <w:p w:rsidR="00B652E1" w:rsidRPr="005F4FAA" w:rsidRDefault="00B652E1" w:rsidP="00B652E1">
      <w:pPr>
        <w:pStyle w:val="ListParagraph"/>
        <w:numPr>
          <w:ilvl w:val="0"/>
          <w:numId w:val="37"/>
        </w:numPr>
        <w:spacing w:before="80" w:line="276" w:lineRule="auto"/>
        <w:rPr>
          <w:rFonts w:ascii="Franklin Gothic Book" w:hAnsi="Franklin Gothic Book"/>
          <w:sz w:val="20"/>
          <w:szCs w:val="20"/>
          <w:lang w:eastAsia="en-US"/>
        </w:rPr>
      </w:pPr>
      <w:r w:rsidRPr="005F4FAA">
        <w:rPr>
          <w:rFonts w:ascii="Franklin Gothic Book" w:hAnsi="Franklin Gothic Book"/>
          <w:sz w:val="20"/>
          <w:szCs w:val="20"/>
          <w:lang w:eastAsia="en-US"/>
        </w:rPr>
        <w:t>lessons from the DFAT health program in Solomon Islands</w:t>
      </w:r>
    </w:p>
    <w:p w:rsidR="00B652E1" w:rsidRPr="005F4FAA" w:rsidRDefault="00B652E1" w:rsidP="00B652E1">
      <w:pPr>
        <w:pStyle w:val="ListParagraph"/>
        <w:numPr>
          <w:ilvl w:val="0"/>
          <w:numId w:val="37"/>
        </w:numPr>
        <w:spacing w:before="80" w:line="276" w:lineRule="auto"/>
        <w:rPr>
          <w:rFonts w:ascii="Franklin Gothic Book" w:hAnsi="Franklin Gothic Book"/>
          <w:sz w:val="20"/>
          <w:szCs w:val="20"/>
          <w:lang w:eastAsia="en-US"/>
        </w:rPr>
      </w:pPr>
      <w:r w:rsidRPr="005F4FAA">
        <w:rPr>
          <w:rFonts w:ascii="Franklin Gothic Book" w:hAnsi="Franklin Gothic Book"/>
          <w:sz w:val="20"/>
          <w:szCs w:val="20"/>
          <w:lang w:eastAsia="en-US"/>
        </w:rPr>
        <w:t>global technical evidence about the control of NCDs</w:t>
      </w:r>
    </w:p>
    <w:p w:rsidR="00B652E1" w:rsidRPr="005F4FAA" w:rsidRDefault="00B652E1" w:rsidP="00B652E1">
      <w:pPr>
        <w:pStyle w:val="ListParagraph"/>
        <w:numPr>
          <w:ilvl w:val="0"/>
          <w:numId w:val="37"/>
        </w:numPr>
        <w:spacing w:before="80" w:line="276" w:lineRule="auto"/>
        <w:rPr>
          <w:rFonts w:ascii="Franklin Gothic Book" w:hAnsi="Franklin Gothic Book"/>
          <w:sz w:val="20"/>
          <w:szCs w:val="20"/>
          <w:lang w:eastAsia="en-US"/>
        </w:rPr>
      </w:pPr>
      <w:r w:rsidRPr="005F4FAA">
        <w:rPr>
          <w:rFonts w:ascii="Franklin Gothic Book" w:hAnsi="Franklin Gothic Book"/>
          <w:sz w:val="20"/>
          <w:szCs w:val="20"/>
          <w:lang w:eastAsia="en-US"/>
        </w:rPr>
        <w:t>other ways in which the Ministry of Health and TongaHealth use evidence.</w:t>
      </w:r>
      <w:r w:rsidRPr="005F4FAA" w:rsidDel="006321AE">
        <w:rPr>
          <w:rFonts w:ascii="Franklin Gothic Book" w:hAnsi="Franklin Gothic Book"/>
          <w:sz w:val="20"/>
          <w:szCs w:val="20"/>
          <w:lang w:eastAsia="en-US"/>
        </w:rPr>
        <w:t xml:space="preserve"> </w:t>
      </w:r>
    </w:p>
    <w:p w:rsidR="00B652E1" w:rsidRPr="005F4FAA" w:rsidRDefault="00B652E1" w:rsidP="00B652E1">
      <w:pPr>
        <w:spacing w:before="80" w:line="276" w:lineRule="auto"/>
        <w:ind w:left="773"/>
        <w:rPr>
          <w:rFonts w:ascii="Franklin Gothic Book" w:eastAsia="Times New Roman" w:hAnsi="Franklin Gothic Book"/>
          <w:szCs w:val="20"/>
          <w:lang w:eastAsia="en-US"/>
        </w:rPr>
      </w:pPr>
    </w:p>
    <w:p w:rsidR="00B652E1" w:rsidRPr="005F4FAA" w:rsidRDefault="00B652E1" w:rsidP="00B652E1">
      <w:pPr>
        <w:spacing w:before="80" w:line="276" w:lineRule="auto"/>
        <w:ind w:left="68" w:hanging="68"/>
        <w:rPr>
          <w:rFonts w:ascii="Franklin Gothic Book" w:hAnsi="Franklin Gothic Book"/>
          <w:i/>
          <w:szCs w:val="20"/>
          <w:lang w:eastAsia="en-US"/>
        </w:rPr>
      </w:pPr>
      <w:r w:rsidRPr="005F4FAA">
        <w:rPr>
          <w:rFonts w:ascii="Franklin Gothic Book" w:hAnsi="Franklin Gothic Book"/>
          <w:i/>
          <w:szCs w:val="20"/>
          <w:lang w:eastAsia="en-US"/>
        </w:rPr>
        <w:t>Lessons from the existing DFAT health portfolio in Tonga</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DFAT is the largest development partner in Tonga in terms of financial support; THSSP1 accounts for most of DFAT’s current spending on health. The Independent Progress Report of THSSP1 is therefore an important source of lessons learned for THSSP2. These lessons are summarised in Table </w:t>
      </w:r>
      <w:r>
        <w:rPr>
          <w:rFonts w:ascii="Franklin Gothic Book" w:hAnsi="Franklin Gothic Book"/>
          <w:szCs w:val="20"/>
        </w:rPr>
        <w:t>1a</w:t>
      </w:r>
      <w:r w:rsidRPr="005F4FAA">
        <w:rPr>
          <w:rFonts w:ascii="Franklin Gothic Book" w:hAnsi="Franklin Gothic Book"/>
          <w:szCs w:val="20"/>
        </w:rPr>
        <w:t>, along with a description of how the lessons have been incorporated into the design of THSSP2.</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 xml:space="preserve">Table </w:t>
      </w:r>
      <w:r>
        <w:rPr>
          <w:rFonts w:ascii="Franklin Gothic Book" w:hAnsi="Franklin Gothic Book"/>
          <w:b/>
          <w:szCs w:val="20"/>
        </w:rPr>
        <w:t>1</w:t>
      </w:r>
      <w:r w:rsidRPr="005F4FAA">
        <w:rPr>
          <w:rFonts w:ascii="Franklin Gothic Book" w:hAnsi="Franklin Gothic Book"/>
          <w:b/>
          <w:szCs w:val="20"/>
        </w:rPr>
        <w:t>a  Lessons Learned from THSSP1 and incorporated into the design of THSSP2</w:t>
      </w:r>
    </w:p>
    <w:p w:rsidR="00B652E1" w:rsidRPr="005F4FAA" w:rsidRDefault="00B652E1" w:rsidP="00B652E1">
      <w:pPr>
        <w:spacing w:line="276" w:lineRule="auto"/>
        <w:rPr>
          <w:rFonts w:ascii="Franklin Gothic Book" w:hAnsi="Franklin Gothic Book"/>
          <w:szCs w:val="20"/>
        </w:rPr>
      </w:pPr>
    </w:p>
    <w:tbl>
      <w:tblPr>
        <w:tblStyle w:val="TableGrid"/>
        <w:tblW w:w="0" w:type="auto"/>
        <w:tblLook w:val="04A0" w:firstRow="1" w:lastRow="0" w:firstColumn="1" w:lastColumn="0" w:noHBand="0" w:noVBand="1"/>
      </w:tblPr>
      <w:tblGrid>
        <w:gridCol w:w="2889"/>
        <w:gridCol w:w="5492"/>
      </w:tblGrid>
      <w:tr w:rsidR="00B652E1" w:rsidRPr="005F4FAA" w:rsidTr="00B652E1">
        <w:trPr>
          <w:tblHeader/>
        </w:trPr>
        <w:tc>
          <w:tcPr>
            <w:tcW w:w="0" w:type="auto"/>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THSSP1: issues from which lessons were learnt (as identified in Independent Progress Report)</w:t>
            </w:r>
          </w:p>
        </w:tc>
        <w:tc>
          <w:tcPr>
            <w:tcW w:w="0" w:type="auto"/>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Implications for design of THSSP2</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There were problems with the health promotion work, largely because of lack of clarity about organisational roles and responsibilities.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There is now a signed Memorandum of Understanding which clearly describes the respective roles of the Ministry of Health and TongaHealth. (Annex </w:t>
            </w:r>
            <w:r>
              <w:rPr>
                <w:rFonts w:ascii="Franklin Gothic Book" w:hAnsi="Franklin Gothic Book"/>
                <w:szCs w:val="20"/>
              </w:rPr>
              <w:t>5</w:t>
            </w:r>
            <w:r w:rsidRPr="005F4FAA">
              <w:rPr>
                <w:rFonts w:ascii="Franklin Gothic Book" w:hAnsi="Franklin Gothic Book"/>
                <w:szCs w:val="20"/>
              </w:rPr>
              <w:t>)</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Flexible Fund was used in an ad hoc way, largely to support the main hospital. Spending was not based on work-plans and outputs.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All spending will be allocated against Annual Management Plans</w:t>
            </w:r>
            <w:r>
              <w:rPr>
                <w:rFonts w:ascii="Franklin Gothic Book" w:hAnsi="Franklin Gothic Book"/>
                <w:szCs w:val="20"/>
              </w:rPr>
              <w:t xml:space="preserve"> (AMPs)</w:t>
            </w:r>
            <w:r w:rsidRPr="005F4FAA">
              <w:rPr>
                <w:rFonts w:ascii="Franklin Gothic Book" w:hAnsi="Franklin Gothic Book"/>
                <w:szCs w:val="20"/>
              </w:rPr>
              <w:t xml:space="preserve">.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Priority will be given to spending on NCD prevention and treatment at the primary care level, as well as on health systems strengthening.</w:t>
            </w:r>
            <w:r>
              <w:rPr>
                <w:rFonts w:ascii="Franklin Gothic Book" w:hAnsi="Franklin Gothic Book"/>
                <w:szCs w:val="20"/>
              </w:rPr>
              <w:t xml:space="preserve"> Spending priorities will be an important aspect of the MOH/DFAT dialog about the AMPs; increasing the public health budget is a condition of DFAT funding. </w:t>
            </w:r>
            <w:r w:rsidRPr="005F4FAA">
              <w:rPr>
                <w:rFonts w:ascii="Franklin Gothic Book" w:hAnsi="Franklin Gothic Book"/>
                <w:szCs w:val="20"/>
              </w:rPr>
              <w:t xml:space="preserve"> </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joint governance tended to focus on relatively minor problems and did not address strategic issues.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National Health Development Committee will be involved in allocating THSSP2 resources and will thus have to make strategic resource allocation decisions. </w:t>
            </w:r>
            <w:r>
              <w:rPr>
                <w:rFonts w:ascii="Franklin Gothic Book" w:hAnsi="Franklin Gothic Book"/>
                <w:szCs w:val="20"/>
              </w:rPr>
              <w:t xml:space="preserve">DFAT will be involved in these discussions and needs to approve the final AMPs which involve DFAT funding. </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Ministry of Health did not have good information about the budget and expenditure of THSSP1.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Finances will be managed using the same systems and categories as the Government of Tonga; information about THSSP2 budgets will be available alongside the information about MOH core funds.  </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timing of surveys (especially STEPS) was crucial for monitoring outcomes.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STEPS has a history of long delays in publication. MOH and DFAT will work with WHO to emphasise the importance of timely publication. Government of New Zealand is also a useful channel of influence because it funds STEPS in the Pacific region. </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Government systems tended to be by-passed, including systems for planning, budgeting and staff supervision.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THSSP2 will transition to an approach which will not use separate systems. There will not be a separate project office. </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There was insufficient external audit.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Funding for annual external audit will be top-sliced from the THSSP2 budget, thus protecting the funds from other uses. </w:t>
            </w:r>
          </w:p>
        </w:tc>
      </w:tr>
      <w:tr w:rsidR="00B652E1" w:rsidRPr="005F4FAA" w:rsidTr="00B652E1">
        <w:tc>
          <w:tcPr>
            <w:tcW w:w="0" w:type="auto"/>
          </w:tcPr>
          <w:p w:rsidR="00B652E1" w:rsidRPr="005F4FAA" w:rsidRDefault="00B652E1" w:rsidP="00B652E1">
            <w:pPr>
              <w:autoSpaceDE w:val="0"/>
              <w:autoSpaceDN w:val="0"/>
              <w:adjustRightInd w:val="0"/>
              <w:spacing w:line="276" w:lineRule="auto"/>
              <w:rPr>
                <w:rFonts w:ascii="Franklin Gothic Book" w:hAnsi="Franklin Gothic Book"/>
                <w:szCs w:val="20"/>
              </w:rPr>
            </w:pPr>
            <w:r w:rsidRPr="005F4FAA">
              <w:rPr>
                <w:rFonts w:ascii="Franklin Gothic Book" w:eastAsiaTheme="minorHAnsi" w:hAnsi="Franklin Gothic Book"/>
                <w:szCs w:val="20"/>
                <w:lang w:val="en-GB" w:eastAsia="en-US"/>
              </w:rPr>
              <w:t xml:space="preserve">Implementation of the Program started too slowly: just 1% of the budget was spent in Year 1. </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NHDC has been made aware </w:t>
            </w:r>
            <w:r>
              <w:rPr>
                <w:rFonts w:ascii="Franklin Gothic Book" w:hAnsi="Franklin Gothic Book"/>
                <w:szCs w:val="20"/>
              </w:rPr>
              <w:t xml:space="preserve">in advance </w:t>
            </w:r>
            <w:r w:rsidRPr="005F4FAA">
              <w:rPr>
                <w:rFonts w:ascii="Franklin Gothic Book" w:hAnsi="Franklin Gothic Book"/>
                <w:szCs w:val="20"/>
              </w:rPr>
              <w:t xml:space="preserve">of the decisions it will have to make about funding; in the first year there will be two funding rounds (instead of the usual one) to allow for the fact that some work-plans may not have been ready in an appropriate format for the first round. Year 1 includes some continuity of funding from THSSP1, notably for Critical Staffing Deficiencies. This will help to spread the risk about low expenditure in Year 1.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As </w:t>
            </w:r>
            <w:r w:rsidRPr="00685778">
              <w:rPr>
                <w:rFonts w:ascii="Franklin Gothic Book" w:hAnsi="Franklin Gothic Book"/>
                <w:szCs w:val="20"/>
              </w:rPr>
              <w:t>described in Box 3, there</w:t>
            </w:r>
            <w:r w:rsidRPr="005F4FAA">
              <w:rPr>
                <w:rFonts w:ascii="Franklin Gothic Book" w:hAnsi="Franklin Gothic Book"/>
                <w:szCs w:val="20"/>
              </w:rPr>
              <w:t xml:space="preserve"> have been a number of joint activities related to the design of THSSP2, so that all major stakeholders have had good opportunities to prepare for the start of the program in July 2015. </w:t>
            </w:r>
          </w:p>
        </w:tc>
      </w:tr>
      <w:tr w:rsidR="00B652E1" w:rsidRPr="005F4FAA" w:rsidTr="00B652E1">
        <w:tc>
          <w:tcPr>
            <w:tcW w:w="0" w:type="auto"/>
          </w:tcPr>
          <w:p w:rsidR="00B652E1" w:rsidRPr="005A0CA6" w:rsidRDefault="00B652E1" w:rsidP="00B652E1">
            <w:pPr>
              <w:autoSpaceDE w:val="0"/>
              <w:autoSpaceDN w:val="0"/>
              <w:adjustRightInd w:val="0"/>
              <w:spacing w:line="276" w:lineRule="auto"/>
              <w:rPr>
                <w:rFonts w:ascii="Franklin Gothic Book" w:eastAsiaTheme="minorHAnsi" w:hAnsi="Franklin Gothic Book"/>
                <w:szCs w:val="20"/>
                <w:highlight w:val="yellow"/>
                <w:lang w:val="en-GB" w:eastAsia="en-US"/>
              </w:rPr>
            </w:pPr>
            <w:r w:rsidRPr="009C044C">
              <w:rPr>
                <w:rFonts w:ascii="Franklin Gothic Book" w:eastAsiaTheme="minorHAnsi" w:hAnsi="Franklin Gothic Book"/>
                <w:szCs w:val="20"/>
                <w:lang w:val="en-GB" w:eastAsia="en-US"/>
              </w:rPr>
              <w:t>The Flexible Fund was used to respond quickly to Cyclone Ian in 2014.</w:t>
            </w:r>
          </w:p>
        </w:tc>
        <w:tc>
          <w:tcPr>
            <w:tcW w:w="0" w:type="auto"/>
          </w:tcPr>
          <w:p w:rsidR="00B652E1" w:rsidRPr="005A0CA6" w:rsidRDefault="00B652E1" w:rsidP="00B652E1">
            <w:pPr>
              <w:spacing w:line="276" w:lineRule="auto"/>
              <w:rPr>
                <w:rFonts w:ascii="Franklin Gothic Book" w:hAnsi="Franklin Gothic Book"/>
                <w:szCs w:val="20"/>
                <w:highlight w:val="yellow"/>
              </w:rPr>
            </w:pPr>
            <w:r w:rsidRPr="009C044C">
              <w:rPr>
                <w:rFonts w:ascii="Franklin Gothic Book" w:hAnsi="Franklin Gothic Book"/>
                <w:szCs w:val="20"/>
              </w:rPr>
              <w:t xml:space="preserve">The Design describes how funds could be allocated in an emergency. (See </w:t>
            </w:r>
            <w:r w:rsidRPr="009C044C">
              <w:rPr>
                <w:rFonts w:ascii="Franklin Gothic Book" w:hAnsi="Franklin Gothic Book"/>
                <w:i/>
                <w:szCs w:val="20"/>
              </w:rPr>
              <w:t>Delivery</w:t>
            </w:r>
            <w:r w:rsidRPr="009C044C">
              <w:rPr>
                <w:rFonts w:ascii="Franklin Gothic Book" w:hAnsi="Franklin Gothic Book"/>
                <w:szCs w:val="20"/>
              </w:rPr>
              <w:t xml:space="preserve"> </w:t>
            </w:r>
            <w:r w:rsidRPr="009C044C">
              <w:rPr>
                <w:rFonts w:ascii="Franklin Gothic Book" w:hAnsi="Franklin Gothic Book"/>
                <w:i/>
                <w:szCs w:val="20"/>
              </w:rPr>
              <w:t xml:space="preserve">Approach </w:t>
            </w:r>
            <w:r w:rsidRPr="009C044C">
              <w:rPr>
                <w:rFonts w:ascii="Franklin Gothic Book" w:hAnsi="Franklin Gothic Book"/>
                <w:szCs w:val="20"/>
              </w:rPr>
              <w:t xml:space="preserve">section.) </w:t>
            </w:r>
          </w:p>
        </w:tc>
      </w:tr>
    </w:tbl>
    <w:p w:rsidR="00B652E1" w:rsidRPr="005F4FAA" w:rsidRDefault="00B652E1" w:rsidP="00B652E1">
      <w:pPr>
        <w:spacing w:line="276" w:lineRule="auto"/>
        <w:rPr>
          <w:rFonts w:ascii="Franklin Gothic Book" w:hAnsi="Franklin Gothic Book"/>
          <w:szCs w:val="20"/>
        </w:rPr>
      </w:pPr>
    </w:p>
    <w:p w:rsidR="00B652E1" w:rsidRDefault="00B652E1" w:rsidP="00B652E1">
      <w:pPr>
        <w:spacing w:after="200"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Other DFAT-funded health programs are also relevant to THSSP2. For example there is concern that </w:t>
      </w:r>
      <w:r w:rsidRPr="00796157">
        <w:rPr>
          <w:rFonts w:ascii="Franklin Gothic Book" w:hAnsi="Franklin Gothic Book"/>
          <w:szCs w:val="20"/>
        </w:rPr>
        <w:t>changes in</w:t>
      </w:r>
      <w:r>
        <w:rPr>
          <w:rFonts w:ascii="Franklin Gothic Book" w:hAnsi="Franklin Gothic Book"/>
          <w:szCs w:val="20"/>
        </w:rPr>
        <w:t xml:space="preserve"> how </w:t>
      </w:r>
      <w:r w:rsidRPr="005F4FAA">
        <w:rPr>
          <w:rFonts w:ascii="Franklin Gothic Book" w:hAnsi="Franklin Gothic Book"/>
          <w:szCs w:val="20"/>
        </w:rPr>
        <w:t>Critical Staffing Deficienc</w:t>
      </w:r>
      <w:r>
        <w:rPr>
          <w:rFonts w:ascii="Franklin Gothic Book" w:hAnsi="Franklin Gothic Book"/>
          <w:szCs w:val="20"/>
        </w:rPr>
        <w:t>y post</w:t>
      </w:r>
      <w:r w:rsidRPr="005F4FAA">
        <w:rPr>
          <w:rFonts w:ascii="Franklin Gothic Book" w:hAnsi="Franklin Gothic Book"/>
          <w:szCs w:val="20"/>
        </w:rPr>
        <w:t xml:space="preserve">s </w:t>
      </w:r>
      <w:r>
        <w:rPr>
          <w:rFonts w:ascii="Franklin Gothic Book" w:hAnsi="Franklin Gothic Book"/>
          <w:szCs w:val="20"/>
        </w:rPr>
        <w:t xml:space="preserve">are funded </w:t>
      </w:r>
      <w:r w:rsidRPr="005F4FAA">
        <w:rPr>
          <w:rFonts w:ascii="Franklin Gothic Book" w:hAnsi="Franklin Gothic Book"/>
          <w:szCs w:val="20"/>
        </w:rPr>
        <w:t xml:space="preserve">will mean that clinicians lose out on stimulating contact with international colleagues: it will be important to work with regional programs such as those run by Fiji National University to explain the new arrangements and see if help may be available for the transition to ensure that the timing of clinician visits is appropriate and that priority needs are met.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The more co-ordination there can be with the Australian Volunteer Program and the Scholarships Program the better, as there are areas of THSSP2 which would greatly benefit from these inputs. The more that these programs complement each other, the greater the added value.</w:t>
      </w:r>
      <w:r>
        <w:rPr>
          <w:rFonts w:ascii="Franklin Gothic Book" w:hAnsi="Franklin Gothic Book"/>
          <w:szCs w:val="20"/>
        </w:rPr>
        <w:t xml:space="preserve"> The DFAT Health Program Manager will actively pursue opportunities for positive links between THSSP2 and the Volunteer and Scholarship programs.</w:t>
      </w:r>
    </w:p>
    <w:p w:rsidR="00B652E1" w:rsidRPr="005F4FAA" w:rsidRDefault="00B652E1" w:rsidP="00B652E1">
      <w:pPr>
        <w:spacing w:line="276" w:lineRule="auto"/>
        <w:rPr>
          <w:rFonts w:ascii="Franklin Gothic Book" w:hAnsi="Franklin Gothic Book"/>
          <w:szCs w:val="20"/>
        </w:rPr>
      </w:pPr>
      <w:r>
        <w:rPr>
          <w:rFonts w:ascii="Franklin Gothic Book" w:hAnsi="Franklin Gothic Book"/>
          <w:szCs w:val="20"/>
        </w:rPr>
        <w:t xml:space="preserve"> </w:t>
      </w:r>
    </w:p>
    <w:p w:rsidR="00B652E1" w:rsidRDefault="00B652E1" w:rsidP="00B652E1">
      <w:pPr>
        <w:spacing w:after="200" w:line="276" w:lineRule="auto"/>
        <w:rPr>
          <w:rFonts w:ascii="Franklin Gothic Book" w:hAnsi="Franklin Gothic Book"/>
          <w:szCs w:val="20"/>
        </w:rPr>
      </w:pPr>
      <w:r>
        <w:rPr>
          <w:rFonts w:ascii="Franklin Gothic Book" w:hAnsi="Franklin Gothic Book"/>
          <w:szCs w:val="20"/>
        </w:rPr>
        <w:t>Table 1</w:t>
      </w:r>
      <w:r w:rsidRPr="004807D5">
        <w:rPr>
          <w:rFonts w:ascii="Franklin Gothic Book" w:hAnsi="Franklin Gothic Book"/>
          <w:szCs w:val="20"/>
        </w:rPr>
        <w:t>b</w:t>
      </w:r>
      <w:r>
        <w:rPr>
          <w:rFonts w:ascii="Franklin Gothic Book" w:hAnsi="Franklin Gothic Book"/>
          <w:szCs w:val="20"/>
        </w:rPr>
        <w:t xml:space="preserve"> uses the same format as Table 1</w:t>
      </w:r>
      <w:r w:rsidRPr="004807D5">
        <w:rPr>
          <w:rFonts w:ascii="Franklin Gothic Book" w:hAnsi="Franklin Gothic Book"/>
          <w:szCs w:val="20"/>
        </w:rPr>
        <w:t>a to describe lessons learnt from the Assessment of National Systems (ANS), Assessment of the Public Finance Management (PFM) System in the Health Sector and the PFM Road Map.</w:t>
      </w:r>
      <w:r w:rsidRPr="004807D5">
        <w:rPr>
          <w:rFonts w:ascii="Franklin Gothic Book" w:hAnsi="Franklin Gothic Book"/>
          <w:b/>
          <w:szCs w:val="20"/>
        </w:rPr>
        <w:t xml:space="preserve"> </w:t>
      </w:r>
      <w:r w:rsidRPr="004807D5">
        <w:rPr>
          <w:rFonts w:ascii="Franklin Gothic Book" w:hAnsi="Franklin Gothic Book"/>
          <w:szCs w:val="20"/>
        </w:rPr>
        <w:t xml:space="preserve">An Assessment of PFM systems in the Health Sector was undertaken in 2013, and an update to the </w:t>
      </w:r>
      <w:r>
        <w:rPr>
          <w:rFonts w:ascii="Franklin Gothic Book" w:hAnsi="Franklin Gothic Book"/>
          <w:szCs w:val="20"/>
        </w:rPr>
        <w:t>ANS was conducted in March 2015:</w:t>
      </w:r>
      <w:r w:rsidRPr="004807D5">
        <w:rPr>
          <w:rFonts w:ascii="Franklin Gothic Book" w:hAnsi="Franklin Gothic Book"/>
          <w:szCs w:val="20"/>
        </w:rPr>
        <w:t xml:space="preserve"> recommendations from the outcome of these assessments have implications on issues to be addressed with the Ministry. While the findings of the ANS are yet to be finalised, the preliminary findings, along with the findings of the 2013 Health Sector Assessment, h</w:t>
      </w:r>
      <w:r>
        <w:rPr>
          <w:rFonts w:ascii="Franklin Gothic Book" w:hAnsi="Franklin Gothic Book"/>
          <w:szCs w:val="20"/>
        </w:rPr>
        <w:t>ave been incorporated in Table 1</w:t>
      </w:r>
      <w:r w:rsidRPr="004807D5">
        <w:rPr>
          <w:rFonts w:ascii="Franklin Gothic Book" w:hAnsi="Franklin Gothic Book"/>
          <w:szCs w:val="20"/>
        </w:rPr>
        <w:t xml:space="preserve">b and into the design of </w:t>
      </w:r>
      <w:r w:rsidRPr="00E44BDD">
        <w:rPr>
          <w:rFonts w:ascii="Franklin Gothic Book" w:hAnsi="Franklin Gothic Book"/>
          <w:szCs w:val="20"/>
        </w:rPr>
        <w:t>THSSP2. Annex 22 gives</w:t>
      </w:r>
      <w:r w:rsidRPr="004807D5">
        <w:rPr>
          <w:rFonts w:ascii="Franklin Gothic Book" w:hAnsi="Franklin Gothic Book"/>
          <w:szCs w:val="20"/>
        </w:rPr>
        <w:t xml:space="preserve"> a complete list of risks identified and mitigation measures recommended in the PFM Assessment of the Health Sector, including a response regarding how the mitigations measures have been incorporated into THSSP2 design.</w:t>
      </w:r>
    </w:p>
    <w:p w:rsidR="00B652E1" w:rsidRPr="005F4FAA" w:rsidRDefault="00B652E1" w:rsidP="00B652E1">
      <w:pPr>
        <w:spacing w:after="200" w:line="276" w:lineRule="auto"/>
        <w:rPr>
          <w:rFonts w:ascii="Franklin Gothic Book" w:eastAsiaTheme="minorHAnsi" w:hAnsi="Franklin Gothic Book"/>
          <w:szCs w:val="20"/>
          <w:lang w:val="en-GB" w:eastAsia="en-US"/>
        </w:rPr>
      </w:pP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br w:type="page"/>
      </w:r>
    </w:p>
    <w:p w:rsidR="00B652E1" w:rsidRPr="005F4FAA" w:rsidRDefault="00B652E1" w:rsidP="00B652E1">
      <w:pPr>
        <w:spacing w:line="276" w:lineRule="auto"/>
        <w:rPr>
          <w:rFonts w:ascii="Franklin Gothic Book" w:hAnsi="Franklin Gothic Book"/>
          <w:b/>
          <w:szCs w:val="20"/>
        </w:rPr>
      </w:pPr>
      <w:r>
        <w:rPr>
          <w:rFonts w:ascii="Franklin Gothic Book" w:hAnsi="Franklin Gothic Book"/>
          <w:b/>
          <w:szCs w:val="20"/>
        </w:rPr>
        <w:t>Table 1</w:t>
      </w:r>
      <w:r w:rsidRPr="005F4FAA">
        <w:rPr>
          <w:rFonts w:ascii="Franklin Gothic Book" w:hAnsi="Franklin Gothic Book"/>
          <w:b/>
          <w:szCs w:val="20"/>
        </w:rPr>
        <w:t>b  Lessons Learned from ANS, Assessment of the Public Finance Management (PFM) System in the Health Sector and PFM Road Map and incorporated into the design of THSSP2</w:t>
      </w:r>
    </w:p>
    <w:p w:rsidR="00B652E1" w:rsidRPr="005F4FAA" w:rsidRDefault="00B652E1" w:rsidP="00B652E1">
      <w:pPr>
        <w:spacing w:line="276" w:lineRule="auto"/>
        <w:rPr>
          <w:rFonts w:ascii="Franklin Gothic Book" w:hAnsi="Franklin Gothic Book"/>
          <w:szCs w:val="20"/>
        </w:rPr>
      </w:pPr>
    </w:p>
    <w:tbl>
      <w:tblPr>
        <w:tblStyle w:val="TableGrid"/>
        <w:tblW w:w="0" w:type="auto"/>
        <w:tblLook w:val="04A0" w:firstRow="1" w:lastRow="0" w:firstColumn="1" w:lastColumn="0" w:noHBand="0" w:noVBand="1"/>
      </w:tblPr>
      <w:tblGrid>
        <w:gridCol w:w="4248"/>
        <w:gridCol w:w="4133"/>
      </w:tblGrid>
      <w:tr w:rsidR="00B652E1" w:rsidRPr="005F4FAA" w:rsidTr="00B652E1">
        <w:trPr>
          <w:tblHeader/>
        </w:trPr>
        <w:tc>
          <w:tcPr>
            <w:tcW w:w="0" w:type="auto"/>
          </w:tcPr>
          <w:p w:rsidR="00B652E1" w:rsidRPr="005F4FAA" w:rsidRDefault="00B652E1" w:rsidP="00B652E1">
            <w:pPr>
              <w:spacing w:line="276" w:lineRule="auto"/>
              <w:rPr>
                <w:rFonts w:ascii="Franklin Gothic Book" w:hAnsi="Franklin Gothic Book"/>
                <w:b/>
                <w:szCs w:val="20"/>
              </w:rPr>
            </w:pPr>
            <w:r>
              <w:rPr>
                <w:rFonts w:ascii="Franklin Gothic Book" w:hAnsi="Franklin Gothic Book"/>
                <w:b/>
                <w:szCs w:val="20"/>
              </w:rPr>
              <w:t>I</w:t>
            </w:r>
            <w:r w:rsidRPr="005F4FAA">
              <w:rPr>
                <w:rFonts w:ascii="Franklin Gothic Book" w:hAnsi="Franklin Gothic Book"/>
                <w:b/>
                <w:szCs w:val="20"/>
              </w:rPr>
              <w:t xml:space="preserve">ssues from which lessons were learnt (as identified in </w:t>
            </w:r>
          </w:p>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 xml:space="preserve">ANS, Assessment of the Public Finance Management (PFM) System in the Health Sector and PFM Road Map) </w:t>
            </w:r>
          </w:p>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ab/>
            </w:r>
          </w:p>
        </w:tc>
        <w:tc>
          <w:tcPr>
            <w:tcW w:w="0" w:type="auto"/>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Implications for design of THSSP2</w:t>
            </w:r>
          </w:p>
        </w:tc>
      </w:tr>
      <w:tr w:rsidR="00B652E1" w:rsidRPr="005F4FAA" w:rsidTr="00B652E1">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eastAsiaTheme="minorHAnsi" w:hAnsi="Franklin Gothic Book"/>
                <w:szCs w:val="20"/>
                <w:lang w:val="en-GB" w:eastAsia="en-US"/>
              </w:rPr>
              <w:t>National level Go</w:t>
            </w:r>
            <w:r>
              <w:rPr>
                <w:rFonts w:ascii="Franklin Gothic Book" w:eastAsiaTheme="minorHAnsi" w:hAnsi="Franklin Gothic Book"/>
                <w:szCs w:val="20"/>
                <w:lang w:val="en-GB" w:eastAsia="en-US"/>
              </w:rPr>
              <w:t xml:space="preserve">vernment of </w:t>
            </w:r>
            <w:r w:rsidRPr="005F4FAA">
              <w:rPr>
                <w:rFonts w:ascii="Franklin Gothic Book" w:eastAsiaTheme="minorHAnsi" w:hAnsi="Franklin Gothic Book"/>
                <w:szCs w:val="20"/>
                <w:lang w:val="en-GB" w:eastAsia="en-US"/>
              </w:rPr>
              <w:t>T</w:t>
            </w:r>
            <w:r>
              <w:rPr>
                <w:rFonts w:ascii="Franklin Gothic Book" w:eastAsiaTheme="minorHAnsi" w:hAnsi="Franklin Gothic Book"/>
                <w:szCs w:val="20"/>
                <w:lang w:val="en-GB" w:eastAsia="en-US"/>
              </w:rPr>
              <w:t>onga</w:t>
            </w:r>
            <w:r w:rsidRPr="005F4FAA">
              <w:rPr>
                <w:rFonts w:ascii="Franklin Gothic Book" w:eastAsiaTheme="minorHAnsi" w:hAnsi="Franklin Gothic Book"/>
                <w:szCs w:val="20"/>
                <w:lang w:val="en-GB" w:eastAsia="en-US"/>
              </w:rPr>
              <w:t xml:space="preserve"> Procurement reforms under implementation (supported by DFAT) need to be supplemented by capacity</w:t>
            </w:r>
            <w:r>
              <w:rPr>
                <w:rFonts w:ascii="Franklin Gothic Book" w:eastAsiaTheme="minorHAnsi" w:hAnsi="Franklin Gothic Book"/>
                <w:szCs w:val="20"/>
                <w:lang w:val="en-GB" w:eastAsia="en-US"/>
              </w:rPr>
              <w:t>-</w:t>
            </w:r>
            <w:r w:rsidRPr="005F4FAA">
              <w:rPr>
                <w:rFonts w:ascii="Franklin Gothic Book" w:eastAsiaTheme="minorHAnsi" w:hAnsi="Franklin Gothic Book"/>
                <w:szCs w:val="20"/>
                <w:lang w:val="en-GB" w:eastAsia="en-US"/>
              </w:rPr>
              <w:t>building support at the health sector level to ensure successful implementation.</w:t>
            </w:r>
          </w:p>
        </w:tc>
        <w:tc>
          <w:tcPr>
            <w:tcW w:w="0" w:type="auto"/>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Ensure participation by health sector procurement staff in relevant training under Economic and Public Sector Reform (EPSR) Program, and consider providing additional specific technic</w:t>
            </w:r>
            <w:r>
              <w:rPr>
                <w:rFonts w:ascii="Franklin Gothic Book" w:hAnsi="Franklin Gothic Book"/>
                <w:szCs w:val="20"/>
              </w:rPr>
              <w:t>al support to MoH through THSSP</w:t>
            </w:r>
            <w:r w:rsidRPr="005F4FAA">
              <w:rPr>
                <w:rFonts w:ascii="Franklin Gothic Book" w:hAnsi="Franklin Gothic Book"/>
                <w:szCs w:val="20"/>
              </w:rPr>
              <w:t>2 (Health Systems Strengthening component).</w:t>
            </w:r>
          </w:p>
        </w:tc>
      </w:tr>
      <w:tr w:rsidR="00B652E1" w:rsidRPr="005F4FAA" w:rsidTr="00B652E1">
        <w:tc>
          <w:tcPr>
            <w:tcW w:w="0" w:type="auto"/>
          </w:tcPr>
          <w:p w:rsidR="00B652E1"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THSSP1 implemented outside of MoH finance system, therefore no consolidated financial reports prepared of total MoH resources (recurrent plus donor), and no linkage of costed AMPs to budgets. This limited the ability of the MoH to prepare high quality planning and budgeting documents, based on informed resource allocation decisions. MoH does not currently have access to the Vision reporting function of the Sun System, therefore it is unable to extract useful financial management information in a timely manner.</w:t>
            </w:r>
          </w:p>
          <w:p w:rsidR="00B652E1"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p>
          <w:p w:rsidR="00B652E1" w:rsidRPr="005F4FAA" w:rsidRDefault="00B652E1" w:rsidP="00B652E1">
            <w:pPr>
              <w:autoSpaceDE w:val="0"/>
              <w:autoSpaceDN w:val="0"/>
              <w:adjustRightInd w:val="0"/>
              <w:spacing w:line="276" w:lineRule="auto"/>
              <w:rPr>
                <w:rFonts w:ascii="Franklin Gothic Book" w:hAnsi="Franklin Gothic Book"/>
                <w:szCs w:val="20"/>
              </w:rPr>
            </w:pPr>
          </w:p>
        </w:tc>
        <w:tc>
          <w:tcPr>
            <w:tcW w:w="0" w:type="auto"/>
          </w:tcPr>
          <w:p w:rsidR="00B652E1" w:rsidRPr="005F4FAA" w:rsidRDefault="00B652E1" w:rsidP="00B652E1">
            <w:pPr>
              <w:spacing w:line="276" w:lineRule="auto"/>
              <w:rPr>
                <w:rFonts w:ascii="Franklin Gothic Book" w:hAnsi="Franklin Gothic Book"/>
                <w:szCs w:val="20"/>
              </w:rPr>
            </w:pPr>
            <w:r>
              <w:rPr>
                <w:rFonts w:ascii="Franklin Gothic Book" w:hAnsi="Franklin Gothic Book"/>
                <w:szCs w:val="20"/>
              </w:rPr>
              <w:t>THSSP</w:t>
            </w:r>
            <w:r w:rsidRPr="005F4FAA">
              <w:rPr>
                <w:rFonts w:ascii="Franklin Gothic Book" w:hAnsi="Franklin Gothic Book"/>
                <w:szCs w:val="20"/>
              </w:rPr>
              <w:t xml:space="preserve">2 will ensure that the new budget structure reflects the programs/sub-programs of the Ministry which are included in the annual work- plans and medium term corporate plans, enabling linkage of plans to budgets.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hAnsi="Franklin Gothic Book"/>
                <w:szCs w:val="20"/>
              </w:rPr>
              <w:t xml:space="preserve">The Sun system has the ability to separate out GoT expenditure from donor expenditure against the same overall budget structure, so that </w:t>
            </w:r>
            <w:r w:rsidRPr="00E44BDD">
              <w:rPr>
                <w:rFonts w:ascii="Franklin Gothic Book" w:hAnsi="Franklin Gothic Book"/>
                <w:szCs w:val="20"/>
              </w:rPr>
              <w:t>total</w:t>
            </w:r>
            <w:r w:rsidRPr="005F4FAA">
              <w:rPr>
                <w:rFonts w:ascii="Franklin Gothic Book" w:hAnsi="Franklin Gothic Book"/>
                <w:b/>
                <w:szCs w:val="20"/>
              </w:rPr>
              <w:t xml:space="preserve"> </w:t>
            </w:r>
            <w:r w:rsidRPr="005F4FAA">
              <w:rPr>
                <w:rFonts w:ascii="Franklin Gothic Book" w:hAnsi="Franklin Gothic Book"/>
                <w:szCs w:val="20"/>
              </w:rPr>
              <w:t>budget/actual expenditure can be analysed for each sub-program and even activities under each sub-program.</w:t>
            </w:r>
            <w:r>
              <w:rPr>
                <w:rFonts w:ascii="Franklin Gothic Book" w:hAnsi="Franklin Gothic Book"/>
                <w:szCs w:val="20"/>
              </w:rPr>
              <w:t xml:space="preserve"> </w:t>
            </w:r>
            <w:r w:rsidRPr="005F4FAA">
              <w:rPr>
                <w:rFonts w:ascii="Franklin Gothic Book" w:eastAsiaTheme="minorHAnsi" w:hAnsi="Franklin Gothic Book"/>
                <w:szCs w:val="20"/>
                <w:lang w:val="en-GB" w:eastAsia="en-US"/>
              </w:rPr>
              <w:t xml:space="preserve">Critical </w:t>
            </w:r>
            <w:r w:rsidRPr="003061C0">
              <w:rPr>
                <w:rFonts w:ascii="Franklin Gothic Book" w:eastAsiaTheme="minorHAnsi" w:hAnsi="Franklin Gothic Book"/>
                <w:szCs w:val="20"/>
                <w:lang w:val="en-GB" w:eastAsia="en-US"/>
              </w:rPr>
              <w:t>system strengthening activity to include development of Financial Procedures manual to supplement existing Treasury Instructions, and roll-out and training in full functionality of Sun system to MoH, including budget coding and Vision reporting module – this is important</w:t>
            </w:r>
            <w:r w:rsidRPr="005F4FAA">
              <w:rPr>
                <w:rFonts w:ascii="Franklin Gothic Book" w:eastAsiaTheme="minorHAnsi" w:hAnsi="Franklin Gothic Book"/>
                <w:szCs w:val="20"/>
                <w:lang w:val="en-GB" w:eastAsia="en-US"/>
              </w:rPr>
              <w:t xml:space="preserve"> so that MoH can extract reports directly from the system.</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These improvements in MoH must be done in the context of the broader Sun System and planning reforms being led by Ministry of Finance and National Planning (MoFNP). MoH should be considered a priority pilot ministry for this work, and if MoFNP funding is insufficient, additional support could be provided to MoH from THSSP2 resources (Health Systems Strengthening component).</w:t>
            </w:r>
          </w:p>
          <w:p w:rsidR="00B652E1" w:rsidRPr="005F4FAA" w:rsidRDefault="00B652E1" w:rsidP="00B652E1">
            <w:pPr>
              <w:spacing w:line="276" w:lineRule="auto"/>
              <w:rPr>
                <w:rFonts w:ascii="Franklin Gothic Book" w:hAnsi="Franklin Gothic Book"/>
                <w:szCs w:val="20"/>
              </w:rPr>
            </w:pPr>
          </w:p>
        </w:tc>
      </w:tr>
    </w:tbl>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p>
    <w:p w:rsidR="00B652E1" w:rsidRPr="005F4FAA" w:rsidRDefault="00B652E1" w:rsidP="00F63C34">
      <w:pPr>
        <w:pStyle w:val="Heading2"/>
        <w:rPr>
          <w:lang w:eastAsia="en-US"/>
        </w:rPr>
      </w:pPr>
      <w:r w:rsidRPr="005F4FAA">
        <w:rPr>
          <w:lang w:eastAsia="en-US"/>
        </w:rPr>
        <w:t>Lessons from the wider DFAT portfolio in Tonga</w:t>
      </w:r>
    </w:p>
    <w:p w:rsidR="00B652E1" w:rsidRPr="005F4FAA" w:rsidRDefault="00B652E1" w:rsidP="00B652E1">
      <w:pPr>
        <w:spacing w:line="276" w:lineRule="auto"/>
        <w:rPr>
          <w:rFonts w:ascii="Franklin Gothic Book" w:hAnsi="Franklin Gothic Book"/>
          <w:szCs w:val="20"/>
        </w:rPr>
      </w:pPr>
    </w:p>
    <w:p w:rsidR="00B652E1" w:rsidRPr="00B67EAD" w:rsidRDefault="00B652E1" w:rsidP="00B652E1">
      <w:pPr>
        <w:rPr>
          <w:rFonts w:ascii="Franklin Gothic Medium" w:hAnsi="Franklin Gothic Medium" w:cs="Calibri"/>
          <w:szCs w:val="20"/>
        </w:rPr>
      </w:pPr>
      <w:r w:rsidRPr="00A40A80">
        <w:rPr>
          <w:rFonts w:ascii="Franklin Gothic Medium" w:hAnsi="Franklin Gothic Medium" w:cs="Calibri"/>
          <w:szCs w:val="20"/>
        </w:rPr>
        <w:t>The DFAT-funded education program TESP (Tonga Education Sector Program) has important lessons for THSSP2 about the challenges involved in using Government of Tonga systems. In fact the education program has not succeeded in its attempts to rely on GoT systems</w:t>
      </w:r>
      <w:r w:rsidRPr="00B67EAD">
        <w:rPr>
          <w:rFonts w:ascii="Franklin Gothic Medium" w:hAnsi="Franklin Gothic Medium" w:cs="Calibri"/>
          <w:szCs w:val="20"/>
        </w:rPr>
        <w:t xml:space="preserve">.  The same format as used in Tables 1a and 1b was used to describe lessons learnt from TESP, based on discussions with the DFAT Education Program Manager. Perhaps the most important lesson was the need to ensure that work-plans are not too ambitious: one way of doing this is to assess the quarterly monitoring reports against the annual plan. The full table is shown in Annex 6. </w:t>
      </w:r>
    </w:p>
    <w:p w:rsidR="00B652E1" w:rsidRPr="00C34E20" w:rsidRDefault="00B652E1" w:rsidP="00B652E1">
      <w:pPr>
        <w:rPr>
          <w:rFonts w:ascii="Franklin Gothic Medium" w:hAnsi="Franklin Gothic Medium" w:cs="Calibri"/>
          <w:szCs w:val="20"/>
        </w:rPr>
      </w:pPr>
    </w:p>
    <w:p w:rsidR="00B652E1" w:rsidRDefault="00B652E1" w:rsidP="00B652E1">
      <w:pPr>
        <w:spacing w:line="276" w:lineRule="auto"/>
        <w:rPr>
          <w:rFonts w:ascii="Franklin Gothic Book" w:hAnsi="Franklin Gothic Book"/>
          <w:szCs w:val="20"/>
        </w:rPr>
      </w:pPr>
      <w:r w:rsidRPr="00C34E20">
        <w:rPr>
          <w:rFonts w:ascii="Franklin Gothic Medium" w:hAnsi="Franklin Gothic Medium"/>
          <w:szCs w:val="20"/>
        </w:rPr>
        <w:t>Other DFAT funding outside the health sector</w:t>
      </w:r>
      <w:r w:rsidRPr="005F4FAA">
        <w:rPr>
          <w:rFonts w:ascii="Franklin Gothic Book" w:hAnsi="Franklin Gothic Book"/>
          <w:szCs w:val="20"/>
        </w:rPr>
        <w:t xml:space="preserve"> is also relevant to THSSP2. Over 50% of the budget support to Tonga was used to fund Ministry of Health salaries in 2014/15.  The Economic and Public Sector Reform Program (funded jointly with the ADB</w:t>
      </w:r>
      <w:r>
        <w:rPr>
          <w:rFonts w:ascii="Franklin Gothic Book" w:hAnsi="Franklin Gothic Book"/>
          <w:szCs w:val="20"/>
        </w:rPr>
        <w:t xml:space="preserve">, EU </w:t>
      </w:r>
      <w:r w:rsidRPr="005F4FAA">
        <w:rPr>
          <w:rFonts w:ascii="Franklin Gothic Book" w:hAnsi="Franklin Gothic Book"/>
          <w:szCs w:val="20"/>
        </w:rPr>
        <w:t xml:space="preserve">and World Bank) aims to introduce just the type of budget and financial management improvements which would benefit the Ministry of Health. </w:t>
      </w:r>
      <w:r>
        <w:rPr>
          <w:rFonts w:ascii="Franklin Gothic Book" w:hAnsi="Franklin Gothic Book"/>
          <w:szCs w:val="20"/>
        </w:rPr>
        <w:t xml:space="preserve">A </w:t>
      </w:r>
      <w:r w:rsidRPr="005F4FAA">
        <w:rPr>
          <w:rFonts w:ascii="Franklin Gothic Book" w:hAnsi="Franklin Gothic Book"/>
          <w:szCs w:val="20"/>
        </w:rPr>
        <w:t>potentially useful collaboration between THSSP2 and the Reform Program would be if the Ministry of Health was the pilot line ministry for an improved chart of accounts and clear roles and responsibilities in relation to financial management and reporting. The ANS update undertaken during this design process has highlighted the need for the Economic and Public Sector Reform Program and the THSSP2 design to have a more targeted approach to addressing procurement issues within the Ministry of Health. This includes capacity-building assistance to improve procurement planning, preparation of procurement proposals and technical specifications, and stock management.</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after="240" w:line="276" w:lineRule="auto"/>
        <w:rPr>
          <w:rFonts w:ascii="Franklin Gothic Book" w:hAnsi="Franklin Gothic Book"/>
          <w:szCs w:val="20"/>
        </w:rPr>
      </w:pPr>
      <w:r w:rsidRPr="005F4FAA">
        <w:rPr>
          <w:rFonts w:ascii="Franklin Gothic Book" w:hAnsi="Franklin Gothic Book"/>
          <w:szCs w:val="20"/>
        </w:rPr>
        <w:t xml:space="preserve">The annual Tonga-Australia Partnership talks are an opportunity to bring together experience from the various programs, especially in the key areas of financial management and budget decision-making. </w:t>
      </w:r>
    </w:p>
    <w:p w:rsidR="00B652E1" w:rsidRPr="005F4FAA" w:rsidRDefault="00B652E1" w:rsidP="00B652E1">
      <w:pPr>
        <w:spacing w:before="80" w:after="240" w:line="276" w:lineRule="auto"/>
        <w:ind w:left="68" w:hanging="68"/>
        <w:rPr>
          <w:rFonts w:ascii="Franklin Gothic Book" w:hAnsi="Franklin Gothic Book"/>
          <w:i/>
          <w:szCs w:val="20"/>
          <w:lang w:eastAsia="en-US"/>
        </w:rPr>
      </w:pPr>
      <w:r w:rsidRPr="005F4FAA">
        <w:rPr>
          <w:rFonts w:ascii="Franklin Gothic Book" w:hAnsi="Franklin Gothic Book"/>
          <w:i/>
          <w:szCs w:val="20"/>
          <w:lang w:eastAsia="en-US"/>
        </w:rPr>
        <w:t>Relevant aspects of the work of other development partners in Tonga</w:t>
      </w:r>
    </w:p>
    <w:p w:rsidR="00B652E1" w:rsidRPr="005F4FAA" w:rsidRDefault="00B652E1" w:rsidP="00B652E1">
      <w:pPr>
        <w:spacing w:before="240" w:line="276" w:lineRule="auto"/>
        <w:rPr>
          <w:rFonts w:ascii="Franklin Gothic Book" w:hAnsi="Franklin Gothic Book"/>
          <w:szCs w:val="20"/>
        </w:rPr>
      </w:pPr>
      <w:r w:rsidRPr="005F4FAA">
        <w:rPr>
          <w:rFonts w:ascii="Franklin Gothic Book" w:hAnsi="Franklin Gothic Book"/>
          <w:szCs w:val="20"/>
        </w:rPr>
        <w:t xml:space="preserve">The work of other development partners is also related to THSSP2. </w:t>
      </w:r>
      <w:r>
        <w:rPr>
          <w:rFonts w:ascii="Franklin Gothic Book" w:hAnsi="Franklin Gothic Book"/>
          <w:szCs w:val="20"/>
        </w:rPr>
        <w:t xml:space="preserve">Other </w:t>
      </w:r>
      <w:r w:rsidRPr="005F4FAA">
        <w:rPr>
          <w:rFonts w:ascii="Franklin Gothic Book" w:hAnsi="Franklin Gothic Book"/>
          <w:szCs w:val="20"/>
        </w:rPr>
        <w:t xml:space="preserve">development partners currently supporting the health sector are Australia, Japan, China, New Zealand, WHO, United Nations Children’s Fund (UNICEF) and United Nations Population Fund (UNFPA). The International Planned Parenthood Federation (IPPF) provides support through its local affiliate, Tonga Family Health.  Development aid to the health sector increased from approximately 8 million TOP in 2003/04 to over 11 million TOP in 2007/08, with the vast majority of spending being off-budget (not shown in the Ministry of Health’s  budget). A few large projects, notably THSSP1 and renovation of Vaiola Hospital, accounted for the bulk of the expenditure.  </w:t>
      </w:r>
    </w:p>
    <w:p w:rsidR="00B652E1" w:rsidRPr="005F4FAA" w:rsidRDefault="00B652E1" w:rsidP="00B652E1">
      <w:pPr>
        <w:spacing w:before="240" w:line="276" w:lineRule="auto"/>
        <w:rPr>
          <w:rFonts w:ascii="Franklin Gothic Book" w:hAnsi="Franklin Gothic Book"/>
          <w:szCs w:val="20"/>
        </w:rPr>
      </w:pPr>
      <w:r w:rsidRPr="005F4FAA">
        <w:rPr>
          <w:rFonts w:ascii="Franklin Gothic Book" w:hAnsi="Franklin Gothic Book"/>
          <w:szCs w:val="20"/>
        </w:rPr>
        <w:t xml:space="preserve">The </w:t>
      </w:r>
      <w:r w:rsidRPr="005F4FAA">
        <w:rPr>
          <w:rFonts w:ascii="Franklin Gothic Book" w:hAnsi="Franklin Gothic Book"/>
          <w:b/>
          <w:szCs w:val="20"/>
        </w:rPr>
        <w:t>New Zealand</w:t>
      </w:r>
      <w:r w:rsidRPr="005F4FAA">
        <w:rPr>
          <w:rFonts w:ascii="Franklin Gothic Book" w:hAnsi="Franklin Gothic Book"/>
          <w:szCs w:val="20"/>
        </w:rPr>
        <w:t xml:space="preserve"> Government responded to two urgent health requests from the Government of Tonga in early 2015. The first was funding for the Tongan Red Cross Services Emergency Dengue Plan and the second was for the urgent procurement of essential drugs, following a stock-out of almost 80 percent of the drugs within the central government pharmacy. While not a large donor in the health sector in Tonga, New Zealand remains engaged and is flexible to mid-level requests for assistance. New Zealand also provides long-term support to Tonga through its medical transfers program. </w:t>
      </w:r>
    </w:p>
    <w:p w:rsidR="00B652E1" w:rsidRPr="005F4FAA" w:rsidRDefault="00B652E1" w:rsidP="00B652E1">
      <w:pPr>
        <w:spacing w:before="240" w:line="276" w:lineRule="auto"/>
        <w:rPr>
          <w:rFonts w:ascii="Franklin Gothic Book" w:hAnsi="Franklin Gothic Book"/>
          <w:szCs w:val="20"/>
        </w:rPr>
      </w:pPr>
      <w:r w:rsidRPr="005F4FAA">
        <w:rPr>
          <w:rFonts w:ascii="Franklin Gothic Book" w:hAnsi="Franklin Gothic Book"/>
          <w:szCs w:val="20"/>
        </w:rPr>
        <w:t xml:space="preserve">The Tongan and Australian Governments both recognise the leading role of the </w:t>
      </w:r>
      <w:r w:rsidRPr="005F4FAA">
        <w:rPr>
          <w:rFonts w:ascii="Franklin Gothic Book" w:hAnsi="Franklin Gothic Book"/>
          <w:b/>
          <w:szCs w:val="20"/>
        </w:rPr>
        <w:t>World Health Organization</w:t>
      </w:r>
      <w:r w:rsidRPr="005F4FAA">
        <w:rPr>
          <w:rFonts w:ascii="Franklin Gothic Book" w:hAnsi="Franklin Gothic Book"/>
          <w:szCs w:val="20"/>
        </w:rPr>
        <w:t xml:space="preserve"> as the primary specialised agency for health. They have re-affirmed its leadership and co-ordination role in promoting and monitoring global action against non-communicable diseases in relation to the work of other relevant United Nations agencies, development banks and other regional and international organisations. Australia continues to support WHO’s global role in establishing norms, standards and guidance – including in relation to the NCD response. DFAT’s position is that the operationalization of global action plans requires adaptation to country contexts, including ensuring that relevant stakeholders at local level take the lead. A recent WHO consultation on PEN (the WHO package of essential NCD interventions) in Suva acknowledged that “countries were keen to adapt their approach to NCD management” – just one small and recent example of broader recognition within WHO of the need to tailor global work to country priorities. As the largest regional bilateral donor in health, with a major investment in NCDs, DFAT is continuing to work with WHO at different levels to ensure better co-ordination between stakeholders to make best use of our limited resources. </w:t>
      </w:r>
    </w:p>
    <w:p w:rsidR="00B652E1" w:rsidRPr="005F4FAA" w:rsidRDefault="00B652E1" w:rsidP="00B652E1">
      <w:pPr>
        <w:spacing w:before="240" w:line="276" w:lineRule="auto"/>
        <w:rPr>
          <w:rFonts w:ascii="Franklin Gothic Book" w:hAnsi="Franklin Gothic Book"/>
          <w:szCs w:val="20"/>
        </w:rPr>
      </w:pPr>
      <w:r w:rsidRPr="009C044C">
        <w:rPr>
          <w:rFonts w:ascii="Franklin Gothic Book" w:hAnsi="Franklin Gothic Book"/>
          <w:szCs w:val="20"/>
        </w:rPr>
        <w:t>Whilst WHO has provided guidance on TongaHealth’s statutory position in relation to Government, there has been no engagement with TongaHealth itself. The Country Liaison Office does not regard TongaHealth as a relevant government partner, despite WHO’s global policy to support Health Promotion Foundations.</w:t>
      </w:r>
      <w:r w:rsidRPr="005F4FAA">
        <w:rPr>
          <w:rFonts w:ascii="Franklin Gothic Book" w:hAnsi="Franklin Gothic Book"/>
          <w:szCs w:val="20"/>
        </w:rPr>
        <w:t xml:space="preserve"> This has raised issues related to co-ordination and duplication: DFAT will encourage WHO to become more involved with TongaHealth. Issues that could benefit from stronger WHO engagement include advice about evidence-based health promotion and harmonization and alignment of donor funding for health promotion related to NCDs.   </w:t>
      </w:r>
    </w:p>
    <w:p w:rsidR="00B652E1" w:rsidRPr="00A40A80" w:rsidRDefault="00B652E1" w:rsidP="00B652E1">
      <w:pPr>
        <w:spacing w:before="240" w:line="276" w:lineRule="auto"/>
        <w:rPr>
          <w:rFonts w:ascii="Franklin Gothic Book" w:hAnsi="Franklin Gothic Book"/>
          <w:szCs w:val="20"/>
        </w:rPr>
      </w:pPr>
      <w:r w:rsidRPr="00A40A80">
        <w:rPr>
          <w:rFonts w:ascii="Franklin Gothic Book" w:hAnsi="Franklin Gothic Book"/>
          <w:szCs w:val="20"/>
        </w:rPr>
        <w:t xml:space="preserve">In addition, WHO is supporting the development of a National Human Resources (HR) Strategy. At the time of writing, this document is due for imminent release. The translation of this Strategy into concrete plans is an important part of the Ministry’s systems strengthening. </w:t>
      </w:r>
      <w:r w:rsidRPr="00B67EAD">
        <w:rPr>
          <w:rFonts w:ascii="Franklin Gothic Book" w:hAnsi="Franklin Gothic Book"/>
          <w:szCs w:val="20"/>
        </w:rPr>
        <w:t>HR plans should deal both with the main cadres of health worker (such as various types of nurses) and with succession planning for senior clinical and management posts.</w:t>
      </w:r>
      <w:r w:rsidRPr="00A40A80">
        <w:rPr>
          <w:rFonts w:ascii="Franklin Gothic Book" w:hAnsi="Franklin Gothic Book"/>
          <w:szCs w:val="20"/>
        </w:rPr>
        <w:t xml:space="preserve">  </w:t>
      </w:r>
    </w:p>
    <w:p w:rsidR="00B652E1" w:rsidRPr="005F4FAA" w:rsidRDefault="00B652E1" w:rsidP="00B652E1">
      <w:pPr>
        <w:spacing w:before="240" w:line="276" w:lineRule="auto"/>
        <w:rPr>
          <w:rFonts w:ascii="Franklin Gothic Book" w:hAnsi="Franklin Gothic Book"/>
          <w:szCs w:val="20"/>
        </w:rPr>
      </w:pPr>
      <w:r w:rsidRPr="00A40A80">
        <w:rPr>
          <w:rFonts w:ascii="Franklin Gothic Book" w:hAnsi="Franklin Gothic Book"/>
          <w:szCs w:val="20"/>
        </w:rPr>
        <w:t xml:space="preserve">The </w:t>
      </w:r>
      <w:r w:rsidRPr="00A40A80">
        <w:rPr>
          <w:rFonts w:ascii="Franklin Gothic Book" w:hAnsi="Franklin Gothic Book"/>
          <w:b/>
          <w:szCs w:val="20"/>
        </w:rPr>
        <w:t>Asian Development Bank</w:t>
      </w:r>
      <w:r w:rsidRPr="00A40A80">
        <w:rPr>
          <w:rFonts w:ascii="Franklin Gothic Book" w:hAnsi="Franklin Gothic Book"/>
          <w:szCs w:val="20"/>
        </w:rPr>
        <w:t xml:space="preserve"> (ADB) supported the development of a submarine fibre- optic cable</w:t>
      </w:r>
      <w:r w:rsidRPr="005F4FAA">
        <w:rPr>
          <w:rFonts w:ascii="Franklin Gothic Book" w:hAnsi="Franklin Gothic Book"/>
          <w:szCs w:val="20"/>
        </w:rPr>
        <w:t xml:space="preserve"> system in Tonga through the Tonga-Fiji Submarine Cable Project. To harness the increased capacity for Information, Communication and Technology (ICT), the Government of Tonga requested ADB to explore the potential to use electronic applications (“e-applications”) to improve delivery of vital social services such as health and education. One area of support is the preparation of an ICT Health Sector Policy that will set out in which areas e-applications can be </w:t>
      </w:r>
      <w:r w:rsidRPr="00A40A80">
        <w:rPr>
          <w:rFonts w:ascii="Franklin Gothic Book" w:hAnsi="Franklin Gothic Book"/>
          <w:szCs w:val="20"/>
        </w:rPr>
        <w:t xml:space="preserve">developed to help the government achieve its national health objectives. A Health ICT Policy Expert </w:t>
      </w:r>
      <w:r w:rsidRPr="00B67EAD">
        <w:rPr>
          <w:rFonts w:ascii="Franklin Gothic Book" w:hAnsi="Franklin Gothic Book"/>
          <w:szCs w:val="20"/>
        </w:rPr>
        <w:t>has been</w:t>
      </w:r>
      <w:r w:rsidRPr="00A40A80">
        <w:rPr>
          <w:rFonts w:ascii="Franklin Gothic Book" w:hAnsi="Franklin Gothic Book"/>
          <w:szCs w:val="20"/>
        </w:rPr>
        <w:t xml:space="preserve"> recruited by ADB to undertake this work under the Pacific Information and Communication Technology (ICT) Investment Planning and Capacity Development Facility. The International Telecommunication Union (ITU) and the World Health Organization (WHO) will provide technical back-stopping over the course of the assignment. Reliable, timely health information is highly relevant to THSSP2: the Ministry of Health and DFAT will ensure that there is co-ordination between THSSP2 and the ADB’s work on ICT in health.  This is directly relevant to THSSP2’s support for health systems strengthening. </w:t>
      </w:r>
      <w:r w:rsidRPr="00B67EAD">
        <w:rPr>
          <w:rFonts w:ascii="Franklin Gothic Book" w:hAnsi="Franklin Gothic Book"/>
          <w:szCs w:val="20"/>
        </w:rPr>
        <w:t>Indeed the ADB-funded TA has already provided useful inputs for THSSP2 by advising on the monitoring framework described here in Annex 12.</w:t>
      </w:r>
      <w:r>
        <w:rPr>
          <w:rFonts w:ascii="Franklin Gothic Book" w:hAnsi="Franklin Gothic Book"/>
          <w:szCs w:val="20"/>
        </w:rPr>
        <w:t xml:space="preserve"> </w:t>
      </w:r>
    </w:p>
    <w:p w:rsidR="00B652E1" w:rsidRPr="006F1104" w:rsidRDefault="00B652E1" w:rsidP="00B652E1">
      <w:pPr>
        <w:spacing w:before="240" w:line="276" w:lineRule="auto"/>
        <w:rPr>
          <w:rFonts w:ascii="Franklin Gothic Book" w:hAnsi="Franklin Gothic Book"/>
          <w:szCs w:val="20"/>
        </w:rPr>
      </w:pPr>
      <w:r w:rsidRPr="005F4FAA">
        <w:rPr>
          <w:rFonts w:ascii="Franklin Gothic Book" w:hAnsi="Franklin Gothic Book"/>
          <w:szCs w:val="20"/>
        </w:rPr>
        <w:t xml:space="preserve">The </w:t>
      </w:r>
      <w:r w:rsidRPr="005F4FAA">
        <w:rPr>
          <w:rFonts w:ascii="Franklin Gothic Book" w:hAnsi="Franklin Gothic Book"/>
          <w:b/>
          <w:szCs w:val="20"/>
        </w:rPr>
        <w:t>World Bank</w:t>
      </w:r>
      <w:r w:rsidRPr="005F4FAA">
        <w:rPr>
          <w:rFonts w:ascii="Franklin Gothic Book" w:hAnsi="Franklin Gothic Book"/>
          <w:szCs w:val="20"/>
        </w:rPr>
        <w:t xml:space="preserve"> undertakes valuable research in Tonga in the area of NCDs.  Most recently in early 2015, the Bank produced a (DFAT-funded) paper comparing prices of pharmaceuticals/</w:t>
      </w:r>
      <w:r>
        <w:rPr>
          <w:rFonts w:ascii="Franklin Gothic Book" w:hAnsi="Franklin Gothic Book"/>
          <w:szCs w:val="20"/>
        </w:rPr>
        <w:t xml:space="preserve"> </w:t>
      </w:r>
      <w:r w:rsidRPr="005F4FAA">
        <w:rPr>
          <w:rFonts w:ascii="Franklin Gothic Book" w:hAnsi="Franklin Gothic Book"/>
          <w:szCs w:val="20"/>
        </w:rPr>
        <w:t xml:space="preserve">medical supplies for a short-list of items predominantly used for dealing with NCDs.  The prices were collected in late 2014.  </w:t>
      </w:r>
      <w:r>
        <w:rPr>
          <w:rFonts w:ascii="Franklin Gothic Book" w:hAnsi="Franklin Gothic Book"/>
          <w:szCs w:val="20"/>
        </w:rPr>
        <w:t xml:space="preserve">In most cases </w:t>
      </w:r>
      <w:r w:rsidRPr="005F4FAA">
        <w:rPr>
          <w:rFonts w:ascii="Franklin Gothic Book" w:hAnsi="Franklin Gothic Book"/>
          <w:szCs w:val="20"/>
        </w:rPr>
        <w:t xml:space="preserve">Tonga paid a higher price for the same pharmaceutical supplies then their Pacific Island neighbours. The aim of the paper was to stimulate discussion on practical actions countries might take to achieve better value for existing </w:t>
      </w:r>
      <w:r w:rsidRPr="006F1104">
        <w:rPr>
          <w:rFonts w:ascii="Franklin Gothic Book" w:hAnsi="Franklin Gothic Book"/>
          <w:szCs w:val="20"/>
        </w:rPr>
        <w:t xml:space="preserve">health expenditure on essential medical supplies.  The Bank has suggested that a more comprehensive comparison of a broader ‘basket’ of essential medical supplies could be completed in 2015 as part of follow-up action by the Pacific Heads of Health. This has natural synergies with this investment because pharmaceuticals and medical supplies are an important component in the overall cost of managing NCDs. The medical supplies comparison could be considered for funding by DFAT, if the Government of Tonga makes the appropriate request. DFAT is funding a Supply Chain Adviser for the Tonga health sector who will assess the potential usefulness of the comparisons work. </w:t>
      </w:r>
    </w:p>
    <w:p w:rsidR="00B652E1" w:rsidRPr="006F1104" w:rsidRDefault="00B652E1" w:rsidP="00B652E1">
      <w:pPr>
        <w:rPr>
          <w:rFonts w:ascii="Franklin Gothic Book" w:eastAsia="Times New Roman" w:hAnsi="Franklin Gothic Book"/>
          <w:szCs w:val="20"/>
          <w:shd w:val="clear" w:color="auto" w:fill="FFFF00"/>
        </w:rPr>
      </w:pPr>
    </w:p>
    <w:p w:rsidR="00B652E1" w:rsidRPr="006F1104" w:rsidRDefault="00B652E1" w:rsidP="00B652E1">
      <w:pPr>
        <w:rPr>
          <w:rFonts w:ascii="Franklin Gothic Book" w:eastAsia="Times New Roman" w:hAnsi="Franklin Gothic Book"/>
          <w:szCs w:val="20"/>
        </w:rPr>
      </w:pPr>
      <w:r w:rsidRPr="006F1104">
        <w:rPr>
          <w:rFonts w:ascii="Franklin Gothic Book" w:hAnsi="Franklin Gothic Book"/>
        </w:rPr>
        <w:t xml:space="preserve">The </w:t>
      </w:r>
      <w:r w:rsidRPr="006F1104">
        <w:rPr>
          <w:rFonts w:ascii="Franklin Gothic Book" w:hAnsi="Franklin Gothic Book"/>
          <w:b/>
        </w:rPr>
        <w:t>disability sector</w:t>
      </w:r>
      <w:r w:rsidRPr="006F1104">
        <w:rPr>
          <w:rFonts w:ascii="Franklin Gothic Book" w:hAnsi="Franklin Gothic Book"/>
        </w:rPr>
        <w:t xml:space="preserve"> in Tonga is small and lacks co-ordination.</w:t>
      </w:r>
      <w:r w:rsidRPr="006F1104">
        <w:rPr>
          <w:rFonts w:ascii="Franklin Gothic Book" w:hAnsi="Franklin Gothic Book"/>
          <w:vertAlign w:val="superscript"/>
        </w:rPr>
        <w:footnoteReference w:id="14"/>
      </w:r>
      <w:r w:rsidRPr="006F1104">
        <w:rPr>
          <w:rFonts w:ascii="Franklin Gothic Book" w:hAnsi="Franklin Gothic Book"/>
        </w:rPr>
        <w:t xml:space="preserve"> The </w:t>
      </w:r>
      <w:r w:rsidRPr="006F1104">
        <w:rPr>
          <w:rFonts w:ascii="Franklin Gothic Book" w:eastAsia="Times New Roman" w:hAnsi="Franklin Gothic Book"/>
          <w:szCs w:val="20"/>
        </w:rPr>
        <w:t xml:space="preserve">majority of services are provided by non-government organizations and supported by </w:t>
      </w:r>
      <w:r w:rsidRPr="006F1104">
        <w:rPr>
          <w:rFonts w:ascii="Franklin Gothic Book" w:eastAsia="Times New Roman" w:hAnsi="Franklin Gothic Book"/>
          <w:b/>
          <w:szCs w:val="20"/>
        </w:rPr>
        <w:t>church donations</w:t>
      </w:r>
      <w:r w:rsidRPr="006F1104">
        <w:rPr>
          <w:rFonts w:ascii="Franklin Gothic Book" w:eastAsia="Times New Roman" w:hAnsi="Franklin Gothic Book"/>
          <w:szCs w:val="20"/>
        </w:rPr>
        <w:t>. The Church of Jesus Christ of the Latter Day Saints (LDS) partnered with Motivation Australia in 2012 to organise training of medical professionals, care-givers and others on how to assess a person’s mobility needs, as well as how to assemble and use wheelchairs. In November 2013 the LDS Church provided a donation of 540 wheelchairs and 300 other mobility aids, some of which went to the Ministry of Health.</w:t>
      </w:r>
    </w:p>
    <w:p w:rsidR="00B652E1" w:rsidRPr="006F1104" w:rsidRDefault="00B652E1" w:rsidP="00B652E1">
      <w:pPr>
        <w:rPr>
          <w:rFonts w:ascii="Franklin Gothic Book" w:eastAsia="Times New Roman" w:hAnsi="Franklin Gothic Book"/>
          <w:szCs w:val="20"/>
        </w:rPr>
      </w:pPr>
    </w:p>
    <w:p w:rsidR="00B652E1" w:rsidRPr="006F1104" w:rsidRDefault="00B652E1" w:rsidP="00240118">
      <w:pPr>
        <w:rPr>
          <w:rFonts w:ascii="Franklin Gothic Book" w:hAnsi="Franklin Gothic Book"/>
        </w:rPr>
      </w:pPr>
      <w:r w:rsidRPr="006F1104">
        <w:rPr>
          <w:rFonts w:ascii="Franklin Gothic Book" w:hAnsi="Franklin Gothic Book"/>
        </w:rPr>
        <w:t xml:space="preserve">Until recently there was no clear ministry responsible for co-ordinating disability-related initiatives; however the new Disability Policy states that this role now sits with the Ministry for Internal Affairs. There is no co-ordinating mechanism between government and non-government services, nor within the non-government sector. </w:t>
      </w:r>
    </w:p>
    <w:p w:rsidR="00B652E1" w:rsidRPr="006F1104" w:rsidRDefault="00B652E1" w:rsidP="00B652E1">
      <w:pPr>
        <w:rPr>
          <w:rFonts w:ascii="Franklin Gothic Book" w:eastAsia="Times New Roman" w:hAnsi="Franklin Gothic Book"/>
          <w:szCs w:val="20"/>
        </w:rPr>
      </w:pPr>
      <w:r w:rsidRPr="006F1104">
        <w:rPr>
          <w:rFonts w:ascii="Franklin Gothic Book" w:eastAsia="Times New Roman" w:hAnsi="Franklin Gothic Book" w:cs="Calibri"/>
          <w:szCs w:val="20"/>
        </w:rPr>
        <w:t> </w:t>
      </w:r>
    </w:p>
    <w:p w:rsidR="00B652E1" w:rsidRPr="005F4FAA" w:rsidRDefault="00B652E1" w:rsidP="00F63C34">
      <w:pPr>
        <w:pStyle w:val="Heading2"/>
      </w:pPr>
      <w:r w:rsidRPr="00B67EAD">
        <w:rPr>
          <w:rFonts w:ascii="Calibri" w:hAnsi="Calibri" w:cs="Calibri"/>
          <w:sz w:val="22"/>
          <w:szCs w:val="22"/>
        </w:rPr>
        <w:t> </w:t>
      </w:r>
      <w:r w:rsidRPr="00B67EAD">
        <w:t>Lessons from elsewhere</w:t>
      </w:r>
    </w:p>
    <w:p w:rsidR="00B652E1" w:rsidRPr="005F4FAA" w:rsidRDefault="00B652E1" w:rsidP="00B652E1">
      <w:pPr>
        <w:spacing w:line="276" w:lineRule="auto"/>
        <w:rPr>
          <w:rFonts w:ascii="Franklin Gothic Book" w:hAnsi="Franklin Gothic Book"/>
          <w:i/>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In terms of evidence from elsewhere, two areas of work have particularly informed the design of THSSP2: the WHO </w:t>
      </w:r>
      <w:r w:rsidRPr="005F4FAA">
        <w:rPr>
          <w:rFonts w:ascii="Franklin Gothic Book" w:eastAsiaTheme="minorHAnsi" w:hAnsi="Franklin Gothic Book"/>
          <w:szCs w:val="20"/>
          <w:lang w:val="en-GB" w:eastAsia="en-US"/>
        </w:rPr>
        <w:t>Package of Essential Non-communicable Disease Interventions and t</w:t>
      </w:r>
      <w:r w:rsidRPr="005F4FAA">
        <w:rPr>
          <w:rFonts w:ascii="Franklin Gothic Book" w:hAnsi="Franklin Gothic Book"/>
          <w:szCs w:val="20"/>
        </w:rPr>
        <w:t>he DFAT-funded Solomon Islands Health Sector Support Program.</w:t>
      </w:r>
    </w:p>
    <w:p w:rsidR="00B652E1" w:rsidRPr="005F4FAA" w:rsidRDefault="00B652E1" w:rsidP="00B652E1">
      <w:pPr>
        <w:spacing w:before="240" w:line="276" w:lineRule="auto"/>
        <w:ind w:left="68" w:hanging="68"/>
        <w:rPr>
          <w:rFonts w:ascii="Franklin Gothic Book" w:hAnsi="Franklin Gothic Book"/>
          <w:i/>
          <w:szCs w:val="20"/>
          <w:lang w:eastAsia="en-US"/>
        </w:rPr>
      </w:pPr>
      <w:r w:rsidRPr="005F4FAA">
        <w:rPr>
          <w:rFonts w:ascii="Franklin Gothic Book" w:hAnsi="Franklin Gothic Book"/>
          <w:i/>
          <w:szCs w:val="20"/>
          <w:lang w:eastAsia="en-US"/>
        </w:rPr>
        <w:t>Lessons from the DFAT health program in Solomon Islands</w:t>
      </w:r>
    </w:p>
    <w:p w:rsidR="00B652E1" w:rsidRPr="005F4FAA" w:rsidRDefault="00B652E1" w:rsidP="00B652E1">
      <w:pPr>
        <w:spacing w:before="240" w:line="276" w:lineRule="auto"/>
        <w:rPr>
          <w:rFonts w:ascii="Franklin Gothic Book" w:hAnsi="Franklin Gothic Book"/>
          <w:szCs w:val="20"/>
        </w:rPr>
      </w:pPr>
      <w:r w:rsidRPr="005F4FAA">
        <w:rPr>
          <w:rFonts w:ascii="Franklin Gothic Book" w:hAnsi="Franklin Gothic Book"/>
          <w:szCs w:val="20"/>
        </w:rPr>
        <w:t xml:space="preserve">Through document review and a telephone conversation, details of the DFAT-funded </w:t>
      </w:r>
      <w:r w:rsidRPr="005F4FAA">
        <w:rPr>
          <w:rFonts w:ascii="Franklin Gothic Book" w:hAnsi="Franklin Gothic Book"/>
          <w:b/>
          <w:szCs w:val="20"/>
        </w:rPr>
        <w:t xml:space="preserve">Solomon Islands Health Sector Support Program </w:t>
      </w:r>
      <w:r w:rsidRPr="005F4FAA">
        <w:rPr>
          <w:rFonts w:ascii="Franklin Gothic Book" w:hAnsi="Franklin Gothic Book"/>
          <w:szCs w:val="20"/>
        </w:rPr>
        <w:t xml:space="preserve">(HSSP) were reviewed and lessons drawn to inform the design of THSSP2. The main points are summarised in the table below.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 xml:space="preserve">Table </w:t>
      </w:r>
      <w:r>
        <w:rPr>
          <w:rFonts w:ascii="Franklin Gothic Book" w:hAnsi="Franklin Gothic Book"/>
          <w:b/>
          <w:szCs w:val="20"/>
        </w:rPr>
        <w:t>2</w:t>
      </w:r>
      <w:r w:rsidRPr="005F4FAA">
        <w:rPr>
          <w:rFonts w:ascii="Franklin Gothic Book" w:hAnsi="Franklin Gothic Book"/>
          <w:b/>
          <w:szCs w:val="20"/>
        </w:rPr>
        <w:t xml:space="preserve">  Lessons learnt from the Solomon Islands HSSP and applied to THSSP2</w:t>
      </w:r>
    </w:p>
    <w:p w:rsidR="00B652E1" w:rsidRPr="005F4FAA" w:rsidRDefault="00B652E1" w:rsidP="00B652E1">
      <w:pPr>
        <w:spacing w:line="276" w:lineRule="auto"/>
        <w:rPr>
          <w:rFonts w:ascii="Franklin Gothic Book" w:hAnsi="Franklin Gothic Book"/>
          <w:szCs w:val="20"/>
        </w:rPr>
      </w:pPr>
    </w:p>
    <w:tbl>
      <w:tblPr>
        <w:tblStyle w:val="TableGrid"/>
        <w:tblW w:w="0" w:type="auto"/>
        <w:tblLook w:val="04A0" w:firstRow="1" w:lastRow="0" w:firstColumn="1" w:lastColumn="0" w:noHBand="0" w:noVBand="1"/>
      </w:tblPr>
      <w:tblGrid>
        <w:gridCol w:w="4182"/>
        <w:gridCol w:w="4199"/>
      </w:tblGrid>
      <w:tr w:rsidR="00B652E1" w:rsidRPr="005F4FAA" w:rsidTr="00B652E1">
        <w:tc>
          <w:tcPr>
            <w:tcW w:w="4621" w:type="dxa"/>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Solomons Islands HSSP experience</w:t>
            </w:r>
          </w:p>
        </w:tc>
        <w:tc>
          <w:tcPr>
            <w:tcW w:w="4621" w:type="dxa"/>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Implications for THSSP2</w:t>
            </w:r>
          </w:p>
        </w:tc>
      </w:tr>
      <w:tr w:rsidR="00B652E1" w:rsidRPr="005F4FAA" w:rsidTr="00B652E1">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Solomon Islands program budget is eleven times bigger than THSSP2 and the level of engagement of other development partners (WHO, World Bank) is much higher. </w:t>
            </w:r>
          </w:p>
        </w:tc>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It is important that the Tonga program is kept reasonably simple and that it is appropriate to the small size of Tonga. </w:t>
            </w:r>
            <w:r>
              <w:rPr>
                <w:rFonts w:ascii="Franklin Gothic Book" w:hAnsi="Franklin Gothic Book"/>
                <w:szCs w:val="20"/>
              </w:rPr>
              <w:t xml:space="preserve">Expectations need to be realistic.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As a donor, DFAT will be isolated on the NHDC. </w:t>
            </w:r>
          </w:p>
        </w:tc>
      </w:tr>
      <w:tr w:rsidR="00B652E1" w:rsidRPr="005F4FAA" w:rsidTr="00B652E1">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Performance-based financing (PBF) incentives should go to the organisational sections which actually achieved the good performance; health facilities and other “frontline” institutions should be eligible to receive incentive payments. </w:t>
            </w:r>
          </w:p>
        </w:tc>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guidelines for PBF (Annex </w:t>
            </w:r>
            <w:r>
              <w:rPr>
                <w:rFonts w:ascii="Franklin Gothic Book" w:hAnsi="Franklin Gothic Book"/>
                <w:szCs w:val="20"/>
              </w:rPr>
              <w:t>7</w:t>
            </w:r>
            <w:r w:rsidRPr="005F4FAA">
              <w:rPr>
                <w:rFonts w:ascii="Franklin Gothic Book" w:hAnsi="Franklin Gothic Book"/>
                <w:szCs w:val="20"/>
              </w:rPr>
              <w:t xml:space="preserve">) stress the importance of incentive payments reaching the sections directly responsible for the good performance. </w:t>
            </w:r>
          </w:p>
        </w:tc>
      </w:tr>
      <w:tr w:rsidR="00B652E1" w:rsidRPr="005F4FAA" w:rsidTr="00B652E1">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It takes time to improve planning and budgeting; this is an area where technical assistance (TA) is often valuable. </w:t>
            </w:r>
          </w:p>
        </w:tc>
        <w:tc>
          <w:tcPr>
            <w:tcW w:w="4621" w:type="dxa"/>
          </w:tcPr>
          <w:p w:rsidR="00B652E1" w:rsidRPr="00552B0E" w:rsidRDefault="00B652E1" w:rsidP="00B652E1">
            <w:pPr>
              <w:spacing w:line="276" w:lineRule="auto"/>
              <w:rPr>
                <w:rFonts w:ascii="Franklin Gothic Book" w:hAnsi="Franklin Gothic Book"/>
                <w:szCs w:val="20"/>
              </w:rPr>
            </w:pPr>
            <w:r w:rsidRPr="00552B0E">
              <w:rPr>
                <w:rFonts w:ascii="Franklin Gothic Book" w:hAnsi="Franklin Gothic Book"/>
                <w:szCs w:val="20"/>
              </w:rPr>
              <w:t xml:space="preserve">The five-year period of THSSP2 is about strengthening systems prior to possible Sector Budget Support. TA will be provided in the areas of planning, budgeting and financial management. There is flexibility around the duration of this TA.  </w:t>
            </w:r>
          </w:p>
        </w:tc>
      </w:tr>
      <w:tr w:rsidR="00B652E1" w:rsidRPr="005F4FAA" w:rsidTr="00B652E1">
        <w:tc>
          <w:tcPr>
            <w:tcW w:w="462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Good systems for health information and human resources (HR) contribute greatly to the success of this kind of program. </w:t>
            </w:r>
          </w:p>
        </w:tc>
        <w:tc>
          <w:tcPr>
            <w:tcW w:w="4621" w:type="dxa"/>
          </w:tcPr>
          <w:p w:rsidR="00B652E1" w:rsidRPr="00552B0E" w:rsidRDefault="00B652E1" w:rsidP="00B652E1">
            <w:pPr>
              <w:spacing w:before="80" w:line="276" w:lineRule="auto"/>
              <w:rPr>
                <w:rFonts w:ascii="Franklin Gothic Book" w:hAnsi="Franklin Gothic Book"/>
                <w:szCs w:val="20"/>
              </w:rPr>
            </w:pPr>
            <w:r w:rsidRPr="00552B0E">
              <w:rPr>
                <w:rFonts w:ascii="Franklin Gothic Book" w:hAnsi="Franklin Gothic Book"/>
                <w:szCs w:val="20"/>
              </w:rPr>
              <w:t xml:space="preserve">Both of these areas are eligible for Health Systems Strengthening funding. </w:t>
            </w:r>
          </w:p>
          <w:p w:rsidR="00B652E1" w:rsidRPr="00552B0E" w:rsidRDefault="00B652E1" w:rsidP="00B652E1">
            <w:pPr>
              <w:spacing w:before="80" w:line="276" w:lineRule="auto"/>
              <w:rPr>
                <w:rFonts w:ascii="Franklin Gothic Book" w:hAnsi="Franklin Gothic Book"/>
                <w:i/>
                <w:szCs w:val="20"/>
                <w:lang w:eastAsia="en-US"/>
              </w:rPr>
            </w:pPr>
            <w:r w:rsidRPr="00552B0E">
              <w:rPr>
                <w:rFonts w:ascii="Franklin Gothic Book" w:hAnsi="Franklin Gothic Book"/>
                <w:szCs w:val="20"/>
              </w:rPr>
              <w:t>It is vital that a review of the Health Information System is undertaken; production and implementation of a Heal</w:t>
            </w:r>
            <w:r w:rsidRPr="00B67EAD">
              <w:rPr>
                <w:rFonts w:ascii="Franklin Gothic Book" w:hAnsi="Franklin Gothic Book"/>
                <w:szCs w:val="20"/>
              </w:rPr>
              <w:t>th Information Plan are indicators for THSSP2</w:t>
            </w:r>
            <w:r w:rsidRPr="00552B0E">
              <w:rPr>
                <w:rFonts w:ascii="Franklin Gothic Book" w:hAnsi="Franklin Gothic Book"/>
                <w:szCs w:val="20"/>
              </w:rPr>
              <w:t xml:space="preserve">. THSSP2 funds could be used to support the MoH to collaborate with the ADB/WHO work under way (see section on </w:t>
            </w:r>
            <w:r w:rsidRPr="00552B0E">
              <w:rPr>
                <w:rFonts w:ascii="Franklin Gothic Book" w:hAnsi="Franklin Gothic Book"/>
                <w:i/>
                <w:szCs w:val="20"/>
                <w:lang w:eastAsia="en-US"/>
              </w:rPr>
              <w:t>Relevant aspects of the work of other development partners in Tonga).</w:t>
            </w:r>
          </w:p>
          <w:p w:rsidR="00B652E1" w:rsidRPr="00552B0E" w:rsidRDefault="00B652E1" w:rsidP="00B652E1">
            <w:pPr>
              <w:spacing w:before="80" w:line="276" w:lineRule="auto"/>
              <w:rPr>
                <w:rFonts w:ascii="Franklin Gothic Book" w:hAnsi="Franklin Gothic Book"/>
                <w:szCs w:val="20"/>
              </w:rPr>
            </w:pPr>
            <w:r w:rsidRPr="00552B0E">
              <w:rPr>
                <w:rFonts w:ascii="Franklin Gothic Book" w:hAnsi="Franklin Gothic Book"/>
                <w:szCs w:val="20"/>
              </w:rPr>
              <w:t>It is acknowledged that HR is an area of potential risk: the publication of the WHO-funded Human Resource Strategy will be an important step.</w:t>
            </w:r>
          </w:p>
        </w:tc>
      </w:tr>
    </w:tbl>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w:t>
      </w:r>
    </w:p>
    <w:p w:rsidR="00B652E1" w:rsidRDefault="00B652E1" w:rsidP="00B652E1">
      <w:pPr>
        <w:spacing w:before="80" w:line="276" w:lineRule="auto"/>
        <w:ind w:left="68" w:hanging="68"/>
        <w:rPr>
          <w:rFonts w:ascii="Franklin Gothic Book" w:hAnsi="Franklin Gothic Book"/>
          <w:i/>
          <w:szCs w:val="20"/>
          <w:lang w:eastAsia="en-US"/>
        </w:rPr>
      </w:pPr>
    </w:p>
    <w:p w:rsidR="00B652E1" w:rsidRPr="005F4FAA" w:rsidRDefault="00B652E1" w:rsidP="00B652E1">
      <w:pPr>
        <w:spacing w:before="80" w:line="276" w:lineRule="auto"/>
        <w:ind w:left="68" w:hanging="68"/>
        <w:rPr>
          <w:rFonts w:ascii="Franklin Gothic Book" w:hAnsi="Franklin Gothic Book"/>
          <w:i/>
          <w:szCs w:val="20"/>
          <w:lang w:eastAsia="en-US"/>
        </w:rPr>
      </w:pPr>
      <w:r w:rsidRPr="005F4FAA">
        <w:rPr>
          <w:rFonts w:ascii="Franklin Gothic Book" w:hAnsi="Franklin Gothic Book"/>
          <w:i/>
          <w:szCs w:val="20"/>
          <w:lang w:eastAsia="en-US"/>
        </w:rPr>
        <w:t>Global technical evidence about the control of NCDs</w:t>
      </w:r>
    </w:p>
    <w:p w:rsidR="00B652E1" w:rsidRPr="005F4FAA" w:rsidRDefault="00B652E1" w:rsidP="00B652E1">
      <w:pPr>
        <w:spacing w:line="276" w:lineRule="auto"/>
        <w:rPr>
          <w:rFonts w:ascii="Franklin Gothic Book" w:hAnsi="Franklin Gothic Book"/>
          <w:szCs w:val="20"/>
          <w:highlight w:val="green"/>
        </w:rPr>
      </w:pP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hAnsi="Franklin Gothic Book"/>
          <w:b/>
          <w:szCs w:val="20"/>
        </w:rPr>
        <w:t>PEN</w:t>
      </w:r>
      <w:r w:rsidRPr="005F4FAA">
        <w:rPr>
          <w:rFonts w:ascii="Franklin Gothic Book" w:hAnsi="Franklin Gothic Book"/>
          <w:szCs w:val="20"/>
        </w:rPr>
        <w:t xml:space="preserve">, the WHO </w:t>
      </w:r>
      <w:r w:rsidRPr="005F4FAA">
        <w:rPr>
          <w:rFonts w:ascii="Franklin Gothic Book" w:eastAsiaTheme="minorHAnsi" w:hAnsi="Franklin Gothic Book"/>
          <w:szCs w:val="20"/>
          <w:lang w:val="en-GB" w:eastAsia="en-US"/>
        </w:rPr>
        <w:t>Package of Essential Non-communicable Disease Interventions for Primary Care (2010), is a prioritized set of cost-effective interventions</w:t>
      </w:r>
      <w:r w:rsidRPr="005F4FAA">
        <w:rPr>
          <w:rFonts w:ascii="Franklin Gothic Book" w:hAnsi="Franklin Gothic Book"/>
          <w:szCs w:val="20"/>
        </w:rPr>
        <w:t xml:space="preserve"> </w:t>
      </w:r>
      <w:r w:rsidRPr="005F4FAA">
        <w:rPr>
          <w:rFonts w:ascii="Franklin Gothic Book" w:eastAsiaTheme="minorHAnsi" w:hAnsi="Franklin Gothic Book"/>
          <w:szCs w:val="20"/>
          <w:lang w:val="en-GB" w:eastAsia="en-US"/>
        </w:rPr>
        <w:t>that can be delivered to an acceptable q</w:t>
      </w:r>
      <w:r>
        <w:rPr>
          <w:rFonts w:ascii="Franklin Gothic Book" w:eastAsiaTheme="minorHAnsi" w:hAnsi="Franklin Gothic Book"/>
          <w:szCs w:val="20"/>
          <w:lang w:val="en-GB" w:eastAsia="en-US"/>
        </w:rPr>
        <w:t xml:space="preserve">uality of care </w:t>
      </w:r>
      <w:r w:rsidRPr="005F4FAA">
        <w:rPr>
          <w:rFonts w:ascii="Franklin Gothic Book" w:eastAsiaTheme="minorHAnsi" w:hAnsi="Franklin Gothic Book"/>
          <w:szCs w:val="20"/>
          <w:lang w:val="en-GB" w:eastAsia="en-US"/>
        </w:rPr>
        <w:t xml:space="preserve">in resource-poor settings. It defines minimum standards for the following NCDs: heart disease, stroke, cardiovascular risk, diabetes, cancer, asthma and chronic obstructive pulmonary disease. PEN acknowledges the wider health system and discusses the implications for health systems, using the same six health systems building blocks as the Ministry of Health in Tonga uses to structure its Corporate Plan. PEN can be a useful tool for countries working towards Universal Health Coverage, as long as the PEN interventions are seen as an integral part of a wider package of primary care interventions.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It is important to acknowledge that PEN is not without its critics (particularly about the cardio-vascular disease guidelines)</w:t>
      </w:r>
      <w:r w:rsidRPr="005F4FAA">
        <w:rPr>
          <w:rStyle w:val="FootnoteReference"/>
          <w:rFonts w:ascii="Franklin Gothic Book" w:eastAsiaTheme="minorHAnsi" w:hAnsi="Franklin Gothic Book"/>
          <w:lang w:val="en-GB" w:eastAsia="en-US"/>
        </w:rPr>
        <w:footnoteReference w:id="15"/>
      </w:r>
      <w:r w:rsidRPr="005F4FAA">
        <w:rPr>
          <w:rFonts w:ascii="Franklin Gothic Book" w:eastAsiaTheme="minorHAnsi" w:hAnsi="Franklin Gothic Book"/>
          <w:szCs w:val="20"/>
          <w:lang w:val="en-GB" w:eastAsia="en-US"/>
        </w:rPr>
        <w:t xml:space="preserve"> and that PEN is not an off-the-shelf protocol which can be applied in Tonga without adaptation. Decisions about who to screen and when, what risk thresholds to use and what treatments to provide greatly influence cost-effectiveness in any particular setting. Cost-effectiveness is also particularly sensitive to drug prices – the lower the prices achieved through the drug procurement process, the greater the potential cost-effectiveness. THSSP2 funds could be used to support the adaptation of PEN to Tonga’s particular circumstances; the TA in public health</w:t>
      </w:r>
      <w:r>
        <w:rPr>
          <w:rFonts w:ascii="Franklin Gothic Book" w:eastAsiaTheme="minorHAnsi" w:hAnsi="Franklin Gothic Book"/>
          <w:szCs w:val="20"/>
          <w:lang w:val="en-GB" w:eastAsia="en-US"/>
        </w:rPr>
        <w:t xml:space="preserve"> could assist this work</w:t>
      </w:r>
      <w:r w:rsidRPr="005F4FAA">
        <w:rPr>
          <w:rFonts w:ascii="Franklin Gothic Book" w:eastAsiaTheme="minorHAnsi" w:hAnsi="Franklin Gothic Book"/>
          <w:szCs w:val="20"/>
          <w:lang w:val="en-GB" w:eastAsia="en-US"/>
        </w:rPr>
        <w:t xml:space="preserve">. </w:t>
      </w:r>
    </w:p>
    <w:p w:rsidR="00B652E1" w:rsidRPr="005F4FAA" w:rsidRDefault="00B652E1" w:rsidP="00B652E1">
      <w:pPr>
        <w:spacing w:line="276" w:lineRule="auto"/>
        <w:rPr>
          <w:rFonts w:ascii="Franklin Gothic Book" w:eastAsiaTheme="minorHAnsi" w:hAnsi="Franklin Gothic Book"/>
          <w:szCs w:val="20"/>
          <w:lang w:val="en-GB" w:eastAsia="en-US"/>
        </w:rPr>
      </w:pPr>
    </w:p>
    <w:p w:rsidR="00B652E1" w:rsidRPr="005F4FAA" w:rsidRDefault="00B652E1" w:rsidP="00B652E1">
      <w:pPr>
        <w:spacing w:before="80" w:line="276" w:lineRule="auto"/>
        <w:ind w:left="68" w:hanging="68"/>
        <w:rPr>
          <w:rFonts w:ascii="Franklin Gothic Book" w:hAnsi="Franklin Gothic Book"/>
          <w:i/>
          <w:szCs w:val="20"/>
          <w:lang w:eastAsia="en-US"/>
        </w:rPr>
      </w:pPr>
      <w:r w:rsidRPr="005F4FAA">
        <w:rPr>
          <w:rFonts w:ascii="Franklin Gothic Book" w:hAnsi="Franklin Gothic Book"/>
          <w:i/>
          <w:szCs w:val="20"/>
          <w:lang w:eastAsia="en-US"/>
        </w:rPr>
        <w:t>Other ways in which the Ministry of Health and TongaHealth use evidence</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Lesson-learning and reference to evidence do not only happen in the context of designing externally-funded programs. The Ministry of Health and TongaHealth also use international evidence. PEN has already been used in Tonga (for example to inform the NCD nurses’ training) and the national NCD strategic plan </w:t>
      </w:r>
      <w:r w:rsidRPr="005F4FAA">
        <w:rPr>
          <w:rFonts w:ascii="Franklin Gothic Book" w:hAnsi="Franklin Gothic Book"/>
          <w:i/>
          <w:szCs w:val="20"/>
        </w:rPr>
        <w:t xml:space="preserve">Hala Fononga </w:t>
      </w:r>
      <w:r w:rsidRPr="005F4FAA">
        <w:rPr>
          <w:rFonts w:ascii="Franklin Gothic Book" w:hAnsi="Franklin Gothic Book"/>
          <w:szCs w:val="20"/>
        </w:rPr>
        <w:t xml:space="preserve">is currently being developed through a process which explicitly acknowledges the importance of evidence (see Box </w:t>
      </w:r>
      <w:r>
        <w:rPr>
          <w:rFonts w:ascii="Franklin Gothic Book" w:hAnsi="Franklin Gothic Book"/>
          <w:szCs w:val="20"/>
        </w:rPr>
        <w:t>1</w:t>
      </w:r>
      <w:r w:rsidRPr="005F4FAA">
        <w:rPr>
          <w:rFonts w:ascii="Franklin Gothic Book" w:hAnsi="Franklin Gothic Book"/>
          <w:szCs w:val="20"/>
        </w:rPr>
        <w:t xml:space="preserve">). </w:t>
      </w:r>
    </w:p>
    <w:p w:rsidR="00B652E1" w:rsidRPr="005F4FAA" w:rsidRDefault="00B652E1" w:rsidP="00B652E1">
      <w:pPr>
        <w:spacing w:line="276" w:lineRule="auto"/>
        <w:rPr>
          <w:rFonts w:ascii="Franklin Gothic Book" w:hAnsi="Franklin Gothic Book"/>
          <w:szCs w:val="20"/>
        </w:rPr>
      </w:pPr>
    </w:p>
    <w:tbl>
      <w:tblPr>
        <w:tblStyle w:val="TableGrid"/>
        <w:tblW w:w="0" w:type="auto"/>
        <w:tblLook w:val="04A0" w:firstRow="1" w:lastRow="0" w:firstColumn="1" w:lastColumn="0" w:noHBand="0" w:noVBand="1"/>
      </w:tblPr>
      <w:tblGrid>
        <w:gridCol w:w="8381"/>
      </w:tblGrid>
      <w:tr w:rsidR="00B652E1" w:rsidRPr="005F4FAA" w:rsidTr="00B652E1">
        <w:tc>
          <w:tcPr>
            <w:tcW w:w="9242" w:type="dxa"/>
          </w:tcPr>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szCs w:val="20"/>
              </w:rPr>
              <w:t xml:space="preserve">Box </w:t>
            </w:r>
            <w:r>
              <w:rPr>
                <w:rFonts w:ascii="Franklin Gothic Book" w:hAnsi="Franklin Gothic Book"/>
                <w:b/>
                <w:szCs w:val="20"/>
              </w:rPr>
              <w:t>1</w:t>
            </w:r>
            <w:r w:rsidRPr="005F4FAA">
              <w:rPr>
                <w:rFonts w:ascii="Franklin Gothic Book" w:hAnsi="Franklin Gothic Book"/>
                <w:b/>
                <w:szCs w:val="20"/>
              </w:rPr>
              <w:t xml:space="preserve"> Development of the </w:t>
            </w:r>
            <w:r>
              <w:rPr>
                <w:rFonts w:ascii="Franklin Gothic Book" w:hAnsi="Franklin Gothic Book"/>
                <w:b/>
                <w:szCs w:val="20"/>
              </w:rPr>
              <w:t>N</w:t>
            </w:r>
            <w:r w:rsidRPr="005F4FAA">
              <w:rPr>
                <w:rFonts w:ascii="Franklin Gothic Book" w:hAnsi="Franklin Gothic Book"/>
                <w:b/>
                <w:szCs w:val="20"/>
              </w:rPr>
              <w:t xml:space="preserve">ational NCD </w:t>
            </w:r>
            <w:r>
              <w:rPr>
                <w:rFonts w:ascii="Franklin Gothic Book" w:hAnsi="Franklin Gothic Book"/>
                <w:b/>
                <w:szCs w:val="20"/>
              </w:rPr>
              <w:t>S</w:t>
            </w:r>
            <w:r w:rsidRPr="005F4FAA">
              <w:rPr>
                <w:rFonts w:ascii="Franklin Gothic Book" w:hAnsi="Franklin Gothic Book"/>
                <w:b/>
                <w:szCs w:val="20"/>
              </w:rPr>
              <w:t xml:space="preserve">trategic </w:t>
            </w:r>
            <w:r>
              <w:rPr>
                <w:rFonts w:ascii="Franklin Gothic Book" w:hAnsi="Franklin Gothic Book"/>
                <w:b/>
                <w:szCs w:val="20"/>
              </w:rPr>
              <w:t>P</w:t>
            </w:r>
            <w:r w:rsidRPr="005F4FAA">
              <w:rPr>
                <w:rFonts w:ascii="Franklin Gothic Book" w:hAnsi="Franklin Gothic Book"/>
                <w:b/>
                <w:szCs w:val="20"/>
              </w:rPr>
              <w:t xml:space="preserve">lan </w:t>
            </w:r>
            <w:r w:rsidRPr="005F4FAA">
              <w:rPr>
                <w:rFonts w:ascii="Franklin Gothic Book" w:hAnsi="Franklin Gothic Book"/>
                <w:b/>
                <w:i/>
                <w:szCs w:val="20"/>
              </w:rPr>
              <w:t xml:space="preserve">Hala Fononga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i/>
                <w:szCs w:val="20"/>
              </w:rPr>
            </w:pPr>
            <w:r w:rsidRPr="005F4FAA">
              <w:rPr>
                <w:rFonts w:ascii="Franklin Gothic Book" w:hAnsi="Franklin Gothic Book"/>
                <w:i/>
                <w:szCs w:val="20"/>
              </w:rPr>
              <w:t xml:space="preserve">The following extracts come from a paper presented to the TongaHealth Board.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situation analysis is the ‘foundation piece’ for the development of the National NCD Strategy 2015-2020. The purpose of the situation analysis is to make evidence based recommendations on which target groups, target behaviours and approaches the National NCD strategy design should adopt to maximise reductions in NCDs in Tonga.” </w:t>
            </w:r>
          </w:p>
          <w:p w:rsidR="00B652E1" w:rsidRPr="005F4FAA" w:rsidRDefault="00B652E1" w:rsidP="00B652E1">
            <w:pPr>
              <w:spacing w:line="276" w:lineRule="auto"/>
              <w:rPr>
                <w:rFonts w:ascii="Franklin Gothic Book" w:hAnsi="Franklin Gothic Book"/>
                <w:b/>
                <w:i/>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“A panel of Tongan experts will be put together by TongaHealth to undertake the situational analysis. Extensive work will be done prior to convening the panel to produce a set of concise summary documents about obesity, alcohol and tobacco misuse, best international practice in relation to NCDs, STEPS findings and lessons learned from the previous Hala Fononga that will be used by the panel to make evidence-based recommendations.  The panel’s recommendations will go to the relevant sub-committees and the National NCD Committee for approval.”</w:t>
            </w:r>
          </w:p>
          <w:p w:rsidR="00B652E1" w:rsidRPr="005F4FAA" w:rsidRDefault="00B652E1" w:rsidP="00B652E1">
            <w:pPr>
              <w:spacing w:line="276" w:lineRule="auto"/>
              <w:rPr>
                <w:rFonts w:ascii="Franklin Gothic Book" w:hAnsi="Franklin Gothic Book"/>
                <w:b/>
                <w:szCs w:val="20"/>
              </w:rPr>
            </w:pPr>
          </w:p>
        </w:tc>
      </w:tr>
    </w:tbl>
    <w:p w:rsidR="00B652E1" w:rsidRPr="005F4FAA" w:rsidRDefault="00B652E1" w:rsidP="00B652E1">
      <w:pPr>
        <w:spacing w:before="80"/>
        <w:rPr>
          <w:rFonts w:ascii="Franklin Gothic Book" w:eastAsia="Times New Roman" w:hAnsi="Franklin Gothic Book"/>
          <w:szCs w:val="20"/>
          <w:lang w:eastAsia="en-US"/>
        </w:rPr>
      </w:pPr>
    </w:p>
    <w:p w:rsidR="00B652E1" w:rsidRPr="005F4FAA" w:rsidRDefault="00B652E1" w:rsidP="00F63C34">
      <w:pPr>
        <w:pStyle w:val="Heading2"/>
        <w:rPr>
          <w:lang w:eastAsia="en-US"/>
        </w:rPr>
      </w:pPr>
      <w:r w:rsidRPr="005F4FAA">
        <w:rPr>
          <w:lang w:eastAsia="en-US"/>
        </w:rPr>
        <w:t>Strategic Setting and Rationale for Australian/DFAT engagement</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The rationale for proposing the DFAT investment in THSSP2 is as follows:</w:t>
      </w:r>
    </w:p>
    <w:p w:rsidR="00B652E1" w:rsidRPr="005F4FAA" w:rsidRDefault="00B652E1" w:rsidP="00B652E1">
      <w:pPr>
        <w:pStyle w:val="ListParagraph"/>
        <w:numPr>
          <w:ilvl w:val="0"/>
          <w:numId w:val="28"/>
        </w:numPr>
        <w:spacing w:before="80" w:after="0" w:line="276" w:lineRule="auto"/>
        <w:contextualSpacing/>
        <w:rPr>
          <w:rFonts w:ascii="Franklin Gothic Book" w:hAnsi="Franklin Gothic Book"/>
          <w:sz w:val="20"/>
          <w:szCs w:val="20"/>
          <w:u w:val="single"/>
          <w:lang w:eastAsia="en-US"/>
        </w:rPr>
      </w:pPr>
      <w:r w:rsidRPr="005F4FAA">
        <w:rPr>
          <w:rFonts w:ascii="Franklin Gothic Book" w:hAnsi="Franklin Gothic Book"/>
          <w:sz w:val="20"/>
          <w:szCs w:val="20"/>
          <w:lang w:eastAsia="en-US"/>
        </w:rPr>
        <w:t>NCDs are the main health issue in Tonga and DFAT is the main donor; there is little other bilateral donor activity in this area.</w:t>
      </w:r>
    </w:p>
    <w:p w:rsidR="00B652E1" w:rsidRPr="00124E59" w:rsidRDefault="00B652E1" w:rsidP="00B652E1">
      <w:pPr>
        <w:pStyle w:val="ListParagraph"/>
        <w:numPr>
          <w:ilvl w:val="0"/>
          <w:numId w:val="28"/>
        </w:numPr>
        <w:spacing w:before="80" w:after="0" w:line="276" w:lineRule="auto"/>
        <w:contextualSpacing/>
        <w:rPr>
          <w:rFonts w:ascii="Franklin Gothic Book" w:hAnsi="Franklin Gothic Book"/>
          <w:sz w:val="20"/>
          <w:szCs w:val="20"/>
          <w:u w:val="single"/>
          <w:lang w:eastAsia="en-US"/>
        </w:rPr>
      </w:pPr>
      <w:r w:rsidRPr="005F4FAA">
        <w:rPr>
          <w:rFonts w:ascii="Franklin Gothic Book" w:hAnsi="Franklin Gothic Book"/>
          <w:sz w:val="20"/>
          <w:szCs w:val="20"/>
          <w:lang w:eastAsia="en-US"/>
        </w:rPr>
        <w:t xml:space="preserve">The NCD response </w:t>
      </w:r>
      <w:r w:rsidRPr="00124E59">
        <w:rPr>
          <w:rFonts w:ascii="Franklin Gothic Book" w:hAnsi="Franklin Gothic Book"/>
          <w:sz w:val="20"/>
          <w:szCs w:val="20"/>
          <w:lang w:eastAsia="en-US"/>
        </w:rPr>
        <w:t>requires health systems strengthening</w:t>
      </w:r>
      <w:r>
        <w:rPr>
          <w:rFonts w:ascii="Franklin Gothic Book" w:hAnsi="Franklin Gothic Book"/>
          <w:sz w:val="20"/>
          <w:szCs w:val="20"/>
          <w:lang w:eastAsia="en-US"/>
        </w:rPr>
        <w:t>. Box 2</w:t>
      </w:r>
      <w:r w:rsidRPr="00124E59">
        <w:rPr>
          <w:rFonts w:ascii="Franklin Gothic Book" w:hAnsi="Franklin Gothic Book"/>
          <w:sz w:val="20"/>
          <w:szCs w:val="20"/>
          <w:lang w:eastAsia="en-US"/>
        </w:rPr>
        <w:t xml:space="preserve"> illustrates some of the systems activities which are a necessary part of providing interventions related to NCDs. </w:t>
      </w:r>
    </w:p>
    <w:p w:rsidR="00B652E1" w:rsidRPr="00124E59" w:rsidRDefault="00B652E1" w:rsidP="00B652E1">
      <w:pPr>
        <w:pStyle w:val="ListParagraph"/>
        <w:numPr>
          <w:ilvl w:val="0"/>
          <w:numId w:val="28"/>
        </w:numPr>
        <w:spacing w:before="80" w:after="0" w:line="276" w:lineRule="auto"/>
        <w:contextualSpacing/>
        <w:rPr>
          <w:rFonts w:ascii="Franklin Gothic Book" w:hAnsi="Franklin Gothic Book"/>
          <w:sz w:val="20"/>
          <w:szCs w:val="20"/>
          <w:lang w:eastAsia="en-US"/>
        </w:rPr>
      </w:pPr>
      <w:r w:rsidRPr="00124E59">
        <w:rPr>
          <w:rFonts w:ascii="Franklin Gothic Book" w:hAnsi="Franklin Gothic Book"/>
          <w:sz w:val="20"/>
          <w:szCs w:val="20"/>
          <w:lang w:eastAsia="en-US"/>
        </w:rPr>
        <w:t>Provision of primary health care is inconsistent across the country.</w:t>
      </w:r>
    </w:p>
    <w:p w:rsidR="00B652E1" w:rsidRPr="00124E59" w:rsidRDefault="00B652E1" w:rsidP="00B652E1">
      <w:pPr>
        <w:pStyle w:val="ListParagraph"/>
        <w:numPr>
          <w:ilvl w:val="0"/>
          <w:numId w:val="28"/>
        </w:numPr>
        <w:spacing w:before="80" w:after="0" w:line="276" w:lineRule="auto"/>
        <w:contextualSpacing/>
        <w:rPr>
          <w:rFonts w:ascii="Franklin Gothic Book" w:hAnsi="Franklin Gothic Book"/>
          <w:sz w:val="20"/>
          <w:szCs w:val="20"/>
          <w:lang w:eastAsia="en-US"/>
        </w:rPr>
      </w:pPr>
      <w:r w:rsidRPr="00124E59">
        <w:rPr>
          <w:rFonts w:ascii="Franklin Gothic Book" w:hAnsi="Franklin Gothic Book"/>
          <w:sz w:val="20"/>
          <w:szCs w:val="20"/>
          <w:lang w:eastAsia="en-US"/>
        </w:rPr>
        <w:t xml:space="preserve">Services related to mental health and disability are particularly under-developed. </w:t>
      </w:r>
    </w:p>
    <w:p w:rsidR="00B652E1" w:rsidRPr="00124E59" w:rsidRDefault="00B652E1" w:rsidP="00B652E1">
      <w:pPr>
        <w:pStyle w:val="ListParagraph"/>
        <w:numPr>
          <w:ilvl w:val="0"/>
          <w:numId w:val="28"/>
        </w:numPr>
        <w:spacing w:before="80" w:after="0" w:line="276" w:lineRule="auto"/>
        <w:contextualSpacing/>
        <w:rPr>
          <w:rFonts w:ascii="Franklin Gothic Book" w:hAnsi="Franklin Gothic Book"/>
          <w:sz w:val="20"/>
          <w:szCs w:val="20"/>
          <w:lang w:eastAsia="en-US"/>
        </w:rPr>
      </w:pPr>
      <w:r w:rsidRPr="00124E59">
        <w:rPr>
          <w:rFonts w:ascii="Franklin Gothic Book" w:hAnsi="Franklin Gothic Book"/>
          <w:sz w:val="20"/>
          <w:szCs w:val="20"/>
          <w:lang w:eastAsia="en-US"/>
        </w:rPr>
        <w:t xml:space="preserve">Tonga should be supported to make its own decisions about how to respond to the NCD crisis. </w:t>
      </w:r>
    </w:p>
    <w:p w:rsidR="00B652E1" w:rsidRPr="00124E59" w:rsidRDefault="00B652E1" w:rsidP="00B652E1">
      <w:pPr>
        <w:pStyle w:val="ListParagraph"/>
        <w:numPr>
          <w:ilvl w:val="0"/>
          <w:numId w:val="28"/>
        </w:numPr>
        <w:spacing w:before="80" w:after="0" w:line="276" w:lineRule="auto"/>
        <w:contextualSpacing/>
        <w:rPr>
          <w:rFonts w:ascii="Franklin Gothic Book" w:hAnsi="Franklin Gothic Book"/>
          <w:sz w:val="20"/>
          <w:szCs w:val="20"/>
          <w:lang w:eastAsia="en-US"/>
        </w:rPr>
      </w:pPr>
      <w:r w:rsidRPr="00124E59">
        <w:rPr>
          <w:rFonts w:ascii="Franklin Gothic Book" w:hAnsi="Franklin Gothic Book"/>
          <w:sz w:val="20"/>
          <w:szCs w:val="20"/>
          <w:lang w:eastAsia="en-US"/>
        </w:rPr>
        <w:t xml:space="preserve">Health services will be improved if there is more consideration of gender, equity and social inclusion, including disability inclusion.   </w:t>
      </w:r>
    </w:p>
    <w:p w:rsidR="00B652E1" w:rsidRPr="005F4FAA" w:rsidRDefault="00B652E1" w:rsidP="00B652E1">
      <w:pPr>
        <w:spacing w:before="80" w:line="276" w:lineRule="auto"/>
        <w:contextualSpacing/>
        <w:rPr>
          <w:rFonts w:ascii="Franklin Gothic Book" w:hAnsi="Franklin Gothic Book"/>
          <w:szCs w:val="20"/>
          <w:lang w:eastAsia="en-US"/>
        </w:rPr>
      </w:pPr>
      <w:r w:rsidRPr="00124E59">
        <w:rPr>
          <w:rFonts w:ascii="Franklin Gothic Book" w:hAnsi="Franklin Gothic Book"/>
          <w:szCs w:val="20"/>
          <w:lang w:eastAsia="en-US"/>
        </w:rPr>
        <w:t>Responding to this rationale, THSSP2 has four components:</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Management of NCDs in primary care: primary and secondary prevention</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Health promotion related to NCDs</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Health systems strengthening</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Support for mental health and disability</w:t>
      </w:r>
      <w:r>
        <w:rPr>
          <w:rFonts w:ascii="Franklin Gothic Book" w:hAnsi="Franklin Gothic Book"/>
          <w:sz w:val="20"/>
          <w:szCs w:val="20"/>
          <w:lang w:eastAsia="en-US"/>
        </w:rPr>
        <w:t xml:space="preserve"> services</w:t>
      </w:r>
      <w:r w:rsidRPr="005F4FAA">
        <w:rPr>
          <w:rFonts w:ascii="Franklin Gothic Book" w:hAnsi="Franklin Gothic Book"/>
          <w:sz w:val="20"/>
          <w:szCs w:val="20"/>
          <w:lang w:eastAsia="en-US"/>
        </w:rPr>
        <w:t xml:space="preserve">. </w:t>
      </w:r>
    </w:p>
    <w:p w:rsidR="00B652E1" w:rsidRPr="005F4FAA" w:rsidRDefault="00B652E1" w:rsidP="00B652E1">
      <w:pPr>
        <w:spacing w:before="80" w:line="276" w:lineRule="auto"/>
        <w:contextualSpacing/>
        <w:rPr>
          <w:rFonts w:ascii="Franklin Gothic Book" w:hAnsi="Franklin Gothic Book"/>
          <w:szCs w:val="20"/>
          <w:lang w:eastAsia="en-US"/>
        </w:rPr>
      </w:pPr>
      <w:r w:rsidRPr="005F4FAA">
        <w:rPr>
          <w:rFonts w:ascii="Franklin Gothic Book" w:hAnsi="Franklin Gothic Book"/>
          <w:szCs w:val="20"/>
          <w:lang w:eastAsia="en-US"/>
        </w:rPr>
        <w:t xml:space="preserve">The program is designed to use existing Tongan decision-making bodies and to strengthen the systems of relevant government departments and TongaHealth. </w:t>
      </w:r>
    </w:p>
    <w:p w:rsidR="00B652E1" w:rsidRPr="005F4FAA" w:rsidRDefault="00B652E1" w:rsidP="00B652E1">
      <w:pPr>
        <w:spacing w:before="80" w:line="276" w:lineRule="auto"/>
        <w:contextualSpacing/>
        <w:rPr>
          <w:rFonts w:ascii="Franklin Gothic Book" w:hAnsi="Franklin Gothic Book"/>
          <w:szCs w:val="20"/>
          <w:lang w:eastAsia="en-US"/>
        </w:rPr>
      </w:pPr>
    </w:p>
    <w:p w:rsidR="00B652E1" w:rsidRPr="005F4FAA" w:rsidRDefault="00B652E1" w:rsidP="00B652E1">
      <w:pPr>
        <w:spacing w:before="80" w:line="276" w:lineRule="auto"/>
        <w:ind w:left="68" w:hanging="68"/>
        <w:contextualSpacing/>
        <w:rPr>
          <w:rFonts w:ascii="Franklin Gothic Book" w:hAnsi="Franklin Gothic Book"/>
          <w:szCs w:val="20"/>
          <w:lang w:eastAsia="en-US"/>
        </w:rPr>
      </w:pPr>
    </w:p>
    <w:tbl>
      <w:tblPr>
        <w:tblStyle w:val="TableGrid"/>
        <w:tblW w:w="0" w:type="auto"/>
        <w:tblLook w:val="04A0" w:firstRow="1" w:lastRow="0" w:firstColumn="1" w:lastColumn="0" w:noHBand="0" w:noVBand="1"/>
      </w:tblPr>
      <w:tblGrid>
        <w:gridCol w:w="8381"/>
      </w:tblGrid>
      <w:tr w:rsidR="00B652E1" w:rsidRPr="005F4FAA" w:rsidTr="00B652E1">
        <w:tc>
          <w:tcPr>
            <w:tcW w:w="8381" w:type="dxa"/>
          </w:tcPr>
          <w:p w:rsidR="00B652E1" w:rsidRPr="005F4FAA" w:rsidRDefault="00B652E1" w:rsidP="00B652E1">
            <w:pPr>
              <w:autoSpaceDE w:val="0"/>
              <w:autoSpaceDN w:val="0"/>
              <w:adjustRightInd w:val="0"/>
              <w:spacing w:line="276" w:lineRule="auto"/>
              <w:rPr>
                <w:rFonts w:ascii="Franklin Gothic Book" w:eastAsiaTheme="minorHAnsi" w:hAnsi="Franklin Gothic Book"/>
                <w:b/>
                <w:szCs w:val="20"/>
                <w:lang w:val="en-GB" w:eastAsia="en-US"/>
              </w:rPr>
            </w:pP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 xml:space="preserve">Box </w:t>
            </w:r>
            <w:r>
              <w:rPr>
                <w:rFonts w:ascii="Franklin Gothic Book" w:eastAsiaTheme="minorHAnsi" w:hAnsi="Franklin Gothic Book"/>
                <w:b/>
                <w:szCs w:val="20"/>
                <w:lang w:val="en-GB" w:eastAsia="en-US"/>
              </w:rPr>
              <w:t>2</w:t>
            </w:r>
            <w:r w:rsidRPr="005F4FAA">
              <w:rPr>
                <w:rFonts w:ascii="Franklin Gothic Book" w:eastAsiaTheme="minorHAnsi" w:hAnsi="Franklin Gothic Book"/>
                <w:b/>
                <w:szCs w:val="20"/>
                <w:lang w:val="en-GB" w:eastAsia="en-US"/>
              </w:rPr>
              <w:t>: NCDs and health systems - health systems involved in the essential NCD package</w:t>
            </w:r>
            <w:r w:rsidRPr="005F4FAA">
              <w:rPr>
                <w:rFonts w:ascii="Franklin Gothic Book" w:eastAsiaTheme="minorHAnsi" w:hAnsi="Franklin Gothic Book"/>
                <w:szCs w:val="20"/>
                <w:lang w:val="en-GB" w:eastAsia="en-US"/>
              </w:rPr>
              <w:t xml:space="preserve">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(Adapted from WHO PEN, 2010)</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p>
          <w:p w:rsidR="00B652E1" w:rsidRPr="005F4FAA" w:rsidRDefault="00B652E1" w:rsidP="00B652E1">
            <w:pPr>
              <w:spacing w:before="80" w:line="276" w:lineRule="auto"/>
              <w:ind w:left="68"/>
              <w:contextualSpacing/>
              <w:rPr>
                <w:rFonts w:ascii="Franklin Gothic Book" w:hAnsi="Franklin Gothic Book"/>
                <w:szCs w:val="20"/>
                <w:u w:val="single"/>
                <w:lang w:eastAsia="en-US"/>
              </w:rPr>
            </w:pPr>
            <w:r w:rsidRPr="005F4FAA">
              <w:rPr>
                <w:rFonts w:ascii="Franklin Gothic Book" w:hAnsi="Franklin Gothic Book"/>
                <w:szCs w:val="20"/>
                <w:lang w:eastAsia="en-US"/>
              </w:rPr>
              <w:t xml:space="preserve">This Box gives examples of systems activities which are a necessary part of providing interventions related to NCDs. For example a primary health care facility relies on a good centralised system for procuring medicines.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p>
          <w:p w:rsidR="00B652E1" w:rsidRPr="005F4FAA" w:rsidRDefault="00B652E1" w:rsidP="00B652E1">
            <w:pPr>
              <w:autoSpaceDE w:val="0"/>
              <w:autoSpaceDN w:val="0"/>
              <w:adjustRightInd w:val="0"/>
              <w:spacing w:line="276" w:lineRule="auto"/>
              <w:ind w:left="68"/>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Human Resources</w:t>
            </w:r>
            <w:r w:rsidRPr="005F4FAA">
              <w:rPr>
                <w:rFonts w:ascii="Franklin Gothic Book" w:eastAsiaTheme="minorHAnsi" w:hAnsi="Franklin Gothic Book"/>
                <w:szCs w:val="20"/>
                <w:lang w:val="en-GB" w:eastAsia="en-US"/>
              </w:rPr>
              <w:t>: adapt learning materials to train staff in the use of NCD technical protocols; organize and evaluate in-service training.</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 xml:space="preserve">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Pharmacy</w:t>
            </w:r>
            <w:r w:rsidRPr="005F4FAA">
              <w:rPr>
                <w:rFonts w:ascii="Franklin Gothic Book" w:eastAsiaTheme="minorHAnsi" w:hAnsi="Franklin Gothic Book"/>
                <w:szCs w:val="20"/>
                <w:lang w:val="en-GB" w:eastAsia="en-US"/>
              </w:rPr>
              <w:t>: procure and distribute medicines.</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 xml:space="preserve">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Laboratory Services</w:t>
            </w:r>
            <w:r w:rsidRPr="005F4FAA">
              <w:rPr>
                <w:rFonts w:ascii="Franklin Gothic Book" w:eastAsiaTheme="minorHAnsi" w:hAnsi="Franklin Gothic Book"/>
                <w:szCs w:val="20"/>
                <w:lang w:val="en-GB" w:eastAsia="en-US"/>
              </w:rPr>
              <w:t>: issue guidance on laboratory procedures; supply materials and reagents; undertake training and quality assurance.</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szCs w:val="20"/>
                <w:lang w:val="en-GB" w:eastAsia="en-US"/>
              </w:rPr>
              <w:t xml:space="preserve">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Medical Equipment</w:t>
            </w:r>
            <w:r w:rsidRPr="005F4FAA">
              <w:rPr>
                <w:rFonts w:ascii="Franklin Gothic Book" w:eastAsiaTheme="minorHAnsi" w:hAnsi="Franklin Gothic Book"/>
                <w:szCs w:val="20"/>
                <w:lang w:val="en-GB" w:eastAsia="en-US"/>
              </w:rPr>
              <w:t>: procure and distribute appropriate equipment such as blood pressure measuring devices and nebulizers.</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Health Information</w:t>
            </w:r>
            <w:r w:rsidRPr="005F4FAA">
              <w:rPr>
                <w:rFonts w:ascii="Franklin Gothic Book" w:eastAsiaTheme="minorHAnsi" w:hAnsi="Franklin Gothic Book"/>
                <w:szCs w:val="20"/>
                <w:lang w:val="en-GB" w:eastAsia="en-US"/>
              </w:rPr>
              <w:t>: specify the information needed to monitor and evaluate NCD activities and ensure that this information is collected, and can be used to inform evidence-based, gender- sensitive approaches.</w:t>
            </w:r>
          </w:p>
          <w:p w:rsidR="00B652E1" w:rsidRPr="005F4FAA" w:rsidRDefault="00B652E1" w:rsidP="00B652E1">
            <w:pPr>
              <w:autoSpaceDE w:val="0"/>
              <w:autoSpaceDN w:val="0"/>
              <w:adjustRightInd w:val="0"/>
              <w:spacing w:line="276" w:lineRule="auto"/>
              <w:rPr>
                <w:rFonts w:ascii="Franklin Gothic Book" w:eastAsia="Times New Roman" w:hAnsi="Franklin Gothic Book"/>
                <w:szCs w:val="20"/>
                <w:u w:val="single"/>
                <w:lang w:eastAsia="en-US"/>
              </w:rPr>
            </w:pPr>
            <w:r w:rsidRPr="005F4FAA">
              <w:rPr>
                <w:rFonts w:ascii="Franklin Gothic Book" w:eastAsiaTheme="minorHAnsi" w:hAnsi="Franklin Gothic Book"/>
                <w:szCs w:val="20"/>
                <w:lang w:val="en-GB" w:eastAsia="en-US"/>
              </w:rPr>
              <w:t xml:space="preserve"> </w:t>
            </w:r>
          </w:p>
          <w:p w:rsidR="00B652E1" w:rsidRPr="005F4FAA" w:rsidRDefault="00B652E1" w:rsidP="00B652E1">
            <w:pPr>
              <w:autoSpaceDE w:val="0"/>
              <w:autoSpaceDN w:val="0"/>
              <w:adjustRightInd w:val="0"/>
              <w:spacing w:line="276" w:lineRule="auto"/>
              <w:rPr>
                <w:rFonts w:ascii="Franklin Gothic Book" w:eastAsiaTheme="minorHAnsi" w:hAnsi="Franklin Gothic Book"/>
                <w:szCs w:val="20"/>
                <w:lang w:val="en-GB" w:eastAsia="en-US"/>
              </w:rPr>
            </w:pPr>
            <w:r w:rsidRPr="005F4FAA">
              <w:rPr>
                <w:rFonts w:ascii="Franklin Gothic Book" w:eastAsiaTheme="minorHAnsi" w:hAnsi="Franklin Gothic Book"/>
                <w:b/>
                <w:szCs w:val="20"/>
                <w:lang w:val="en-GB" w:eastAsia="en-US"/>
              </w:rPr>
              <w:t>Nursing Services</w:t>
            </w:r>
            <w:r w:rsidRPr="005F4FAA">
              <w:rPr>
                <w:rFonts w:ascii="Franklin Gothic Book" w:eastAsiaTheme="minorHAnsi" w:hAnsi="Franklin Gothic Book"/>
                <w:szCs w:val="20"/>
                <w:lang w:val="en-GB" w:eastAsia="en-US"/>
              </w:rPr>
              <w:t>: develop guidance on the role of nurses in integrated approaches to prevention and management of NCDs.</w:t>
            </w:r>
          </w:p>
          <w:p w:rsidR="00B652E1" w:rsidRPr="005F4FAA" w:rsidRDefault="00B652E1" w:rsidP="00B652E1">
            <w:pPr>
              <w:autoSpaceDE w:val="0"/>
              <w:autoSpaceDN w:val="0"/>
              <w:adjustRightInd w:val="0"/>
              <w:spacing w:line="276" w:lineRule="auto"/>
              <w:rPr>
                <w:rFonts w:ascii="Franklin Gothic Book" w:eastAsia="Times New Roman" w:hAnsi="Franklin Gothic Book"/>
                <w:szCs w:val="20"/>
                <w:u w:val="single"/>
                <w:lang w:eastAsia="en-US"/>
              </w:rPr>
            </w:pPr>
          </w:p>
        </w:tc>
      </w:tr>
    </w:tbl>
    <w:p w:rsidR="00B652E1" w:rsidRPr="005F4FAA" w:rsidRDefault="00B652E1" w:rsidP="00B652E1">
      <w:pPr>
        <w:spacing w:before="80" w:line="276" w:lineRule="auto"/>
        <w:rPr>
          <w:rFonts w:ascii="Franklin Gothic Book" w:eastAsia="Times New Roman" w:hAnsi="Franklin Gothic Book"/>
          <w:szCs w:val="20"/>
          <w:u w:val="single"/>
          <w:lang w:eastAsia="en-US"/>
        </w:rPr>
      </w:pPr>
    </w:p>
    <w:p w:rsidR="00B652E1" w:rsidRDefault="00B652E1" w:rsidP="00B652E1">
      <w:pPr>
        <w:spacing w:before="80" w:line="276" w:lineRule="auto"/>
        <w:rPr>
          <w:rFonts w:ascii="Franklin Gothic Book" w:eastAsia="Times New Roman" w:hAnsi="Franklin Gothic Book"/>
          <w:szCs w:val="20"/>
          <w:lang w:eastAsia="en-US"/>
        </w:rPr>
      </w:pP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key development objectives </w:t>
      </w:r>
      <w:r>
        <w:rPr>
          <w:rFonts w:ascii="Franklin Gothic Book" w:eastAsia="Times New Roman" w:hAnsi="Franklin Gothic Book"/>
          <w:szCs w:val="20"/>
          <w:lang w:eastAsia="en-US"/>
        </w:rPr>
        <w:t xml:space="preserve">of THSSP2 </w:t>
      </w:r>
      <w:r w:rsidRPr="005F4FAA">
        <w:rPr>
          <w:rFonts w:ascii="Franklin Gothic Book" w:eastAsia="Times New Roman" w:hAnsi="Franklin Gothic Book"/>
          <w:szCs w:val="20"/>
          <w:lang w:eastAsia="en-US"/>
        </w:rPr>
        <w:t xml:space="preserve">are: </w:t>
      </w:r>
    </w:p>
    <w:p w:rsidR="00B652E1" w:rsidRPr="005F4FA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 xml:space="preserve">Improved ability of </w:t>
      </w:r>
      <w:r>
        <w:rPr>
          <w:rFonts w:ascii="Franklin Gothic Book" w:hAnsi="Franklin Gothic Book"/>
          <w:sz w:val="20"/>
          <w:szCs w:val="20"/>
          <w:lang w:eastAsia="en-US"/>
        </w:rPr>
        <w:t xml:space="preserve">men, women, boys and girls </w:t>
      </w:r>
      <w:r w:rsidRPr="005F4FAA">
        <w:rPr>
          <w:rFonts w:ascii="Franklin Gothic Book" w:hAnsi="Franklin Gothic Book"/>
          <w:sz w:val="20"/>
          <w:szCs w:val="20"/>
          <w:lang w:eastAsia="en-US"/>
        </w:rPr>
        <w:t xml:space="preserve">to participate in economic activity because of less premature mortality and serous chronic illness. </w:t>
      </w:r>
    </w:p>
    <w:p w:rsidR="00B652E1" w:rsidRPr="005F4FA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 xml:space="preserve">Reduction in the economic burden of escalating NCDs, both on the Ministry of Health and the wider economy. </w:t>
      </w:r>
    </w:p>
    <w:p w:rsidR="00B652E1" w:rsidRPr="005F4FA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Greater efficiency: some hospitalisation (and the related costs) avoided because of prevention and better management of early stage NCDs; more cost-effective NCD programs.</w:t>
      </w:r>
    </w:p>
    <w:p w:rsidR="00B652E1" w:rsidRPr="00BF1F3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 xml:space="preserve">Measurable population changes in knowledge, attitudes and behaviours around healthy living. </w:t>
      </w:r>
    </w:p>
    <w:p w:rsidR="00B652E1" w:rsidRPr="00BF1F3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BF1F3A">
        <w:rPr>
          <w:rFonts w:ascii="Franklin Gothic Book" w:hAnsi="Franklin Gothic Book"/>
          <w:sz w:val="20"/>
          <w:szCs w:val="20"/>
          <w:lang w:eastAsia="en-US"/>
        </w:rPr>
        <w:t>A more equitable, gender-aware health service because of the definition of a primary care package and the monitoring of its implementation.</w:t>
      </w:r>
    </w:p>
    <w:p w:rsidR="00B652E1" w:rsidRPr="00BF1F3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BF1F3A">
        <w:rPr>
          <w:rFonts w:ascii="Franklin Gothic Book" w:hAnsi="Franklin Gothic Book"/>
          <w:sz w:val="20"/>
          <w:szCs w:val="20"/>
          <w:lang w:eastAsia="en-US"/>
        </w:rPr>
        <w:t xml:space="preserve">Improved overall stewardship of the health sector, particularly in terms of the planning and budgeting cycle. </w:t>
      </w:r>
    </w:p>
    <w:p w:rsidR="00B652E1" w:rsidRPr="00BF1F3A" w:rsidRDefault="00B652E1" w:rsidP="00B652E1">
      <w:pPr>
        <w:pStyle w:val="ListParagraph"/>
        <w:numPr>
          <w:ilvl w:val="0"/>
          <w:numId w:val="29"/>
        </w:numPr>
        <w:spacing w:before="80" w:after="0" w:line="276" w:lineRule="auto"/>
        <w:contextualSpacing/>
        <w:rPr>
          <w:rFonts w:ascii="Franklin Gothic Book" w:hAnsi="Franklin Gothic Book"/>
          <w:sz w:val="20"/>
          <w:szCs w:val="20"/>
          <w:lang w:eastAsia="en-US"/>
        </w:rPr>
      </w:pPr>
      <w:r w:rsidRPr="00BF1F3A">
        <w:rPr>
          <w:rFonts w:ascii="Franklin Gothic Book" w:hAnsi="Franklin Gothic Book"/>
          <w:sz w:val="20"/>
          <w:szCs w:val="20"/>
          <w:lang w:eastAsia="en-US"/>
        </w:rPr>
        <w:t xml:space="preserve">In TongaHealth, an institution which can stimulate a truly multi-sectoral response to NCDs. (This aspect of the NCD response in Tonga has until now been particularly weak.) </w:t>
      </w:r>
    </w:p>
    <w:p w:rsidR="00B652E1" w:rsidRPr="00BF1F3A" w:rsidRDefault="00B652E1" w:rsidP="00B652E1">
      <w:pPr>
        <w:spacing w:before="80" w:line="276" w:lineRule="auto"/>
        <w:contextualSpacing/>
        <w:rPr>
          <w:rFonts w:ascii="Franklin Gothic Book" w:hAnsi="Franklin Gothic Book"/>
          <w:szCs w:val="20"/>
          <w:lang w:eastAsia="en-US"/>
        </w:rPr>
      </w:pPr>
    </w:p>
    <w:p w:rsidR="00B652E1" w:rsidRPr="00B67EAD" w:rsidRDefault="00B652E1" w:rsidP="00B652E1">
      <w:pPr>
        <w:rPr>
          <w:rFonts w:ascii="Franklin Gothic Book" w:hAnsi="Franklin Gothic Book"/>
          <w:szCs w:val="20"/>
        </w:rPr>
      </w:pPr>
      <w:r w:rsidRPr="00B67EAD">
        <w:rPr>
          <w:rFonts w:ascii="Franklin Gothic Book" w:hAnsi="Franklin Gothic Book"/>
          <w:szCs w:val="20"/>
        </w:rPr>
        <w:t>Most of these objectives are reflected in THSSP’s targets. However note that some of the objectives lie “above” the logical framework for the Program, notably improved economic activity and the burden of NCDs on the economy beyond the health sector. The targets for THSSP2 are:</w:t>
      </w:r>
    </w:p>
    <w:p w:rsidR="00B652E1" w:rsidRPr="00B67EAD" w:rsidRDefault="00B652E1" w:rsidP="00B652E1">
      <w:pPr>
        <w:rPr>
          <w:rFonts w:ascii="Franklin Gothic Book" w:hAnsi="Franklin Gothic Book"/>
          <w:szCs w:val="20"/>
        </w:rPr>
      </w:pPr>
    </w:p>
    <w:p w:rsidR="00B652E1" w:rsidRPr="00B67EAD" w:rsidRDefault="00B652E1" w:rsidP="00B652E1">
      <w:pPr>
        <w:pStyle w:val="ListParagraph"/>
        <w:numPr>
          <w:ilvl w:val="0"/>
          <w:numId w:val="57"/>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Decrease in percentage of population at high risk of developing an NCD, for both males and females. (Risk factors are diet, inactivity, smoking and alcohol abuse.) </w:t>
      </w:r>
    </w:p>
    <w:p w:rsidR="00B652E1" w:rsidRPr="00B67EAD" w:rsidRDefault="00B652E1" w:rsidP="00B652E1">
      <w:pPr>
        <w:pStyle w:val="ListParagraph"/>
        <w:numPr>
          <w:ilvl w:val="0"/>
          <w:numId w:val="0"/>
        </w:numPr>
        <w:ind w:left="360"/>
        <w:rPr>
          <w:rFonts w:ascii="Franklin Gothic Book" w:hAnsi="Franklin Gothic Book"/>
          <w:sz w:val="20"/>
          <w:szCs w:val="20"/>
        </w:rPr>
      </w:pPr>
    </w:p>
    <w:p w:rsidR="00B652E1" w:rsidRPr="00B67EAD" w:rsidRDefault="00B652E1" w:rsidP="00B652E1">
      <w:pPr>
        <w:pStyle w:val="ListParagraph"/>
        <w:numPr>
          <w:ilvl w:val="0"/>
          <w:numId w:val="57"/>
        </w:numPr>
        <w:spacing w:after="0"/>
        <w:contextualSpacing/>
        <w:rPr>
          <w:rFonts w:ascii="Franklin Gothic Book" w:hAnsi="Franklin Gothic Book"/>
          <w:sz w:val="20"/>
          <w:szCs w:val="20"/>
        </w:rPr>
      </w:pPr>
      <w:r w:rsidRPr="00B67EAD">
        <w:rPr>
          <w:rFonts w:ascii="Franklin Gothic Book" w:hAnsi="Franklin Gothic Book"/>
          <w:sz w:val="20"/>
          <w:szCs w:val="20"/>
        </w:rPr>
        <w:t>Downward trend in the rates of premature deaths and preventable disability</w:t>
      </w:r>
      <w:r w:rsidR="00552B0E">
        <w:rPr>
          <w:rStyle w:val="FootnoteReference"/>
        </w:rPr>
        <w:footnoteReference w:id="16"/>
      </w:r>
      <w:r w:rsidRPr="00B67EAD">
        <w:rPr>
          <w:rFonts w:ascii="Franklin Gothic Book" w:hAnsi="Franklin Gothic Book"/>
          <w:sz w:val="20"/>
          <w:szCs w:val="20"/>
        </w:rPr>
        <w:t xml:space="preserve"> related to NCDs in men and in women. </w:t>
      </w:r>
    </w:p>
    <w:p w:rsidR="00B652E1" w:rsidRPr="00B67EAD" w:rsidRDefault="00B652E1" w:rsidP="00B652E1">
      <w:pPr>
        <w:pStyle w:val="ListParagraph"/>
        <w:numPr>
          <w:ilvl w:val="0"/>
          <w:numId w:val="0"/>
        </w:numPr>
        <w:ind w:left="68"/>
        <w:rPr>
          <w:rFonts w:ascii="Franklin Gothic Book" w:hAnsi="Franklin Gothic Book"/>
          <w:sz w:val="20"/>
          <w:szCs w:val="20"/>
        </w:rPr>
      </w:pPr>
    </w:p>
    <w:p w:rsidR="00B652E1" w:rsidRPr="00B67EAD" w:rsidRDefault="00B652E1" w:rsidP="00B652E1">
      <w:pPr>
        <w:pStyle w:val="ListParagraph"/>
        <w:numPr>
          <w:ilvl w:val="0"/>
          <w:numId w:val="57"/>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NCD management as part of Universal Health Coverage leads to cost savings in hospitals. </w:t>
      </w:r>
    </w:p>
    <w:p w:rsidR="00B652E1" w:rsidRPr="00B67EAD" w:rsidRDefault="00B652E1" w:rsidP="00B652E1">
      <w:pPr>
        <w:rPr>
          <w:szCs w:val="20"/>
        </w:rPr>
      </w:pPr>
    </w:p>
    <w:p w:rsidR="00B652E1" w:rsidRPr="00B67EAD" w:rsidRDefault="00B652E1" w:rsidP="00B652E1">
      <w:pPr>
        <w:pStyle w:val="ListParagraph"/>
        <w:numPr>
          <w:ilvl w:val="0"/>
          <w:numId w:val="55"/>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Strengthened health system management, including planning, financial management, implementation, monitoring, health information, procurement and human resources.  </w:t>
      </w:r>
    </w:p>
    <w:p w:rsidR="00B652E1" w:rsidRPr="00B67EAD" w:rsidRDefault="00B652E1" w:rsidP="00B652E1">
      <w:pPr>
        <w:rPr>
          <w:rFonts w:ascii="Franklin Gothic Book" w:hAnsi="Franklin Gothic Book"/>
          <w:szCs w:val="20"/>
        </w:rPr>
      </w:pPr>
    </w:p>
    <w:p w:rsidR="00B652E1" w:rsidRPr="00B67EAD" w:rsidRDefault="00B652E1" w:rsidP="00B652E1">
      <w:pPr>
        <w:pStyle w:val="ListParagraph"/>
        <w:numPr>
          <w:ilvl w:val="0"/>
          <w:numId w:val="56"/>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Development of GESI as a cross-cutting issue: at least 80% of annual plans from the Ministry of Health and TongaHealth reflect GESI considerations. (The most relevant GESI considerations for THSSP2 are gender, geographic equity, and inclusion of disabled and mentally ill people.) </w:t>
      </w:r>
    </w:p>
    <w:p w:rsidR="00B652E1" w:rsidRPr="00B67EAD" w:rsidRDefault="00B652E1" w:rsidP="00B652E1">
      <w:pPr>
        <w:contextualSpacing/>
        <w:rPr>
          <w:rFonts w:ascii="Franklin Gothic Book" w:hAnsi="Franklin Gothic Book"/>
          <w:szCs w:val="20"/>
        </w:rPr>
      </w:pPr>
    </w:p>
    <w:p w:rsidR="00B652E1" w:rsidRPr="00BF1F3A" w:rsidRDefault="00B652E1" w:rsidP="00B652E1">
      <w:pPr>
        <w:contextualSpacing/>
        <w:rPr>
          <w:rFonts w:ascii="Franklin Gothic Book" w:hAnsi="Franklin Gothic Book"/>
          <w:szCs w:val="20"/>
        </w:rPr>
      </w:pPr>
      <w:r w:rsidRPr="00B67EAD">
        <w:rPr>
          <w:rFonts w:ascii="Franklin Gothic Book" w:hAnsi="Franklin Gothic Book"/>
          <w:szCs w:val="20"/>
        </w:rPr>
        <w:t>The full table of indicators for THSSP2 is given in Annex 12.</w:t>
      </w:r>
      <w:r>
        <w:rPr>
          <w:rFonts w:ascii="Franklin Gothic Book" w:hAnsi="Franklin Gothic Book"/>
          <w:szCs w:val="20"/>
        </w:rPr>
        <w:t xml:space="preserve"> </w:t>
      </w:r>
    </w:p>
    <w:p w:rsidR="00B652E1" w:rsidRPr="00D34E31" w:rsidRDefault="00B652E1" w:rsidP="00B652E1">
      <w:pPr>
        <w:spacing w:before="80" w:line="276" w:lineRule="auto"/>
        <w:rPr>
          <w:rFonts w:ascii="Franklin Gothic Book" w:eastAsia="Times New Roman" w:hAnsi="Franklin Gothic Book"/>
          <w:szCs w:val="20"/>
          <w:lang w:eastAsia="en-US"/>
        </w:rPr>
      </w:pPr>
      <w:r>
        <w:rPr>
          <w:rFonts w:ascii="Franklin Gothic Book" w:hAnsi="Franklin Gothic Book"/>
          <w:szCs w:val="20"/>
        </w:rPr>
        <w:t xml:space="preserve"> </w:t>
      </w:r>
    </w:p>
    <w:p w:rsidR="00B652E1" w:rsidRPr="00B652E1" w:rsidRDefault="00B652E1" w:rsidP="00F63C34">
      <w:pPr>
        <w:pStyle w:val="Heading2"/>
        <w:rPr>
          <w:lang w:eastAsia="en-US"/>
        </w:rPr>
      </w:pPr>
      <w:bookmarkStart w:id="2" w:name="_Toc406576818"/>
      <w:r w:rsidRPr="00B652E1">
        <w:rPr>
          <w:lang w:eastAsia="en-US"/>
        </w:rPr>
        <w:t>Alignment of investments with Australia’s aid policy framework</w:t>
      </w:r>
      <w:bookmarkEnd w:id="2"/>
    </w:p>
    <w:p w:rsidR="00B652E1" w:rsidRDefault="00B652E1" w:rsidP="00B652E1">
      <w:pPr>
        <w:spacing w:line="276" w:lineRule="auto"/>
        <w:rPr>
          <w:rFonts w:ascii="Franklin Gothic Book" w:hAnsi="Franklin Gothic Book"/>
          <w:szCs w:val="20"/>
        </w:rPr>
      </w:pPr>
      <w:r>
        <w:rPr>
          <w:rFonts w:ascii="Franklin Gothic Book" w:hAnsi="Franklin Gothic Book"/>
          <w:szCs w:val="20"/>
        </w:rPr>
        <w:t>T</w:t>
      </w:r>
      <w:r w:rsidRPr="005F4FAA">
        <w:rPr>
          <w:rFonts w:ascii="Franklin Gothic Book" w:hAnsi="Franklin Gothic Book"/>
          <w:szCs w:val="20"/>
        </w:rPr>
        <w:t>he Australian aid program has ten strate</w:t>
      </w:r>
      <w:r>
        <w:rPr>
          <w:rFonts w:ascii="Franklin Gothic Book" w:hAnsi="Franklin Gothic Book"/>
          <w:szCs w:val="20"/>
        </w:rPr>
        <w:t>gic performance targets. Table 3</w:t>
      </w:r>
      <w:r w:rsidRPr="005F4FAA">
        <w:rPr>
          <w:rFonts w:ascii="Franklin Gothic Book" w:hAnsi="Franklin Gothic Book"/>
          <w:szCs w:val="20"/>
        </w:rPr>
        <w:t xml:space="preserve"> shows how THSSP2 contributes to these targets. The table also includes a row on “innovative approaches”, which are a high priority for DFAT. </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B67EAD">
        <w:rPr>
          <w:rFonts w:ascii="Franklin Gothic Book" w:hAnsi="Franklin Gothic Book"/>
          <w:szCs w:val="20"/>
        </w:rPr>
        <w:t>In addition, Australia’s aid policy framework has four tests to guide strategic choices across the aid program (related to Australia’s national interest, promoting growth and reducing poverty, value-added and leverage and making performance count). Annex 23 discusses THSSP2 in the context of these tests. These tests will be applied later in 2015 when the Aid Investment Plan for Tonga is developed.</w:t>
      </w:r>
      <w:r w:rsidRPr="005F4FAA">
        <w:rPr>
          <w:rFonts w:ascii="Franklin Gothic Book" w:hAnsi="Franklin Gothic Book"/>
          <w:szCs w:val="20"/>
        </w:rPr>
        <w:t xml:space="preserve"> </w:t>
      </w:r>
    </w:p>
    <w:p w:rsidR="00B652E1" w:rsidRPr="005F4FAA" w:rsidRDefault="00B652E1" w:rsidP="00B652E1">
      <w:pPr>
        <w:spacing w:before="80"/>
        <w:rPr>
          <w:rFonts w:ascii="Franklin Gothic Book" w:hAnsi="Franklin Gothic Book"/>
          <w:szCs w:val="20"/>
        </w:rPr>
      </w:pPr>
    </w:p>
    <w:p w:rsidR="00B652E1" w:rsidRPr="005F4FAA" w:rsidRDefault="00B652E1" w:rsidP="00B652E1">
      <w:pPr>
        <w:pStyle w:val="HRFTable"/>
        <w:spacing w:line="276" w:lineRule="auto"/>
        <w:rPr>
          <w:rFonts w:ascii="Franklin Gothic Book" w:hAnsi="Franklin Gothic Book" w:cs="Times New Roman"/>
          <w:sz w:val="20"/>
          <w:szCs w:val="20"/>
        </w:rPr>
      </w:pPr>
      <w:r w:rsidRPr="005F4FAA">
        <w:rPr>
          <w:rFonts w:ascii="Franklin Gothic Book" w:hAnsi="Franklin Gothic Book" w:cs="Times New Roman"/>
          <w:sz w:val="20"/>
          <w:szCs w:val="20"/>
        </w:rPr>
        <w:t xml:space="preserve">Table </w:t>
      </w:r>
      <w:r>
        <w:rPr>
          <w:rFonts w:ascii="Franklin Gothic Book" w:hAnsi="Franklin Gothic Book" w:cs="Times New Roman"/>
          <w:sz w:val="20"/>
          <w:szCs w:val="20"/>
        </w:rPr>
        <w:t>3</w:t>
      </w:r>
      <w:r w:rsidRPr="005F4FAA">
        <w:rPr>
          <w:rFonts w:ascii="Franklin Gothic Book" w:hAnsi="Franklin Gothic Book" w:cs="Times New Roman"/>
          <w:sz w:val="20"/>
          <w:szCs w:val="20"/>
        </w:rPr>
        <w:t xml:space="preserve">:  Australian strategic performance targets and the design of THSSP2 </w:t>
      </w:r>
    </w:p>
    <w:tbl>
      <w:tblPr>
        <w:tblStyle w:val="HRF"/>
        <w:tblW w:w="9322" w:type="dxa"/>
        <w:tblLook w:val="04A0" w:firstRow="1" w:lastRow="0" w:firstColumn="1" w:lastColumn="0" w:noHBand="0" w:noVBand="1"/>
      </w:tblPr>
      <w:tblGrid>
        <w:gridCol w:w="1951"/>
        <w:gridCol w:w="7371"/>
      </w:tblGrid>
      <w:tr w:rsidR="00B652E1" w:rsidRPr="005F4FAA" w:rsidTr="00B65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ind w:left="68" w:hanging="68"/>
              <w:rPr>
                <w:rFonts w:ascii="Franklin Gothic Book" w:hAnsi="Franklin Gothic Book"/>
                <w:color w:val="000000"/>
                <w:szCs w:val="20"/>
              </w:rPr>
            </w:pPr>
            <w:r w:rsidRPr="005F4FAA">
              <w:rPr>
                <w:rFonts w:ascii="Franklin Gothic Book" w:hAnsi="Franklin Gothic Book"/>
                <w:color w:val="FFFFFF" w:themeColor="background1"/>
                <w:szCs w:val="20"/>
              </w:rPr>
              <w:t xml:space="preserve">Australian strategic performance target </w:t>
            </w:r>
          </w:p>
        </w:tc>
        <w:tc>
          <w:tcPr>
            <w:tcW w:w="7371" w:type="dxa"/>
          </w:tcPr>
          <w:p w:rsidR="00B652E1" w:rsidRPr="005F4FAA" w:rsidRDefault="00B652E1" w:rsidP="00B652E1">
            <w:pPr>
              <w:spacing w:line="276" w:lineRule="auto"/>
              <w:cnfStyle w:val="100000000000" w:firstRow="1"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How incorporated into THSSP2</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1: promoting prosperity</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b/>
                <w:szCs w:val="20"/>
              </w:rPr>
              <w:t>Prosperity</w:t>
            </w:r>
            <w:r w:rsidRPr="005F4FAA">
              <w:rPr>
                <w:rFonts w:ascii="Franklin Gothic Book" w:hAnsi="Franklin Gothic Book"/>
                <w:szCs w:val="20"/>
              </w:rPr>
              <w:t>: Better health leads to growth in earning potential and income for individuals and households. Fewer NCDs and more equal access to health services should mean that more children live in economically secure and healthy families.  Such children tend to have higher levels of educational attendance and better outcomes. Moreover, without successful prevention and management of NCDs, the cost of treating NCDs would outstrip the Ministry of Health’s budget and place strains on the economy as a whole.</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There is not a large direct </w:t>
            </w:r>
            <w:r w:rsidRPr="005F4FAA">
              <w:rPr>
                <w:rFonts w:ascii="Franklin Gothic Book" w:hAnsi="Franklin Gothic Book"/>
                <w:b/>
                <w:szCs w:val="20"/>
              </w:rPr>
              <w:t>aid-for-trade</w:t>
            </w:r>
            <w:r w:rsidRPr="005F4FAA">
              <w:rPr>
                <w:rFonts w:ascii="Franklin Gothic Book" w:hAnsi="Franklin Gothic Book"/>
                <w:szCs w:val="20"/>
              </w:rPr>
              <w:t xml:space="preserve"> component in THSSP2, though it wil</w:t>
            </w:r>
            <w:r>
              <w:rPr>
                <w:rFonts w:ascii="Franklin Gothic Book" w:hAnsi="Franklin Gothic Book"/>
                <w:szCs w:val="20"/>
              </w:rPr>
              <w:t>l promote better procurement of</w:t>
            </w:r>
            <w:r w:rsidRPr="005F4FAA">
              <w:rPr>
                <w:rFonts w:ascii="Franklin Gothic Book" w:hAnsi="Franklin Gothic Book"/>
                <w:szCs w:val="20"/>
              </w:rPr>
              <w:t xml:space="preserve"> pharmaceuticals and other medical supplies.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3061C0" w:rsidRDefault="00B652E1" w:rsidP="00B652E1">
            <w:pPr>
              <w:spacing w:line="276" w:lineRule="auto"/>
              <w:rPr>
                <w:rFonts w:ascii="Franklin Gothic Book" w:hAnsi="Franklin Gothic Book"/>
                <w:szCs w:val="20"/>
              </w:rPr>
            </w:pPr>
            <w:r w:rsidRPr="003061C0">
              <w:rPr>
                <w:rFonts w:ascii="Franklin Gothic Book" w:hAnsi="Franklin Gothic Book"/>
                <w:szCs w:val="20"/>
              </w:rPr>
              <w:t>Target 2: engaging the private sector</w:t>
            </w:r>
          </w:p>
        </w:tc>
        <w:tc>
          <w:tcPr>
            <w:tcW w:w="7371" w:type="dxa"/>
          </w:tcPr>
          <w:p w:rsidR="00B652E1" w:rsidRPr="003061C0"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3061C0">
              <w:rPr>
                <w:rFonts w:ascii="Franklin Gothic Book" w:hAnsi="Franklin Gothic Book" w:cs="Arial"/>
                <w:szCs w:val="20"/>
              </w:rPr>
              <w:t xml:space="preserve">The private health market in Tonga is small and there are limited opportunities to develop work with the sector. There will, however, be some engagement.  Through the funding for TongaHealth work-plans, Post will look for opportunities to prioritise funding of health promotion activities implemented by the private sector: </w:t>
            </w:r>
            <w:r w:rsidRPr="003061C0">
              <w:rPr>
                <w:rFonts w:ascii="Franklin Gothic Book" w:eastAsia="Times New Roman" w:hAnsi="Franklin Gothic Book" w:cs="Arial"/>
                <w:szCs w:val="20"/>
              </w:rPr>
              <w:t>TongaHealth is able and willing to fund all kinds of organisations, both private and public. There will certainly be engagement at various stages of media campaign activities where it will be necessar</w:t>
            </w:r>
            <w:r>
              <w:rPr>
                <w:rFonts w:ascii="Franklin Gothic Book" w:eastAsia="Times New Roman" w:hAnsi="Franklin Gothic Book" w:cs="Arial"/>
                <w:szCs w:val="20"/>
              </w:rPr>
              <w:t>y to tender out contracts (</w:t>
            </w:r>
            <w:r w:rsidRPr="003061C0">
              <w:rPr>
                <w:rFonts w:ascii="Franklin Gothic Book" w:eastAsia="Times New Roman" w:hAnsi="Franklin Gothic Book" w:cs="Arial"/>
                <w:szCs w:val="20"/>
              </w:rPr>
              <w:t xml:space="preserve">research, media design and broadcast etc.). </w:t>
            </w:r>
            <w:r w:rsidRPr="003061C0">
              <w:rPr>
                <w:rFonts w:ascii="Franklin Gothic Book" w:hAnsi="Franklin Gothic Book" w:cs="Arial"/>
                <w:szCs w:val="20"/>
              </w:rPr>
              <w:t>An example could be a health promotion campaign transmitted by a communications provider via text messaging.</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3: reducing poverty</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There should be a reduction in the number of vulnerable</w:t>
            </w:r>
            <w:r>
              <w:rPr>
                <w:rFonts w:ascii="Franklin Gothic Book" w:hAnsi="Franklin Gothic Book"/>
                <w:szCs w:val="20"/>
              </w:rPr>
              <w:t xml:space="preserve"> people</w:t>
            </w:r>
            <w:r w:rsidRPr="005F4FAA">
              <w:rPr>
                <w:rFonts w:ascii="Franklin Gothic Book" w:hAnsi="Franklin Gothic Book"/>
                <w:szCs w:val="20"/>
              </w:rPr>
              <w:t xml:space="preserve"> whose economic viability is jeopardised by premature death or heavy burdens of caring.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Work on essential primary health care will mean better services for the poorest and most marginalized Tongans.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4: empowering women and girls</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szCs w:val="22"/>
              </w:rPr>
            </w:pPr>
            <w:r w:rsidRPr="005F4FAA">
              <w:rPr>
                <w:rFonts w:ascii="Franklin Gothic Book" w:eastAsia="Times New Roman" w:hAnsi="Franklin Gothic Book" w:cs="Calibri"/>
                <w:szCs w:val="22"/>
              </w:rPr>
              <w:t>The work on essential primary care will mean an enhanced role for professionals in primary care, very many of wh</w:t>
            </w:r>
            <w:r>
              <w:rPr>
                <w:rFonts w:ascii="Franklin Gothic Book" w:eastAsia="Times New Roman" w:hAnsi="Franklin Gothic Book" w:cs="Calibri"/>
                <w:szCs w:val="22"/>
              </w:rPr>
              <w:t>om are women.  In general, the</w:t>
            </w:r>
            <w:r w:rsidRPr="005F4FAA">
              <w:rPr>
                <w:rFonts w:ascii="Franklin Gothic Book" w:eastAsia="Times New Roman" w:hAnsi="Franklin Gothic Book" w:cs="Calibri"/>
                <w:szCs w:val="22"/>
              </w:rPr>
              <w:t xml:space="preserve"> health sector offers excellent opportunities for women to develop their leadership skills.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szCs w:val="22"/>
              </w:rPr>
            </w:pPr>
            <w:r w:rsidRPr="005F4FAA">
              <w:rPr>
                <w:rFonts w:ascii="Franklin Gothic Book" w:eastAsia="Times New Roman" w:hAnsi="Franklin Gothic Book" w:cs="Calibri"/>
                <w:szCs w:val="22"/>
              </w:rPr>
              <w:t xml:space="preserve">Women and girls benefit disproportionately from population health improvements because they tend to be the main carers for the ill, which reduces their </w:t>
            </w:r>
            <w:r w:rsidRPr="005F4FAA">
              <w:rPr>
                <w:rFonts w:ascii="Franklin Gothic Book" w:hAnsi="Franklin Gothic Book"/>
                <w:szCs w:val="20"/>
              </w:rPr>
              <w:t xml:space="preserve">employment and education opportunities.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szCs w:val="22"/>
              </w:rPr>
            </w:pPr>
            <w:r w:rsidRPr="005F4FAA">
              <w:rPr>
                <w:rFonts w:ascii="Franklin Gothic Book" w:eastAsia="Times New Roman" w:hAnsi="Franklin Gothic Book" w:cs="Calibri"/>
                <w:szCs w:val="22"/>
              </w:rPr>
              <w:t xml:space="preserve">Good health is a necessary, although obviously not sufficient, part of empowerment. The work on essential services should improve reproductive health services throughout Tonga: this is an important element in women taking control of their lives. Some aspects of NCDs disproportionately affect women – for example women are more likely than men to be obese in Tonga. Interventions about obesity will have aspects that are specifically targeted towards women: for example promoting netball or brisk walking, and not just football and rugby, as beneficial forms of exercise. Some messages and activities will be tailored specifically for women.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Most data about NCDs is disaggregated by gender, as can be seen in the indicators selected for THSSP2. This makes it possible to target interventions appropriately and to monitor the impact on males and on females separately.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5: focusing on the Indo-Pacific region</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Tonga is in the Indo-Pacific region.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6: Delivering on commitments</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The Government of Tonga and TongaHealth will be clear about their obligations under THSSP2. Funds will be allocated based on Annual Management Plans and reports on the implementation of previous plans. Poor reporting or under-spending will lead to reduced levels of funding.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10% of the THSSP2 budget is earmarked for performance related incentive payments.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B67EAD">
              <w:rPr>
                <w:rFonts w:ascii="Franklin Gothic Book" w:hAnsi="Franklin Gothic Book"/>
                <w:szCs w:val="20"/>
              </w:rPr>
              <w:t xml:space="preserve">THSSP2 has pre-conditions related to the Government of Tonga showing a budgetary commitment to health in general, and public health in particular. </w:t>
            </w:r>
            <w:r w:rsidRPr="00B67EAD">
              <w:rPr>
                <w:rFonts w:ascii="Franklin Gothic Book" w:hAnsi="Franklin Gothic Book"/>
                <w:szCs w:val="20"/>
                <w:lang w:val="en-GB"/>
              </w:rPr>
              <w:t>If the conditions are not met, DFAT will formally re-assess its commitment to THSSP2 and may reduce its overall financial allocation to the Programme.</w:t>
            </w:r>
            <w:r>
              <w:rPr>
                <w:rFonts w:ascii="Franklin Gothic Book" w:hAnsi="Franklin Gothic Book"/>
                <w:szCs w:val="20"/>
                <w:lang w:val="en-GB"/>
              </w:rPr>
              <w:t xml:space="preserve">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7: working with the most effective partners</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The main partners are the Ministry of Health and TongaHealth. Performance and funding will be closely linked, as described for Target 6.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8: ensuring value-for-money</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9C044C">
              <w:rPr>
                <w:rFonts w:ascii="Franklin Gothic Book" w:hAnsi="Franklin Gothic Book"/>
                <w:szCs w:val="20"/>
              </w:rPr>
              <w:t>With its small number of program-specific staff and use of government systems, the delivery approach for THSSP2 offers good value-for-money.</w:t>
            </w:r>
            <w:r w:rsidRPr="005F4FAA">
              <w:rPr>
                <w:rFonts w:ascii="Franklin Gothic Book" w:hAnsi="Franklin Gothic Book"/>
                <w:szCs w:val="20"/>
              </w:rPr>
              <w:t xml:space="preserve">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THSSP2 will promote and support cost-effective interventions related to NCDs:  this will be based on good international evidence.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 xml:space="preserve">THSSP2 will promote a more efficient Ministry of Health and should mean that savings are made from, for example, a reduction in the complications of diabetes which require hospitalisation.  It will also promote improved management, including of human resources, which account for more than 50% of health expenditure.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The design of THSSP2 has benefited from analytical work by the World Bank: in future, Tonga should be a source of important information about what works and what is cost-effective in terms of tackling NCDs in the Pacific.</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9: increasing consolidation</w:t>
            </w:r>
          </w:p>
        </w:tc>
        <w:tc>
          <w:tcPr>
            <w:tcW w:w="7371" w:type="dxa"/>
          </w:tcPr>
          <w:p w:rsidR="00B652E1"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DFAT support to the health sector in Tonga is highly consolidated: THSSP2 will be the only significant bilateral health program.</w:t>
            </w:r>
            <w:r>
              <w:rPr>
                <w:rFonts w:ascii="Franklin Gothic Book" w:hAnsi="Franklin Gothic Book"/>
                <w:szCs w:val="20"/>
              </w:rPr>
              <w:t xml:space="preserve"> </w:t>
            </w:r>
            <w:r w:rsidRPr="005F4FAA">
              <w:rPr>
                <w:rFonts w:ascii="Franklin Gothic Book" w:hAnsi="Franklin Gothic Book"/>
                <w:szCs w:val="20"/>
              </w:rPr>
              <w:t xml:space="preserve">DFAT works in collaboration with </w:t>
            </w:r>
            <w:r>
              <w:rPr>
                <w:rFonts w:ascii="Franklin Gothic Book" w:hAnsi="Franklin Gothic Book"/>
                <w:szCs w:val="20"/>
              </w:rPr>
              <w:t xml:space="preserve">other </w:t>
            </w:r>
            <w:r w:rsidRPr="005F4FAA">
              <w:rPr>
                <w:rFonts w:ascii="Franklin Gothic Book" w:hAnsi="Franklin Gothic Book"/>
                <w:szCs w:val="20"/>
              </w:rPr>
              <w:t>donors in the health sector including WHO, UNFPA and SPC and endeavours to co</w:t>
            </w:r>
            <w:r>
              <w:rPr>
                <w:rFonts w:ascii="Franklin Gothic Book" w:hAnsi="Franklin Gothic Book"/>
                <w:szCs w:val="20"/>
              </w:rPr>
              <w:t>-</w:t>
            </w:r>
            <w:r w:rsidRPr="005F4FAA">
              <w:rPr>
                <w:rFonts w:ascii="Franklin Gothic Book" w:hAnsi="Franklin Gothic Book"/>
                <w:szCs w:val="20"/>
              </w:rPr>
              <w:t>ordinate efforts when possible.</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Pr>
                <w:rFonts w:ascii="Franklin Gothic Book" w:hAnsi="Franklin Gothic Book"/>
                <w:szCs w:val="20"/>
              </w:rPr>
              <w:t xml:space="preserve">There will be strong links to other DFAT programs, notably </w:t>
            </w:r>
            <w:r w:rsidRPr="005F4FAA">
              <w:rPr>
                <w:rFonts w:ascii="Franklin Gothic Book" w:hAnsi="Franklin Gothic Book"/>
                <w:szCs w:val="20"/>
              </w:rPr>
              <w:t>Economic and Public Sector Reform</w:t>
            </w:r>
            <w:r>
              <w:rPr>
                <w:rFonts w:ascii="Franklin Gothic Book" w:hAnsi="Franklin Gothic Book"/>
                <w:szCs w:val="20"/>
              </w:rPr>
              <w:t xml:space="preserve">; the Program Manager will actively look for opportunities to link with the DFAT Volunteer and Scholarship programs.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Target 10: combatting corruption</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THSSP2 will conform to the Government of Tonga’s public financial management rules and procedures, which have been carefully scrutinized and approved by DFAT. DFAT has put in place a Technical Advisor within the Central Procurement Unit to overs</w:t>
            </w:r>
            <w:r>
              <w:rPr>
                <w:rFonts w:ascii="Franklin Gothic Book" w:hAnsi="Franklin Gothic Book"/>
                <w:szCs w:val="20"/>
              </w:rPr>
              <w:t>ee</w:t>
            </w:r>
            <w:r w:rsidRPr="005F4FAA">
              <w:rPr>
                <w:rFonts w:ascii="Franklin Gothic Book" w:hAnsi="Franklin Gothic Book"/>
                <w:szCs w:val="20"/>
              </w:rPr>
              <w:t xml:space="preserve"> all procurements funded through </w:t>
            </w:r>
            <w:r>
              <w:rPr>
                <w:rFonts w:ascii="Franklin Gothic Book" w:hAnsi="Franklin Gothic Book"/>
                <w:szCs w:val="20"/>
              </w:rPr>
              <w:t>DFAT.</w:t>
            </w:r>
            <w:r w:rsidRPr="005F4FAA">
              <w:rPr>
                <w:rFonts w:ascii="Franklin Gothic Book" w:hAnsi="Franklin Gothic Book"/>
                <w:szCs w:val="20"/>
              </w:rPr>
              <w:t xml:space="preserve">   </w:t>
            </w:r>
          </w:p>
        </w:tc>
      </w:tr>
      <w:tr w:rsidR="00B652E1" w:rsidRPr="005F4FAA" w:rsidTr="00B652E1">
        <w:tc>
          <w:tcPr>
            <w:cnfStyle w:val="001000000000" w:firstRow="0" w:lastRow="0" w:firstColumn="1" w:lastColumn="0" w:oddVBand="0" w:evenVBand="0" w:oddHBand="0" w:evenHBand="0" w:firstRowFirstColumn="0" w:firstRowLastColumn="0" w:lastRowFirstColumn="0" w:lastRowLastColumn="0"/>
            <w:tcW w:w="195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Innovative approaches</w:t>
            </w:r>
          </w:p>
        </w:tc>
        <w:tc>
          <w:tcPr>
            <w:tcW w:w="7371" w:type="dxa"/>
          </w:tcPr>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Tonga is a front</w:t>
            </w:r>
            <w:r>
              <w:rPr>
                <w:rFonts w:ascii="Franklin Gothic Book" w:hAnsi="Franklin Gothic Book"/>
                <w:szCs w:val="20"/>
              </w:rPr>
              <w:t>-</w:t>
            </w:r>
            <w:r w:rsidRPr="005F4FAA">
              <w:rPr>
                <w:rFonts w:ascii="Franklin Gothic Book" w:hAnsi="Franklin Gothic Book"/>
                <w:szCs w:val="20"/>
              </w:rPr>
              <w:t>runner in terms of its unequivocal acceptance of NCDs as a crisis which needs to be tackled.</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Working through a Foundation such as TongaHealth is innovative in the Pacific as a vehicle to co-ordinate a multi-sectoral approach to addressing the NCD crisis, and there is Pacific-wide interest in its performance.</w:t>
            </w:r>
            <w:r>
              <w:rPr>
                <w:rFonts w:ascii="Franklin Gothic Book" w:hAnsi="Franklin Gothic Book"/>
                <w:szCs w:val="20"/>
              </w:rPr>
              <w:t xml:space="preserve"> </w:t>
            </w:r>
            <w:r w:rsidRPr="001914B5">
              <w:rPr>
                <w:rFonts w:ascii="Franklin Gothic Medium" w:hAnsi="Franklin Gothic Medium"/>
                <w:szCs w:val="20"/>
              </w:rPr>
              <w:t xml:space="preserve">The WHO Western Pacific Regional Office advocates for </w:t>
            </w:r>
            <w:r w:rsidRPr="001914B5">
              <w:rPr>
                <w:rFonts w:ascii="Franklin Gothic Medium" w:hAnsi="Franklin Gothic Medium"/>
                <w:bCs/>
              </w:rPr>
              <w:t xml:space="preserve">health promotion foundations </w:t>
            </w:r>
            <w:r w:rsidRPr="001914B5">
              <w:rPr>
                <w:rFonts w:ascii="Franklin Gothic Medium" w:hAnsi="Franklin Gothic Medium"/>
              </w:rPr>
              <w:t>as a good mechanism for sustainable funding of health promotion activities.</w:t>
            </w:r>
            <w:r>
              <w:rPr>
                <w:rStyle w:val="FootnoteReference"/>
              </w:rPr>
              <w:footnoteReference w:id="17"/>
            </w:r>
            <w:r w:rsidRPr="005F4FAA">
              <w:rPr>
                <w:rFonts w:ascii="Franklin Gothic Book" w:hAnsi="Franklin Gothic Book"/>
                <w:szCs w:val="20"/>
              </w:rPr>
              <w:t xml:space="preserve"> </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9C044C">
              <w:rPr>
                <w:rFonts w:ascii="Franklin Gothic Book" w:hAnsi="Franklin Gothic Book"/>
                <w:szCs w:val="20"/>
              </w:rPr>
              <w:t>The Ministry was unusual in pushing to use part of the available DFAT funding to support disability and mental health services, which tend to be neglected and stigmatized: this is a very positive attitude.</w:t>
            </w:r>
          </w:p>
          <w:p w:rsidR="00B652E1" w:rsidRPr="005F4FAA" w:rsidRDefault="00B652E1" w:rsidP="00B652E1">
            <w:pPr>
              <w:spacing w:line="276" w:lineRule="auto"/>
              <w:cnfStyle w:val="000000000000" w:firstRow="0" w:lastRow="0" w:firstColumn="0" w:lastColumn="0" w:oddVBand="0" w:evenVBand="0" w:oddHBand="0" w:evenHBand="0" w:firstRowFirstColumn="0" w:firstRowLastColumn="0" w:lastRowFirstColumn="0" w:lastRowLastColumn="0"/>
              <w:rPr>
                <w:rFonts w:ascii="Franklin Gothic Book" w:hAnsi="Franklin Gothic Book"/>
                <w:szCs w:val="20"/>
              </w:rPr>
            </w:pPr>
            <w:r w:rsidRPr="005F4FAA">
              <w:rPr>
                <w:rFonts w:ascii="Franklin Gothic Book" w:hAnsi="Franklin Gothic Book"/>
                <w:szCs w:val="20"/>
              </w:rPr>
              <w:t>The design of the performance-based financing (PBF) is innovative in the way it tries to ensure that funds are potentially available to support both major senior-management decisions and smaller decisions made by front</w:t>
            </w:r>
            <w:r>
              <w:rPr>
                <w:rFonts w:ascii="Franklin Gothic Book" w:hAnsi="Franklin Gothic Book"/>
                <w:szCs w:val="20"/>
              </w:rPr>
              <w:t>-</w:t>
            </w:r>
            <w:r w:rsidRPr="005F4FAA">
              <w:rPr>
                <w:rFonts w:ascii="Franklin Gothic Book" w:hAnsi="Franklin Gothic Book"/>
                <w:szCs w:val="20"/>
              </w:rPr>
              <w:t xml:space="preserve">line teams. This is only the second example of DFAT-funded PBF in the health sector in the Pacific. </w:t>
            </w:r>
          </w:p>
        </w:tc>
      </w:tr>
    </w:tbl>
    <w:p w:rsidR="00B652E1" w:rsidRPr="005F4FAA" w:rsidRDefault="00B652E1" w:rsidP="00B652E1">
      <w:pPr>
        <w:spacing w:before="80" w:line="276" w:lineRule="auto"/>
        <w:rPr>
          <w:rFonts w:ascii="Franklin Gothic Book" w:hAnsi="Franklin Gothic Book"/>
          <w:spacing w:val="-2"/>
          <w:szCs w:val="20"/>
          <w:highlight w:val="yellow"/>
          <w:lang w:eastAsia="en-US"/>
        </w:rPr>
      </w:pPr>
    </w:p>
    <w:p w:rsidR="00B652E1" w:rsidRPr="005F4FAA" w:rsidRDefault="00B652E1" w:rsidP="00B652E1">
      <w:pPr>
        <w:spacing w:line="276" w:lineRule="auto"/>
        <w:ind w:left="426"/>
        <w:rPr>
          <w:rFonts w:ascii="Franklin Gothic Book" w:hAnsi="Franklin Gothic Book"/>
          <w:szCs w:val="20"/>
        </w:rPr>
      </w:pPr>
    </w:p>
    <w:p w:rsidR="00F63C34" w:rsidRDefault="00F63C34" w:rsidP="00F63C34">
      <w:pPr>
        <w:pStyle w:val="Heading1"/>
        <w:rPr>
          <w:rFonts w:ascii="Franklin Gothic Book" w:hAnsi="Franklin Gothic Book"/>
          <w:szCs w:val="20"/>
          <w:lang w:eastAsia="en-US"/>
        </w:rPr>
      </w:pPr>
      <w:r>
        <w:t xml:space="preserve">D: </w:t>
      </w:r>
      <w:r w:rsidRPr="005F4FAA">
        <w:t>Investment Description</w:t>
      </w:r>
    </w:p>
    <w:p w:rsidR="00B652E1" w:rsidRPr="005F4FAA" w:rsidRDefault="00B652E1" w:rsidP="00B652E1">
      <w:pPr>
        <w:spacing w:before="240" w:line="276" w:lineRule="auto"/>
        <w:rPr>
          <w:rFonts w:ascii="Franklin Gothic Book" w:eastAsia="Times New Roman" w:hAnsi="Franklin Gothic Book"/>
          <w:szCs w:val="20"/>
          <w:lang w:eastAsia="en-US"/>
        </w:rPr>
      </w:pPr>
      <w:r>
        <w:rPr>
          <w:rFonts w:ascii="Franklin Gothic Book" w:eastAsia="Times New Roman" w:hAnsi="Franklin Gothic Book"/>
          <w:szCs w:val="20"/>
          <w:lang w:eastAsia="en-US"/>
        </w:rPr>
        <w:t xml:space="preserve">Both the Ministry of Health and the Ministry of Finance and National Planning have seen a draft of this design document and have been consulted about its contents. </w:t>
      </w:r>
      <w:r w:rsidRPr="005F4FAA">
        <w:rPr>
          <w:rFonts w:ascii="Franklin Gothic Book" w:eastAsia="Times New Roman" w:hAnsi="Franklin Gothic Book"/>
          <w:szCs w:val="20"/>
          <w:lang w:eastAsia="en-US"/>
        </w:rPr>
        <w:t>Prior to th</w:t>
      </w:r>
      <w:r>
        <w:rPr>
          <w:rFonts w:ascii="Franklin Gothic Book" w:eastAsia="Times New Roman" w:hAnsi="Franklin Gothic Book"/>
          <w:szCs w:val="20"/>
          <w:lang w:eastAsia="en-US"/>
        </w:rPr>
        <w:t>e</w:t>
      </w:r>
      <w:r w:rsidRPr="005F4FAA">
        <w:rPr>
          <w:rFonts w:ascii="Franklin Gothic Book" w:eastAsia="Times New Roman" w:hAnsi="Franklin Gothic Book"/>
          <w:szCs w:val="20"/>
          <w:lang w:eastAsia="en-US"/>
        </w:rPr>
        <w:t xml:space="preserve"> design document, there have been a number of collaborative </w:t>
      </w:r>
      <w:r w:rsidRPr="00552B0E">
        <w:rPr>
          <w:rFonts w:ascii="Franklin Gothic Book" w:eastAsia="Times New Roman" w:hAnsi="Franklin Gothic Book"/>
          <w:szCs w:val="20"/>
          <w:lang w:eastAsia="en-US"/>
        </w:rPr>
        <w:t>stages (</w:t>
      </w:r>
      <w:r w:rsidRPr="00B67EAD">
        <w:rPr>
          <w:rFonts w:ascii="Franklin Gothic Book" w:eastAsia="Times New Roman" w:hAnsi="Franklin Gothic Book"/>
          <w:szCs w:val="20"/>
          <w:lang w:eastAsia="en-US"/>
        </w:rPr>
        <w:t>including workshops</w:t>
      </w:r>
      <w:r w:rsidRPr="00552B0E">
        <w:rPr>
          <w:rFonts w:ascii="Franklin Gothic Book" w:eastAsia="Times New Roman" w:hAnsi="Franklin Gothic Book"/>
          <w:szCs w:val="20"/>
          <w:lang w:eastAsia="en-US"/>
        </w:rPr>
        <w:t>) involving the Ministries of Health and Finance, TongaHealth and DFAT to discuss a broad range</w:t>
      </w:r>
      <w:r w:rsidRPr="005F4FAA">
        <w:rPr>
          <w:rFonts w:ascii="Franklin Gothic Book" w:eastAsia="Times New Roman" w:hAnsi="Franklin Gothic Book"/>
          <w:szCs w:val="20"/>
          <w:lang w:eastAsia="en-US"/>
        </w:rPr>
        <w:t xml:space="preserve"> of options for THSSP2. These are described in Box </w:t>
      </w:r>
      <w:r>
        <w:rPr>
          <w:rFonts w:ascii="Franklin Gothic Book" w:eastAsia="Times New Roman" w:hAnsi="Franklin Gothic Book"/>
          <w:szCs w:val="20"/>
          <w:lang w:eastAsia="en-US"/>
        </w:rPr>
        <w:t>3</w:t>
      </w:r>
      <w:r w:rsidRPr="005F4FAA">
        <w:rPr>
          <w:rFonts w:ascii="Franklin Gothic Book" w:eastAsia="Times New Roman" w:hAnsi="Franklin Gothic Book"/>
          <w:szCs w:val="20"/>
          <w:lang w:eastAsia="en-US"/>
        </w:rPr>
        <w:t xml:space="preserve">.  October 2014 was a particularly significant time in the design process, because this is when the </w:t>
      </w:r>
      <w:r w:rsidRPr="005F4FAA">
        <w:rPr>
          <w:rFonts w:ascii="Franklin Gothic Book" w:hAnsi="Franklin Gothic Book"/>
          <w:szCs w:val="20"/>
        </w:rPr>
        <w:t xml:space="preserve">Investment Concept Note for THSSP2 was approved by the National Health Development Committee and by the Australian High Commission in Tonga. This approval was a formal decision about both </w:t>
      </w:r>
      <w:r w:rsidRPr="005F4FAA">
        <w:rPr>
          <w:rFonts w:ascii="Franklin Gothic Book" w:eastAsia="Times New Roman" w:hAnsi="Franklin Gothic Book"/>
          <w:szCs w:val="20"/>
          <w:lang w:eastAsia="en-US"/>
        </w:rPr>
        <w:t>the components of THSSP2 and the delivery approach. The delivery approach – a Direct Funding Agreement with the allocation of funds based on high-quality annual plans – is described in the next section. The four components of THSSP2 are:</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Management of NCDs in primary care: primary and secondary prevention</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Health promotion related to NCDs</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Health systems strengthening</w:t>
      </w:r>
    </w:p>
    <w:p w:rsidR="00B652E1" w:rsidRPr="005F4FAA" w:rsidRDefault="00B652E1" w:rsidP="00B652E1">
      <w:pPr>
        <w:pStyle w:val="ListParagraph"/>
        <w:numPr>
          <w:ilvl w:val="0"/>
          <w:numId w:val="38"/>
        </w:numPr>
        <w:spacing w:before="80" w:line="276" w:lineRule="auto"/>
        <w:contextualSpacing/>
        <w:rPr>
          <w:rFonts w:ascii="Franklin Gothic Book" w:hAnsi="Franklin Gothic Book"/>
          <w:sz w:val="20"/>
          <w:szCs w:val="20"/>
          <w:lang w:eastAsia="en-US"/>
        </w:rPr>
      </w:pPr>
      <w:r w:rsidRPr="005F4FAA">
        <w:rPr>
          <w:rFonts w:ascii="Franklin Gothic Book" w:hAnsi="Franklin Gothic Book"/>
          <w:sz w:val="20"/>
          <w:szCs w:val="20"/>
          <w:lang w:eastAsia="en-US"/>
        </w:rPr>
        <w:t>Support for mental health and disability</w:t>
      </w:r>
      <w:r>
        <w:rPr>
          <w:rFonts w:ascii="Franklin Gothic Book" w:hAnsi="Franklin Gothic Book"/>
          <w:sz w:val="20"/>
          <w:szCs w:val="20"/>
          <w:lang w:eastAsia="en-US"/>
        </w:rPr>
        <w:t xml:space="preserve"> services</w:t>
      </w:r>
      <w:r w:rsidRPr="005F4FAA">
        <w:rPr>
          <w:rFonts w:ascii="Franklin Gothic Book" w:hAnsi="Franklin Gothic Book"/>
          <w:sz w:val="20"/>
          <w:szCs w:val="20"/>
          <w:lang w:eastAsia="en-US"/>
        </w:rPr>
        <w:t xml:space="preserve">.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THSSP2 will be a five year program starting in July 2015, meaning that it has the same timeframe as the Ministry of Health’s Corporate Plan. </w:t>
      </w:r>
    </w:p>
    <w:p w:rsidR="00B652E1" w:rsidRPr="005F4FAA" w:rsidRDefault="00B652E1" w:rsidP="00B652E1">
      <w:pPr>
        <w:rPr>
          <w:rFonts w:ascii="Franklin Gothic Book" w:hAnsi="Franklin Gothic Book"/>
          <w:szCs w:val="20"/>
        </w:rPr>
      </w:pPr>
    </w:p>
    <w:tbl>
      <w:tblPr>
        <w:tblStyle w:val="TableGrid"/>
        <w:tblW w:w="0" w:type="auto"/>
        <w:tblLook w:val="04A0" w:firstRow="1" w:lastRow="0" w:firstColumn="1" w:lastColumn="0" w:noHBand="0" w:noVBand="1"/>
      </w:tblPr>
      <w:tblGrid>
        <w:gridCol w:w="8381"/>
      </w:tblGrid>
      <w:tr w:rsidR="00B652E1" w:rsidRPr="005F4FAA" w:rsidTr="00B652E1">
        <w:tc>
          <w:tcPr>
            <w:tcW w:w="8381" w:type="dxa"/>
          </w:tcPr>
          <w:p w:rsidR="00B652E1" w:rsidRPr="005F4FAA" w:rsidRDefault="00B652E1" w:rsidP="00B652E1">
            <w:pPr>
              <w:spacing w:line="276" w:lineRule="auto"/>
              <w:rPr>
                <w:rFonts w:ascii="Franklin Gothic Book" w:hAnsi="Franklin Gothic Book"/>
                <w:b/>
                <w:szCs w:val="20"/>
              </w:rPr>
            </w:pPr>
            <w:r w:rsidRPr="005F4FAA">
              <w:rPr>
                <w:rFonts w:ascii="Franklin Gothic Book" w:hAnsi="Franklin Gothic Book"/>
                <w:b/>
                <w:szCs w:val="20"/>
              </w:rPr>
              <w:t xml:space="preserve">Box </w:t>
            </w:r>
            <w:r>
              <w:rPr>
                <w:rFonts w:ascii="Franklin Gothic Book" w:hAnsi="Franklin Gothic Book"/>
                <w:b/>
                <w:szCs w:val="20"/>
              </w:rPr>
              <w:t>3</w:t>
            </w:r>
            <w:r w:rsidRPr="005F4FAA">
              <w:rPr>
                <w:rFonts w:ascii="Franklin Gothic Book" w:hAnsi="Franklin Gothic Book"/>
                <w:b/>
                <w:szCs w:val="20"/>
              </w:rPr>
              <w:t xml:space="preserve">  Joint design process – key dates </w:t>
            </w:r>
          </w:p>
          <w:p w:rsidR="00B652E1" w:rsidRPr="005F4FAA" w:rsidRDefault="00B652E1" w:rsidP="00B652E1">
            <w:pPr>
              <w:spacing w:line="276" w:lineRule="auto"/>
              <w:rPr>
                <w:rFonts w:ascii="Franklin Gothic Book" w:hAnsi="Franklin Gothic Book"/>
                <w:b/>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 number of steps have taken place to develop this design document for THSSP2. The process has been a joint one, involving the Ministries of Health and Finance, TongaHealth and DFAT.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following list of dates is how the Ministry of Health recently summarised the stages of joint design.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 xml:space="preserve">Health System Review June 2014 (see Annex </w:t>
            </w:r>
            <w:r>
              <w:rPr>
                <w:rFonts w:ascii="Franklin Gothic Book" w:hAnsi="Franklin Gothic Book"/>
                <w:szCs w:val="20"/>
                <w:lang w:val="en-US"/>
              </w:rPr>
              <w:t>2</w:t>
            </w:r>
            <w:r w:rsidRPr="005F4FAA">
              <w:rPr>
                <w:rFonts w:ascii="Franklin Gothic Book" w:hAnsi="Franklin Gothic Book"/>
                <w:szCs w:val="20"/>
                <w:lang w:val="en-US"/>
              </w:rPr>
              <w:t>)</w:t>
            </w:r>
          </w:p>
          <w:p w:rsidR="00B652E1" w:rsidRPr="005F4FAA" w:rsidRDefault="00B652E1" w:rsidP="00B652E1">
            <w:pPr>
              <w:numPr>
                <w:ilvl w:val="0"/>
                <w:numId w:val="33"/>
              </w:numPr>
              <w:spacing w:line="276" w:lineRule="auto"/>
              <w:rPr>
                <w:rFonts w:ascii="Franklin Gothic Book" w:hAnsi="Franklin Gothic Book"/>
                <w:szCs w:val="20"/>
              </w:rPr>
            </w:pPr>
            <w:r w:rsidRPr="005F4FAA">
              <w:rPr>
                <w:rFonts w:ascii="Franklin Gothic Book" w:hAnsi="Franklin Gothic Book"/>
                <w:szCs w:val="20"/>
                <w:lang w:val="en-US"/>
              </w:rPr>
              <w:t>Tonga Strategic Development Framework  Review, October 2014</w:t>
            </w:r>
          </w:p>
          <w:p w:rsidR="00B652E1" w:rsidRPr="005F4FAA" w:rsidRDefault="00B652E1" w:rsidP="00B652E1">
            <w:pPr>
              <w:spacing w:line="276" w:lineRule="auto"/>
              <w:ind w:left="1440"/>
              <w:rPr>
                <w:rFonts w:ascii="Franklin Gothic Book" w:hAnsi="Franklin Gothic Book"/>
                <w:szCs w:val="20"/>
              </w:rPr>
            </w:pPr>
          </w:p>
          <w:p w:rsidR="00B652E1" w:rsidRPr="005F4FAA" w:rsidRDefault="00B652E1" w:rsidP="00B652E1">
            <w:pPr>
              <w:numPr>
                <w:ilvl w:val="0"/>
                <w:numId w:val="33"/>
              </w:numPr>
              <w:spacing w:line="276" w:lineRule="auto"/>
              <w:rPr>
                <w:rFonts w:ascii="Franklin Gothic Book" w:hAnsi="Franklin Gothic Book"/>
                <w:szCs w:val="20"/>
              </w:rPr>
            </w:pPr>
            <w:r w:rsidRPr="005F4FAA">
              <w:rPr>
                <w:rFonts w:ascii="Franklin Gothic Book" w:hAnsi="Franklin Gothic Book"/>
                <w:szCs w:val="20"/>
                <w:lang w:val="en-US"/>
              </w:rPr>
              <w:t>National Health Development Committee agreed on next phase of DFAT funding, October 2014</w:t>
            </w:r>
          </w:p>
          <w:p w:rsidR="00B652E1" w:rsidRPr="005F4FAA" w:rsidRDefault="00B652E1" w:rsidP="00B652E1">
            <w:pPr>
              <w:numPr>
                <w:ilvl w:val="1"/>
                <w:numId w:val="33"/>
              </w:numPr>
              <w:spacing w:line="276" w:lineRule="auto"/>
              <w:rPr>
                <w:rFonts w:ascii="Franklin Gothic Book" w:hAnsi="Franklin Gothic Book"/>
                <w:szCs w:val="20"/>
              </w:rPr>
            </w:pPr>
            <w:r w:rsidRPr="005F4FAA">
              <w:rPr>
                <w:rFonts w:ascii="Franklin Gothic Book" w:hAnsi="Franklin Gothic Book"/>
                <w:szCs w:val="20"/>
                <w:lang w:val="en-US"/>
              </w:rPr>
              <w:t xml:space="preserve">Agreed priorities: NCDs, Health Systems, Mental Health and Disability, with focus on Gender, Equity and Social Inclusion. </w:t>
            </w:r>
          </w:p>
          <w:p w:rsidR="00B652E1" w:rsidRPr="005F4FAA" w:rsidRDefault="00B652E1" w:rsidP="00B652E1">
            <w:pPr>
              <w:numPr>
                <w:ilvl w:val="1"/>
                <w:numId w:val="33"/>
              </w:numPr>
              <w:spacing w:line="276" w:lineRule="auto"/>
              <w:rPr>
                <w:rFonts w:ascii="Franklin Gothic Book" w:hAnsi="Franklin Gothic Book"/>
                <w:szCs w:val="20"/>
              </w:rPr>
            </w:pPr>
            <w:r w:rsidRPr="005F4FAA">
              <w:rPr>
                <w:rFonts w:ascii="Franklin Gothic Book" w:hAnsi="Franklin Gothic Book"/>
                <w:szCs w:val="20"/>
                <w:lang w:val="en-US"/>
              </w:rPr>
              <w:t xml:space="preserve">Agreed modality: </w:t>
            </w:r>
            <w:r w:rsidRPr="005F4FAA">
              <w:rPr>
                <w:rFonts w:ascii="Franklin Gothic Book" w:eastAsia="Times New Roman" w:hAnsi="Franklin Gothic Book"/>
                <w:szCs w:val="20"/>
                <w:lang w:eastAsia="en-US"/>
              </w:rPr>
              <w:t>Direct Funding Agreement with the allocation of funds based on high-quality annual plans.</w:t>
            </w:r>
          </w:p>
          <w:p w:rsidR="00B652E1" w:rsidRPr="005F4FAA" w:rsidRDefault="00B652E1" w:rsidP="00B652E1">
            <w:pPr>
              <w:spacing w:line="276" w:lineRule="auto"/>
              <w:ind w:left="1440"/>
              <w:rPr>
                <w:rFonts w:ascii="Franklin Gothic Book" w:hAnsi="Franklin Gothic Book"/>
                <w:szCs w:val="20"/>
              </w:rPr>
            </w:pPr>
          </w:p>
          <w:p w:rsidR="00B652E1" w:rsidRPr="00B67EAD" w:rsidRDefault="00B652E1" w:rsidP="00B652E1">
            <w:pPr>
              <w:numPr>
                <w:ilvl w:val="0"/>
                <w:numId w:val="33"/>
              </w:numPr>
              <w:spacing w:after="200" w:line="276" w:lineRule="auto"/>
              <w:rPr>
                <w:rFonts w:ascii="Franklin Gothic Book" w:hAnsi="Franklin Gothic Book"/>
                <w:szCs w:val="20"/>
              </w:rPr>
            </w:pPr>
            <w:r w:rsidRPr="00B67EAD">
              <w:rPr>
                <w:rFonts w:ascii="Franklin Gothic Book" w:hAnsi="Franklin Gothic Book"/>
                <w:szCs w:val="20"/>
              </w:rPr>
              <w:t>Health Sector Development Aid Workshops, November 2014</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Outer Island Consultations, November 2014</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 xml:space="preserve">Planning Week, December 2014 (DFAT invited as observers for first time) </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Review of the first draft of Key Results Areas &amp; Strategy and initial draft of the Corporate Plan, January 2015</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Consultation with Key Development Partners, January 2015</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THSSP Design Consultation, January/ February 2015</w:t>
            </w:r>
          </w:p>
          <w:p w:rsidR="00B652E1" w:rsidRPr="005F4FAA" w:rsidRDefault="00B652E1" w:rsidP="00B652E1">
            <w:pPr>
              <w:numPr>
                <w:ilvl w:val="0"/>
                <w:numId w:val="33"/>
              </w:numPr>
              <w:spacing w:after="200" w:line="276" w:lineRule="auto"/>
              <w:rPr>
                <w:rFonts w:ascii="Franklin Gothic Book" w:hAnsi="Franklin Gothic Book"/>
                <w:szCs w:val="20"/>
              </w:rPr>
            </w:pPr>
            <w:r w:rsidRPr="005F4FAA">
              <w:rPr>
                <w:rFonts w:ascii="Franklin Gothic Book" w:hAnsi="Franklin Gothic Book"/>
                <w:szCs w:val="20"/>
                <w:lang w:val="en-US"/>
              </w:rPr>
              <w:t xml:space="preserve">Verification of THSSP2 design with Chief Executive Officers of Ministries of Finance and Health, February 2, 2015. </w:t>
            </w:r>
          </w:p>
        </w:tc>
      </w:tr>
    </w:tbl>
    <w:p w:rsidR="00B652E1" w:rsidRPr="005F4FAA" w:rsidRDefault="00B652E1" w:rsidP="00B652E1">
      <w:pPr>
        <w:rPr>
          <w:rFonts w:ascii="Franklin Gothic Book" w:hAnsi="Franklin Gothic Book"/>
          <w:szCs w:val="20"/>
        </w:rPr>
      </w:pPr>
    </w:p>
    <w:p w:rsidR="00B652E1" w:rsidRPr="005F4FAA" w:rsidRDefault="00B652E1" w:rsidP="00B652E1">
      <w:pPr>
        <w:rPr>
          <w:rFonts w:ascii="Franklin Gothic Book" w:hAnsi="Franklin Gothic Book"/>
          <w:szCs w:val="20"/>
        </w:rPr>
      </w:pPr>
    </w:p>
    <w:p w:rsidR="00B652E1" w:rsidRPr="00D8489C" w:rsidRDefault="00B652E1" w:rsidP="00B652E1">
      <w:pPr>
        <w:spacing w:line="276" w:lineRule="auto"/>
        <w:rPr>
          <w:rFonts w:ascii="Franklin Gothic Book" w:hAnsi="Franklin Gothic Book"/>
          <w:i/>
          <w:szCs w:val="20"/>
        </w:rPr>
      </w:pPr>
      <w:r w:rsidRPr="005F4FAA">
        <w:rPr>
          <w:rFonts w:ascii="Franklin Gothic Book" w:hAnsi="Franklin Gothic Book"/>
          <w:szCs w:val="20"/>
        </w:rPr>
        <w:t xml:space="preserve">The activities to be funded by THSSP2 will be described in the annual work-plans of the Ministry of Health and TongaHealth. Because of this, this design document has more details about </w:t>
      </w:r>
      <w:r w:rsidRPr="005F4FAA">
        <w:rPr>
          <w:rFonts w:ascii="Franklin Gothic Book" w:hAnsi="Franklin Gothic Book"/>
          <w:i/>
          <w:szCs w:val="20"/>
        </w:rPr>
        <w:t xml:space="preserve">how </w:t>
      </w:r>
      <w:r w:rsidRPr="005F4FAA">
        <w:rPr>
          <w:rFonts w:ascii="Franklin Gothic Book" w:hAnsi="Franklin Gothic Book"/>
          <w:szCs w:val="20"/>
        </w:rPr>
        <w:t xml:space="preserve">funds will flow rather than </w:t>
      </w:r>
      <w:r w:rsidRPr="005F4FAA">
        <w:rPr>
          <w:rFonts w:ascii="Franklin Gothic Book" w:hAnsi="Franklin Gothic Book"/>
          <w:i/>
          <w:szCs w:val="20"/>
        </w:rPr>
        <w:t>what</w:t>
      </w:r>
      <w:r w:rsidRPr="005F4FAA">
        <w:rPr>
          <w:rFonts w:ascii="Franklin Gothic Book" w:hAnsi="Franklin Gothic Book"/>
          <w:szCs w:val="20"/>
        </w:rPr>
        <w:t xml:space="preserve"> they will be used for. Box </w:t>
      </w:r>
      <w:r>
        <w:rPr>
          <w:rFonts w:ascii="Franklin Gothic Book" w:hAnsi="Franklin Gothic Book"/>
          <w:szCs w:val="20"/>
        </w:rPr>
        <w:t>4</w:t>
      </w:r>
      <w:r w:rsidRPr="005F4FAA">
        <w:rPr>
          <w:rFonts w:ascii="Franklin Gothic Book" w:hAnsi="Franklin Gothic Book"/>
          <w:szCs w:val="20"/>
        </w:rPr>
        <w:t xml:space="preserve"> is intended to give a flavour of what THSSP2 will fund</w:t>
      </w:r>
      <w:r>
        <w:rPr>
          <w:rFonts w:ascii="Franklin Gothic Book" w:hAnsi="Franklin Gothic Book"/>
          <w:szCs w:val="20"/>
        </w:rPr>
        <w:t>: c</w:t>
      </w:r>
      <w:r w:rsidRPr="005F4FAA">
        <w:rPr>
          <w:rFonts w:ascii="Franklin Gothic Book" w:hAnsi="Franklin Gothic Book"/>
          <w:szCs w:val="20"/>
        </w:rPr>
        <w:t xml:space="preserve">ertain strategies such as the revised NCD Strategy </w:t>
      </w:r>
      <w:r>
        <w:rPr>
          <w:rFonts w:ascii="Franklin Gothic Book" w:hAnsi="Franklin Gothic Book"/>
          <w:szCs w:val="20"/>
        </w:rPr>
        <w:t>(</w:t>
      </w:r>
      <w:r w:rsidRPr="005F4FAA">
        <w:rPr>
          <w:rFonts w:ascii="Franklin Gothic Book" w:hAnsi="Franklin Gothic Book"/>
          <w:i/>
          <w:szCs w:val="20"/>
        </w:rPr>
        <w:t>Hala Fononga</w:t>
      </w:r>
      <w:r>
        <w:rPr>
          <w:rFonts w:ascii="Franklin Gothic Book" w:hAnsi="Franklin Gothic Book"/>
          <w:i/>
          <w:szCs w:val="20"/>
        </w:rPr>
        <w:t>)</w:t>
      </w:r>
      <w:r w:rsidRPr="005F4FAA">
        <w:rPr>
          <w:rFonts w:ascii="Franklin Gothic Book" w:hAnsi="Franklin Gothic Book"/>
          <w:szCs w:val="20"/>
        </w:rPr>
        <w:t xml:space="preserve"> ha</w:t>
      </w:r>
      <w:r>
        <w:rPr>
          <w:rFonts w:ascii="Franklin Gothic Book" w:hAnsi="Franklin Gothic Book"/>
          <w:szCs w:val="20"/>
        </w:rPr>
        <w:t>ve</w:t>
      </w:r>
      <w:r w:rsidRPr="005F4FAA">
        <w:rPr>
          <w:rFonts w:ascii="Franklin Gothic Book" w:hAnsi="Franklin Gothic Book"/>
          <w:szCs w:val="20"/>
        </w:rPr>
        <w:t xml:space="preserve"> not yet been</w:t>
      </w:r>
      <w:r>
        <w:rPr>
          <w:rFonts w:ascii="Franklin Gothic Book" w:hAnsi="Franklin Gothic Book"/>
          <w:szCs w:val="20"/>
        </w:rPr>
        <w:t xml:space="preserve"> finalised, </w:t>
      </w:r>
      <w:r w:rsidRPr="005F4FAA">
        <w:rPr>
          <w:rFonts w:ascii="Franklin Gothic Book" w:hAnsi="Franklin Gothic Book"/>
          <w:szCs w:val="20"/>
        </w:rPr>
        <w:t>so the exa</w:t>
      </w:r>
      <w:r>
        <w:rPr>
          <w:rFonts w:ascii="Franklin Gothic Book" w:hAnsi="Franklin Gothic Book"/>
          <w:szCs w:val="20"/>
        </w:rPr>
        <w:t>mples below are for illustrative</w:t>
      </w:r>
      <w:r w:rsidRPr="005F4FAA">
        <w:rPr>
          <w:rFonts w:ascii="Franklin Gothic Book" w:hAnsi="Franklin Gothic Book"/>
          <w:szCs w:val="20"/>
        </w:rPr>
        <w:t xml:space="preserve"> purposes only. It is important to stress that the choices of which activities to include in work-plans will be made by the Ministry and TongaHealth, </w:t>
      </w:r>
      <w:r>
        <w:rPr>
          <w:rFonts w:ascii="Franklin Gothic Book" w:hAnsi="Franklin Gothic Book"/>
          <w:szCs w:val="20"/>
        </w:rPr>
        <w:t xml:space="preserve">following dialog </w:t>
      </w:r>
      <w:r w:rsidRPr="005F4FAA">
        <w:rPr>
          <w:rFonts w:ascii="Franklin Gothic Book" w:hAnsi="Franklin Gothic Book"/>
          <w:szCs w:val="20"/>
        </w:rPr>
        <w:t xml:space="preserve">with </w:t>
      </w:r>
      <w:r>
        <w:rPr>
          <w:rFonts w:ascii="Franklin Gothic Book" w:hAnsi="Franklin Gothic Book"/>
          <w:szCs w:val="20"/>
        </w:rPr>
        <w:t xml:space="preserve">DFAT and with formal </w:t>
      </w:r>
      <w:r w:rsidRPr="005F4FAA">
        <w:rPr>
          <w:rFonts w:ascii="Franklin Gothic Book" w:hAnsi="Franklin Gothic Book"/>
          <w:szCs w:val="20"/>
        </w:rPr>
        <w:t>DFAT approval</w:t>
      </w:r>
      <w:r>
        <w:rPr>
          <w:rFonts w:ascii="Franklin Gothic Book" w:hAnsi="Franklin Gothic Book"/>
          <w:szCs w:val="20"/>
        </w:rPr>
        <w:t xml:space="preserve"> of work-plans which will receive DFAT funding</w:t>
      </w:r>
      <w:r w:rsidRPr="005F4FAA">
        <w:rPr>
          <w:rFonts w:ascii="Franklin Gothic Book" w:hAnsi="Franklin Gothic Book"/>
          <w:szCs w:val="20"/>
        </w:rPr>
        <w:t xml:space="preserve">. </w:t>
      </w:r>
      <w:r>
        <w:rPr>
          <w:rFonts w:ascii="Franklin Gothic Book" w:hAnsi="Franklin Gothic Book"/>
          <w:szCs w:val="20"/>
        </w:rPr>
        <w:t xml:space="preserve">(Governance processes are described in more detail in the next section about the </w:t>
      </w:r>
      <w:r>
        <w:rPr>
          <w:rFonts w:ascii="Franklin Gothic Book" w:hAnsi="Franklin Gothic Book"/>
          <w:i/>
          <w:szCs w:val="20"/>
        </w:rPr>
        <w:t>Delivery Approach.)</w:t>
      </w:r>
    </w:p>
    <w:p w:rsidR="00B652E1" w:rsidRPr="005F4FAA" w:rsidRDefault="00B652E1" w:rsidP="00B652E1">
      <w:pPr>
        <w:spacing w:before="80" w:line="276" w:lineRule="auto"/>
        <w:rPr>
          <w:rFonts w:ascii="Franklin Gothic Book" w:eastAsia="Times New Roman" w:hAnsi="Franklin Gothic Book"/>
          <w:szCs w:val="20"/>
          <w:u w:val="single"/>
          <w:lang w:eastAsia="en-US"/>
        </w:rPr>
      </w:pPr>
    </w:p>
    <w:tbl>
      <w:tblPr>
        <w:tblStyle w:val="TableGrid"/>
        <w:tblW w:w="0" w:type="auto"/>
        <w:tblLook w:val="04A0" w:firstRow="1" w:lastRow="0" w:firstColumn="1" w:lastColumn="0" w:noHBand="0" w:noVBand="1"/>
      </w:tblPr>
      <w:tblGrid>
        <w:gridCol w:w="8381"/>
      </w:tblGrid>
      <w:tr w:rsidR="00B652E1" w:rsidRPr="005F4FAA" w:rsidTr="00B652E1">
        <w:tc>
          <w:tcPr>
            <w:tcW w:w="8381" w:type="dxa"/>
          </w:tcPr>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b/>
                <w:szCs w:val="20"/>
              </w:rPr>
              <w:t xml:space="preserve">Box </w:t>
            </w:r>
            <w:r>
              <w:rPr>
                <w:rFonts w:ascii="Franklin Gothic Book" w:hAnsi="Franklin Gothic Book"/>
                <w:b/>
                <w:szCs w:val="20"/>
              </w:rPr>
              <w:t>4</w:t>
            </w:r>
            <w:r w:rsidRPr="005F4FAA">
              <w:rPr>
                <w:rFonts w:ascii="Franklin Gothic Book" w:hAnsi="Franklin Gothic Book"/>
                <w:b/>
                <w:szCs w:val="20"/>
              </w:rPr>
              <w:t xml:space="preserve">  Examples of the kinds of activities which could be funded under THSSP2</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Non-Communicable Diseases</w:t>
            </w:r>
          </w:p>
          <w:p w:rsidR="00B652E1" w:rsidRPr="00707181" w:rsidRDefault="00B652E1" w:rsidP="00B652E1">
            <w:pPr>
              <w:pStyle w:val="ListParagraph"/>
              <w:numPr>
                <w:ilvl w:val="0"/>
                <w:numId w:val="30"/>
              </w:numPr>
              <w:spacing w:after="0" w:line="276" w:lineRule="auto"/>
              <w:contextualSpacing/>
              <w:rPr>
                <w:rFonts w:ascii="Franklin Gothic Book" w:hAnsi="Franklin Gothic Book"/>
                <w:b/>
                <w:sz w:val="20"/>
                <w:szCs w:val="20"/>
              </w:rPr>
            </w:pPr>
            <w:r w:rsidRPr="005F4FAA">
              <w:rPr>
                <w:rFonts w:ascii="Franklin Gothic Book" w:hAnsi="Franklin Gothic Book"/>
                <w:sz w:val="20"/>
                <w:szCs w:val="20"/>
              </w:rPr>
              <w:t>Mass (gender-targeted) campaigns related to smoking, exercise and diet.</w:t>
            </w:r>
          </w:p>
          <w:p w:rsidR="00B652E1" w:rsidRPr="005F4FAA" w:rsidRDefault="00B652E1" w:rsidP="00B652E1">
            <w:pPr>
              <w:pStyle w:val="ListParagraph"/>
              <w:numPr>
                <w:ilvl w:val="0"/>
                <w:numId w:val="30"/>
              </w:numPr>
              <w:spacing w:after="0" w:line="276" w:lineRule="auto"/>
              <w:contextualSpacing/>
              <w:rPr>
                <w:rFonts w:ascii="Franklin Gothic Book" w:hAnsi="Franklin Gothic Book"/>
                <w:b/>
                <w:sz w:val="20"/>
                <w:szCs w:val="20"/>
              </w:rPr>
            </w:pPr>
            <w:r>
              <w:rPr>
                <w:rFonts w:ascii="Franklin Gothic Book" w:hAnsi="Franklin Gothic Book"/>
                <w:sz w:val="20"/>
                <w:szCs w:val="20"/>
              </w:rPr>
              <w:t>Ensuring accessibility of NCD services and campaigns to people with a range of disabilities.</w:t>
            </w:r>
            <w:r w:rsidRPr="005F4FAA">
              <w:rPr>
                <w:rFonts w:ascii="Franklin Gothic Book" w:hAnsi="Franklin Gothic Book"/>
                <w:sz w:val="20"/>
                <w:szCs w:val="20"/>
              </w:rPr>
              <w:t xml:space="preserve"> </w:t>
            </w:r>
          </w:p>
          <w:p w:rsidR="00B652E1" w:rsidRPr="005F4FAA" w:rsidRDefault="00B652E1" w:rsidP="00B652E1">
            <w:pPr>
              <w:pStyle w:val="ListParagraph"/>
              <w:numPr>
                <w:ilvl w:val="0"/>
                <w:numId w:val="30"/>
              </w:numPr>
              <w:spacing w:after="0" w:line="276" w:lineRule="auto"/>
              <w:contextualSpacing/>
              <w:rPr>
                <w:rFonts w:ascii="Franklin Gothic Book" w:hAnsi="Franklin Gothic Book"/>
                <w:b/>
                <w:sz w:val="20"/>
                <w:szCs w:val="20"/>
              </w:rPr>
            </w:pPr>
            <w:r w:rsidRPr="005F4FAA">
              <w:rPr>
                <w:rFonts w:ascii="Franklin Gothic Book" w:hAnsi="Franklin Gothic Book"/>
                <w:sz w:val="20"/>
                <w:szCs w:val="20"/>
              </w:rPr>
              <w:t>Funding for community sports clubs for basic equipment.</w:t>
            </w:r>
          </w:p>
          <w:p w:rsidR="00B652E1" w:rsidRPr="005F4FAA" w:rsidRDefault="00B652E1" w:rsidP="00B652E1">
            <w:pPr>
              <w:pStyle w:val="ListParagraph"/>
              <w:numPr>
                <w:ilvl w:val="0"/>
                <w:numId w:val="30"/>
              </w:numPr>
              <w:spacing w:after="0" w:line="276" w:lineRule="auto"/>
              <w:contextualSpacing/>
              <w:rPr>
                <w:rFonts w:ascii="Franklin Gothic Book" w:hAnsi="Franklin Gothic Book"/>
                <w:b/>
                <w:sz w:val="20"/>
                <w:szCs w:val="20"/>
              </w:rPr>
            </w:pPr>
            <w:r w:rsidRPr="005F4FAA">
              <w:rPr>
                <w:rFonts w:ascii="Franklin Gothic Book" w:hAnsi="Franklin Gothic Book"/>
                <w:sz w:val="20"/>
                <w:szCs w:val="20"/>
              </w:rPr>
              <w:t xml:space="preserve">Funding to the Ministry of Agriculture, Food, Forests and Fisheries to promote the growing and use of vegetables. </w:t>
            </w:r>
          </w:p>
          <w:p w:rsidR="00B652E1" w:rsidRPr="005F4FAA" w:rsidRDefault="00B652E1" w:rsidP="00B652E1">
            <w:pPr>
              <w:pStyle w:val="ListParagraph"/>
              <w:numPr>
                <w:ilvl w:val="0"/>
                <w:numId w:val="30"/>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Annual audit of the quality of care for NCDs in all government health facilities. </w:t>
            </w:r>
          </w:p>
          <w:p w:rsidR="00B652E1" w:rsidRPr="005F4FAA" w:rsidRDefault="00B652E1" w:rsidP="00B652E1">
            <w:pPr>
              <w:pStyle w:val="ListParagraph"/>
              <w:numPr>
                <w:ilvl w:val="0"/>
                <w:numId w:val="30"/>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Improved services for diabetics in remote parts of Tonga. </w:t>
            </w:r>
          </w:p>
          <w:p w:rsidR="00B652E1" w:rsidRPr="005F4FAA" w:rsidRDefault="00B652E1" w:rsidP="00B652E1">
            <w:pPr>
              <w:pStyle w:val="ListParagraph"/>
              <w:numPr>
                <w:ilvl w:val="0"/>
                <w:numId w:val="30"/>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Establish international technical partnerships so that global and Pacific NCD guidelines can be adapted to provide maximum value for money in Tonga. </w:t>
            </w:r>
          </w:p>
          <w:p w:rsidR="00B652E1" w:rsidRPr="005F4FAA" w:rsidRDefault="00B652E1" w:rsidP="00B652E1">
            <w:pPr>
              <w:spacing w:line="276" w:lineRule="auto"/>
              <w:rPr>
                <w:rFonts w:ascii="Franklin Gothic Book" w:hAnsi="Franklin Gothic Book"/>
                <w:b/>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Health Systems Strengthening</w:t>
            </w:r>
          </w:p>
          <w:p w:rsidR="00B652E1" w:rsidRPr="005F4FAA"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Describe what </w:t>
            </w:r>
            <w:r>
              <w:rPr>
                <w:rFonts w:ascii="Franklin Gothic Book" w:hAnsi="Franklin Gothic Book"/>
                <w:sz w:val="20"/>
                <w:szCs w:val="20"/>
              </w:rPr>
              <w:t>Universal Health Coverage</w:t>
            </w:r>
            <w:r w:rsidRPr="005F4FAA">
              <w:rPr>
                <w:rFonts w:ascii="Franklin Gothic Book" w:hAnsi="Franklin Gothic Book"/>
                <w:sz w:val="20"/>
                <w:szCs w:val="20"/>
              </w:rPr>
              <w:t xml:space="preserve"> means for all people (men, women, boys and girls) living on Tonga’s smallest islands and begin to develop the appropriate services. </w:t>
            </w:r>
          </w:p>
          <w:p w:rsidR="00B652E1" w:rsidRPr="00552B0E"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Operationalise the Human Resource Strategy: this could involve </w:t>
            </w:r>
            <w:r>
              <w:rPr>
                <w:rFonts w:ascii="Franklin Gothic Book" w:hAnsi="Franklin Gothic Book"/>
                <w:sz w:val="20"/>
                <w:szCs w:val="20"/>
              </w:rPr>
              <w:t xml:space="preserve">activities such as </w:t>
            </w:r>
            <w:r w:rsidRPr="005F4FAA">
              <w:rPr>
                <w:rFonts w:ascii="Franklin Gothic Book" w:hAnsi="Franklin Gothic Book"/>
                <w:sz w:val="20"/>
                <w:szCs w:val="20"/>
              </w:rPr>
              <w:t xml:space="preserve">strengthening hospital roster arrangements with a view to reducing </w:t>
            </w:r>
            <w:r>
              <w:rPr>
                <w:rFonts w:ascii="Franklin Gothic Book" w:hAnsi="Franklin Gothic Book"/>
                <w:sz w:val="20"/>
                <w:szCs w:val="20"/>
              </w:rPr>
              <w:t xml:space="preserve">overtime </w:t>
            </w:r>
            <w:r w:rsidRPr="005F4FAA">
              <w:rPr>
                <w:rFonts w:ascii="Franklin Gothic Book" w:hAnsi="Franklin Gothic Book"/>
                <w:sz w:val="20"/>
                <w:szCs w:val="20"/>
              </w:rPr>
              <w:t>costs and increasing outputs</w:t>
            </w:r>
            <w:r w:rsidRPr="00552B0E">
              <w:rPr>
                <w:rFonts w:ascii="Franklin Gothic Book" w:hAnsi="Franklin Gothic Book"/>
                <w:sz w:val="20"/>
                <w:szCs w:val="20"/>
              </w:rPr>
              <w:t xml:space="preserve">, </w:t>
            </w:r>
            <w:r w:rsidRPr="00B67EAD">
              <w:rPr>
                <w:rFonts w:ascii="Franklin Gothic Book" w:hAnsi="Franklin Gothic Book"/>
                <w:sz w:val="20"/>
                <w:szCs w:val="20"/>
              </w:rPr>
              <w:t>succession planning for key posts (including the Critical Staffing Deficiency posts),</w:t>
            </w:r>
            <w:r w:rsidRPr="00552B0E">
              <w:rPr>
                <w:rFonts w:ascii="Franklin Gothic Book" w:hAnsi="Franklin Gothic Book"/>
                <w:sz w:val="20"/>
                <w:szCs w:val="20"/>
              </w:rPr>
              <w:t xml:space="preserve"> or improving opportunities for women in leadership positions.</w:t>
            </w:r>
          </w:p>
          <w:p w:rsidR="00B652E1" w:rsidRPr="005F4FAA"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52B0E">
              <w:rPr>
                <w:rFonts w:ascii="Franklin Gothic Book" w:hAnsi="Franklin Gothic Book"/>
                <w:sz w:val="20"/>
                <w:szCs w:val="20"/>
              </w:rPr>
              <w:t>Develop the primary health</w:t>
            </w:r>
            <w:r w:rsidRPr="005F4FAA">
              <w:rPr>
                <w:rFonts w:ascii="Franklin Gothic Book" w:hAnsi="Franklin Gothic Book"/>
                <w:sz w:val="20"/>
                <w:szCs w:val="20"/>
              </w:rPr>
              <w:t xml:space="preserve"> care information system so that basic data on out-patient utilisation is collated regularly.</w:t>
            </w:r>
          </w:p>
          <w:p w:rsidR="00B652E1" w:rsidRPr="00552B0E"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Ensure that arrangements for procuring and distributing crucial supplies related to </w:t>
            </w:r>
            <w:r w:rsidRPr="00314D9F">
              <w:rPr>
                <w:rFonts w:ascii="Franklin Gothic Book" w:hAnsi="Franklin Gothic Book"/>
                <w:sz w:val="20"/>
                <w:szCs w:val="20"/>
              </w:rPr>
              <w:t xml:space="preserve">laboratories and pharmaceuticals are as robust as possible, so that (for example) there are not harmful stock-outs leading to emergency procurement at significantly higher prices. </w:t>
            </w:r>
            <w:r w:rsidRPr="00B67EAD">
              <w:rPr>
                <w:rFonts w:ascii="Franklin Gothic Book" w:hAnsi="Franklin Gothic Book"/>
                <w:sz w:val="20"/>
                <w:szCs w:val="20"/>
              </w:rPr>
              <w:t>(DFAT-funded TA is currently finalising a set of recommendations related to drug supplies.)</w:t>
            </w:r>
          </w:p>
          <w:p w:rsidR="00B652E1" w:rsidRPr="00552B0E"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552B0E">
              <w:rPr>
                <w:rFonts w:ascii="Franklin Gothic Book" w:hAnsi="Franklin Gothic Book"/>
                <w:sz w:val="20"/>
                <w:szCs w:val="20"/>
              </w:rPr>
              <w:t xml:space="preserve">Institutionalise systems for the maintenance and repair of medical equipment. </w:t>
            </w:r>
          </w:p>
          <w:p w:rsidR="00B652E1" w:rsidRPr="00B67EAD" w:rsidRDefault="00B652E1" w:rsidP="00B652E1">
            <w:pPr>
              <w:pStyle w:val="ListParagraph"/>
              <w:numPr>
                <w:ilvl w:val="0"/>
                <w:numId w:val="31"/>
              </w:numPr>
              <w:spacing w:after="0" w:line="276" w:lineRule="auto"/>
              <w:contextualSpacing/>
              <w:rPr>
                <w:rFonts w:ascii="Franklin Gothic Book" w:hAnsi="Franklin Gothic Book"/>
                <w:sz w:val="20"/>
                <w:szCs w:val="20"/>
              </w:rPr>
            </w:pPr>
            <w:r w:rsidRPr="00B67EAD">
              <w:rPr>
                <w:rFonts w:ascii="Franklin Gothic Book" w:eastAsiaTheme="minorHAnsi" w:hAnsi="Franklin Gothic Book"/>
                <w:sz w:val="20"/>
                <w:szCs w:val="20"/>
                <w:lang w:val="en-GB" w:eastAsia="en-US"/>
              </w:rPr>
              <w:t>Develop a Financial Procedures Manual to supplement existing Treasury Instructions.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b/>
                <w:i/>
                <w:szCs w:val="20"/>
              </w:rPr>
            </w:pPr>
            <w:r w:rsidRPr="005F4FAA">
              <w:rPr>
                <w:rFonts w:ascii="Franklin Gothic Book" w:hAnsi="Franklin Gothic Book"/>
                <w:b/>
                <w:i/>
                <w:szCs w:val="20"/>
              </w:rPr>
              <w:t>Mental health and disability</w:t>
            </w:r>
            <w:r>
              <w:rPr>
                <w:rFonts w:ascii="Franklin Gothic Book" w:hAnsi="Franklin Gothic Book"/>
                <w:b/>
                <w:i/>
                <w:szCs w:val="20"/>
              </w:rPr>
              <w:t xml:space="preserve"> services</w:t>
            </w:r>
          </w:p>
          <w:p w:rsidR="00B652E1" w:rsidRPr="005F4FAA" w:rsidRDefault="00B652E1" w:rsidP="00B652E1">
            <w:pPr>
              <w:pStyle w:val="ListParagraph"/>
              <w:numPr>
                <w:ilvl w:val="0"/>
                <w:numId w:val="32"/>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Ensure that mental health and disability are included in an appropriate way in the curricula of health workers trained in Tonga.</w:t>
            </w:r>
          </w:p>
          <w:p w:rsidR="00B652E1" w:rsidRPr="005F4FAA" w:rsidRDefault="00B652E1" w:rsidP="00B652E1">
            <w:pPr>
              <w:pStyle w:val="ListParagraph"/>
              <w:numPr>
                <w:ilvl w:val="0"/>
                <w:numId w:val="32"/>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Develop a national strategic plan for the gradual expansion of disability-inclusive health, rehabilitation and mental health services in Tonga. </w:t>
            </w:r>
          </w:p>
          <w:p w:rsidR="00B652E1" w:rsidRPr="005F4FAA" w:rsidRDefault="00B652E1" w:rsidP="00B652E1">
            <w:pPr>
              <w:pStyle w:val="ListParagraph"/>
              <w:numPr>
                <w:ilvl w:val="0"/>
                <w:numId w:val="32"/>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Expand support for mental health at the community level. </w:t>
            </w:r>
          </w:p>
          <w:p w:rsidR="00B652E1" w:rsidRPr="005F4FAA" w:rsidRDefault="00B652E1" w:rsidP="00B652E1">
            <w:pPr>
              <w:pStyle w:val="ListParagraph"/>
              <w:numPr>
                <w:ilvl w:val="0"/>
                <w:numId w:val="32"/>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Establish an Integrated Mobility Device Service.</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last four examples are taken from </w:t>
            </w:r>
            <w:r w:rsidRPr="005F4FAA">
              <w:rPr>
                <w:rFonts w:ascii="Franklin Gothic Book" w:hAnsi="Franklin Gothic Book"/>
                <w:i/>
                <w:szCs w:val="20"/>
              </w:rPr>
              <w:t>Options for investment in disability and mental health support services for the Tonga Health Sector Development Program</w:t>
            </w:r>
            <w:r w:rsidRPr="005F4FAA">
              <w:rPr>
                <w:rFonts w:ascii="Franklin Gothic Book" w:hAnsi="Franklin Gothic Book"/>
                <w:szCs w:val="20"/>
              </w:rPr>
              <w:t xml:space="preserve">, which was presented and discussed at a workshop in November 2014. The paper is given in Annex </w:t>
            </w:r>
            <w:r>
              <w:rPr>
                <w:rFonts w:ascii="Franklin Gothic Book" w:hAnsi="Franklin Gothic Book"/>
                <w:szCs w:val="20"/>
              </w:rPr>
              <w:t>8</w:t>
            </w:r>
            <w:r w:rsidRPr="005F4FAA">
              <w:rPr>
                <w:rFonts w:ascii="Franklin Gothic Book" w:hAnsi="Franklin Gothic Book"/>
                <w:szCs w:val="20"/>
              </w:rPr>
              <w:t xml:space="preserve">. </w:t>
            </w:r>
          </w:p>
          <w:p w:rsidR="00B652E1" w:rsidRPr="005F4FAA" w:rsidRDefault="00B652E1" w:rsidP="00B652E1">
            <w:pPr>
              <w:spacing w:before="80" w:line="276" w:lineRule="auto"/>
              <w:rPr>
                <w:rFonts w:ascii="Franklin Gothic Book" w:eastAsia="Times New Roman" w:hAnsi="Franklin Gothic Book"/>
                <w:szCs w:val="20"/>
                <w:u w:val="single"/>
                <w:lang w:eastAsia="en-US"/>
              </w:rPr>
            </w:pPr>
          </w:p>
        </w:tc>
      </w:tr>
    </w:tbl>
    <w:p w:rsidR="00B652E1" w:rsidRDefault="00B652E1" w:rsidP="00B652E1">
      <w:pPr>
        <w:spacing w:before="80"/>
        <w:rPr>
          <w:rFonts w:ascii="Franklin Gothic Book" w:eastAsia="Times New Roman" w:hAnsi="Franklin Gothic Book"/>
          <w:szCs w:val="20"/>
          <w:u w:val="single"/>
          <w:lang w:eastAsia="en-US"/>
        </w:rPr>
      </w:pPr>
    </w:p>
    <w:p w:rsidR="00B652E1" w:rsidRPr="005F4FAA" w:rsidRDefault="00B652E1" w:rsidP="00F63C34">
      <w:pPr>
        <w:pStyle w:val="Heading2"/>
        <w:rPr>
          <w:lang w:eastAsia="en-US"/>
        </w:rPr>
      </w:pPr>
      <w:r w:rsidRPr="005F4FAA">
        <w:rPr>
          <w:lang w:eastAsia="en-US"/>
        </w:rPr>
        <w:t>Delivery Approach</w:t>
      </w:r>
    </w:p>
    <w:p w:rsidR="00B652E1" w:rsidRPr="0009147F" w:rsidRDefault="00B652E1" w:rsidP="00B652E1">
      <w:pPr>
        <w:spacing w:line="276" w:lineRule="auto"/>
        <w:rPr>
          <w:rFonts w:ascii="Franklin Gothic Book" w:hAnsi="Franklin Gothic Book"/>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As described in the previous section, a formal decision was made in October 2014 about the delivery approach for THSSP2. Out of three options described in the Investment Concept Note, the preferred delivery option was a </w:t>
      </w:r>
      <w:r w:rsidRPr="00314D9F">
        <w:rPr>
          <w:rFonts w:ascii="Franklin Gothic Book" w:hAnsi="Franklin Gothic Book"/>
          <w:b/>
          <w:szCs w:val="20"/>
        </w:rPr>
        <w:t>financing agreement based on high-quality annual plans</w:t>
      </w:r>
      <w:r w:rsidRPr="005F4FAA">
        <w:rPr>
          <w:rFonts w:ascii="Franklin Gothic Book" w:hAnsi="Franklin Gothic Book"/>
          <w:szCs w:val="20"/>
        </w:rPr>
        <w:t xml:space="preserve">. </w:t>
      </w:r>
      <w:r>
        <w:rPr>
          <w:rFonts w:ascii="Franklin Gothic Book" w:hAnsi="Franklin Gothic Book"/>
          <w:szCs w:val="20"/>
        </w:rPr>
        <w:t>Extracts from t</w:t>
      </w:r>
      <w:r w:rsidRPr="005F4FAA">
        <w:rPr>
          <w:rFonts w:ascii="Franklin Gothic Book" w:hAnsi="Franklin Gothic Book"/>
          <w:szCs w:val="20"/>
        </w:rPr>
        <w:t xml:space="preserve">he Concept Note </w:t>
      </w:r>
      <w:r>
        <w:rPr>
          <w:rFonts w:ascii="Franklin Gothic Book" w:hAnsi="Franklin Gothic Book"/>
          <w:szCs w:val="20"/>
        </w:rPr>
        <w:t xml:space="preserve">are </w:t>
      </w:r>
      <w:r w:rsidRPr="005F4FAA">
        <w:rPr>
          <w:rFonts w:ascii="Franklin Gothic Book" w:hAnsi="Franklin Gothic Book"/>
          <w:szCs w:val="20"/>
        </w:rPr>
        <w:t xml:space="preserve">provided in Annex </w:t>
      </w:r>
      <w:r>
        <w:rPr>
          <w:rFonts w:ascii="Franklin Gothic Book" w:hAnsi="Franklin Gothic Book"/>
          <w:szCs w:val="20"/>
        </w:rPr>
        <w:t>3</w:t>
      </w:r>
      <w:r w:rsidRPr="005F4FAA">
        <w:rPr>
          <w:rFonts w:ascii="Franklin Gothic Book" w:hAnsi="Franklin Gothic Book"/>
          <w:szCs w:val="20"/>
        </w:rPr>
        <w:t xml:space="preserve">; the key points from the section on delivery approaches are reproduced in Box </w:t>
      </w:r>
      <w:r>
        <w:rPr>
          <w:rFonts w:ascii="Franklin Gothic Book" w:hAnsi="Franklin Gothic Book"/>
          <w:szCs w:val="20"/>
        </w:rPr>
        <w:t>5</w:t>
      </w:r>
      <w:r w:rsidRPr="005F4FAA">
        <w:rPr>
          <w:rFonts w:ascii="Franklin Gothic Book" w:hAnsi="Franklin Gothic Book"/>
          <w:szCs w:val="20"/>
        </w:rPr>
        <w:t xml:space="preserve"> below. Design work in January/February 2015 elaborated on the details of the selected delivery option.</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The choice of delivery approach was informed by lessons from THSSP1</w:t>
      </w:r>
      <w:r>
        <w:rPr>
          <w:rFonts w:ascii="Franklin Gothic Book" w:hAnsi="Franklin Gothic Book"/>
          <w:szCs w:val="20"/>
        </w:rPr>
        <w:t>: one important lesson was that there were opportunities to work more through government systems and governance structures.</w:t>
      </w:r>
      <w:r w:rsidRPr="005F4FAA">
        <w:rPr>
          <w:rFonts w:ascii="Franklin Gothic Book" w:hAnsi="Franklin Gothic Book"/>
          <w:szCs w:val="20"/>
        </w:rPr>
        <w:t xml:space="preserve"> Sector budget support as a delivery option was not supported because </w:t>
      </w:r>
      <w:r>
        <w:rPr>
          <w:rFonts w:ascii="Franklin Gothic Book" w:hAnsi="Franklin Gothic Book"/>
          <w:szCs w:val="20"/>
        </w:rPr>
        <w:t xml:space="preserve">both the Ministry of Health and DFAT </w:t>
      </w:r>
      <w:r w:rsidRPr="005F4FAA">
        <w:rPr>
          <w:rFonts w:ascii="Franklin Gothic Book" w:hAnsi="Franklin Gothic Book"/>
          <w:szCs w:val="20"/>
        </w:rPr>
        <w:t xml:space="preserve">felt that government systems were not sufficiently robust to manage DFAT funding in this way. THSSP2 will strengthen systems of planning, budgeting, financial management and reporting, which could potentially be used in the future to manage budget support funds.  </w:t>
      </w:r>
    </w:p>
    <w:p w:rsidR="00B652E1" w:rsidRPr="005F4FAA" w:rsidRDefault="00B652E1" w:rsidP="00B652E1">
      <w:pPr>
        <w:spacing w:line="276" w:lineRule="auto"/>
        <w:rPr>
          <w:rFonts w:ascii="Franklin Gothic Book" w:hAnsi="Franklin Gothic Book" w:cs="Arial"/>
          <w:szCs w:val="22"/>
        </w:rPr>
      </w:pPr>
    </w:p>
    <w:tbl>
      <w:tblPr>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CellMar>
          <w:top w:w="28" w:type="dxa"/>
          <w:bottom w:w="28" w:type="dxa"/>
        </w:tblCellMar>
        <w:tblLook w:val="01E0" w:firstRow="1" w:lastRow="1" w:firstColumn="1" w:lastColumn="1" w:noHBand="0" w:noVBand="0"/>
      </w:tblPr>
      <w:tblGrid>
        <w:gridCol w:w="9838"/>
      </w:tblGrid>
      <w:tr w:rsidR="00B652E1" w:rsidRPr="005F4FAA" w:rsidTr="00B652E1">
        <w:trPr>
          <w:cantSplit/>
          <w:trHeight w:val="187"/>
        </w:trPr>
        <w:tc>
          <w:tcPr>
            <w:tcW w:w="9838" w:type="dxa"/>
            <w:shd w:val="clear" w:color="auto" w:fill="FFFFFF" w:themeFill="background1"/>
          </w:tcPr>
          <w:p w:rsidR="00B652E1" w:rsidRPr="005F4FAA" w:rsidRDefault="00B652E1" w:rsidP="00B652E1">
            <w:pPr>
              <w:spacing w:line="276" w:lineRule="auto"/>
              <w:rPr>
                <w:rFonts w:ascii="Franklin Gothic Book" w:hAnsi="Franklin Gothic Book"/>
                <w:b/>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b/>
                <w:szCs w:val="20"/>
              </w:rPr>
              <w:t xml:space="preserve">Box </w:t>
            </w:r>
            <w:r>
              <w:rPr>
                <w:rFonts w:ascii="Franklin Gothic Book" w:hAnsi="Franklin Gothic Book"/>
                <w:b/>
                <w:szCs w:val="20"/>
              </w:rPr>
              <w:t>5</w:t>
            </w:r>
            <w:r w:rsidRPr="005F4FAA">
              <w:rPr>
                <w:rFonts w:ascii="Franklin Gothic Book" w:hAnsi="Franklin Gothic Book"/>
                <w:b/>
                <w:szCs w:val="20"/>
              </w:rPr>
              <w:t xml:space="preserve">  Delivery approaches for THSSP2: Key points from the Concept Note</w:t>
            </w:r>
            <w:r w:rsidRPr="005F4FAA">
              <w:rPr>
                <w:rFonts w:ascii="Franklin Gothic Book" w:hAnsi="Franklin Gothic Book"/>
                <w:szCs w:val="20"/>
              </w:rPr>
              <w:t xml:space="preserv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Three alternative delivery approaches are described:</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1) sector budget support</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2) project-style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3) a financing agreement based on high-quality annual plans.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approaches vary in the extent to which they rely on government systems for planning, budgeting, implementation, financial management, reporting and monitoring. </w:t>
            </w:r>
            <w:r w:rsidRPr="005F4FAA">
              <w:rPr>
                <w:rFonts w:ascii="Franklin Gothic Book" w:hAnsi="Franklin Gothic Book"/>
                <w:szCs w:val="20"/>
                <w:highlight w:val="yellow"/>
              </w:rPr>
              <w:t xml:space="preserv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Lessons from THSSP Phase I and from recent DFAT-funded reviews point towards a financing agreement based on strengthened annual plans as the preferred option. This combines a government-led approach with support for systems strengthening and with annual involvement from DFAT in agreeing areas for funding and in monitoring achievements. </w:t>
            </w:r>
          </w:p>
        </w:tc>
      </w:tr>
    </w:tbl>
    <w:p w:rsidR="00B652E1" w:rsidRDefault="00B652E1" w:rsidP="00B652E1">
      <w:pPr>
        <w:spacing w:after="200"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B67EAD">
        <w:rPr>
          <w:rFonts w:ascii="Franklin Gothic Book" w:hAnsi="Franklin Gothic Book"/>
          <w:szCs w:val="20"/>
        </w:rPr>
        <w:t>There will a Direct Funding Agreement (DFA) involving the Ministry of Finance and National Planning (MoFNP) and a grant agreement with TongaHealth: these will describe the modalities and payment schedules for THSSP2 as relevant to the Ministry of Health and TongaHealth. The DFA will be between DFAT and the MOFNP and the Ministry of Health as co-signatories on behalf of the Government of Tonga. (See Annex 9 for a draft DFA.) A separate grant agreement will be signed with TongaHealth (Annex 10). The separate agreements are to allow for flexibility and to mitigate the risk of funding delays to TongaHealth due to under-utilisation by the Ministry of Health or vice versa. Although the administered funds will be regulated through separate agreements, funding to the health sector will be considered as a whole over the five years of the program.</w:t>
      </w:r>
      <w:r>
        <w:rPr>
          <w:rFonts w:ascii="Franklin Gothic Book" w:hAnsi="Franklin Gothic Book"/>
          <w:szCs w:val="20"/>
        </w:rPr>
        <w:t xml:space="preserve">     </w:t>
      </w:r>
      <w:r w:rsidRPr="005F4FAA">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The overall budget is $10 million over five years, broken down as follows:</w:t>
      </w:r>
    </w:p>
    <w:p w:rsidR="00B652E1" w:rsidRPr="005F4FAA" w:rsidRDefault="00B652E1" w:rsidP="00B652E1">
      <w:pPr>
        <w:spacing w:line="276" w:lineRule="auto"/>
        <w:rPr>
          <w:rFonts w:ascii="Franklin Gothic Book" w:hAnsi="Franklin Gothic Book"/>
          <w:szCs w:val="20"/>
        </w:rPr>
      </w:pPr>
    </w:p>
    <w:p w:rsidR="00B652E1" w:rsidRPr="00552B0E" w:rsidRDefault="00B652E1" w:rsidP="00B652E1">
      <w:pPr>
        <w:pStyle w:val="ListParagraph"/>
        <w:numPr>
          <w:ilvl w:val="0"/>
          <w:numId w:val="34"/>
        </w:numPr>
        <w:spacing w:line="276" w:lineRule="auto"/>
        <w:rPr>
          <w:rFonts w:ascii="Franklin Gothic Book" w:hAnsi="Franklin Gothic Book"/>
          <w:sz w:val="20"/>
          <w:szCs w:val="20"/>
          <w:lang w:val="en-GB"/>
        </w:rPr>
      </w:pPr>
      <w:r w:rsidRPr="005F4FAA">
        <w:rPr>
          <w:rFonts w:ascii="Franklin Gothic Book" w:eastAsiaTheme="minorEastAsia" w:hAnsi="Franklin Gothic Book"/>
          <w:sz w:val="20"/>
          <w:szCs w:val="20"/>
          <w:lang w:val="en-GB"/>
        </w:rPr>
        <w:t>$120,000</w:t>
      </w:r>
      <w:r w:rsidRPr="005F4FAA">
        <w:rPr>
          <w:rFonts w:ascii="Franklin Gothic Book" w:hAnsi="Franklin Gothic Book"/>
          <w:sz w:val="20"/>
          <w:szCs w:val="20"/>
          <w:lang w:val="en-GB"/>
        </w:rPr>
        <w:t xml:space="preserve"> per year top-sliced for management costs (Post’s time and travel, accountancy, </w:t>
      </w:r>
      <w:r w:rsidRPr="00552B0E">
        <w:rPr>
          <w:rFonts w:ascii="Franklin Gothic Book" w:hAnsi="Franklin Gothic Book"/>
          <w:sz w:val="20"/>
          <w:szCs w:val="20"/>
          <w:lang w:val="en-GB"/>
        </w:rPr>
        <w:t>audit etc.)</w:t>
      </w:r>
    </w:p>
    <w:p w:rsidR="00B652E1" w:rsidRPr="00552B0E" w:rsidRDefault="00B652E1" w:rsidP="00B652E1">
      <w:pPr>
        <w:pStyle w:val="ListParagraph"/>
        <w:numPr>
          <w:ilvl w:val="0"/>
          <w:numId w:val="34"/>
        </w:numPr>
        <w:spacing w:line="276" w:lineRule="auto"/>
        <w:rPr>
          <w:rFonts w:ascii="Franklin Gothic Book" w:hAnsi="Franklin Gothic Book"/>
          <w:sz w:val="20"/>
          <w:szCs w:val="20"/>
          <w:lang w:val="en-GB"/>
        </w:rPr>
      </w:pPr>
      <w:r w:rsidRPr="00B67EAD">
        <w:rPr>
          <w:rFonts w:ascii="Franklin Gothic Book" w:eastAsiaTheme="minorEastAsia" w:hAnsi="Franklin Gothic Book"/>
          <w:sz w:val="20"/>
          <w:szCs w:val="20"/>
          <w:lang w:val="en-GB"/>
        </w:rPr>
        <w:t>Up to</w:t>
      </w:r>
      <w:r w:rsidRPr="00552B0E">
        <w:rPr>
          <w:rFonts w:ascii="Franklin Gothic Book" w:eastAsiaTheme="minorEastAsia" w:hAnsi="Franklin Gothic Book"/>
          <w:sz w:val="20"/>
          <w:szCs w:val="20"/>
          <w:lang w:val="en-GB"/>
        </w:rPr>
        <w:t xml:space="preserve"> $400,000</w:t>
      </w:r>
      <w:r w:rsidRPr="00552B0E">
        <w:rPr>
          <w:rFonts w:ascii="Franklin Gothic Book" w:hAnsi="Franklin Gothic Book"/>
          <w:sz w:val="20"/>
          <w:szCs w:val="20"/>
          <w:lang w:val="en-GB"/>
        </w:rPr>
        <w:t xml:space="preserve"> allocated to </w:t>
      </w:r>
      <w:r w:rsidRPr="00552B0E">
        <w:rPr>
          <w:rFonts w:ascii="Franklin Gothic Book" w:eastAsiaTheme="minorEastAsia" w:hAnsi="Franklin Gothic Book"/>
          <w:sz w:val="20"/>
          <w:szCs w:val="20"/>
          <w:lang w:val="en-GB"/>
        </w:rPr>
        <w:t xml:space="preserve">TongaHealth in the first year. Thereafter this allocation will be reviewed annually. </w:t>
      </w:r>
    </w:p>
    <w:p w:rsidR="00B652E1" w:rsidRPr="005F4FAA" w:rsidRDefault="00B652E1" w:rsidP="00B652E1">
      <w:pPr>
        <w:pStyle w:val="ListParagraph"/>
        <w:numPr>
          <w:ilvl w:val="0"/>
          <w:numId w:val="34"/>
        </w:numPr>
        <w:spacing w:line="276" w:lineRule="auto"/>
        <w:rPr>
          <w:rFonts w:ascii="Franklin Gothic Book" w:hAnsi="Franklin Gothic Book"/>
          <w:sz w:val="20"/>
          <w:szCs w:val="20"/>
          <w:lang w:val="en-GB"/>
        </w:rPr>
      </w:pPr>
      <w:r w:rsidRPr="005F4FAA">
        <w:rPr>
          <w:rFonts w:ascii="Franklin Gothic Book" w:hAnsi="Franklin Gothic Book"/>
          <w:sz w:val="20"/>
          <w:szCs w:val="20"/>
        </w:rPr>
        <w:t>$1 million total reserved for performance based payments to Ministry of Health.</w:t>
      </w:r>
    </w:p>
    <w:p w:rsidR="00B652E1" w:rsidRPr="009C044C" w:rsidRDefault="00B652E1" w:rsidP="00B652E1">
      <w:pPr>
        <w:spacing w:line="276" w:lineRule="auto"/>
        <w:rPr>
          <w:rFonts w:ascii="Franklin Gothic Book" w:hAnsi="Franklin Gothic Book"/>
          <w:szCs w:val="20"/>
          <w:lang w:val="en-GB"/>
        </w:rPr>
      </w:pPr>
      <w:r w:rsidRPr="009C044C">
        <w:rPr>
          <w:rFonts w:ascii="Franklin Gothic Book" w:hAnsi="Franklin Gothic Book"/>
          <w:szCs w:val="20"/>
          <w:lang w:val="en-GB"/>
        </w:rPr>
        <w:t xml:space="preserve">This leaves about $6.4 million to be allocated against the Ministry of Health’s Annual </w:t>
      </w:r>
      <w:r w:rsidRPr="00552B0E">
        <w:rPr>
          <w:rFonts w:ascii="Franklin Gothic Book" w:hAnsi="Franklin Gothic Book"/>
          <w:szCs w:val="20"/>
          <w:lang w:val="en-GB"/>
        </w:rPr>
        <w:t xml:space="preserve">Management Plans (depending on the exact amounts allocated to TongaHealth in later years) </w:t>
      </w:r>
      <w:r w:rsidRPr="00B67EAD">
        <w:rPr>
          <w:rFonts w:ascii="Franklin Gothic Book" w:hAnsi="Franklin Gothic Book"/>
          <w:szCs w:val="20"/>
          <w:lang w:val="en-GB"/>
        </w:rPr>
        <w:t>to support NCD prevention and management, health systems strengthening and disability/mental health.  This averages out at just over $1.25 million per year, although the design is deliberately flexible about how much is spent each year. The need for flexibility is particularly important in Year 1, when it is most difficult to estimate spending levels and some activities will be slow to start. We do, however, know that a much greater proportion of the budget will be</w:t>
      </w:r>
      <w:r w:rsidRPr="00552B0E">
        <w:rPr>
          <w:rFonts w:ascii="Franklin Gothic Book" w:hAnsi="Franklin Gothic Book"/>
          <w:szCs w:val="20"/>
          <w:lang w:val="en-GB"/>
        </w:rPr>
        <w:t xml:space="preserve"> spent on</w:t>
      </w:r>
      <w:r w:rsidRPr="009C044C">
        <w:rPr>
          <w:rFonts w:ascii="Franklin Gothic Book" w:hAnsi="Franklin Gothic Book"/>
          <w:szCs w:val="20"/>
          <w:lang w:val="en-GB"/>
        </w:rPr>
        <w:t xml:space="preserve"> Technical Assistance in the earlier years than in subsequent years. A maximum of $500,000 annually could be spent on three Technical Assistance posts during the first half of THSSP2: </w:t>
      </w:r>
    </w:p>
    <w:p w:rsidR="00B652E1" w:rsidRPr="009C044C" w:rsidRDefault="00B652E1" w:rsidP="00B652E1">
      <w:pPr>
        <w:spacing w:line="276" w:lineRule="auto"/>
        <w:rPr>
          <w:rFonts w:ascii="Franklin Gothic Book" w:hAnsi="Franklin Gothic Book"/>
          <w:szCs w:val="20"/>
          <w:lang w:val="en-GB"/>
        </w:rPr>
      </w:pPr>
    </w:p>
    <w:p w:rsidR="00B652E1" w:rsidRPr="009C044C" w:rsidRDefault="00B652E1" w:rsidP="00B652E1">
      <w:pPr>
        <w:pStyle w:val="ListParagraph"/>
        <w:numPr>
          <w:ilvl w:val="0"/>
          <w:numId w:val="35"/>
        </w:numPr>
        <w:spacing w:after="200" w:line="276" w:lineRule="auto"/>
        <w:rPr>
          <w:rFonts w:ascii="Franklin Gothic Book" w:hAnsi="Franklin Gothic Book"/>
          <w:sz w:val="20"/>
          <w:szCs w:val="20"/>
          <w:lang w:val="en-GB"/>
        </w:rPr>
      </w:pPr>
      <w:r w:rsidRPr="009C044C">
        <w:rPr>
          <w:rFonts w:ascii="Franklin Gothic Book" w:hAnsi="Franklin Gothic Book"/>
          <w:sz w:val="20"/>
          <w:szCs w:val="20"/>
          <w:lang w:val="en-GB"/>
        </w:rPr>
        <w:t xml:space="preserve">A </w:t>
      </w:r>
      <w:r w:rsidRPr="009C044C">
        <w:rPr>
          <w:rFonts w:ascii="Franklin Gothic Book" w:hAnsi="Franklin Gothic Book"/>
          <w:b/>
          <w:sz w:val="20"/>
          <w:szCs w:val="20"/>
          <w:lang w:val="en-GB"/>
        </w:rPr>
        <w:t>Health Systems Support and Planning Manager</w:t>
      </w:r>
      <w:r w:rsidRPr="009C044C">
        <w:rPr>
          <w:rFonts w:ascii="Franklin Gothic Book" w:hAnsi="Franklin Gothic Book"/>
          <w:sz w:val="20"/>
          <w:szCs w:val="20"/>
          <w:lang w:val="en-GB"/>
        </w:rPr>
        <w:t xml:space="preserve"> </w:t>
      </w:r>
      <w:r w:rsidRPr="009C044C">
        <w:rPr>
          <w:rFonts w:ascii="Franklin Gothic Book" w:eastAsiaTheme="minorEastAsia" w:hAnsi="Franklin Gothic Book"/>
          <w:sz w:val="20"/>
          <w:szCs w:val="20"/>
          <w:lang w:val="en-GB"/>
        </w:rPr>
        <w:t xml:space="preserve">(ca $290,000 for one year). </w:t>
      </w:r>
      <w:r w:rsidRPr="009C044C">
        <w:rPr>
          <w:rFonts w:ascii="Franklin Gothic Book" w:hAnsi="Franklin Gothic Book"/>
          <w:sz w:val="20"/>
          <w:szCs w:val="20"/>
        </w:rPr>
        <w:t xml:space="preserve">The overall purpose of this post is to support the Ministry of Health and TongaHealth to develop well-functioning cycles of planning-budgeting-implementation-monitoring.  </w:t>
      </w:r>
    </w:p>
    <w:p w:rsidR="00B652E1" w:rsidRPr="009C044C" w:rsidRDefault="00B652E1" w:rsidP="00B652E1">
      <w:pPr>
        <w:pStyle w:val="ListParagraph"/>
        <w:numPr>
          <w:ilvl w:val="0"/>
          <w:numId w:val="35"/>
        </w:numPr>
        <w:spacing w:after="200" w:line="276" w:lineRule="auto"/>
        <w:rPr>
          <w:rFonts w:ascii="Franklin Gothic Book" w:hAnsi="Franklin Gothic Book"/>
          <w:sz w:val="20"/>
          <w:szCs w:val="20"/>
        </w:rPr>
      </w:pPr>
      <w:r>
        <w:rPr>
          <w:rFonts w:ascii="Franklin Gothic Book" w:hAnsi="Franklin Gothic Book"/>
          <w:b/>
          <w:sz w:val="20"/>
          <w:szCs w:val="20"/>
          <w:lang w:val="en-GB"/>
        </w:rPr>
        <w:t>A</w:t>
      </w:r>
      <w:r w:rsidR="001771EC">
        <w:rPr>
          <w:rFonts w:ascii="Franklin Gothic Book" w:hAnsi="Franklin Gothic Book"/>
          <w:b/>
          <w:sz w:val="20"/>
          <w:szCs w:val="20"/>
          <w:lang w:val="en-GB"/>
        </w:rPr>
        <w:t>n</w:t>
      </w:r>
      <w:r>
        <w:rPr>
          <w:rFonts w:ascii="Franklin Gothic Book" w:hAnsi="Franklin Gothic Book"/>
          <w:b/>
          <w:sz w:val="20"/>
          <w:szCs w:val="20"/>
          <w:lang w:val="en-GB"/>
        </w:rPr>
        <w:t xml:space="preserve"> NCD/Health Promotion Strategic Adviser</w:t>
      </w:r>
      <w:r w:rsidRPr="009C044C">
        <w:rPr>
          <w:rFonts w:ascii="Franklin Gothic Book" w:hAnsi="Franklin Gothic Book"/>
          <w:sz w:val="20"/>
          <w:szCs w:val="20"/>
          <w:lang w:val="en-GB"/>
        </w:rPr>
        <w:t xml:space="preserve"> for </w:t>
      </w:r>
      <w:r w:rsidRPr="009C044C">
        <w:rPr>
          <w:rFonts w:ascii="Franklin Gothic Book" w:eastAsiaTheme="minorEastAsia" w:hAnsi="Franklin Gothic Book"/>
          <w:i/>
          <w:sz w:val="20"/>
          <w:szCs w:val="20"/>
          <w:lang w:val="en-GB"/>
        </w:rPr>
        <w:t>Hala</w:t>
      </w:r>
      <w:r w:rsidRPr="00B67EAD">
        <w:rPr>
          <w:rFonts w:ascii="Franklin Gothic Book" w:eastAsiaTheme="minorEastAsia" w:hAnsi="Franklin Gothic Book"/>
          <w:sz w:val="20"/>
          <w:szCs w:val="20"/>
        </w:rPr>
        <w:t xml:space="preserve"> </w:t>
      </w:r>
      <w:r w:rsidRPr="00B67EAD">
        <w:rPr>
          <w:rFonts w:ascii="Franklin Gothic Book" w:eastAsiaTheme="minorEastAsia" w:hAnsi="Franklin Gothic Book"/>
          <w:i/>
          <w:sz w:val="20"/>
          <w:szCs w:val="20"/>
        </w:rPr>
        <w:t>Fononga</w:t>
      </w:r>
      <w:r w:rsidRPr="009C044C">
        <w:rPr>
          <w:rFonts w:ascii="Franklin Gothic Book" w:eastAsiaTheme="minorEastAsia" w:hAnsi="Franklin Gothic Book"/>
          <w:sz w:val="20"/>
          <w:szCs w:val="20"/>
          <w:lang w:val="en-GB"/>
        </w:rPr>
        <w:t>, the NCD Strategy (ca $150,000 per year). This post will support the planning, implementation and evaluation of health promotion activities, with close reference to international evidence about effectiveness.</w:t>
      </w:r>
    </w:p>
    <w:p w:rsidR="00B652E1" w:rsidRPr="00856F97" w:rsidRDefault="00B652E1" w:rsidP="00B652E1">
      <w:pPr>
        <w:pStyle w:val="ListParagraph"/>
        <w:numPr>
          <w:ilvl w:val="0"/>
          <w:numId w:val="35"/>
        </w:numPr>
        <w:spacing w:after="200" w:line="276" w:lineRule="auto"/>
        <w:rPr>
          <w:rFonts w:ascii="Franklin Gothic Book" w:hAnsi="Franklin Gothic Book"/>
          <w:szCs w:val="20"/>
        </w:rPr>
      </w:pPr>
      <w:r w:rsidRPr="00856F97">
        <w:rPr>
          <w:rFonts w:ascii="Franklin Gothic Book" w:eastAsiaTheme="minorEastAsia" w:hAnsi="Franklin Gothic Book"/>
          <w:sz w:val="20"/>
          <w:szCs w:val="20"/>
          <w:lang w:val="en-GB"/>
        </w:rPr>
        <w:t xml:space="preserve">A </w:t>
      </w:r>
      <w:r w:rsidRPr="00856F97">
        <w:rPr>
          <w:rFonts w:ascii="Franklin Gothic Book" w:eastAsiaTheme="minorEastAsia" w:hAnsi="Franklin Gothic Book"/>
          <w:b/>
          <w:sz w:val="20"/>
          <w:szCs w:val="20"/>
          <w:lang w:val="en-GB"/>
        </w:rPr>
        <w:t xml:space="preserve">public/primary health </w:t>
      </w:r>
      <w:r>
        <w:rPr>
          <w:rFonts w:ascii="Franklin Gothic Book" w:eastAsiaTheme="minorEastAsia" w:hAnsi="Franklin Gothic Book"/>
          <w:b/>
          <w:sz w:val="20"/>
          <w:szCs w:val="20"/>
          <w:lang w:val="en-GB"/>
        </w:rPr>
        <w:t>consultant</w:t>
      </w:r>
      <w:r w:rsidRPr="00856F97">
        <w:rPr>
          <w:rFonts w:ascii="Franklin Gothic Book" w:eastAsiaTheme="minorEastAsia" w:hAnsi="Franklin Gothic Book"/>
          <w:sz w:val="20"/>
          <w:szCs w:val="20"/>
          <w:lang w:val="en-GB"/>
        </w:rPr>
        <w:t xml:space="preserve"> (ca $60,000 per year). </w:t>
      </w:r>
      <w:r w:rsidRPr="00856F97">
        <w:rPr>
          <w:rFonts w:ascii="Franklin Gothic Book" w:hAnsi="Franklin Gothic Book"/>
          <w:sz w:val="20"/>
          <w:szCs w:val="20"/>
        </w:rPr>
        <w:t xml:space="preserve">The overall purpose of the post is to support the Public Health Division of the Ministry of Health to operationalise </w:t>
      </w:r>
      <w:r>
        <w:rPr>
          <w:rFonts w:ascii="Franklin Gothic Book" w:hAnsi="Franklin Gothic Book"/>
          <w:sz w:val="20"/>
          <w:szCs w:val="20"/>
        </w:rPr>
        <w:t>Universal Health C</w:t>
      </w:r>
      <w:r w:rsidRPr="00856F97">
        <w:rPr>
          <w:rFonts w:ascii="Franklin Gothic Book" w:hAnsi="Franklin Gothic Book"/>
          <w:sz w:val="20"/>
          <w:szCs w:val="20"/>
        </w:rPr>
        <w:t>overage at the primary care level. The public health specialist will report to the Head of the Public Health Division. TORs for these posts are given in Annex</w:t>
      </w:r>
      <w:r>
        <w:rPr>
          <w:rFonts w:ascii="Franklin Gothic Book" w:hAnsi="Franklin Gothic Book"/>
          <w:sz w:val="20"/>
          <w:szCs w:val="20"/>
        </w:rPr>
        <w:t xml:space="preserve"> 11</w:t>
      </w:r>
      <w:r w:rsidRPr="00856F97">
        <w:rPr>
          <w:rFonts w:ascii="Franklin Gothic Book" w:hAnsi="Franklin Gothic Book"/>
          <w:sz w:val="20"/>
          <w:szCs w:val="20"/>
        </w:rPr>
        <w:t xml:space="preserve">. </w:t>
      </w:r>
    </w:p>
    <w:p w:rsidR="00B652E1" w:rsidRPr="00552B0E" w:rsidRDefault="00B652E1" w:rsidP="00B652E1">
      <w:pPr>
        <w:spacing w:after="200" w:line="276" w:lineRule="auto"/>
        <w:rPr>
          <w:rFonts w:ascii="Franklin Gothic Book" w:hAnsi="Franklin Gothic Book"/>
          <w:szCs w:val="20"/>
        </w:rPr>
      </w:pPr>
      <w:r w:rsidRPr="00B67EAD">
        <w:rPr>
          <w:rFonts w:ascii="Franklin Gothic Book" w:hAnsi="Franklin Gothic Book"/>
          <w:szCs w:val="20"/>
        </w:rPr>
        <w:t>If necessary, these positions can be supplemented by short-term TA funded through the $120,000 management costs per year. One possible need is for some financial management expertise to complement the skills of the Health Systems Support and Planning Manager. The job description for this post requires a very broad range of skills, which it might not be possible to find in one individual</w:t>
      </w:r>
      <w:r w:rsidRPr="00552B0E">
        <w:rPr>
          <w:rFonts w:ascii="Franklin Gothic Book" w:hAnsi="Franklin Gothic Book"/>
          <w:szCs w:val="20"/>
        </w:rPr>
        <w:t>.</w:t>
      </w:r>
    </w:p>
    <w:p w:rsidR="00B652E1" w:rsidRPr="00552B0E" w:rsidRDefault="00B652E1" w:rsidP="00B652E1">
      <w:pPr>
        <w:spacing w:after="200" w:line="276" w:lineRule="auto"/>
        <w:rPr>
          <w:rFonts w:ascii="Franklin Gothic Book" w:hAnsi="Franklin Gothic Book"/>
          <w:szCs w:val="20"/>
        </w:rPr>
      </w:pPr>
      <w:r w:rsidRPr="00B67EAD">
        <w:rPr>
          <w:rFonts w:ascii="Franklin Gothic Book" w:hAnsi="Franklin Gothic Book"/>
          <w:szCs w:val="20"/>
        </w:rPr>
        <w:t>It is envisaged that there would be less need for Technical Assistance in the second half of THSSP2: however there is flexibility about this. The experience in Solomon Islands (where it took a longer duration of TA to improve planning processes than had initially been thought) is acknowledged. The Ministry of Health, TongaHealth and DFAT will discuss the need for TA as the Program develops – if necessary, more TA can be included in work-plans.</w:t>
      </w:r>
      <w:r w:rsidRPr="00552B0E">
        <w:rPr>
          <w:rFonts w:ascii="Franklin Gothic Book" w:hAnsi="Franklin Gothic Book"/>
          <w:szCs w:val="20"/>
        </w:rPr>
        <w:t xml:space="preserve">     </w:t>
      </w:r>
    </w:p>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Table 4</w:t>
      </w:r>
      <w:r w:rsidR="00D671DE">
        <w:rPr>
          <w:rFonts w:ascii="Franklin Gothic Book" w:hAnsi="Franklin Gothic Book"/>
          <w:szCs w:val="20"/>
        </w:rPr>
        <w:t>A</w:t>
      </w:r>
      <w:r w:rsidRPr="00B67EAD">
        <w:rPr>
          <w:rFonts w:ascii="Franklin Gothic Book" w:hAnsi="Franklin Gothic Book"/>
          <w:szCs w:val="20"/>
        </w:rPr>
        <w:t xml:space="preserve"> shows the overall budget for Year 1 and shows how this might change in subsequent years. </w:t>
      </w:r>
      <w:r w:rsidR="00D671DE">
        <w:rPr>
          <w:rFonts w:ascii="Franklin Gothic Book" w:hAnsi="Franklin Gothic Book"/>
          <w:szCs w:val="20"/>
        </w:rPr>
        <w:t>Table 4B breaks down the management costs. These are only indicative costs: figures can change depending on technical assistance and Post requirements throughout the life of THSSP2.</w:t>
      </w:r>
    </w:p>
    <w:p w:rsidR="00B652E1" w:rsidRPr="00B67EAD" w:rsidRDefault="00B652E1" w:rsidP="00B652E1">
      <w:pPr>
        <w:spacing w:line="276" w:lineRule="auto"/>
        <w:rPr>
          <w:rFonts w:ascii="Franklin Gothic Book" w:hAnsi="Franklin Gothic Book"/>
          <w:szCs w:val="20"/>
        </w:rPr>
      </w:pPr>
    </w:p>
    <w:p w:rsidR="00B652E1" w:rsidRPr="00B67EAD" w:rsidRDefault="00B652E1" w:rsidP="00B652E1">
      <w:pPr>
        <w:spacing w:line="276" w:lineRule="auto"/>
        <w:rPr>
          <w:rFonts w:ascii="Franklin Gothic Book" w:hAnsi="Franklin Gothic Book"/>
          <w:b/>
          <w:szCs w:val="20"/>
        </w:rPr>
      </w:pPr>
      <w:r w:rsidRPr="00B67EAD">
        <w:rPr>
          <w:rFonts w:ascii="Franklin Gothic Book" w:hAnsi="Franklin Gothic Book"/>
          <w:b/>
          <w:szCs w:val="20"/>
        </w:rPr>
        <w:t>Table 4A  THSSP2 budget for Year 1 and indicative budget for subsequent years</w:t>
      </w:r>
    </w:p>
    <w:p w:rsidR="00B652E1" w:rsidRPr="00A87604" w:rsidRDefault="00B652E1" w:rsidP="00B652E1">
      <w:pPr>
        <w:spacing w:line="276" w:lineRule="auto"/>
        <w:rPr>
          <w:rFonts w:ascii="Franklin Gothic Book" w:hAnsi="Franklin Gothic Book"/>
          <w:b/>
          <w:szCs w:val="20"/>
          <w:highlight w:val="yellow"/>
        </w:rPr>
      </w:pPr>
    </w:p>
    <w:tbl>
      <w:tblPr>
        <w:tblStyle w:val="TableGrid"/>
        <w:tblW w:w="0" w:type="auto"/>
        <w:tblLook w:val="04A0" w:firstRow="1" w:lastRow="0" w:firstColumn="1" w:lastColumn="0" w:noHBand="0" w:noVBand="1"/>
      </w:tblPr>
      <w:tblGrid>
        <w:gridCol w:w="2793"/>
        <w:gridCol w:w="2794"/>
        <w:gridCol w:w="2794"/>
      </w:tblGrid>
      <w:tr w:rsidR="00B652E1" w:rsidRPr="00552B0E" w:rsidTr="00B652E1">
        <w:tc>
          <w:tcPr>
            <w:tcW w:w="2793" w:type="dxa"/>
          </w:tcPr>
          <w:p w:rsidR="00B652E1" w:rsidRPr="00B67EAD" w:rsidRDefault="00B652E1" w:rsidP="00B652E1">
            <w:pPr>
              <w:spacing w:line="276" w:lineRule="auto"/>
              <w:rPr>
                <w:rFonts w:ascii="Franklin Gothic Book" w:hAnsi="Franklin Gothic Book"/>
                <w:b/>
                <w:szCs w:val="20"/>
              </w:rPr>
            </w:pPr>
            <w:r w:rsidRPr="00B67EAD">
              <w:rPr>
                <w:rFonts w:ascii="Franklin Gothic Book" w:hAnsi="Franklin Gothic Book"/>
                <w:b/>
                <w:szCs w:val="20"/>
              </w:rPr>
              <w:t>Item</w:t>
            </w:r>
          </w:p>
        </w:tc>
        <w:tc>
          <w:tcPr>
            <w:tcW w:w="2794" w:type="dxa"/>
          </w:tcPr>
          <w:p w:rsidR="00B652E1" w:rsidRPr="00B67EAD" w:rsidRDefault="00B652E1" w:rsidP="00B652E1">
            <w:pPr>
              <w:spacing w:line="276" w:lineRule="auto"/>
              <w:rPr>
                <w:rFonts w:ascii="Franklin Gothic Book" w:hAnsi="Franklin Gothic Book"/>
                <w:b/>
                <w:szCs w:val="20"/>
              </w:rPr>
            </w:pPr>
            <w:r w:rsidRPr="00B67EAD">
              <w:rPr>
                <w:rFonts w:ascii="Franklin Gothic Book" w:hAnsi="Franklin Gothic Book"/>
                <w:b/>
                <w:szCs w:val="20"/>
              </w:rPr>
              <w:t xml:space="preserve">Year 1 </w:t>
            </w:r>
          </w:p>
        </w:tc>
        <w:tc>
          <w:tcPr>
            <w:tcW w:w="2794" w:type="dxa"/>
          </w:tcPr>
          <w:p w:rsidR="00B652E1" w:rsidRPr="00B67EAD" w:rsidRDefault="00B652E1" w:rsidP="00B652E1">
            <w:pPr>
              <w:spacing w:line="276" w:lineRule="auto"/>
              <w:rPr>
                <w:rFonts w:ascii="Franklin Gothic Book" w:hAnsi="Franklin Gothic Book"/>
                <w:b/>
                <w:szCs w:val="20"/>
              </w:rPr>
            </w:pPr>
            <w:r w:rsidRPr="00B67EAD">
              <w:rPr>
                <w:rFonts w:ascii="Franklin Gothic Book" w:hAnsi="Franklin Gothic Book"/>
                <w:b/>
                <w:szCs w:val="20"/>
              </w:rPr>
              <w:t>Years 2-5</w:t>
            </w:r>
          </w:p>
        </w:tc>
      </w:tr>
      <w:tr w:rsidR="00B652E1" w:rsidRPr="00552B0E" w:rsidTr="00B652E1">
        <w:tc>
          <w:tcPr>
            <w:tcW w:w="2793"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Ministry of Health work-plans</w:t>
            </w:r>
          </w:p>
        </w:tc>
        <w:tc>
          <w:tcPr>
            <w:tcW w:w="2794" w:type="dxa"/>
          </w:tcPr>
          <w:p w:rsidR="00B652E1" w:rsidRPr="00B67EAD" w:rsidRDefault="00B652E1" w:rsidP="00F12BE8">
            <w:pPr>
              <w:spacing w:line="276" w:lineRule="auto"/>
              <w:rPr>
                <w:rFonts w:ascii="Franklin Gothic Book" w:hAnsi="Franklin Gothic Book"/>
                <w:szCs w:val="20"/>
              </w:rPr>
            </w:pPr>
            <w:r w:rsidRPr="00B67EAD">
              <w:rPr>
                <w:rFonts w:ascii="Franklin Gothic Book" w:hAnsi="Franklin Gothic Book"/>
                <w:szCs w:val="20"/>
              </w:rPr>
              <w:t>Approximately  $1,000,000</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Exact allocations will depend on performance and what remains from the items in the rows below. Amount available will rise if TA reduces over time. </w:t>
            </w:r>
          </w:p>
        </w:tc>
      </w:tr>
      <w:tr w:rsidR="00B652E1" w:rsidRPr="00552B0E" w:rsidTr="00B652E1">
        <w:tc>
          <w:tcPr>
            <w:tcW w:w="2793"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TongaHealth work-plans</w:t>
            </w:r>
          </w:p>
        </w:tc>
        <w:tc>
          <w:tcPr>
            <w:tcW w:w="2794" w:type="dxa"/>
          </w:tcPr>
          <w:p w:rsidR="00B652E1" w:rsidRPr="00B67EAD" w:rsidRDefault="00B652E1" w:rsidP="00F12BE8">
            <w:pPr>
              <w:spacing w:line="276" w:lineRule="auto"/>
              <w:rPr>
                <w:rFonts w:ascii="Franklin Gothic Book" w:hAnsi="Franklin Gothic Book"/>
                <w:szCs w:val="20"/>
              </w:rPr>
            </w:pPr>
            <w:r w:rsidRPr="00B67EAD">
              <w:rPr>
                <w:rFonts w:ascii="Franklin Gothic Book" w:hAnsi="Franklin Gothic Book"/>
                <w:szCs w:val="20"/>
              </w:rPr>
              <w:t>Approximately $400,000</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Exact allocations will depend on performance</w:t>
            </w:r>
          </w:p>
        </w:tc>
      </w:tr>
      <w:tr w:rsidR="00B652E1" w:rsidRPr="00A87604" w:rsidTr="00B652E1">
        <w:tc>
          <w:tcPr>
            <w:tcW w:w="2793"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Technical assistance</w:t>
            </w:r>
          </w:p>
        </w:tc>
        <w:tc>
          <w:tcPr>
            <w:tcW w:w="2794" w:type="dxa"/>
          </w:tcPr>
          <w:p w:rsidR="00B652E1" w:rsidRPr="00B67EAD" w:rsidRDefault="00B652E1" w:rsidP="00F12BE8">
            <w:pPr>
              <w:spacing w:line="276" w:lineRule="auto"/>
              <w:rPr>
                <w:rFonts w:ascii="Franklin Gothic Book" w:hAnsi="Franklin Gothic Book"/>
                <w:szCs w:val="20"/>
              </w:rPr>
            </w:pPr>
            <w:r w:rsidRPr="00B67EAD">
              <w:rPr>
                <w:rFonts w:ascii="Franklin Gothic Book" w:hAnsi="Franklin Gothic Book"/>
                <w:szCs w:val="20"/>
              </w:rPr>
              <w:t>Approximately $500,000</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Need for ongoing TA will be assessed in Year 2. Spending may well decrease over time. </w:t>
            </w:r>
          </w:p>
        </w:tc>
      </w:tr>
      <w:tr w:rsidR="00B652E1" w:rsidRPr="00552B0E" w:rsidTr="00B652E1">
        <w:tc>
          <w:tcPr>
            <w:tcW w:w="2793"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Management costs</w:t>
            </w:r>
          </w:p>
        </w:tc>
        <w:tc>
          <w:tcPr>
            <w:tcW w:w="2794" w:type="dxa"/>
          </w:tcPr>
          <w:p w:rsidR="00B652E1" w:rsidRPr="00B67EAD" w:rsidRDefault="00B652E1" w:rsidP="00F12BE8">
            <w:pPr>
              <w:spacing w:line="276" w:lineRule="auto"/>
              <w:rPr>
                <w:rFonts w:ascii="Franklin Gothic Book" w:hAnsi="Franklin Gothic Book"/>
                <w:szCs w:val="20"/>
              </w:rPr>
            </w:pPr>
            <w:r w:rsidRPr="00B67EAD">
              <w:rPr>
                <w:rFonts w:ascii="Franklin Gothic Book" w:hAnsi="Franklin Gothic Book"/>
                <w:szCs w:val="20"/>
              </w:rPr>
              <w:t>Approximately $120,000</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Up to $120,000 each year</w:t>
            </w:r>
          </w:p>
        </w:tc>
      </w:tr>
      <w:tr w:rsidR="00B652E1" w:rsidRPr="00552B0E" w:rsidTr="00B652E1">
        <w:tc>
          <w:tcPr>
            <w:tcW w:w="2793"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Performance incentives</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Up to $120,000 at end of year </w:t>
            </w:r>
          </w:p>
        </w:tc>
        <w:tc>
          <w:tcPr>
            <w:tcW w:w="2794" w:type="dxa"/>
          </w:tcPr>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To total no more than $1 million over the five years. Not spread evenly over the duration of THSSP2, as more allocated at time of Independent Progress Report and towards end of the Program. </w:t>
            </w:r>
          </w:p>
        </w:tc>
      </w:tr>
      <w:tr w:rsidR="00B652E1" w:rsidTr="00B652E1">
        <w:tc>
          <w:tcPr>
            <w:tcW w:w="2793" w:type="dxa"/>
          </w:tcPr>
          <w:p w:rsidR="00B652E1" w:rsidRPr="00B67EAD" w:rsidRDefault="00B652E1" w:rsidP="00B652E1">
            <w:pPr>
              <w:spacing w:line="276" w:lineRule="auto"/>
              <w:rPr>
                <w:rFonts w:ascii="Franklin Gothic Book" w:hAnsi="Franklin Gothic Book"/>
                <w:b/>
                <w:szCs w:val="20"/>
              </w:rPr>
            </w:pPr>
            <w:r w:rsidRPr="00B67EAD">
              <w:rPr>
                <w:rFonts w:ascii="Franklin Gothic Book" w:hAnsi="Franklin Gothic Book"/>
                <w:b/>
                <w:szCs w:val="20"/>
              </w:rPr>
              <w:t>TOTAL</w:t>
            </w:r>
          </w:p>
        </w:tc>
        <w:tc>
          <w:tcPr>
            <w:tcW w:w="2794" w:type="dxa"/>
          </w:tcPr>
          <w:p w:rsidR="00B652E1" w:rsidRPr="00B67EAD" w:rsidRDefault="00EB4223" w:rsidP="00F12BE8">
            <w:pPr>
              <w:spacing w:line="276" w:lineRule="auto"/>
              <w:rPr>
                <w:rFonts w:ascii="Franklin Gothic Book" w:hAnsi="Franklin Gothic Book"/>
                <w:b/>
                <w:szCs w:val="20"/>
              </w:rPr>
            </w:pPr>
            <w:r w:rsidRPr="005C6925">
              <w:rPr>
                <w:rFonts w:ascii="Franklin Gothic Book" w:hAnsi="Franklin Gothic Book"/>
                <w:b/>
                <w:szCs w:val="20"/>
              </w:rPr>
              <w:t>Approximately</w:t>
            </w:r>
            <w:r w:rsidR="00B652E1" w:rsidRPr="005C6925">
              <w:rPr>
                <w:rFonts w:ascii="Franklin Gothic Book" w:hAnsi="Franklin Gothic Book"/>
                <w:b/>
                <w:szCs w:val="20"/>
              </w:rPr>
              <w:t xml:space="preserve"> </w:t>
            </w:r>
            <w:r w:rsidR="001771EC" w:rsidRPr="005C6925">
              <w:rPr>
                <w:rFonts w:ascii="Franklin Gothic Book" w:hAnsi="Franklin Gothic Book"/>
                <w:b/>
                <w:szCs w:val="20"/>
              </w:rPr>
              <w:t>$2,140</w:t>
            </w:r>
            <w:r w:rsidR="00EE0AA8" w:rsidRPr="005C6925">
              <w:rPr>
                <w:rFonts w:ascii="Franklin Gothic Book" w:hAnsi="Franklin Gothic Book"/>
                <w:b/>
                <w:szCs w:val="20"/>
              </w:rPr>
              <w:t>,000</w:t>
            </w:r>
          </w:p>
        </w:tc>
        <w:tc>
          <w:tcPr>
            <w:tcW w:w="2794" w:type="dxa"/>
          </w:tcPr>
          <w:p w:rsidR="00B652E1" w:rsidRPr="00A87604" w:rsidRDefault="00B652E1" w:rsidP="00B652E1">
            <w:pPr>
              <w:spacing w:line="276" w:lineRule="auto"/>
              <w:rPr>
                <w:rFonts w:ascii="Franklin Gothic Book" w:hAnsi="Franklin Gothic Book"/>
                <w:b/>
                <w:szCs w:val="20"/>
              </w:rPr>
            </w:pPr>
            <w:r w:rsidRPr="00B67EAD">
              <w:rPr>
                <w:rFonts w:ascii="Franklin Gothic Book" w:hAnsi="Franklin Gothic Book"/>
                <w:b/>
                <w:szCs w:val="20"/>
              </w:rPr>
              <w:t xml:space="preserve">$10 million over 5 years. </w:t>
            </w:r>
          </w:p>
        </w:tc>
      </w:tr>
    </w:tbl>
    <w:p w:rsidR="00B652E1" w:rsidRDefault="00B652E1" w:rsidP="00B652E1">
      <w:pPr>
        <w:spacing w:line="276" w:lineRule="auto"/>
        <w:rPr>
          <w:rFonts w:ascii="Franklin Gothic Book" w:hAnsi="Franklin Gothic Book"/>
          <w:szCs w:val="20"/>
        </w:rPr>
      </w:pPr>
    </w:p>
    <w:p w:rsidR="00B652E1" w:rsidRPr="00687A54" w:rsidRDefault="00B652E1" w:rsidP="00B652E1">
      <w:pPr>
        <w:spacing w:line="276" w:lineRule="auto"/>
        <w:rPr>
          <w:rFonts w:ascii="Franklin Gothic Book" w:hAnsi="Franklin Gothic Book"/>
        </w:rPr>
      </w:pPr>
      <w:r w:rsidRPr="00687A54">
        <w:rPr>
          <w:rFonts w:ascii="Franklin Gothic Book" w:hAnsi="Franklin Gothic Book"/>
          <w:b/>
        </w:rPr>
        <w:t xml:space="preserve">Table 4B: Breakdown of Management </w:t>
      </w:r>
      <w:r w:rsidR="001771EC" w:rsidRPr="00D671DE">
        <w:rPr>
          <w:rFonts w:ascii="Franklin Gothic Book" w:hAnsi="Franklin Gothic Book"/>
          <w:b/>
          <w:szCs w:val="20"/>
        </w:rPr>
        <w:t>C</w:t>
      </w:r>
      <w:r w:rsidRPr="00D671DE">
        <w:rPr>
          <w:rFonts w:ascii="Franklin Gothic Book" w:hAnsi="Franklin Gothic Book"/>
          <w:b/>
          <w:szCs w:val="20"/>
        </w:rPr>
        <w:t>osts</w:t>
      </w:r>
      <w:r w:rsidR="00D671DE">
        <w:rPr>
          <w:rFonts w:ascii="Franklin Gothic Book" w:hAnsi="Franklin Gothic Book"/>
          <w:b/>
          <w:szCs w:val="20"/>
        </w:rPr>
        <w:t xml:space="preserve"> (Indicative only)</w:t>
      </w:r>
    </w:p>
    <w:p w:rsidR="00D671DE" w:rsidRPr="00D671DE" w:rsidRDefault="00D671DE" w:rsidP="00B652E1">
      <w:pPr>
        <w:spacing w:line="276" w:lineRule="auto"/>
        <w:rPr>
          <w:rFonts w:ascii="Franklin Gothic Book" w:hAnsi="Franklin Gothic Book"/>
          <w:b/>
          <w:szCs w:val="20"/>
        </w:rPr>
      </w:pPr>
    </w:p>
    <w:tbl>
      <w:tblPr>
        <w:tblStyle w:val="TableGrid"/>
        <w:tblW w:w="9063" w:type="dxa"/>
        <w:tblLayout w:type="fixed"/>
        <w:tblLook w:val="04A0" w:firstRow="1" w:lastRow="0" w:firstColumn="1" w:lastColumn="0" w:noHBand="0" w:noVBand="1"/>
      </w:tblPr>
      <w:tblGrid>
        <w:gridCol w:w="1838"/>
        <w:gridCol w:w="1418"/>
        <w:gridCol w:w="1417"/>
        <w:gridCol w:w="1462"/>
        <w:gridCol w:w="1464"/>
        <w:gridCol w:w="1464"/>
      </w:tblGrid>
      <w:tr w:rsidR="00B652E1" w:rsidRPr="00982EF6" w:rsidTr="00F762CA">
        <w:trPr>
          <w:trHeight w:val="510"/>
        </w:trPr>
        <w:tc>
          <w:tcPr>
            <w:tcW w:w="1838" w:type="dxa"/>
            <w:vAlign w:val="center"/>
          </w:tcPr>
          <w:p w:rsidR="00B652E1" w:rsidRPr="00982EF6" w:rsidRDefault="00B652E1" w:rsidP="00B652E1">
            <w:pPr>
              <w:pStyle w:val="AfterFirstPara"/>
              <w:numPr>
                <w:ilvl w:val="0"/>
                <w:numId w:val="0"/>
              </w:numPr>
              <w:spacing w:before="0" w:after="0"/>
              <w:rPr>
                <w:rFonts w:ascii="Arial" w:hAnsi="Arial" w:cs="Arial"/>
                <w:b/>
                <w:sz w:val="20"/>
                <w:szCs w:val="22"/>
              </w:rPr>
            </w:pPr>
            <w:r w:rsidRPr="00982EF6">
              <w:rPr>
                <w:rFonts w:ascii="Arial" w:hAnsi="Arial" w:cs="Arial"/>
                <w:b/>
                <w:sz w:val="20"/>
                <w:szCs w:val="22"/>
              </w:rPr>
              <w:t>Year</w:t>
            </w:r>
          </w:p>
        </w:tc>
        <w:tc>
          <w:tcPr>
            <w:tcW w:w="1418" w:type="dxa"/>
            <w:vAlign w:val="center"/>
          </w:tcPr>
          <w:p w:rsidR="00B652E1" w:rsidRPr="00982EF6" w:rsidRDefault="00B652E1" w:rsidP="00B652E1">
            <w:pPr>
              <w:pStyle w:val="AfterFirstPara"/>
              <w:numPr>
                <w:ilvl w:val="0"/>
                <w:numId w:val="0"/>
              </w:numPr>
              <w:spacing w:before="0" w:after="0"/>
              <w:jc w:val="right"/>
              <w:rPr>
                <w:rFonts w:ascii="Arial" w:hAnsi="Arial" w:cs="Arial"/>
                <w:b/>
                <w:sz w:val="20"/>
                <w:szCs w:val="22"/>
              </w:rPr>
            </w:pPr>
            <w:r w:rsidRPr="00982EF6">
              <w:rPr>
                <w:rFonts w:ascii="Arial" w:hAnsi="Arial" w:cs="Arial"/>
                <w:b/>
                <w:sz w:val="20"/>
                <w:szCs w:val="22"/>
              </w:rPr>
              <w:t>2015-16</w:t>
            </w:r>
          </w:p>
        </w:tc>
        <w:tc>
          <w:tcPr>
            <w:tcW w:w="1417" w:type="dxa"/>
            <w:vAlign w:val="center"/>
          </w:tcPr>
          <w:p w:rsidR="00B652E1" w:rsidRPr="00982EF6" w:rsidRDefault="00B652E1" w:rsidP="00B652E1">
            <w:pPr>
              <w:pStyle w:val="AfterFirstPara"/>
              <w:numPr>
                <w:ilvl w:val="0"/>
                <w:numId w:val="0"/>
              </w:numPr>
              <w:spacing w:before="0" w:after="0"/>
              <w:jc w:val="right"/>
              <w:rPr>
                <w:rFonts w:ascii="Arial" w:hAnsi="Arial" w:cs="Arial"/>
                <w:b/>
                <w:sz w:val="20"/>
                <w:szCs w:val="22"/>
              </w:rPr>
            </w:pPr>
            <w:r w:rsidRPr="00982EF6">
              <w:rPr>
                <w:rFonts w:ascii="Arial" w:hAnsi="Arial" w:cs="Arial"/>
                <w:b/>
                <w:sz w:val="20"/>
                <w:szCs w:val="22"/>
              </w:rPr>
              <w:t>2016-17</w:t>
            </w:r>
          </w:p>
        </w:tc>
        <w:tc>
          <w:tcPr>
            <w:tcW w:w="1462" w:type="dxa"/>
            <w:vAlign w:val="center"/>
          </w:tcPr>
          <w:p w:rsidR="00B652E1" w:rsidRPr="00982EF6" w:rsidRDefault="00B652E1" w:rsidP="00B652E1">
            <w:pPr>
              <w:pStyle w:val="AfterFirstPara"/>
              <w:numPr>
                <w:ilvl w:val="0"/>
                <w:numId w:val="0"/>
              </w:numPr>
              <w:spacing w:before="0" w:after="0"/>
              <w:jc w:val="right"/>
              <w:rPr>
                <w:rFonts w:ascii="Arial" w:hAnsi="Arial" w:cs="Arial"/>
                <w:b/>
                <w:sz w:val="20"/>
                <w:szCs w:val="22"/>
              </w:rPr>
            </w:pPr>
            <w:r w:rsidRPr="00982EF6">
              <w:rPr>
                <w:rFonts w:ascii="Arial" w:hAnsi="Arial" w:cs="Arial"/>
                <w:b/>
                <w:sz w:val="20"/>
                <w:szCs w:val="22"/>
              </w:rPr>
              <w:t>2017-18</w:t>
            </w:r>
          </w:p>
        </w:tc>
        <w:tc>
          <w:tcPr>
            <w:tcW w:w="1464" w:type="dxa"/>
            <w:vAlign w:val="center"/>
          </w:tcPr>
          <w:p w:rsidR="00B652E1" w:rsidRPr="00982EF6" w:rsidRDefault="00B652E1" w:rsidP="00B652E1">
            <w:pPr>
              <w:pStyle w:val="AfterFirstPara"/>
              <w:numPr>
                <w:ilvl w:val="0"/>
                <w:numId w:val="0"/>
              </w:numPr>
              <w:spacing w:before="0" w:after="0"/>
              <w:jc w:val="right"/>
              <w:rPr>
                <w:rFonts w:ascii="Arial" w:hAnsi="Arial" w:cs="Arial"/>
                <w:b/>
                <w:sz w:val="20"/>
                <w:szCs w:val="22"/>
              </w:rPr>
            </w:pPr>
            <w:r w:rsidRPr="00982EF6">
              <w:rPr>
                <w:rFonts w:ascii="Arial" w:hAnsi="Arial" w:cs="Arial"/>
                <w:b/>
                <w:sz w:val="20"/>
                <w:szCs w:val="22"/>
              </w:rPr>
              <w:t>2018-19</w:t>
            </w:r>
          </w:p>
        </w:tc>
        <w:tc>
          <w:tcPr>
            <w:tcW w:w="1464" w:type="dxa"/>
            <w:vAlign w:val="center"/>
          </w:tcPr>
          <w:p w:rsidR="00B652E1" w:rsidRPr="00982EF6" w:rsidRDefault="00B652E1" w:rsidP="00B652E1">
            <w:pPr>
              <w:pStyle w:val="AfterFirstPara"/>
              <w:numPr>
                <w:ilvl w:val="0"/>
                <w:numId w:val="0"/>
              </w:numPr>
              <w:spacing w:before="0" w:after="0"/>
              <w:jc w:val="right"/>
              <w:rPr>
                <w:rFonts w:ascii="Arial" w:hAnsi="Arial" w:cs="Arial"/>
                <w:b/>
                <w:sz w:val="20"/>
                <w:szCs w:val="22"/>
              </w:rPr>
            </w:pPr>
            <w:r w:rsidRPr="00982EF6">
              <w:rPr>
                <w:rFonts w:ascii="Arial" w:hAnsi="Arial" w:cs="Arial"/>
                <w:b/>
                <w:sz w:val="20"/>
                <w:szCs w:val="22"/>
              </w:rPr>
              <w:t>2019-20</w:t>
            </w:r>
          </w:p>
        </w:tc>
      </w:tr>
      <w:tr w:rsidR="00B652E1" w:rsidRPr="00982EF6" w:rsidTr="00F762CA">
        <w:trPr>
          <w:trHeight w:val="510"/>
        </w:trPr>
        <w:tc>
          <w:tcPr>
            <w:tcW w:w="1838" w:type="dxa"/>
            <w:vAlign w:val="center"/>
          </w:tcPr>
          <w:p w:rsidR="00B652E1" w:rsidRPr="00552B0E" w:rsidRDefault="00B652E1" w:rsidP="00B652E1">
            <w:pPr>
              <w:pStyle w:val="AfterFirstPara"/>
              <w:numPr>
                <w:ilvl w:val="0"/>
                <w:numId w:val="0"/>
              </w:numPr>
              <w:spacing w:before="0" w:after="0"/>
              <w:rPr>
                <w:rFonts w:ascii="Arial" w:hAnsi="Arial" w:cs="Arial"/>
                <w:sz w:val="20"/>
                <w:szCs w:val="22"/>
              </w:rPr>
            </w:pPr>
            <w:r w:rsidRPr="00552B0E">
              <w:rPr>
                <w:rFonts w:ascii="Arial" w:hAnsi="Arial" w:cs="Arial"/>
                <w:sz w:val="20"/>
                <w:szCs w:val="22"/>
              </w:rPr>
              <w:t>Research and Mid-term review</w:t>
            </w:r>
          </w:p>
        </w:tc>
        <w:tc>
          <w:tcPr>
            <w:tcW w:w="1418" w:type="dxa"/>
            <w:vAlign w:val="center"/>
          </w:tcPr>
          <w:p w:rsidR="00B652E1" w:rsidRPr="00982EF6" w:rsidRDefault="00B652E1" w:rsidP="00B652E1">
            <w:pPr>
              <w:pStyle w:val="AfterFirstPara"/>
              <w:numPr>
                <w:ilvl w:val="0"/>
                <w:numId w:val="0"/>
              </w:numPr>
              <w:spacing w:before="0" w:after="0"/>
              <w:jc w:val="right"/>
              <w:rPr>
                <w:rFonts w:ascii="Arial" w:hAnsi="Arial" w:cs="Arial"/>
                <w:sz w:val="20"/>
                <w:szCs w:val="22"/>
              </w:rPr>
            </w:pPr>
          </w:p>
        </w:tc>
        <w:tc>
          <w:tcPr>
            <w:tcW w:w="1417" w:type="dxa"/>
            <w:vAlign w:val="center"/>
          </w:tcPr>
          <w:p w:rsidR="00B652E1" w:rsidRPr="00982EF6" w:rsidRDefault="00B652E1" w:rsidP="00B652E1">
            <w:pPr>
              <w:pStyle w:val="AfterFirstPara"/>
              <w:numPr>
                <w:ilvl w:val="0"/>
                <w:numId w:val="0"/>
              </w:numPr>
              <w:spacing w:before="0" w:after="0"/>
              <w:jc w:val="right"/>
              <w:rPr>
                <w:rFonts w:ascii="Arial" w:hAnsi="Arial" w:cs="Arial"/>
                <w:sz w:val="20"/>
                <w:szCs w:val="22"/>
              </w:rPr>
            </w:pPr>
          </w:p>
        </w:tc>
        <w:tc>
          <w:tcPr>
            <w:tcW w:w="1462"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A$100</w:t>
            </w:r>
            <w:r w:rsidR="00B652E1">
              <w:rPr>
                <w:rFonts w:ascii="Arial" w:hAnsi="Arial" w:cs="Arial"/>
                <w:sz w:val="20"/>
                <w:szCs w:val="22"/>
              </w:rPr>
              <w:t>,000</w:t>
            </w:r>
          </w:p>
        </w:tc>
        <w:tc>
          <w:tcPr>
            <w:tcW w:w="1464" w:type="dxa"/>
            <w:vAlign w:val="center"/>
          </w:tcPr>
          <w:p w:rsidR="00B652E1" w:rsidRPr="00982EF6" w:rsidRDefault="00B652E1" w:rsidP="00B652E1">
            <w:pPr>
              <w:pStyle w:val="AfterFirstPara"/>
              <w:numPr>
                <w:ilvl w:val="0"/>
                <w:numId w:val="0"/>
              </w:numPr>
              <w:spacing w:before="0" w:after="0"/>
              <w:jc w:val="center"/>
              <w:rPr>
                <w:rFonts w:ascii="Arial" w:hAnsi="Arial" w:cs="Arial"/>
                <w:sz w:val="20"/>
                <w:szCs w:val="22"/>
              </w:rPr>
            </w:pPr>
          </w:p>
        </w:tc>
        <w:tc>
          <w:tcPr>
            <w:tcW w:w="1464" w:type="dxa"/>
            <w:vAlign w:val="center"/>
          </w:tcPr>
          <w:p w:rsidR="00B652E1" w:rsidRPr="00982EF6" w:rsidRDefault="00B652E1"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A$54,000</w:t>
            </w:r>
          </w:p>
        </w:tc>
      </w:tr>
      <w:tr w:rsidR="00B652E1" w:rsidRPr="00982EF6" w:rsidTr="00F762CA">
        <w:trPr>
          <w:trHeight w:val="510"/>
        </w:trPr>
        <w:tc>
          <w:tcPr>
            <w:tcW w:w="1838" w:type="dxa"/>
            <w:vAlign w:val="center"/>
          </w:tcPr>
          <w:p w:rsidR="00B652E1" w:rsidRPr="00552B0E" w:rsidRDefault="00B652E1" w:rsidP="00B652E1">
            <w:pPr>
              <w:pStyle w:val="AfterFirstPara"/>
              <w:numPr>
                <w:ilvl w:val="0"/>
                <w:numId w:val="0"/>
              </w:numPr>
              <w:spacing w:before="0" w:after="0"/>
              <w:rPr>
                <w:rFonts w:ascii="Arial" w:hAnsi="Arial" w:cs="Arial"/>
                <w:sz w:val="20"/>
                <w:szCs w:val="22"/>
              </w:rPr>
            </w:pPr>
            <w:r w:rsidRPr="00552B0E">
              <w:rPr>
                <w:rFonts w:ascii="Arial" w:hAnsi="Arial" w:cs="Arial"/>
                <w:sz w:val="20"/>
                <w:szCs w:val="22"/>
              </w:rPr>
              <w:t>Internal Annual Audit of Program (TH and MOH)</w:t>
            </w:r>
          </w:p>
        </w:tc>
        <w:tc>
          <w:tcPr>
            <w:tcW w:w="1418" w:type="dxa"/>
            <w:vAlign w:val="center"/>
          </w:tcPr>
          <w:p w:rsidR="00B652E1" w:rsidRPr="00982EF6" w:rsidRDefault="00B652E1" w:rsidP="00BE30B6">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BE30B6">
              <w:rPr>
                <w:rFonts w:ascii="Arial" w:hAnsi="Arial" w:cs="Arial"/>
                <w:sz w:val="20"/>
                <w:szCs w:val="22"/>
              </w:rPr>
              <w:t>5</w:t>
            </w:r>
            <w:r w:rsidRPr="00982EF6">
              <w:rPr>
                <w:rFonts w:ascii="Arial" w:hAnsi="Arial" w:cs="Arial"/>
                <w:sz w:val="20"/>
                <w:szCs w:val="22"/>
              </w:rPr>
              <w:t>,000</w:t>
            </w:r>
          </w:p>
        </w:tc>
        <w:tc>
          <w:tcPr>
            <w:tcW w:w="1417"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w:t>
            </w:r>
            <w:r w:rsidR="00B652E1" w:rsidRPr="00982EF6">
              <w:rPr>
                <w:rFonts w:ascii="Arial" w:hAnsi="Arial" w:cs="Arial"/>
                <w:sz w:val="20"/>
                <w:szCs w:val="22"/>
              </w:rPr>
              <w:t>,000</w:t>
            </w:r>
          </w:p>
        </w:tc>
        <w:tc>
          <w:tcPr>
            <w:tcW w:w="1462"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w:t>
            </w:r>
            <w:r w:rsidR="00B652E1" w:rsidRPr="00982EF6">
              <w:rPr>
                <w:rFonts w:ascii="Arial" w:hAnsi="Arial" w:cs="Arial"/>
                <w:sz w:val="20"/>
                <w:szCs w:val="22"/>
              </w:rPr>
              <w:t>,000</w:t>
            </w:r>
          </w:p>
        </w:tc>
        <w:tc>
          <w:tcPr>
            <w:tcW w:w="1464"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w:t>
            </w:r>
            <w:r w:rsidR="00B652E1" w:rsidRPr="00982EF6">
              <w:rPr>
                <w:rFonts w:ascii="Arial" w:hAnsi="Arial" w:cs="Arial"/>
                <w:sz w:val="20"/>
                <w:szCs w:val="22"/>
              </w:rPr>
              <w:t>,000</w:t>
            </w:r>
          </w:p>
        </w:tc>
        <w:tc>
          <w:tcPr>
            <w:tcW w:w="1464"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w:t>
            </w:r>
            <w:r w:rsidR="00B652E1" w:rsidRPr="00982EF6">
              <w:rPr>
                <w:rFonts w:ascii="Arial" w:hAnsi="Arial" w:cs="Arial"/>
                <w:sz w:val="20"/>
                <w:szCs w:val="22"/>
              </w:rPr>
              <w:t>,000</w:t>
            </w:r>
          </w:p>
        </w:tc>
      </w:tr>
      <w:tr w:rsidR="00B652E1" w:rsidRPr="00982EF6" w:rsidTr="00F762CA">
        <w:trPr>
          <w:trHeight w:val="510"/>
        </w:trPr>
        <w:tc>
          <w:tcPr>
            <w:tcW w:w="1838" w:type="dxa"/>
            <w:vAlign w:val="center"/>
          </w:tcPr>
          <w:p w:rsidR="00B652E1" w:rsidRPr="00B67EAD" w:rsidRDefault="00B652E1" w:rsidP="00B652E1">
            <w:pPr>
              <w:pStyle w:val="AfterFirstPara"/>
              <w:numPr>
                <w:ilvl w:val="0"/>
                <w:numId w:val="0"/>
              </w:numPr>
              <w:spacing w:before="0" w:after="0"/>
              <w:rPr>
                <w:rFonts w:ascii="Arial" w:hAnsi="Arial" w:cs="Arial"/>
                <w:sz w:val="20"/>
                <w:szCs w:val="22"/>
              </w:rPr>
            </w:pPr>
            <w:r w:rsidRPr="00B67EAD">
              <w:rPr>
                <w:rFonts w:ascii="Arial" w:hAnsi="Arial" w:cs="Arial"/>
                <w:sz w:val="20"/>
                <w:szCs w:val="22"/>
              </w:rPr>
              <w:t>Short Term TA if required (TH financial consultant support, PFM support etc.)</w:t>
            </w:r>
          </w:p>
        </w:tc>
        <w:tc>
          <w:tcPr>
            <w:tcW w:w="1418"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Pr>
                <w:rFonts w:ascii="Arial" w:hAnsi="Arial" w:cs="Arial"/>
                <w:sz w:val="20"/>
                <w:szCs w:val="22"/>
              </w:rPr>
              <w:t>$</w:t>
            </w:r>
            <w:r w:rsidR="00552B0E">
              <w:rPr>
                <w:rFonts w:ascii="Arial" w:hAnsi="Arial" w:cs="Arial"/>
                <w:sz w:val="20"/>
                <w:szCs w:val="22"/>
              </w:rPr>
              <w:t>8</w:t>
            </w:r>
            <w:r>
              <w:rPr>
                <w:rFonts w:ascii="Arial" w:hAnsi="Arial" w:cs="Arial"/>
                <w:sz w:val="20"/>
                <w:szCs w:val="22"/>
              </w:rPr>
              <w:t>0</w:t>
            </w:r>
            <w:r w:rsidRPr="00982EF6">
              <w:rPr>
                <w:rFonts w:ascii="Arial" w:hAnsi="Arial" w:cs="Arial"/>
                <w:sz w:val="20"/>
                <w:szCs w:val="22"/>
              </w:rPr>
              <w:t>,000</w:t>
            </w:r>
          </w:p>
        </w:tc>
        <w:tc>
          <w:tcPr>
            <w:tcW w:w="1417"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Pr>
                <w:rFonts w:ascii="Arial" w:hAnsi="Arial" w:cs="Arial"/>
                <w:sz w:val="20"/>
                <w:szCs w:val="22"/>
              </w:rPr>
              <w:t>$</w:t>
            </w:r>
            <w:r w:rsidR="00BE30B6">
              <w:rPr>
                <w:rFonts w:ascii="Arial" w:hAnsi="Arial" w:cs="Arial"/>
                <w:sz w:val="20"/>
                <w:szCs w:val="22"/>
              </w:rPr>
              <w:t>6</w:t>
            </w:r>
            <w:r>
              <w:rPr>
                <w:rFonts w:ascii="Arial" w:hAnsi="Arial" w:cs="Arial"/>
                <w:sz w:val="20"/>
                <w:szCs w:val="22"/>
              </w:rPr>
              <w:t>0</w:t>
            </w:r>
            <w:r w:rsidRPr="00982EF6">
              <w:rPr>
                <w:rFonts w:ascii="Arial" w:hAnsi="Arial" w:cs="Arial"/>
                <w:sz w:val="20"/>
                <w:szCs w:val="22"/>
              </w:rPr>
              <w:t>,000</w:t>
            </w:r>
          </w:p>
        </w:tc>
        <w:tc>
          <w:tcPr>
            <w:tcW w:w="1462"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552B0E">
              <w:rPr>
                <w:rFonts w:ascii="Arial" w:hAnsi="Arial" w:cs="Arial"/>
                <w:sz w:val="20"/>
                <w:szCs w:val="22"/>
              </w:rPr>
              <w:t>4</w:t>
            </w:r>
            <w:r w:rsidRPr="00982EF6">
              <w:rPr>
                <w:rFonts w:ascii="Arial" w:hAnsi="Arial" w:cs="Arial"/>
                <w:sz w:val="20"/>
                <w:szCs w:val="22"/>
              </w:rPr>
              <w:t>0,000</w:t>
            </w:r>
          </w:p>
        </w:tc>
        <w:tc>
          <w:tcPr>
            <w:tcW w:w="1464"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552B0E">
              <w:rPr>
                <w:rFonts w:ascii="Arial" w:hAnsi="Arial" w:cs="Arial"/>
                <w:sz w:val="20"/>
                <w:szCs w:val="22"/>
              </w:rPr>
              <w:t>4</w:t>
            </w:r>
            <w:r w:rsidR="00BE30B6">
              <w:rPr>
                <w:rFonts w:ascii="Arial" w:hAnsi="Arial" w:cs="Arial"/>
                <w:sz w:val="20"/>
                <w:szCs w:val="22"/>
              </w:rPr>
              <w:t>1</w:t>
            </w:r>
            <w:r w:rsidRPr="00982EF6">
              <w:rPr>
                <w:rFonts w:ascii="Arial" w:hAnsi="Arial" w:cs="Arial"/>
                <w:sz w:val="20"/>
                <w:szCs w:val="22"/>
              </w:rPr>
              <w:t>,000</w:t>
            </w:r>
          </w:p>
        </w:tc>
        <w:tc>
          <w:tcPr>
            <w:tcW w:w="1464"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552B0E">
              <w:rPr>
                <w:rFonts w:ascii="Arial" w:hAnsi="Arial" w:cs="Arial"/>
                <w:sz w:val="20"/>
                <w:szCs w:val="22"/>
              </w:rPr>
              <w:t>6</w:t>
            </w:r>
            <w:r w:rsidRPr="00982EF6">
              <w:rPr>
                <w:rFonts w:ascii="Arial" w:hAnsi="Arial" w:cs="Arial"/>
                <w:sz w:val="20"/>
                <w:szCs w:val="22"/>
              </w:rPr>
              <w:t>0,000</w:t>
            </w:r>
          </w:p>
        </w:tc>
      </w:tr>
      <w:tr w:rsidR="00B652E1" w:rsidRPr="00982EF6" w:rsidTr="00F762CA">
        <w:trPr>
          <w:trHeight w:val="510"/>
        </w:trPr>
        <w:tc>
          <w:tcPr>
            <w:tcW w:w="1838" w:type="dxa"/>
            <w:vAlign w:val="center"/>
          </w:tcPr>
          <w:p w:rsidR="00B652E1" w:rsidRPr="00B67EAD" w:rsidRDefault="00B652E1" w:rsidP="00B652E1">
            <w:pPr>
              <w:pStyle w:val="AfterFirstPara"/>
              <w:numPr>
                <w:ilvl w:val="0"/>
                <w:numId w:val="0"/>
              </w:numPr>
              <w:spacing w:before="0" w:after="0"/>
              <w:rPr>
                <w:rFonts w:ascii="Arial" w:hAnsi="Arial" w:cs="Arial"/>
                <w:sz w:val="20"/>
                <w:szCs w:val="22"/>
              </w:rPr>
            </w:pPr>
            <w:r w:rsidRPr="00B67EAD">
              <w:rPr>
                <w:rFonts w:ascii="Arial" w:hAnsi="Arial" w:cs="Arial"/>
                <w:sz w:val="20"/>
                <w:szCs w:val="22"/>
              </w:rPr>
              <w:t>Post travel and management costs (if required for fieldwork, training etc.)</w:t>
            </w:r>
          </w:p>
        </w:tc>
        <w:tc>
          <w:tcPr>
            <w:tcW w:w="1418"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552B0E">
              <w:rPr>
                <w:rFonts w:ascii="Arial" w:hAnsi="Arial" w:cs="Arial"/>
                <w:sz w:val="20"/>
                <w:szCs w:val="22"/>
              </w:rPr>
              <w:t>2</w:t>
            </w:r>
            <w:r w:rsidRPr="00982EF6">
              <w:rPr>
                <w:rFonts w:ascii="Arial" w:hAnsi="Arial" w:cs="Arial"/>
                <w:sz w:val="20"/>
                <w:szCs w:val="22"/>
              </w:rPr>
              <w:t>0,000</w:t>
            </w:r>
          </w:p>
        </w:tc>
        <w:tc>
          <w:tcPr>
            <w:tcW w:w="1417"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552B0E">
              <w:rPr>
                <w:rFonts w:ascii="Arial" w:hAnsi="Arial" w:cs="Arial"/>
                <w:sz w:val="20"/>
                <w:szCs w:val="22"/>
              </w:rPr>
              <w:t>2</w:t>
            </w:r>
            <w:r w:rsidRPr="00982EF6">
              <w:rPr>
                <w:rFonts w:ascii="Arial" w:hAnsi="Arial" w:cs="Arial"/>
                <w:sz w:val="20"/>
                <w:szCs w:val="22"/>
              </w:rPr>
              <w:t>0,000</w:t>
            </w:r>
          </w:p>
        </w:tc>
        <w:tc>
          <w:tcPr>
            <w:tcW w:w="1462"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BE30B6">
              <w:rPr>
                <w:rFonts w:ascii="Arial" w:hAnsi="Arial" w:cs="Arial"/>
                <w:sz w:val="20"/>
                <w:szCs w:val="22"/>
              </w:rPr>
              <w:t>1</w:t>
            </w:r>
            <w:r w:rsidRPr="00982EF6">
              <w:rPr>
                <w:rFonts w:ascii="Arial" w:hAnsi="Arial" w:cs="Arial"/>
                <w:sz w:val="20"/>
                <w:szCs w:val="22"/>
              </w:rPr>
              <w:t>0,000</w:t>
            </w:r>
          </w:p>
        </w:tc>
        <w:tc>
          <w:tcPr>
            <w:tcW w:w="1464"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BE30B6">
              <w:rPr>
                <w:rFonts w:ascii="Arial" w:hAnsi="Arial" w:cs="Arial"/>
                <w:sz w:val="20"/>
                <w:szCs w:val="22"/>
              </w:rPr>
              <w:t>1</w:t>
            </w:r>
            <w:r w:rsidRPr="00982EF6">
              <w:rPr>
                <w:rFonts w:ascii="Arial" w:hAnsi="Arial" w:cs="Arial"/>
                <w:sz w:val="20"/>
                <w:szCs w:val="22"/>
              </w:rPr>
              <w:t>0,000</w:t>
            </w:r>
          </w:p>
        </w:tc>
        <w:tc>
          <w:tcPr>
            <w:tcW w:w="1464"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sidRPr="00982EF6">
              <w:rPr>
                <w:rFonts w:ascii="Arial" w:hAnsi="Arial" w:cs="Arial"/>
                <w:sz w:val="20"/>
                <w:szCs w:val="22"/>
              </w:rPr>
              <w:t>A$</w:t>
            </w:r>
            <w:r w:rsidR="00BE30B6">
              <w:rPr>
                <w:rFonts w:ascii="Arial" w:hAnsi="Arial" w:cs="Arial"/>
                <w:sz w:val="20"/>
                <w:szCs w:val="22"/>
              </w:rPr>
              <w:t>1</w:t>
            </w:r>
            <w:r w:rsidRPr="00982EF6">
              <w:rPr>
                <w:rFonts w:ascii="Arial" w:hAnsi="Arial" w:cs="Arial"/>
                <w:sz w:val="20"/>
                <w:szCs w:val="22"/>
              </w:rPr>
              <w:t>0,000</w:t>
            </w:r>
          </w:p>
        </w:tc>
      </w:tr>
      <w:tr w:rsidR="00B652E1" w:rsidRPr="00982EF6" w:rsidTr="00F762CA">
        <w:trPr>
          <w:trHeight w:val="510"/>
        </w:trPr>
        <w:tc>
          <w:tcPr>
            <w:tcW w:w="1838" w:type="dxa"/>
            <w:vAlign w:val="center"/>
          </w:tcPr>
          <w:p w:rsidR="00B652E1" w:rsidRPr="00B67EAD" w:rsidRDefault="00B652E1" w:rsidP="00B652E1">
            <w:pPr>
              <w:pStyle w:val="AfterFirstPara"/>
              <w:numPr>
                <w:ilvl w:val="0"/>
                <w:numId w:val="0"/>
              </w:numPr>
              <w:spacing w:before="0" w:after="0"/>
              <w:rPr>
                <w:rFonts w:ascii="Arial" w:hAnsi="Arial" w:cs="Arial"/>
                <w:sz w:val="20"/>
                <w:szCs w:val="22"/>
              </w:rPr>
            </w:pPr>
            <w:r w:rsidRPr="00F12BE8">
              <w:rPr>
                <w:rFonts w:ascii="Arial" w:hAnsi="Arial"/>
                <w:sz w:val="20"/>
              </w:rPr>
              <w:t>Total</w:t>
            </w:r>
          </w:p>
        </w:tc>
        <w:tc>
          <w:tcPr>
            <w:tcW w:w="1418"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Pr>
                <w:rFonts w:ascii="Arial" w:hAnsi="Arial" w:cs="Arial"/>
                <w:sz w:val="20"/>
                <w:szCs w:val="22"/>
              </w:rPr>
              <w:t>A$</w:t>
            </w:r>
            <w:r w:rsidR="00BE30B6">
              <w:rPr>
                <w:rFonts w:ascii="Arial" w:hAnsi="Arial" w:cs="Arial"/>
                <w:sz w:val="20"/>
                <w:szCs w:val="22"/>
              </w:rPr>
              <w:t>105</w:t>
            </w:r>
            <w:r>
              <w:rPr>
                <w:rFonts w:ascii="Arial" w:hAnsi="Arial" w:cs="Arial"/>
                <w:sz w:val="20"/>
                <w:szCs w:val="22"/>
              </w:rPr>
              <w:t>,000</w:t>
            </w:r>
          </w:p>
        </w:tc>
        <w:tc>
          <w:tcPr>
            <w:tcW w:w="1417"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Pr>
                <w:rFonts w:ascii="Arial" w:hAnsi="Arial" w:cs="Arial"/>
                <w:sz w:val="20"/>
                <w:szCs w:val="22"/>
              </w:rPr>
              <w:t>A$</w:t>
            </w:r>
            <w:r w:rsidR="00BE30B6">
              <w:rPr>
                <w:rFonts w:ascii="Arial" w:hAnsi="Arial" w:cs="Arial"/>
                <w:sz w:val="20"/>
                <w:szCs w:val="22"/>
              </w:rPr>
              <w:t>85</w:t>
            </w:r>
            <w:r>
              <w:rPr>
                <w:rFonts w:ascii="Arial" w:hAnsi="Arial" w:cs="Arial"/>
                <w:sz w:val="20"/>
                <w:szCs w:val="22"/>
              </w:rPr>
              <w:t>,000</w:t>
            </w:r>
          </w:p>
        </w:tc>
        <w:tc>
          <w:tcPr>
            <w:tcW w:w="1462" w:type="dxa"/>
            <w:vAlign w:val="center"/>
          </w:tcPr>
          <w:p w:rsidR="00B652E1" w:rsidRPr="00982EF6" w:rsidRDefault="00B652E1" w:rsidP="00552B0E">
            <w:pPr>
              <w:pStyle w:val="AfterFirstPara"/>
              <w:numPr>
                <w:ilvl w:val="0"/>
                <w:numId w:val="0"/>
              </w:numPr>
              <w:spacing w:before="0" w:after="0"/>
              <w:jc w:val="right"/>
              <w:rPr>
                <w:rFonts w:ascii="Arial" w:hAnsi="Arial" w:cs="Arial"/>
                <w:sz w:val="20"/>
                <w:szCs w:val="22"/>
              </w:rPr>
            </w:pPr>
            <w:r>
              <w:rPr>
                <w:rFonts w:ascii="Arial" w:hAnsi="Arial" w:cs="Arial"/>
                <w:sz w:val="20"/>
                <w:szCs w:val="22"/>
              </w:rPr>
              <w:t>A$</w:t>
            </w:r>
            <w:r w:rsidR="00BE30B6">
              <w:rPr>
                <w:rFonts w:ascii="Arial" w:hAnsi="Arial" w:cs="Arial"/>
                <w:sz w:val="20"/>
                <w:szCs w:val="22"/>
              </w:rPr>
              <w:t>15</w:t>
            </w:r>
            <w:r w:rsidR="00552B0E">
              <w:rPr>
                <w:rFonts w:ascii="Arial" w:hAnsi="Arial" w:cs="Arial"/>
                <w:sz w:val="20"/>
                <w:szCs w:val="22"/>
              </w:rPr>
              <w:t>5</w:t>
            </w:r>
            <w:r>
              <w:rPr>
                <w:rFonts w:ascii="Arial" w:hAnsi="Arial" w:cs="Arial"/>
                <w:sz w:val="20"/>
                <w:szCs w:val="22"/>
              </w:rPr>
              <w:t>,000</w:t>
            </w:r>
          </w:p>
        </w:tc>
        <w:tc>
          <w:tcPr>
            <w:tcW w:w="1464" w:type="dxa"/>
            <w:vAlign w:val="center"/>
          </w:tcPr>
          <w:p w:rsidR="00B652E1" w:rsidRPr="00982EF6" w:rsidRDefault="00B652E1" w:rsidP="00B67EAD">
            <w:pPr>
              <w:pStyle w:val="AfterFirstPara"/>
              <w:numPr>
                <w:ilvl w:val="0"/>
                <w:numId w:val="0"/>
              </w:numPr>
              <w:spacing w:before="0" w:after="0"/>
              <w:jc w:val="right"/>
              <w:rPr>
                <w:rFonts w:ascii="Arial" w:hAnsi="Arial" w:cs="Arial"/>
                <w:sz w:val="20"/>
                <w:szCs w:val="22"/>
              </w:rPr>
            </w:pPr>
            <w:r>
              <w:rPr>
                <w:rFonts w:ascii="Arial" w:hAnsi="Arial" w:cs="Arial"/>
                <w:sz w:val="20"/>
                <w:szCs w:val="22"/>
              </w:rPr>
              <w:t>A$</w:t>
            </w:r>
            <w:r w:rsidR="00BE30B6">
              <w:rPr>
                <w:rFonts w:ascii="Arial" w:hAnsi="Arial" w:cs="Arial"/>
                <w:sz w:val="20"/>
                <w:szCs w:val="22"/>
              </w:rPr>
              <w:t>56</w:t>
            </w:r>
            <w:r>
              <w:rPr>
                <w:rFonts w:ascii="Arial" w:hAnsi="Arial" w:cs="Arial"/>
                <w:sz w:val="20"/>
                <w:szCs w:val="22"/>
              </w:rPr>
              <w:t>,000</w:t>
            </w:r>
          </w:p>
        </w:tc>
        <w:tc>
          <w:tcPr>
            <w:tcW w:w="1464" w:type="dxa"/>
            <w:vAlign w:val="center"/>
          </w:tcPr>
          <w:p w:rsidR="00B652E1" w:rsidRPr="00982EF6" w:rsidRDefault="00BE30B6"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A$129</w:t>
            </w:r>
            <w:r w:rsidR="00B652E1">
              <w:rPr>
                <w:rFonts w:ascii="Arial" w:hAnsi="Arial" w:cs="Arial"/>
                <w:sz w:val="20"/>
                <w:szCs w:val="22"/>
              </w:rPr>
              <w:t>,000</w:t>
            </w:r>
          </w:p>
        </w:tc>
      </w:tr>
      <w:tr w:rsidR="00F762CA" w:rsidRPr="00982EF6" w:rsidTr="00F762CA">
        <w:trPr>
          <w:trHeight w:val="510"/>
        </w:trPr>
        <w:tc>
          <w:tcPr>
            <w:tcW w:w="1838" w:type="dxa"/>
            <w:vAlign w:val="center"/>
          </w:tcPr>
          <w:p w:rsidR="00F762CA" w:rsidRPr="00F12BE8" w:rsidRDefault="00F762CA" w:rsidP="00B652E1">
            <w:pPr>
              <w:pStyle w:val="AfterFirstPara"/>
              <w:numPr>
                <w:ilvl w:val="0"/>
                <w:numId w:val="0"/>
              </w:numPr>
              <w:spacing w:before="0" w:after="0"/>
              <w:rPr>
                <w:rFonts w:ascii="Arial" w:hAnsi="Arial"/>
                <w:sz w:val="20"/>
              </w:rPr>
            </w:pPr>
            <w:r>
              <w:rPr>
                <w:rFonts w:ascii="Arial" w:hAnsi="Arial"/>
                <w:sz w:val="20"/>
              </w:rPr>
              <w:t>TOTAL COST</w:t>
            </w:r>
          </w:p>
        </w:tc>
        <w:tc>
          <w:tcPr>
            <w:tcW w:w="7225" w:type="dxa"/>
            <w:gridSpan w:val="5"/>
            <w:vAlign w:val="center"/>
          </w:tcPr>
          <w:p w:rsidR="00F762CA" w:rsidRDefault="00F762CA" w:rsidP="00B652E1">
            <w:pPr>
              <w:pStyle w:val="AfterFirstPara"/>
              <w:numPr>
                <w:ilvl w:val="0"/>
                <w:numId w:val="0"/>
              </w:numPr>
              <w:spacing w:before="0" w:after="0"/>
              <w:jc w:val="right"/>
              <w:rPr>
                <w:rFonts w:ascii="Arial" w:hAnsi="Arial" w:cs="Arial"/>
                <w:sz w:val="20"/>
                <w:szCs w:val="22"/>
              </w:rPr>
            </w:pPr>
            <w:r>
              <w:rPr>
                <w:rFonts w:ascii="Arial" w:hAnsi="Arial" w:cs="Arial"/>
                <w:sz w:val="20"/>
                <w:szCs w:val="22"/>
              </w:rPr>
              <w:t>A$530,000</w:t>
            </w:r>
          </w:p>
        </w:tc>
      </w:tr>
    </w:tbl>
    <w:p w:rsidR="00B652E1" w:rsidRDefault="00B652E1" w:rsidP="00B652E1">
      <w:pPr>
        <w:spacing w:line="276" w:lineRule="auto"/>
        <w:rPr>
          <w:rFonts w:ascii="Franklin Gothic Book" w:hAnsi="Franklin Gothic Book"/>
          <w:szCs w:val="20"/>
        </w:rPr>
      </w:pPr>
    </w:p>
    <w:p w:rsidR="00552B0E" w:rsidRDefault="00552B0E" w:rsidP="00B652E1">
      <w:pPr>
        <w:spacing w:line="276" w:lineRule="auto"/>
        <w:rPr>
          <w:rFonts w:ascii="Franklin Gothic Book" w:hAnsi="Franklin Gothic Book"/>
          <w:szCs w:val="20"/>
        </w:rPr>
      </w:pPr>
    </w:p>
    <w:p w:rsidR="00B652E1" w:rsidRPr="009C044C" w:rsidRDefault="00B652E1" w:rsidP="00B652E1">
      <w:pPr>
        <w:spacing w:after="200" w:line="276" w:lineRule="auto"/>
        <w:rPr>
          <w:rFonts w:ascii="Franklin Gothic Book" w:hAnsi="Franklin Gothic Book"/>
          <w:szCs w:val="20"/>
        </w:rPr>
      </w:pPr>
      <w:r w:rsidRPr="009C044C">
        <w:rPr>
          <w:rFonts w:ascii="Franklin Gothic Book" w:hAnsi="Franklin Gothic Book"/>
          <w:szCs w:val="20"/>
        </w:rPr>
        <w:t xml:space="preserve">The budget is allocated each year in March against work-plans (called “Annual Management Plans” (AMPs) in the Ministry of Health). The allocation decisions are made by the National Health Development Committee for the MOH funds and by the TongaHealth Board for TongaHealth’s funds, with DFAT present at both meetings for the relevant agenda items. The Annual Management Plans are developed by sections within the Ministry of Health and then collated into six divisional AMPs. The organisational structure of the Ministry is shown in Figure </w:t>
      </w:r>
      <w:r>
        <w:rPr>
          <w:rFonts w:ascii="Franklin Gothic Book" w:hAnsi="Franklin Gothic Book"/>
          <w:szCs w:val="20"/>
        </w:rPr>
        <w:t>1</w:t>
      </w:r>
      <w:r w:rsidRPr="009C044C">
        <w:rPr>
          <w:rFonts w:ascii="Franklin Gothic Book" w:hAnsi="Franklin Gothic Book"/>
          <w:szCs w:val="20"/>
        </w:rPr>
        <w:t xml:space="preserve">. AMPs will need to be submitted two weeks before NHDC and TongaHealth Board meetings to allow time for scrutiny. </w:t>
      </w:r>
    </w:p>
    <w:p w:rsidR="00B652E1" w:rsidRPr="009C044C" w:rsidRDefault="00B652E1" w:rsidP="00B652E1">
      <w:pPr>
        <w:spacing w:after="200" w:line="276" w:lineRule="auto"/>
        <w:rPr>
          <w:rFonts w:ascii="Franklin Gothic Book" w:hAnsi="Franklin Gothic Book"/>
          <w:szCs w:val="20"/>
        </w:rPr>
      </w:pPr>
      <w:r w:rsidRPr="009C044C">
        <w:rPr>
          <w:rFonts w:ascii="Franklin Gothic Book" w:hAnsi="Franklin Gothic Book"/>
          <w:szCs w:val="20"/>
        </w:rPr>
        <w:t xml:space="preserve">There is already a system within the Ministry for quarterly reports based on AMPs. However the system does not work well and not all sections report. THSSP2 aims to support the improvement of the system in terms of completeness and in the way that the NHDC and divisional heads respond to the information about activities and expenditure in the quarterly reports. These processes of planning, budgeting and reporting take time to develop –THSSP2 has a strong focus on systems improvement, supported by TA. This support is partly about the systems themselves, but is also about </w:t>
      </w:r>
      <w:r w:rsidRPr="009C044C">
        <w:rPr>
          <w:rFonts w:ascii="Franklin Gothic Book" w:hAnsi="Franklin Gothic Book"/>
          <w:i/>
          <w:szCs w:val="20"/>
        </w:rPr>
        <w:t xml:space="preserve">what </w:t>
      </w:r>
      <w:r w:rsidRPr="009C044C">
        <w:rPr>
          <w:rFonts w:ascii="Franklin Gothic Book" w:hAnsi="Franklin Gothic Book"/>
          <w:szCs w:val="20"/>
        </w:rPr>
        <w:t xml:space="preserve">is funded. DFAT will make the case for spending on evidence-based interventions that take into account the needs of males and females, the more remote communities in Tonga and people with disabilities. </w:t>
      </w:r>
    </w:p>
    <w:p w:rsidR="00B652E1" w:rsidRPr="00B67EAD" w:rsidRDefault="00B652E1" w:rsidP="00B652E1">
      <w:pPr>
        <w:spacing w:after="200" w:line="276" w:lineRule="auto"/>
        <w:rPr>
          <w:rFonts w:ascii="Franklin Gothic Book" w:hAnsi="Franklin Gothic Book"/>
          <w:szCs w:val="20"/>
        </w:rPr>
      </w:pPr>
      <w:r w:rsidRPr="009C044C">
        <w:rPr>
          <w:rFonts w:ascii="Franklin Gothic Book" w:hAnsi="Franklin Gothic Book"/>
          <w:szCs w:val="20"/>
        </w:rPr>
        <w:t xml:space="preserve">DFAT will base its six-monthly tranche releases on the work-plans and the quarterly reports about activities and expenditure. Once the work-plans have been approved by the NHDC or TongaHealth Board, there will be a stage for formal DFAT approval. Although the content of the work-plans should already have been discussed thoroughly at this stage, this gives DFAT the </w:t>
      </w:r>
      <w:r w:rsidRPr="00B67EAD">
        <w:rPr>
          <w:rFonts w:ascii="Franklin Gothic Book" w:hAnsi="Franklin Gothic Book"/>
          <w:szCs w:val="20"/>
        </w:rPr>
        <w:t>formal opportunity to decline funding for anything which it deems unacceptable.</w:t>
      </w:r>
    </w:p>
    <w:p w:rsidR="00B652E1" w:rsidRPr="00B67EAD" w:rsidRDefault="00B652E1" w:rsidP="00B652E1">
      <w:pPr>
        <w:spacing w:after="200" w:line="276" w:lineRule="auto"/>
        <w:rPr>
          <w:rFonts w:ascii="Franklin Gothic Book" w:hAnsi="Franklin Gothic Book"/>
          <w:szCs w:val="20"/>
        </w:rPr>
      </w:pPr>
      <w:r w:rsidRPr="00B67EAD">
        <w:rPr>
          <w:rFonts w:ascii="Franklin Gothic Book" w:hAnsi="Franklin Gothic Book"/>
          <w:szCs w:val="20"/>
        </w:rPr>
        <w:t xml:space="preserve">Throughout the process, DFAT staff will assure themselves that financial management is in accordance with the relevant Tongan and Australian legislation and rules, including the Public Governance, Performance and Accountability </w:t>
      </w:r>
      <w:r w:rsidR="00454314">
        <w:rPr>
          <w:rFonts w:ascii="Franklin Gothic Book" w:hAnsi="Franklin Gothic Book"/>
          <w:szCs w:val="20"/>
        </w:rPr>
        <w:t xml:space="preserve">(PGFA) </w:t>
      </w:r>
      <w:r w:rsidRPr="00B67EAD">
        <w:rPr>
          <w:rFonts w:ascii="Franklin Gothic Book" w:hAnsi="Franklin Gothic Book"/>
          <w:szCs w:val="20"/>
        </w:rPr>
        <w:t xml:space="preserve">Act.   </w:t>
      </w:r>
    </w:p>
    <w:p w:rsidR="00B652E1"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Tonga is vulnerable to natural disasters and it is important that there is enough flexibility within THSSP2 to respond to </w:t>
      </w:r>
      <w:r w:rsidRPr="00B67EAD">
        <w:rPr>
          <w:rFonts w:ascii="Franklin Gothic Book" w:hAnsi="Franklin Gothic Book"/>
          <w:b/>
          <w:szCs w:val="20"/>
        </w:rPr>
        <w:t>emergencies</w:t>
      </w:r>
      <w:r w:rsidRPr="00B67EAD">
        <w:rPr>
          <w:rFonts w:ascii="Franklin Gothic Book" w:hAnsi="Franklin Gothic Book"/>
          <w:szCs w:val="20"/>
        </w:rPr>
        <w:t>. As described in Table 1a, during THSSP1 the Flexible Fund was used to respond quickly to the effects of Tropical Cyclone Ian in 2014. In exceptional circumstances, an emergency meeting of the NHDC can be called (or at least as many members as are available in the circumstances) and recommendations made about funding for emergency needs. This provides a valuable response mechanism which is flexible and rapid. Funds can be re-directed quickly, with a later decision about whether this will ultimately be paid for through re-prioritisation of the existing THSSP2 budget or through a top-up from DFAT. This is an important part of overall disaster preparedness planning in Tonga. To ensure that this arrangement is not misused, the Ministry of Health and DFAT will need to agree at any emergency meeting that the circumstances are indeed exceptional and that it is reasonable to treat the situation as an emergency.</w:t>
      </w:r>
      <w:r>
        <w:rPr>
          <w:rFonts w:ascii="Franklin Gothic Book" w:hAnsi="Franklin Gothic Book"/>
          <w:szCs w:val="20"/>
        </w:rPr>
        <w:t xml:space="preserve"> </w:t>
      </w:r>
      <w:r w:rsidR="00994434">
        <w:rPr>
          <w:rFonts w:ascii="Franklin Gothic Book" w:hAnsi="Franklin Gothic Book"/>
          <w:szCs w:val="20"/>
        </w:rPr>
        <w:t>This will be considered by DFAT on a case by case basis with approval required from appropriate delegate (as per the PGPA Act).</w:t>
      </w:r>
      <w:r>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An innovative aspect of THSSP2 is that $1 million (over the five years) of the budget will be reserved for </w:t>
      </w:r>
      <w:r w:rsidRPr="008C735E">
        <w:rPr>
          <w:rFonts w:ascii="Franklin Gothic Book" w:hAnsi="Franklin Gothic Book"/>
          <w:b/>
          <w:szCs w:val="20"/>
        </w:rPr>
        <w:t>performance based payments</w:t>
      </w:r>
      <w:r w:rsidRPr="005F4FAA">
        <w:rPr>
          <w:rFonts w:ascii="Franklin Gothic Book" w:hAnsi="Franklin Gothic Book"/>
          <w:szCs w:val="20"/>
        </w:rPr>
        <w:t xml:space="preserve"> to the Ministry of Health. The money will be allocated in two ways: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pStyle w:val="ListParagraph"/>
        <w:numPr>
          <w:ilvl w:val="0"/>
          <w:numId w:val="35"/>
        </w:numPr>
        <w:spacing w:line="276" w:lineRule="auto"/>
        <w:rPr>
          <w:rFonts w:ascii="Franklin Gothic Book" w:hAnsi="Franklin Gothic Book"/>
          <w:sz w:val="20"/>
          <w:szCs w:val="20"/>
          <w:lang w:val="en-GB"/>
        </w:rPr>
      </w:pPr>
      <w:r w:rsidRPr="005F4FAA">
        <w:rPr>
          <w:rFonts w:ascii="Franklin Gothic Book" w:hAnsi="Franklin Gothic Book"/>
          <w:sz w:val="20"/>
          <w:szCs w:val="20"/>
          <w:lang w:val="en-GB"/>
        </w:rPr>
        <w:t xml:space="preserve">Up to $600,000 allocated by a small team of 3-4 senior managers (including DFAT representation) meeting annually in April, based on the Annual Management Plans and quarterly monitoring reports. </w:t>
      </w:r>
    </w:p>
    <w:p w:rsidR="00B652E1" w:rsidRPr="00B67EAD" w:rsidRDefault="00B652E1" w:rsidP="00B652E1">
      <w:pPr>
        <w:pStyle w:val="ListParagraph"/>
        <w:numPr>
          <w:ilvl w:val="0"/>
          <w:numId w:val="35"/>
        </w:numPr>
        <w:spacing w:line="276" w:lineRule="auto"/>
        <w:rPr>
          <w:rFonts w:ascii="Franklin Gothic Book" w:hAnsi="Franklin Gothic Book"/>
          <w:sz w:val="20"/>
          <w:szCs w:val="20"/>
          <w:lang w:val="en-GB"/>
        </w:rPr>
      </w:pPr>
      <w:r w:rsidRPr="00B67EAD">
        <w:rPr>
          <w:rFonts w:ascii="Franklin Gothic Book" w:hAnsi="Franklin Gothic Book"/>
          <w:sz w:val="20"/>
          <w:szCs w:val="20"/>
          <w:lang w:val="en-GB"/>
        </w:rPr>
        <w:t xml:space="preserve">Up to $400,000 based on the findings of the Independent Progress Report (IPR) in late 2017 and towards the end of THSSP2 in 2019/20 based on the extent to which the targets have been achieved and the recommendations of the IPR have been implemented. </w:t>
      </w: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Incentive payments can be made to divisions or sections (the divisions vary greatly in size) and all recipients will be encouraged to spend the money close to the “front line” – for example the Public Health Division could reward some well-performing health centres. Recipients will be asked to describe how the money will be used in a simple addendum to their annual work-plan. The subsequent quarterly report will record how the incentive payments have been used.</w:t>
      </w: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Draft guidelines for the allocation of performance-bas</w:t>
      </w:r>
      <w:r>
        <w:rPr>
          <w:rFonts w:ascii="Franklin Gothic Book" w:hAnsi="Franklin Gothic Book"/>
          <w:szCs w:val="20"/>
        </w:rPr>
        <w:t>ed payments are given in Annex 7</w:t>
      </w:r>
      <w:r w:rsidRPr="005F4FAA">
        <w:rPr>
          <w:rFonts w:ascii="Franklin Gothic Book" w:hAnsi="Franklin Gothic Book"/>
          <w:szCs w:val="20"/>
        </w:rPr>
        <w:t>.</w:t>
      </w:r>
    </w:p>
    <w:p w:rsidR="00B652E1" w:rsidRPr="005F4FAA" w:rsidRDefault="00B652E1" w:rsidP="00B652E1">
      <w:pPr>
        <w:spacing w:line="276" w:lineRule="auto"/>
        <w:rPr>
          <w:rFonts w:ascii="Franklin Gothic Book" w:hAnsi="Franklin Gothic Book"/>
          <w:szCs w:val="20"/>
          <w:lang w:val="en-GB"/>
        </w:rPr>
      </w:pPr>
      <w:r w:rsidRPr="005F4FAA">
        <w:rPr>
          <w:rFonts w:ascii="Franklin Gothic Book" w:hAnsi="Franklin Gothic Book"/>
          <w:szCs w:val="20"/>
          <w:lang w:val="en-GB"/>
        </w:rPr>
        <w:t xml:space="preserve">Table </w:t>
      </w:r>
      <w:r>
        <w:rPr>
          <w:rFonts w:ascii="Franklin Gothic Book" w:hAnsi="Franklin Gothic Book"/>
          <w:szCs w:val="20"/>
          <w:lang w:val="en-GB"/>
        </w:rPr>
        <w:t>5</w:t>
      </w:r>
      <w:r w:rsidRPr="005F4FAA">
        <w:rPr>
          <w:rFonts w:ascii="Franklin Gothic Book" w:hAnsi="Franklin Gothic Book"/>
          <w:szCs w:val="20"/>
          <w:lang w:val="en-GB"/>
        </w:rPr>
        <w:t xml:space="preserve"> summarises the main planning, reporting and financing events in the annual calendar</w:t>
      </w:r>
      <w:r>
        <w:rPr>
          <w:rFonts w:ascii="Franklin Gothic Book" w:hAnsi="Franklin Gothic Book"/>
          <w:szCs w:val="20"/>
          <w:lang w:val="en-GB"/>
        </w:rPr>
        <w:t>. Figure 2</w:t>
      </w:r>
      <w:r w:rsidRPr="005F4FAA">
        <w:rPr>
          <w:rFonts w:ascii="Franklin Gothic Book" w:hAnsi="Franklin Gothic Book"/>
          <w:szCs w:val="20"/>
          <w:lang w:val="en-GB"/>
        </w:rPr>
        <w:t xml:space="preserve"> presents key timings in the form of a flow diagram.</w:t>
      </w:r>
    </w:p>
    <w:p w:rsidR="00B652E1" w:rsidRDefault="00B652E1" w:rsidP="00B652E1">
      <w:pPr>
        <w:spacing w:after="200" w:line="276" w:lineRule="auto"/>
        <w:rPr>
          <w:rFonts w:ascii="Franklin Gothic Book" w:hAnsi="Franklin Gothic Book"/>
          <w:szCs w:val="20"/>
        </w:rPr>
      </w:pPr>
    </w:p>
    <w:p w:rsidR="00B652E1" w:rsidRDefault="00B652E1" w:rsidP="00B652E1">
      <w:pPr>
        <w:spacing w:after="200" w:line="276" w:lineRule="auto"/>
        <w:rPr>
          <w:rFonts w:ascii="Franklin Gothic Book" w:hAnsi="Franklin Gothic Book"/>
          <w:szCs w:val="20"/>
        </w:rPr>
      </w:pPr>
    </w:p>
    <w:p w:rsidR="00B652E1" w:rsidRPr="005F4FAA" w:rsidRDefault="00B652E1" w:rsidP="00B652E1">
      <w:pPr>
        <w:spacing w:after="200" w:line="276" w:lineRule="auto"/>
        <w:rPr>
          <w:rFonts w:ascii="Franklin Gothic Book" w:hAnsi="Franklin Gothic Book"/>
          <w:szCs w:val="20"/>
        </w:rPr>
      </w:pPr>
      <w:r w:rsidRPr="00B67EAD">
        <w:rPr>
          <w:rFonts w:ascii="Franklin Gothic Book" w:hAnsi="Franklin Gothic Book"/>
          <w:szCs w:val="20"/>
        </w:rPr>
        <w:t>Although the bulk of DFAT funds go directly to only two organisations – the Ministry of Health and TongaHealth – many other organisations will benefit indirectly by receiving funds from TongaHealth and, to a lesser extent, the Ministry. TongaHealth is essentially a funding and co-</w:t>
      </w:r>
      <w:r w:rsidRPr="005F4FAA">
        <w:rPr>
          <w:rFonts w:ascii="Franklin Gothic Book" w:hAnsi="Franklin Gothic Book"/>
          <w:szCs w:val="20"/>
        </w:rPr>
        <w:t>ordinating mechanism which passes on grants to other organizations (government and non-government) doing work in relation t</w:t>
      </w:r>
      <w:r>
        <w:rPr>
          <w:rFonts w:ascii="Franklin Gothic Book" w:hAnsi="Franklin Gothic Book"/>
          <w:szCs w:val="20"/>
        </w:rPr>
        <w:t>o NCDs (see Figure 4 later in the document</w:t>
      </w:r>
      <w:r w:rsidRPr="005F4FAA">
        <w:rPr>
          <w:rFonts w:ascii="Franklin Gothic Book" w:hAnsi="Franklin Gothic Book"/>
          <w:szCs w:val="20"/>
        </w:rPr>
        <w:t xml:space="preserve">). The Ministry of Health also funds activities by other organisations, notably the St. John of God Hospital Ballarat, with which it has a long-standing twinning arrangement. Allocations to other organisations can take place as long as they are approved as part of a work-plan.  </w:t>
      </w: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 xml:space="preserve">The inclusion of TongaHealth as a significant recipient of funds based on their plans is an innovative aspect of THSSP2. It is notoriously difficult to organise a multi-sectoral response to a health issue such as NCDs –Ministries of Health (which are often junior ministries) typically struggle with this aspect of their remit. The creation of a Foundation such as TongaHealth, with backing from the national Cabinet, is an attempt to tackle this challenge in a different way. After a faltering start, the role of TongaHealth has been formally clarified in a Memorandum of Understanding – THSSP2 offers TongaHealth the opportunity to demonstrate the extent to which it can interest other governmental and non-governmental institutions in contributing to the control of NCDs. </w:t>
      </w: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line="276" w:lineRule="auto"/>
        <w:rPr>
          <w:rFonts w:ascii="Franklin Gothic Book" w:hAnsi="Franklin Gothic Book"/>
          <w:szCs w:val="20"/>
          <w:lang w:val="en-GB"/>
        </w:rPr>
      </w:pPr>
    </w:p>
    <w:p w:rsidR="00B652E1" w:rsidRPr="005F4FAA" w:rsidRDefault="00B652E1" w:rsidP="00B652E1">
      <w:pPr>
        <w:spacing w:line="276" w:lineRule="auto"/>
        <w:rPr>
          <w:rFonts w:ascii="Franklin Gothic Book" w:hAnsi="Franklin Gothic Book"/>
          <w:szCs w:val="20"/>
          <w:lang w:val="en-GB"/>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Default="00B652E1" w:rsidP="00B652E1">
      <w:pPr>
        <w:spacing w:after="200" w:line="276" w:lineRule="auto"/>
        <w:rPr>
          <w:rFonts w:ascii="Franklin Gothic Book" w:hAnsi="Franklin Gothic Book"/>
          <w:b/>
          <w:szCs w:val="20"/>
        </w:rPr>
      </w:pPr>
    </w:p>
    <w:p w:rsidR="00B652E1" w:rsidRPr="005F4FAA" w:rsidRDefault="00B652E1" w:rsidP="00B652E1">
      <w:pPr>
        <w:spacing w:after="200" w:line="276" w:lineRule="auto"/>
        <w:rPr>
          <w:rFonts w:ascii="Franklin Gothic Book" w:hAnsi="Franklin Gothic Book"/>
          <w:b/>
          <w:szCs w:val="20"/>
        </w:rPr>
      </w:pPr>
      <w:r w:rsidRPr="005F4FAA">
        <w:rPr>
          <w:rFonts w:ascii="Franklin Gothic Book" w:hAnsi="Franklin Gothic Book"/>
          <w:b/>
          <w:szCs w:val="20"/>
        </w:rPr>
        <w:t xml:space="preserve">Figure </w:t>
      </w:r>
      <w:r>
        <w:rPr>
          <w:rFonts w:ascii="Franklin Gothic Book" w:hAnsi="Franklin Gothic Book"/>
          <w:b/>
          <w:szCs w:val="20"/>
        </w:rPr>
        <w:t>1</w:t>
      </w:r>
      <w:r w:rsidRPr="005F4FAA">
        <w:rPr>
          <w:rFonts w:ascii="Franklin Gothic Book" w:hAnsi="Franklin Gothic Book"/>
          <w:b/>
          <w:szCs w:val="20"/>
        </w:rPr>
        <w:t xml:space="preserve"> Organisational</w:t>
      </w:r>
      <w:r w:rsidRPr="005F4FAA">
        <w:rPr>
          <w:rFonts w:ascii="Franklin Gothic Book" w:hAnsi="Franklin Gothic Book"/>
          <w:szCs w:val="20"/>
        </w:rPr>
        <w:t xml:space="preserve"> </w:t>
      </w:r>
      <w:r w:rsidRPr="005F4FAA">
        <w:rPr>
          <w:rFonts w:ascii="Franklin Gothic Book" w:hAnsi="Franklin Gothic Book"/>
          <w:b/>
          <w:szCs w:val="20"/>
        </w:rPr>
        <w:t>structure of the Ministry of Health</w:t>
      </w:r>
      <w:r w:rsidRPr="005F4FAA">
        <w:rPr>
          <w:rFonts w:ascii="Franklin Gothic Book" w:hAnsi="Franklin Gothic Book"/>
          <w:szCs w:val="20"/>
        </w:rPr>
        <w:t xml:space="preserve"> </w:t>
      </w: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noProof/>
          <w:szCs w:val="20"/>
        </w:rPr>
        <w:drawing>
          <wp:inline distT="0" distB="0" distL="0" distR="0" wp14:anchorId="28337090" wp14:editId="58721B61">
            <wp:extent cx="5184775" cy="6050436"/>
            <wp:effectExtent l="0" t="0" r="0" b="7620"/>
            <wp:docPr id="4" name="Picture 1" descr="C:\Users\carol_000\Documents\ACTRA ADVISERS\tonga\Drawing (Tonga Organi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_000\Documents\ACTRA ADVISERS\tonga\Drawing (Tonga Organigram).jpg"/>
                    <pic:cNvPicPr>
                      <a:picLocks noChangeAspect="1" noChangeArrowheads="1"/>
                    </pic:cNvPicPr>
                  </pic:nvPicPr>
                  <pic:blipFill>
                    <a:blip r:embed="rId10" cstate="print"/>
                    <a:srcRect/>
                    <a:stretch>
                      <a:fillRect/>
                    </a:stretch>
                  </pic:blipFill>
                  <pic:spPr bwMode="auto">
                    <a:xfrm>
                      <a:off x="0" y="0"/>
                      <a:ext cx="5184775" cy="6050436"/>
                    </a:xfrm>
                    <a:prstGeom prst="rect">
                      <a:avLst/>
                    </a:prstGeom>
                    <a:noFill/>
                    <a:ln w="9525">
                      <a:noFill/>
                      <a:miter lim="800000"/>
                      <a:headEnd/>
                      <a:tailEnd/>
                    </a:ln>
                  </pic:spPr>
                </pic:pic>
              </a:graphicData>
            </a:graphic>
          </wp:inline>
        </w:drawing>
      </w:r>
    </w:p>
    <w:p w:rsidR="00B652E1" w:rsidRPr="005F4FAA" w:rsidRDefault="00B652E1" w:rsidP="00B652E1">
      <w:pPr>
        <w:spacing w:after="200" w:line="276" w:lineRule="auto"/>
        <w:rPr>
          <w:rFonts w:ascii="Franklin Gothic Book" w:hAnsi="Franklin Gothic Book"/>
          <w:b/>
          <w:szCs w:val="20"/>
        </w:rPr>
      </w:pPr>
    </w:p>
    <w:p w:rsidR="00B652E1" w:rsidRPr="005F4FAA" w:rsidRDefault="00B652E1" w:rsidP="00B652E1">
      <w:pPr>
        <w:spacing w:after="200" w:line="276" w:lineRule="auto"/>
        <w:rPr>
          <w:rFonts w:ascii="Franklin Gothic Book" w:hAnsi="Franklin Gothic Book"/>
          <w:b/>
          <w:szCs w:val="20"/>
        </w:rPr>
      </w:pPr>
    </w:p>
    <w:p w:rsidR="00B652E1" w:rsidRPr="005F4FAA" w:rsidRDefault="00B652E1" w:rsidP="00B652E1">
      <w:pPr>
        <w:spacing w:after="200" w:line="276" w:lineRule="auto"/>
        <w:rPr>
          <w:rFonts w:ascii="Franklin Gothic Book" w:hAnsi="Franklin Gothic Book"/>
          <w:b/>
          <w:szCs w:val="20"/>
        </w:rPr>
      </w:pPr>
    </w:p>
    <w:p w:rsidR="00B652E1" w:rsidRPr="005F4FAA" w:rsidRDefault="00B652E1" w:rsidP="00B652E1">
      <w:pPr>
        <w:spacing w:after="200" w:line="276" w:lineRule="auto"/>
        <w:rPr>
          <w:rFonts w:ascii="Franklin Gothic Book" w:hAnsi="Franklin Gothic Book"/>
          <w:b/>
          <w:szCs w:val="20"/>
        </w:rPr>
      </w:pPr>
    </w:p>
    <w:p w:rsidR="00B652E1" w:rsidRPr="005F4FAA" w:rsidRDefault="00B652E1" w:rsidP="00B652E1">
      <w:pPr>
        <w:spacing w:after="200" w:line="276" w:lineRule="auto"/>
        <w:rPr>
          <w:rFonts w:ascii="Franklin Gothic Book" w:hAnsi="Franklin Gothic Book"/>
          <w:b/>
          <w:szCs w:val="20"/>
        </w:rPr>
      </w:pPr>
    </w:p>
    <w:p w:rsidR="00B652E1" w:rsidRDefault="00B652E1" w:rsidP="00B652E1">
      <w:pPr>
        <w:rPr>
          <w:rFonts w:ascii="Franklin Gothic Medium" w:hAnsi="Franklin Gothic Medium"/>
          <w:b/>
        </w:rPr>
      </w:pPr>
    </w:p>
    <w:p w:rsidR="00B652E1" w:rsidRPr="0024018A" w:rsidRDefault="00B652E1" w:rsidP="00B652E1">
      <w:pPr>
        <w:rPr>
          <w:rFonts w:ascii="Franklin Gothic Medium" w:hAnsi="Franklin Gothic Medium"/>
          <w:b/>
        </w:rPr>
      </w:pPr>
      <w:r>
        <w:rPr>
          <w:rFonts w:ascii="Franklin Gothic Medium" w:hAnsi="Franklin Gothic Medium"/>
          <w:b/>
        </w:rPr>
        <w:t>Table 5</w:t>
      </w:r>
      <w:r w:rsidRPr="0024018A">
        <w:rPr>
          <w:rFonts w:ascii="Franklin Gothic Medium" w:hAnsi="Franklin Gothic Medium"/>
          <w:b/>
        </w:rPr>
        <w:t xml:space="preserve"> Planning, reporting and financing events in the annual calendar</w:t>
      </w:r>
    </w:p>
    <w:p w:rsidR="00B652E1" w:rsidRDefault="00B652E1" w:rsidP="00B652E1"/>
    <w:p w:rsidR="00B652E1" w:rsidRDefault="00B652E1" w:rsidP="00B652E1"/>
    <w:tbl>
      <w:tblPr>
        <w:tblStyle w:val="TableGrid"/>
        <w:tblW w:w="0" w:type="auto"/>
        <w:tblLook w:val="04A0" w:firstRow="1" w:lastRow="0" w:firstColumn="1" w:lastColumn="0" w:noHBand="0" w:noVBand="1"/>
      </w:tblPr>
      <w:tblGrid>
        <w:gridCol w:w="2158"/>
        <w:gridCol w:w="498"/>
        <w:gridCol w:w="523"/>
        <w:gridCol w:w="523"/>
        <w:gridCol w:w="518"/>
        <w:gridCol w:w="523"/>
        <w:gridCol w:w="518"/>
        <w:gridCol w:w="506"/>
        <w:gridCol w:w="523"/>
        <w:gridCol w:w="523"/>
        <w:gridCol w:w="518"/>
        <w:gridCol w:w="527"/>
        <w:gridCol w:w="523"/>
      </w:tblGrid>
      <w:tr w:rsidR="00B652E1" w:rsidRPr="008D1927" w:rsidTr="00B652E1">
        <w:trPr>
          <w:cantSplit/>
          <w:trHeight w:val="998"/>
        </w:trPr>
        <w:tc>
          <w:tcPr>
            <w:tcW w:w="5626" w:type="dxa"/>
            <w:shd w:val="clear" w:color="auto" w:fill="8DB3E2" w:themeFill="text2" w:themeFillTint="66"/>
            <w:vAlign w:val="bottom"/>
          </w:tcPr>
          <w:p w:rsidR="00B652E1" w:rsidRPr="008D1927" w:rsidRDefault="00B652E1" w:rsidP="00B652E1">
            <w:pPr>
              <w:rPr>
                <w:b/>
              </w:rPr>
            </w:pPr>
            <w:r w:rsidRPr="008D1927">
              <w:rPr>
                <w:b/>
              </w:rPr>
              <w:t>Tasks</w:t>
            </w:r>
          </w:p>
        </w:tc>
        <w:tc>
          <w:tcPr>
            <w:tcW w:w="576"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Jul-15</w:t>
            </w:r>
          </w:p>
        </w:tc>
        <w:tc>
          <w:tcPr>
            <w:tcW w:w="710"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Aug-15</w:t>
            </w:r>
          </w:p>
        </w:tc>
        <w:tc>
          <w:tcPr>
            <w:tcW w:w="709"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Sep-15</w:t>
            </w:r>
          </w:p>
        </w:tc>
        <w:tc>
          <w:tcPr>
            <w:tcW w:w="684"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Oct-15</w:t>
            </w:r>
          </w:p>
        </w:tc>
        <w:tc>
          <w:tcPr>
            <w:tcW w:w="710"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Nov-15</w:t>
            </w:r>
          </w:p>
        </w:tc>
        <w:tc>
          <w:tcPr>
            <w:tcW w:w="683"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Dec-15</w:t>
            </w:r>
          </w:p>
        </w:tc>
        <w:tc>
          <w:tcPr>
            <w:tcW w:w="616"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Jan-16</w:t>
            </w:r>
          </w:p>
        </w:tc>
        <w:tc>
          <w:tcPr>
            <w:tcW w:w="709"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Feb-16</w:t>
            </w:r>
          </w:p>
        </w:tc>
        <w:tc>
          <w:tcPr>
            <w:tcW w:w="709"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Mar-16</w:t>
            </w:r>
          </w:p>
        </w:tc>
        <w:tc>
          <w:tcPr>
            <w:tcW w:w="681"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Apr-16</w:t>
            </w:r>
          </w:p>
        </w:tc>
        <w:tc>
          <w:tcPr>
            <w:tcW w:w="736"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May-16</w:t>
            </w:r>
          </w:p>
        </w:tc>
        <w:tc>
          <w:tcPr>
            <w:tcW w:w="709" w:type="dxa"/>
            <w:shd w:val="clear" w:color="auto" w:fill="8DB3E2" w:themeFill="text2" w:themeFillTint="66"/>
            <w:textDirection w:val="btLr"/>
          </w:tcPr>
          <w:p w:rsidR="00B652E1" w:rsidRPr="008D1927" w:rsidRDefault="00B652E1" w:rsidP="00B652E1">
            <w:pPr>
              <w:ind w:left="113" w:right="113"/>
              <w:rPr>
                <w:b/>
                <w:sz w:val="22"/>
                <w:szCs w:val="22"/>
              </w:rPr>
            </w:pPr>
            <w:r w:rsidRPr="008D1927">
              <w:rPr>
                <w:b/>
                <w:sz w:val="22"/>
                <w:szCs w:val="22"/>
              </w:rPr>
              <w:t>Jun-16</w:t>
            </w:r>
          </w:p>
        </w:tc>
      </w:tr>
      <w:tr w:rsidR="00B652E1" w:rsidTr="00B652E1">
        <w:trPr>
          <w:trHeight w:val="276"/>
        </w:trPr>
        <w:tc>
          <w:tcPr>
            <w:tcW w:w="5626" w:type="dxa"/>
          </w:tcPr>
          <w:p w:rsidR="00B652E1" w:rsidRDefault="00B652E1" w:rsidP="00B652E1">
            <w:r>
              <w:t xml:space="preserve">NHDC discusses monitoring reports </w:t>
            </w:r>
          </w:p>
        </w:tc>
        <w:tc>
          <w:tcPr>
            <w:tcW w:w="576" w:type="dxa"/>
          </w:tcPr>
          <w:p w:rsidR="00B652E1" w:rsidRDefault="00B652E1" w:rsidP="00B652E1"/>
        </w:tc>
        <w:tc>
          <w:tcPr>
            <w:tcW w:w="710" w:type="dxa"/>
            <w:shd w:val="clear" w:color="auto" w:fill="808080" w:themeFill="background1" w:themeFillShade="80"/>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shd w:val="clear" w:color="auto" w:fill="808080" w:themeFill="background1" w:themeFillShade="80"/>
          </w:tcPr>
          <w:p w:rsidR="00B652E1" w:rsidRDefault="00B652E1" w:rsidP="00B652E1"/>
        </w:tc>
        <w:tc>
          <w:tcPr>
            <w:tcW w:w="683" w:type="dxa"/>
          </w:tcPr>
          <w:p w:rsidR="00B652E1" w:rsidRDefault="00B652E1" w:rsidP="00B652E1"/>
        </w:tc>
        <w:tc>
          <w:tcPr>
            <w:tcW w:w="616" w:type="dxa"/>
            <w:shd w:val="clear" w:color="auto" w:fill="auto"/>
          </w:tcPr>
          <w:p w:rsidR="00B652E1" w:rsidRDefault="00B652E1" w:rsidP="00B652E1"/>
        </w:tc>
        <w:tc>
          <w:tcPr>
            <w:tcW w:w="709" w:type="dxa"/>
            <w:shd w:val="clear" w:color="auto" w:fill="808080" w:themeFill="background1" w:themeFillShade="80"/>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shd w:val="clear" w:color="auto" w:fill="808080" w:themeFill="background1" w:themeFillShade="80"/>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 xml:space="preserve">Panel decides Performance-Based payments for the year </w:t>
            </w:r>
          </w:p>
        </w:tc>
        <w:tc>
          <w:tcPr>
            <w:tcW w:w="576" w:type="dxa"/>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tcPr>
          <w:p w:rsidR="00B652E1" w:rsidRDefault="00B652E1" w:rsidP="00B652E1"/>
        </w:tc>
        <w:tc>
          <w:tcPr>
            <w:tcW w:w="616" w:type="dxa"/>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shd w:val="clear" w:color="auto" w:fill="808080" w:themeFill="background1" w:themeFillShade="80"/>
          </w:tcPr>
          <w:p w:rsidR="00B652E1" w:rsidRDefault="00B652E1" w:rsidP="00B652E1"/>
        </w:tc>
        <w:tc>
          <w:tcPr>
            <w:tcW w:w="736" w:type="dxa"/>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DFAT Funding Disbursements</w:t>
            </w:r>
          </w:p>
        </w:tc>
        <w:tc>
          <w:tcPr>
            <w:tcW w:w="576" w:type="dxa"/>
            <w:shd w:val="clear" w:color="auto" w:fill="808080" w:themeFill="background1" w:themeFillShade="80"/>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tcPr>
          <w:p w:rsidR="00B652E1" w:rsidRDefault="00B652E1" w:rsidP="00B652E1"/>
        </w:tc>
        <w:tc>
          <w:tcPr>
            <w:tcW w:w="616" w:type="dxa"/>
            <w:shd w:val="clear" w:color="auto" w:fill="808080" w:themeFill="background1" w:themeFillShade="80"/>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Financial acquittals and narrative reports (3</w:t>
            </w:r>
            <w:r w:rsidRPr="00B50B49">
              <w:rPr>
                <w:vertAlign w:val="superscript"/>
              </w:rPr>
              <w:t>rd</w:t>
            </w:r>
            <w:r>
              <w:t xml:space="preserve"> week of month)</w:t>
            </w:r>
          </w:p>
        </w:tc>
        <w:tc>
          <w:tcPr>
            <w:tcW w:w="576" w:type="dxa"/>
            <w:shd w:val="clear" w:color="auto" w:fill="808080" w:themeFill="background1" w:themeFillShade="80"/>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shd w:val="clear" w:color="auto" w:fill="808080" w:themeFill="background1" w:themeFillShade="80"/>
          </w:tcPr>
          <w:p w:rsidR="00B652E1" w:rsidRDefault="00B652E1" w:rsidP="00B652E1"/>
        </w:tc>
        <w:tc>
          <w:tcPr>
            <w:tcW w:w="710" w:type="dxa"/>
          </w:tcPr>
          <w:p w:rsidR="00B652E1" w:rsidRDefault="00B652E1" w:rsidP="00B652E1"/>
        </w:tc>
        <w:tc>
          <w:tcPr>
            <w:tcW w:w="683" w:type="dxa"/>
          </w:tcPr>
          <w:p w:rsidR="00B652E1" w:rsidRDefault="00B652E1" w:rsidP="00B652E1"/>
        </w:tc>
        <w:tc>
          <w:tcPr>
            <w:tcW w:w="616" w:type="dxa"/>
            <w:shd w:val="clear" w:color="auto" w:fill="808080" w:themeFill="background1" w:themeFillShade="80"/>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shd w:val="clear" w:color="auto" w:fill="808080" w:themeFill="background1" w:themeFillShade="80"/>
          </w:tcPr>
          <w:p w:rsidR="00B652E1" w:rsidRDefault="00B652E1" w:rsidP="00B652E1"/>
        </w:tc>
        <w:tc>
          <w:tcPr>
            <w:tcW w:w="736" w:type="dxa"/>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 xml:space="preserve">Procurement plan </w:t>
            </w:r>
          </w:p>
        </w:tc>
        <w:tc>
          <w:tcPr>
            <w:tcW w:w="576" w:type="dxa"/>
            <w:shd w:val="clear" w:color="auto" w:fill="808080" w:themeFill="background1" w:themeFillShade="80"/>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tcPr>
          <w:p w:rsidR="00B652E1" w:rsidRDefault="00B652E1" w:rsidP="00B652E1"/>
        </w:tc>
        <w:tc>
          <w:tcPr>
            <w:tcW w:w="616" w:type="dxa"/>
            <w:shd w:val="clear" w:color="auto" w:fill="808080" w:themeFill="background1" w:themeFillShade="80"/>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GOT to confirm budget for FY (relevant to conditions for funding)</w:t>
            </w:r>
          </w:p>
        </w:tc>
        <w:tc>
          <w:tcPr>
            <w:tcW w:w="576" w:type="dxa"/>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tcPr>
          <w:p w:rsidR="00B652E1" w:rsidRDefault="00B652E1" w:rsidP="00B652E1"/>
        </w:tc>
        <w:tc>
          <w:tcPr>
            <w:tcW w:w="616" w:type="dxa"/>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tcPr>
          <w:p w:rsidR="00B652E1" w:rsidRDefault="00B652E1" w:rsidP="00B652E1"/>
        </w:tc>
        <w:tc>
          <w:tcPr>
            <w:tcW w:w="709" w:type="dxa"/>
            <w:shd w:val="clear" w:color="auto" w:fill="808080" w:themeFill="background1" w:themeFillShade="80"/>
          </w:tcPr>
          <w:p w:rsidR="00B652E1" w:rsidRDefault="00B652E1" w:rsidP="00B652E1"/>
        </w:tc>
      </w:tr>
      <w:tr w:rsidR="00B652E1" w:rsidTr="00B652E1">
        <w:trPr>
          <w:trHeight w:val="276"/>
        </w:trPr>
        <w:tc>
          <w:tcPr>
            <w:tcW w:w="5626" w:type="dxa"/>
          </w:tcPr>
          <w:p w:rsidR="00B652E1" w:rsidRDefault="00B652E1" w:rsidP="00B652E1">
            <w:r>
              <w:t>External Audits (for MOH and TongaHealth)</w:t>
            </w:r>
          </w:p>
        </w:tc>
        <w:tc>
          <w:tcPr>
            <w:tcW w:w="576" w:type="dxa"/>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shd w:val="clear" w:color="auto" w:fill="808080" w:themeFill="background1" w:themeFillShade="80"/>
          </w:tcPr>
          <w:p w:rsidR="00B652E1" w:rsidRDefault="00B652E1" w:rsidP="00B652E1"/>
        </w:tc>
        <w:tc>
          <w:tcPr>
            <w:tcW w:w="616" w:type="dxa"/>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tcPr>
          <w:p w:rsidR="00B652E1" w:rsidRDefault="00B652E1" w:rsidP="00B652E1"/>
        </w:tc>
        <w:tc>
          <w:tcPr>
            <w:tcW w:w="709" w:type="dxa"/>
          </w:tcPr>
          <w:p w:rsidR="00B652E1" w:rsidRDefault="00B652E1" w:rsidP="00B652E1"/>
        </w:tc>
      </w:tr>
      <w:tr w:rsidR="00B652E1" w:rsidTr="00B652E1">
        <w:trPr>
          <w:trHeight w:val="276"/>
        </w:trPr>
        <w:tc>
          <w:tcPr>
            <w:tcW w:w="5626" w:type="dxa"/>
          </w:tcPr>
          <w:p w:rsidR="00B652E1" w:rsidRDefault="00B652E1" w:rsidP="00B652E1">
            <w:r>
              <w:t>MOH Planning Week (“Week of Love”)</w:t>
            </w:r>
          </w:p>
        </w:tc>
        <w:tc>
          <w:tcPr>
            <w:tcW w:w="576" w:type="dxa"/>
          </w:tcPr>
          <w:p w:rsidR="00B652E1" w:rsidRDefault="00B652E1" w:rsidP="00B652E1"/>
        </w:tc>
        <w:tc>
          <w:tcPr>
            <w:tcW w:w="710" w:type="dxa"/>
          </w:tcPr>
          <w:p w:rsidR="00B652E1" w:rsidRDefault="00B652E1" w:rsidP="00B652E1"/>
        </w:tc>
        <w:tc>
          <w:tcPr>
            <w:tcW w:w="709" w:type="dxa"/>
          </w:tcPr>
          <w:p w:rsidR="00B652E1" w:rsidRDefault="00B652E1" w:rsidP="00B652E1"/>
        </w:tc>
        <w:tc>
          <w:tcPr>
            <w:tcW w:w="684" w:type="dxa"/>
          </w:tcPr>
          <w:p w:rsidR="00B652E1" w:rsidRDefault="00B652E1" w:rsidP="00B652E1"/>
        </w:tc>
        <w:tc>
          <w:tcPr>
            <w:tcW w:w="710" w:type="dxa"/>
          </w:tcPr>
          <w:p w:rsidR="00B652E1" w:rsidRDefault="00B652E1" w:rsidP="00B652E1"/>
        </w:tc>
        <w:tc>
          <w:tcPr>
            <w:tcW w:w="683" w:type="dxa"/>
            <w:shd w:val="clear" w:color="auto" w:fill="808080" w:themeFill="background1" w:themeFillShade="80"/>
          </w:tcPr>
          <w:p w:rsidR="00B652E1" w:rsidRDefault="00B652E1" w:rsidP="00B652E1"/>
        </w:tc>
        <w:tc>
          <w:tcPr>
            <w:tcW w:w="616" w:type="dxa"/>
          </w:tcPr>
          <w:p w:rsidR="00B652E1" w:rsidRDefault="00B652E1" w:rsidP="00B652E1"/>
        </w:tc>
        <w:tc>
          <w:tcPr>
            <w:tcW w:w="709" w:type="dxa"/>
          </w:tcPr>
          <w:p w:rsidR="00B652E1" w:rsidRDefault="00B652E1" w:rsidP="00B652E1"/>
        </w:tc>
        <w:tc>
          <w:tcPr>
            <w:tcW w:w="709" w:type="dxa"/>
          </w:tcPr>
          <w:p w:rsidR="00B652E1" w:rsidRDefault="00B652E1" w:rsidP="00B652E1"/>
        </w:tc>
        <w:tc>
          <w:tcPr>
            <w:tcW w:w="681" w:type="dxa"/>
          </w:tcPr>
          <w:p w:rsidR="00B652E1" w:rsidRDefault="00B652E1" w:rsidP="00B652E1"/>
        </w:tc>
        <w:tc>
          <w:tcPr>
            <w:tcW w:w="736" w:type="dxa"/>
          </w:tcPr>
          <w:p w:rsidR="00B652E1" w:rsidRDefault="00B652E1" w:rsidP="00B652E1"/>
        </w:tc>
        <w:tc>
          <w:tcPr>
            <w:tcW w:w="709" w:type="dxa"/>
          </w:tcPr>
          <w:p w:rsidR="00B652E1" w:rsidRDefault="00B652E1" w:rsidP="00B652E1"/>
        </w:tc>
      </w:tr>
    </w:tbl>
    <w:p w:rsidR="00B652E1" w:rsidRDefault="00B652E1" w:rsidP="00B652E1"/>
    <w:p w:rsidR="00B652E1" w:rsidRPr="005F4FAA" w:rsidRDefault="00B652E1" w:rsidP="00B652E1">
      <w:pPr>
        <w:spacing w:after="200" w:line="276" w:lineRule="auto"/>
        <w:rPr>
          <w:rFonts w:ascii="Franklin Gothic Book" w:hAnsi="Franklin Gothic Book"/>
          <w:b/>
          <w:szCs w:val="20"/>
        </w:rPr>
      </w:pPr>
      <w:r w:rsidRPr="005F4FAA">
        <w:rPr>
          <w:rFonts w:ascii="Franklin Gothic Book" w:hAnsi="Franklin Gothic Book"/>
          <w:b/>
          <w:szCs w:val="20"/>
        </w:rPr>
        <w:br w:type="page"/>
      </w:r>
      <w:r w:rsidRPr="005F4FAA">
        <w:rPr>
          <w:rFonts w:ascii="Franklin Gothic Book" w:hAnsi="Franklin Gothic Book"/>
          <w:b/>
          <w:szCs w:val="20"/>
          <w:lang w:val="en-GB"/>
        </w:rPr>
        <w:t xml:space="preserve"> </w:t>
      </w:r>
    </w:p>
    <w:p w:rsidR="00B652E1" w:rsidRPr="005F4FAA" w:rsidRDefault="00B652E1" w:rsidP="00B652E1">
      <w:pPr>
        <w:spacing w:after="200" w:line="276" w:lineRule="auto"/>
        <w:rPr>
          <w:rFonts w:ascii="Franklin Gothic Book" w:hAnsi="Franklin Gothic Book"/>
          <w:b/>
          <w:szCs w:val="20"/>
        </w:rPr>
      </w:pPr>
      <w:r w:rsidRPr="00704E06">
        <w:rPr>
          <w:rFonts w:ascii="Franklin Gothic Book" w:hAnsi="Franklin Gothic Book"/>
          <w:noProof/>
        </w:rPr>
        <mc:AlternateContent>
          <mc:Choice Requires="wps">
            <w:drawing>
              <wp:anchor distT="0" distB="0" distL="114300" distR="114300" simplePos="0" relativeHeight="251678720" behindDoc="1" locked="0" layoutInCell="1" allowOverlap="1" wp14:anchorId="2C9134A0" wp14:editId="599CB68A">
                <wp:simplePos x="0" y="0"/>
                <wp:positionH relativeFrom="column">
                  <wp:posOffset>-626110</wp:posOffset>
                </wp:positionH>
                <wp:positionV relativeFrom="paragraph">
                  <wp:posOffset>2587625</wp:posOffset>
                </wp:positionV>
                <wp:extent cx="1570990" cy="1505585"/>
                <wp:effectExtent l="0" t="0"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50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39" w:rsidRPr="008E4E8F" w:rsidRDefault="004F6539" w:rsidP="00B652E1">
                            <w:pPr>
                              <w:spacing w:line="276" w:lineRule="auto"/>
                              <w:rPr>
                                <w:b/>
                              </w:rPr>
                            </w:pPr>
                            <w:r>
                              <w:rPr>
                                <w:b/>
                              </w:rPr>
                              <w:t xml:space="preserve">Conditions for disbursement </w:t>
                            </w:r>
                            <w:r>
                              <w:t>(</w:t>
                            </w:r>
                            <w:r w:rsidRPr="008E4E8F">
                              <w:rPr>
                                <w:b/>
                              </w:rPr>
                              <w:t>does not apply in Yr1)</w:t>
                            </w:r>
                          </w:p>
                          <w:p w:rsidR="004F6539" w:rsidRDefault="004F6539" w:rsidP="00B652E1">
                            <w:pPr>
                              <w:pStyle w:val="ListParagraph"/>
                              <w:numPr>
                                <w:ilvl w:val="0"/>
                                <w:numId w:val="41"/>
                              </w:numPr>
                              <w:spacing w:after="0" w:line="276" w:lineRule="auto"/>
                              <w:ind w:left="284" w:hanging="284"/>
                              <w:contextualSpacing/>
                              <w:rPr>
                                <w:sz w:val="20"/>
                              </w:rPr>
                            </w:pPr>
                            <w:r>
                              <w:rPr>
                                <w:sz w:val="20"/>
                              </w:rPr>
                              <w:t>Has it expensed 70% of budget?</w:t>
                            </w:r>
                          </w:p>
                          <w:p w:rsidR="004F6539" w:rsidRPr="00452CD6" w:rsidRDefault="004F6539" w:rsidP="00B652E1">
                            <w:pPr>
                              <w:pStyle w:val="ListParagraph"/>
                              <w:numPr>
                                <w:ilvl w:val="0"/>
                                <w:numId w:val="41"/>
                              </w:numPr>
                              <w:spacing w:after="0" w:line="276" w:lineRule="auto"/>
                              <w:ind w:left="284" w:hanging="284"/>
                              <w:contextualSpacing/>
                              <w:rPr>
                                <w:sz w:val="20"/>
                              </w:rPr>
                            </w:pPr>
                            <w:r>
                              <w:rPr>
                                <w:sz w:val="20"/>
                              </w:rPr>
                              <w:t>Have quarterly reports been submitted? (Does it track against approved work plans?)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9.3pt;margin-top:203.75pt;width:123.7pt;height:11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" stroked="f">
                <v:textbox inset=".5mm,.3mm,.5mm,.3mm">
                  <w:txbxContent>
                    <w:p w:rsidR="004F6539" w:rsidRPr="008E4E8F" w:rsidRDefault="004F6539" w:rsidP="00B652E1">
                      <w:pPr>
                        <w:spacing w:line="276" w:lineRule="auto"/>
                        <w:rPr>
                          <w:b/>
                        </w:rPr>
                      </w:pPr>
                      <w:r>
                        <w:rPr>
                          <w:b/>
                        </w:rPr>
                        <w:t xml:space="preserve">Conditions for disbursement </w:t>
                      </w:r>
                      <w:r>
                        <w:t>(</w:t>
                      </w:r>
                      <w:r w:rsidRPr="008E4E8F">
                        <w:rPr>
                          <w:b/>
                        </w:rPr>
                        <w:t>does not apply in Yr1)</w:t>
                      </w:r>
                    </w:p>
                    <w:p w:rsidR="004F6539" w:rsidRDefault="004F6539" w:rsidP="00B652E1">
                      <w:pPr>
                        <w:pStyle w:val="ListParagraph"/>
                        <w:numPr>
                          <w:ilvl w:val="0"/>
                          <w:numId w:val="41"/>
                        </w:numPr>
                        <w:spacing w:after="0" w:line="276" w:lineRule="auto"/>
                        <w:ind w:left="284" w:hanging="284"/>
                        <w:contextualSpacing/>
                        <w:rPr>
                          <w:sz w:val="20"/>
                        </w:rPr>
                      </w:pPr>
                      <w:r>
                        <w:rPr>
                          <w:sz w:val="20"/>
                        </w:rPr>
                        <w:t>Has it expensed 70% of budget?</w:t>
                      </w:r>
                    </w:p>
                    <w:p w:rsidR="004F6539" w:rsidRPr="00452CD6" w:rsidRDefault="004F6539" w:rsidP="00B652E1">
                      <w:pPr>
                        <w:pStyle w:val="ListParagraph"/>
                        <w:numPr>
                          <w:ilvl w:val="0"/>
                          <w:numId w:val="41"/>
                        </w:numPr>
                        <w:spacing w:after="0" w:line="276" w:lineRule="auto"/>
                        <w:ind w:left="284" w:hanging="284"/>
                        <w:contextualSpacing/>
                        <w:rPr>
                          <w:sz w:val="20"/>
                        </w:rPr>
                      </w:pPr>
                      <w:r>
                        <w:rPr>
                          <w:sz w:val="20"/>
                        </w:rPr>
                        <w:t>Have quarterly reports been submitted? (Does it track against approved work plans?)</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8480" behindDoc="1" locked="0" layoutInCell="1" allowOverlap="1" wp14:anchorId="6C13B2DB" wp14:editId="4AC17CE2">
                <wp:simplePos x="0" y="0"/>
                <wp:positionH relativeFrom="column">
                  <wp:posOffset>-600710</wp:posOffset>
                </wp:positionH>
                <wp:positionV relativeFrom="paragraph">
                  <wp:posOffset>6237605</wp:posOffset>
                </wp:positionV>
                <wp:extent cx="1565275" cy="1398905"/>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39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39" w:rsidRDefault="004F6539" w:rsidP="00B652E1">
                            <w:pPr>
                              <w:spacing w:line="276" w:lineRule="auto"/>
                              <w:rPr>
                                <w:b/>
                              </w:rPr>
                            </w:pPr>
                            <w:r>
                              <w:rPr>
                                <w:b/>
                              </w:rPr>
                              <w:t>Conditions for disbursement</w:t>
                            </w:r>
                          </w:p>
                          <w:p w:rsidR="004F6539" w:rsidRDefault="004F6539" w:rsidP="00B652E1">
                            <w:pPr>
                              <w:pStyle w:val="ListParagraph"/>
                              <w:numPr>
                                <w:ilvl w:val="0"/>
                                <w:numId w:val="41"/>
                              </w:numPr>
                              <w:spacing w:after="0" w:line="276" w:lineRule="auto"/>
                              <w:ind w:left="284" w:hanging="284"/>
                              <w:contextualSpacing/>
                              <w:rPr>
                                <w:sz w:val="20"/>
                              </w:rPr>
                            </w:pPr>
                            <w:r>
                              <w:rPr>
                                <w:sz w:val="20"/>
                              </w:rPr>
                              <w:t>Has it expensed 70% of budget?</w:t>
                            </w:r>
                          </w:p>
                          <w:p w:rsidR="004F6539" w:rsidRPr="00452CD6" w:rsidRDefault="004F6539" w:rsidP="00B652E1">
                            <w:pPr>
                              <w:pStyle w:val="ListParagraph"/>
                              <w:numPr>
                                <w:ilvl w:val="0"/>
                                <w:numId w:val="41"/>
                              </w:numPr>
                              <w:spacing w:after="0" w:line="276" w:lineRule="auto"/>
                              <w:ind w:left="284" w:hanging="284"/>
                              <w:contextualSpacing/>
                              <w:rPr>
                                <w:sz w:val="20"/>
                              </w:rPr>
                            </w:pPr>
                            <w:r>
                              <w:rPr>
                                <w:sz w:val="20"/>
                              </w:rPr>
                              <w:t>Have</w:t>
                            </w:r>
                            <w:r w:rsidDel="00323A49">
                              <w:rPr>
                                <w:sz w:val="20"/>
                              </w:rPr>
                              <w:t>s</w:t>
                            </w:r>
                            <w:r>
                              <w:rPr>
                                <w:sz w:val="20"/>
                              </w:rPr>
                              <w:t xml:space="preserve"> quarterly reports been submitted? (Does it track against approved work plans?)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47.3pt;margin-top:491.15pt;width:123.25pt;height:11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" stroked="f">
                <v:textbox inset=".5mm,.3mm,.5mm,.3mm">
                  <w:txbxContent>
                    <w:p w:rsidR="004F6539" w:rsidRDefault="004F6539" w:rsidP="00B652E1">
                      <w:pPr>
                        <w:spacing w:line="276" w:lineRule="auto"/>
                        <w:rPr>
                          <w:b/>
                        </w:rPr>
                      </w:pPr>
                      <w:r>
                        <w:rPr>
                          <w:b/>
                        </w:rPr>
                        <w:t>Conditions for disbursement</w:t>
                      </w:r>
                    </w:p>
                    <w:p w:rsidR="004F6539" w:rsidRDefault="004F6539" w:rsidP="00B652E1">
                      <w:pPr>
                        <w:pStyle w:val="ListParagraph"/>
                        <w:numPr>
                          <w:ilvl w:val="0"/>
                          <w:numId w:val="41"/>
                        </w:numPr>
                        <w:spacing w:after="0" w:line="276" w:lineRule="auto"/>
                        <w:ind w:left="284" w:hanging="284"/>
                        <w:contextualSpacing/>
                        <w:rPr>
                          <w:sz w:val="20"/>
                        </w:rPr>
                      </w:pPr>
                      <w:r>
                        <w:rPr>
                          <w:sz w:val="20"/>
                        </w:rPr>
                        <w:t>Has it expensed 70% of budget?</w:t>
                      </w:r>
                    </w:p>
                    <w:p w:rsidR="004F6539" w:rsidRPr="00452CD6" w:rsidRDefault="004F6539" w:rsidP="00B652E1">
                      <w:pPr>
                        <w:pStyle w:val="ListParagraph"/>
                        <w:numPr>
                          <w:ilvl w:val="0"/>
                          <w:numId w:val="41"/>
                        </w:numPr>
                        <w:spacing w:after="0" w:line="276" w:lineRule="auto"/>
                        <w:ind w:left="284" w:hanging="284"/>
                        <w:contextualSpacing/>
                        <w:rPr>
                          <w:sz w:val="20"/>
                        </w:rPr>
                      </w:pPr>
                      <w:r>
                        <w:rPr>
                          <w:sz w:val="20"/>
                        </w:rPr>
                        <w:t>Have</w:t>
                      </w:r>
                      <w:r w:rsidDel="00323A49">
                        <w:rPr>
                          <w:sz w:val="20"/>
                        </w:rPr>
                        <w:t>s</w:t>
                      </w:r>
                      <w:r>
                        <w:rPr>
                          <w:sz w:val="20"/>
                        </w:rPr>
                        <w:t xml:space="preserve"> quarterly reports been submitted? (Does it track against approved work plans?)</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76672" behindDoc="1" locked="0" layoutInCell="1" allowOverlap="1" wp14:anchorId="7BE0D792" wp14:editId="7BBAE456">
                <wp:simplePos x="0" y="0"/>
                <wp:positionH relativeFrom="column">
                  <wp:posOffset>3098165</wp:posOffset>
                </wp:positionH>
                <wp:positionV relativeFrom="paragraph">
                  <wp:posOffset>6165215</wp:posOffset>
                </wp:positionV>
                <wp:extent cx="2037715" cy="1471295"/>
                <wp:effectExtent l="0" t="0" r="635"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47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39" w:rsidRDefault="004F6539" w:rsidP="00B652E1">
                            <w:pPr>
                              <w:spacing w:line="276" w:lineRule="auto"/>
                              <w:rPr>
                                <w:b/>
                              </w:rPr>
                            </w:pPr>
                            <w:r>
                              <w:rPr>
                                <w:b/>
                              </w:rPr>
                              <w:t>Conditions for continued funding after Yr1</w:t>
                            </w:r>
                          </w:p>
                          <w:p w:rsidR="004F6539" w:rsidRDefault="004F6539" w:rsidP="00B652E1">
                            <w:pPr>
                              <w:pStyle w:val="ListParagraph"/>
                              <w:numPr>
                                <w:ilvl w:val="0"/>
                                <w:numId w:val="41"/>
                              </w:numPr>
                              <w:spacing w:after="0" w:line="276" w:lineRule="auto"/>
                              <w:contextualSpacing/>
                              <w:rPr>
                                <w:sz w:val="20"/>
                              </w:rPr>
                            </w:pPr>
                            <w:r>
                              <w:rPr>
                                <w:sz w:val="20"/>
                              </w:rPr>
                              <w:t>MOH + TH recurrent budget has not decreased as % of GoT budget</w:t>
                            </w:r>
                          </w:p>
                          <w:p w:rsidR="004F6539" w:rsidRPr="00452CD6" w:rsidRDefault="004F6539" w:rsidP="00B652E1">
                            <w:pPr>
                              <w:pStyle w:val="ListParagraph"/>
                              <w:numPr>
                                <w:ilvl w:val="0"/>
                                <w:numId w:val="41"/>
                              </w:numPr>
                              <w:spacing w:after="0" w:line="276" w:lineRule="auto"/>
                              <w:contextualSpacing/>
                              <w:rPr>
                                <w:sz w:val="20"/>
                              </w:rPr>
                            </w:pPr>
                            <w:r>
                              <w:rPr>
                                <w:sz w:val="20"/>
                              </w:rPr>
                              <w:t>Public Health Division budget has increased as a % against total MOH Budget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243.95pt;margin-top:485.45pt;width:160.45pt;height:11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" stroked="f">
                <v:textbox inset=".5mm,.3mm,.5mm,.3mm">
                  <w:txbxContent>
                    <w:p w:rsidR="004F6539" w:rsidRDefault="004F6539" w:rsidP="00B652E1">
                      <w:pPr>
                        <w:spacing w:line="276" w:lineRule="auto"/>
                        <w:rPr>
                          <w:b/>
                        </w:rPr>
                      </w:pPr>
                      <w:r>
                        <w:rPr>
                          <w:b/>
                        </w:rPr>
                        <w:t>Conditions for continued funding after Yr1</w:t>
                      </w:r>
                    </w:p>
                    <w:p w:rsidR="004F6539" w:rsidRDefault="004F6539" w:rsidP="00B652E1">
                      <w:pPr>
                        <w:pStyle w:val="ListParagraph"/>
                        <w:numPr>
                          <w:ilvl w:val="0"/>
                          <w:numId w:val="41"/>
                        </w:numPr>
                        <w:spacing w:after="0" w:line="276" w:lineRule="auto"/>
                        <w:contextualSpacing/>
                        <w:rPr>
                          <w:sz w:val="20"/>
                        </w:rPr>
                      </w:pPr>
                      <w:r>
                        <w:rPr>
                          <w:sz w:val="20"/>
                        </w:rPr>
                        <w:t>MOH + TH recurrent budget has not decreased as % of GoT budget</w:t>
                      </w:r>
                    </w:p>
                    <w:p w:rsidR="004F6539" w:rsidRPr="00452CD6" w:rsidRDefault="004F6539" w:rsidP="00B652E1">
                      <w:pPr>
                        <w:pStyle w:val="ListParagraph"/>
                        <w:numPr>
                          <w:ilvl w:val="0"/>
                          <w:numId w:val="41"/>
                        </w:numPr>
                        <w:spacing w:after="0" w:line="276" w:lineRule="auto"/>
                        <w:contextualSpacing/>
                        <w:rPr>
                          <w:sz w:val="20"/>
                        </w:rPr>
                      </w:pPr>
                      <w:r>
                        <w:rPr>
                          <w:sz w:val="20"/>
                        </w:rPr>
                        <w:t>Public Health Division budget has increased as a % against total MOH Budget</w:t>
                      </w:r>
                    </w:p>
                  </w:txbxContent>
                </v:textbox>
              </v:shape>
            </w:pict>
          </mc:Fallback>
        </mc:AlternateContent>
      </w:r>
      <w:r w:rsidRPr="00704E06">
        <w:rPr>
          <w:rFonts w:ascii="Franklin Gothic Book" w:hAnsi="Franklin Gothic Book"/>
          <w:noProof/>
        </w:rPr>
        <mc:AlternateContent>
          <mc:Choice Requires="wps">
            <w:drawing>
              <wp:anchor distT="4294967295" distB="4294967295" distL="114300" distR="114300" simplePos="0" relativeHeight="251675648" behindDoc="0" locked="0" layoutInCell="1" allowOverlap="1" wp14:anchorId="4BD6B173" wp14:editId="06626C83">
                <wp:simplePos x="0" y="0"/>
                <wp:positionH relativeFrom="column">
                  <wp:posOffset>4184015</wp:posOffset>
                </wp:positionH>
                <wp:positionV relativeFrom="paragraph">
                  <wp:posOffset>1167129</wp:posOffset>
                </wp:positionV>
                <wp:extent cx="1057275" cy="0"/>
                <wp:effectExtent l="38100" t="76200" r="0" b="9525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329.45pt;margin-top:91.9pt;width:83.2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" strokeweight="1pt">
                <v:stroke endarrow="block"/>
              </v:shape>
            </w:pict>
          </mc:Fallback>
        </mc:AlternateContent>
      </w:r>
      <w:r w:rsidRPr="00704E06">
        <w:rPr>
          <w:rFonts w:ascii="Franklin Gothic Book" w:hAnsi="Franklin Gothic Book"/>
          <w:noProof/>
        </w:rPr>
        <mc:AlternateContent>
          <mc:Choice Requires="wps">
            <w:drawing>
              <wp:anchor distT="0" distB="0" distL="114300" distR="114300" simplePos="0" relativeHeight="251674624" behindDoc="0" locked="0" layoutInCell="1" allowOverlap="1" wp14:anchorId="08E98801" wp14:editId="02133A80">
                <wp:simplePos x="0" y="0"/>
                <wp:positionH relativeFrom="column">
                  <wp:posOffset>5240655</wp:posOffset>
                </wp:positionH>
                <wp:positionV relativeFrom="paragraph">
                  <wp:posOffset>1167130</wp:posOffset>
                </wp:positionV>
                <wp:extent cx="635" cy="6423660"/>
                <wp:effectExtent l="0" t="0" r="37465" b="1524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4236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12.65pt;margin-top:91.9pt;width:.05pt;height:505.8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" strokeweight="1pt"/>
            </w:pict>
          </mc:Fallback>
        </mc:AlternateContent>
      </w:r>
      <w:r w:rsidRPr="00704E06">
        <w:rPr>
          <w:rFonts w:ascii="Franklin Gothic Book" w:hAnsi="Franklin Gothic Book"/>
          <w:noProof/>
        </w:rPr>
        <mc:AlternateContent>
          <mc:Choice Requires="wps">
            <w:drawing>
              <wp:anchor distT="4294967295" distB="4294967295" distL="114300" distR="114300" simplePos="0" relativeHeight="251673600" behindDoc="0" locked="0" layoutInCell="1" allowOverlap="1" wp14:anchorId="36B7F374" wp14:editId="4A037066">
                <wp:simplePos x="0" y="0"/>
                <wp:positionH relativeFrom="column">
                  <wp:posOffset>2865755</wp:posOffset>
                </wp:positionH>
                <wp:positionV relativeFrom="paragraph">
                  <wp:posOffset>7586979</wp:posOffset>
                </wp:positionV>
                <wp:extent cx="2371090" cy="0"/>
                <wp:effectExtent l="0" t="0" r="29210" b="1905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25.65pt;margin-top:597.4pt;width:186.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" strokeweight="1pt"/>
            </w:pict>
          </mc:Fallback>
        </mc:AlternateContent>
      </w:r>
      <w:r w:rsidRPr="00704E06">
        <w:rPr>
          <w:rFonts w:ascii="Franklin Gothic Book" w:hAnsi="Franklin Gothic Book"/>
          <w:noProof/>
        </w:rPr>
        <mc:AlternateContent>
          <mc:Choice Requires="wps">
            <w:drawing>
              <wp:anchor distT="0" distB="0" distL="114300" distR="114300" simplePos="0" relativeHeight="251672576" behindDoc="0" locked="0" layoutInCell="1" allowOverlap="1" wp14:anchorId="00FBDFEF" wp14:editId="59CA965C">
                <wp:simplePos x="0" y="0"/>
                <wp:positionH relativeFrom="column">
                  <wp:posOffset>1049020</wp:posOffset>
                </wp:positionH>
                <wp:positionV relativeFrom="paragraph">
                  <wp:posOffset>7242175</wp:posOffset>
                </wp:positionV>
                <wp:extent cx="1815465" cy="658495"/>
                <wp:effectExtent l="19050" t="19050" r="13335" b="27305"/>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658495"/>
                        </a:xfrm>
                        <a:prstGeom prst="flowChartAlternate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NHDC (with DFAT) discuss allocations of performance based payments (Apr)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 o:spid="_x0000_s1029" type="#_x0000_t176" style="position:absolute;margin-left:82.6pt;margin-top:570.25pt;width:142.95pt;height:5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" fillcolor="white [3201]" strokecolor="#4f81bd [3204]" strokeweight="2.5pt">
                <v:shadow color="#868686"/>
                <v:textbox>
                  <w:txbxContent>
                    <w:p w:rsidR="004F6539" w:rsidRDefault="004F6539" w:rsidP="00B652E1">
                      <w:pPr>
                        <w:jc w:val="center"/>
                      </w:pPr>
                      <w:r>
                        <w:t>NHDC (with DFAT) discuss allocations of performance based payments (Apr)</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7456" behindDoc="0" locked="0" layoutInCell="1" allowOverlap="1" wp14:anchorId="4BF72CA7" wp14:editId="6478D0D1">
                <wp:simplePos x="0" y="0"/>
                <wp:positionH relativeFrom="column">
                  <wp:posOffset>1040765</wp:posOffset>
                </wp:positionH>
                <wp:positionV relativeFrom="paragraph">
                  <wp:posOffset>5790565</wp:posOffset>
                </wp:positionV>
                <wp:extent cx="1743075" cy="1357630"/>
                <wp:effectExtent l="38100" t="38100" r="28575" b="3302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357630"/>
                        </a:xfrm>
                        <a:prstGeom prst="flowChartDecision">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DISBURSE FUNDS (Jan)</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20" o:spid="_x0000_s1030" type="#_x0000_t110" style="position:absolute;margin-left:81.95pt;margin-top:455.95pt;width:137.25pt;height:10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" fillcolor="white [3201]" strokecolor="#c0504d [3205]" strokeweight="2.5pt">
                <v:shadow color="#868686"/>
                <v:textbox inset="1.5mm,.3mm,1.5mm,.3mm">
                  <w:txbxContent>
                    <w:p w:rsidR="004F6539" w:rsidRDefault="004F6539" w:rsidP="00B652E1">
                      <w:pPr>
                        <w:jc w:val="center"/>
                      </w:pPr>
                      <w:r>
                        <w:t>DISBURSE FUNDS (Jan)</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71552" behindDoc="0" locked="0" layoutInCell="1" allowOverlap="1" wp14:anchorId="09EFCD14" wp14:editId="4F9B2200">
                <wp:simplePos x="0" y="0"/>
                <wp:positionH relativeFrom="column">
                  <wp:posOffset>853440</wp:posOffset>
                </wp:positionH>
                <wp:positionV relativeFrom="paragraph">
                  <wp:posOffset>5132070</wp:posOffset>
                </wp:positionV>
                <wp:extent cx="2128520" cy="546100"/>
                <wp:effectExtent l="38100" t="0" r="43180" b="6350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46100"/>
                        </a:xfrm>
                        <a:prstGeom prst="downArrow">
                          <a:avLst>
                            <a:gd name="adj1" fmla="val 58593"/>
                            <a:gd name="adj2" fmla="val 6558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67.2pt;margin-top:404.1pt;width:167.6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" adj="7433,4472" fillcolor="#95b3d7 [1940]" strokecolor="#95b3d7 [1940]" strokeweight="1pt">
                <v:fill color2="#dbe5f1 [660]" angle="135" focus="50%" type="gradient"/>
                <v:shadow on="t" color="#243f60 [1604]" opacity=".5" offset="1pt"/>
                <v:textbox style="layout-flow:vertical-ideographic"/>
              </v:shape>
            </w:pict>
          </mc:Fallback>
        </mc:AlternateContent>
      </w:r>
      <w:r w:rsidRPr="00704E06">
        <w:rPr>
          <w:rFonts w:ascii="Franklin Gothic Book" w:hAnsi="Franklin Gothic Book"/>
          <w:noProof/>
        </w:rPr>
        <mc:AlternateContent>
          <mc:Choice Requires="wps">
            <w:drawing>
              <wp:anchor distT="0" distB="0" distL="114300" distR="114300" simplePos="0" relativeHeight="251662336" behindDoc="0" locked="0" layoutInCell="1" allowOverlap="1" wp14:anchorId="0D743A83" wp14:editId="3EF56545">
                <wp:simplePos x="0" y="0"/>
                <wp:positionH relativeFrom="column">
                  <wp:posOffset>-342900</wp:posOffset>
                </wp:positionH>
                <wp:positionV relativeFrom="paragraph">
                  <wp:posOffset>4375150</wp:posOffset>
                </wp:positionV>
                <wp:extent cx="1815465" cy="658495"/>
                <wp:effectExtent l="19050" t="19050" r="13335" b="2730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658495"/>
                        </a:xfrm>
                        <a:prstGeom prst="flowChartAlternate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NHDC (with DFAT) discuss progress (Nov)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76" style="position:absolute;margin-left:-27pt;margin-top:344.5pt;width:142.95pt;height:5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" fillcolor="white [3201]" strokecolor="#4f81bd [3204]" strokeweight="2.5pt">
                <v:shadow color="#868686"/>
                <v:textbox>
                  <w:txbxContent>
                    <w:p w:rsidR="004F6539" w:rsidRDefault="004F6539" w:rsidP="00B652E1">
                      <w:pPr>
                        <w:jc w:val="center"/>
                      </w:pPr>
                      <w:r>
                        <w:t>NHDC (with DFAT) discuss progress (Nov)</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6432" behindDoc="0" locked="0" layoutInCell="1" allowOverlap="1" wp14:anchorId="673ACBF3" wp14:editId="55AF18D8">
                <wp:simplePos x="0" y="0"/>
                <wp:positionH relativeFrom="column">
                  <wp:posOffset>2459990</wp:posOffset>
                </wp:positionH>
                <wp:positionV relativeFrom="paragraph">
                  <wp:posOffset>4375150</wp:posOffset>
                </wp:positionV>
                <wp:extent cx="1815465" cy="658495"/>
                <wp:effectExtent l="19050" t="19050" r="13335" b="27305"/>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658495"/>
                        </a:xfrm>
                        <a:prstGeom prst="flowChartAlternateProcess">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TH Board (with DFAT) discuss progress (Nov)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2" type="#_x0000_t176" style="position:absolute;margin-left:193.7pt;margin-top:344.5pt;width:142.95pt;height:5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" fillcolor="white [3201]" strokecolor="#9bbb59 [3206]" strokeweight="2.5pt">
                <v:shadow color="#868686"/>
                <v:textbox>
                  <w:txbxContent>
                    <w:p w:rsidR="004F6539" w:rsidRDefault="004F6539" w:rsidP="00B652E1">
                      <w:pPr>
                        <w:jc w:val="center"/>
                      </w:pPr>
                      <w:r>
                        <w:t>TH Board (with DFAT) discuss progress (Nov)</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5408" behindDoc="0" locked="0" layoutInCell="1" allowOverlap="1" wp14:anchorId="39590211" wp14:editId="26B119B9">
                <wp:simplePos x="0" y="0"/>
                <wp:positionH relativeFrom="column">
                  <wp:posOffset>3041015</wp:posOffset>
                </wp:positionH>
                <wp:positionV relativeFrom="paragraph">
                  <wp:posOffset>3546475</wp:posOffset>
                </wp:positionV>
                <wp:extent cx="1727200" cy="684530"/>
                <wp:effectExtent l="0" t="0" r="25400" b="2032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84530"/>
                        </a:xfrm>
                        <a:prstGeom prst="rect">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Pr="001A70E9" w:rsidRDefault="004F6539" w:rsidP="00B652E1">
                            <w:pPr>
                              <w:pStyle w:val="ListParagraph"/>
                              <w:numPr>
                                <w:ilvl w:val="0"/>
                                <w:numId w:val="40"/>
                              </w:numPr>
                              <w:spacing w:after="0"/>
                              <w:ind w:left="142" w:hanging="142"/>
                              <w:contextualSpacing/>
                              <w:rPr>
                                <w:sz w:val="20"/>
                              </w:rPr>
                            </w:pPr>
                            <w:r>
                              <w:rPr>
                                <w:sz w:val="20"/>
                              </w:rPr>
                              <w:t>Submission of Quarterly Financial and AMP reports to DFAT</w:t>
                            </w:r>
                          </w:p>
                          <w:p w:rsidR="004F6539" w:rsidRPr="001A70E9" w:rsidRDefault="004F6539" w:rsidP="00B652E1">
                            <w:r w:rsidRPr="001A70E9">
                              <w:t>(Over</w:t>
                            </w:r>
                            <w:r w:rsidRPr="001A70E9" w:rsidDel="00323A49">
                              <w:t>-</w:t>
                            </w:r>
                            <w:r w:rsidRPr="001A70E9">
                              <w:t xml:space="preserve">sight by Health Systems Support and Planning Manager)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239.45pt;margin-top:279.25pt;width:136pt;height:5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kI6AIAADQGAAAOAAAAZHJzL2Uyb0RvYy54bWysVNuO2jAQfa/Uf7D8zoZAIG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" fillcolor="white [3201]" strokecolor="#4f81bd [3204]" strokeweight="1pt">
                <v:stroke dashstyle="dash"/>
                <v:shadow color="#868686"/>
                <v:textbox>
                  <w:txbxContent>
                    <w:p w:rsidR="004F6539" w:rsidRPr="001A70E9" w:rsidRDefault="004F6539" w:rsidP="00B652E1">
                      <w:pPr>
                        <w:pStyle w:val="ListParagraph"/>
                        <w:numPr>
                          <w:ilvl w:val="0"/>
                          <w:numId w:val="40"/>
                        </w:numPr>
                        <w:spacing w:after="0"/>
                        <w:ind w:left="142" w:hanging="142"/>
                        <w:contextualSpacing/>
                        <w:rPr>
                          <w:sz w:val="20"/>
                        </w:rPr>
                      </w:pPr>
                      <w:r>
                        <w:rPr>
                          <w:sz w:val="20"/>
                        </w:rPr>
                        <w:t>Submission of Quarterly Financial and AMP reports to DFAT</w:t>
                      </w:r>
                    </w:p>
                    <w:p w:rsidR="004F6539" w:rsidRPr="001A70E9" w:rsidRDefault="004F6539" w:rsidP="00B652E1">
                      <w:r w:rsidRPr="001A70E9">
                        <w:t>(Over</w:t>
                      </w:r>
                      <w:r w:rsidRPr="001A70E9" w:rsidDel="00323A49">
                        <w:t>-</w:t>
                      </w:r>
                      <w:r w:rsidRPr="001A70E9">
                        <w:t xml:space="preserve">sight by Health Systems Support and Planning Manager) </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70528" behindDoc="0" locked="0" layoutInCell="1" allowOverlap="1" wp14:anchorId="733495FC" wp14:editId="436AE533">
                <wp:simplePos x="0" y="0"/>
                <wp:positionH relativeFrom="column">
                  <wp:posOffset>726440</wp:posOffset>
                </wp:positionH>
                <wp:positionV relativeFrom="paragraph">
                  <wp:posOffset>3677920</wp:posOffset>
                </wp:positionV>
                <wp:extent cx="2128520" cy="546100"/>
                <wp:effectExtent l="38100" t="0" r="43180" b="63500"/>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46100"/>
                        </a:xfrm>
                        <a:prstGeom prst="downArrow">
                          <a:avLst>
                            <a:gd name="adj1" fmla="val 58593"/>
                            <a:gd name="adj2" fmla="val 6558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7" style="position:absolute;margin-left:57.2pt;margin-top:289.6pt;width:167.6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" adj="7433,4472" fillcolor="#95b3d7 [1940]" strokecolor="#95b3d7 [1940]" strokeweight="1pt">
                <v:fill color2="#dbe5f1 [660]" angle="135" focus="50%" type="gradient"/>
                <v:shadow on="t" color="#243f60 [1604]" opacity=".5" offset="1pt"/>
                <v:textbox style="layout-flow:vertical-ideographic"/>
              </v:shape>
            </w:pict>
          </mc:Fallback>
        </mc:AlternateContent>
      </w:r>
      <w:r w:rsidRPr="00704E06">
        <w:rPr>
          <w:rFonts w:ascii="Franklin Gothic Book" w:hAnsi="Franklin Gothic Book"/>
          <w:noProof/>
        </w:rPr>
        <mc:AlternateContent>
          <mc:Choice Requires="wps">
            <w:drawing>
              <wp:anchor distT="0" distB="0" distL="114300" distR="114300" simplePos="0" relativeHeight="251661312" behindDoc="0" locked="0" layoutInCell="1" allowOverlap="1" wp14:anchorId="76E7AAB8" wp14:editId="308D42D7">
                <wp:simplePos x="0" y="0"/>
                <wp:positionH relativeFrom="column">
                  <wp:posOffset>960755</wp:posOffset>
                </wp:positionH>
                <wp:positionV relativeFrom="paragraph">
                  <wp:posOffset>2319655</wp:posOffset>
                </wp:positionV>
                <wp:extent cx="1743075" cy="1285240"/>
                <wp:effectExtent l="38100" t="38100" r="47625" b="2921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85240"/>
                        </a:xfrm>
                        <a:prstGeom prst="flowChartDecision">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DISBURSE FUNDS (July)</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4" type="#_x0000_t110" style="position:absolute;margin-left:75.65pt;margin-top:182.65pt;width:137.25pt;height:10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" fillcolor="white [3201]" strokecolor="#c0504d [3205]" strokeweight="2.5pt">
                <v:shadow color="#868686"/>
                <v:textbox inset="1.5mm,.3mm,1.5mm,.3mm">
                  <w:txbxContent>
                    <w:p w:rsidR="004F6539" w:rsidRDefault="004F6539" w:rsidP="00B652E1">
                      <w:pPr>
                        <w:jc w:val="center"/>
                      </w:pPr>
                      <w:r>
                        <w:t>DISBURSE FUNDS (July)</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4384" behindDoc="0" locked="0" layoutInCell="1" allowOverlap="1" wp14:anchorId="3649FE75" wp14:editId="4FB3ABDD">
                <wp:simplePos x="0" y="0"/>
                <wp:positionH relativeFrom="column">
                  <wp:posOffset>-502285</wp:posOffset>
                </wp:positionH>
                <wp:positionV relativeFrom="paragraph">
                  <wp:posOffset>-51435</wp:posOffset>
                </wp:positionV>
                <wp:extent cx="1276985" cy="570230"/>
                <wp:effectExtent l="0" t="0" r="18415" b="2032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570230"/>
                        </a:xfrm>
                        <a:prstGeom prst="rect">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r>
                              <w:t>Submission of Divisional AMPs to NHDC (May)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39.55pt;margin-top:-4.05pt;width:100.55pt;height: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" fillcolor="white [3201]" strokecolor="#4f81bd [3204]" strokeweight="1pt">
                <v:stroke dashstyle="dash"/>
                <v:shadow color="#868686"/>
                <v:textbox>
                  <w:txbxContent>
                    <w:p w:rsidR="004F6539" w:rsidRDefault="004F6539" w:rsidP="00B652E1">
                      <w:r>
                        <w:t>Submission of Divisional AMPs to NHDC (May)</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9504" behindDoc="0" locked="0" layoutInCell="1" allowOverlap="1" wp14:anchorId="3AD52390" wp14:editId="1DC222D5">
                <wp:simplePos x="0" y="0"/>
                <wp:positionH relativeFrom="column">
                  <wp:posOffset>735965</wp:posOffset>
                </wp:positionH>
                <wp:positionV relativeFrom="paragraph">
                  <wp:posOffset>1696720</wp:posOffset>
                </wp:positionV>
                <wp:extent cx="2128520" cy="546100"/>
                <wp:effectExtent l="38100" t="0" r="43180" b="635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46100"/>
                        </a:xfrm>
                        <a:prstGeom prst="downArrow">
                          <a:avLst>
                            <a:gd name="adj1" fmla="val 58593"/>
                            <a:gd name="adj2" fmla="val 6558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7" style="position:absolute;margin-left:57.95pt;margin-top:133.6pt;width:167.6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" adj="7433,4472" fillcolor="#95b3d7 [1940]" strokecolor="#95b3d7 [1940]" strokeweight="1pt">
                <v:fill color2="#dbe5f1 [660]" angle="135" focus="50%" type="gradient"/>
                <v:shadow on="t" color="#243f60 [1604]" opacity=".5" offset="1pt"/>
                <v:textbox style="layout-flow:vertical-ideographic"/>
              </v:shape>
            </w:pict>
          </mc:Fallback>
        </mc:AlternateContent>
      </w:r>
      <w:r w:rsidRPr="00704E06">
        <w:rPr>
          <w:rFonts w:ascii="Franklin Gothic Book" w:hAnsi="Franklin Gothic Book"/>
          <w:noProof/>
        </w:rPr>
        <mc:AlternateContent>
          <mc:Choice Requires="wps">
            <w:drawing>
              <wp:anchor distT="0" distB="0" distL="114300" distR="114300" simplePos="0" relativeHeight="251663360" behindDoc="0" locked="0" layoutInCell="1" allowOverlap="1" wp14:anchorId="3BBEFED9" wp14:editId="2943B0E3">
                <wp:simplePos x="0" y="0"/>
                <wp:positionH relativeFrom="column">
                  <wp:posOffset>2326640</wp:posOffset>
                </wp:positionH>
                <wp:positionV relativeFrom="paragraph">
                  <wp:posOffset>761365</wp:posOffset>
                </wp:positionV>
                <wp:extent cx="1863725" cy="738505"/>
                <wp:effectExtent l="19050" t="19050" r="22225" b="2349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38505"/>
                        </a:xfrm>
                        <a:prstGeom prst="flowChartAlternateProcess">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TongaHealth Board meet to allocate budget against AMP</w:t>
                            </w:r>
                          </w:p>
                          <w:p w:rsidR="004F6539" w:rsidRDefault="004F6539" w:rsidP="00B652E1">
                            <w:pPr>
                              <w:jc w:val="center"/>
                            </w:pPr>
                            <w:r>
                              <w:t>(May)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6" type="#_x0000_t176" style="position:absolute;margin-left:183.2pt;margin-top:59.95pt;width:146.75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" fillcolor="white [3201]" strokecolor="#9bbb59 [3206]" strokeweight="2.5pt">
                <v:shadow color="#868686"/>
                <v:textbox>
                  <w:txbxContent>
                    <w:p w:rsidR="004F6539" w:rsidRDefault="004F6539" w:rsidP="00B652E1">
                      <w:pPr>
                        <w:jc w:val="center"/>
                      </w:pPr>
                      <w:r>
                        <w:t>TongaHealth Board meet to allocate budget against AMP</w:t>
                      </w:r>
                    </w:p>
                    <w:p w:rsidR="004F6539" w:rsidRDefault="004F6539" w:rsidP="00B652E1">
                      <w:pPr>
                        <w:jc w:val="center"/>
                      </w:pPr>
                      <w:r>
                        <w:t>(May)</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60288" behindDoc="0" locked="0" layoutInCell="1" allowOverlap="1" wp14:anchorId="24E5B714" wp14:editId="1BAD401A">
                <wp:simplePos x="0" y="0"/>
                <wp:positionH relativeFrom="column">
                  <wp:posOffset>-387985</wp:posOffset>
                </wp:positionH>
                <wp:positionV relativeFrom="paragraph">
                  <wp:posOffset>753745</wp:posOffset>
                </wp:positionV>
                <wp:extent cx="1863725" cy="698500"/>
                <wp:effectExtent l="19050" t="19050" r="22225" b="2540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98500"/>
                        </a:xfrm>
                        <a:prstGeom prst="flowChartAlternate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6539" w:rsidRDefault="004F6539" w:rsidP="00B652E1">
                            <w:pPr>
                              <w:jc w:val="center"/>
                            </w:pPr>
                            <w:r>
                              <w:t>NHDC meet to allocate budget against a consolidated AMP (May)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7" type="#_x0000_t176" style="position:absolute;margin-left:-30.55pt;margin-top:59.35pt;width:146.7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" fillcolor="white [3201]" strokecolor="#4f81bd [3204]" strokeweight="2.5pt">
                <v:shadow color="#868686"/>
                <v:textbox>
                  <w:txbxContent>
                    <w:p w:rsidR="004F6539" w:rsidRDefault="004F6539" w:rsidP="00B652E1">
                      <w:pPr>
                        <w:jc w:val="center"/>
                      </w:pPr>
                      <w:r>
                        <w:t>NHDC meet to allocate budget against a consolidated AMP (May)</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59264" behindDoc="0" locked="0" layoutInCell="1" allowOverlap="1" wp14:anchorId="6080E402" wp14:editId="4BB81444">
                <wp:simplePos x="0" y="0"/>
                <wp:positionH relativeFrom="column">
                  <wp:posOffset>983615</wp:posOffset>
                </wp:positionH>
                <wp:positionV relativeFrom="paragraph">
                  <wp:posOffset>-65405</wp:posOffset>
                </wp:positionV>
                <wp:extent cx="4048125" cy="803275"/>
                <wp:effectExtent l="0" t="0" r="9525"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39" w:rsidRPr="00233A65" w:rsidRDefault="004F6539" w:rsidP="00B652E1">
                            <w:pPr>
                              <w:spacing w:line="276" w:lineRule="auto"/>
                              <w:rPr>
                                <w:b/>
                              </w:rPr>
                            </w:pPr>
                            <w:r w:rsidRPr="00233A65">
                              <w:rPr>
                                <w:b/>
                              </w:rPr>
                              <w:t>Considerations against AMPs</w:t>
                            </w:r>
                          </w:p>
                          <w:p w:rsidR="004F6539" w:rsidRPr="008B69CC" w:rsidRDefault="004F6539" w:rsidP="00B652E1">
                            <w:pPr>
                              <w:pStyle w:val="ListParagraph"/>
                              <w:numPr>
                                <w:ilvl w:val="0"/>
                                <w:numId w:val="39"/>
                              </w:numPr>
                              <w:spacing w:after="0" w:line="276" w:lineRule="auto"/>
                              <w:ind w:left="426" w:hanging="284"/>
                              <w:rPr>
                                <w:sz w:val="20"/>
                              </w:rPr>
                            </w:pPr>
                            <w:r w:rsidRPr="008B69CC">
                              <w:rPr>
                                <w:sz w:val="20"/>
                              </w:rPr>
                              <w:t>Is it consistent with TDSF</w:t>
                            </w:r>
                            <w:r>
                              <w:rPr>
                                <w:sz w:val="20"/>
                              </w:rPr>
                              <w:t>&amp;</w:t>
                            </w:r>
                            <w:r w:rsidRPr="008B69CC">
                              <w:rPr>
                                <w:sz w:val="20"/>
                              </w:rPr>
                              <w:t>/Corporate Plan?</w:t>
                            </w:r>
                          </w:p>
                          <w:p w:rsidR="004F6539" w:rsidRPr="008B69CC" w:rsidRDefault="004F6539" w:rsidP="00B652E1">
                            <w:pPr>
                              <w:pStyle w:val="Default"/>
                              <w:numPr>
                                <w:ilvl w:val="0"/>
                                <w:numId w:val="39"/>
                              </w:numPr>
                              <w:spacing w:line="276" w:lineRule="auto"/>
                              <w:ind w:left="426" w:hanging="284"/>
                              <w:rPr>
                                <w:color w:val="auto"/>
                                <w:sz w:val="20"/>
                              </w:rPr>
                            </w:pPr>
                            <w:r w:rsidRPr="008B69CC">
                              <w:rPr>
                                <w:color w:val="auto"/>
                                <w:sz w:val="20"/>
                              </w:rPr>
                              <w:t xml:space="preserve">Is it related to a jointly agreed priority (facility-based NCD; health promotion for NCD; health systems strengthening; </w:t>
                            </w:r>
                            <w:r>
                              <w:rPr>
                                <w:color w:val="auto"/>
                                <w:sz w:val="20"/>
                              </w:rPr>
                              <w:t>GESI</w:t>
                            </w:r>
                            <w:r w:rsidRPr="008B69CC">
                              <w:rPr>
                                <w:color w:val="auto"/>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77.45pt;margin-top:-5.15pt;width:318.7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" stroked="f">
                <v:textbox>
                  <w:txbxContent>
                    <w:p w:rsidR="004F6539" w:rsidRPr="00233A65" w:rsidRDefault="004F6539" w:rsidP="00B652E1">
                      <w:pPr>
                        <w:spacing w:line="276" w:lineRule="auto"/>
                        <w:rPr>
                          <w:b/>
                        </w:rPr>
                      </w:pPr>
                      <w:r w:rsidRPr="00233A65">
                        <w:rPr>
                          <w:b/>
                        </w:rPr>
                        <w:t>Considerations against AMPs</w:t>
                      </w:r>
                    </w:p>
                    <w:p w:rsidR="004F6539" w:rsidRPr="008B69CC" w:rsidRDefault="004F6539" w:rsidP="00B652E1">
                      <w:pPr>
                        <w:pStyle w:val="ListParagraph"/>
                        <w:numPr>
                          <w:ilvl w:val="0"/>
                          <w:numId w:val="39"/>
                        </w:numPr>
                        <w:spacing w:after="0" w:line="276" w:lineRule="auto"/>
                        <w:ind w:left="426" w:hanging="284"/>
                        <w:rPr>
                          <w:sz w:val="20"/>
                        </w:rPr>
                      </w:pPr>
                      <w:r w:rsidRPr="008B69CC">
                        <w:rPr>
                          <w:sz w:val="20"/>
                        </w:rPr>
                        <w:t>Is it consistent with TDSF</w:t>
                      </w:r>
                      <w:r>
                        <w:rPr>
                          <w:sz w:val="20"/>
                        </w:rPr>
                        <w:t>&amp;</w:t>
                      </w:r>
                      <w:r w:rsidRPr="008B69CC">
                        <w:rPr>
                          <w:sz w:val="20"/>
                        </w:rPr>
                        <w:t>/Corporate Plan?</w:t>
                      </w:r>
                    </w:p>
                    <w:p w:rsidR="004F6539" w:rsidRPr="008B69CC" w:rsidRDefault="004F6539" w:rsidP="00B652E1">
                      <w:pPr>
                        <w:pStyle w:val="Default"/>
                        <w:numPr>
                          <w:ilvl w:val="0"/>
                          <w:numId w:val="39"/>
                        </w:numPr>
                        <w:spacing w:line="276" w:lineRule="auto"/>
                        <w:ind w:left="426" w:hanging="284"/>
                        <w:rPr>
                          <w:color w:val="auto"/>
                          <w:sz w:val="20"/>
                        </w:rPr>
                      </w:pPr>
                      <w:r w:rsidRPr="008B69CC">
                        <w:rPr>
                          <w:color w:val="auto"/>
                          <w:sz w:val="20"/>
                        </w:rPr>
                        <w:t xml:space="preserve">Is it related to a jointly agreed priority (facility-based NCD; health promotion for NCD; health systems strengthening; </w:t>
                      </w:r>
                      <w:r>
                        <w:rPr>
                          <w:color w:val="auto"/>
                          <w:sz w:val="20"/>
                        </w:rPr>
                        <w:t>GESI</w:t>
                      </w:r>
                      <w:r w:rsidRPr="008B69CC">
                        <w:rPr>
                          <w:color w:val="auto"/>
                          <w:sz w:val="20"/>
                        </w:rPr>
                        <w:t>)?</w:t>
                      </w:r>
                    </w:p>
                  </w:txbxContent>
                </v:textbox>
              </v:shape>
            </w:pict>
          </mc:Fallback>
        </mc:AlternateContent>
      </w:r>
      <w:r w:rsidRPr="00704E06">
        <w:rPr>
          <w:rFonts w:ascii="Franklin Gothic Book" w:hAnsi="Franklin Gothic Book"/>
          <w:noProof/>
        </w:rPr>
        <mc:AlternateContent>
          <mc:Choice Requires="wps">
            <w:drawing>
              <wp:anchor distT="0" distB="0" distL="114300" distR="114300" simplePos="0" relativeHeight="251677696" behindDoc="1" locked="0" layoutInCell="1" allowOverlap="1" wp14:anchorId="6FEE51FC" wp14:editId="24CC3639">
                <wp:simplePos x="0" y="0"/>
                <wp:positionH relativeFrom="column">
                  <wp:posOffset>-504825</wp:posOffset>
                </wp:positionH>
                <wp:positionV relativeFrom="paragraph">
                  <wp:posOffset>-781050</wp:posOffset>
                </wp:positionV>
                <wp:extent cx="5935980" cy="309880"/>
                <wp:effectExtent l="0" t="0" r="7620" b="0"/>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39" w:rsidRPr="006007D5" w:rsidRDefault="004F6539" w:rsidP="00B652E1">
                            <w:pPr>
                              <w:spacing w:line="276" w:lineRule="auto"/>
                              <w:rPr>
                                <w:b/>
                                <w:sz w:val="40"/>
                              </w:rPr>
                            </w:pPr>
                            <w:r w:rsidRPr="0043525A">
                              <w:rPr>
                                <w:rFonts w:ascii="Franklin Gothic Medium" w:hAnsi="Franklin Gothic Medium"/>
                                <w:b/>
                                <w:szCs w:val="20"/>
                              </w:rPr>
                              <w:t>F</w:t>
                            </w:r>
                            <w:r>
                              <w:rPr>
                                <w:rFonts w:ascii="Franklin Gothic Medium" w:hAnsi="Franklin Gothic Medium"/>
                                <w:b/>
                                <w:szCs w:val="20"/>
                              </w:rPr>
                              <w:t xml:space="preserve">igure 2  </w:t>
                            </w:r>
                            <w:r w:rsidRPr="0043525A">
                              <w:rPr>
                                <w:rFonts w:ascii="Franklin Gothic Medium" w:hAnsi="Franklin Gothic Medium"/>
                                <w:b/>
                                <w:szCs w:val="20"/>
                              </w:rPr>
                              <w:t>Key timings</w:t>
                            </w:r>
                            <w:r>
                              <w:rPr>
                                <w:b/>
                                <w:sz w:val="40"/>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39.75pt;margin-top:-61.5pt;width:467.4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" stroked="f">
                <v:textbox inset=".5mm,.3mm,.5mm,.3mm">
                  <w:txbxContent>
                    <w:p w:rsidR="004F6539" w:rsidRPr="006007D5" w:rsidRDefault="004F6539" w:rsidP="00B652E1">
                      <w:pPr>
                        <w:spacing w:line="276" w:lineRule="auto"/>
                        <w:rPr>
                          <w:b/>
                          <w:sz w:val="40"/>
                        </w:rPr>
                      </w:pPr>
                      <w:r w:rsidRPr="0043525A">
                        <w:rPr>
                          <w:rFonts w:ascii="Franklin Gothic Medium" w:hAnsi="Franklin Gothic Medium"/>
                          <w:b/>
                          <w:szCs w:val="20"/>
                        </w:rPr>
                        <w:t>F</w:t>
                      </w:r>
                      <w:r>
                        <w:rPr>
                          <w:rFonts w:ascii="Franklin Gothic Medium" w:hAnsi="Franklin Gothic Medium"/>
                          <w:b/>
                          <w:szCs w:val="20"/>
                        </w:rPr>
                        <w:t xml:space="preserve">igure 2  </w:t>
                      </w:r>
                      <w:r w:rsidRPr="0043525A">
                        <w:rPr>
                          <w:rFonts w:ascii="Franklin Gothic Medium" w:hAnsi="Franklin Gothic Medium"/>
                          <w:b/>
                          <w:szCs w:val="20"/>
                        </w:rPr>
                        <w:t>Key timings</w:t>
                      </w:r>
                      <w:r>
                        <w:rPr>
                          <w:b/>
                          <w:sz w:val="40"/>
                        </w:rPr>
                        <w:t xml:space="preserve"> </w:t>
                      </w:r>
                    </w:p>
                  </w:txbxContent>
                </v:textbox>
              </v:shape>
            </w:pict>
          </mc:Fallback>
        </mc:AlternateContent>
      </w:r>
      <w:r w:rsidRPr="005F4FAA">
        <w:rPr>
          <w:rFonts w:ascii="Franklin Gothic Book" w:hAnsi="Franklin Gothic Book"/>
          <w:b/>
          <w:szCs w:val="20"/>
        </w:rPr>
        <w:br w:type="page"/>
      </w:r>
    </w:p>
    <w:p w:rsidR="00B652E1" w:rsidRPr="005F4FAA" w:rsidRDefault="00B652E1" w:rsidP="00F63C34">
      <w:pPr>
        <w:pStyle w:val="Heading2"/>
        <w:rPr>
          <w:i/>
          <w:lang w:eastAsia="en-US"/>
        </w:rPr>
      </w:pPr>
      <w:r w:rsidRPr="005F4FAA">
        <w:rPr>
          <w:lang w:eastAsia="en-US"/>
        </w:rPr>
        <w:t>Resources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The budget has been described in the previous section. Procurement will be through standard Government of Tonga procedures. Specialist procurement (e.g. pharmaceuticals) would need to involve the appropriate professional. TA could be procured in a number of ways: directly, by the Ministry of Health or TongaHealth, through DFAT’s Health Resource Facility or through the Pacific Technical Assistance Mechanism (PACTAM). Whichever route is used, the Ministry of Health and</w:t>
      </w:r>
      <w:r>
        <w:rPr>
          <w:rFonts w:ascii="Franklin Gothic Book" w:hAnsi="Franklin Gothic Book"/>
          <w:szCs w:val="20"/>
        </w:rPr>
        <w:t>/</w:t>
      </w:r>
      <w:r w:rsidRPr="005F4FAA">
        <w:rPr>
          <w:rFonts w:ascii="Franklin Gothic Book" w:hAnsi="Franklin Gothic Book"/>
          <w:szCs w:val="20"/>
        </w:rPr>
        <w:t xml:space="preserve">or TongaHealth would need to be involved with the process and there would need to be agreed processes for the assessment and review of the recruits’ work.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F13FE1">
        <w:rPr>
          <w:rFonts w:ascii="Franklin Gothic Book" w:hAnsi="Franklin Gothic Book"/>
          <w:szCs w:val="20"/>
        </w:rPr>
        <w:t>THSSP2 has implications for the staffing of the DFAT Post. THSSP2 aims to reform and strengthen critical functions related to the governance and management of the health sector, i.e., planning, budgeting and monitoring. As such, it will require sustained engagement from a number of people in the DFAT post. DFAT interlocutors will need the capacity and authority to discuss strategic issues wi</w:t>
      </w:r>
      <w:r>
        <w:rPr>
          <w:rFonts w:ascii="Franklin Gothic Book" w:hAnsi="Franklin Gothic Book"/>
          <w:szCs w:val="20"/>
        </w:rPr>
        <w:t>th members of the MOH executive;</w:t>
      </w:r>
      <w:r w:rsidRPr="00F13FE1">
        <w:rPr>
          <w:rFonts w:ascii="Franklin Gothic Book" w:hAnsi="Franklin Gothic Book"/>
          <w:szCs w:val="20"/>
        </w:rPr>
        <w:t xml:space="preserve"> to sustain a policy dialog about priorities, equit</w:t>
      </w:r>
      <w:r>
        <w:rPr>
          <w:rFonts w:ascii="Franklin Gothic Book" w:hAnsi="Franklin Gothic Book"/>
          <w:szCs w:val="20"/>
        </w:rPr>
        <w:t>y and the quality of management;</w:t>
      </w:r>
      <w:r w:rsidRPr="00F13FE1">
        <w:rPr>
          <w:rFonts w:ascii="Franklin Gothic Book" w:hAnsi="Franklin Gothic Book"/>
          <w:szCs w:val="20"/>
        </w:rPr>
        <w:t xml:space="preserve"> </w:t>
      </w:r>
      <w:r>
        <w:rPr>
          <w:rFonts w:ascii="Franklin Gothic Book" w:hAnsi="Franklin Gothic Book"/>
          <w:szCs w:val="20"/>
        </w:rPr>
        <w:t xml:space="preserve">and </w:t>
      </w:r>
      <w:r w:rsidRPr="00F13FE1">
        <w:rPr>
          <w:rFonts w:ascii="Franklin Gothic Book" w:hAnsi="Franklin Gothic Book"/>
          <w:szCs w:val="20"/>
        </w:rPr>
        <w:t xml:space="preserve">to review progress and work through the inevitable challenges as they arise.  DFAT will regularly attend meetings of both the National Health Development Committee and the TongaHealth Board and will contribute to discussions about the direction of the work-plans and specific funding requests. DFAT will also be a member </w:t>
      </w:r>
      <w:r w:rsidRPr="00B67EAD">
        <w:rPr>
          <w:rFonts w:ascii="Franklin Gothic Book" w:hAnsi="Franklin Gothic Book"/>
          <w:szCs w:val="20"/>
        </w:rPr>
        <w:t>of the panel which will allocate performance payments each year. This work will need to be led by the locally-engaged (LES) Health Program Manager and the Second Secretary (Development), with support from the Head of Mission (HOM) and Deputy HOM as required, backed up with input by the Director, Pacific Health Advice based in Canberra. Support will also be provided as required by the Public Financial Management Advisory Services section, on the implementation of the PFM aspects of the program. It is anticipated that the Health Program Manager will need to spend 90% of her/his time on this investment, supported by the Second Secretary as 70% of</w:t>
      </w:r>
      <w:r w:rsidRPr="00F13FE1">
        <w:rPr>
          <w:rFonts w:ascii="Franklin Gothic Book" w:hAnsi="Franklin Gothic Book"/>
          <w:szCs w:val="20"/>
        </w:rPr>
        <w:t xml:space="preserve"> their role. Engagement in the first year of the program will be particularly critical, as this investment represents a new way of working for post. While the implementation of the program will be supported by long-term TA, the ultimate responsibility for keeping the strategic intent of the program on track rests with DFAT: the Deputy High Commissioner, Second Secretary and Health Program Manager all have key roles in this regard.  Heightened engagement in the first 12-18 months is anticipated.</w:t>
      </w:r>
      <w:r w:rsidRPr="005F4FAA">
        <w:rPr>
          <w:rFonts w:ascii="Franklin Gothic Book" w:hAnsi="Franklin Gothic Book"/>
          <w:szCs w:val="20"/>
        </w:rPr>
        <w:t xml:space="preserve"> </w:t>
      </w:r>
    </w:p>
    <w:p w:rsidR="00B652E1" w:rsidRPr="005F4FAA" w:rsidRDefault="00B652E1" w:rsidP="00B652E1">
      <w:pPr>
        <w:spacing w:line="276" w:lineRule="auto"/>
        <w:rPr>
          <w:rFonts w:ascii="Franklin Gothic Book" w:hAnsi="Franklin Gothic Book"/>
          <w:szCs w:val="20"/>
        </w:rPr>
      </w:pPr>
    </w:p>
    <w:p w:rsidR="00B652E1" w:rsidRPr="005F4FAA" w:rsidRDefault="00B652E1" w:rsidP="00F63C34">
      <w:pPr>
        <w:pStyle w:val="Heading2"/>
        <w:rPr>
          <w:i/>
          <w:lang w:eastAsia="en-US"/>
        </w:rPr>
      </w:pPr>
      <w:r>
        <w:rPr>
          <w:lang w:eastAsia="en-US"/>
        </w:rPr>
        <w:t xml:space="preserve">Program </w:t>
      </w:r>
      <w:r w:rsidRPr="005F4FAA">
        <w:rPr>
          <w:lang w:eastAsia="en-US"/>
        </w:rPr>
        <w:t>Logic and Expected Outcomes</w:t>
      </w:r>
      <w:r w:rsidRPr="005F4FAA">
        <w:rPr>
          <w:i/>
          <w:lang w:eastAsia="en-US"/>
        </w:rPr>
        <w:t xml:space="preserve"> </w:t>
      </w:r>
    </w:p>
    <w:p w:rsidR="00B652E1" w:rsidRDefault="00B652E1" w:rsidP="00B652E1">
      <w:pPr>
        <w:spacing w:before="80" w:line="276" w:lineRule="auto"/>
        <w:rPr>
          <w:rFonts w:ascii="Franklin Gothic Book" w:eastAsia="Times New Roman" w:hAnsi="Franklin Gothic Book"/>
          <w:szCs w:val="20"/>
          <w:lang w:eastAsia="en-US"/>
        </w:rPr>
      </w:pPr>
    </w:p>
    <w:p w:rsidR="00B652E1" w:rsidRDefault="00B652E1" w:rsidP="00B652E1">
      <w:pPr>
        <w:spacing w:before="80" w:line="276" w:lineRule="auto"/>
        <w:rPr>
          <w:rFonts w:ascii="Franklin Gothic Book" w:eastAsia="Times New Roman" w:hAnsi="Franklin Gothic Book"/>
          <w:szCs w:val="20"/>
          <w:lang w:eastAsia="en-US"/>
        </w:rPr>
      </w:pPr>
      <w:r>
        <w:rPr>
          <w:rFonts w:ascii="Franklin Gothic Book" w:eastAsia="Times New Roman" w:hAnsi="Franklin Gothic Book"/>
          <w:szCs w:val="20"/>
          <w:lang w:eastAsia="en-US"/>
        </w:rPr>
        <w:t xml:space="preserve">This section begins by describing key features of the results chain: the full table of indicators is given in Annex 12. The section then moves on to describe the Program Logic underpinning THSSP2. </w:t>
      </w:r>
    </w:p>
    <w:p w:rsidR="00B652E1" w:rsidRDefault="00B652E1" w:rsidP="00B652E1">
      <w:pPr>
        <w:spacing w:before="80" w:line="276" w:lineRule="auto"/>
        <w:rPr>
          <w:rFonts w:ascii="Franklin Gothic Book" w:eastAsia="Times New Roman" w:hAnsi="Franklin Gothic Book"/>
          <w:szCs w:val="20"/>
          <w:lang w:eastAsia="en-US"/>
        </w:rPr>
      </w:pPr>
    </w:p>
    <w:p w:rsidR="00B652E1" w:rsidRDefault="00B652E1" w:rsidP="00B652E1">
      <w:pPr>
        <w:spacing w:before="80" w:line="276" w:lineRule="auto"/>
        <w:rPr>
          <w:rFonts w:ascii="Franklin Gothic Book" w:eastAsia="Times New Roman" w:hAnsi="Franklin Gothic Book"/>
          <w:i/>
          <w:szCs w:val="20"/>
          <w:lang w:eastAsia="en-US"/>
        </w:rPr>
      </w:pPr>
      <w:r>
        <w:rPr>
          <w:rFonts w:ascii="Franklin Gothic Book" w:eastAsia="Times New Roman" w:hAnsi="Franklin Gothic Book"/>
          <w:i/>
          <w:szCs w:val="20"/>
          <w:lang w:eastAsia="en-US"/>
        </w:rPr>
        <w:t>Indicators of results</w:t>
      </w:r>
    </w:p>
    <w:p w:rsidR="00B652E1" w:rsidRDefault="00B652E1" w:rsidP="00B652E1">
      <w:pPr>
        <w:spacing w:line="276" w:lineRule="auto"/>
        <w:contextualSpacing/>
        <w:rPr>
          <w:rFonts w:ascii="Franklin Gothic Book" w:hAnsi="Franklin Gothic Book"/>
          <w:szCs w:val="20"/>
        </w:rPr>
      </w:pPr>
    </w:p>
    <w:p w:rsidR="00B652E1" w:rsidRPr="00DC70AB" w:rsidRDefault="00B652E1" w:rsidP="00B652E1">
      <w:pPr>
        <w:spacing w:line="276" w:lineRule="auto"/>
        <w:contextualSpacing/>
        <w:rPr>
          <w:rFonts w:ascii="Franklin Gothic Book" w:hAnsi="Franklin Gothic Book"/>
          <w:szCs w:val="20"/>
        </w:rPr>
      </w:pPr>
      <w:r w:rsidRPr="005F4FAA">
        <w:rPr>
          <w:rFonts w:ascii="Franklin Gothic Book" w:hAnsi="Franklin Gothic Book"/>
          <w:szCs w:val="20"/>
        </w:rPr>
        <w:t xml:space="preserve">There are five </w:t>
      </w:r>
      <w:r>
        <w:rPr>
          <w:rFonts w:ascii="Franklin Gothic Book" w:hAnsi="Franklin Gothic Book"/>
          <w:szCs w:val="20"/>
        </w:rPr>
        <w:t xml:space="preserve">targets (with associated outcome indicators) </w:t>
      </w:r>
      <w:r w:rsidRPr="005F4FAA">
        <w:rPr>
          <w:rFonts w:ascii="Franklin Gothic Book" w:hAnsi="Franklin Gothic Book"/>
          <w:szCs w:val="20"/>
        </w:rPr>
        <w:t xml:space="preserve">to be achieved by the end of THSSP2. Two are directly related to </w:t>
      </w:r>
      <w:r>
        <w:rPr>
          <w:rFonts w:ascii="Franklin Gothic Book" w:hAnsi="Franklin Gothic Book"/>
          <w:szCs w:val="20"/>
        </w:rPr>
        <w:t xml:space="preserve">NCD risk factors and </w:t>
      </w:r>
      <w:r w:rsidRPr="005F4FAA">
        <w:rPr>
          <w:rFonts w:ascii="Franklin Gothic Book" w:hAnsi="Franklin Gothic Book"/>
          <w:szCs w:val="20"/>
        </w:rPr>
        <w:t xml:space="preserve">health status, one is </w:t>
      </w:r>
      <w:r>
        <w:rPr>
          <w:rFonts w:ascii="Franklin Gothic Book" w:hAnsi="Franklin Gothic Book"/>
          <w:szCs w:val="20"/>
        </w:rPr>
        <w:t xml:space="preserve">about </w:t>
      </w:r>
      <w:r w:rsidRPr="005F4FAA">
        <w:rPr>
          <w:rFonts w:ascii="Franklin Gothic Book" w:hAnsi="Franklin Gothic Book"/>
          <w:szCs w:val="20"/>
        </w:rPr>
        <w:t xml:space="preserve">cost efficiencies and universal coverage, one is linked to system strengthening and one relates to addressing </w:t>
      </w:r>
      <w:r w:rsidRPr="00DC70AB">
        <w:rPr>
          <w:rFonts w:ascii="Franklin Gothic Book" w:hAnsi="Franklin Gothic Book"/>
          <w:szCs w:val="20"/>
        </w:rPr>
        <w:t xml:space="preserve">gender equity and social inclusion: </w:t>
      </w:r>
    </w:p>
    <w:p w:rsidR="00B652E1" w:rsidRPr="00BF1F3A" w:rsidRDefault="00B652E1" w:rsidP="00B652E1">
      <w:pPr>
        <w:rPr>
          <w:rFonts w:ascii="Franklin Gothic Book" w:hAnsi="Franklin Gothic Book"/>
          <w:szCs w:val="20"/>
          <w:highlight w:val="yellow"/>
        </w:rPr>
      </w:pPr>
    </w:p>
    <w:p w:rsidR="00B652E1" w:rsidRPr="00B67EAD" w:rsidRDefault="00B652E1" w:rsidP="00B652E1">
      <w:pPr>
        <w:pStyle w:val="ListParagraph"/>
        <w:numPr>
          <w:ilvl w:val="0"/>
          <w:numId w:val="59"/>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Decrease in percentage of population at high risk of developing an NCD, for both males and females. (Risk factors are diet, inactivity, smoking and alcohol abuse.) </w:t>
      </w:r>
    </w:p>
    <w:p w:rsidR="00B652E1" w:rsidRPr="00B67EAD" w:rsidRDefault="00B652E1" w:rsidP="00B652E1">
      <w:pPr>
        <w:pStyle w:val="ListParagraph"/>
        <w:numPr>
          <w:ilvl w:val="0"/>
          <w:numId w:val="0"/>
        </w:numPr>
        <w:spacing w:after="0"/>
        <w:ind w:left="360"/>
        <w:contextualSpacing/>
        <w:rPr>
          <w:rFonts w:ascii="Franklin Gothic Book" w:hAnsi="Franklin Gothic Book"/>
          <w:sz w:val="20"/>
          <w:szCs w:val="20"/>
        </w:rPr>
      </w:pPr>
    </w:p>
    <w:p w:rsidR="00B652E1" w:rsidRPr="00B67EAD" w:rsidRDefault="00B652E1" w:rsidP="00B652E1">
      <w:pPr>
        <w:pStyle w:val="ListParagraph"/>
        <w:numPr>
          <w:ilvl w:val="0"/>
          <w:numId w:val="59"/>
        </w:numPr>
        <w:spacing w:after="0"/>
        <w:contextualSpacing/>
        <w:rPr>
          <w:rFonts w:ascii="Franklin Gothic Book" w:hAnsi="Franklin Gothic Book"/>
          <w:sz w:val="20"/>
          <w:szCs w:val="20"/>
        </w:rPr>
      </w:pPr>
      <w:r w:rsidRPr="00B67EAD">
        <w:rPr>
          <w:rFonts w:ascii="Franklin Gothic Book" w:hAnsi="Franklin Gothic Book"/>
          <w:sz w:val="20"/>
          <w:szCs w:val="20"/>
        </w:rPr>
        <w:t>Downward trend in the rates of premature deaths and preventable disability</w:t>
      </w:r>
      <w:r w:rsidR="00B67EAD">
        <w:rPr>
          <w:rStyle w:val="FootnoteReference"/>
        </w:rPr>
        <w:footnoteReference w:id="18"/>
      </w:r>
      <w:r w:rsidRPr="00B67EAD">
        <w:rPr>
          <w:rFonts w:ascii="Franklin Gothic Book" w:hAnsi="Franklin Gothic Book"/>
          <w:sz w:val="20"/>
          <w:szCs w:val="20"/>
        </w:rPr>
        <w:t xml:space="preserve"> related to NCDs in men and in women. </w:t>
      </w:r>
    </w:p>
    <w:p w:rsidR="00B652E1" w:rsidRPr="00B67EAD" w:rsidRDefault="00B652E1" w:rsidP="00B652E1">
      <w:pPr>
        <w:pStyle w:val="ListParagraph"/>
        <w:numPr>
          <w:ilvl w:val="0"/>
          <w:numId w:val="0"/>
        </w:numPr>
        <w:spacing w:after="0"/>
        <w:ind w:left="360"/>
        <w:contextualSpacing/>
        <w:rPr>
          <w:rFonts w:ascii="Franklin Gothic Book" w:hAnsi="Franklin Gothic Book"/>
          <w:sz w:val="20"/>
          <w:szCs w:val="20"/>
        </w:rPr>
      </w:pPr>
    </w:p>
    <w:p w:rsidR="00B652E1" w:rsidRPr="00B67EAD" w:rsidRDefault="00B652E1" w:rsidP="00B652E1">
      <w:pPr>
        <w:pStyle w:val="ListParagraph"/>
        <w:numPr>
          <w:ilvl w:val="0"/>
          <w:numId w:val="59"/>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NCD management as part of Universal Health Coverage leads to cost savings in hospitals. </w:t>
      </w:r>
    </w:p>
    <w:p w:rsidR="00B652E1" w:rsidRPr="00B67EAD" w:rsidRDefault="00B652E1" w:rsidP="00B652E1">
      <w:pPr>
        <w:rPr>
          <w:szCs w:val="20"/>
        </w:rPr>
      </w:pPr>
    </w:p>
    <w:p w:rsidR="00B652E1" w:rsidRPr="00B67EAD" w:rsidRDefault="00B652E1" w:rsidP="00B652E1">
      <w:pPr>
        <w:pStyle w:val="ListParagraph"/>
        <w:numPr>
          <w:ilvl w:val="0"/>
          <w:numId w:val="59"/>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Strengthened health system management, including planning, financial management, implementation, monitoring, health information, procurement and human resources.  </w:t>
      </w:r>
    </w:p>
    <w:p w:rsidR="00B652E1" w:rsidRPr="00B67EAD" w:rsidRDefault="00B652E1" w:rsidP="00B652E1">
      <w:pPr>
        <w:rPr>
          <w:rFonts w:ascii="Franklin Gothic Book" w:hAnsi="Franklin Gothic Book"/>
          <w:szCs w:val="20"/>
        </w:rPr>
      </w:pPr>
    </w:p>
    <w:p w:rsidR="00B652E1" w:rsidRPr="00B67EAD" w:rsidRDefault="00B652E1" w:rsidP="00B652E1">
      <w:pPr>
        <w:pStyle w:val="ListParagraph"/>
        <w:numPr>
          <w:ilvl w:val="0"/>
          <w:numId w:val="59"/>
        </w:numPr>
        <w:spacing w:after="0"/>
        <w:contextualSpacing/>
        <w:rPr>
          <w:rFonts w:ascii="Franklin Gothic Book" w:hAnsi="Franklin Gothic Book"/>
          <w:sz w:val="20"/>
          <w:szCs w:val="20"/>
        </w:rPr>
      </w:pPr>
      <w:r w:rsidRPr="00B67EAD">
        <w:rPr>
          <w:rFonts w:ascii="Franklin Gothic Book" w:hAnsi="Franklin Gothic Book"/>
          <w:sz w:val="20"/>
          <w:szCs w:val="20"/>
        </w:rPr>
        <w:t xml:space="preserve">Development of GESI as a cross-cutting issue: at least 80% of annual plans from the Ministry of Health and TongaHealth reflect GESI considerations. (The most relevant GESI considerations for THSSP2 are gender, geographic equity, and inclusion of disabled and mentally ill people.) </w:t>
      </w:r>
    </w:p>
    <w:p w:rsidR="00B652E1" w:rsidRPr="005F4FAA" w:rsidRDefault="00B652E1" w:rsidP="00B652E1">
      <w:pPr>
        <w:pStyle w:val="Default"/>
        <w:spacing w:line="276" w:lineRule="auto"/>
        <w:rPr>
          <w:rFonts w:ascii="Franklin Gothic Book" w:hAnsi="Franklin Gothic Book"/>
          <w:bCs/>
          <w:color w:val="auto"/>
          <w:sz w:val="20"/>
          <w:szCs w:val="20"/>
        </w:rPr>
      </w:pPr>
    </w:p>
    <w:p w:rsidR="00B652E1" w:rsidRPr="00C65E0C" w:rsidRDefault="00B652E1" w:rsidP="00B652E1">
      <w:pPr>
        <w:pStyle w:val="Default"/>
        <w:spacing w:line="276" w:lineRule="auto"/>
        <w:rPr>
          <w:rFonts w:ascii="Franklin Gothic Book" w:hAnsi="Franklin Gothic Book"/>
          <w:bCs/>
          <w:color w:val="auto"/>
          <w:sz w:val="20"/>
          <w:szCs w:val="20"/>
        </w:rPr>
      </w:pPr>
      <w:r w:rsidRPr="0012300E">
        <w:rPr>
          <w:rFonts w:ascii="Franklin Gothic Book" w:hAnsi="Franklin Gothic Book"/>
          <w:bCs/>
          <w:color w:val="auto"/>
          <w:sz w:val="20"/>
          <w:szCs w:val="20"/>
        </w:rPr>
        <w:t xml:space="preserve">This </w:t>
      </w:r>
      <w:r>
        <w:rPr>
          <w:rFonts w:ascii="Franklin Gothic Book" w:hAnsi="Franklin Gothic Book"/>
          <w:bCs/>
          <w:color w:val="auto"/>
          <w:sz w:val="20"/>
          <w:szCs w:val="20"/>
        </w:rPr>
        <w:t xml:space="preserve">is </w:t>
      </w:r>
      <w:r w:rsidRPr="0012300E">
        <w:rPr>
          <w:rFonts w:ascii="Franklin Gothic Book" w:hAnsi="Franklin Gothic Book"/>
          <w:bCs/>
          <w:color w:val="auto"/>
          <w:sz w:val="20"/>
          <w:szCs w:val="20"/>
        </w:rPr>
        <w:t>summarised into one over</w:t>
      </w:r>
      <w:r>
        <w:rPr>
          <w:rFonts w:ascii="Franklin Gothic Book" w:hAnsi="Franklin Gothic Book"/>
          <w:bCs/>
          <w:color w:val="auto"/>
          <w:sz w:val="20"/>
          <w:szCs w:val="20"/>
        </w:rPr>
        <w:t>-</w:t>
      </w:r>
      <w:r w:rsidRPr="0012300E">
        <w:rPr>
          <w:rFonts w:ascii="Franklin Gothic Book" w:hAnsi="Franklin Gothic Book"/>
          <w:bCs/>
          <w:color w:val="auto"/>
          <w:sz w:val="20"/>
          <w:szCs w:val="20"/>
        </w:rPr>
        <w:t>arching objective</w:t>
      </w:r>
      <w:r>
        <w:rPr>
          <w:rFonts w:ascii="Franklin Gothic Book" w:hAnsi="Franklin Gothic Book"/>
          <w:bCs/>
          <w:color w:val="auto"/>
          <w:sz w:val="20"/>
          <w:szCs w:val="20"/>
        </w:rPr>
        <w:t xml:space="preserve"> (or vision)</w:t>
      </w:r>
      <w:r w:rsidRPr="0012300E">
        <w:rPr>
          <w:rFonts w:ascii="Franklin Gothic Book" w:hAnsi="Franklin Gothic Book"/>
          <w:bCs/>
          <w:color w:val="auto"/>
          <w:sz w:val="20"/>
          <w:szCs w:val="20"/>
        </w:rPr>
        <w:t xml:space="preserve">: </w:t>
      </w:r>
      <w:r w:rsidRPr="00216A98">
        <w:rPr>
          <w:rFonts w:ascii="Franklin Gothic Book" w:hAnsi="Franklin Gothic Book"/>
          <w:b/>
          <w:sz w:val="20"/>
          <w:szCs w:val="20"/>
        </w:rPr>
        <w:t>a more effective, efficient and equitable health system which reduces the burden of non-communicable diseases in Tonga</w:t>
      </w:r>
      <w:r w:rsidRPr="0012300E">
        <w:rPr>
          <w:rFonts w:ascii="Franklin Gothic Book" w:hAnsi="Franklin Gothic Book"/>
          <w:sz w:val="20"/>
          <w:szCs w:val="20"/>
        </w:rPr>
        <w:t>.</w:t>
      </w:r>
      <w:r w:rsidRPr="0012300E">
        <w:rPr>
          <w:rFonts w:ascii="Franklin Gothic Book" w:hAnsi="Franklin Gothic Book"/>
          <w:bCs/>
          <w:i/>
          <w:color w:val="auto"/>
          <w:sz w:val="20"/>
          <w:szCs w:val="20"/>
        </w:rPr>
        <w:t xml:space="preserve"> </w:t>
      </w:r>
    </w:p>
    <w:p w:rsidR="00B652E1" w:rsidRDefault="00B652E1" w:rsidP="00B652E1">
      <w:pPr>
        <w:pStyle w:val="Default"/>
        <w:spacing w:line="276" w:lineRule="auto"/>
        <w:rPr>
          <w:rFonts w:ascii="Franklin Gothic Book" w:hAnsi="Franklin Gothic Book"/>
          <w:bCs/>
          <w:i/>
          <w:color w:val="auto"/>
          <w:sz w:val="20"/>
          <w:szCs w:val="20"/>
        </w:rPr>
      </w:pPr>
    </w:p>
    <w:p w:rsidR="00B652E1" w:rsidRPr="005F4FAA" w:rsidRDefault="00B652E1" w:rsidP="00B652E1">
      <w:pPr>
        <w:pStyle w:val="Default"/>
        <w:spacing w:after="240" w:line="276" w:lineRule="auto"/>
        <w:rPr>
          <w:rFonts w:ascii="Franklin Gothic Book" w:hAnsi="Franklin Gothic Book"/>
          <w:sz w:val="20"/>
          <w:szCs w:val="20"/>
        </w:rPr>
      </w:pPr>
      <w:r w:rsidRPr="002E61FB">
        <w:rPr>
          <w:rFonts w:ascii="Franklin Gothic Book" w:hAnsi="Franklin Gothic Book"/>
          <w:sz w:val="20"/>
          <w:szCs w:val="20"/>
        </w:rPr>
        <w:t>The first and second</w:t>
      </w:r>
      <w:r w:rsidRPr="005F4FAA">
        <w:rPr>
          <w:rFonts w:ascii="Franklin Gothic Book" w:hAnsi="Franklin Gothic Book"/>
          <w:sz w:val="20"/>
          <w:szCs w:val="20"/>
        </w:rPr>
        <w:t xml:space="preserve"> </w:t>
      </w:r>
      <w:r>
        <w:rPr>
          <w:rFonts w:ascii="Franklin Gothic Book" w:hAnsi="Franklin Gothic Book"/>
          <w:sz w:val="20"/>
          <w:szCs w:val="20"/>
        </w:rPr>
        <w:t xml:space="preserve">targets </w:t>
      </w:r>
      <w:r w:rsidRPr="005F4FAA">
        <w:rPr>
          <w:rFonts w:ascii="Franklin Gothic Book" w:hAnsi="Franklin Gothic Book"/>
          <w:sz w:val="20"/>
          <w:szCs w:val="20"/>
        </w:rPr>
        <w:t xml:space="preserve">about </w:t>
      </w:r>
      <w:r>
        <w:rPr>
          <w:rFonts w:ascii="Franklin Gothic Book" w:hAnsi="Franklin Gothic Book"/>
          <w:sz w:val="20"/>
          <w:szCs w:val="20"/>
        </w:rPr>
        <w:t xml:space="preserve">NCDs and </w:t>
      </w:r>
      <w:r w:rsidRPr="005F4FAA">
        <w:rPr>
          <w:rFonts w:ascii="Franklin Gothic Book" w:hAnsi="Franklin Gothic Book"/>
          <w:sz w:val="20"/>
          <w:szCs w:val="20"/>
        </w:rPr>
        <w:t xml:space="preserve">mortality </w:t>
      </w:r>
      <w:r>
        <w:rPr>
          <w:rFonts w:ascii="Franklin Gothic Book" w:hAnsi="Franklin Gothic Book"/>
          <w:sz w:val="20"/>
          <w:szCs w:val="20"/>
        </w:rPr>
        <w:t xml:space="preserve">are </w:t>
      </w:r>
      <w:r w:rsidRPr="005F4FAA">
        <w:rPr>
          <w:rFonts w:ascii="Franklin Gothic Book" w:hAnsi="Franklin Gothic Book"/>
          <w:sz w:val="20"/>
          <w:szCs w:val="20"/>
        </w:rPr>
        <w:t xml:space="preserve">linked to the </w:t>
      </w:r>
      <w:r>
        <w:rPr>
          <w:rFonts w:ascii="Franklin Gothic Book" w:hAnsi="Franklin Gothic Book"/>
          <w:sz w:val="20"/>
          <w:szCs w:val="20"/>
        </w:rPr>
        <w:t xml:space="preserve">WHO </w:t>
      </w:r>
      <w:r w:rsidRPr="005F4FAA">
        <w:rPr>
          <w:rFonts w:ascii="Franklin Gothic Book" w:hAnsi="Franklin Gothic Book"/>
          <w:sz w:val="20"/>
          <w:szCs w:val="20"/>
        </w:rPr>
        <w:t xml:space="preserve">Global NCD targets. </w:t>
      </w:r>
    </w:p>
    <w:p w:rsidR="00B652E1" w:rsidRPr="00903049" w:rsidRDefault="00B652E1" w:rsidP="00B652E1">
      <w:pPr>
        <w:spacing w:after="240" w:line="276" w:lineRule="auto"/>
        <w:rPr>
          <w:rFonts w:ascii="Franklin Gothic Book" w:hAnsi="Franklin Gothic Book"/>
          <w:szCs w:val="20"/>
        </w:rPr>
      </w:pPr>
      <w:r w:rsidRPr="00903049">
        <w:rPr>
          <w:rFonts w:ascii="Franklin Gothic Book" w:hAnsi="Franklin Gothic Book"/>
          <w:szCs w:val="20"/>
        </w:rPr>
        <w:t xml:space="preserve">The reason for including the third and fourth targets (cost efficiencies and strengthened systems) is the significant economic and social burden of NCDs. </w:t>
      </w:r>
      <w:r>
        <w:rPr>
          <w:rFonts w:ascii="Franklin Gothic Book" w:hAnsi="Franklin Gothic Book"/>
          <w:szCs w:val="20"/>
        </w:rPr>
        <w:t xml:space="preserve">It is vital that the Government of Tonga controls the escalating costs of NCDs. </w:t>
      </w:r>
      <w:r w:rsidRPr="00903049">
        <w:rPr>
          <w:rFonts w:ascii="Franklin Gothic Book" w:hAnsi="Franklin Gothic Book"/>
          <w:szCs w:val="20"/>
        </w:rPr>
        <w:t>Cost efficiencies will be measured through management of NCDs in primary care</w:t>
      </w:r>
      <w:r>
        <w:rPr>
          <w:rFonts w:ascii="Franklin Gothic Book" w:hAnsi="Franklin Gothic Book"/>
          <w:szCs w:val="20"/>
        </w:rPr>
        <w:t>:</w:t>
      </w:r>
      <w:r w:rsidRPr="00903049">
        <w:rPr>
          <w:rFonts w:ascii="Franklin Gothic Book" w:hAnsi="Franklin Gothic Book"/>
          <w:szCs w:val="20"/>
        </w:rPr>
        <w:t xml:space="preserve"> for example, reductions in </w:t>
      </w:r>
      <w:r>
        <w:rPr>
          <w:rFonts w:ascii="Franklin Gothic Book" w:hAnsi="Franklin Gothic Book"/>
          <w:szCs w:val="20"/>
        </w:rPr>
        <w:t xml:space="preserve">amputations due to </w:t>
      </w:r>
      <w:r w:rsidRPr="00903049">
        <w:rPr>
          <w:rFonts w:ascii="Franklin Gothic Book" w:hAnsi="Franklin Gothic Book"/>
          <w:szCs w:val="20"/>
        </w:rPr>
        <w:t xml:space="preserve">diabetic foot syndrome, reductions in hospital length of stay (due to better diabetic care) and fewer hospital admissions for preventable aspects of NCDs. Universal Health Coverage </w:t>
      </w:r>
      <w:r>
        <w:rPr>
          <w:rFonts w:ascii="Franklin Gothic Book" w:hAnsi="Franklin Gothic Book"/>
          <w:szCs w:val="20"/>
        </w:rPr>
        <w:t xml:space="preserve">will be promoted </w:t>
      </w:r>
      <w:r w:rsidRPr="00903049">
        <w:rPr>
          <w:rFonts w:ascii="Franklin Gothic Book" w:hAnsi="Franklin Gothic Book"/>
          <w:szCs w:val="20"/>
        </w:rPr>
        <w:t xml:space="preserve">through the development of an Essential Health Package for health </w:t>
      </w:r>
      <w:r>
        <w:rPr>
          <w:rFonts w:ascii="Franklin Gothic Book" w:hAnsi="Franklin Gothic Book"/>
          <w:szCs w:val="20"/>
        </w:rPr>
        <w:t xml:space="preserve">facilities </w:t>
      </w:r>
      <w:r w:rsidRPr="00903049">
        <w:rPr>
          <w:rFonts w:ascii="Franklin Gothic Book" w:hAnsi="Franklin Gothic Book"/>
          <w:szCs w:val="20"/>
        </w:rPr>
        <w:t xml:space="preserve">across Tonga. </w:t>
      </w:r>
      <w:r>
        <w:rPr>
          <w:rFonts w:ascii="Franklin Gothic Book" w:hAnsi="Franklin Gothic Book"/>
          <w:szCs w:val="20"/>
        </w:rPr>
        <w:t>E</w:t>
      </w:r>
      <w:r w:rsidRPr="00903049">
        <w:rPr>
          <w:rFonts w:ascii="Franklin Gothic Book" w:hAnsi="Franklin Gothic Book"/>
          <w:szCs w:val="20"/>
        </w:rPr>
        <w:t xml:space="preserve">ndorsement of the Health Centre Operational Manual </w:t>
      </w:r>
      <w:r>
        <w:rPr>
          <w:rFonts w:ascii="Franklin Gothic Book" w:hAnsi="Franklin Gothic Book"/>
          <w:szCs w:val="20"/>
        </w:rPr>
        <w:t xml:space="preserve">(currently in draft form and being reviewed) </w:t>
      </w:r>
      <w:r w:rsidRPr="00903049">
        <w:rPr>
          <w:rFonts w:ascii="Franklin Gothic Book" w:hAnsi="Franklin Gothic Book"/>
          <w:szCs w:val="20"/>
        </w:rPr>
        <w:t xml:space="preserve">will also </w:t>
      </w:r>
      <w:r>
        <w:rPr>
          <w:rFonts w:ascii="Franklin Gothic Book" w:hAnsi="Franklin Gothic Book"/>
          <w:szCs w:val="20"/>
        </w:rPr>
        <w:t xml:space="preserve">contribute </w:t>
      </w:r>
      <w:r w:rsidRPr="00903049">
        <w:rPr>
          <w:rFonts w:ascii="Franklin Gothic Book" w:hAnsi="Franklin Gothic Book"/>
          <w:szCs w:val="20"/>
        </w:rPr>
        <w:t>to equitable health service</w:t>
      </w:r>
      <w:r>
        <w:rPr>
          <w:rFonts w:ascii="Franklin Gothic Book" w:hAnsi="Franklin Gothic Book"/>
          <w:szCs w:val="20"/>
        </w:rPr>
        <w:t>s</w:t>
      </w:r>
      <w:r w:rsidRPr="00903049">
        <w:rPr>
          <w:rFonts w:ascii="Franklin Gothic Book" w:hAnsi="Franklin Gothic Book"/>
          <w:szCs w:val="20"/>
        </w:rPr>
        <w:t>.</w:t>
      </w:r>
    </w:p>
    <w:p w:rsidR="00B652E1" w:rsidRDefault="00B652E1" w:rsidP="00B652E1">
      <w:pPr>
        <w:spacing w:after="240" w:line="276" w:lineRule="auto"/>
        <w:rPr>
          <w:rFonts w:ascii="Franklin Gothic Book" w:hAnsi="Franklin Gothic Book"/>
          <w:szCs w:val="20"/>
        </w:rPr>
      </w:pPr>
      <w:r w:rsidRPr="005F4FAA">
        <w:rPr>
          <w:rFonts w:ascii="Franklin Gothic Book" w:hAnsi="Franklin Gothic Book"/>
          <w:szCs w:val="20"/>
        </w:rPr>
        <w:t xml:space="preserve">Strengthened health systems will be measured through progress in the areas of planning, </w:t>
      </w:r>
      <w:r>
        <w:rPr>
          <w:rFonts w:ascii="Franklin Gothic Book" w:hAnsi="Franklin Gothic Book"/>
          <w:szCs w:val="20"/>
        </w:rPr>
        <w:t xml:space="preserve">implementation, monitoring, </w:t>
      </w:r>
      <w:r w:rsidRPr="005F4FAA">
        <w:rPr>
          <w:rFonts w:ascii="Franklin Gothic Book" w:hAnsi="Franklin Gothic Book"/>
          <w:szCs w:val="20"/>
        </w:rPr>
        <w:t xml:space="preserve">and </w:t>
      </w:r>
      <w:r>
        <w:rPr>
          <w:rFonts w:ascii="Franklin Gothic Book" w:hAnsi="Franklin Gothic Book"/>
          <w:szCs w:val="20"/>
        </w:rPr>
        <w:t xml:space="preserve">human resources, with particular interest in </w:t>
      </w:r>
      <w:r w:rsidRPr="005F4FAA">
        <w:rPr>
          <w:rFonts w:ascii="Franklin Gothic Book" w:hAnsi="Franklin Gothic Book"/>
          <w:szCs w:val="20"/>
        </w:rPr>
        <w:t xml:space="preserve">the area of public financial management and specifically in procurement. </w:t>
      </w:r>
      <w:r>
        <w:rPr>
          <w:rFonts w:ascii="Franklin Gothic Book" w:hAnsi="Franklin Gothic Book"/>
          <w:szCs w:val="20"/>
        </w:rPr>
        <w:t>(</w:t>
      </w:r>
      <w:r w:rsidRPr="005F4FAA">
        <w:rPr>
          <w:rFonts w:ascii="Franklin Gothic Book" w:hAnsi="Franklin Gothic Book"/>
          <w:szCs w:val="20"/>
        </w:rPr>
        <w:t xml:space="preserve">In March 2015, Vaiola hospital experienced a 3-6 </w:t>
      </w:r>
      <w:r w:rsidRPr="005920FC">
        <w:rPr>
          <w:rFonts w:ascii="Franklin Gothic Book" w:hAnsi="Franklin Gothic Book"/>
          <w:szCs w:val="20"/>
        </w:rPr>
        <w:t>month stock-out due to improper planning leading to procurement delays.) Strengthening the processes around planning and budgeting should contribute to better and faster procurement.</w:t>
      </w:r>
      <w:r>
        <w:rPr>
          <w:rFonts w:ascii="Franklin Gothic Book" w:hAnsi="Franklin Gothic Book"/>
          <w:szCs w:val="20"/>
        </w:rPr>
        <w:t xml:space="preserve"> </w:t>
      </w:r>
    </w:p>
    <w:p w:rsidR="00B652E1"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 xml:space="preserve">The final outcome indicator reflects the importance of including gender, equity and social inclusion (including mental health and disability) as cross cutting issues around MOH and TongaHealth activities. </w:t>
      </w: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When translating these overall objectives into specific THSSP2 indicators</w:t>
      </w:r>
      <w:r>
        <w:rPr>
          <w:rFonts w:ascii="Franklin Gothic Book" w:hAnsi="Franklin Gothic Book"/>
          <w:szCs w:val="20"/>
        </w:rPr>
        <w:t xml:space="preserve">, </w:t>
      </w:r>
      <w:r w:rsidRPr="005F4FAA">
        <w:rPr>
          <w:rFonts w:ascii="Franklin Gothic Book" w:hAnsi="Franklin Gothic Book"/>
          <w:szCs w:val="20"/>
        </w:rPr>
        <w:t>care was taken to focus on indicators included in existing government plans whenever possible and to ensure that the indicators could actually be measured. Although the indicators do not directly match the Global NCD Action Plan</w:t>
      </w:r>
      <w:r>
        <w:rPr>
          <w:rFonts w:ascii="Franklin Gothic Book" w:hAnsi="Franklin Gothic Book"/>
          <w:szCs w:val="20"/>
        </w:rPr>
        <w:t xml:space="preserve"> (because </w:t>
      </w:r>
      <w:r w:rsidRPr="005F4FAA">
        <w:rPr>
          <w:rFonts w:ascii="Franklin Gothic Book" w:hAnsi="Franklin Gothic Book"/>
          <w:szCs w:val="20"/>
        </w:rPr>
        <w:t xml:space="preserve">it was not possible to guarantee that information about the global </w:t>
      </w:r>
      <w:r>
        <w:rPr>
          <w:rFonts w:ascii="Franklin Gothic Book" w:hAnsi="Franklin Gothic Book"/>
          <w:szCs w:val="20"/>
        </w:rPr>
        <w:t>targets would be available wi</w:t>
      </w:r>
      <w:r w:rsidRPr="005F4FAA">
        <w:rPr>
          <w:rFonts w:ascii="Franklin Gothic Book" w:hAnsi="Franklin Gothic Book"/>
          <w:szCs w:val="20"/>
        </w:rPr>
        <w:t>t</w:t>
      </w:r>
      <w:r>
        <w:rPr>
          <w:rFonts w:ascii="Franklin Gothic Book" w:hAnsi="Franklin Gothic Book"/>
          <w:szCs w:val="20"/>
        </w:rPr>
        <w:t>h</w:t>
      </w:r>
      <w:r w:rsidRPr="005F4FAA">
        <w:rPr>
          <w:rFonts w:ascii="Franklin Gothic Book" w:hAnsi="Franklin Gothic Book"/>
          <w:szCs w:val="20"/>
        </w:rPr>
        <w:t xml:space="preserve"> the frequency</w:t>
      </w:r>
      <w:r>
        <w:rPr>
          <w:rFonts w:ascii="Franklin Gothic Book" w:hAnsi="Franklin Gothic Book"/>
          <w:szCs w:val="20"/>
        </w:rPr>
        <w:t xml:space="preserve"> required for THSSP2 monitoring), </w:t>
      </w:r>
      <w:r w:rsidRPr="005F4FAA">
        <w:rPr>
          <w:rFonts w:ascii="Franklin Gothic Book" w:hAnsi="Franklin Gothic Book"/>
          <w:szCs w:val="20"/>
        </w:rPr>
        <w:t xml:space="preserve">the targets around NCDs have been aligned as </w:t>
      </w:r>
      <w:r>
        <w:rPr>
          <w:rFonts w:ascii="Franklin Gothic Book" w:hAnsi="Franklin Gothic Book"/>
          <w:szCs w:val="20"/>
        </w:rPr>
        <w:t xml:space="preserve">closely </w:t>
      </w:r>
      <w:r w:rsidRPr="005F4FAA">
        <w:rPr>
          <w:rFonts w:ascii="Franklin Gothic Book" w:hAnsi="Franklin Gothic Book"/>
          <w:szCs w:val="20"/>
        </w:rPr>
        <w:t xml:space="preserve">as possible </w:t>
      </w:r>
      <w:r>
        <w:rPr>
          <w:rFonts w:ascii="Franklin Gothic Book" w:hAnsi="Franklin Gothic Book"/>
          <w:szCs w:val="20"/>
        </w:rPr>
        <w:t>to global targets</w:t>
      </w:r>
      <w:r w:rsidRPr="005F4FAA">
        <w:rPr>
          <w:rFonts w:ascii="Franklin Gothic Book" w:hAnsi="Franklin Gothic Book"/>
          <w:szCs w:val="20"/>
        </w:rPr>
        <w:t xml:space="preserve">. Targets around NCD primary and secondary prevention have </w:t>
      </w:r>
      <w:r>
        <w:rPr>
          <w:rFonts w:ascii="Franklin Gothic Book" w:hAnsi="Franklin Gothic Book"/>
          <w:szCs w:val="20"/>
        </w:rPr>
        <w:t xml:space="preserve">also </w:t>
      </w:r>
      <w:r w:rsidRPr="005F4FAA">
        <w:rPr>
          <w:rFonts w:ascii="Franklin Gothic Book" w:hAnsi="Franklin Gothic Book"/>
          <w:szCs w:val="20"/>
        </w:rPr>
        <w:t xml:space="preserve">been aligned </w:t>
      </w:r>
      <w:r>
        <w:rPr>
          <w:rFonts w:ascii="Franklin Gothic Book" w:hAnsi="Franklin Gothic Book"/>
          <w:szCs w:val="20"/>
        </w:rPr>
        <w:t xml:space="preserve">to the extent possible with </w:t>
      </w:r>
      <w:r w:rsidRPr="005F4FAA">
        <w:rPr>
          <w:rFonts w:ascii="Franklin Gothic Book" w:hAnsi="Franklin Gothic Book"/>
          <w:szCs w:val="20"/>
        </w:rPr>
        <w:t>the WHO PEN package clinical targets</w:t>
      </w:r>
      <w:r>
        <w:rPr>
          <w:rFonts w:ascii="Franklin Gothic Book" w:hAnsi="Franklin Gothic Book"/>
          <w:szCs w:val="20"/>
        </w:rPr>
        <w:t>,</w:t>
      </w:r>
      <w:r w:rsidRPr="005F4FAA">
        <w:rPr>
          <w:rFonts w:ascii="Franklin Gothic Book" w:hAnsi="Franklin Gothic Book"/>
          <w:szCs w:val="20"/>
        </w:rPr>
        <w:t xml:space="preserve"> as well as the </w:t>
      </w:r>
      <w:r>
        <w:rPr>
          <w:rFonts w:ascii="Franklin Gothic Book" w:hAnsi="Franklin Gothic Book"/>
          <w:szCs w:val="20"/>
        </w:rPr>
        <w:t xml:space="preserve">indicators in the </w:t>
      </w:r>
      <w:r w:rsidRPr="005F4FAA">
        <w:rPr>
          <w:rFonts w:ascii="Franklin Gothic Book" w:hAnsi="Franklin Gothic Book"/>
          <w:szCs w:val="20"/>
        </w:rPr>
        <w:t xml:space="preserve">relevant MOH section plans. </w:t>
      </w:r>
      <w:r>
        <w:rPr>
          <w:rFonts w:ascii="Franklin Gothic Book" w:hAnsi="Franklin Gothic Book"/>
          <w:szCs w:val="20"/>
        </w:rPr>
        <w:t>T</w:t>
      </w:r>
      <w:r w:rsidRPr="005F4FAA">
        <w:rPr>
          <w:rFonts w:ascii="Franklin Gothic Book" w:hAnsi="Franklin Gothic Book"/>
          <w:szCs w:val="20"/>
        </w:rPr>
        <w:t xml:space="preserve">he indicators included here </w:t>
      </w:r>
      <w:r>
        <w:rPr>
          <w:rFonts w:ascii="Franklin Gothic Book" w:hAnsi="Franklin Gothic Book"/>
          <w:szCs w:val="20"/>
        </w:rPr>
        <w:t xml:space="preserve">together </w:t>
      </w:r>
      <w:r w:rsidRPr="005F4FAA">
        <w:rPr>
          <w:rFonts w:ascii="Franklin Gothic Book" w:hAnsi="Franklin Gothic Book"/>
          <w:szCs w:val="20"/>
        </w:rPr>
        <w:t xml:space="preserve">provide a good overview of Tonga’s progress with tackling NCDs.    </w:t>
      </w:r>
    </w:p>
    <w:p w:rsidR="00B652E1" w:rsidRPr="00632EC0" w:rsidRDefault="00B652E1" w:rsidP="00B652E1">
      <w:pPr>
        <w:spacing w:after="134" w:line="276" w:lineRule="auto"/>
        <w:contextualSpacing/>
        <w:rPr>
          <w:rFonts w:ascii="Franklin Gothic Book" w:hAnsi="Franklin Gothic Book"/>
          <w:szCs w:val="20"/>
        </w:rPr>
      </w:pPr>
    </w:p>
    <w:p w:rsidR="00B652E1" w:rsidRPr="00B67EAD" w:rsidRDefault="00B652E1" w:rsidP="00B652E1">
      <w:pPr>
        <w:spacing w:before="80" w:line="276" w:lineRule="auto"/>
        <w:rPr>
          <w:rFonts w:ascii="Franklin Gothic Book" w:eastAsia="Times New Roman" w:hAnsi="Franklin Gothic Book"/>
          <w:szCs w:val="20"/>
          <w:lang w:eastAsia="en-US"/>
        </w:rPr>
      </w:pPr>
      <w:r w:rsidRPr="00B67EAD">
        <w:rPr>
          <w:rFonts w:ascii="Franklin Gothic Book" w:eastAsia="Times New Roman" w:hAnsi="Franklin Gothic Book"/>
          <w:szCs w:val="20"/>
          <w:lang w:eastAsia="en-US"/>
        </w:rPr>
        <w:t xml:space="preserve">It is important to stress that responsibility for achieving the THSSP2 targets is shared amongst the Ministry of Health, TongaHealth, DFAT and (to a lesser extent) many other stakeholders in Tonga. THSSP2 works through the Ministry of Health’s systems and relies on activities delivered by MoH staff. This is not a separate and discrete project which can achieve all its targets acting in isolation: the model of shared responsibility is integral to the design of THSSP2 because we know that separate projects about NCD will not be sustainable. </w:t>
      </w:r>
    </w:p>
    <w:p w:rsidR="00B652E1" w:rsidRPr="00B67EAD" w:rsidRDefault="00B652E1" w:rsidP="00B652E1">
      <w:pPr>
        <w:spacing w:before="80" w:line="276" w:lineRule="auto"/>
        <w:rPr>
          <w:rFonts w:ascii="Franklin Gothic Book" w:eastAsia="Times New Roman" w:hAnsi="Franklin Gothic Book"/>
          <w:szCs w:val="20"/>
          <w:lang w:eastAsia="en-US"/>
        </w:rPr>
      </w:pPr>
    </w:p>
    <w:p w:rsidR="00B652E1" w:rsidRPr="00B67EAD" w:rsidRDefault="00B652E1" w:rsidP="00B652E1">
      <w:pPr>
        <w:spacing w:after="200" w:line="276" w:lineRule="auto"/>
        <w:rPr>
          <w:rFonts w:ascii="Franklin Gothic Book" w:hAnsi="Franklin Gothic Book"/>
          <w:szCs w:val="20"/>
        </w:rPr>
      </w:pPr>
      <w:r w:rsidRPr="00B67EAD">
        <w:rPr>
          <w:rFonts w:ascii="Franklin Gothic Book" w:eastAsia="Times New Roman" w:hAnsi="Franklin Gothic Book"/>
          <w:szCs w:val="20"/>
          <w:lang w:eastAsia="en-US"/>
        </w:rPr>
        <w:t xml:space="preserve">Another important point about the targets is to appreciate how ambitious it is for a five-year Program to aim for a </w:t>
      </w:r>
      <w:r w:rsidRPr="00B67EAD">
        <w:rPr>
          <w:rFonts w:ascii="Franklin Gothic Book" w:hAnsi="Franklin Gothic Book"/>
          <w:szCs w:val="20"/>
        </w:rPr>
        <w:t>downward trend in the rates of premature deaths and preventable disability and for a decrease in the percentage of population at high risk of developing an NCD. (Risk factors are diet, inactivity, smoking and alcohol abuse.) It is ambitious because the current population of Tongans is already a “time-bomb” in terms of having extremely high chances of developing NCDs. The really significant drops in NCD rates will not be possible until a generation of Tongans has adopted healthier lifestyles. The priorities at the moment are to make sure that this generational shift happens, and that the health sector is able to manage the inevitable NCD burden as cost-effectively as possible.</w:t>
      </w:r>
    </w:p>
    <w:p w:rsidR="00B652E1" w:rsidRPr="00B67EAD" w:rsidRDefault="00B652E1" w:rsidP="00B652E1">
      <w:pPr>
        <w:pStyle w:val="Default"/>
        <w:spacing w:line="276" w:lineRule="auto"/>
        <w:rPr>
          <w:rFonts w:ascii="Franklin Gothic Book" w:hAnsi="Franklin Gothic Book"/>
          <w:b/>
          <w:bCs/>
          <w:color w:val="auto"/>
          <w:sz w:val="20"/>
          <w:szCs w:val="20"/>
        </w:rPr>
      </w:pPr>
      <w:r w:rsidRPr="00B67EAD">
        <w:rPr>
          <w:rFonts w:ascii="Franklin Gothic Book" w:hAnsi="Franklin Gothic Book"/>
          <w:bCs/>
          <w:color w:val="auto"/>
          <w:sz w:val="20"/>
          <w:szCs w:val="20"/>
        </w:rPr>
        <w:t xml:space="preserve">The target related to reduced premature death is deliberately ambitious. If nothing is done, NCD rates will soar; even reversing this upward-spiralling trend will be an achievement. It is vital that Tonga develops the decision-making processes and systems to tackle NCDs effectively. Without this, Tonga’s overall development will be hampered by lost economic productivity through early deaths and chronic illness, and by escalating health care costs. Working through the hierarchy of outcomes described in Annex 12 entails focusing on doing the right kinds of things to reduce NCDs – for example prevented hospitalisations show that the systems are in place to manage NCDs more efficiently (thus avoiding public spending on these hospital stays). The targets are ambitious because Tonga needs to be ambitious in this area. However it is important that any evaluations of THSSP2 focus on whether the right things – and enough of the right things – are being done to tackle the NCD crisis. It is always a possibility that prevention and treatment activities are carried out extremely well, but that the damage already done to the health of middle-aged Tongans  (in terms of unhealthy lifestyles) means that five years is too short to impact on rates of premature death. </w:t>
      </w:r>
    </w:p>
    <w:p w:rsidR="00B652E1" w:rsidRPr="00B67EAD" w:rsidRDefault="00B652E1" w:rsidP="00B652E1">
      <w:pPr>
        <w:pStyle w:val="Default"/>
        <w:spacing w:line="276" w:lineRule="auto"/>
        <w:rPr>
          <w:rFonts w:ascii="Franklin Gothic Book" w:hAnsi="Franklin Gothic Book"/>
          <w:b/>
          <w:bCs/>
          <w:color w:val="auto"/>
          <w:sz w:val="20"/>
          <w:szCs w:val="20"/>
        </w:rPr>
      </w:pPr>
    </w:p>
    <w:p w:rsidR="00B652E1" w:rsidRDefault="00B652E1" w:rsidP="00B652E1">
      <w:pPr>
        <w:spacing w:after="200" w:line="276" w:lineRule="auto"/>
        <w:rPr>
          <w:rFonts w:ascii="Franklin Gothic Book" w:hAnsi="Franklin Gothic Book"/>
          <w:szCs w:val="20"/>
        </w:rPr>
      </w:pPr>
      <w:r w:rsidRPr="00B67EAD">
        <w:rPr>
          <w:rFonts w:ascii="Franklin Gothic Book" w:hAnsi="Franklin Gothic Book"/>
          <w:szCs w:val="20"/>
        </w:rPr>
        <w:t>As discussed, the indicators for THSSP2 capture the impact of activities by many organisations</w:t>
      </w:r>
      <w:r w:rsidRPr="005F4FAA">
        <w:rPr>
          <w:rFonts w:ascii="Franklin Gothic Book" w:hAnsi="Franklin Gothic Book"/>
          <w:szCs w:val="20"/>
        </w:rPr>
        <w:t xml:space="preserve"> working together in partnership, notably the Ministry of Health, TongaHealth and DFAT. If DFAT wishes to </w:t>
      </w:r>
      <w:r w:rsidRPr="005F4FAA">
        <w:rPr>
          <w:rFonts w:ascii="Franklin Gothic Book" w:hAnsi="Franklin Gothic Book"/>
          <w:szCs w:val="20"/>
          <w:u w:val="single"/>
        </w:rPr>
        <w:t>attribute</w:t>
      </w:r>
      <w:r w:rsidRPr="005F4FAA">
        <w:rPr>
          <w:rFonts w:ascii="Franklin Gothic Book" w:hAnsi="Franklin Gothic Book"/>
          <w:szCs w:val="20"/>
        </w:rPr>
        <w:t xml:space="preserve"> any changes to its contribution, </w:t>
      </w:r>
      <w:r>
        <w:rPr>
          <w:rFonts w:ascii="Franklin Gothic Book" w:hAnsi="Franklin Gothic Book"/>
          <w:szCs w:val="20"/>
        </w:rPr>
        <w:t xml:space="preserve">a method can be agreed with the Ministry of Health to do this. The general approach is to calculate the </w:t>
      </w:r>
      <w:r w:rsidRPr="005F4FAA">
        <w:rPr>
          <w:rFonts w:ascii="Franklin Gothic Book" w:hAnsi="Franklin Gothic Book"/>
          <w:szCs w:val="20"/>
        </w:rPr>
        <w:t xml:space="preserve">percentage of total Ministry of Health and TongaHealth expenditure funded by DFAT. This percentage </w:t>
      </w:r>
      <w:r>
        <w:rPr>
          <w:rFonts w:ascii="Franklin Gothic Book" w:hAnsi="Franklin Gothic Book"/>
          <w:szCs w:val="20"/>
        </w:rPr>
        <w:t xml:space="preserve">is </w:t>
      </w:r>
      <w:r w:rsidRPr="005F4FAA">
        <w:rPr>
          <w:rFonts w:ascii="Franklin Gothic Book" w:hAnsi="Franklin Gothic Book"/>
          <w:szCs w:val="20"/>
        </w:rPr>
        <w:t xml:space="preserve">then taken as DFAT’s contribution to the changes identified. This is obviously an over-simplification (wider forces are at work that influence, for example, obesity rates), but it is a reasonable one. </w:t>
      </w:r>
    </w:p>
    <w:p w:rsidR="00B652E1" w:rsidRPr="00B67EAD" w:rsidRDefault="00B652E1" w:rsidP="00B652E1">
      <w:pPr>
        <w:spacing w:after="200" w:line="276" w:lineRule="auto"/>
        <w:rPr>
          <w:rFonts w:ascii="Franklin Gothic Book" w:hAnsi="Franklin Gothic Book"/>
          <w:i/>
          <w:szCs w:val="20"/>
        </w:rPr>
      </w:pPr>
      <w:r w:rsidRPr="00B67EAD">
        <w:rPr>
          <w:rFonts w:ascii="Franklin Gothic Book" w:hAnsi="Franklin Gothic Book"/>
          <w:i/>
          <w:szCs w:val="20"/>
        </w:rPr>
        <w:t xml:space="preserve">Program Logic </w:t>
      </w:r>
    </w:p>
    <w:p w:rsidR="00B652E1" w:rsidRPr="00B67EAD" w:rsidRDefault="00B652E1" w:rsidP="00B652E1">
      <w:pPr>
        <w:spacing w:line="276" w:lineRule="auto"/>
        <w:rPr>
          <w:rFonts w:ascii="Franklin Gothic Book" w:hAnsi="Franklin Gothic Book"/>
          <w:szCs w:val="20"/>
        </w:rPr>
      </w:pPr>
      <w:r w:rsidRPr="00B67EAD">
        <w:rPr>
          <w:rFonts w:ascii="Franklin Gothic Book" w:hAnsi="Franklin Gothic Book"/>
          <w:szCs w:val="20"/>
        </w:rPr>
        <w:t xml:space="preserve">Two diagrams are presented in Figure 3 to illustrate the overall logic underlying THSSP2. The first, more detailed diagram shows the levels of building blocks which gradually blend together into the five work-streams of THSSP2 (as reflected in the five indicators on the “targets” line of the diagram): </w:t>
      </w:r>
    </w:p>
    <w:p w:rsidR="00B652E1" w:rsidRPr="00B67EAD" w:rsidRDefault="00B652E1" w:rsidP="00B652E1">
      <w:pPr>
        <w:spacing w:line="276" w:lineRule="auto"/>
        <w:rPr>
          <w:rFonts w:ascii="Franklin Gothic Book" w:hAnsi="Franklin Gothic Book"/>
          <w:szCs w:val="20"/>
        </w:rPr>
      </w:pPr>
    </w:p>
    <w:p w:rsidR="00B652E1" w:rsidRPr="00B67EAD" w:rsidRDefault="00B652E1" w:rsidP="00B652E1">
      <w:pPr>
        <w:pStyle w:val="ListParagraph"/>
        <w:numPr>
          <w:ilvl w:val="0"/>
          <w:numId w:val="43"/>
        </w:numPr>
        <w:spacing w:after="0" w:line="276" w:lineRule="auto"/>
        <w:rPr>
          <w:rFonts w:ascii="Franklin Gothic Book" w:hAnsi="Franklin Gothic Book"/>
          <w:sz w:val="20"/>
          <w:szCs w:val="20"/>
        </w:rPr>
      </w:pPr>
      <w:r w:rsidRPr="00B67EAD">
        <w:rPr>
          <w:rFonts w:ascii="Franklin Gothic Book" w:hAnsi="Franklin Gothic Book"/>
          <w:sz w:val="20"/>
          <w:szCs w:val="20"/>
        </w:rPr>
        <w:t xml:space="preserve">health promotion </w:t>
      </w:r>
    </w:p>
    <w:p w:rsidR="00B652E1" w:rsidRPr="00B67EAD" w:rsidRDefault="00B652E1" w:rsidP="00B652E1">
      <w:pPr>
        <w:pStyle w:val="ListParagraph"/>
        <w:numPr>
          <w:ilvl w:val="0"/>
          <w:numId w:val="43"/>
        </w:numPr>
        <w:spacing w:after="0" w:line="276" w:lineRule="auto"/>
        <w:rPr>
          <w:rFonts w:ascii="Franklin Gothic Book" w:hAnsi="Franklin Gothic Book"/>
          <w:sz w:val="20"/>
          <w:szCs w:val="20"/>
        </w:rPr>
      </w:pPr>
      <w:r w:rsidRPr="00B67EAD">
        <w:rPr>
          <w:rFonts w:ascii="Franklin Gothic Book" w:hAnsi="Franklin Gothic Book"/>
          <w:sz w:val="20"/>
          <w:szCs w:val="20"/>
        </w:rPr>
        <w:t xml:space="preserve">management of NCDs </w:t>
      </w:r>
    </w:p>
    <w:p w:rsidR="00B652E1" w:rsidRPr="00B67EAD" w:rsidRDefault="00B652E1" w:rsidP="00B652E1">
      <w:pPr>
        <w:pStyle w:val="ListParagraph"/>
        <w:numPr>
          <w:ilvl w:val="0"/>
          <w:numId w:val="43"/>
        </w:numPr>
        <w:spacing w:after="0" w:line="276" w:lineRule="auto"/>
        <w:rPr>
          <w:rFonts w:ascii="Franklin Gothic Book" w:hAnsi="Franklin Gothic Book"/>
          <w:sz w:val="20"/>
          <w:szCs w:val="20"/>
        </w:rPr>
      </w:pPr>
      <w:r w:rsidRPr="00B67EAD">
        <w:rPr>
          <w:rFonts w:ascii="Franklin Gothic Book" w:hAnsi="Franklin Gothic Book"/>
          <w:sz w:val="20"/>
          <w:szCs w:val="20"/>
        </w:rPr>
        <w:t>primary health care</w:t>
      </w:r>
    </w:p>
    <w:p w:rsidR="00B652E1" w:rsidRPr="00B67EAD" w:rsidRDefault="00B652E1" w:rsidP="00B652E1">
      <w:pPr>
        <w:pStyle w:val="ListParagraph"/>
        <w:numPr>
          <w:ilvl w:val="0"/>
          <w:numId w:val="43"/>
        </w:numPr>
        <w:spacing w:after="0" w:line="276" w:lineRule="auto"/>
        <w:rPr>
          <w:rFonts w:ascii="Franklin Gothic Book" w:hAnsi="Franklin Gothic Book"/>
          <w:sz w:val="20"/>
          <w:szCs w:val="20"/>
        </w:rPr>
      </w:pPr>
      <w:r w:rsidRPr="00B67EAD">
        <w:rPr>
          <w:rFonts w:ascii="Franklin Gothic Book" w:hAnsi="Franklin Gothic Book"/>
          <w:sz w:val="20"/>
          <w:szCs w:val="20"/>
        </w:rPr>
        <w:t>health systems strengthening</w:t>
      </w:r>
    </w:p>
    <w:p w:rsidR="00B652E1" w:rsidRPr="00B67EAD" w:rsidRDefault="00B652E1" w:rsidP="00B652E1">
      <w:pPr>
        <w:pStyle w:val="ListParagraph"/>
        <w:numPr>
          <w:ilvl w:val="0"/>
          <w:numId w:val="43"/>
        </w:numPr>
        <w:spacing w:after="0" w:line="276" w:lineRule="auto"/>
        <w:rPr>
          <w:rFonts w:ascii="Franklin Gothic Book" w:hAnsi="Franklin Gothic Book"/>
          <w:sz w:val="20"/>
          <w:szCs w:val="20"/>
        </w:rPr>
      </w:pPr>
      <w:r w:rsidRPr="00B67EAD">
        <w:rPr>
          <w:rFonts w:ascii="Franklin Gothic Book" w:hAnsi="Franklin Gothic Book"/>
          <w:sz w:val="20"/>
          <w:szCs w:val="20"/>
        </w:rPr>
        <w:t>GESI as a cross-cutting issue.</w:t>
      </w:r>
    </w:p>
    <w:p w:rsidR="00B652E1" w:rsidRPr="006C082F"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6C082F">
        <w:rPr>
          <w:rFonts w:ascii="Franklin Gothic Book" w:hAnsi="Franklin Gothic Book"/>
          <w:szCs w:val="20"/>
        </w:rPr>
        <w:t xml:space="preserve">The first two </w:t>
      </w:r>
      <w:r>
        <w:rPr>
          <w:rFonts w:ascii="Franklin Gothic Book" w:hAnsi="Franklin Gothic Book"/>
          <w:szCs w:val="20"/>
        </w:rPr>
        <w:t xml:space="preserve">work-streams </w:t>
      </w:r>
      <w:r w:rsidRPr="006C082F">
        <w:rPr>
          <w:rFonts w:ascii="Franklin Gothic Book" w:hAnsi="Franklin Gothic Book"/>
          <w:szCs w:val="20"/>
        </w:rPr>
        <w:t xml:space="preserve">– </w:t>
      </w:r>
      <w:r w:rsidRPr="0061648B">
        <w:rPr>
          <w:rFonts w:ascii="Franklin Gothic Book" w:hAnsi="Franklin Gothic Book"/>
          <w:b/>
          <w:szCs w:val="20"/>
        </w:rPr>
        <w:t>health promotion</w:t>
      </w:r>
      <w:r w:rsidRPr="006C082F">
        <w:rPr>
          <w:rFonts w:ascii="Franklin Gothic Book" w:hAnsi="Franklin Gothic Book"/>
          <w:szCs w:val="20"/>
        </w:rPr>
        <w:t xml:space="preserve"> and </w:t>
      </w:r>
      <w:r w:rsidRPr="0061648B">
        <w:rPr>
          <w:rFonts w:ascii="Franklin Gothic Book" w:hAnsi="Franklin Gothic Book"/>
          <w:b/>
          <w:szCs w:val="20"/>
        </w:rPr>
        <w:t>management of NCDs</w:t>
      </w:r>
      <w:r w:rsidRPr="006C082F">
        <w:rPr>
          <w:rFonts w:ascii="Franklin Gothic Book" w:hAnsi="Franklin Gothic Book"/>
          <w:szCs w:val="20"/>
        </w:rPr>
        <w:t xml:space="preserve"> – are evidence-based, prioritised technical responses to NCDs. The third – </w:t>
      </w:r>
      <w:r w:rsidRPr="0061648B">
        <w:rPr>
          <w:rFonts w:ascii="Franklin Gothic Book" w:hAnsi="Franklin Gothic Book"/>
          <w:b/>
          <w:szCs w:val="20"/>
        </w:rPr>
        <w:t>primary health care</w:t>
      </w:r>
      <w:r w:rsidRPr="006C082F">
        <w:rPr>
          <w:rFonts w:ascii="Franklin Gothic Book" w:hAnsi="Franklin Gothic Book"/>
          <w:szCs w:val="20"/>
        </w:rPr>
        <w:t xml:space="preserve"> – is about ensuring that the NCD activities have an institutional home in health facilities. This is important for sustainability and to ensure that a focus on NCDs does not harmfully displace other priority interventions such as Maternal, Neonatal, Child and Reproductive Health.  The other important part of the primary health care work is </w:t>
      </w:r>
      <w:r>
        <w:rPr>
          <w:rFonts w:ascii="Franklin Gothic Book" w:hAnsi="Franklin Gothic Book"/>
          <w:szCs w:val="20"/>
        </w:rPr>
        <w:t xml:space="preserve">improving the capacity of primary care facilities to do their job properly. If primary care facilities are ineffective, some people miss out on services altogether and others go to hospitals, which are more costly. </w:t>
      </w: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Pr>
          <w:rFonts w:ascii="Franklin Gothic Book" w:hAnsi="Franklin Gothic Book"/>
          <w:szCs w:val="20"/>
        </w:rPr>
        <w:t xml:space="preserve">The delivery of health interventions relies on a number of support systems working effectively. These include planning, financial management, reporting, health information, procurement and human resources. A health service cannot be effective without all of these support systems working well. The fourth work-stream is about the </w:t>
      </w:r>
      <w:r w:rsidRPr="0061648B">
        <w:rPr>
          <w:rFonts w:ascii="Franklin Gothic Book" w:hAnsi="Franklin Gothic Book"/>
          <w:b/>
          <w:szCs w:val="20"/>
        </w:rPr>
        <w:t>strengthening of these support systems</w:t>
      </w:r>
      <w:r>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Pr>
          <w:rFonts w:ascii="Franklin Gothic Book" w:hAnsi="Franklin Gothic Book"/>
          <w:szCs w:val="20"/>
        </w:rPr>
        <w:t>Groups in the overall population which use health services least can be the very groups which need the services most – examples are geographically isolated populations, people with disabilities, including mental illness and (in the Tongan context) middle-aged men who are reluctant to use health services, but who  are at very high risk of developing NCDs. The fifth strand of work is about influencing ways of thinking so that activities are planned from the outset to be</w:t>
      </w:r>
      <w:r w:rsidRPr="00843DDD">
        <w:rPr>
          <w:rFonts w:ascii="Franklin Gothic Book" w:hAnsi="Franklin Gothic Book"/>
          <w:b/>
          <w:szCs w:val="20"/>
        </w:rPr>
        <w:t xml:space="preserve"> inclusive and responsive to the needs of vulnerable groups (GESI</w:t>
      </w:r>
      <w:r>
        <w:rPr>
          <w:rFonts w:ascii="Franklin Gothic Book" w:hAnsi="Franklin Gothic Book"/>
          <w:szCs w:val="20"/>
        </w:rPr>
        <w:t>).</w:t>
      </w: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B67EAD">
        <w:rPr>
          <w:rFonts w:ascii="Franklin Gothic Book" w:hAnsi="Franklin Gothic Book"/>
          <w:szCs w:val="20"/>
        </w:rPr>
        <w:t>THSSP2 is based on the assumption that these five strands of work are all necessary to achieve the vision of a more effective, efficient and equitable health system which reduces the</w:t>
      </w:r>
      <w:r w:rsidR="00E90AA1">
        <w:rPr>
          <w:rFonts w:ascii="Franklin Gothic Book" w:hAnsi="Franklin Gothic Book"/>
          <w:szCs w:val="20"/>
        </w:rPr>
        <w:t xml:space="preserve"> health and economic</w:t>
      </w:r>
      <w:r w:rsidRPr="00B67EAD">
        <w:rPr>
          <w:rFonts w:ascii="Franklin Gothic Book" w:hAnsi="Franklin Gothic Book"/>
          <w:szCs w:val="20"/>
        </w:rPr>
        <w:t xml:space="preserve"> burden of non-communicable diseases in Tonga. This is shown in a highly simplified form in the second diagram in Figure 3.</w:t>
      </w:r>
      <w:r>
        <w:rPr>
          <w:rFonts w:ascii="Franklin Gothic Book" w:hAnsi="Franklin Gothic Book"/>
          <w:szCs w:val="20"/>
        </w:rPr>
        <w:t xml:space="preserve">  </w:t>
      </w: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p>
    <w:p w:rsidR="00B652E1" w:rsidRPr="006C5AB2" w:rsidRDefault="00B652E1" w:rsidP="00B652E1">
      <w:pPr>
        <w:spacing w:line="276" w:lineRule="auto"/>
        <w:rPr>
          <w:rFonts w:ascii="Franklin Gothic Book" w:hAnsi="Franklin Gothic Book"/>
          <w:b/>
          <w:szCs w:val="20"/>
        </w:rPr>
      </w:pPr>
      <w:r>
        <w:rPr>
          <w:rFonts w:ascii="Franklin Gothic Book" w:hAnsi="Franklin Gothic Book"/>
          <w:b/>
          <w:szCs w:val="20"/>
        </w:rPr>
        <w:t>Figure 3 Depictions of program logic for THSSP2</w:t>
      </w:r>
    </w:p>
    <w:p w:rsidR="00B652E1" w:rsidRDefault="00B652E1" w:rsidP="00B652E1">
      <w:pPr>
        <w:spacing w:line="276" w:lineRule="auto"/>
        <w:rPr>
          <w:rFonts w:ascii="Franklin Gothic Book" w:hAnsi="Franklin Gothic Book"/>
          <w:szCs w:val="20"/>
        </w:rPr>
      </w:pPr>
      <w:r>
        <w:rPr>
          <w:rFonts w:ascii="Franklin Gothic Book" w:hAnsi="Franklin Gothic Book"/>
          <w:noProof/>
          <w:szCs w:val="20"/>
        </w:rPr>
        <w:drawing>
          <wp:inline distT="0" distB="0" distL="0" distR="0" wp14:anchorId="5150BF51" wp14:editId="21C8630A">
            <wp:extent cx="5916971" cy="5029200"/>
            <wp:effectExtent l="0" t="0" r="7620" b="0"/>
            <wp:docPr id="12" name="Picture 12" descr="C:\Users\wad30105\Desktop\Tonga\program logic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30105\Desktop\Tonga\program logic pic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5123" cy="5036129"/>
                    </a:xfrm>
                    <a:prstGeom prst="rect">
                      <a:avLst/>
                    </a:prstGeom>
                    <a:noFill/>
                    <a:ln>
                      <a:noFill/>
                    </a:ln>
                  </pic:spPr>
                </pic:pic>
              </a:graphicData>
            </a:graphic>
          </wp:inline>
        </w:drawing>
      </w:r>
    </w:p>
    <w:p w:rsidR="00B652E1" w:rsidRDefault="00B652E1" w:rsidP="00B652E1">
      <w:pPr>
        <w:spacing w:line="276" w:lineRule="auto"/>
        <w:rPr>
          <w:rFonts w:ascii="Franklin Gothic Book" w:hAnsi="Franklin Gothic Book"/>
          <w:szCs w:val="20"/>
        </w:rPr>
      </w:pPr>
    </w:p>
    <w:p w:rsidR="00B652E1" w:rsidRDefault="00B652E1" w:rsidP="00B652E1">
      <w:pPr>
        <w:spacing w:after="200" w:line="276" w:lineRule="auto"/>
        <w:rPr>
          <w:rFonts w:ascii="Franklin Gothic Book" w:hAnsi="Franklin Gothic Book"/>
          <w:szCs w:val="20"/>
        </w:rPr>
      </w:pPr>
      <w:r>
        <w:rPr>
          <w:rFonts w:ascii="Franklin Gothic Book" w:hAnsi="Franklin Gothic Book"/>
          <w:noProof/>
          <w:szCs w:val="20"/>
        </w:rPr>
        <w:drawing>
          <wp:inline distT="0" distB="0" distL="0" distR="0" wp14:anchorId="1F8C3D98" wp14:editId="6223A438">
            <wp:extent cx="5356463" cy="3590925"/>
            <wp:effectExtent l="0" t="0" r="0" b="0"/>
            <wp:docPr id="13" name="Picture 13" descr="C:\Users\wad30105\Desktop\Tonga\IMPORTANT WORK THING SULA D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30105\Desktop\Tonga\IMPORTANT WORK THING SULA D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9104" cy="3599399"/>
                    </a:xfrm>
                    <a:prstGeom prst="rect">
                      <a:avLst/>
                    </a:prstGeom>
                    <a:noFill/>
                    <a:ln>
                      <a:noFill/>
                    </a:ln>
                  </pic:spPr>
                </pic:pic>
              </a:graphicData>
            </a:graphic>
          </wp:inline>
        </w:drawing>
      </w:r>
      <w:r>
        <w:rPr>
          <w:rFonts w:ascii="Franklin Gothic Book" w:hAnsi="Franklin Gothic Book"/>
          <w:szCs w:val="20"/>
        </w:rPr>
        <w:br w:type="page"/>
      </w:r>
    </w:p>
    <w:p w:rsidR="00B652E1" w:rsidRDefault="00B652E1" w:rsidP="00B652E1">
      <w:pPr>
        <w:spacing w:line="276" w:lineRule="auto"/>
        <w:rPr>
          <w:rFonts w:ascii="Franklin Gothic Book" w:hAnsi="Franklin Gothic Book"/>
          <w:szCs w:val="20"/>
        </w:rPr>
        <w:sectPr w:rsidR="00B652E1" w:rsidSect="00C85E63">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268" w:right="1871" w:bottom="907" w:left="1871" w:header="851" w:footer="454" w:gutter="0"/>
          <w:cols w:space="720"/>
          <w:docGrid w:linePitch="272"/>
        </w:sectPr>
      </w:pPr>
    </w:p>
    <w:p w:rsidR="00B652E1"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Pr>
          <w:rFonts w:ascii="Franklin Gothic Book" w:hAnsi="Franklin Gothic Book"/>
          <w:szCs w:val="20"/>
        </w:rPr>
        <w:t>The assumptions for each individual work-stream are:</w:t>
      </w:r>
    </w:p>
    <w:p w:rsidR="00B652E1" w:rsidRPr="006C082F" w:rsidRDefault="00B652E1" w:rsidP="00B652E1">
      <w:pPr>
        <w:spacing w:line="276" w:lineRule="auto"/>
        <w:rPr>
          <w:rFonts w:ascii="Franklin Gothic Book" w:hAnsi="Franklin Gothic Book"/>
          <w:szCs w:val="20"/>
        </w:rPr>
      </w:pPr>
    </w:p>
    <w:p w:rsidR="00B652E1" w:rsidRPr="006C082F" w:rsidRDefault="00B652E1" w:rsidP="00B652E1">
      <w:pPr>
        <w:pStyle w:val="ListParagraph"/>
        <w:numPr>
          <w:ilvl w:val="0"/>
          <w:numId w:val="45"/>
        </w:numPr>
        <w:spacing w:after="0" w:line="276" w:lineRule="auto"/>
        <w:rPr>
          <w:rFonts w:ascii="Franklin Gothic Book" w:hAnsi="Franklin Gothic Book"/>
          <w:sz w:val="20"/>
          <w:szCs w:val="20"/>
        </w:rPr>
      </w:pPr>
      <w:r>
        <w:rPr>
          <w:rFonts w:ascii="Franklin Gothic Book" w:hAnsi="Franklin Gothic Book"/>
          <w:sz w:val="20"/>
          <w:szCs w:val="20"/>
        </w:rPr>
        <w:t>H</w:t>
      </w:r>
      <w:r w:rsidRPr="006C082F">
        <w:rPr>
          <w:rFonts w:ascii="Franklin Gothic Book" w:hAnsi="Franklin Gothic Book"/>
          <w:sz w:val="20"/>
          <w:szCs w:val="20"/>
        </w:rPr>
        <w:t>ealth promotion</w:t>
      </w:r>
      <w:r>
        <w:rPr>
          <w:rFonts w:ascii="Franklin Gothic Book" w:hAnsi="Franklin Gothic Book"/>
          <w:sz w:val="20"/>
          <w:szCs w:val="20"/>
        </w:rPr>
        <w:t>: activities lead to changes in behaviour significant enough to have a health impact (as well as changes in knowledge and attitudes), and the behavioural changes are measured and recorded.</w:t>
      </w:r>
    </w:p>
    <w:p w:rsidR="00B652E1" w:rsidRPr="00B67EAD" w:rsidRDefault="00B652E1" w:rsidP="00B652E1">
      <w:pPr>
        <w:pStyle w:val="ListParagraph"/>
        <w:numPr>
          <w:ilvl w:val="0"/>
          <w:numId w:val="45"/>
        </w:numPr>
        <w:spacing w:after="0" w:line="276" w:lineRule="auto"/>
        <w:rPr>
          <w:rFonts w:ascii="Franklin Gothic Book" w:hAnsi="Franklin Gothic Book"/>
          <w:sz w:val="20"/>
          <w:szCs w:val="20"/>
        </w:rPr>
      </w:pPr>
      <w:r>
        <w:rPr>
          <w:rFonts w:ascii="Franklin Gothic Book" w:hAnsi="Franklin Gothic Book"/>
          <w:sz w:val="20"/>
          <w:szCs w:val="20"/>
        </w:rPr>
        <w:t>M</w:t>
      </w:r>
      <w:r w:rsidRPr="006C082F">
        <w:rPr>
          <w:rFonts w:ascii="Franklin Gothic Book" w:hAnsi="Franklin Gothic Book"/>
          <w:sz w:val="20"/>
          <w:szCs w:val="20"/>
        </w:rPr>
        <w:t>anagement of NCDs</w:t>
      </w:r>
      <w:r>
        <w:rPr>
          <w:rFonts w:ascii="Franklin Gothic Book" w:hAnsi="Franklin Gothic Book"/>
          <w:sz w:val="20"/>
          <w:szCs w:val="20"/>
        </w:rPr>
        <w:t xml:space="preserve">: the improvements in management of NCDs are enough to have an impact on mortality and disability, even though there is an underlying increase in the numbers of people with NCDs in the short-term (because of the ageing of people who have </w:t>
      </w:r>
      <w:r w:rsidRPr="00B67EAD">
        <w:rPr>
          <w:rFonts w:ascii="Franklin Gothic Book" w:hAnsi="Franklin Gothic Book"/>
          <w:sz w:val="20"/>
          <w:szCs w:val="20"/>
        </w:rPr>
        <w:t xml:space="preserve">already behaved in a risky way).  </w:t>
      </w:r>
      <w:r w:rsidRPr="00994434">
        <w:rPr>
          <w:rFonts w:ascii="Franklin Gothic Book" w:hAnsi="Franklin Gothic Book"/>
          <w:sz w:val="20"/>
          <w:szCs w:val="20"/>
        </w:rPr>
        <w:t>As discussed above, this is a deliberately ambitious assumption.</w:t>
      </w:r>
      <w:r w:rsidRPr="00B67EAD">
        <w:rPr>
          <w:rFonts w:ascii="Franklin Gothic Book" w:hAnsi="Franklin Gothic Book"/>
          <w:sz w:val="20"/>
          <w:szCs w:val="20"/>
        </w:rPr>
        <w:t xml:space="preserve"> </w:t>
      </w:r>
    </w:p>
    <w:p w:rsidR="00B652E1" w:rsidRPr="00B67EAD" w:rsidRDefault="00B652E1" w:rsidP="00B652E1">
      <w:pPr>
        <w:pStyle w:val="ListParagraph"/>
        <w:numPr>
          <w:ilvl w:val="0"/>
          <w:numId w:val="45"/>
        </w:numPr>
        <w:spacing w:after="0" w:line="276" w:lineRule="auto"/>
        <w:rPr>
          <w:rFonts w:ascii="Franklin Gothic Book" w:hAnsi="Franklin Gothic Book"/>
          <w:sz w:val="20"/>
          <w:szCs w:val="20"/>
        </w:rPr>
      </w:pPr>
      <w:r w:rsidRPr="00B67EAD">
        <w:rPr>
          <w:rFonts w:ascii="Franklin Gothic Book" w:hAnsi="Franklin Gothic Book"/>
          <w:sz w:val="20"/>
          <w:szCs w:val="20"/>
        </w:rPr>
        <w:t>Primary health care: health care can improve in all facilities, including those which are currently the weakest; these improvements will reduce the projected number of hospitalisations because some complications will be prevented.</w:t>
      </w:r>
    </w:p>
    <w:p w:rsidR="00B652E1" w:rsidRPr="00B67EAD" w:rsidRDefault="00B652E1" w:rsidP="00B652E1">
      <w:pPr>
        <w:pStyle w:val="ListParagraph"/>
        <w:numPr>
          <w:ilvl w:val="0"/>
          <w:numId w:val="45"/>
        </w:numPr>
        <w:spacing w:after="0" w:line="276" w:lineRule="auto"/>
        <w:rPr>
          <w:rFonts w:ascii="Franklin Gothic Book" w:hAnsi="Franklin Gothic Book"/>
          <w:sz w:val="20"/>
          <w:szCs w:val="20"/>
        </w:rPr>
      </w:pPr>
      <w:r w:rsidRPr="00B67EAD">
        <w:rPr>
          <w:rFonts w:ascii="Franklin Gothic Book" w:hAnsi="Franklin Gothic Book"/>
          <w:sz w:val="20"/>
          <w:szCs w:val="20"/>
        </w:rPr>
        <w:t>Health systems strengthening: working with the various support systems will have an overall effect on the functioning of the system in terms of having the right resources in the right places at the right time, meeting the most pressing health needs.</w:t>
      </w:r>
    </w:p>
    <w:p w:rsidR="00B652E1" w:rsidRPr="00B67EAD" w:rsidRDefault="00B652E1" w:rsidP="00B652E1">
      <w:pPr>
        <w:pStyle w:val="ListParagraph"/>
        <w:numPr>
          <w:ilvl w:val="0"/>
          <w:numId w:val="45"/>
        </w:numPr>
        <w:spacing w:after="0" w:line="276" w:lineRule="auto"/>
        <w:rPr>
          <w:rFonts w:ascii="Franklin Gothic Book" w:hAnsi="Franklin Gothic Book"/>
          <w:sz w:val="20"/>
          <w:szCs w:val="20"/>
        </w:rPr>
      </w:pPr>
      <w:r w:rsidRPr="00B67EAD">
        <w:rPr>
          <w:rFonts w:ascii="Franklin Gothic Book" w:hAnsi="Franklin Gothic Book"/>
          <w:sz w:val="20"/>
          <w:szCs w:val="20"/>
        </w:rPr>
        <w:t xml:space="preserve">GESI as a cross-cutting issue: the design of THSSP2, plus continued advocacy by DFAT, will increase awareness of, and responsiveness to, the needs of vulnerable groups. </w:t>
      </w:r>
    </w:p>
    <w:p w:rsidR="00B652E1" w:rsidRPr="00B67EAD"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994434">
        <w:rPr>
          <w:rFonts w:ascii="Franklin Gothic Book" w:hAnsi="Franklin Gothic Book"/>
          <w:szCs w:val="20"/>
        </w:rPr>
        <w:t>It is a DFAT requirement to have some form of independent evaluation at least once in the lifetime of a program. The most useful for THSSP2 would be to have an Independent Progress Report (IPR) mid-way through the Program in late 2017.</w:t>
      </w:r>
      <w:r w:rsidRPr="00B67EAD">
        <w:rPr>
          <w:rFonts w:ascii="Franklin Gothic Book" w:hAnsi="Franklin Gothic Book"/>
          <w:szCs w:val="20"/>
        </w:rPr>
        <w:t xml:space="preserve"> The description above of the program logic will be referenced in the TOR for the IPR. Although it will be too early to analyse all the stages of the results chain, this will be a good opportunity to see if the underlying logic still</w:t>
      </w:r>
      <w:r>
        <w:rPr>
          <w:rFonts w:ascii="Franklin Gothic Book" w:hAnsi="Franklin Gothic Book"/>
          <w:szCs w:val="20"/>
        </w:rPr>
        <w:t xml:space="preserve"> appears sound half way through the implementation period.  </w:t>
      </w:r>
    </w:p>
    <w:p w:rsidR="00454314" w:rsidRDefault="00454314" w:rsidP="00B652E1">
      <w:pPr>
        <w:spacing w:line="276" w:lineRule="auto"/>
        <w:rPr>
          <w:rFonts w:ascii="Franklin Gothic Book" w:hAnsi="Franklin Gothic Book"/>
          <w:szCs w:val="20"/>
        </w:rPr>
      </w:pPr>
    </w:p>
    <w:p w:rsidR="00994434" w:rsidRPr="00026539" w:rsidRDefault="007919F8" w:rsidP="00B652E1">
      <w:pPr>
        <w:spacing w:line="276" w:lineRule="auto"/>
        <w:rPr>
          <w:rFonts w:ascii="Franklin Gothic Book" w:hAnsi="Franklin Gothic Book"/>
          <w:szCs w:val="20"/>
        </w:rPr>
      </w:pPr>
      <w:r>
        <w:rPr>
          <w:rFonts w:ascii="Franklin Gothic Book" w:hAnsi="Franklin Gothic Book"/>
          <w:szCs w:val="20"/>
        </w:rPr>
        <w:t>The IPR will complement the annual</w:t>
      </w:r>
      <w:r w:rsidR="00EE0AA8">
        <w:rPr>
          <w:rFonts w:ascii="Franklin Gothic Book" w:hAnsi="Franklin Gothic Book"/>
          <w:szCs w:val="20"/>
        </w:rPr>
        <w:t xml:space="preserve"> </w:t>
      </w:r>
      <w:r w:rsidR="00994434">
        <w:rPr>
          <w:rFonts w:ascii="Franklin Gothic Book" w:hAnsi="Franklin Gothic Book"/>
          <w:szCs w:val="20"/>
        </w:rPr>
        <w:t>Regular monitoring will be conducted annually against the Monitoring and Evaluation Framework</w:t>
      </w:r>
      <w:r>
        <w:rPr>
          <w:rFonts w:ascii="Franklin Gothic Book" w:hAnsi="Franklin Gothic Book"/>
          <w:szCs w:val="20"/>
        </w:rPr>
        <w:t>, which will be</w:t>
      </w:r>
      <w:r w:rsidR="00994434">
        <w:rPr>
          <w:rFonts w:ascii="Franklin Gothic Book" w:hAnsi="Franklin Gothic Book"/>
          <w:szCs w:val="20"/>
        </w:rPr>
        <w:t xml:space="preserve"> reported to both DFAT </w:t>
      </w:r>
      <w:r w:rsidR="00C35D0F">
        <w:rPr>
          <w:rFonts w:ascii="Franklin Gothic Book" w:hAnsi="Franklin Gothic Book"/>
          <w:szCs w:val="20"/>
        </w:rPr>
        <w:t>and MOH management</w:t>
      </w:r>
      <w:r w:rsidR="00994434">
        <w:rPr>
          <w:rFonts w:ascii="Franklin Gothic Book" w:hAnsi="Franklin Gothic Book"/>
          <w:szCs w:val="20"/>
        </w:rPr>
        <w:t>.</w:t>
      </w:r>
    </w:p>
    <w:p w:rsidR="00B652E1" w:rsidRPr="005F4FAA" w:rsidRDefault="00B652E1" w:rsidP="00B652E1">
      <w:pPr>
        <w:spacing w:before="80"/>
        <w:rPr>
          <w:rFonts w:ascii="Franklin Gothic Book" w:eastAsia="Times New Roman" w:hAnsi="Franklin Gothic Book"/>
          <w:i/>
          <w:szCs w:val="20"/>
          <w:highlight w:val="yellow"/>
          <w:lang w:eastAsia="en-US"/>
        </w:rPr>
      </w:pPr>
    </w:p>
    <w:p w:rsidR="00B652E1" w:rsidRPr="005F4FAA" w:rsidRDefault="00F63C34" w:rsidP="00F63C34">
      <w:pPr>
        <w:pStyle w:val="Heading1"/>
      </w:pPr>
      <w:r>
        <w:t xml:space="preserve">E: </w:t>
      </w:r>
      <w:r w:rsidRPr="005F4FAA">
        <w:t>Implementation Arrangements</w:t>
      </w:r>
    </w:p>
    <w:p w:rsidR="00B652E1" w:rsidRPr="005F4FAA" w:rsidRDefault="00B652E1" w:rsidP="00B652E1">
      <w:pPr>
        <w:rPr>
          <w:rFonts w:ascii="Franklin Gothic Book" w:eastAsia="Times New Roman" w:hAnsi="Franklin Gothic Book"/>
          <w:i/>
          <w:szCs w:val="20"/>
          <w:lang w:eastAsia="en-US"/>
        </w:rPr>
      </w:pPr>
    </w:p>
    <w:p w:rsidR="00B652E1" w:rsidRPr="005F4FAA" w:rsidRDefault="00B652E1" w:rsidP="00B652E1">
      <w:pPr>
        <w:rPr>
          <w:rFonts w:ascii="Franklin Gothic Book" w:eastAsia="Times New Roman" w:hAnsi="Franklin Gothic Book"/>
          <w:i/>
          <w:szCs w:val="20"/>
          <w:lang w:eastAsia="en-US"/>
        </w:rPr>
      </w:pPr>
    </w:p>
    <w:p w:rsidR="00B652E1" w:rsidRPr="005F4FAA" w:rsidRDefault="00B652E1" w:rsidP="00780313">
      <w:pPr>
        <w:pStyle w:val="Heading2"/>
        <w:rPr>
          <w:lang w:eastAsia="en-US"/>
        </w:rPr>
      </w:pPr>
      <w:r w:rsidRPr="005F4FAA">
        <w:rPr>
          <w:lang w:eastAsia="en-US"/>
        </w:rPr>
        <w:t>Management and Governance Arrangements and Structure</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THSSP2 is considered as a whole but will be funded through a Direct Funding Agreement with Government of Tonga and a separate Grant Agreement with TongaHealth. The National Health Development Committee and the TongaHealth Board are the crucial governance structures for THSSP2.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terms of reference and membership for the NHDC are given in Annex </w:t>
      </w:r>
      <w:r>
        <w:rPr>
          <w:rFonts w:ascii="Franklin Gothic Book" w:hAnsi="Franklin Gothic Book"/>
          <w:szCs w:val="20"/>
        </w:rPr>
        <w:t>4</w:t>
      </w:r>
      <w:r w:rsidRPr="005F4FAA">
        <w:rPr>
          <w:rFonts w:ascii="Franklin Gothic Book" w:hAnsi="Franklin Gothic Book"/>
          <w:szCs w:val="20"/>
        </w:rPr>
        <w:t xml:space="preserve">. Planning, budgeting and monitoring are already part of the existing TOR, though the nature of the decisions will change when THSSP2 is implemented. The main differences will be that there will be a much bigger non-salary recurrent budget to allocate and the Annual Management Plans should be more comprehensive (i.e. coming from all sections of the Ministry) and should include more details about planned activities and expenditure.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main functions of the </w:t>
      </w:r>
      <w:r w:rsidRPr="005F4FAA">
        <w:rPr>
          <w:rFonts w:ascii="Franklin Gothic Book" w:hAnsi="Franklin Gothic Book"/>
          <w:b/>
          <w:szCs w:val="20"/>
        </w:rPr>
        <w:t>NHDC</w:t>
      </w:r>
      <w:r w:rsidRPr="005F4FAA">
        <w:rPr>
          <w:rFonts w:ascii="Franklin Gothic Book" w:hAnsi="Franklin Gothic Book"/>
          <w:szCs w:val="20"/>
        </w:rPr>
        <w:t xml:space="preserve"> in respect of THSSP2 will be to:</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pStyle w:val="ListParagraph"/>
        <w:numPr>
          <w:ilvl w:val="0"/>
          <w:numId w:val="42"/>
        </w:numPr>
        <w:spacing w:line="276" w:lineRule="auto"/>
        <w:rPr>
          <w:rFonts w:ascii="Franklin Gothic Book" w:hAnsi="Franklin Gothic Book"/>
          <w:sz w:val="20"/>
          <w:szCs w:val="20"/>
        </w:rPr>
      </w:pPr>
      <w:r w:rsidRPr="005F4FAA">
        <w:rPr>
          <w:rFonts w:ascii="Franklin Gothic Book" w:hAnsi="Franklin Gothic Book"/>
          <w:b/>
          <w:sz w:val="20"/>
          <w:szCs w:val="20"/>
        </w:rPr>
        <w:t>Allocate funding</w:t>
      </w:r>
      <w:r w:rsidRPr="005F4FAA">
        <w:rPr>
          <w:rFonts w:ascii="Franklin Gothic Book" w:hAnsi="Franklin Gothic Book"/>
          <w:sz w:val="20"/>
          <w:szCs w:val="20"/>
        </w:rPr>
        <w:t xml:space="preserve"> against AMPs and according to the agreed priorities for THSSP2, with DFAT </w:t>
      </w:r>
      <w:r>
        <w:rPr>
          <w:rFonts w:ascii="Franklin Gothic Book" w:hAnsi="Franklin Gothic Book"/>
          <w:sz w:val="20"/>
          <w:szCs w:val="20"/>
        </w:rPr>
        <w:t xml:space="preserve">participating in discussions </w:t>
      </w:r>
      <w:r w:rsidRPr="005F4FAA">
        <w:rPr>
          <w:rFonts w:ascii="Franklin Gothic Book" w:hAnsi="Franklin Gothic Book"/>
          <w:sz w:val="20"/>
          <w:szCs w:val="20"/>
        </w:rPr>
        <w:t>(annually, and twice in year 1). Guidelines have been developed to assis</w:t>
      </w:r>
      <w:r>
        <w:rPr>
          <w:rFonts w:ascii="Franklin Gothic Book" w:hAnsi="Franklin Gothic Book"/>
          <w:sz w:val="20"/>
          <w:szCs w:val="20"/>
        </w:rPr>
        <w:t>t with this process (see Annex 4</w:t>
      </w:r>
      <w:r w:rsidRPr="005F4FAA">
        <w:rPr>
          <w:rFonts w:ascii="Franklin Gothic Book" w:hAnsi="Franklin Gothic Book"/>
          <w:sz w:val="20"/>
          <w:szCs w:val="20"/>
        </w:rPr>
        <w:t>; the guidelines can be adapted for used by TongaHealth).</w:t>
      </w:r>
      <w:r>
        <w:rPr>
          <w:rFonts w:ascii="Franklin Gothic Book" w:hAnsi="Franklin Gothic Book"/>
          <w:sz w:val="20"/>
          <w:szCs w:val="20"/>
        </w:rPr>
        <w:t xml:space="preserve"> </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Receive, discuss and act on the </w:t>
      </w:r>
      <w:r w:rsidRPr="005F4FAA">
        <w:rPr>
          <w:rFonts w:ascii="Franklin Gothic Book" w:hAnsi="Franklin Gothic Book"/>
          <w:b/>
          <w:sz w:val="20"/>
          <w:szCs w:val="20"/>
        </w:rPr>
        <w:t>quarterly monitoring reports</w:t>
      </w:r>
      <w:r w:rsidRPr="005F4FAA">
        <w:rPr>
          <w:rFonts w:ascii="Franklin Gothic Book" w:hAnsi="Franklin Gothic Book"/>
          <w:sz w:val="20"/>
          <w:szCs w:val="20"/>
        </w:rPr>
        <w:t xml:space="preserve"> about activities, achievements and finance from the six Divisions; thoroughly discuss any major problems with implementation and identify solutions. In collaboration with DFAT, funds can be removed from areas which are under-spent, or in other ways problematic and, if appropriate, allocated to another Division or Section. </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Regularly review and approve the </w:t>
      </w:r>
      <w:r w:rsidRPr="005F4FAA">
        <w:rPr>
          <w:rFonts w:ascii="Franklin Gothic Book" w:hAnsi="Franklin Gothic Book"/>
          <w:b/>
          <w:sz w:val="20"/>
          <w:szCs w:val="20"/>
        </w:rPr>
        <w:t>procurement plan</w:t>
      </w:r>
      <w:r w:rsidRPr="005F4FAA">
        <w:rPr>
          <w:rFonts w:ascii="Franklin Gothic Book" w:hAnsi="Franklin Gothic Book"/>
          <w:sz w:val="20"/>
          <w:szCs w:val="20"/>
        </w:rPr>
        <w:t xml:space="preserve"> (which can be updated as frequently as monthly).</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Ensure that Ministry of Health funding is available for </w:t>
      </w:r>
      <w:r w:rsidRPr="005F4FAA">
        <w:rPr>
          <w:rFonts w:ascii="Franklin Gothic Book" w:hAnsi="Franklin Gothic Book"/>
          <w:b/>
          <w:sz w:val="20"/>
          <w:szCs w:val="20"/>
        </w:rPr>
        <w:t>activities to be continued after the end of THSSP1</w:t>
      </w:r>
      <w:r w:rsidRPr="005F4FAA">
        <w:rPr>
          <w:rFonts w:ascii="Franklin Gothic Book" w:hAnsi="Franklin Gothic Book"/>
          <w:sz w:val="20"/>
          <w:szCs w:val="20"/>
        </w:rPr>
        <w:t>, notably Critical Staffing Deficiencies and equipment maintenance.</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Ensure that gender, equity, social inclusion </w:t>
      </w:r>
      <w:r w:rsidRPr="005F4FAA">
        <w:rPr>
          <w:rFonts w:ascii="Franklin Gothic Book" w:hAnsi="Franklin Gothic Book"/>
          <w:b/>
          <w:sz w:val="20"/>
          <w:szCs w:val="20"/>
        </w:rPr>
        <w:t>(GESI), disability and mental health</w:t>
      </w:r>
      <w:r w:rsidRPr="005F4FAA">
        <w:rPr>
          <w:rFonts w:ascii="Franklin Gothic Book" w:hAnsi="Franklin Gothic Book"/>
          <w:sz w:val="20"/>
          <w:szCs w:val="20"/>
        </w:rPr>
        <w:t xml:space="preserve"> are mainstreamed: in other words the</w:t>
      </w:r>
      <w:r>
        <w:rPr>
          <w:rFonts w:ascii="Franklin Gothic Book" w:hAnsi="Franklin Gothic Book"/>
          <w:sz w:val="20"/>
          <w:szCs w:val="20"/>
        </w:rPr>
        <w:t xml:space="preserve"> access needs and barriers to inclusion of both women and men, and of vulnerable or marginalised groups including people with disability,</w:t>
      </w:r>
      <w:r w:rsidRPr="005F4FAA">
        <w:rPr>
          <w:rFonts w:ascii="Franklin Gothic Book" w:hAnsi="Franklin Gothic Book"/>
          <w:sz w:val="20"/>
          <w:szCs w:val="20"/>
        </w:rPr>
        <w:t xml:space="preserve"> are </w:t>
      </w:r>
      <w:r>
        <w:rPr>
          <w:rFonts w:ascii="Franklin Gothic Book" w:hAnsi="Franklin Gothic Book"/>
          <w:sz w:val="20"/>
          <w:szCs w:val="20"/>
        </w:rPr>
        <w:t xml:space="preserve">considered </w:t>
      </w:r>
      <w:r w:rsidRPr="005F4FAA">
        <w:rPr>
          <w:rFonts w:ascii="Franklin Gothic Book" w:hAnsi="Franklin Gothic Book"/>
          <w:sz w:val="20"/>
          <w:szCs w:val="20"/>
        </w:rPr>
        <w:t xml:space="preserve">in </w:t>
      </w:r>
      <w:r>
        <w:rPr>
          <w:rFonts w:ascii="Franklin Gothic Book" w:hAnsi="Franklin Gothic Book"/>
          <w:sz w:val="20"/>
          <w:szCs w:val="20"/>
        </w:rPr>
        <w:t>planning and reporting</w:t>
      </w:r>
      <w:r w:rsidRPr="005F4FAA">
        <w:rPr>
          <w:rFonts w:ascii="Franklin Gothic Book" w:hAnsi="Franklin Gothic Book"/>
          <w:sz w:val="20"/>
          <w:szCs w:val="20"/>
        </w:rPr>
        <w:t xml:space="preserve">, and not </w:t>
      </w:r>
      <w:r>
        <w:rPr>
          <w:rFonts w:ascii="Franklin Gothic Book" w:hAnsi="Franklin Gothic Book"/>
          <w:sz w:val="20"/>
          <w:szCs w:val="20"/>
        </w:rPr>
        <w:t xml:space="preserve">restricted to </w:t>
      </w:r>
      <w:r w:rsidRPr="005F4FAA">
        <w:rPr>
          <w:rFonts w:ascii="Franklin Gothic Book" w:hAnsi="Franklin Gothic Book"/>
          <w:sz w:val="20"/>
          <w:szCs w:val="20"/>
        </w:rPr>
        <w:t xml:space="preserve">separate projects. </w:t>
      </w:r>
    </w:p>
    <w:p w:rsidR="00B652E1" w:rsidRPr="0032652D"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Be aware of the </w:t>
      </w:r>
      <w:r w:rsidRPr="005F4FAA">
        <w:rPr>
          <w:rFonts w:ascii="Franklin Gothic Book" w:hAnsi="Franklin Gothic Book"/>
          <w:b/>
          <w:sz w:val="20"/>
          <w:szCs w:val="20"/>
        </w:rPr>
        <w:t xml:space="preserve">risk </w:t>
      </w:r>
      <w:r w:rsidRPr="0032652D">
        <w:rPr>
          <w:rFonts w:ascii="Franklin Gothic Book" w:hAnsi="Franklin Gothic Book"/>
          <w:b/>
          <w:sz w:val="20"/>
          <w:szCs w:val="20"/>
        </w:rPr>
        <w:t>register</w:t>
      </w:r>
      <w:r w:rsidRPr="0032652D">
        <w:rPr>
          <w:rFonts w:ascii="Franklin Gothic Book" w:hAnsi="Franklin Gothic Book"/>
          <w:sz w:val="20"/>
          <w:szCs w:val="20"/>
        </w:rPr>
        <w:t xml:space="preserve"> and discuss it at least quarterly, updating risks as appropriate and identifying mitigation measure</w:t>
      </w:r>
      <w:r w:rsidRPr="00F12BE8">
        <w:rPr>
          <w:rFonts w:ascii="Franklin Gothic Book" w:hAnsi="Franklin Gothic Book"/>
          <w:sz w:val="20"/>
        </w:rPr>
        <w:t>s, including the timing of these measures and who is responsible for implementing them.</w:t>
      </w:r>
      <w:r w:rsidRPr="0032652D">
        <w:rPr>
          <w:rFonts w:ascii="Franklin Gothic Book" w:hAnsi="Franklin Gothic Book"/>
          <w:sz w:val="20"/>
          <w:szCs w:val="20"/>
        </w:rPr>
        <w:t xml:space="preserve"> </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32652D">
        <w:rPr>
          <w:rFonts w:ascii="Franklin Gothic Book" w:hAnsi="Franklin Gothic Book"/>
          <w:sz w:val="20"/>
          <w:szCs w:val="20"/>
        </w:rPr>
        <w:t>At least once per year discuss</w:t>
      </w:r>
      <w:r w:rsidRPr="005F4FAA">
        <w:rPr>
          <w:rFonts w:ascii="Franklin Gothic Book" w:hAnsi="Franklin Gothic Book"/>
          <w:sz w:val="20"/>
          <w:szCs w:val="20"/>
        </w:rPr>
        <w:t xml:space="preserve"> the </w:t>
      </w:r>
      <w:r w:rsidRPr="005F4FAA">
        <w:rPr>
          <w:rFonts w:ascii="Franklin Gothic Book" w:hAnsi="Franklin Gothic Book"/>
          <w:b/>
          <w:sz w:val="20"/>
          <w:szCs w:val="20"/>
        </w:rPr>
        <w:t>performance-based financing</w:t>
      </w:r>
      <w:r w:rsidRPr="005F4FAA">
        <w:rPr>
          <w:rFonts w:ascii="Franklin Gothic Book" w:hAnsi="Franklin Gothic Book"/>
          <w:sz w:val="20"/>
          <w:szCs w:val="20"/>
        </w:rPr>
        <w:t xml:space="preserve"> scheme, comment on whether it is working well and, if appropriate, recommend possible changes to how the scheme operates. </w:t>
      </w:r>
    </w:p>
    <w:p w:rsidR="00B652E1" w:rsidRPr="005F4FAA" w:rsidRDefault="00B652E1" w:rsidP="00B652E1">
      <w:pPr>
        <w:pStyle w:val="ListParagraph"/>
        <w:numPr>
          <w:ilvl w:val="0"/>
          <w:numId w:val="49"/>
        </w:numPr>
        <w:spacing w:line="276" w:lineRule="auto"/>
        <w:rPr>
          <w:rFonts w:ascii="Franklin Gothic Book" w:hAnsi="Franklin Gothic Book"/>
          <w:sz w:val="20"/>
          <w:szCs w:val="20"/>
        </w:rPr>
      </w:pPr>
      <w:r w:rsidRPr="005F4FAA">
        <w:rPr>
          <w:rFonts w:ascii="Franklin Gothic Book" w:hAnsi="Franklin Gothic Book"/>
          <w:sz w:val="20"/>
          <w:szCs w:val="20"/>
        </w:rPr>
        <w:t xml:space="preserve">Ensure that collaboration and the division of labour with </w:t>
      </w:r>
      <w:r w:rsidRPr="005F4FAA">
        <w:rPr>
          <w:rFonts w:ascii="Franklin Gothic Book" w:hAnsi="Franklin Gothic Book"/>
          <w:b/>
          <w:sz w:val="20"/>
          <w:szCs w:val="20"/>
        </w:rPr>
        <w:t>TongaHealth</w:t>
      </w:r>
      <w:r w:rsidRPr="005F4FAA">
        <w:rPr>
          <w:rFonts w:ascii="Franklin Gothic Book" w:hAnsi="Franklin Gothic Book"/>
          <w:sz w:val="20"/>
          <w:szCs w:val="20"/>
        </w:rPr>
        <w:t xml:space="preserve"> is effective. (The TongaHealth Board and NHDC have some members in common.)</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Whilst the main discussions about THSSP2 will happen at the NHDC five times per year (at the budget allocation meeting and the four quarterly report discussions), important THSSP2 issues can be discussed at any of the NHDC’s monthly meetings. In particular, financial information and procurement plans will be available monthly, and these should be reviewed at each meeting.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It is the responsibility of the Health Planning and Information Division to collate the quarterly reports for the NHDC, but Heads of Division remain responsible for the content of their reports. The Joint Budget Team, with membership from the Planning and Administration Divisions, advises the NHDC about priorities for funding.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Annex</w:t>
      </w:r>
      <w:r>
        <w:rPr>
          <w:rFonts w:ascii="Franklin Gothic Book" w:hAnsi="Franklin Gothic Book"/>
          <w:szCs w:val="20"/>
        </w:rPr>
        <w:t xml:space="preserve"> 4</w:t>
      </w:r>
      <w:r w:rsidRPr="005F4FAA">
        <w:rPr>
          <w:rFonts w:ascii="Franklin Gothic Book" w:hAnsi="Franklin Gothic Book"/>
          <w:szCs w:val="20"/>
        </w:rPr>
        <w:t xml:space="preserve"> includes TORs and membership for the MOH Budget and Finance Committee (B&amp;FC), whose responsibilities include considering expenditure proposals, developing budget strategies and monitoring expenditure, and subsequently reporting up to the NHDC. If operating as intended, the B&amp;FC will play a pivotal role in oversight and management of THSSP funding, which should be considered as part of the total resource envelope available to the MoH. The B&amp;FC includes representation at the operational level from across the MoH, so it will also be an important vehicle for promoting and implementing systems strengthening components of THSSP, including improved planning, budgeting and financial monitoring practices. It is important that the relative responsibilities of the NHDC and the B&amp;FC are clear, including transparency regarding how the major decisions related to DFAT funds are made and monitored.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It is recognised that a lot is expected of the NHDC and that this is not without its risks. The NHDC is used to dealing with these </w:t>
      </w:r>
      <w:r w:rsidRPr="005F4FAA">
        <w:rPr>
          <w:rFonts w:ascii="Franklin Gothic Book" w:hAnsi="Franklin Gothic Book"/>
          <w:i/>
          <w:szCs w:val="20"/>
        </w:rPr>
        <w:t>kinds</w:t>
      </w:r>
      <w:r w:rsidRPr="005F4FAA">
        <w:rPr>
          <w:rFonts w:ascii="Franklin Gothic Book" w:hAnsi="Franklin Gothic Book"/>
          <w:szCs w:val="20"/>
        </w:rPr>
        <w:t xml:space="preserve"> of issues, but perhaps not with the rigour that will be expected for DFAT funds. The TA posts funded by THSSP2, especially the </w:t>
      </w:r>
      <w:r w:rsidRPr="005F4FAA">
        <w:rPr>
          <w:rFonts w:ascii="Franklin Gothic Book" w:hAnsi="Franklin Gothic Book"/>
          <w:szCs w:val="20"/>
          <w:lang w:val="en-GB"/>
        </w:rPr>
        <w:t>Health Systems Support and Planning Manager, can support the Planning Division as it develops its role of Secretariat to the NHDC. (The Man</w:t>
      </w:r>
      <w:r>
        <w:rPr>
          <w:rFonts w:ascii="Franklin Gothic Book" w:hAnsi="Franklin Gothic Book"/>
          <w:szCs w:val="20"/>
          <w:lang w:val="en-GB"/>
        </w:rPr>
        <w:t>ager’s TORs are given in Annex 11</w:t>
      </w:r>
      <w:r w:rsidRPr="005F4FAA">
        <w:rPr>
          <w:rFonts w:ascii="Franklin Gothic Book" w:hAnsi="Franklin Gothic Book"/>
          <w:szCs w:val="20"/>
          <w:lang w:val="en-GB"/>
        </w:rPr>
        <w:t xml:space="preserve">.) Funds from the Health Systems Strengthening component can be used, if appropriate, to help with measures to support the NHDC with the tasks listed above.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As outlined in the </w:t>
      </w:r>
      <w:r>
        <w:rPr>
          <w:rFonts w:ascii="Franklin Gothic Book" w:hAnsi="Franklin Gothic Book"/>
          <w:szCs w:val="20"/>
        </w:rPr>
        <w:t>National NCD Committee</w:t>
      </w:r>
      <w:r w:rsidRPr="005F4FAA">
        <w:rPr>
          <w:rFonts w:ascii="Franklin Gothic Book" w:hAnsi="Franklin Gothic Book"/>
          <w:szCs w:val="20"/>
        </w:rPr>
        <w:t>/TongaHealth Memorandum of Understanding</w:t>
      </w:r>
      <w:r>
        <w:rPr>
          <w:rFonts w:ascii="Franklin Gothic Book" w:hAnsi="Franklin Gothic Book"/>
          <w:szCs w:val="20"/>
        </w:rPr>
        <w:t xml:space="preserve"> (Annex 5</w:t>
      </w:r>
      <w:r w:rsidRPr="005F4FAA">
        <w:rPr>
          <w:rFonts w:ascii="Franklin Gothic Book" w:hAnsi="Franklin Gothic Book"/>
          <w:szCs w:val="20"/>
        </w:rPr>
        <w:t xml:space="preserve">), it is the responsibility of the </w:t>
      </w:r>
      <w:r w:rsidRPr="005F4FAA">
        <w:rPr>
          <w:rFonts w:ascii="Franklin Gothic Book" w:hAnsi="Franklin Gothic Book"/>
          <w:b/>
          <w:szCs w:val="20"/>
        </w:rPr>
        <w:t>TongaHealth Board</w:t>
      </w:r>
      <w:r w:rsidRPr="005F4FAA">
        <w:rPr>
          <w:rFonts w:ascii="Franklin Gothic Book" w:hAnsi="Franklin Gothic Book"/>
          <w:szCs w:val="20"/>
        </w:rPr>
        <w:t xml:space="preserve"> to approve TongaHealth annual plans and budget. Annex </w:t>
      </w:r>
      <w:r>
        <w:rPr>
          <w:rFonts w:ascii="Franklin Gothic Book" w:hAnsi="Franklin Gothic Book"/>
          <w:szCs w:val="20"/>
        </w:rPr>
        <w:t>13</w:t>
      </w:r>
      <w:r w:rsidRPr="005F4FAA">
        <w:rPr>
          <w:rFonts w:ascii="Franklin Gothic Book" w:hAnsi="Franklin Gothic Book"/>
          <w:szCs w:val="20"/>
        </w:rPr>
        <w:t xml:space="preserve"> gives the TOR for the TongaHealth Board. For DFAT funds, its role is comparable to that of the NHDC, although TongaHealth will not receive performance-related incentives. The Board’s situation is similar to that of the NHDC: it has dealt with these </w:t>
      </w:r>
      <w:r w:rsidRPr="005F4FAA">
        <w:rPr>
          <w:rFonts w:ascii="Franklin Gothic Book" w:hAnsi="Franklin Gothic Book"/>
          <w:i/>
          <w:szCs w:val="20"/>
        </w:rPr>
        <w:t>kinds</w:t>
      </w:r>
      <w:r w:rsidRPr="005F4FAA">
        <w:rPr>
          <w:rFonts w:ascii="Franklin Gothic Book" w:hAnsi="Franklin Gothic Book"/>
          <w:szCs w:val="20"/>
        </w:rPr>
        <w:t xml:space="preserve"> of issues before, but not necessarily at the scale of this DFAT funding. Moreover DFAT and the Board have not worked together before; this is different from the NHDC/DFAT partnership, which has had the opportunity to mature over time.  The importance of the Board’s role is recognised, and care will be taken to ensure that it receives appropriate support.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It is the responsibility of TongaHealth to make sure that the National NCD Committee (NNCDC) is kept informed of key decisions, and is given the opportunity to influence them. The NNCDC consists of senior members of organisations that do work relevant to the major NCD risk factors – for example, the Ministry of Agriculture, which has clear links to nutrition.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DFAT-funded </w:t>
      </w:r>
      <w:r w:rsidRPr="005F4FAA">
        <w:rPr>
          <w:rFonts w:ascii="Franklin Gothic Book" w:hAnsi="Franklin Gothic Book"/>
          <w:szCs w:val="20"/>
          <w:lang w:val="en-GB"/>
        </w:rPr>
        <w:t xml:space="preserve">Health Systems Support and Planning Manager </w:t>
      </w:r>
      <w:r w:rsidRPr="005F4FAA">
        <w:rPr>
          <w:rFonts w:ascii="Franklin Gothic Book" w:hAnsi="Franklin Gothic Book"/>
          <w:szCs w:val="20"/>
        </w:rPr>
        <w:t xml:space="preserve">will be assigned the role of THSSP2 liaison officer, so that there is a clear route for DFAT’s communications with the Ministry and vice versa. The same applies to TongaHealth. Each organisation will be asked to name a counterpart for the Planning Manager. </w:t>
      </w:r>
    </w:p>
    <w:p w:rsidR="00B652E1" w:rsidRPr="005F4FAA" w:rsidRDefault="00B652E1" w:rsidP="00B652E1">
      <w:pPr>
        <w:spacing w:before="80" w:line="276" w:lineRule="auto"/>
        <w:rPr>
          <w:rFonts w:ascii="Franklin Gothic Book" w:eastAsia="Times New Roman" w:hAnsi="Franklin Gothic Book"/>
          <w:szCs w:val="20"/>
          <w:lang w:eastAsia="en-US"/>
        </w:rPr>
      </w:pPr>
    </w:p>
    <w:p w:rsidR="00B652E1" w:rsidRPr="005F4FAA" w:rsidRDefault="00B652E1" w:rsidP="00780313">
      <w:pPr>
        <w:pStyle w:val="Heading2"/>
        <w:rPr>
          <w:lang w:eastAsia="en-US"/>
        </w:rPr>
      </w:pPr>
      <w:r w:rsidRPr="005F4FAA">
        <w:rPr>
          <w:lang w:eastAsia="en-US"/>
        </w:rPr>
        <w:t>Implementation Plan</w:t>
      </w:r>
    </w:p>
    <w:p w:rsidR="00B652E1" w:rsidRDefault="00B652E1" w:rsidP="00B652E1">
      <w:pPr>
        <w:pStyle w:val="ListParagraph"/>
        <w:numPr>
          <w:ilvl w:val="0"/>
          <w:numId w:val="0"/>
        </w:numPr>
        <w:spacing w:line="276" w:lineRule="auto"/>
        <w:rPr>
          <w:rFonts w:ascii="Franklin Gothic Book" w:hAnsi="Franklin Gothic Book"/>
          <w:sz w:val="20"/>
          <w:szCs w:val="20"/>
        </w:rPr>
      </w:pPr>
    </w:p>
    <w:p w:rsidR="00B652E1" w:rsidRPr="005F4FAA" w:rsidRDefault="00B652E1" w:rsidP="00B652E1">
      <w:pPr>
        <w:pStyle w:val="ListParagraph"/>
        <w:numPr>
          <w:ilvl w:val="0"/>
          <w:numId w:val="0"/>
        </w:numPr>
        <w:spacing w:line="276" w:lineRule="auto"/>
        <w:rPr>
          <w:rFonts w:ascii="Franklin Gothic Book" w:hAnsi="Franklin Gothic Book"/>
          <w:sz w:val="20"/>
          <w:szCs w:val="20"/>
        </w:rPr>
      </w:pPr>
      <w:r w:rsidRPr="005F4FAA">
        <w:rPr>
          <w:rFonts w:ascii="Franklin Gothic Book" w:hAnsi="Franklin Gothic Book"/>
          <w:sz w:val="20"/>
          <w:szCs w:val="20"/>
        </w:rPr>
        <w:t>In October 2014, the Tonga National Health Development Committee made choices about the overall design of THSSP2, based on the Investment Concept Note. Since then, there have been a number of promising developments that show some commitment to strengthening the Ministry’s planning cycle:</w:t>
      </w:r>
    </w:p>
    <w:p w:rsidR="00B652E1" w:rsidRPr="005F4FAA" w:rsidRDefault="00B652E1" w:rsidP="00B652E1">
      <w:pPr>
        <w:pStyle w:val="ListParagraph"/>
        <w:numPr>
          <w:ilvl w:val="0"/>
          <w:numId w:val="24"/>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rPr>
        <w:t>Work-plans were discussed extensiv</w:t>
      </w:r>
      <w:r>
        <w:rPr>
          <w:rFonts w:ascii="Franklin Gothic Book" w:hAnsi="Franklin Gothic Book"/>
          <w:sz w:val="20"/>
          <w:szCs w:val="20"/>
        </w:rPr>
        <w:t>ely at the Ministry’s Planning W</w:t>
      </w:r>
      <w:r w:rsidRPr="005F4FAA">
        <w:rPr>
          <w:rFonts w:ascii="Franklin Gothic Book" w:hAnsi="Franklin Gothic Book"/>
          <w:sz w:val="20"/>
          <w:szCs w:val="20"/>
        </w:rPr>
        <w:t>eek in December 2014. For the first time, DFAT was invited to attend this week as an observer</w:t>
      </w:r>
      <w:r>
        <w:rPr>
          <w:rFonts w:ascii="Franklin Gothic Book" w:hAnsi="Franklin Gothic Book"/>
          <w:sz w:val="20"/>
          <w:szCs w:val="20"/>
        </w:rPr>
        <w:t>.</w:t>
      </w:r>
    </w:p>
    <w:p w:rsidR="00B652E1" w:rsidRPr="005F4FAA" w:rsidRDefault="00B652E1" w:rsidP="00B652E1">
      <w:pPr>
        <w:pStyle w:val="ListParagraph"/>
        <w:numPr>
          <w:ilvl w:val="0"/>
          <w:numId w:val="24"/>
        </w:numPr>
        <w:spacing w:before="24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Some significant organisational anomalies are being rectified, notably the management of primary health care facilities moving to the Division of Public Health. </w:t>
      </w:r>
    </w:p>
    <w:p w:rsidR="00B652E1" w:rsidRPr="005F4FAA" w:rsidRDefault="00B652E1" w:rsidP="00B652E1">
      <w:pPr>
        <w:pStyle w:val="ListParagraph"/>
        <w:numPr>
          <w:ilvl w:val="0"/>
          <w:numId w:val="24"/>
        </w:numPr>
        <w:spacing w:before="240" w:line="276" w:lineRule="auto"/>
        <w:contextualSpacing/>
        <w:rPr>
          <w:rFonts w:ascii="Franklin Gothic Book" w:hAnsi="Franklin Gothic Book"/>
          <w:sz w:val="20"/>
          <w:szCs w:val="20"/>
        </w:rPr>
      </w:pPr>
      <w:r w:rsidRPr="005F4FAA">
        <w:rPr>
          <w:rFonts w:ascii="Franklin Gothic Book" w:hAnsi="Franklin Gothic Book"/>
          <w:sz w:val="20"/>
          <w:szCs w:val="20"/>
        </w:rPr>
        <w:t xml:space="preserve">There have been detailed discussions about monitoring the Corporate Plan and THSSP2. </w:t>
      </w:r>
    </w:p>
    <w:p w:rsidR="00B652E1" w:rsidRPr="005F4FAA" w:rsidRDefault="00B652E1" w:rsidP="00B652E1">
      <w:pPr>
        <w:spacing w:before="240" w:after="120" w:line="276" w:lineRule="auto"/>
        <w:rPr>
          <w:rFonts w:ascii="Franklin Gothic Book" w:hAnsi="Franklin Gothic Book"/>
          <w:szCs w:val="20"/>
          <w:lang w:eastAsia="en-US"/>
        </w:rPr>
      </w:pPr>
      <w:r w:rsidRPr="005F4FAA">
        <w:rPr>
          <w:rFonts w:ascii="Franklin Gothic Book" w:hAnsi="Franklin Gothic Book"/>
          <w:szCs w:val="20"/>
          <w:lang w:eastAsia="en-US"/>
        </w:rPr>
        <w:t xml:space="preserve">Year 1 will be a crucial year because of the new system of allocating DFAT resources according to work-plans and because the Ministry (and to a lesser extent TongaHealth) must begin to absorb activities funded under THSSP1, which are not priorities for THSSP2. For this reason, efforts have already begun to fill the TA posts as early as possible in THSSP2’s lifetime: it </w:t>
      </w:r>
      <w:r w:rsidRPr="00CE3DE2">
        <w:rPr>
          <w:rFonts w:ascii="Franklin Gothic Book" w:hAnsi="Franklin Gothic Book"/>
          <w:szCs w:val="20"/>
          <w:lang w:eastAsia="en-US"/>
        </w:rPr>
        <w:t xml:space="preserve">seems reasonable to assume that the three full-time posts (Planning Manager, Public/Primary Health </w:t>
      </w:r>
      <w:r>
        <w:rPr>
          <w:rFonts w:ascii="Franklin Gothic Book" w:hAnsi="Franklin Gothic Book"/>
          <w:szCs w:val="20"/>
          <w:lang w:eastAsia="en-US"/>
        </w:rPr>
        <w:t>Consultant</w:t>
      </w:r>
      <w:r w:rsidRPr="00CE3DE2">
        <w:rPr>
          <w:rFonts w:ascii="Franklin Gothic Book" w:hAnsi="Franklin Gothic Book"/>
          <w:szCs w:val="20"/>
          <w:lang w:eastAsia="en-US"/>
        </w:rPr>
        <w:t xml:space="preserve"> and </w:t>
      </w:r>
      <w:r>
        <w:rPr>
          <w:rFonts w:ascii="Franklin Gothic Book" w:hAnsi="Franklin Gothic Book"/>
          <w:szCs w:val="20"/>
          <w:lang w:eastAsia="en-US"/>
        </w:rPr>
        <w:t>NCD/</w:t>
      </w:r>
      <w:r w:rsidRPr="00CE3DE2">
        <w:rPr>
          <w:rFonts w:ascii="Franklin Gothic Book" w:hAnsi="Franklin Gothic Book"/>
          <w:szCs w:val="20"/>
          <w:lang w:eastAsia="en-US"/>
        </w:rPr>
        <w:t xml:space="preserve">Health Promotion </w:t>
      </w:r>
      <w:r>
        <w:rPr>
          <w:rFonts w:ascii="Franklin Gothic Book" w:hAnsi="Franklin Gothic Book"/>
          <w:szCs w:val="20"/>
          <w:lang w:eastAsia="en-US"/>
        </w:rPr>
        <w:t>Strategic</w:t>
      </w:r>
      <w:r w:rsidR="00EE0AA8">
        <w:rPr>
          <w:rFonts w:ascii="Franklin Gothic Book" w:hAnsi="Franklin Gothic Book"/>
          <w:szCs w:val="20"/>
          <w:lang w:eastAsia="en-US"/>
        </w:rPr>
        <w:t xml:space="preserve"> </w:t>
      </w:r>
      <w:r>
        <w:rPr>
          <w:rFonts w:ascii="Franklin Gothic Book" w:hAnsi="Franklin Gothic Book"/>
          <w:szCs w:val="20"/>
          <w:lang w:eastAsia="en-US"/>
        </w:rPr>
        <w:t>Adviser</w:t>
      </w:r>
      <w:r w:rsidRPr="00CE3DE2">
        <w:rPr>
          <w:rFonts w:ascii="Franklin Gothic Book" w:hAnsi="Franklin Gothic Book"/>
          <w:szCs w:val="20"/>
          <w:lang w:eastAsia="en-US"/>
        </w:rPr>
        <w:t>) will all be filled within the first three months</w:t>
      </w:r>
      <w:r w:rsidRPr="0032652D">
        <w:rPr>
          <w:rFonts w:ascii="Franklin Gothic Book" w:hAnsi="Franklin Gothic Book"/>
          <w:szCs w:val="20"/>
          <w:lang w:eastAsia="en-US"/>
        </w:rPr>
        <w:t xml:space="preserve">. </w:t>
      </w:r>
      <w:r w:rsidRPr="00687A54">
        <w:rPr>
          <w:rFonts w:ascii="Franklin Gothic Book" w:hAnsi="Franklin Gothic Book"/>
        </w:rPr>
        <w:t xml:space="preserve">Currently, the procurement of the Planning Manager is well under way and should be available to start mid-late June. The other two positions will be recruited through the Ministry of Health and will be subject to the Ministry’s own procurement processes </w:t>
      </w:r>
      <w:r w:rsidRPr="0032652D">
        <w:rPr>
          <w:rFonts w:ascii="Franklin Gothic Book" w:hAnsi="Franklin Gothic Book"/>
          <w:szCs w:val="20"/>
          <w:lang w:eastAsia="en-US"/>
        </w:rPr>
        <w:t>and procedures with DFAT support</w:t>
      </w:r>
      <w:r w:rsidRPr="005F4FAA">
        <w:rPr>
          <w:rFonts w:ascii="Franklin Gothic Book" w:hAnsi="Franklin Gothic Book"/>
          <w:szCs w:val="20"/>
          <w:lang w:eastAsia="en-US"/>
        </w:rPr>
        <w:t>.</w:t>
      </w:r>
    </w:p>
    <w:p w:rsidR="00B652E1" w:rsidRPr="005F4FAA" w:rsidRDefault="00B652E1" w:rsidP="00B652E1">
      <w:pPr>
        <w:spacing w:before="80" w:line="276" w:lineRule="auto"/>
        <w:rPr>
          <w:rFonts w:ascii="Franklin Gothic Book" w:hAnsi="Franklin Gothic Book"/>
          <w:szCs w:val="20"/>
          <w:lang w:eastAsia="en-US"/>
        </w:rPr>
      </w:pPr>
      <w:r w:rsidRPr="005F4FAA">
        <w:rPr>
          <w:rFonts w:ascii="Franklin Gothic Book" w:hAnsi="Franklin Gothic Book"/>
          <w:szCs w:val="20"/>
          <w:lang w:eastAsia="en-US"/>
        </w:rPr>
        <w:t xml:space="preserve">For the new system of resource allocation based on work-plans to begin, key steps need to be taken at the right time. Assuming that the DFAT budget release happens in July 2015, the NHDC can meet shortly thereafter and issue guidance to Divisions about budget ceilings for 2015/16. This in turn may lead to some revised Annual Management Plans. (Because AMPs have historically been written in the context of very small amounts of non-salary funding, it is only reasonable to provide guidance on the new financial situation.) The first round of funding decisions could be made around May. To allow for the fact that this is the first year of working in this way, a second round of funding decisions based on work-plans will be held in November 2015. (The situation for Tonga Health will be similar. For the first year it knows that its budget will </w:t>
      </w:r>
      <w:r w:rsidRPr="0032652D">
        <w:rPr>
          <w:rFonts w:ascii="Franklin Gothic Book" w:hAnsi="Franklin Gothic Book"/>
          <w:szCs w:val="20"/>
          <w:lang w:eastAsia="en-US"/>
        </w:rPr>
        <w:t xml:space="preserve">be </w:t>
      </w:r>
      <w:r w:rsidRPr="00687A54">
        <w:rPr>
          <w:rFonts w:ascii="Franklin Gothic Book" w:hAnsi="Franklin Gothic Book"/>
        </w:rPr>
        <w:t>a maximum of</w:t>
      </w:r>
      <w:r>
        <w:rPr>
          <w:rFonts w:ascii="Franklin Gothic Book" w:hAnsi="Franklin Gothic Book"/>
          <w:szCs w:val="20"/>
          <w:lang w:eastAsia="en-US"/>
        </w:rPr>
        <w:t xml:space="preserve"> </w:t>
      </w:r>
      <w:r w:rsidRPr="005F4FAA">
        <w:rPr>
          <w:rFonts w:ascii="Franklin Gothic Book" w:hAnsi="Franklin Gothic Book"/>
          <w:szCs w:val="20"/>
          <w:lang w:eastAsia="en-US"/>
        </w:rPr>
        <w:t xml:space="preserve">$400,000.) </w:t>
      </w:r>
    </w:p>
    <w:p w:rsidR="00B652E1" w:rsidRPr="005F4FAA" w:rsidRDefault="00B652E1" w:rsidP="00B652E1">
      <w:pPr>
        <w:spacing w:before="80" w:line="276" w:lineRule="auto"/>
        <w:rPr>
          <w:rFonts w:ascii="Franklin Gothic Book" w:hAnsi="Franklin Gothic Book"/>
          <w:szCs w:val="20"/>
          <w:lang w:val="en-GB" w:eastAsia="en-US"/>
        </w:rPr>
      </w:pPr>
      <w:r w:rsidRPr="005F4FAA">
        <w:rPr>
          <w:rFonts w:ascii="Franklin Gothic Book" w:hAnsi="Franklin Gothic Book"/>
          <w:szCs w:val="20"/>
          <w:lang w:eastAsia="en-US"/>
        </w:rPr>
        <w:t xml:space="preserve">To ensure continuity of funding and eventual absorption into the Ministry of Health budget, activities funded by THSSP1 that the Ministry intends to continue need to be included in Annual Management Plans. For some sections (e.g. biomedical engineering) this will be the first time they have written an AMP, and other sections will need to include items which previously THSSP1 provided without involving them in the procurement (e.g. drugs for the National Diabetes Centre). Much of the support for the new cadre of NCD nurses was also managed through THSSP1, so it is important that each function is included in the appropriate AMP: for example the information submitted by the NCD nurses on screening and other activities should be managed by the health information section.  It is accepted that it will be too late in financial year 2015/6 to absorb some activities from THSSP1 into the Ministry’s budget and that some of the Year 1 DFAT funds can be used to ensure that there is no break where continuity is important. THSSP1 funded a wide range of activities including drug procurement, laboratory supplies, </w:t>
      </w:r>
      <w:r w:rsidRPr="005F4FAA">
        <w:rPr>
          <w:rFonts w:ascii="Franklin Gothic Book" w:hAnsi="Franklin Gothic Book"/>
          <w:szCs w:val="20"/>
          <w:lang w:val="en-GB" w:eastAsia="en-US"/>
        </w:rPr>
        <w:t xml:space="preserve">equipment maintenance and a twinning arrangement: Year 1 can be used to ensure that funding for the critical inputs is incorporated in the MOH budget. </w:t>
      </w:r>
    </w:p>
    <w:p w:rsidR="00B652E1" w:rsidRPr="005F4FAA" w:rsidRDefault="00B652E1" w:rsidP="00B652E1">
      <w:pPr>
        <w:spacing w:before="80" w:line="276" w:lineRule="auto"/>
        <w:rPr>
          <w:rFonts w:ascii="Franklin Gothic Book" w:hAnsi="Franklin Gothic Book"/>
          <w:szCs w:val="20"/>
          <w:lang w:val="en-GB" w:eastAsia="en-US"/>
        </w:rPr>
      </w:pPr>
      <w:r w:rsidRPr="005F4FAA">
        <w:rPr>
          <w:rFonts w:ascii="Franklin Gothic Book" w:hAnsi="Franklin Gothic Book"/>
          <w:szCs w:val="20"/>
          <w:lang w:val="en-GB" w:eastAsia="en-US"/>
        </w:rPr>
        <w:t xml:space="preserve">There are two particular areas of funding from THSSP1 that need to be managed carefully. </w:t>
      </w:r>
    </w:p>
    <w:p w:rsidR="00B652E1" w:rsidRPr="00F13FE1" w:rsidRDefault="00B652E1" w:rsidP="00B652E1">
      <w:pPr>
        <w:spacing w:before="80" w:line="276" w:lineRule="auto"/>
        <w:rPr>
          <w:rFonts w:ascii="Franklin Gothic Book" w:hAnsi="Franklin Gothic Book"/>
          <w:szCs w:val="20"/>
          <w:lang w:val="en-GB" w:eastAsia="en-US"/>
        </w:rPr>
      </w:pPr>
      <w:r w:rsidRPr="00F13FE1">
        <w:rPr>
          <w:rFonts w:ascii="Franklin Gothic Book" w:hAnsi="Franklin Gothic Book"/>
          <w:szCs w:val="20"/>
          <w:lang w:val="en-GB" w:eastAsia="en-US"/>
        </w:rPr>
        <w:t xml:space="preserve">At the time of writing there are five </w:t>
      </w:r>
      <w:r w:rsidRPr="00F13FE1">
        <w:rPr>
          <w:rFonts w:ascii="Franklin Gothic Book" w:hAnsi="Franklin Gothic Book"/>
          <w:b/>
          <w:szCs w:val="20"/>
          <w:lang w:val="en-GB" w:eastAsia="en-US"/>
        </w:rPr>
        <w:t>Critical Staffing Deficiency</w:t>
      </w:r>
      <w:r w:rsidRPr="00F13FE1">
        <w:rPr>
          <w:rFonts w:ascii="Franklin Gothic Book" w:hAnsi="Franklin Gothic Book"/>
          <w:szCs w:val="20"/>
          <w:lang w:val="en-GB" w:eastAsia="en-US"/>
        </w:rPr>
        <w:t xml:space="preserve"> (CSD) appointments. Over time, the CSD budget has been used to fund long-term employment and short-term locums. One effect of long-term Australian funding is that the full cost of the national hospital is not made clear to Cabinet and the Ministry of Finance and National Planning. Tonga is too small to be able to continuously fill all its specialist posts from within the country – even with excellent Human Resources planning, there is likely to be a long-term need for some international recruitment. Moreover such recruitment is technically valuable, because it allows for new ideas to be introduced. </w:t>
      </w:r>
    </w:p>
    <w:p w:rsidR="00B652E1" w:rsidRDefault="00B652E1" w:rsidP="00B652E1">
      <w:pPr>
        <w:spacing w:before="80" w:line="276" w:lineRule="auto"/>
        <w:rPr>
          <w:rFonts w:ascii="Franklin Gothic Book" w:hAnsi="Franklin Gothic Book"/>
          <w:szCs w:val="20"/>
          <w:lang w:val="en-GB" w:eastAsia="en-US"/>
        </w:rPr>
      </w:pPr>
      <w:r w:rsidRPr="00F13FE1">
        <w:rPr>
          <w:rFonts w:ascii="Franklin Gothic Book" w:hAnsi="Franklin Gothic Book"/>
          <w:szCs w:val="20"/>
          <w:lang w:val="en-GB" w:eastAsia="en-US"/>
        </w:rPr>
        <w:t>Although Tonga has a good track record in the recruitment and management of individual CSD posts, there is a need for stronger HR planning for scarce skills and Government of Tonga funding needs to be secured, which will probably require discussion by the Cabinet. THSSP2 can support these HR activities through its Health Systems Strengthening component. Individual CSD posts need to be placed within wider plans for securing vital technical skills, including consideration of local capacity-building requirements. These HR plans can be thought of as a longer-term “exit plan” for external CSD funding.</w:t>
      </w:r>
      <w:r w:rsidRPr="00F13FE1">
        <w:rPr>
          <w:rFonts w:ascii="Franklin Gothic Book" w:hAnsi="Franklin Gothic Book"/>
          <w:b/>
          <w:szCs w:val="20"/>
          <w:lang w:val="en-GB" w:eastAsia="en-US"/>
        </w:rPr>
        <w:t xml:space="preserve"> </w:t>
      </w:r>
      <w:r w:rsidRPr="00F13FE1">
        <w:rPr>
          <w:rFonts w:ascii="Franklin Gothic Book" w:hAnsi="Franklin Gothic Book"/>
          <w:szCs w:val="20"/>
          <w:lang w:val="en-GB" w:eastAsia="en-US"/>
        </w:rPr>
        <w:t>Under THSSP2, CSD posts will only be funded as part of wider HR and capacity-building plans.</w:t>
      </w:r>
      <w:r>
        <w:rPr>
          <w:rFonts w:ascii="Franklin Gothic Book" w:hAnsi="Franklin Gothic Book"/>
          <w:szCs w:val="20"/>
          <w:lang w:val="en-GB" w:eastAsia="en-US"/>
        </w:rPr>
        <w:t xml:space="preserve"> </w:t>
      </w:r>
    </w:p>
    <w:p w:rsidR="00B652E1" w:rsidRPr="0032652D" w:rsidRDefault="00B652E1" w:rsidP="00B652E1">
      <w:pPr>
        <w:spacing w:before="80" w:line="276" w:lineRule="auto"/>
        <w:rPr>
          <w:rFonts w:ascii="Franklin Gothic Book" w:hAnsi="Franklin Gothic Book"/>
          <w:szCs w:val="20"/>
          <w:lang w:val="en-GB" w:eastAsia="en-US"/>
        </w:rPr>
      </w:pPr>
      <w:r w:rsidRPr="00687A54">
        <w:rPr>
          <w:rFonts w:ascii="Franklin Gothic Book" w:hAnsi="Franklin Gothic Book"/>
          <w:lang w:val="en-GB"/>
        </w:rPr>
        <w:t>It is not only the posts supported by CSD funding which are important to THSSP2. Other senior management posts – for examples the Heads of Planning and Public Health – are crucial to the success of the Program. It is important that Human Resource plans think through succession planning for all key posts. In a country as small as Tonga it is always difficult to build resilience against the employment moves of individuals, but good planning has an important role to play.</w:t>
      </w:r>
      <w:r w:rsidRPr="0032652D">
        <w:rPr>
          <w:rFonts w:ascii="Franklin Gothic Book" w:hAnsi="Franklin Gothic Book"/>
          <w:szCs w:val="20"/>
          <w:lang w:val="en-GB" w:eastAsia="en-US"/>
        </w:rPr>
        <w:t xml:space="preserve"> </w:t>
      </w:r>
    </w:p>
    <w:p w:rsidR="00B652E1" w:rsidRPr="005F4FAA" w:rsidRDefault="00B652E1" w:rsidP="00B652E1">
      <w:pPr>
        <w:spacing w:before="80" w:line="276" w:lineRule="auto"/>
        <w:rPr>
          <w:rFonts w:ascii="Franklin Gothic Book" w:hAnsi="Franklin Gothic Book"/>
          <w:szCs w:val="20"/>
          <w:lang w:val="en-GB" w:eastAsia="en-US"/>
        </w:rPr>
      </w:pPr>
      <w:r w:rsidRPr="0032652D">
        <w:rPr>
          <w:rFonts w:ascii="Franklin Gothic Book" w:hAnsi="Franklin Gothic Book"/>
          <w:szCs w:val="20"/>
          <w:lang w:val="en-GB" w:eastAsia="en-US"/>
        </w:rPr>
        <w:t xml:space="preserve">For the </w:t>
      </w:r>
      <w:r w:rsidRPr="0032652D">
        <w:rPr>
          <w:rFonts w:ascii="Franklin Gothic Book" w:hAnsi="Franklin Gothic Book"/>
          <w:b/>
          <w:szCs w:val="20"/>
          <w:lang w:val="en-GB" w:eastAsia="en-US"/>
        </w:rPr>
        <w:t>maintenance and repair of equipment</w:t>
      </w:r>
      <w:r w:rsidRPr="0032652D">
        <w:rPr>
          <w:rFonts w:ascii="Franklin Gothic Book" w:hAnsi="Franklin Gothic Book"/>
          <w:szCs w:val="20"/>
          <w:lang w:val="en-GB" w:eastAsia="en-US"/>
        </w:rPr>
        <w:t>, the main issue is that there is no budget that is</w:t>
      </w:r>
      <w:r w:rsidRPr="005F4FAA">
        <w:rPr>
          <w:rFonts w:ascii="Franklin Gothic Book" w:hAnsi="Franklin Gothic Book"/>
          <w:szCs w:val="20"/>
          <w:lang w:val="en-GB" w:eastAsia="en-US"/>
        </w:rPr>
        <w:t xml:space="preserve"> unambiguously allocated to the management of equipment. (The existing “maintenance” budget is in practice used as a general contingency fund.) AMPs need to be submitted through the Medical Division and the Ministry needs to develop the discipline of allocating sufficient funds for the upkeep of vital equipment. </w:t>
      </w:r>
    </w:p>
    <w:p w:rsidR="00B652E1" w:rsidRPr="005F4FAA" w:rsidRDefault="00B652E1" w:rsidP="00B652E1">
      <w:pPr>
        <w:spacing w:before="80" w:line="276" w:lineRule="auto"/>
        <w:rPr>
          <w:rFonts w:ascii="Franklin Gothic Book" w:hAnsi="Franklin Gothic Book"/>
          <w:i/>
          <w:szCs w:val="20"/>
          <w:lang w:eastAsia="en-US"/>
        </w:rPr>
      </w:pPr>
      <w:r w:rsidRPr="005F4FAA">
        <w:rPr>
          <w:rFonts w:ascii="Franklin Gothic Book" w:hAnsi="Franklin Gothic Book"/>
          <w:szCs w:val="20"/>
          <w:lang w:val="en-GB" w:eastAsia="en-US"/>
        </w:rPr>
        <w:t>The budget allocation for the Ministry of Health</w:t>
      </w:r>
      <w:r>
        <w:rPr>
          <w:rFonts w:ascii="Franklin Gothic Book" w:hAnsi="Franklin Gothic Book"/>
          <w:szCs w:val="20"/>
          <w:lang w:val="en-GB" w:eastAsia="en-US"/>
        </w:rPr>
        <w:t xml:space="preserve"> includes </w:t>
      </w:r>
      <w:r w:rsidRPr="005F4FAA">
        <w:rPr>
          <w:rFonts w:ascii="Franklin Gothic Book" w:hAnsi="Franklin Gothic Book"/>
          <w:szCs w:val="20"/>
          <w:lang w:val="en-GB" w:eastAsia="en-US"/>
        </w:rPr>
        <w:t xml:space="preserve">about $420,000 to cover CSD posts. A practical advantage of the staged absorption of THSSP1 activities is that it spreads the risks for THSSP2. In year 1, a good percentage of funds will be used to continue with priority THSSP1 activities: this is relatively low risk. This acts </w:t>
      </w:r>
      <w:r>
        <w:rPr>
          <w:rFonts w:ascii="Franklin Gothic Book" w:hAnsi="Franklin Gothic Book"/>
          <w:szCs w:val="20"/>
          <w:lang w:val="en-GB" w:eastAsia="en-US"/>
        </w:rPr>
        <w:t>as</w:t>
      </w:r>
      <w:r w:rsidRPr="005F4FAA">
        <w:rPr>
          <w:rFonts w:ascii="Franklin Gothic Book" w:hAnsi="Franklin Gothic Book"/>
          <w:szCs w:val="20"/>
          <w:lang w:val="en-GB" w:eastAsia="en-US"/>
        </w:rPr>
        <w:t xml:space="preserve"> a counter-balance to the fact that in other respects year 1 is a high-risk year as the new system of allocating and managing funds is introduced.</w:t>
      </w:r>
    </w:p>
    <w:p w:rsidR="00B652E1" w:rsidRPr="00BA0A95" w:rsidRDefault="00B652E1" w:rsidP="00B652E1">
      <w:pPr>
        <w:spacing w:before="80" w:line="276" w:lineRule="auto"/>
        <w:rPr>
          <w:rFonts w:ascii="Franklin Gothic Book" w:eastAsia="Times New Roman" w:hAnsi="Franklin Gothic Book"/>
          <w:szCs w:val="20"/>
          <w:lang w:eastAsia="en-US"/>
        </w:rPr>
      </w:pPr>
      <w:r w:rsidRPr="00687A54">
        <w:rPr>
          <w:rFonts w:ascii="Franklin Gothic Book" w:hAnsi="Franklin Gothic Book"/>
        </w:rPr>
        <w:t xml:space="preserve">In addition to these issues that have run over from THSSP1, there has recently been a renewed focus on </w:t>
      </w:r>
      <w:r w:rsidRPr="00687A54">
        <w:rPr>
          <w:rFonts w:ascii="Franklin Gothic Book" w:hAnsi="Franklin Gothic Book"/>
          <w:b/>
        </w:rPr>
        <w:t>drug supplies</w:t>
      </w:r>
      <w:r w:rsidRPr="00687A54">
        <w:rPr>
          <w:rFonts w:ascii="Franklin Gothic Book" w:hAnsi="Franklin Gothic Book"/>
        </w:rPr>
        <w:t>, following a period of serious stock-outs (for example problems with the continuous supply of insulin for diabetics). In the first half of 2015 the Government of Tonga requested the Governments of Australia and New Zealand to help with improving drug supplies. At the same time as THSSP2 was being designed, technical assessments were made of the drug supply situation and recommendations were being developed. Strengthening drug supplies is entirely compatible with the health systems strengthening aims of THSSP2</w:t>
      </w:r>
      <w:r w:rsidR="0032652D" w:rsidRPr="00687A54">
        <w:rPr>
          <w:rFonts w:ascii="Franklin Gothic Book" w:hAnsi="Franklin Gothic Book"/>
        </w:rPr>
        <w:t xml:space="preserve"> and critical for managing </w:t>
      </w:r>
      <w:r w:rsidR="0032652D" w:rsidRPr="00687A54">
        <w:rPr>
          <w:rFonts w:ascii="Franklin Gothic Book" w:eastAsia="Times New Roman" w:hAnsi="Franklin Gothic Book"/>
          <w:szCs w:val="20"/>
          <w:lang w:eastAsia="en-US"/>
        </w:rPr>
        <w:t xml:space="preserve">of </w:t>
      </w:r>
      <w:r w:rsidR="0032652D" w:rsidRPr="00687A54">
        <w:rPr>
          <w:rFonts w:ascii="Franklin Gothic Book" w:hAnsi="Franklin Gothic Book"/>
        </w:rPr>
        <w:t>NCD related illnesses</w:t>
      </w:r>
      <w:r w:rsidRPr="00687A54">
        <w:rPr>
          <w:rFonts w:ascii="Franklin Gothic Book" w:hAnsi="Franklin Gothic Book"/>
        </w:rPr>
        <w:t>. Requests for funding to implement the recommendations can be included in the Annual Management Plans which are the route to accessing DFAT funds for THSSP2. (There will be two rounds of funding in 2015/6, so there need not be long delays with this.)  This is a high-profile issue in Tonga and, given that Government of Tonga itself initiated the process, it is reasonable to assume that the commitment to improving drug supplies will be sustained.</w:t>
      </w:r>
      <w:r w:rsidRPr="0032652D">
        <w:rPr>
          <w:rFonts w:ascii="Franklin Gothic Book" w:eastAsia="Times New Roman" w:hAnsi="Franklin Gothic Book"/>
          <w:szCs w:val="20"/>
          <w:lang w:eastAsia="en-US"/>
        </w:rPr>
        <w:t xml:space="preserve"> </w:t>
      </w:r>
      <w:r w:rsidR="0032652D" w:rsidRPr="0032652D">
        <w:rPr>
          <w:rFonts w:ascii="Franklin Gothic Book" w:eastAsia="Times New Roman" w:hAnsi="Franklin Gothic Book"/>
          <w:szCs w:val="20"/>
          <w:lang w:eastAsia="en-US"/>
        </w:rPr>
        <w:t>As it also affects management of NCD related illnesses</w:t>
      </w:r>
      <w:r w:rsidR="007919F8">
        <w:rPr>
          <w:rFonts w:ascii="Franklin Gothic Book" w:eastAsia="Times New Roman" w:hAnsi="Franklin Gothic Book"/>
          <w:szCs w:val="20"/>
          <w:lang w:eastAsia="en-US"/>
        </w:rPr>
        <w:t>,</w:t>
      </w:r>
      <w:r w:rsidR="0032652D" w:rsidRPr="0032652D">
        <w:rPr>
          <w:rFonts w:ascii="Franklin Gothic Book" w:eastAsia="Times New Roman" w:hAnsi="Franklin Gothic Book"/>
          <w:szCs w:val="20"/>
          <w:lang w:eastAsia="en-US"/>
        </w:rPr>
        <w:t xml:space="preserve"> it will also have</w:t>
      </w:r>
      <w:r w:rsidR="0032652D">
        <w:rPr>
          <w:rFonts w:ascii="Franklin Gothic Book" w:eastAsia="Times New Roman" w:hAnsi="Franklin Gothic Book"/>
          <w:szCs w:val="20"/>
          <w:lang w:eastAsia="en-US"/>
        </w:rPr>
        <w:t xml:space="preserve"> implications </w:t>
      </w:r>
      <w:r w:rsidR="00687A54">
        <w:rPr>
          <w:rFonts w:ascii="Franklin Gothic Book" w:eastAsia="Times New Roman" w:hAnsi="Franklin Gothic Book"/>
          <w:szCs w:val="20"/>
          <w:lang w:eastAsia="en-US"/>
        </w:rPr>
        <w:t>for</w:t>
      </w:r>
      <w:r w:rsidR="0032652D">
        <w:rPr>
          <w:rFonts w:ascii="Franklin Gothic Book" w:eastAsia="Times New Roman" w:hAnsi="Franklin Gothic Book"/>
          <w:szCs w:val="20"/>
          <w:lang w:eastAsia="en-US"/>
        </w:rPr>
        <w:t xml:space="preserve"> delivery against THSSP2THSSP 2 outcomes.</w:t>
      </w:r>
    </w:p>
    <w:p w:rsidR="00B652E1" w:rsidRPr="005F4FAA" w:rsidRDefault="00B652E1" w:rsidP="00B652E1">
      <w:pPr>
        <w:spacing w:before="80"/>
        <w:rPr>
          <w:rFonts w:ascii="Franklin Gothic Book" w:eastAsia="Times New Roman" w:hAnsi="Franklin Gothic Book"/>
          <w:i/>
          <w:szCs w:val="20"/>
          <w:lang w:eastAsia="en-US"/>
        </w:rPr>
      </w:pPr>
    </w:p>
    <w:p w:rsidR="00B652E1" w:rsidRPr="005F4FAA" w:rsidRDefault="00B652E1" w:rsidP="00780313">
      <w:pPr>
        <w:pStyle w:val="Heading2"/>
        <w:rPr>
          <w:lang w:eastAsia="en-US"/>
        </w:rPr>
      </w:pPr>
      <w:r w:rsidRPr="005F4FAA">
        <w:rPr>
          <w:lang w:eastAsia="en-US"/>
        </w:rPr>
        <w:t>Financial management arrangements</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 xml:space="preserve">Funding flows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THSSP2 funds will be deposited by DFAT into the Government of Tonga General Development Account and the TongaHealth account, both held at the Westpac Bank of Tonga. Per the Tonga Public Financial Management Act, all funds for activities to be implemented by the Ministry of Health will remain in this account and will be administered by the Ministry of Finance and National Planning (MoFNP), with payment processing undertaken by the MoH, as described below under ‘Responsibility for financial management’.</w:t>
      </w:r>
    </w:p>
    <w:p w:rsidR="00B652E1"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TongaHealth will oversee the implementation of THSSP2 activities through grants provided to a range of implementing partners, as illustrated in Figure 4. For grants to Government line ministries, payments must be deposited into the General Development account at the MoFNP, which will subsequently allocate the relevant budget to the selected implementing ministry, with TongaHealth as the donor. For all other implementing partners, TongaHealth will provide a cheque to the selected partner (community groups, NGOs etc.), in accordance with the TongaHealth Grant Making Policy. </w:t>
      </w:r>
    </w:p>
    <w:p w:rsidR="00B652E1" w:rsidRPr="005F4FAA" w:rsidRDefault="00B652E1" w:rsidP="00B652E1">
      <w:pPr>
        <w:spacing w:before="80" w:line="276" w:lineRule="auto"/>
        <w:rPr>
          <w:rFonts w:ascii="Franklin Gothic Book" w:eastAsia="Times New Roman" w:hAnsi="Franklin Gothic Book"/>
          <w:szCs w:val="20"/>
          <w:lang w:eastAsia="en-US"/>
        </w:rPr>
      </w:pPr>
    </w:p>
    <w:p w:rsidR="00B652E1" w:rsidRDefault="00B652E1" w:rsidP="00B652E1">
      <w:pPr>
        <w:spacing w:line="276" w:lineRule="auto"/>
        <w:ind w:left="1"/>
        <w:rPr>
          <w:rFonts w:ascii="Franklin Gothic Book" w:eastAsia="Times New Roman" w:hAnsi="Franklin Gothic Book"/>
          <w:b/>
          <w:szCs w:val="20"/>
          <w:lang w:eastAsia="en-US"/>
        </w:rPr>
      </w:pPr>
      <w:r w:rsidRPr="00DB35E7">
        <w:rPr>
          <w:rFonts w:ascii="Franklin Gothic Book" w:eastAsia="Times New Roman" w:hAnsi="Franklin Gothic Book"/>
          <w:b/>
          <w:noProof/>
          <w:szCs w:val="20"/>
        </w:rPr>
        <mc:AlternateContent>
          <mc:Choice Requires="wps">
            <w:drawing>
              <wp:anchor distT="0" distB="0" distL="114300" distR="114300" simplePos="0" relativeHeight="251681792" behindDoc="0" locked="0" layoutInCell="1" allowOverlap="1" wp14:anchorId="0D50DA4A" wp14:editId="71D2FE14">
                <wp:simplePos x="0" y="0"/>
                <wp:positionH relativeFrom="column">
                  <wp:posOffset>735964</wp:posOffset>
                </wp:positionH>
                <wp:positionV relativeFrom="paragraph">
                  <wp:posOffset>3621405</wp:posOffset>
                </wp:positionV>
                <wp:extent cx="1762125" cy="857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57250"/>
                        </a:xfrm>
                        <a:prstGeom prst="rect">
                          <a:avLst/>
                        </a:prstGeom>
                        <a:solidFill>
                          <a:srgbClr val="FFFFFF"/>
                        </a:solidFill>
                        <a:ln w="9525">
                          <a:solidFill>
                            <a:srgbClr val="000000"/>
                          </a:solidFill>
                          <a:miter lim="800000"/>
                          <a:headEnd/>
                          <a:tailEnd/>
                        </a:ln>
                      </wps:spPr>
                      <wps:txbx>
                        <w:txbxContent>
                          <w:p w:rsidR="004F6539" w:rsidRPr="003061C0" w:rsidRDefault="004F6539" w:rsidP="00B652E1">
                            <w:pPr>
                              <w:spacing w:after="80"/>
                            </w:pPr>
                            <w:r w:rsidRPr="003061C0">
                              <w:t>Physical funding flow</w:t>
                            </w:r>
                          </w:p>
                          <w:p w:rsidR="004F6539" w:rsidRPr="003061C0" w:rsidRDefault="004F6539" w:rsidP="00B652E1">
                            <w:r w:rsidRPr="003061C0">
                              <w:t>System budget transfer only – funds remain with MoFNP</w:t>
                            </w:r>
                          </w:p>
                          <w:p w:rsidR="004F6539" w:rsidRDefault="004F6539" w:rsidP="00B652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57.95pt;margin-top:285.15pt;width:138.7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">
                <v:textbox>
                  <w:txbxContent>
                    <w:p w:rsidR="004F6539" w:rsidRPr="003061C0" w:rsidRDefault="004F6539" w:rsidP="00B652E1">
                      <w:pPr>
                        <w:spacing w:after="80"/>
                      </w:pPr>
                      <w:r w:rsidRPr="003061C0">
                        <w:t>Physical funding flow</w:t>
                      </w:r>
                    </w:p>
                    <w:p w:rsidR="004F6539" w:rsidRPr="003061C0" w:rsidRDefault="004F6539" w:rsidP="00B652E1">
                      <w:r w:rsidRPr="003061C0">
                        <w:t>System budget transfer only – funds remain with MoFNP</w:t>
                      </w:r>
                    </w:p>
                    <w:p w:rsidR="004F6539" w:rsidRDefault="004F6539" w:rsidP="00B652E1"/>
                  </w:txbxContent>
                </v:textbox>
              </v:shape>
            </w:pict>
          </mc:Fallback>
        </mc:AlternateContent>
      </w:r>
      <w:r w:rsidRPr="00383FA5">
        <w:rPr>
          <w:rFonts w:ascii="Franklin Gothic Book" w:eastAsia="Times New Roman" w:hAnsi="Franklin Gothic Book"/>
          <w:b/>
          <w:noProof/>
          <w:szCs w:val="20"/>
        </w:rPr>
        <mc:AlternateContent>
          <mc:Choice Requires="wps">
            <w:drawing>
              <wp:anchor distT="4294967295" distB="4294967295" distL="114300" distR="114300" simplePos="0" relativeHeight="251679744" behindDoc="0" locked="0" layoutInCell="1" allowOverlap="1" wp14:anchorId="466A441F" wp14:editId="75C420AA">
                <wp:simplePos x="0" y="0"/>
                <wp:positionH relativeFrom="column">
                  <wp:posOffset>226060</wp:posOffset>
                </wp:positionH>
                <wp:positionV relativeFrom="paragraph">
                  <wp:posOffset>3705224</wp:posOffset>
                </wp:positionV>
                <wp:extent cx="452120" cy="0"/>
                <wp:effectExtent l="0" t="0" r="2413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120" cy="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8pt,291.75pt" to="53.4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" strokecolor="#365f91 [2404]" strokeweight="2pt">
                <o:lock v:ext="edit" shapetype="f"/>
              </v:line>
            </w:pict>
          </mc:Fallback>
        </mc:AlternateContent>
      </w:r>
      <w:r w:rsidRPr="00383FA5">
        <w:rPr>
          <w:rFonts w:ascii="Franklin Gothic Book" w:eastAsia="Times New Roman" w:hAnsi="Franklin Gothic Book"/>
          <w:b/>
          <w:noProof/>
          <w:szCs w:val="20"/>
        </w:rPr>
        <mc:AlternateContent>
          <mc:Choice Requires="wps">
            <w:drawing>
              <wp:anchor distT="4294967295" distB="4294967295" distL="114300" distR="114300" simplePos="0" relativeHeight="251680768" behindDoc="0" locked="0" layoutInCell="1" allowOverlap="1" wp14:anchorId="00261DEF" wp14:editId="51571D2F">
                <wp:simplePos x="0" y="0"/>
                <wp:positionH relativeFrom="column">
                  <wp:posOffset>228600</wp:posOffset>
                </wp:positionH>
                <wp:positionV relativeFrom="paragraph">
                  <wp:posOffset>3933824</wp:posOffset>
                </wp:positionV>
                <wp:extent cx="428625" cy="0"/>
                <wp:effectExtent l="0" t="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25400">
                          <a:solidFill>
                            <a:schemeClr val="accent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309.75pt" to="51.7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" strokecolor="#365f91 [2404]" strokeweight="2pt">
                <v:stroke dashstyle="dash"/>
                <o:lock v:ext="edit" shapetype="f"/>
              </v:line>
            </w:pict>
          </mc:Fallback>
        </mc:AlternateContent>
      </w:r>
      <w:r w:rsidRPr="005F4FAA">
        <w:rPr>
          <w:rFonts w:ascii="Franklin Gothic Book" w:eastAsia="Times New Roman" w:hAnsi="Franklin Gothic Book"/>
          <w:b/>
          <w:szCs w:val="20"/>
          <w:lang w:eastAsia="en-US"/>
        </w:rPr>
        <w:t>Figure 4 - THSSP2 funding flows</w:t>
      </w:r>
      <w:r w:rsidRPr="00383FA5">
        <w:rPr>
          <w:rFonts w:ascii="Franklin Gothic Book" w:hAnsi="Franklin Gothic Book"/>
          <w:noProof/>
        </w:rPr>
        <w:drawing>
          <wp:inline distT="0" distB="0" distL="0" distR="0" wp14:anchorId="48E1EACC" wp14:editId="1DF96064">
            <wp:extent cx="5920952" cy="4453466"/>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652E1" w:rsidRDefault="00B652E1" w:rsidP="00B652E1">
      <w:pPr>
        <w:spacing w:before="80" w:line="276" w:lineRule="auto"/>
        <w:rPr>
          <w:rFonts w:ascii="Franklin Gothic Book" w:eastAsia="Times New Roman" w:hAnsi="Franklin Gothic Book"/>
          <w:b/>
          <w:szCs w:val="20"/>
          <w:lang w:eastAsia="en-US"/>
        </w:rPr>
      </w:pPr>
    </w:p>
    <w:p w:rsidR="00B652E1" w:rsidRPr="005F4FAA" w:rsidRDefault="00B652E1" w:rsidP="00B652E1">
      <w:pPr>
        <w:spacing w:before="80" w:line="276" w:lineRule="auto"/>
        <w:rPr>
          <w:rFonts w:ascii="Franklin Gothic Book" w:eastAsia="Times New Roman" w:hAnsi="Franklin Gothic Book"/>
          <w:b/>
          <w:szCs w:val="20"/>
          <w:lang w:eastAsia="en-US"/>
        </w:rPr>
      </w:pPr>
      <w:r>
        <w:rPr>
          <w:rFonts w:ascii="Franklin Gothic Book" w:eastAsia="Times New Roman" w:hAnsi="Franklin Gothic Book"/>
          <w:b/>
          <w:szCs w:val="20"/>
          <w:lang w:eastAsia="en-US"/>
        </w:rPr>
        <w:t>M</w:t>
      </w:r>
      <w:r w:rsidRPr="005F4FAA">
        <w:rPr>
          <w:rFonts w:ascii="Franklin Gothic Book" w:eastAsia="Times New Roman" w:hAnsi="Franklin Gothic Book"/>
          <w:b/>
          <w:szCs w:val="20"/>
          <w:lang w:eastAsia="en-US"/>
        </w:rPr>
        <w:t>inistry of Health</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Responsibility for financial management</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For the first year of the program (2015-16), all payments for the program will be managed by the Program Finance Officer, under the direction of the Deputy CEO for Administration. During this transition year, the Program Finance Officer should liaise regularly with the Accounts section under the Deputy CEO, Administration, to ensure consistency of budget structures and financial coding, and to enable consolidation with the whole of MoH financial management and reporting.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Program Finance Officer will also work in close collaboration with the Project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or who will provide oversight of DFAT funding within the Ministry of Health. It is a transition role intended to absorb and appropriately transition the previous role that the Program Central Unit (PCU) had managed through the Assistant Program Manager’s role. Both roles will also work in close collaboration with the DFAT funded Health Systems Support and Planning Manager.</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From 1 July 2016, it is expected that the position of Program Finance Officer will be transferred to the Accounts section under the Deputy CEO, Administration, with an additional MoH post created for this role. This approach was endorsed by the NHDC in March 2015.</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Program Finance Officer will liaise with the DFAT-funded Health Systems Support and Planning Manager, who will have oversight of how well the financial management arrangements are fitting into the planning cycle as a whole.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Payment approvals and processing procedures for activities funded by DFAT should be undertaken in accordance with the relevant Government of Tonga Public Financial Management legislation and regulations. Refer to the procurement section below for a detailed description of procurement arrangements for the program. </w:t>
      </w:r>
    </w:p>
    <w:p w:rsidR="00B652E1" w:rsidRPr="005F4FAA" w:rsidRDefault="00B652E1" w:rsidP="00B652E1">
      <w:pPr>
        <w:shd w:val="clear" w:color="auto" w:fill="FFFFFF"/>
        <w:spacing w:line="276" w:lineRule="auto"/>
        <w:rPr>
          <w:rFonts w:ascii="Franklin Gothic Book" w:eastAsia="Times New Roman" w:hAnsi="Franklin Gothic Book"/>
          <w:szCs w:val="20"/>
          <w:lang w:eastAsia="en-US"/>
        </w:rPr>
      </w:pPr>
    </w:p>
    <w:p w:rsidR="00B652E1" w:rsidRPr="005F4FAA" w:rsidRDefault="00B652E1" w:rsidP="00B652E1">
      <w:pPr>
        <w:shd w:val="clear" w:color="auto" w:fill="FFFFFF"/>
        <w:spacing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For the first year of the program, payment approvals and processing will be undertaken in accordance with the current arrangement for all donor programs in the Ministry of Health. The Head of Sections (HoS) and Head of Divisions (HoD) are responsible for developing their AMPs with associated budgets. When the activities are ready to be implemented, the HoS, with the endorsement of the HoD, write</w:t>
      </w:r>
      <w:r>
        <w:rPr>
          <w:rFonts w:ascii="Franklin Gothic Book" w:eastAsia="Times New Roman" w:hAnsi="Franklin Gothic Book"/>
          <w:szCs w:val="20"/>
          <w:lang w:eastAsia="en-US"/>
        </w:rPr>
        <w:t>s</w:t>
      </w:r>
      <w:r w:rsidRPr="005F4FAA">
        <w:rPr>
          <w:rFonts w:ascii="Franklin Gothic Book" w:eastAsia="Times New Roman" w:hAnsi="Franklin Gothic Book"/>
          <w:szCs w:val="20"/>
          <w:lang w:eastAsia="en-US"/>
        </w:rPr>
        <w:t xml:space="preserve"> to obtain approval from the CEO for implementation, with detailed costing. This approval is subsequently forwarded to the Program Finance Officer to process orders and payment vouchers, which are then endorsed by the P</w:t>
      </w:r>
      <w:r w:rsidR="00393903">
        <w:rPr>
          <w:rFonts w:ascii="Franklin Gothic Book" w:eastAsia="Times New Roman" w:hAnsi="Franklin Gothic Book"/>
          <w:szCs w:val="20"/>
          <w:lang w:eastAsia="en-US"/>
        </w:rPr>
        <w:t xml:space="preserve">rincipal </w:t>
      </w:r>
      <w:r w:rsidRPr="005F4FAA">
        <w:rPr>
          <w:rFonts w:ascii="Franklin Gothic Book" w:eastAsia="Times New Roman" w:hAnsi="Franklin Gothic Book"/>
          <w:szCs w:val="20"/>
          <w:lang w:eastAsia="en-US"/>
        </w:rPr>
        <w:t>H</w:t>
      </w:r>
      <w:r w:rsidR="00393903">
        <w:rPr>
          <w:rFonts w:ascii="Franklin Gothic Book" w:eastAsia="Times New Roman" w:hAnsi="Franklin Gothic Book"/>
          <w:szCs w:val="20"/>
          <w:lang w:eastAsia="en-US"/>
        </w:rPr>
        <w:t xml:space="preserve">ealth </w:t>
      </w:r>
      <w:r w:rsidRPr="005F4FAA">
        <w:rPr>
          <w:rFonts w:ascii="Franklin Gothic Book" w:eastAsia="Times New Roman" w:hAnsi="Franklin Gothic Book"/>
          <w:szCs w:val="20"/>
          <w:lang w:eastAsia="en-US"/>
        </w:rPr>
        <w:t>P</w:t>
      </w:r>
      <w:r w:rsidR="00393903">
        <w:rPr>
          <w:rFonts w:ascii="Franklin Gothic Book" w:eastAsia="Times New Roman" w:hAnsi="Franklin Gothic Book"/>
          <w:szCs w:val="20"/>
          <w:lang w:eastAsia="en-US"/>
        </w:rPr>
        <w:t xml:space="preserve">lanning </w:t>
      </w:r>
      <w:r w:rsidRPr="005F4FAA">
        <w:rPr>
          <w:rFonts w:ascii="Franklin Gothic Book" w:eastAsia="Times New Roman" w:hAnsi="Franklin Gothic Book"/>
          <w:szCs w:val="20"/>
          <w:lang w:eastAsia="en-US"/>
        </w:rPr>
        <w:t>O</w:t>
      </w:r>
      <w:r w:rsidR="00393903">
        <w:rPr>
          <w:rFonts w:ascii="Franklin Gothic Book" w:eastAsia="Times New Roman" w:hAnsi="Franklin Gothic Book"/>
          <w:szCs w:val="20"/>
          <w:lang w:eastAsia="en-US"/>
        </w:rPr>
        <w:t>fficer (PHPO)</w:t>
      </w:r>
      <w:r w:rsidRPr="005F4FAA">
        <w:rPr>
          <w:rFonts w:ascii="Franklin Gothic Book" w:eastAsia="Times New Roman" w:hAnsi="Franklin Gothic Book"/>
          <w:szCs w:val="20"/>
          <w:lang w:eastAsia="en-US"/>
        </w:rPr>
        <w:t xml:space="preserve"> and finally approved by the CEO to proceed with the payment. After the first year of transition for the program, as noted above, the Program Finance Officer will shift to the Accounts section. </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Budget allocation and use of SUN accounting system</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An important change in the way that THSSP2 will be managed compared to THSSP1 is that the budget and expenditure allocation will be fully integrated with the existing budget structure of the MoH. Previously, under THSSP1, all funding was allocated to one activity in Program 6, Health Planning and Information, regardless of the specific activity which the funds were spent on. Detailed financial records were maintained using external accounting software – Quickbooks – thus creating a parallel financial system solely for management and reporting on THSSP1 funding. This limited the ability of the MoH and DFAT to perform timely analysis of THSSP1 expenditure to see if program funding was complementing or supplementing Government of Tonga recurrent expenditure.</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In THSSP2, once activities from the MoH AMPs to be funded with DFAT funds are agreed between NHDC and DFAT, the detailed costing of those activities will be allocated according to the MoH budget structure and chart of accounts, and incorporated into the MoH Development Budget for submission to the MoFNP. In the instance where the activities to be funded under the program do not align with existing activity codes in the MoH budget structure, MoH is able to create the required activity codes in the relevant sub-program to enable effective monitoring and reporting of program activities.</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For the first year of the program, while the new approach of incorporating THSSP2 into the MoH budget structure is first being implemented, the Program Finance Officer must continue the current practice of maintaining detailed financial records in Quickbooks, with monthly reconciliation to the information in the SUN system. Once it can be demonstrated that the coding structure can provide accurate monitoring and reporting on the use of DFAT funds, and that information between SUN and Quickbooks can be reconciled, the maintenance of financial records in Quickbooks will no longer be required.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Refer to Annex </w:t>
      </w:r>
      <w:r>
        <w:rPr>
          <w:rFonts w:ascii="Franklin Gothic Book" w:eastAsia="Times New Roman" w:hAnsi="Franklin Gothic Book"/>
          <w:szCs w:val="20"/>
          <w:lang w:eastAsia="en-US"/>
        </w:rPr>
        <w:t>14</w:t>
      </w:r>
      <w:r w:rsidRPr="005F4FAA">
        <w:rPr>
          <w:rFonts w:ascii="Franklin Gothic Book" w:eastAsia="Times New Roman" w:hAnsi="Franklin Gothic Book"/>
          <w:szCs w:val="20"/>
          <w:lang w:eastAsia="en-US"/>
        </w:rPr>
        <w:t xml:space="preserve"> for details of the existing MoH budget structure for 2014-15 financial year, noting that this may change slightly for 2015-16 and subsequent years.</w:t>
      </w:r>
    </w:p>
    <w:p w:rsidR="00B652E1" w:rsidRDefault="00B652E1" w:rsidP="00B652E1">
      <w:pPr>
        <w:spacing w:before="80" w:after="12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In summary, the standard coding structure, with an example code for MoH, is as follows:</w:t>
      </w:r>
    </w:p>
    <w:p w:rsidR="00B652E1" w:rsidRDefault="00B652E1" w:rsidP="00B652E1">
      <w:pPr>
        <w:spacing w:before="80" w:after="120" w:line="276" w:lineRule="auto"/>
        <w:ind w:left="1"/>
        <w:rPr>
          <w:rFonts w:ascii="Franklin Gothic Book" w:eastAsia="Times New Roman" w:hAnsi="Franklin Gothic Book"/>
          <w:szCs w:val="20"/>
          <w:lang w:eastAsia="en-US"/>
        </w:rPr>
      </w:pPr>
    </w:p>
    <w:p w:rsidR="00B652E1" w:rsidRPr="005F4FAA" w:rsidRDefault="00B652E1" w:rsidP="00B652E1">
      <w:pPr>
        <w:spacing w:before="80" w:after="120" w:line="276" w:lineRule="auto"/>
        <w:ind w:left="1"/>
        <w:rPr>
          <w:rFonts w:ascii="Franklin Gothic Book" w:eastAsia="Times New Roman" w:hAnsi="Franklin Gothic Book"/>
          <w:szCs w:val="20"/>
          <w:lang w:eastAsia="en-US"/>
        </w:rPr>
      </w:pPr>
    </w:p>
    <w:tbl>
      <w:tblPr>
        <w:tblStyle w:val="TableGrid"/>
        <w:tblW w:w="8472" w:type="dxa"/>
        <w:tblLook w:val="04A0" w:firstRow="1" w:lastRow="0" w:firstColumn="1" w:lastColumn="0" w:noHBand="0" w:noVBand="1"/>
      </w:tblPr>
      <w:tblGrid>
        <w:gridCol w:w="883"/>
        <w:gridCol w:w="1063"/>
        <w:gridCol w:w="1063"/>
        <w:gridCol w:w="915"/>
        <w:gridCol w:w="948"/>
        <w:gridCol w:w="938"/>
        <w:gridCol w:w="902"/>
        <w:gridCol w:w="736"/>
        <w:gridCol w:w="1024"/>
      </w:tblGrid>
      <w:tr w:rsidR="00B652E1" w:rsidRPr="005F4FAA" w:rsidTr="00B652E1">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Ministry</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Program</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Sub-Program</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Activity</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Function</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Location</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Funding source</w:t>
            </w:r>
          </w:p>
        </w:tc>
        <w:tc>
          <w:tcPr>
            <w:tcW w:w="0" w:type="auto"/>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Cash/ In-kind</w:t>
            </w:r>
          </w:p>
        </w:tc>
        <w:tc>
          <w:tcPr>
            <w:tcW w:w="1024" w:type="dxa"/>
          </w:tcPr>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Natural account</w:t>
            </w:r>
          </w:p>
        </w:tc>
      </w:tr>
      <w:tr w:rsidR="00B652E1" w:rsidRPr="005F4FAA" w:rsidTr="00B652E1">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XX</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w:t>
            </w:r>
          </w:p>
        </w:tc>
        <w:tc>
          <w:tcPr>
            <w:tcW w:w="1024" w:type="dxa"/>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XXXX</w:t>
            </w:r>
          </w:p>
        </w:tc>
      </w:tr>
      <w:tr w:rsidR="00B652E1" w:rsidRPr="005F4FAA" w:rsidTr="00B652E1">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15</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2</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01</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4</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74</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1</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00/10</w:t>
            </w:r>
          </w:p>
        </w:tc>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0</w:t>
            </w:r>
          </w:p>
        </w:tc>
        <w:tc>
          <w:tcPr>
            <w:tcW w:w="1024" w:type="dxa"/>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1480</w:t>
            </w:r>
          </w:p>
        </w:tc>
      </w:tr>
      <w:tr w:rsidR="00B652E1" w:rsidRPr="005F4FAA" w:rsidTr="00B652E1">
        <w:tc>
          <w:tcPr>
            <w:tcW w:w="0" w:type="auto"/>
          </w:tcPr>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MoH</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Preventative Health</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Preventative Health</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Health Promotion</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Health</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Tongatapu</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GoT/ DFAT</w:t>
            </w:r>
          </w:p>
        </w:tc>
        <w:tc>
          <w:tcPr>
            <w:tcW w:w="0" w:type="auto"/>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Cash</w:t>
            </w:r>
          </w:p>
        </w:tc>
        <w:tc>
          <w:tcPr>
            <w:tcW w:w="1024" w:type="dxa"/>
          </w:tcPr>
          <w:p w:rsidR="00B652E1" w:rsidRPr="005F4FAA" w:rsidRDefault="00B652E1" w:rsidP="00B652E1">
            <w:pPr>
              <w:spacing w:before="80" w:line="276" w:lineRule="auto"/>
              <w:rPr>
                <w:rFonts w:ascii="Franklin Gothic Book" w:eastAsia="Times New Roman" w:hAnsi="Franklin Gothic Book"/>
                <w:sz w:val="16"/>
                <w:szCs w:val="16"/>
                <w:lang w:eastAsia="en-US"/>
              </w:rPr>
            </w:pPr>
            <w:r w:rsidRPr="005F4FAA">
              <w:rPr>
                <w:rFonts w:ascii="Franklin Gothic Book" w:eastAsia="Times New Roman" w:hAnsi="Franklin Gothic Book"/>
                <w:sz w:val="16"/>
                <w:szCs w:val="16"/>
                <w:lang w:eastAsia="en-US"/>
              </w:rPr>
              <w:t>Consultant &amp; TA</w:t>
            </w:r>
          </w:p>
        </w:tc>
      </w:tr>
    </w:tbl>
    <w:p w:rsidR="00B652E1" w:rsidRPr="005F4FAA" w:rsidRDefault="00B652E1" w:rsidP="00B652E1">
      <w:pPr>
        <w:spacing w:before="24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All expenditure will be allocated to the relevant code according to the above GoT budget structure, with the DFAT funding being distinguishable from GoT recurrent and other donor funding through the funding source code. Where the funding source code is a donor code (i.e. anything other than ‘00’), the SUN system also requires an additional field to be entered with the relevant ‘Project code’.</w:t>
      </w:r>
      <w:r>
        <w:rPr>
          <w:rFonts w:ascii="Franklin Gothic Book" w:eastAsia="Times New Roman" w:hAnsi="Franklin Gothic Book"/>
          <w:szCs w:val="20"/>
          <w:lang w:eastAsia="en-US"/>
        </w:rPr>
        <w:t xml:space="preserve"> </w:t>
      </w:r>
      <w:r w:rsidRPr="005F4FAA">
        <w:rPr>
          <w:rFonts w:ascii="Franklin Gothic Book" w:eastAsia="Times New Roman" w:hAnsi="Franklin Gothic Book"/>
          <w:szCs w:val="20"/>
          <w:lang w:eastAsia="en-US"/>
        </w:rPr>
        <w:t xml:space="preserve">Therefore, all funding for the program will be allocated against the existing code for DFAT funding source ‘10’ and Project Code ‘044’ for THSSP. Refer to Annex </w:t>
      </w:r>
      <w:r>
        <w:rPr>
          <w:rFonts w:ascii="Franklin Gothic Book" w:eastAsia="Times New Roman" w:hAnsi="Franklin Gothic Book"/>
          <w:szCs w:val="20"/>
          <w:lang w:eastAsia="en-US"/>
        </w:rPr>
        <w:t>15</w:t>
      </w:r>
      <w:r w:rsidRPr="005F4FAA">
        <w:rPr>
          <w:rFonts w:ascii="Franklin Gothic Book" w:eastAsia="Times New Roman" w:hAnsi="Franklin Gothic Book"/>
          <w:szCs w:val="20"/>
          <w:lang w:eastAsia="en-US"/>
        </w:rPr>
        <w:t xml:space="preserve"> for details of the different stages of the budget cycle when the relevant coding must be used.</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Procurement Arrangements</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szCs w:val="20"/>
          <w:lang w:eastAsia="en-US"/>
        </w:rPr>
        <w:t xml:space="preserve">For the first year transition phase of the program (2015-16), all procurement will be managed by the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 xml:space="preserve">or, under the direction of the Deputy CEO, Health Planning and Information Systems. During this transition year, the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 xml:space="preserve">or should liaise regularly with the Procurement section under the Deputy CEO, Administration, to enable consolidation and co-ordination with broader MoH procurement activity and planning. </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szCs w:val="20"/>
          <w:lang w:eastAsia="en-US"/>
        </w:rPr>
        <w:t xml:space="preserve">From 1 July 2016, it is expected that the position of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 xml:space="preserve">or will be transferred to the Procurement section under the Deputy CEO, Administration, with an additional MoH post created for this role. </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szCs w:val="20"/>
          <w:lang w:eastAsia="en-US"/>
        </w:rPr>
        <w:t xml:space="preserve">In accordance with the existing arrangement between DFAT and the Government of Tonga (GoT) to abide by GoT Procurement legislation and regulations, the MoH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or) will be responsible for all procurement using DFAT funds under TOP7,500</w:t>
      </w:r>
      <w:r w:rsidR="00393903">
        <w:rPr>
          <w:rFonts w:ascii="Franklin Gothic Book" w:eastAsia="Times New Roman" w:hAnsi="Franklin Gothic Book"/>
          <w:szCs w:val="20"/>
          <w:lang w:eastAsia="en-US"/>
        </w:rPr>
        <w:t xml:space="preserve">. This threshold will be revised pending </w:t>
      </w:r>
      <w:r w:rsidR="007919F8">
        <w:rPr>
          <w:rFonts w:ascii="Franklin Gothic Book" w:eastAsia="Times New Roman" w:hAnsi="Franklin Gothic Book"/>
          <w:szCs w:val="20"/>
          <w:lang w:eastAsia="en-US"/>
        </w:rPr>
        <w:t xml:space="preserve">an </w:t>
      </w:r>
      <w:r w:rsidR="00393903">
        <w:rPr>
          <w:rFonts w:ascii="Franklin Gothic Book" w:eastAsia="Times New Roman" w:hAnsi="Franklin Gothic Book"/>
          <w:szCs w:val="20"/>
          <w:lang w:eastAsia="en-US"/>
        </w:rPr>
        <w:t>update of GOT Procurement Regulations</w:t>
      </w:r>
      <w:r w:rsidR="007919F8">
        <w:rPr>
          <w:rFonts w:ascii="Franklin Gothic Book" w:eastAsia="Times New Roman" w:hAnsi="Franklin Gothic Book"/>
          <w:szCs w:val="20"/>
          <w:lang w:eastAsia="en-US"/>
        </w:rPr>
        <w:t>: this update</w:t>
      </w:r>
      <w:r w:rsidR="00393903">
        <w:rPr>
          <w:rFonts w:ascii="Franklin Gothic Book" w:eastAsia="Times New Roman" w:hAnsi="Franklin Gothic Book"/>
          <w:szCs w:val="20"/>
          <w:lang w:eastAsia="en-US"/>
        </w:rPr>
        <w:t xml:space="preserve"> as it has been approved by Parliament but has not been </w:t>
      </w:r>
      <w:r w:rsidR="007919F8">
        <w:rPr>
          <w:rFonts w:ascii="Franklin Gothic Book" w:eastAsia="Times New Roman" w:hAnsi="Franklin Gothic Book"/>
          <w:szCs w:val="20"/>
          <w:lang w:eastAsia="en-US"/>
        </w:rPr>
        <w:t xml:space="preserve">formally </w:t>
      </w:r>
      <w:r w:rsidR="00393903">
        <w:rPr>
          <w:rFonts w:ascii="Franklin Gothic Book" w:eastAsia="Times New Roman" w:hAnsi="Franklin Gothic Book"/>
          <w:szCs w:val="20"/>
          <w:lang w:eastAsia="en-US"/>
        </w:rPr>
        <w:t xml:space="preserve">released.  </w:t>
      </w:r>
    </w:p>
    <w:p w:rsidR="00B652E1" w:rsidRPr="005F4FAA" w:rsidRDefault="00B652E1" w:rsidP="00B652E1">
      <w:pPr>
        <w:spacing w:before="24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The DFAT-funded Procurement Manager in the Central Procurement Unit at the Ministry of Finance and National Planning will be responsible for all Program procurement over TOP 7,500 in accordance with the established rules, procedures and legislation of the Partner Government and as may be amended from time to time. For the avoidance of doubt, MoH is not permitted to undertake any Program procurements over TOP 7,500.</w:t>
      </w:r>
    </w:p>
    <w:p w:rsidR="00B652E1" w:rsidRPr="005F4FAA" w:rsidRDefault="00B652E1" w:rsidP="00B652E1">
      <w:pPr>
        <w:spacing w:before="24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 xml:space="preserve">or shall prepare and submit to the NHDC  a procurement plan including detailed coverage of all contracts for which procurement action is to take place in the first 12 (twelve) months of Program implementation. The Program </w:t>
      </w:r>
      <w:r>
        <w:rPr>
          <w:rFonts w:ascii="Franklin Gothic Book" w:eastAsia="Times New Roman" w:hAnsi="Franklin Gothic Book"/>
          <w:szCs w:val="20"/>
          <w:lang w:eastAsia="en-US"/>
        </w:rPr>
        <w:t>Co-ordinat</w:t>
      </w:r>
      <w:r w:rsidRPr="005F4FAA">
        <w:rPr>
          <w:rFonts w:ascii="Franklin Gothic Book" w:eastAsia="Times New Roman" w:hAnsi="Franklin Gothic Book"/>
          <w:szCs w:val="20"/>
          <w:lang w:eastAsia="en-US"/>
        </w:rPr>
        <w:t xml:space="preserve">or shall update procurement plans on a rolling basis throughout the duration of the Program, to ensure that the plan reflects current and planned procurement activities. This should be done on a monthly basis, and in time for the next meeting of the NHDC, by including contracts previously awarded and to be procured in the next 12 (twelve) months. All procurement plans and their updates or modifications shall be subject to NHDC prior review and no objection before implementation. After no objection by the NHDC, the Ministry of Health shall arrange the publication on its external website of the agreed initial procurement plan and all subsequent updates. </w:t>
      </w:r>
    </w:p>
    <w:p w:rsidR="00B652E1" w:rsidRPr="005F4FAA" w:rsidRDefault="00B652E1" w:rsidP="00B652E1">
      <w:pPr>
        <w:spacing w:before="24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DFAT may also review implementation of the Program procurement plan during informal meetings and discussions throughout the year, and discuss any issues arising with the Ministry of Health.</w:t>
      </w:r>
    </w:p>
    <w:p w:rsidR="00B652E1" w:rsidRPr="005F4FAA" w:rsidRDefault="00B652E1" w:rsidP="00B652E1">
      <w:pPr>
        <w:spacing w:before="240" w:line="276" w:lineRule="auto"/>
        <w:ind w:left="1"/>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Both parties agree that a sample of procurements, whether valued under or over TOP 7,500, may be audited periodically</w:t>
      </w:r>
      <w:r>
        <w:rPr>
          <w:rFonts w:ascii="Franklin Gothic Book" w:eastAsia="Times New Roman" w:hAnsi="Franklin Gothic Book"/>
          <w:szCs w:val="20"/>
          <w:lang w:eastAsia="en-US"/>
        </w:rPr>
        <w:t xml:space="preserve">, </w:t>
      </w:r>
      <w:r w:rsidRPr="005F4FAA">
        <w:rPr>
          <w:rFonts w:ascii="Franklin Gothic Book" w:eastAsia="Times New Roman" w:hAnsi="Franklin Gothic Book"/>
          <w:szCs w:val="20"/>
          <w:lang w:eastAsia="en-US"/>
        </w:rPr>
        <w:t>either independently by DFAT or by the Tonga Audit Office.</w:t>
      </w:r>
    </w:p>
    <w:p w:rsidR="00B652E1" w:rsidRPr="005F4FAA" w:rsidRDefault="00B652E1" w:rsidP="00B652E1">
      <w:pPr>
        <w:tabs>
          <w:tab w:val="left" w:pos="360"/>
        </w:tabs>
        <w:autoSpaceDE w:val="0"/>
        <w:autoSpaceDN w:val="0"/>
        <w:adjustRightInd w:val="0"/>
        <w:spacing w:line="276" w:lineRule="auto"/>
        <w:ind w:left="68" w:hanging="68"/>
        <w:rPr>
          <w:rFonts w:ascii="Franklin Gothic Book" w:eastAsiaTheme="minorHAnsi" w:hAnsi="Franklin Gothic Book"/>
          <w:szCs w:val="20"/>
        </w:rPr>
      </w:pPr>
    </w:p>
    <w:p w:rsidR="00B652E1" w:rsidRPr="005F4FAA" w:rsidRDefault="00B652E1" w:rsidP="00B652E1">
      <w:pPr>
        <w:spacing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Procurement of TA – DFAT direct procurement</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eastAsia="Times New Roman" w:hAnsi="Franklin Gothic Book"/>
          <w:i/>
          <w:szCs w:val="20"/>
          <w:lang w:eastAsia="en-US"/>
        </w:rPr>
      </w:pPr>
      <w:r w:rsidRPr="005F4FAA">
        <w:rPr>
          <w:rFonts w:ascii="Franklin Gothic Book" w:hAnsi="Franklin Gothic Book"/>
          <w:szCs w:val="20"/>
        </w:rPr>
        <w:t xml:space="preserve">TA could be procured in a number of ways: directly, by the Ministry of Health, through DFAT’s </w:t>
      </w:r>
      <w:r>
        <w:rPr>
          <w:rFonts w:ascii="Franklin Gothic Book" w:hAnsi="Franklin Gothic Book"/>
          <w:szCs w:val="20"/>
        </w:rPr>
        <w:t xml:space="preserve">Aid Advisory Services Standing Offer (AAS), </w:t>
      </w:r>
      <w:r w:rsidRPr="005F4FAA">
        <w:rPr>
          <w:rFonts w:ascii="Franklin Gothic Book" w:hAnsi="Franklin Gothic Book"/>
          <w:szCs w:val="20"/>
        </w:rPr>
        <w:t xml:space="preserve">Health Resource Facility, or through the Pacific Technical Assistance </w:t>
      </w:r>
      <w:r w:rsidRPr="00393903">
        <w:rPr>
          <w:rFonts w:ascii="Franklin Gothic Book" w:hAnsi="Franklin Gothic Book"/>
          <w:szCs w:val="20"/>
        </w:rPr>
        <w:t xml:space="preserve">Mechanism (PACTAM). The favoured mechanism would be for the Ministry (or TongaHealth) to do its own </w:t>
      </w:r>
      <w:r w:rsidRPr="00F12BE8">
        <w:rPr>
          <w:rFonts w:ascii="Franklin Gothic Book" w:hAnsi="Franklin Gothic Book"/>
        </w:rPr>
        <w:t>procurement if possible. Whichever route is used, the Ministry of Health/TongaHealth</w:t>
      </w:r>
      <w:r w:rsidR="00780313" w:rsidRPr="00EE0AA8">
        <w:rPr>
          <w:rFonts w:ascii="Franklin Gothic Book" w:hAnsi="Franklin Gothic Book"/>
        </w:rPr>
        <w:t xml:space="preserve"> (as appropriate)</w:t>
      </w:r>
      <w:r w:rsidR="00780313" w:rsidRPr="00687A54">
        <w:rPr>
          <w:rFonts w:ascii="Franklin Gothic Book" w:hAnsi="Franklin Gothic Book"/>
        </w:rPr>
        <w:t xml:space="preserve"> and DFAT</w:t>
      </w:r>
      <w:r w:rsidRPr="00687A54">
        <w:rPr>
          <w:rFonts w:ascii="Franklin Gothic Book" w:hAnsi="Franklin Gothic Book"/>
        </w:rPr>
        <w:t xml:space="preserve"> would need to be involved with the procurement</w:t>
      </w:r>
      <w:r w:rsidRPr="00393903">
        <w:rPr>
          <w:rFonts w:ascii="Franklin Gothic Book" w:hAnsi="Franklin Gothic Book"/>
          <w:szCs w:val="20"/>
        </w:rPr>
        <w:t xml:space="preserve"> process and there would need to be agreed processes for</w:t>
      </w:r>
      <w:r w:rsidRPr="005F4FAA">
        <w:rPr>
          <w:rFonts w:ascii="Franklin Gothic Book" w:hAnsi="Franklin Gothic Book"/>
          <w:szCs w:val="20"/>
        </w:rPr>
        <w:t xml:space="preserve"> the assessment and review of the recruits’ work.</w:t>
      </w:r>
    </w:p>
    <w:p w:rsidR="00B652E1" w:rsidRPr="005F4FAA" w:rsidRDefault="00B652E1" w:rsidP="00B652E1">
      <w:pPr>
        <w:spacing w:before="80" w:line="276" w:lineRule="auto"/>
        <w:rPr>
          <w:rFonts w:ascii="Franklin Gothic Book" w:eastAsia="Times New Roman" w:hAnsi="Franklin Gothic Book"/>
          <w:i/>
          <w:szCs w:val="20"/>
          <w:lang w:eastAsia="en-US"/>
        </w:rPr>
      </w:pP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Financial reporting</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MoH will provide quarterly financial reports to DFAT on actual expenditure against the agreed budget for the activities agreed to be funded under THSSP2. These financial reports will accompany the narrative progress report against agreed indicators and activities.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If activities are coded appropriately using the MoH budget structure, as outlined above, the financial reports should be extracted directly from the SUN system, using the Vision reporting software. A sample financial report has been provided in Annex </w:t>
      </w:r>
      <w:r>
        <w:rPr>
          <w:rFonts w:ascii="Franklin Gothic Book" w:eastAsia="Times New Roman" w:hAnsi="Franklin Gothic Book"/>
          <w:szCs w:val="20"/>
          <w:lang w:eastAsia="en-US"/>
        </w:rPr>
        <w:t>16</w:t>
      </w:r>
      <w:r w:rsidRPr="005F4FAA">
        <w:rPr>
          <w:rFonts w:ascii="Franklin Gothic Book" w:eastAsia="Times New Roman" w:hAnsi="Franklin Gothic Book"/>
          <w:szCs w:val="20"/>
          <w:lang w:eastAsia="en-US"/>
        </w:rPr>
        <w:t xml:space="preserve">, based on the current MoH budget structure. MoH should review the suggested report format to ensure that it is appropriate to meet the financial reporting needs of the CEO and Heads of Divisions, and make any necessary changes. MoH must share the final report template with DFAT prior to the commencement of the program, to confirm that the format is also sufficient to meet the reporting requirements for DFAT funding. Over the course of the program, MoH will submit to DFAT the regular quarterly financial reports which are prepared for NHDC, to reduce the reporting burden on MoH. This shift will be dependent on an agreed format for the report, where DFAT funding can be clearly distinguished from </w:t>
      </w:r>
      <w:r>
        <w:rPr>
          <w:rFonts w:ascii="Franklin Gothic Book" w:eastAsia="Times New Roman" w:hAnsi="Franklin Gothic Book"/>
          <w:szCs w:val="20"/>
          <w:lang w:eastAsia="en-US"/>
        </w:rPr>
        <w:t xml:space="preserve">MoH </w:t>
      </w:r>
      <w:r w:rsidRPr="005F4FAA">
        <w:rPr>
          <w:rFonts w:ascii="Franklin Gothic Book" w:eastAsia="Times New Roman" w:hAnsi="Franklin Gothic Book"/>
          <w:szCs w:val="20"/>
          <w:lang w:eastAsia="en-US"/>
        </w:rPr>
        <w:t>recurrent and other donor funding.</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As mentioned above, one of the key components to be targeted under systems strengthening is improved financial management and reporting. One of the critical tools to achieve this will be for MoH to obtain relevant licenses and training for the Vision reporting software, which MoH do not currently have access to. MoFNP are currently in the process of scoping a SUN system upgrade, which will include consideration of the reporting functionality available to line ministries. Therefore any additional Vision software licences or training by MoH should be approved by MoFNP, and aligned with the timing and scope of the system upgrade being implemented. DFAT would be supportive of </w:t>
      </w:r>
      <w:r>
        <w:rPr>
          <w:rFonts w:ascii="Franklin Gothic Book" w:eastAsia="Times New Roman" w:hAnsi="Franklin Gothic Book"/>
          <w:szCs w:val="20"/>
          <w:lang w:eastAsia="en-US"/>
        </w:rPr>
        <w:t xml:space="preserve">MoH </w:t>
      </w:r>
      <w:r w:rsidRPr="005F4FAA">
        <w:rPr>
          <w:rFonts w:ascii="Franklin Gothic Book" w:eastAsia="Times New Roman" w:hAnsi="Franklin Gothic Book"/>
          <w:szCs w:val="20"/>
          <w:lang w:eastAsia="en-US"/>
        </w:rPr>
        <w:t>funding software licenses and training for relevant MoH finance staff under the systems strengthening component of THSSP2, if MoFNP budget was not sufficient to include this cost for MoH.</w:t>
      </w:r>
    </w:p>
    <w:p w:rsidR="00B652E1"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It is hoped that MoH would have access to Vision by the end of the first year of THSSP2. Until this is achieved, MoH will need to rely on MoFNP Budget Division to provide the required report in the agreed format. Once the report is designed and coded in Vision, the report can be easily extracted directly from the SUN system for the relevant reporting period.</w:t>
      </w:r>
    </w:p>
    <w:p w:rsidR="00B652E1" w:rsidRDefault="00B652E1" w:rsidP="00B652E1">
      <w:pPr>
        <w:spacing w:before="80" w:line="276" w:lineRule="auto"/>
        <w:rPr>
          <w:rFonts w:ascii="Franklin Gothic Book" w:eastAsia="Times New Roman" w:hAnsi="Franklin Gothic Book"/>
          <w:szCs w:val="20"/>
          <w:lang w:eastAsia="en-US"/>
        </w:rPr>
      </w:pPr>
    </w:p>
    <w:p w:rsidR="00B652E1" w:rsidRPr="005F4FAA" w:rsidRDefault="00B652E1" w:rsidP="00B652E1">
      <w:pPr>
        <w:spacing w:before="80" w:line="276" w:lineRule="auto"/>
        <w:rPr>
          <w:rFonts w:ascii="Franklin Gothic Book" w:eastAsia="Times New Roman" w:hAnsi="Franklin Gothic Book"/>
          <w:szCs w:val="20"/>
          <w:lang w:eastAsia="en-US"/>
        </w:rPr>
      </w:pPr>
    </w:p>
    <w:p w:rsidR="00B652E1" w:rsidRPr="00393903" w:rsidRDefault="00B652E1" w:rsidP="00B652E1">
      <w:pPr>
        <w:spacing w:before="80" w:line="276" w:lineRule="auto"/>
        <w:rPr>
          <w:rFonts w:ascii="Franklin Gothic Book" w:eastAsia="Times New Roman" w:hAnsi="Franklin Gothic Book"/>
          <w:i/>
          <w:szCs w:val="20"/>
          <w:lang w:eastAsia="en-US"/>
        </w:rPr>
      </w:pPr>
      <w:r w:rsidRPr="00393903">
        <w:rPr>
          <w:rFonts w:ascii="Franklin Gothic Book" w:eastAsia="Times New Roman" w:hAnsi="Franklin Gothic Book"/>
          <w:i/>
          <w:szCs w:val="20"/>
          <w:lang w:eastAsia="en-US"/>
        </w:rPr>
        <w:t>External Audit</w:t>
      </w:r>
    </w:p>
    <w:p w:rsidR="00B652E1" w:rsidRPr="00393903" w:rsidRDefault="00B652E1" w:rsidP="00B652E1">
      <w:pPr>
        <w:spacing w:before="80" w:line="276" w:lineRule="auto"/>
        <w:rPr>
          <w:rFonts w:ascii="Franklin Gothic Book" w:eastAsia="Times New Roman" w:hAnsi="Franklin Gothic Book"/>
          <w:szCs w:val="20"/>
          <w:lang w:eastAsia="en-US"/>
        </w:rPr>
      </w:pPr>
      <w:r w:rsidRPr="00687A54">
        <w:rPr>
          <w:rFonts w:ascii="Franklin Gothic Book" w:hAnsi="Franklin Gothic Book"/>
        </w:rPr>
        <w:t>Consistent with all DFAT funded programs in Tonga, THSSP2 will be audited annually by an independent external auditor, which will be engaged by DFAT. The cost of the audit will be borne by DFAT, as part of the administrative budget for THSSP2 (i.e. as part of the $120,000 per year top-sliced for management costs from the $10 million total).  The Terms of Reference for the audit will be drafted by DFAT, and shared and agreed with MoH and TongaHealth prior to commencement of the audit work, which should be completed by 31 December following the end of each financial year, for each year of the program.</w:t>
      </w:r>
    </w:p>
    <w:p w:rsidR="00B652E1" w:rsidRPr="003061C0" w:rsidRDefault="00B652E1" w:rsidP="00B652E1">
      <w:pPr>
        <w:spacing w:before="80" w:line="276" w:lineRule="auto"/>
        <w:rPr>
          <w:rFonts w:ascii="Franklin Gothic Book" w:eastAsia="Times New Roman" w:hAnsi="Franklin Gothic Book"/>
          <w:szCs w:val="20"/>
          <w:lang w:eastAsia="en-US"/>
        </w:rPr>
      </w:pPr>
      <w:r w:rsidRPr="00393903">
        <w:rPr>
          <w:rFonts w:ascii="Franklin Gothic Book" w:eastAsia="Times New Roman" w:hAnsi="Franklin Gothic Book"/>
          <w:szCs w:val="20"/>
          <w:lang w:eastAsia="en-US"/>
        </w:rPr>
        <w:t>It is envisaged that over the course of the program, THSSP2 will also be audited as part of the</w:t>
      </w:r>
      <w:r w:rsidRPr="003061C0">
        <w:rPr>
          <w:rFonts w:ascii="Franklin Gothic Book" w:eastAsia="Times New Roman" w:hAnsi="Franklin Gothic Book"/>
          <w:szCs w:val="20"/>
          <w:lang w:eastAsia="en-US"/>
        </w:rPr>
        <w:t xml:space="preserve"> annual audit of MoH undertaken by the Tonga Audit Office (TAO). It is acknowledged that there are capacity constraints within the Tonga Audit Office, which will be the focus of support of broader programs such as from the Pacific Association of Supreme Audit Institutions (PASAI). Future reforms and capacity building activities will be carefully monitored as part of the broader interest in the TAO related to all DFAT-funded programs in Tonga.</w:t>
      </w:r>
    </w:p>
    <w:p w:rsidR="00B652E1" w:rsidRPr="005F4FAA" w:rsidRDefault="00B652E1" w:rsidP="00B652E1">
      <w:pPr>
        <w:tabs>
          <w:tab w:val="left" w:pos="360"/>
        </w:tabs>
        <w:autoSpaceDE w:val="0"/>
        <w:autoSpaceDN w:val="0"/>
        <w:adjustRightInd w:val="0"/>
        <w:spacing w:line="276" w:lineRule="auto"/>
        <w:ind w:left="68" w:hanging="68"/>
        <w:rPr>
          <w:rFonts w:ascii="Franklin Gothic Book" w:eastAsiaTheme="minorHAnsi" w:hAnsi="Franklin Gothic Book"/>
          <w:szCs w:val="20"/>
        </w:rPr>
      </w:pPr>
    </w:p>
    <w:p w:rsidR="00B652E1" w:rsidRPr="005F4FAA" w:rsidRDefault="00B652E1" w:rsidP="00B652E1">
      <w:pPr>
        <w:spacing w:before="80" w:line="276" w:lineRule="auto"/>
        <w:rPr>
          <w:rFonts w:ascii="Franklin Gothic Book" w:eastAsia="Times New Roman" w:hAnsi="Franklin Gothic Book"/>
          <w:b/>
          <w:szCs w:val="20"/>
          <w:lang w:eastAsia="en-US"/>
        </w:rPr>
      </w:pPr>
      <w:r w:rsidRPr="005F4FAA">
        <w:rPr>
          <w:rFonts w:ascii="Franklin Gothic Book" w:eastAsia="Times New Roman" w:hAnsi="Franklin Gothic Book"/>
          <w:b/>
          <w:szCs w:val="20"/>
          <w:lang w:eastAsia="en-US"/>
        </w:rPr>
        <w:t>TongaHealth</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 xml:space="preserve">Responsibility for financial management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The overall responsibility for the financial management of funding received by TongaHealth from DFAT will rest with the Financial Manager. At the time of the design mission, this role was vacant, but the CEO TongaHealth is in the process of recruiting someone to fill the position. TongaHealth </w:t>
      </w:r>
      <w:r w:rsidRPr="00393903">
        <w:rPr>
          <w:rFonts w:ascii="Franklin Gothic Book" w:eastAsia="Times New Roman" w:hAnsi="Franklin Gothic Book"/>
          <w:szCs w:val="20"/>
          <w:lang w:eastAsia="en-US"/>
        </w:rPr>
        <w:t xml:space="preserve">uses MYOB accounting software to manage finances and prepare financial monitoring reports. As THSSP2 will significantly increase the level of funding and activities which TongaHealth will manage, it is </w:t>
      </w:r>
      <w:r w:rsidRPr="00687A54">
        <w:rPr>
          <w:rFonts w:ascii="Franklin Gothic Book" w:hAnsi="Franklin Gothic Book"/>
        </w:rPr>
        <w:t xml:space="preserve">essential that </w:t>
      </w:r>
      <w:r w:rsidR="00393903">
        <w:rPr>
          <w:rFonts w:ascii="Franklin Gothic Book" w:eastAsia="Times New Roman" w:hAnsi="Franklin Gothic Book"/>
          <w:szCs w:val="20"/>
          <w:lang w:eastAsia="en-US"/>
        </w:rPr>
        <w:t>the two positions of a Financial Manager and Monitoring and Evaluation Manager are</w:t>
      </w:r>
      <w:r w:rsidRPr="00687A54">
        <w:rPr>
          <w:rFonts w:ascii="Franklin Gothic Book" w:hAnsi="Franklin Gothic Book"/>
        </w:rPr>
        <w:t xml:space="preserve"> engaged under the program, prior to funding being released to TongaHealth</w:t>
      </w:r>
      <w:r w:rsidR="00393903">
        <w:rPr>
          <w:rFonts w:ascii="Franklin Gothic Book" w:eastAsia="Times New Roman" w:hAnsi="Franklin Gothic Book"/>
          <w:szCs w:val="20"/>
          <w:lang w:eastAsia="en-US"/>
        </w:rPr>
        <w:t>. Technical assistance around coding and setting up of TongaHealth’s financial system will need to be recruited</w:t>
      </w:r>
      <w:r w:rsidRPr="00393903">
        <w:rPr>
          <w:rFonts w:ascii="Franklin Gothic Book" w:eastAsia="Times New Roman" w:hAnsi="Franklin Gothic Book"/>
          <w:szCs w:val="20"/>
          <w:lang w:eastAsia="en-US"/>
        </w:rPr>
        <w:t xml:space="preserve"> to ensure th</w:t>
      </w:r>
      <w:r w:rsidR="00887C16">
        <w:rPr>
          <w:rFonts w:ascii="Franklin Gothic Book" w:eastAsia="Times New Roman" w:hAnsi="Franklin Gothic Book"/>
          <w:szCs w:val="20"/>
          <w:lang w:eastAsia="en-US"/>
        </w:rPr>
        <w:t>eir accounting system(</w:t>
      </w:r>
      <w:r w:rsidRPr="00393903">
        <w:rPr>
          <w:rFonts w:ascii="Franklin Gothic Book" w:eastAsia="Times New Roman" w:hAnsi="Franklin Gothic Book"/>
          <w:szCs w:val="20"/>
          <w:lang w:eastAsia="en-US"/>
        </w:rPr>
        <w:t>MYOB</w:t>
      </w:r>
      <w:r w:rsidR="00887C16">
        <w:rPr>
          <w:rFonts w:ascii="Franklin Gothic Book" w:eastAsia="Times New Roman" w:hAnsi="Franklin Gothic Book"/>
          <w:szCs w:val="20"/>
          <w:lang w:eastAsia="en-US"/>
        </w:rPr>
        <w:t>)</w:t>
      </w:r>
      <w:r w:rsidRPr="00393903">
        <w:rPr>
          <w:rFonts w:ascii="Franklin Gothic Book" w:eastAsia="Times New Roman" w:hAnsi="Franklin Gothic Book"/>
          <w:szCs w:val="20"/>
          <w:lang w:eastAsia="en-US"/>
        </w:rPr>
        <w:t xml:space="preserve"> is configured in such a way </w:t>
      </w:r>
      <w:r w:rsidR="00847CBA">
        <w:rPr>
          <w:rFonts w:ascii="Franklin Gothic Book" w:eastAsia="Times New Roman" w:hAnsi="Franklin Gothic Book"/>
          <w:szCs w:val="20"/>
          <w:lang w:eastAsia="en-US"/>
        </w:rPr>
        <w:t>as</w:t>
      </w:r>
      <w:r w:rsidRPr="00393903">
        <w:rPr>
          <w:rFonts w:ascii="Franklin Gothic Book" w:eastAsia="Times New Roman" w:hAnsi="Franklin Gothic Book"/>
          <w:szCs w:val="20"/>
          <w:lang w:eastAsia="en-US"/>
        </w:rPr>
        <w:t xml:space="preserve"> to enable effective monitoring and timely reporting of program expenditure against agreed activities. </w:t>
      </w:r>
      <w:r w:rsidR="00887C16">
        <w:rPr>
          <w:rFonts w:ascii="Franklin Gothic Book" w:eastAsia="Times New Roman" w:hAnsi="Franklin Gothic Book"/>
          <w:szCs w:val="20"/>
          <w:lang w:eastAsia="en-US"/>
        </w:rPr>
        <w:t>The identified technical assistance</w:t>
      </w:r>
      <w:r w:rsidR="00687A54">
        <w:rPr>
          <w:rFonts w:ascii="Franklin Gothic Book" w:eastAsia="Times New Roman" w:hAnsi="Franklin Gothic Book"/>
          <w:szCs w:val="20"/>
          <w:lang w:eastAsia="en-US"/>
        </w:rPr>
        <w:t xml:space="preserve"> </w:t>
      </w:r>
      <w:r w:rsidR="00887C16">
        <w:rPr>
          <w:rFonts w:ascii="Franklin Gothic Book" w:eastAsia="Times New Roman" w:hAnsi="Franklin Gothic Book"/>
          <w:szCs w:val="20"/>
          <w:lang w:eastAsia="en-US"/>
        </w:rPr>
        <w:t>will</w:t>
      </w:r>
      <w:r w:rsidR="00887C16" w:rsidRPr="00393903">
        <w:rPr>
          <w:rFonts w:ascii="Franklin Gothic Book" w:eastAsia="Times New Roman" w:hAnsi="Franklin Gothic Book"/>
          <w:szCs w:val="20"/>
          <w:lang w:eastAsia="en-US"/>
        </w:rPr>
        <w:t xml:space="preserve"> </w:t>
      </w:r>
      <w:r w:rsidRPr="00393903">
        <w:rPr>
          <w:rFonts w:ascii="Franklin Gothic Book" w:eastAsia="Times New Roman" w:hAnsi="Franklin Gothic Book"/>
          <w:szCs w:val="20"/>
          <w:lang w:eastAsia="en-US"/>
        </w:rPr>
        <w:t>be maintained on contract to provide</w:t>
      </w:r>
      <w:r w:rsidRPr="005F4FAA">
        <w:rPr>
          <w:rFonts w:ascii="Franklin Gothic Book" w:eastAsia="Times New Roman" w:hAnsi="Franklin Gothic Book"/>
          <w:szCs w:val="20"/>
          <w:lang w:eastAsia="en-US"/>
        </w:rPr>
        <w:t xml:space="preserve"> intermittent ongoing assistance to TongaHealth during the inception phase of the program, to be reduced over time as financial processes operat</w:t>
      </w:r>
      <w:r w:rsidR="00847CBA">
        <w:rPr>
          <w:rFonts w:ascii="Franklin Gothic Book" w:eastAsia="Times New Roman" w:hAnsi="Franklin Gothic Book"/>
          <w:szCs w:val="20"/>
          <w:lang w:eastAsia="en-US"/>
        </w:rPr>
        <w:t>e</w:t>
      </w:r>
      <w:r w:rsidRPr="005F4FAA">
        <w:rPr>
          <w:rFonts w:ascii="Franklin Gothic Book" w:eastAsia="Times New Roman" w:hAnsi="Franklin Gothic Book"/>
          <w:szCs w:val="20"/>
          <w:lang w:eastAsia="en-US"/>
        </w:rPr>
        <w:t xml:space="preserve"> effectively. A sample ToR for this assistance is provided at Annex </w:t>
      </w:r>
      <w:r>
        <w:rPr>
          <w:rFonts w:ascii="Franklin Gothic Book" w:eastAsia="Times New Roman" w:hAnsi="Franklin Gothic Book"/>
          <w:szCs w:val="20"/>
          <w:lang w:eastAsia="en-US"/>
        </w:rPr>
        <w:t>11</w:t>
      </w:r>
      <w:r w:rsidRPr="005F4FAA">
        <w:rPr>
          <w:rFonts w:ascii="Franklin Gothic Book" w:eastAsia="Times New Roman" w:hAnsi="Franklin Gothic Book"/>
          <w:szCs w:val="20"/>
          <w:lang w:eastAsia="en-US"/>
        </w:rPr>
        <w:t>D.</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Procurement arrangements</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All procurement by Tonga Health using THSSP2 funding will be undertaken in accordance with the Tonga Health Administration Procedure Manual (2014), the Tonga Health Financial Policy and the Tonga Health Grant Making Processes policy document. As part of, or in addition to the annual audit of Tonga Health, DFAT may request a sample of THSSP2 procurements to be audited, to verify compliance with relevant procurement procedures and policies.</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Financial reporting</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TongaHealth will submit quarterly financial reports to DFAT, detailing the actual expenditure against the agreed budget for THSSP2 activities. The format of the report will be agreed between DFAT and TongaHealth once the activities to be funded under the program have been confirmed, and in collaboration with the technical assistance to be provided for the MYOB software. Over the course of the program, TongaHealth will submit to DFAT their regular quarterly financial report that they currently prepare for their Board, to reduce the reporting burden of producing separate financial reports for THSSP2 funding.  However, this will depend on whether sufficient detail can be provided to meet DFAT’s reporting requirements.</w:t>
      </w:r>
    </w:p>
    <w:p w:rsidR="00B652E1" w:rsidRPr="005F4FAA" w:rsidRDefault="00B652E1" w:rsidP="00B652E1">
      <w:pPr>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Audit</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In accordance with the Administration Procedures Manual, an independent external audit firm audits TongaHealth annually, with the audit report presented along with the Annual Report and audit management letter to the TongaHealth Board. All DFAT funding provided to TongaHealth should be included in this audit process, with a copy of the overall audit report provided to DFAT.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Prior to the audit work being commissioned, DFAT should have the opportunity to review and comment on the audit Terms of Reference, to confirm that the proposed scope of the audit work will meet the necessary DFAT requirements. </w:t>
      </w:r>
    </w:p>
    <w:p w:rsidR="00B652E1" w:rsidRDefault="00B652E1" w:rsidP="00B652E1">
      <w:pPr>
        <w:spacing w:before="80" w:line="276" w:lineRule="auto"/>
        <w:rPr>
          <w:rFonts w:ascii="Franklin Gothic Book" w:eastAsia="Times New Roman" w:hAnsi="Franklin Gothic Book"/>
          <w:szCs w:val="20"/>
          <w:u w:val="single"/>
          <w:lang w:eastAsia="en-US"/>
        </w:rPr>
      </w:pPr>
    </w:p>
    <w:p w:rsidR="00B652E1" w:rsidRPr="005F4FAA" w:rsidRDefault="00B652E1" w:rsidP="00F12BE8">
      <w:pPr>
        <w:pStyle w:val="Heading2"/>
        <w:rPr>
          <w:lang w:eastAsia="en-US"/>
        </w:rPr>
      </w:pPr>
      <w:r w:rsidRPr="005F4FAA">
        <w:rPr>
          <w:lang w:eastAsia="en-US"/>
        </w:rPr>
        <w:t xml:space="preserve">Disbursement triggers for the release of DFAT funds </w:t>
      </w:r>
    </w:p>
    <w:p w:rsidR="00B652E1" w:rsidRPr="005F4FAA" w:rsidRDefault="00B652E1" w:rsidP="00B652E1">
      <w:pPr>
        <w:spacing w:before="80" w:line="276" w:lineRule="auto"/>
        <w:rPr>
          <w:rFonts w:ascii="Franklin Gothic Book" w:eastAsia="Times New Roman" w:hAnsi="Franklin Gothic Book"/>
          <w:i/>
          <w:color w:val="0000FF"/>
          <w:szCs w:val="20"/>
          <w:u w:val="single"/>
          <w:lang w:eastAsia="en-US"/>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There are three forms of disbursement trigger – pre-conditions, the trigger for the “routine” six-monthly disbursements and the disbursement of the performance-based incentives.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i/>
          <w:szCs w:val="20"/>
        </w:rPr>
      </w:pPr>
      <w:r w:rsidRPr="005F4FAA">
        <w:rPr>
          <w:rFonts w:ascii="Franklin Gothic Book" w:hAnsi="Franklin Gothic Book"/>
          <w:i/>
          <w:szCs w:val="20"/>
        </w:rPr>
        <w:t>Pre-conditions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A well-documented risk to a donor that provides significant support to a particular sector is that the recipient government allocates fewer of its own resources to that sector, which it regards as being relatively well catered for. This compromises the intent of the donor, which wishes to provide </w:t>
      </w:r>
      <w:r w:rsidRPr="005F4FAA">
        <w:rPr>
          <w:rFonts w:ascii="Franklin Gothic Book" w:hAnsi="Franklin Gothic Book"/>
          <w:i/>
          <w:szCs w:val="20"/>
        </w:rPr>
        <w:t>additional</w:t>
      </w:r>
      <w:r w:rsidRPr="005F4FAA">
        <w:rPr>
          <w:rFonts w:ascii="Franklin Gothic Book" w:hAnsi="Franklin Gothic Book"/>
          <w:szCs w:val="20"/>
        </w:rPr>
        <w:t xml:space="preserve"> resources to the sector. For this reason, there are two pre-conditions for disbursement: </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w:t>
      </w:r>
    </w:p>
    <w:p w:rsidR="00B652E1" w:rsidRPr="005F4FAA" w:rsidRDefault="00B652E1" w:rsidP="00B652E1">
      <w:pPr>
        <w:pStyle w:val="ListParagraph"/>
        <w:numPr>
          <w:ilvl w:val="0"/>
          <w:numId w:val="36"/>
        </w:numPr>
        <w:spacing w:line="276" w:lineRule="auto"/>
        <w:rPr>
          <w:rFonts w:ascii="Franklin Gothic Book" w:hAnsi="Franklin Gothic Book"/>
          <w:sz w:val="20"/>
          <w:szCs w:val="20"/>
          <w:lang w:val="en-GB"/>
        </w:rPr>
      </w:pPr>
      <w:r w:rsidRPr="005F4FAA">
        <w:rPr>
          <w:rFonts w:ascii="Franklin Gothic Book" w:eastAsiaTheme="minorEastAsia" w:hAnsi="Franklin Gothic Book"/>
          <w:sz w:val="20"/>
          <w:szCs w:val="20"/>
          <w:lang w:val="en-GB"/>
        </w:rPr>
        <w:t>The combined MOH plus TongaHealth budgets (excluding donor funds) as a percentage of the total government budget do not decrease (taking 2015 as the baseline).</w:t>
      </w:r>
    </w:p>
    <w:p w:rsidR="00B652E1" w:rsidRPr="005F4FAA" w:rsidRDefault="00B652E1" w:rsidP="00B652E1">
      <w:pPr>
        <w:pStyle w:val="ListParagraph"/>
        <w:numPr>
          <w:ilvl w:val="0"/>
          <w:numId w:val="36"/>
        </w:numPr>
        <w:spacing w:line="276" w:lineRule="auto"/>
        <w:rPr>
          <w:rFonts w:ascii="Franklin Gothic Book" w:hAnsi="Franklin Gothic Book"/>
          <w:sz w:val="20"/>
          <w:szCs w:val="20"/>
          <w:lang w:val="en-GB"/>
        </w:rPr>
      </w:pPr>
      <w:r w:rsidRPr="005F4FAA">
        <w:rPr>
          <w:rFonts w:ascii="Franklin Gothic Book" w:eastAsiaTheme="minorEastAsia" w:hAnsi="Franklin Gothic Book"/>
          <w:sz w:val="20"/>
          <w:szCs w:val="20"/>
          <w:lang w:val="en-GB"/>
        </w:rPr>
        <w:t xml:space="preserve">The MOH’s budget for the Public Health Division (excluding donor funds) increases as a percentage of the total MOH budget (taking 2015 as the baseline). </w:t>
      </w:r>
    </w:p>
    <w:p w:rsidR="00B652E1" w:rsidRDefault="00B652E1" w:rsidP="00B652E1">
      <w:pPr>
        <w:spacing w:line="276" w:lineRule="auto"/>
        <w:ind w:left="360"/>
        <w:rPr>
          <w:rFonts w:ascii="Franklin Gothic Book" w:hAnsi="Franklin Gothic Book"/>
          <w:szCs w:val="20"/>
          <w:lang w:val="en-GB"/>
        </w:rPr>
      </w:pPr>
      <w:r w:rsidRPr="005F4FAA">
        <w:rPr>
          <w:rFonts w:ascii="Franklin Gothic Book" w:hAnsi="Franklin Gothic Book"/>
          <w:szCs w:val="20"/>
          <w:lang w:val="en-GB"/>
        </w:rPr>
        <w:t xml:space="preserve">The Public Health Division’s budget should be clear from the accounting codes: care needs to be taken that the definition is unambiguous. If the responsibilities of the Division change (for example this year the Division has become responsible for primary health care facilities), appropriate adjustments will have to be made. </w:t>
      </w:r>
    </w:p>
    <w:p w:rsidR="00B652E1" w:rsidRDefault="00B652E1" w:rsidP="00B652E1">
      <w:pPr>
        <w:spacing w:line="276" w:lineRule="auto"/>
        <w:ind w:left="360"/>
        <w:rPr>
          <w:rFonts w:ascii="Franklin Gothic Book" w:hAnsi="Franklin Gothic Book"/>
          <w:szCs w:val="20"/>
          <w:lang w:val="en-GB"/>
        </w:rPr>
      </w:pPr>
    </w:p>
    <w:p w:rsidR="00B652E1" w:rsidRDefault="00B652E1" w:rsidP="00B652E1">
      <w:pPr>
        <w:tabs>
          <w:tab w:val="num" w:pos="720"/>
        </w:tabs>
        <w:spacing w:line="276" w:lineRule="auto"/>
        <w:rPr>
          <w:rFonts w:ascii="Franklin Gothic Book" w:hAnsi="Franklin Gothic Book"/>
          <w:szCs w:val="20"/>
          <w:lang w:val="en-GB"/>
        </w:rPr>
      </w:pPr>
      <w:r>
        <w:rPr>
          <w:rFonts w:ascii="Franklin Gothic Book" w:hAnsi="Franklin Gothic Book"/>
          <w:szCs w:val="20"/>
          <w:lang w:val="en-GB"/>
        </w:rPr>
        <w:t xml:space="preserve">The first condition reflects the Government of Tonga’s overall commitment to the health sector; the second is about the funding of the most cost-effective services which should be available to all Tongans. (Public health, health promotion and primary care are all under the Public Health Division.) The point about accounting codes is to ensure that there is clarity about what needs to be measured and consistency over time. The importance of assigning budget conditions to particular accounting codes was learnt in THSSP1, where there was an ambiguous condition about funding for “preventive health services”. </w:t>
      </w:r>
    </w:p>
    <w:p w:rsidR="00B652E1" w:rsidRDefault="00B652E1" w:rsidP="00B652E1">
      <w:pPr>
        <w:tabs>
          <w:tab w:val="num" w:pos="720"/>
        </w:tabs>
        <w:spacing w:line="276" w:lineRule="auto"/>
        <w:rPr>
          <w:rFonts w:ascii="Franklin Gothic Book" w:hAnsi="Franklin Gothic Book"/>
          <w:szCs w:val="20"/>
          <w:lang w:val="en-GB"/>
        </w:rPr>
      </w:pPr>
    </w:p>
    <w:p w:rsidR="00B652E1" w:rsidRPr="00EE0AA8" w:rsidRDefault="00B652E1" w:rsidP="00B652E1">
      <w:pPr>
        <w:tabs>
          <w:tab w:val="num" w:pos="720"/>
        </w:tabs>
        <w:spacing w:line="276" w:lineRule="auto"/>
        <w:rPr>
          <w:rFonts w:ascii="Franklin Gothic Book" w:hAnsi="Franklin Gothic Book"/>
          <w:lang w:val="en-GB"/>
        </w:rPr>
      </w:pPr>
      <w:r w:rsidRPr="00F12BE8">
        <w:rPr>
          <w:rFonts w:ascii="Franklin Gothic Book" w:hAnsi="Franklin Gothic Book"/>
          <w:lang w:val="en-GB"/>
        </w:rPr>
        <w:t xml:space="preserve">The two pre-conditions appear as indicators in THSSP’s monitoring framework. It would be appropriate to discuss the pre-conditions </w:t>
      </w:r>
      <w:r w:rsidRPr="00EE0AA8">
        <w:rPr>
          <w:rFonts w:ascii="Franklin Gothic Book" w:hAnsi="Franklin Gothic Book"/>
          <w:lang w:val="en-GB"/>
        </w:rPr>
        <w:t>during the annual Tonga/Australia Partnership talks, as the overall allocation of resources is a Cabinet decision.</w:t>
      </w:r>
    </w:p>
    <w:p w:rsidR="00B652E1" w:rsidRPr="00687A54" w:rsidRDefault="00B652E1" w:rsidP="00B652E1">
      <w:pPr>
        <w:tabs>
          <w:tab w:val="num" w:pos="720"/>
        </w:tabs>
        <w:spacing w:line="276" w:lineRule="auto"/>
        <w:rPr>
          <w:rFonts w:ascii="Franklin Gothic Book" w:hAnsi="Franklin Gothic Book"/>
          <w:lang w:val="en-GB"/>
        </w:rPr>
      </w:pPr>
    </w:p>
    <w:p w:rsidR="00B652E1" w:rsidRDefault="00B652E1" w:rsidP="00B652E1">
      <w:pPr>
        <w:tabs>
          <w:tab w:val="num" w:pos="720"/>
        </w:tabs>
        <w:spacing w:line="276" w:lineRule="auto"/>
        <w:rPr>
          <w:rFonts w:ascii="Franklin Gothic Book" w:hAnsi="Franklin Gothic Book"/>
          <w:szCs w:val="20"/>
          <w:lang w:val="en-GB"/>
        </w:rPr>
      </w:pPr>
      <w:r w:rsidRPr="00687A54">
        <w:rPr>
          <w:rFonts w:ascii="Franklin Gothic Book" w:hAnsi="Franklin Gothic Book"/>
          <w:lang w:val="en-GB"/>
        </w:rPr>
        <w:t xml:space="preserve">Information about the Government of Tonga’s budget becomes available in June, so this would affect the subsequent bi-annual disbursement. DFAT views the pre-conditions extremely seriously. If they are not met (in other words, Government of Tonga’s commitment to the health sector in general and public health in particular is not demonstrated through budget allocations), </w:t>
      </w:r>
      <w:r w:rsidRPr="00687A54">
        <w:rPr>
          <w:rFonts w:ascii="Franklin Gothic Book" w:hAnsi="Franklin Gothic Book"/>
          <w:b/>
          <w:lang w:val="en-GB"/>
        </w:rPr>
        <w:t>DFAT will formally re-assess its commitment to THSSP2 and may reduce its overall financial allocation to the Programme.</w:t>
      </w:r>
      <w:r>
        <w:rPr>
          <w:rFonts w:ascii="Franklin Gothic Book" w:hAnsi="Franklin Gothic Book"/>
          <w:szCs w:val="20"/>
          <w:lang w:val="en-GB"/>
        </w:rPr>
        <w:t xml:space="preserve">  </w:t>
      </w:r>
    </w:p>
    <w:p w:rsidR="00B652E1" w:rsidRDefault="00B652E1" w:rsidP="00B652E1">
      <w:pPr>
        <w:tabs>
          <w:tab w:val="num" w:pos="720"/>
        </w:tabs>
        <w:spacing w:line="276" w:lineRule="auto"/>
        <w:rPr>
          <w:rFonts w:ascii="Franklin Gothic Book" w:hAnsi="Franklin Gothic Book"/>
          <w:szCs w:val="20"/>
          <w:lang w:val="en-GB"/>
        </w:rPr>
      </w:pPr>
    </w:p>
    <w:p w:rsidR="00B652E1" w:rsidRPr="005F4FAA" w:rsidRDefault="00B652E1" w:rsidP="00B652E1">
      <w:pPr>
        <w:tabs>
          <w:tab w:val="num" w:pos="720"/>
        </w:tabs>
        <w:spacing w:line="276" w:lineRule="auto"/>
        <w:rPr>
          <w:rFonts w:ascii="Franklin Gothic Book" w:hAnsi="Franklin Gothic Book"/>
          <w:i/>
          <w:szCs w:val="20"/>
          <w:lang w:val="en-GB"/>
        </w:rPr>
      </w:pPr>
      <w:r w:rsidRPr="005F4FAA">
        <w:rPr>
          <w:rFonts w:ascii="Franklin Gothic Book" w:hAnsi="Franklin Gothic Book"/>
          <w:i/>
          <w:szCs w:val="20"/>
          <w:lang w:val="en-GB"/>
        </w:rPr>
        <w:t>Six-monthly disbursements</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The Ministry of Health and TongaHealth need to submit quarterly monitoring reports. The exact format of </w:t>
      </w:r>
      <w:r w:rsidRPr="00887C16">
        <w:rPr>
          <w:rFonts w:ascii="Franklin Gothic Book" w:hAnsi="Franklin Gothic Book"/>
          <w:szCs w:val="20"/>
        </w:rPr>
        <w:t xml:space="preserve">these reports needs to be agreed, but it would be based on the existing format for quarterly reports. </w:t>
      </w:r>
      <w:r w:rsidRPr="00F12BE8">
        <w:rPr>
          <w:rFonts w:ascii="Franklin Gothic Book" w:hAnsi="Franklin Gothic Book"/>
        </w:rPr>
        <w:t xml:space="preserve">The existing forms, plus comments about the format, are given in Annex 17. The weaknesses in the current format are recognised: it is part of the </w:t>
      </w:r>
      <w:r w:rsidRPr="00EE0AA8">
        <w:rPr>
          <w:rFonts w:ascii="Franklin Gothic Book" w:hAnsi="Franklin Gothic Book"/>
          <w:lang w:val="en-GB"/>
        </w:rPr>
        <w:t>Health Systems Support and Planning Manager’s terms of reference to work with MoH colleagues</w:t>
      </w:r>
      <w:r w:rsidRPr="00687A54">
        <w:rPr>
          <w:rFonts w:ascii="Franklin Gothic Book" w:hAnsi="Franklin Gothic Book"/>
          <w:b/>
          <w:lang w:val="en-GB"/>
        </w:rPr>
        <w:t xml:space="preserve"> </w:t>
      </w:r>
      <w:r w:rsidRPr="00687A54">
        <w:rPr>
          <w:rFonts w:ascii="Franklin Gothic Book" w:hAnsi="Franklin Gothic Book"/>
        </w:rPr>
        <w:t>to improve the format, bearing in mind the importance of these reports for THSSP2.</w:t>
      </w:r>
      <w:r w:rsidRPr="00887C16">
        <w:rPr>
          <w:rFonts w:ascii="Franklin Gothic Book" w:hAnsi="Franklin Gothic Book"/>
          <w:szCs w:val="20"/>
        </w:rPr>
        <w:t xml:space="preserve"> The aim</w:t>
      </w:r>
      <w:r w:rsidRPr="005F4FAA">
        <w:rPr>
          <w:rFonts w:ascii="Franklin Gothic Book" w:hAnsi="Franklin Gothic Book"/>
          <w:szCs w:val="20"/>
        </w:rPr>
        <w:t xml:space="preserve"> is to minimise the extra workload, whilst providing DFAT with the information it requires. The monitoring reports would refer back to the work-plans, which were approved for funding and describe progress with activities, expenditure and, as appropriate, outputs. It is the responsibility of the recipients of funds (usually Heads of Division) to complete the quarterly reports and ensure that funds are properly accounted for.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Managers and the oversight bodies (the NHDC and TongaHealth Board) should use the quarterly monitoring reports to actively manage problem areas such as under-spending or a shift away from the original work-plans. Information from these reports may be used to re</w:t>
      </w:r>
      <w:r>
        <w:rPr>
          <w:rFonts w:ascii="Franklin Gothic Book" w:hAnsi="Franklin Gothic Book"/>
          <w:szCs w:val="20"/>
        </w:rPr>
        <w:t>-</w:t>
      </w:r>
      <w:r w:rsidRPr="005F4FAA">
        <w:rPr>
          <w:rFonts w:ascii="Franklin Gothic Book" w:hAnsi="Franklin Gothic Book"/>
          <w:szCs w:val="20"/>
        </w:rPr>
        <w:t>distribute money or to halt some payments, particularly if a specific Division or Section is very under-spent or under-performing.</w:t>
      </w: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  </w:t>
      </w:r>
    </w:p>
    <w:p w:rsidR="00B652E1" w:rsidRPr="005146A9" w:rsidRDefault="00B652E1" w:rsidP="00B652E1">
      <w:pPr>
        <w:spacing w:line="276" w:lineRule="auto"/>
        <w:rPr>
          <w:rFonts w:ascii="Franklin Gothic Medium" w:hAnsi="Franklin Gothic Medium"/>
          <w:i/>
          <w:szCs w:val="20"/>
          <w:lang w:val="en-GB"/>
        </w:rPr>
      </w:pPr>
      <w:r w:rsidRPr="005146A9">
        <w:rPr>
          <w:rFonts w:ascii="Franklin Gothic Medium" w:hAnsi="Franklin Gothic Medium"/>
          <w:i/>
          <w:szCs w:val="20"/>
          <w:lang w:val="en-GB"/>
        </w:rPr>
        <w:t xml:space="preserve">Performance incentives </w:t>
      </w:r>
    </w:p>
    <w:p w:rsidR="00B652E1" w:rsidRDefault="00B652E1" w:rsidP="00B652E1">
      <w:pPr>
        <w:pStyle w:val="ListParagraph"/>
        <w:numPr>
          <w:ilvl w:val="0"/>
          <w:numId w:val="0"/>
        </w:numPr>
        <w:spacing w:line="276" w:lineRule="auto"/>
        <w:rPr>
          <w:rFonts w:ascii="Franklin Gothic Medium" w:hAnsi="Franklin Gothic Medium"/>
          <w:sz w:val="20"/>
          <w:szCs w:val="20"/>
        </w:rPr>
      </w:pPr>
    </w:p>
    <w:p w:rsidR="00B652E1" w:rsidRPr="005F4FAA" w:rsidRDefault="00B652E1" w:rsidP="00B652E1">
      <w:pPr>
        <w:pStyle w:val="ListParagraph"/>
        <w:numPr>
          <w:ilvl w:val="0"/>
          <w:numId w:val="0"/>
        </w:numPr>
        <w:spacing w:line="276" w:lineRule="auto"/>
        <w:rPr>
          <w:rFonts w:ascii="Franklin Gothic Book" w:hAnsi="Franklin Gothic Book"/>
          <w:sz w:val="20"/>
          <w:szCs w:val="20"/>
        </w:rPr>
      </w:pPr>
      <w:r w:rsidRPr="005146A9">
        <w:rPr>
          <w:rFonts w:ascii="Franklin Gothic Medium" w:hAnsi="Franklin Gothic Medium"/>
          <w:sz w:val="20"/>
          <w:szCs w:val="20"/>
        </w:rPr>
        <w:t>Of the</w:t>
      </w:r>
      <w:r w:rsidRPr="005F4FAA">
        <w:rPr>
          <w:rFonts w:ascii="Franklin Gothic Book" w:hAnsi="Franklin Gothic Book"/>
          <w:sz w:val="20"/>
          <w:szCs w:val="20"/>
        </w:rPr>
        <w:t xml:space="preserve"> $10 million budget for THSSP2, $1 million has been set aside for performance-based payments to the Ministry of Health (not to TongaHealth). It is proposed that the $1 million is allocated as follows:</w:t>
      </w:r>
    </w:p>
    <w:p w:rsidR="00B652E1" w:rsidRPr="00C94872" w:rsidRDefault="00B652E1" w:rsidP="00B652E1">
      <w:pPr>
        <w:pStyle w:val="ListParagraph"/>
        <w:numPr>
          <w:ilvl w:val="0"/>
          <w:numId w:val="47"/>
        </w:numPr>
        <w:spacing w:after="0" w:line="276" w:lineRule="auto"/>
        <w:contextualSpacing/>
        <w:rPr>
          <w:rFonts w:ascii="Franklin Gothic Book" w:hAnsi="Franklin Gothic Book"/>
          <w:sz w:val="20"/>
          <w:szCs w:val="20"/>
        </w:rPr>
      </w:pPr>
      <w:r w:rsidRPr="005F4FAA">
        <w:rPr>
          <w:rFonts w:ascii="Franklin Gothic Book" w:hAnsi="Franklin Gothic Book"/>
          <w:sz w:val="20"/>
          <w:szCs w:val="20"/>
          <w:lang w:val="en-GB"/>
        </w:rPr>
        <w:t>Up to $600,</w:t>
      </w:r>
      <w:r w:rsidRPr="00C94872">
        <w:rPr>
          <w:rFonts w:ascii="Franklin Gothic Book" w:hAnsi="Franklin Gothic Book"/>
          <w:sz w:val="20"/>
          <w:szCs w:val="20"/>
          <w:lang w:val="en-GB"/>
        </w:rPr>
        <w:t>000 allocated by a Performance Payments Panel based on achievements related to the Annual Management Plans</w:t>
      </w:r>
    </w:p>
    <w:p w:rsidR="00B652E1" w:rsidRPr="00C94872" w:rsidRDefault="00B652E1" w:rsidP="00B652E1">
      <w:pPr>
        <w:pStyle w:val="ListParagraph"/>
        <w:numPr>
          <w:ilvl w:val="0"/>
          <w:numId w:val="0"/>
        </w:numPr>
        <w:spacing w:after="0" w:line="276" w:lineRule="auto"/>
        <w:ind w:left="360"/>
        <w:contextualSpacing/>
        <w:rPr>
          <w:rFonts w:ascii="Franklin Gothic Book" w:hAnsi="Franklin Gothic Book"/>
          <w:sz w:val="20"/>
          <w:szCs w:val="20"/>
        </w:rPr>
      </w:pPr>
    </w:p>
    <w:p w:rsidR="00B652E1" w:rsidRPr="00C94872" w:rsidRDefault="00B652E1" w:rsidP="00B652E1">
      <w:pPr>
        <w:pStyle w:val="ListParagraph"/>
        <w:numPr>
          <w:ilvl w:val="0"/>
          <w:numId w:val="47"/>
        </w:numPr>
        <w:spacing w:after="0" w:line="276" w:lineRule="auto"/>
        <w:contextualSpacing/>
        <w:rPr>
          <w:rFonts w:ascii="Franklin Gothic Book" w:hAnsi="Franklin Gothic Book"/>
          <w:sz w:val="20"/>
          <w:szCs w:val="20"/>
        </w:rPr>
      </w:pPr>
      <w:r w:rsidRPr="00C94872">
        <w:rPr>
          <w:rFonts w:ascii="Franklin Gothic Book" w:hAnsi="Franklin Gothic Book"/>
          <w:sz w:val="20"/>
          <w:szCs w:val="20"/>
          <w:lang w:val="en-GB"/>
        </w:rPr>
        <w:t xml:space="preserve">Up to $400,000 for the Ministry of Health as a whole based on the achievement of targets and the findings of the Independent Progress Report (IPR) and towards the end of THSSP2 based on the extent to which the recommendations of the IPR have been implemented. </w:t>
      </w:r>
    </w:p>
    <w:p w:rsidR="00B652E1" w:rsidRDefault="00B652E1" w:rsidP="00B652E1">
      <w:pPr>
        <w:spacing w:line="276" w:lineRule="auto"/>
        <w:rPr>
          <w:rFonts w:ascii="Franklin Gothic Book" w:hAnsi="Franklin Gothic Book"/>
          <w:i/>
          <w:szCs w:val="20"/>
          <w:lang w:val="en-GB"/>
        </w:rPr>
      </w:pPr>
    </w:p>
    <w:p w:rsidR="00B652E1" w:rsidRPr="005F4FAA" w:rsidRDefault="00B652E1" w:rsidP="00B652E1">
      <w:pPr>
        <w:spacing w:line="276" w:lineRule="auto"/>
        <w:rPr>
          <w:rFonts w:ascii="Franklin Gothic Book" w:hAnsi="Franklin Gothic Book"/>
          <w:i/>
          <w:szCs w:val="20"/>
          <w:lang w:val="en-GB"/>
        </w:rPr>
      </w:pPr>
    </w:p>
    <w:p w:rsidR="00B652E1" w:rsidRPr="005F4FAA" w:rsidRDefault="00B652E1" w:rsidP="00B652E1">
      <w:pPr>
        <w:pStyle w:val="ListParagraph"/>
        <w:numPr>
          <w:ilvl w:val="0"/>
          <w:numId w:val="48"/>
        </w:numPr>
        <w:spacing w:line="276" w:lineRule="auto"/>
        <w:rPr>
          <w:rFonts w:ascii="Franklin Gothic Book" w:hAnsi="Franklin Gothic Book"/>
          <w:i/>
          <w:sz w:val="20"/>
          <w:szCs w:val="20"/>
        </w:rPr>
      </w:pPr>
      <w:r w:rsidRPr="005F4FAA">
        <w:rPr>
          <w:rFonts w:ascii="Franklin Gothic Book" w:hAnsi="Franklin Gothic Book"/>
          <w:i/>
          <w:sz w:val="20"/>
          <w:szCs w:val="20"/>
          <w:lang w:val="en-GB"/>
        </w:rPr>
        <w:t>Up to $600,000 allocated by a Performance Payments Panel</w:t>
      </w:r>
    </w:p>
    <w:p w:rsidR="00B652E1" w:rsidRPr="005F4FAA" w:rsidRDefault="00B652E1" w:rsidP="00B652E1">
      <w:pPr>
        <w:pStyle w:val="ListParagraph"/>
        <w:numPr>
          <w:ilvl w:val="0"/>
          <w:numId w:val="0"/>
        </w:numPr>
        <w:spacing w:line="276" w:lineRule="auto"/>
        <w:rPr>
          <w:rFonts w:ascii="Franklin Gothic Book" w:hAnsi="Franklin Gothic Book"/>
          <w:sz w:val="20"/>
          <w:szCs w:val="20"/>
          <w:lang w:val="en-GB"/>
        </w:rPr>
      </w:pPr>
      <w:r w:rsidRPr="005F4FAA">
        <w:rPr>
          <w:rFonts w:ascii="Franklin Gothic Book" w:hAnsi="Franklin Gothic Book"/>
          <w:sz w:val="20"/>
          <w:szCs w:val="20"/>
          <w:lang w:val="en-GB"/>
        </w:rPr>
        <w:t xml:space="preserve">It is proposed that the Performance Payments Panel consists of the Honourable Minister of Health, the Chief Executive Officer (CEO) of the Ministry and the DFAT First Secretary from the Australian High Commission. Allocations will be made to divisions and sections – the Minister and the CEO both sit above this divisional structure. </w:t>
      </w:r>
    </w:p>
    <w:p w:rsidR="00B652E1" w:rsidRPr="005F4FAA" w:rsidRDefault="00B652E1" w:rsidP="00B652E1">
      <w:pPr>
        <w:pStyle w:val="ListParagraph"/>
        <w:numPr>
          <w:ilvl w:val="0"/>
          <w:numId w:val="0"/>
        </w:numPr>
        <w:spacing w:line="276" w:lineRule="auto"/>
        <w:rPr>
          <w:rFonts w:ascii="Franklin Gothic Book" w:hAnsi="Franklin Gothic Book"/>
          <w:sz w:val="20"/>
          <w:szCs w:val="20"/>
          <w:lang w:val="en-GB"/>
        </w:rPr>
      </w:pPr>
      <w:r w:rsidRPr="005F4FAA">
        <w:rPr>
          <w:rFonts w:ascii="Franklin Gothic Book" w:hAnsi="Franklin Gothic Book"/>
          <w:sz w:val="20"/>
          <w:szCs w:val="20"/>
          <w:lang w:val="en-GB"/>
        </w:rPr>
        <w:t xml:space="preserve">The Panel would </w:t>
      </w:r>
      <w:r w:rsidRPr="00590409">
        <w:rPr>
          <w:rFonts w:ascii="Franklin Gothic Book" w:hAnsi="Franklin Gothic Book"/>
          <w:sz w:val="20"/>
          <w:szCs w:val="20"/>
          <w:lang w:val="en-GB"/>
        </w:rPr>
        <w:t xml:space="preserve">meet annually in about May. It would allocate up to $120,000 per year, </w:t>
      </w:r>
      <w:r w:rsidRPr="00590409">
        <w:rPr>
          <w:rFonts w:ascii="Franklin Gothic Book" w:hAnsi="Franklin Gothic Book"/>
          <w:sz w:val="20"/>
          <w:szCs w:val="20"/>
        </w:rPr>
        <w:t>even though this means that THSSP2 will be finished when the final allocation is being spent in the second part of 2020.</w:t>
      </w:r>
      <w:r w:rsidRPr="005F4FAA">
        <w:rPr>
          <w:rFonts w:ascii="Franklin Gothic Book" w:hAnsi="Franklin Gothic Book"/>
          <w:sz w:val="20"/>
          <w:szCs w:val="20"/>
        </w:rPr>
        <w:t xml:space="preserve"> </w:t>
      </w:r>
    </w:p>
    <w:p w:rsidR="00B652E1" w:rsidRPr="00687A54" w:rsidRDefault="00B652E1" w:rsidP="00B652E1">
      <w:pPr>
        <w:pStyle w:val="ListParagraph"/>
        <w:numPr>
          <w:ilvl w:val="0"/>
          <w:numId w:val="0"/>
        </w:numPr>
        <w:spacing w:line="276" w:lineRule="auto"/>
        <w:rPr>
          <w:rFonts w:ascii="Franklin Gothic Book" w:hAnsi="Franklin Gothic Book"/>
          <w:sz w:val="20"/>
          <w:lang w:val="en-GB"/>
        </w:rPr>
      </w:pPr>
      <w:r w:rsidRPr="00F12BE8">
        <w:rPr>
          <w:rFonts w:ascii="Franklin Gothic Book" w:hAnsi="Franklin Gothic Book"/>
          <w:sz w:val="20"/>
        </w:rPr>
        <w:t>Performance payments should be awarded as objectively as possible: this is fairer and allows staff to know what they are aiming for. A points system is sugge</w:t>
      </w:r>
      <w:r w:rsidRPr="00EE0AA8">
        <w:rPr>
          <w:rFonts w:ascii="Franklin Gothic Book" w:hAnsi="Franklin Gothic Book"/>
          <w:sz w:val="20"/>
        </w:rPr>
        <w:t>sted in Table 6 as a way of identifying divisions, sections or facilities wort</w:t>
      </w:r>
      <w:r w:rsidRPr="00687A54">
        <w:rPr>
          <w:rFonts w:ascii="Franklin Gothic Book" w:hAnsi="Franklin Gothic Book"/>
          <w:sz w:val="20"/>
        </w:rPr>
        <w:t xml:space="preserve">hy of receiving a payment. The </w:t>
      </w:r>
      <w:r w:rsidRPr="00687A54">
        <w:rPr>
          <w:rFonts w:ascii="Franklin Gothic Book" w:hAnsi="Franklin Gothic Book"/>
          <w:sz w:val="20"/>
          <w:lang w:val="en-GB"/>
        </w:rPr>
        <w:t xml:space="preserve">Performance Payments Panel should discuss this proposal, adapt and approve it, and distribute information about the criteria throughout the Ministry. This should happen as early on in THSSP2 as possible.  </w:t>
      </w:r>
    </w:p>
    <w:p w:rsidR="00B652E1" w:rsidRPr="005D75A6" w:rsidRDefault="00B652E1" w:rsidP="00B652E1">
      <w:pPr>
        <w:pStyle w:val="ListParagraph"/>
        <w:numPr>
          <w:ilvl w:val="0"/>
          <w:numId w:val="0"/>
        </w:numPr>
        <w:spacing w:line="276" w:lineRule="auto"/>
        <w:rPr>
          <w:rFonts w:ascii="Franklin Gothic Book" w:hAnsi="Franklin Gothic Book"/>
          <w:sz w:val="20"/>
          <w:szCs w:val="20"/>
          <w:highlight w:val="yellow"/>
          <w:lang w:val="en-GB"/>
        </w:rPr>
      </w:pPr>
    </w:p>
    <w:p w:rsidR="00B652E1" w:rsidRPr="00EE0AA8" w:rsidRDefault="00B652E1" w:rsidP="00B652E1">
      <w:pPr>
        <w:pStyle w:val="ListParagraph"/>
        <w:numPr>
          <w:ilvl w:val="0"/>
          <w:numId w:val="0"/>
        </w:numPr>
        <w:spacing w:line="276" w:lineRule="auto"/>
        <w:rPr>
          <w:rFonts w:ascii="Franklin Gothic Book" w:hAnsi="Franklin Gothic Book"/>
          <w:b/>
          <w:sz w:val="20"/>
        </w:rPr>
      </w:pPr>
      <w:r w:rsidRPr="00F12BE8">
        <w:rPr>
          <w:rFonts w:ascii="Franklin Gothic Book" w:hAnsi="Franklin Gothic Book"/>
          <w:b/>
          <w:sz w:val="20"/>
          <w:lang w:val="en-GB"/>
        </w:rPr>
        <w:t>Table 6  Possible scoring system for incentive payments allocated by Performance Payments Panel</w:t>
      </w:r>
    </w:p>
    <w:tbl>
      <w:tblPr>
        <w:tblStyle w:val="TableGrid"/>
        <w:tblW w:w="0" w:type="auto"/>
        <w:tblLook w:val="04A0" w:firstRow="1" w:lastRow="0" w:firstColumn="1" w:lastColumn="0" w:noHBand="0" w:noVBand="1"/>
      </w:tblPr>
      <w:tblGrid>
        <w:gridCol w:w="6611"/>
        <w:gridCol w:w="1770"/>
      </w:tblGrid>
      <w:tr w:rsidR="00B652E1" w:rsidRPr="00887C16" w:rsidTr="00B652E1">
        <w:tc>
          <w:tcPr>
            <w:tcW w:w="0" w:type="auto"/>
          </w:tcPr>
          <w:p w:rsidR="00B652E1" w:rsidRPr="00687A54" w:rsidRDefault="00B652E1" w:rsidP="00B652E1">
            <w:pPr>
              <w:rPr>
                <w:rFonts w:ascii="Franklin Gothic Medium" w:hAnsi="Franklin Gothic Medium"/>
                <w:b/>
              </w:rPr>
            </w:pPr>
            <w:r w:rsidRPr="00687A54">
              <w:rPr>
                <w:rFonts w:ascii="Franklin Gothic Medium" w:hAnsi="Franklin Gothic Medium"/>
                <w:b/>
              </w:rPr>
              <w:t>To what extent is/are...........</w:t>
            </w:r>
          </w:p>
        </w:tc>
        <w:tc>
          <w:tcPr>
            <w:tcW w:w="0" w:type="auto"/>
          </w:tcPr>
          <w:p w:rsidR="00B652E1" w:rsidRPr="00687A54" w:rsidRDefault="00B652E1" w:rsidP="00B652E1">
            <w:pPr>
              <w:rPr>
                <w:rFonts w:ascii="Franklin Gothic Medium" w:hAnsi="Franklin Gothic Medium"/>
                <w:b/>
              </w:rPr>
            </w:pPr>
            <w:r w:rsidRPr="00687A54">
              <w:rPr>
                <w:rFonts w:ascii="Franklin Gothic Medium" w:hAnsi="Franklin Gothic Medium"/>
                <w:b/>
              </w:rPr>
              <w:t xml:space="preserve">Maximum possible marks </w:t>
            </w:r>
          </w:p>
        </w:tc>
      </w:tr>
      <w:tr w:rsidR="00B652E1" w:rsidRPr="00887C16" w:rsidTr="00B652E1">
        <w:tc>
          <w:tcPr>
            <w:tcW w:w="0" w:type="auto"/>
          </w:tcPr>
          <w:p w:rsidR="00B652E1" w:rsidRPr="00F12BE8" w:rsidRDefault="00B652E1" w:rsidP="00B652E1">
            <w:pPr>
              <w:rPr>
                <w:rFonts w:ascii="Franklin Gothic Medium" w:hAnsi="Franklin Gothic Medium"/>
              </w:rPr>
            </w:pPr>
            <w:r w:rsidRPr="00F12BE8">
              <w:rPr>
                <w:rFonts w:ascii="Franklin Gothic Medium" w:hAnsi="Franklin Gothic Medium"/>
              </w:rPr>
              <w:t>Good quality workplans prepared and reported on regularly?</w:t>
            </w:r>
          </w:p>
        </w:tc>
        <w:tc>
          <w:tcPr>
            <w:tcW w:w="0" w:type="auto"/>
          </w:tcPr>
          <w:p w:rsidR="00B652E1" w:rsidRPr="00EE0AA8" w:rsidRDefault="00B652E1" w:rsidP="00B652E1">
            <w:pPr>
              <w:rPr>
                <w:rFonts w:ascii="Franklin Gothic Medium" w:hAnsi="Franklin Gothic Medium"/>
              </w:rPr>
            </w:pPr>
            <w:r w:rsidRPr="00EE0AA8">
              <w:rPr>
                <w:rFonts w:ascii="Franklin Gothic Medium" w:hAnsi="Franklin Gothic Medium"/>
              </w:rPr>
              <w:t>15</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Finances tracked adequately through the SUN system and information made available in a t</w:t>
            </w:r>
            <w:r w:rsidRPr="00EE0AA8">
              <w:rPr>
                <w:rFonts w:ascii="Franklin Gothic Medium" w:hAnsi="Franklin Gothic Medium"/>
              </w:rPr>
              <w:t xml:space="preserve">imely manner? </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20</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 xml:space="preserve">Information available to monitor THSSP’s expected outputs, intermediate outputs and outcomes? </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15</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 xml:space="preserve">Regular meetings held by divisions/sections to discuss workplans, reports, budgets and risks? </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10</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 xml:space="preserve">Progress being made with strengthening the management of NCDs in all primary care and out-patient facilities? </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10</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 xml:space="preserve">Management improving in at least two systems areas? (Systems include health information, human resources, procurement etc.) </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10</w:t>
            </w:r>
          </w:p>
        </w:tc>
      </w:tr>
      <w:tr w:rsidR="00B652E1" w:rsidRPr="00887C16" w:rsidTr="00B652E1">
        <w:tc>
          <w:tcPr>
            <w:tcW w:w="0" w:type="auto"/>
          </w:tcPr>
          <w:p w:rsidR="00B652E1" w:rsidRPr="00EE0AA8" w:rsidRDefault="00B652E1" w:rsidP="00B652E1">
            <w:pPr>
              <w:rPr>
                <w:rFonts w:ascii="Franklin Gothic Medium" w:hAnsi="Franklin Gothic Medium"/>
              </w:rPr>
            </w:pPr>
            <w:r w:rsidRPr="00F12BE8">
              <w:rPr>
                <w:rFonts w:ascii="Franklin Gothic Medium" w:hAnsi="Franklin Gothic Medium"/>
              </w:rPr>
              <w:t>Activities identified and implementation begun to raise the profile of mental health and/or disability services?</w:t>
            </w:r>
          </w:p>
        </w:tc>
        <w:tc>
          <w:tcPr>
            <w:tcW w:w="0" w:type="auto"/>
          </w:tcPr>
          <w:p w:rsidR="00B652E1" w:rsidRPr="00687A54" w:rsidRDefault="00B652E1" w:rsidP="00B652E1">
            <w:pPr>
              <w:rPr>
                <w:rFonts w:ascii="Franklin Gothic Medium" w:hAnsi="Franklin Gothic Medium"/>
              </w:rPr>
            </w:pPr>
            <w:r w:rsidRPr="00687A54">
              <w:rPr>
                <w:rFonts w:ascii="Franklin Gothic Medium" w:hAnsi="Franklin Gothic Medium"/>
              </w:rPr>
              <w:t>10</w:t>
            </w:r>
          </w:p>
        </w:tc>
      </w:tr>
      <w:tr w:rsidR="00B652E1" w:rsidRPr="00887C16" w:rsidTr="00B652E1">
        <w:tc>
          <w:tcPr>
            <w:tcW w:w="0" w:type="auto"/>
          </w:tcPr>
          <w:p w:rsidR="00B652E1" w:rsidRPr="00F12BE8" w:rsidRDefault="00B652E1" w:rsidP="00B652E1">
            <w:pPr>
              <w:rPr>
                <w:rFonts w:ascii="Franklin Gothic Medium" w:hAnsi="Franklin Gothic Medium"/>
              </w:rPr>
            </w:pPr>
            <w:r w:rsidRPr="00F12BE8">
              <w:rPr>
                <w:rFonts w:ascii="Franklin Gothic Medium" w:hAnsi="Franklin Gothic Medium"/>
              </w:rPr>
              <w:t xml:space="preserve">GESI considerations mainstreamed into the work of divisions? </w:t>
            </w:r>
          </w:p>
        </w:tc>
        <w:tc>
          <w:tcPr>
            <w:tcW w:w="0" w:type="auto"/>
          </w:tcPr>
          <w:p w:rsidR="00B652E1" w:rsidRPr="00EE0AA8" w:rsidRDefault="00B652E1" w:rsidP="00B652E1">
            <w:pPr>
              <w:rPr>
                <w:rFonts w:ascii="Franklin Gothic Medium" w:hAnsi="Franklin Gothic Medium"/>
              </w:rPr>
            </w:pPr>
            <w:r w:rsidRPr="00EE0AA8">
              <w:rPr>
                <w:rFonts w:ascii="Franklin Gothic Medium" w:hAnsi="Franklin Gothic Medium"/>
              </w:rPr>
              <w:t>10</w:t>
            </w:r>
          </w:p>
        </w:tc>
      </w:tr>
      <w:tr w:rsidR="00B652E1" w:rsidRPr="005146A9" w:rsidTr="00B652E1">
        <w:tc>
          <w:tcPr>
            <w:tcW w:w="0" w:type="auto"/>
          </w:tcPr>
          <w:p w:rsidR="00B652E1" w:rsidRPr="00F12BE8" w:rsidRDefault="00B652E1" w:rsidP="00B652E1">
            <w:pPr>
              <w:rPr>
                <w:rFonts w:ascii="Franklin Gothic Medium" w:hAnsi="Franklin Gothic Medium"/>
                <w:b/>
              </w:rPr>
            </w:pPr>
            <w:r w:rsidRPr="00F12BE8">
              <w:rPr>
                <w:rFonts w:ascii="Franklin Gothic Medium" w:hAnsi="Franklin Gothic Medium"/>
                <w:b/>
              </w:rPr>
              <w:t>TOTAL</w:t>
            </w:r>
          </w:p>
        </w:tc>
        <w:tc>
          <w:tcPr>
            <w:tcW w:w="0" w:type="auto"/>
          </w:tcPr>
          <w:p w:rsidR="00B652E1" w:rsidRPr="005146A9" w:rsidRDefault="00B652E1" w:rsidP="00B652E1">
            <w:pPr>
              <w:rPr>
                <w:rFonts w:ascii="Franklin Gothic Medium" w:hAnsi="Franklin Gothic Medium"/>
                <w:szCs w:val="20"/>
              </w:rPr>
            </w:pPr>
            <w:r w:rsidRPr="00EE0AA8">
              <w:rPr>
                <w:rFonts w:ascii="Franklin Gothic Medium" w:hAnsi="Franklin Gothic Medium"/>
                <w:b/>
              </w:rPr>
              <w:t>100</w:t>
            </w:r>
          </w:p>
        </w:tc>
      </w:tr>
    </w:tbl>
    <w:p w:rsidR="00B652E1" w:rsidRDefault="00B652E1" w:rsidP="00B652E1">
      <w:pPr>
        <w:pStyle w:val="ListParagraph"/>
        <w:numPr>
          <w:ilvl w:val="0"/>
          <w:numId w:val="0"/>
        </w:numPr>
        <w:spacing w:line="276" w:lineRule="auto"/>
        <w:rPr>
          <w:rFonts w:ascii="Franklin Gothic Book" w:hAnsi="Franklin Gothic Book"/>
          <w:sz w:val="20"/>
          <w:szCs w:val="20"/>
        </w:rPr>
      </w:pPr>
    </w:p>
    <w:p w:rsidR="00B652E1" w:rsidRPr="001142F9" w:rsidRDefault="00B652E1" w:rsidP="00B652E1">
      <w:pPr>
        <w:pStyle w:val="ListParagraph"/>
        <w:numPr>
          <w:ilvl w:val="0"/>
          <w:numId w:val="0"/>
        </w:numPr>
        <w:spacing w:line="276" w:lineRule="auto"/>
        <w:rPr>
          <w:rFonts w:ascii="Franklin Gothic Book" w:hAnsi="Franklin Gothic Book"/>
          <w:i/>
          <w:sz w:val="20"/>
          <w:szCs w:val="20"/>
          <w:lang w:val="en-GB"/>
        </w:rPr>
      </w:pPr>
      <w:r w:rsidRPr="001142F9">
        <w:rPr>
          <w:rFonts w:ascii="Franklin Gothic Book" w:hAnsi="Franklin Gothic Book"/>
          <w:sz w:val="20"/>
          <w:szCs w:val="20"/>
        </w:rPr>
        <w:t xml:space="preserve">Incentive payments can be made to divisions or sections (the divisions vary greatly in size) and all recipients will be encouraged to spend the money close to the “front line”. </w:t>
      </w:r>
      <w:r w:rsidRPr="001142F9">
        <w:rPr>
          <w:rFonts w:ascii="Franklin Gothic Book" w:hAnsi="Franklin Gothic Book"/>
          <w:sz w:val="20"/>
          <w:szCs w:val="20"/>
          <w:lang w:val="en-GB"/>
        </w:rPr>
        <w:t xml:space="preserve">Outer Island hospitals and primary care facilities should be eligible to receive payments. It is important that the Panel give brief reasons for their decisions, as this is an important element in strengthening the Planning Cycle. </w:t>
      </w:r>
    </w:p>
    <w:p w:rsidR="00B652E1" w:rsidRPr="001142F9" w:rsidRDefault="00B652E1" w:rsidP="00B652E1">
      <w:pPr>
        <w:pStyle w:val="ListParagraph"/>
        <w:numPr>
          <w:ilvl w:val="0"/>
          <w:numId w:val="0"/>
        </w:numPr>
        <w:spacing w:line="276" w:lineRule="auto"/>
        <w:rPr>
          <w:rFonts w:ascii="Franklin Gothic Book" w:hAnsi="Franklin Gothic Book"/>
          <w:sz w:val="20"/>
          <w:szCs w:val="20"/>
          <w:lang w:val="en-GB"/>
        </w:rPr>
      </w:pPr>
      <w:r>
        <w:rPr>
          <w:rFonts w:ascii="Franklin Gothic Book" w:hAnsi="Franklin Gothic Book"/>
          <w:sz w:val="20"/>
          <w:szCs w:val="20"/>
          <w:lang w:val="en-GB"/>
        </w:rPr>
        <w:t>As examples, the Panel could</w:t>
      </w:r>
      <w:r w:rsidRPr="001142F9">
        <w:rPr>
          <w:rFonts w:ascii="Franklin Gothic Book" w:hAnsi="Franklin Gothic Book"/>
          <w:sz w:val="20"/>
          <w:szCs w:val="20"/>
          <w:lang w:val="en-GB"/>
        </w:rPr>
        <w:t xml:space="preserve"> award performance payments in the following </w:t>
      </w:r>
      <w:r>
        <w:rPr>
          <w:rFonts w:ascii="Franklin Gothic Book" w:hAnsi="Franklin Gothic Book"/>
          <w:sz w:val="20"/>
          <w:szCs w:val="20"/>
          <w:lang w:val="en-GB"/>
        </w:rPr>
        <w:t xml:space="preserve">types of </w:t>
      </w:r>
      <w:r w:rsidRPr="001142F9">
        <w:rPr>
          <w:rFonts w:ascii="Franklin Gothic Book" w:hAnsi="Franklin Gothic Book"/>
          <w:sz w:val="20"/>
          <w:szCs w:val="20"/>
          <w:lang w:val="en-GB"/>
        </w:rPr>
        <w:t>circumstances:</w:t>
      </w:r>
    </w:p>
    <w:p w:rsidR="00B652E1" w:rsidRPr="001142F9" w:rsidRDefault="00B652E1" w:rsidP="00B652E1">
      <w:pPr>
        <w:pStyle w:val="ListParagraph"/>
        <w:numPr>
          <w:ilvl w:val="0"/>
          <w:numId w:val="40"/>
        </w:numPr>
        <w:spacing w:line="276" w:lineRule="auto"/>
        <w:rPr>
          <w:rFonts w:ascii="Franklin Gothic Book" w:hAnsi="Franklin Gothic Book"/>
          <w:sz w:val="20"/>
          <w:szCs w:val="20"/>
          <w:lang w:val="en-GB"/>
        </w:rPr>
      </w:pPr>
      <w:r w:rsidRPr="001142F9">
        <w:rPr>
          <w:rFonts w:ascii="Franklin Gothic Book" w:hAnsi="Franklin Gothic Book"/>
          <w:sz w:val="20"/>
          <w:szCs w:val="20"/>
          <w:lang w:val="en-GB"/>
        </w:rPr>
        <w:t xml:space="preserve">If a Division’s or Section’s Annual Management Plans (AMPs) and quarterly reports are of a particularly high standard. This can apply to Divisions and Sections which are not necessarily recipients of large-scale DFAT funding – for example Dental Division or Paediatric Section. </w:t>
      </w:r>
    </w:p>
    <w:p w:rsidR="00B652E1" w:rsidRPr="001142F9" w:rsidRDefault="00B652E1" w:rsidP="00B652E1">
      <w:pPr>
        <w:pStyle w:val="ListParagraph"/>
        <w:numPr>
          <w:ilvl w:val="0"/>
          <w:numId w:val="0"/>
        </w:numPr>
        <w:spacing w:line="276" w:lineRule="auto"/>
        <w:ind w:left="68"/>
        <w:rPr>
          <w:rFonts w:ascii="Franklin Gothic Book" w:hAnsi="Franklin Gothic Book"/>
          <w:sz w:val="20"/>
          <w:szCs w:val="20"/>
          <w:lang w:val="en-GB"/>
        </w:rPr>
      </w:pPr>
      <w:r w:rsidRPr="001142F9">
        <w:rPr>
          <w:rFonts w:ascii="Franklin Gothic Book" w:hAnsi="Franklin Gothic Book"/>
          <w:sz w:val="20"/>
          <w:szCs w:val="20"/>
          <w:lang w:val="en-GB"/>
        </w:rPr>
        <w:t>and/or</w:t>
      </w:r>
    </w:p>
    <w:p w:rsidR="00B652E1" w:rsidRPr="001142F9" w:rsidRDefault="00B652E1" w:rsidP="00B652E1">
      <w:pPr>
        <w:pStyle w:val="ListParagraph"/>
        <w:numPr>
          <w:ilvl w:val="0"/>
          <w:numId w:val="40"/>
        </w:numPr>
        <w:spacing w:line="276" w:lineRule="auto"/>
        <w:rPr>
          <w:rFonts w:ascii="Franklin Gothic Book" w:hAnsi="Franklin Gothic Book"/>
          <w:sz w:val="20"/>
          <w:szCs w:val="20"/>
          <w:lang w:val="en-GB"/>
        </w:rPr>
      </w:pPr>
      <w:r w:rsidRPr="001142F9">
        <w:rPr>
          <w:rFonts w:ascii="Franklin Gothic Book" w:hAnsi="Franklin Gothic Book"/>
          <w:sz w:val="20"/>
          <w:szCs w:val="20"/>
          <w:lang w:val="en-GB"/>
        </w:rPr>
        <w:t xml:space="preserve">If a Division or Section has identified an appropriate new area of work, or an innovative way to work, and has implemented this convincingly in relation to the DFAT-supported priorities of NCDs, Health Systems Strengthening (including Universal health coverage) and mental health/disability. </w:t>
      </w:r>
    </w:p>
    <w:p w:rsidR="00B652E1" w:rsidRPr="001142F9" w:rsidRDefault="00B652E1" w:rsidP="00B652E1">
      <w:pPr>
        <w:pStyle w:val="ListParagraph"/>
        <w:numPr>
          <w:ilvl w:val="0"/>
          <w:numId w:val="0"/>
        </w:numPr>
        <w:spacing w:line="276" w:lineRule="auto"/>
        <w:ind w:left="68"/>
        <w:rPr>
          <w:rFonts w:ascii="Franklin Gothic Book" w:hAnsi="Franklin Gothic Book"/>
          <w:sz w:val="20"/>
          <w:szCs w:val="20"/>
          <w:lang w:val="en-GB"/>
        </w:rPr>
      </w:pPr>
      <w:r w:rsidRPr="001142F9">
        <w:rPr>
          <w:rFonts w:ascii="Franklin Gothic Book" w:hAnsi="Franklin Gothic Book"/>
          <w:sz w:val="20"/>
          <w:szCs w:val="20"/>
          <w:lang w:val="en-GB"/>
        </w:rPr>
        <w:t>and/or</w:t>
      </w:r>
    </w:p>
    <w:p w:rsidR="00B652E1" w:rsidRPr="001142F9" w:rsidRDefault="00B652E1" w:rsidP="00B652E1">
      <w:pPr>
        <w:pStyle w:val="ListParagraph"/>
        <w:numPr>
          <w:ilvl w:val="0"/>
          <w:numId w:val="40"/>
        </w:numPr>
        <w:spacing w:line="276" w:lineRule="auto"/>
        <w:rPr>
          <w:rFonts w:ascii="Franklin Gothic Book" w:hAnsi="Franklin Gothic Book"/>
          <w:sz w:val="20"/>
          <w:szCs w:val="20"/>
          <w:lang w:val="en-GB"/>
        </w:rPr>
      </w:pPr>
      <w:r w:rsidRPr="001142F9">
        <w:rPr>
          <w:rFonts w:ascii="Franklin Gothic Book" w:hAnsi="Franklin Gothic Book"/>
          <w:sz w:val="20"/>
          <w:szCs w:val="20"/>
          <w:lang w:val="en-GB"/>
        </w:rPr>
        <w:t xml:space="preserve">If activities have been implemented particularly well or a difficult problem has been overcome in relation to the DFAT-supported priorities described above. </w:t>
      </w:r>
    </w:p>
    <w:p w:rsidR="00B652E1" w:rsidRPr="001142F9" w:rsidRDefault="00B652E1" w:rsidP="00B652E1">
      <w:pPr>
        <w:pStyle w:val="ListParagraph"/>
        <w:numPr>
          <w:ilvl w:val="0"/>
          <w:numId w:val="0"/>
        </w:numPr>
        <w:spacing w:line="276" w:lineRule="auto"/>
        <w:ind w:left="68"/>
        <w:rPr>
          <w:rFonts w:ascii="Franklin Gothic Book" w:hAnsi="Franklin Gothic Book"/>
          <w:sz w:val="20"/>
          <w:szCs w:val="20"/>
          <w:lang w:val="en-GB"/>
        </w:rPr>
      </w:pPr>
      <w:r w:rsidRPr="001142F9">
        <w:rPr>
          <w:rFonts w:ascii="Franklin Gothic Book" w:hAnsi="Franklin Gothic Book"/>
          <w:sz w:val="20"/>
          <w:szCs w:val="20"/>
          <w:lang w:val="en-GB"/>
        </w:rPr>
        <w:t>and/or</w:t>
      </w:r>
    </w:p>
    <w:p w:rsidR="00B652E1" w:rsidRDefault="00B652E1" w:rsidP="00B652E1">
      <w:pPr>
        <w:pStyle w:val="ListParagraph"/>
        <w:numPr>
          <w:ilvl w:val="0"/>
          <w:numId w:val="40"/>
        </w:numPr>
        <w:spacing w:line="276" w:lineRule="auto"/>
        <w:rPr>
          <w:rFonts w:ascii="Franklin Gothic Book" w:hAnsi="Franklin Gothic Book"/>
          <w:sz w:val="20"/>
          <w:szCs w:val="20"/>
          <w:lang w:val="en-GB"/>
        </w:rPr>
      </w:pPr>
      <w:r w:rsidRPr="001142F9">
        <w:rPr>
          <w:rFonts w:ascii="Franklin Gothic Book" w:hAnsi="Franklin Gothic Book"/>
          <w:sz w:val="20"/>
          <w:szCs w:val="20"/>
          <w:lang w:val="en-GB"/>
        </w:rPr>
        <w:t xml:space="preserve">If a Division or Section has shown particular initiative in working in partnership with another part of the Ministry (or another organisation) to improve the way in which a job is done in relation to one of the DFAT priorities.  </w:t>
      </w:r>
    </w:p>
    <w:p w:rsidR="00B652E1" w:rsidRPr="00590409" w:rsidRDefault="00B652E1" w:rsidP="00B652E1">
      <w:pPr>
        <w:spacing w:line="276" w:lineRule="auto"/>
        <w:rPr>
          <w:rFonts w:ascii="Franklin Gothic Book" w:hAnsi="Franklin Gothic Book"/>
          <w:szCs w:val="20"/>
          <w:lang w:val="en-GB"/>
        </w:rPr>
      </w:pPr>
      <w:r w:rsidRPr="00590409">
        <w:rPr>
          <w:rFonts w:ascii="Franklin Gothic Book" w:hAnsi="Franklin Gothic Book"/>
          <w:szCs w:val="20"/>
          <w:lang w:val="en-GB"/>
        </w:rPr>
        <w:t xml:space="preserve">For all of the above circumstances, the Panel should be satisfied that the area of activity is an appropriate, cost-effective priority (i.e. that the division/section is doing the right thing, in addition to doing it well.) </w:t>
      </w:r>
    </w:p>
    <w:p w:rsidR="00B652E1" w:rsidRDefault="00B652E1" w:rsidP="00B652E1">
      <w:pPr>
        <w:pStyle w:val="ListParagraph"/>
        <w:numPr>
          <w:ilvl w:val="0"/>
          <w:numId w:val="0"/>
        </w:numPr>
        <w:spacing w:line="276" w:lineRule="auto"/>
        <w:rPr>
          <w:rFonts w:ascii="Franklin Gothic Book" w:hAnsi="Franklin Gothic Book"/>
          <w:sz w:val="20"/>
          <w:szCs w:val="20"/>
          <w:highlight w:val="yellow"/>
          <w:lang w:val="en-GB"/>
        </w:rPr>
      </w:pPr>
    </w:p>
    <w:p w:rsidR="00B652E1" w:rsidRPr="001142F9" w:rsidRDefault="00B652E1" w:rsidP="00B652E1">
      <w:pPr>
        <w:pStyle w:val="ListParagraph"/>
        <w:numPr>
          <w:ilvl w:val="0"/>
          <w:numId w:val="0"/>
        </w:numPr>
        <w:spacing w:line="276" w:lineRule="auto"/>
        <w:rPr>
          <w:rFonts w:ascii="Franklin Gothic Book" w:hAnsi="Franklin Gothic Book"/>
          <w:sz w:val="20"/>
          <w:szCs w:val="20"/>
          <w:lang w:val="en-GB"/>
        </w:rPr>
      </w:pPr>
      <w:r w:rsidRPr="00F12BE8">
        <w:rPr>
          <w:rFonts w:ascii="Franklin Gothic Book" w:hAnsi="Franklin Gothic Book"/>
          <w:sz w:val="20"/>
          <w:lang w:val="en-GB"/>
        </w:rPr>
        <w:t>As a guide, overall payments could be up to a maximum of 75% of the initial activity cost funded by DFAT. (How this works out in practice depends on how many incentive awards will be made and the value of the activities being rewarded.) Lump sums could be agreed for Divisions or Sections that have produced exce</w:t>
      </w:r>
      <w:r w:rsidRPr="00EE0AA8">
        <w:rPr>
          <w:rFonts w:ascii="Franklin Gothic Book" w:hAnsi="Franklin Gothic Book"/>
          <w:sz w:val="20"/>
          <w:lang w:val="en-GB"/>
        </w:rPr>
        <w:t>llent AMPs and monitoring reports, even though they are not major DFAT recipients. Payments should be th</w:t>
      </w:r>
      <w:r w:rsidRPr="00687A54">
        <w:rPr>
          <w:rFonts w:ascii="Franklin Gothic Book" w:hAnsi="Franklin Gothic Book"/>
          <w:sz w:val="20"/>
          <w:lang w:val="en-GB"/>
        </w:rPr>
        <w:t>ought of as a sliding scale, rather than as a binary yes/no decision. For example, if one division scored 50/100 according to the scoring described in Table 6 and another division scored 75/100, the second division would be awarded a relatively higher incentive payment.</w:t>
      </w:r>
      <w:r>
        <w:rPr>
          <w:rFonts w:ascii="Franklin Gothic Book" w:hAnsi="Franklin Gothic Book"/>
          <w:sz w:val="20"/>
          <w:szCs w:val="20"/>
          <w:lang w:val="en-GB"/>
        </w:rPr>
        <w:t xml:space="preserve"> </w:t>
      </w:r>
    </w:p>
    <w:p w:rsidR="00B652E1" w:rsidRPr="001142F9" w:rsidRDefault="00B652E1" w:rsidP="00B652E1">
      <w:pPr>
        <w:spacing w:after="200" w:line="276" w:lineRule="auto"/>
        <w:rPr>
          <w:rFonts w:ascii="Franklin Gothic Book" w:hAnsi="Franklin Gothic Book"/>
          <w:szCs w:val="20"/>
        </w:rPr>
      </w:pPr>
      <w:r w:rsidRPr="001142F9">
        <w:rPr>
          <w:rFonts w:ascii="Franklin Gothic Book" w:hAnsi="Franklin Gothic Book"/>
          <w:szCs w:val="20"/>
        </w:rPr>
        <w:t>Recipients will be asked to describe how the money will be used in a simple addendum to their annual workplan. The subsequent quarterly report will include reference to how the incentive payments have been used.</w:t>
      </w:r>
    </w:p>
    <w:p w:rsidR="00B652E1" w:rsidRPr="005F4FAA" w:rsidRDefault="00B652E1" w:rsidP="00B652E1">
      <w:pPr>
        <w:pStyle w:val="ListParagraph"/>
        <w:numPr>
          <w:ilvl w:val="0"/>
          <w:numId w:val="48"/>
        </w:numPr>
        <w:spacing w:line="276" w:lineRule="auto"/>
        <w:rPr>
          <w:rFonts w:ascii="Franklin Gothic Book" w:hAnsi="Franklin Gothic Book"/>
          <w:i/>
          <w:sz w:val="20"/>
          <w:szCs w:val="20"/>
          <w:lang w:val="en-GB"/>
        </w:rPr>
      </w:pPr>
      <w:r w:rsidRPr="005F4FAA">
        <w:rPr>
          <w:rFonts w:ascii="Franklin Gothic Book" w:hAnsi="Franklin Gothic Book"/>
          <w:i/>
          <w:sz w:val="20"/>
          <w:szCs w:val="20"/>
          <w:lang w:val="en-GB"/>
        </w:rPr>
        <w:t xml:space="preserve">Up to $400,000 for the MoH as a whole, with decisions in 2017 and 2019 </w:t>
      </w:r>
    </w:p>
    <w:p w:rsidR="00B652E1" w:rsidRPr="005F4FAA" w:rsidRDefault="00B652E1" w:rsidP="00B652E1">
      <w:pPr>
        <w:spacing w:after="120" w:line="276" w:lineRule="auto"/>
        <w:rPr>
          <w:rFonts w:ascii="Franklin Gothic Book" w:hAnsi="Franklin Gothic Book"/>
          <w:szCs w:val="20"/>
          <w:lang w:val="en-GB"/>
        </w:rPr>
      </w:pPr>
      <w:r w:rsidRPr="005F4FAA">
        <w:rPr>
          <w:rFonts w:ascii="Franklin Gothic Book" w:hAnsi="Franklin Gothic Book"/>
          <w:szCs w:val="20"/>
          <w:lang w:val="en-GB"/>
        </w:rPr>
        <w:t xml:space="preserve">Up to $200,000 will be available for allocation to the MoH as a whole, based on the findings of the Independent Progress Report (IPR) in late 2017 and up to $200,000 more towards the end of THSSP2 in 2019/20 based on the extent to which </w:t>
      </w:r>
      <w:r>
        <w:rPr>
          <w:rFonts w:ascii="Franklin Gothic Book" w:hAnsi="Franklin Gothic Book"/>
          <w:szCs w:val="20"/>
          <w:lang w:val="en-GB"/>
        </w:rPr>
        <w:t xml:space="preserve">targets have been met and </w:t>
      </w:r>
      <w:r w:rsidRPr="005F4FAA">
        <w:rPr>
          <w:rFonts w:ascii="Franklin Gothic Book" w:hAnsi="Franklin Gothic Book"/>
          <w:szCs w:val="20"/>
          <w:lang w:val="en-GB"/>
        </w:rPr>
        <w:t xml:space="preserve">the recommendations of the IPR have been implemented. </w:t>
      </w:r>
    </w:p>
    <w:p w:rsidR="00B652E1" w:rsidRPr="005F4FAA" w:rsidRDefault="00B652E1" w:rsidP="00B652E1">
      <w:pPr>
        <w:spacing w:after="120" w:line="276" w:lineRule="auto"/>
        <w:rPr>
          <w:rFonts w:ascii="Franklin Gothic Book" w:hAnsi="Franklin Gothic Book"/>
          <w:szCs w:val="20"/>
        </w:rPr>
      </w:pPr>
      <w:r w:rsidRPr="005F4FAA">
        <w:rPr>
          <w:rFonts w:ascii="Franklin Gothic Book" w:hAnsi="Franklin Gothic Book"/>
          <w:szCs w:val="20"/>
          <w:lang w:val="en-GB"/>
        </w:rPr>
        <w:t xml:space="preserve">The IPR will include </w:t>
      </w:r>
      <w:r w:rsidRPr="005F4FAA">
        <w:rPr>
          <w:rFonts w:ascii="Franklin Gothic Book" w:eastAsiaTheme="minorHAnsi" w:hAnsi="Franklin Gothic Book"/>
          <w:bCs/>
          <w:szCs w:val="20"/>
          <w:lang w:val="en-GB" w:eastAsia="en-US"/>
        </w:rPr>
        <w:t>Evaluation Criteria Ratings (scores). The amount of any performance payments will be based on these ratings and the extent to which the THSSP2 targets</w:t>
      </w:r>
      <w:r>
        <w:rPr>
          <w:rFonts w:ascii="Franklin Gothic Book" w:eastAsiaTheme="minorHAnsi" w:hAnsi="Franklin Gothic Book"/>
          <w:bCs/>
          <w:szCs w:val="20"/>
          <w:lang w:val="en-GB" w:eastAsia="en-US"/>
        </w:rPr>
        <w:t>/outcomes/outputs</w:t>
      </w:r>
      <w:r w:rsidRPr="005F4FAA">
        <w:rPr>
          <w:rFonts w:ascii="Franklin Gothic Book" w:eastAsiaTheme="minorHAnsi" w:hAnsi="Franklin Gothic Book"/>
          <w:bCs/>
          <w:szCs w:val="20"/>
          <w:lang w:val="en-GB" w:eastAsia="en-US"/>
        </w:rPr>
        <w:t xml:space="preserve"> have been </w:t>
      </w:r>
      <w:r>
        <w:rPr>
          <w:rFonts w:ascii="Franklin Gothic Book" w:eastAsiaTheme="minorHAnsi" w:hAnsi="Franklin Gothic Book"/>
          <w:bCs/>
          <w:szCs w:val="20"/>
          <w:lang w:val="en-GB" w:eastAsia="en-US"/>
        </w:rPr>
        <w:t xml:space="preserve">achieved </w:t>
      </w:r>
      <w:r w:rsidRPr="005F4FAA">
        <w:rPr>
          <w:rFonts w:ascii="Franklin Gothic Book" w:eastAsiaTheme="minorHAnsi" w:hAnsi="Franklin Gothic Book"/>
          <w:bCs/>
          <w:szCs w:val="20"/>
          <w:lang w:val="en-GB" w:eastAsia="en-US"/>
        </w:rPr>
        <w:t xml:space="preserve">for the appropriate time period. An objective way of combining the scores and target-achievements will be agreed in advance of the IPR by the Performance Payments Panel (PPP). The payment should be available on a sliding scale, not as an all-or-nothing, win-or-lose incentive. </w:t>
      </w:r>
    </w:p>
    <w:p w:rsidR="00B652E1" w:rsidRPr="005F4FAA" w:rsidRDefault="00B652E1" w:rsidP="00B652E1">
      <w:pPr>
        <w:pStyle w:val="ListParagraph"/>
        <w:numPr>
          <w:ilvl w:val="0"/>
          <w:numId w:val="0"/>
        </w:numPr>
        <w:spacing w:line="276" w:lineRule="auto"/>
        <w:rPr>
          <w:rFonts w:ascii="Franklin Gothic Book" w:eastAsiaTheme="minorHAnsi" w:hAnsi="Franklin Gothic Book"/>
          <w:bCs/>
          <w:sz w:val="20"/>
          <w:szCs w:val="20"/>
          <w:lang w:val="en-GB" w:eastAsia="en-US"/>
        </w:rPr>
      </w:pPr>
      <w:r w:rsidRPr="005F4FAA">
        <w:rPr>
          <w:rFonts w:ascii="Franklin Gothic Book" w:hAnsi="Franklin Gothic Book"/>
          <w:sz w:val="20"/>
          <w:szCs w:val="20"/>
        </w:rPr>
        <w:t xml:space="preserve">Similarly, the payment awarded in 2020 should be based on </w:t>
      </w:r>
      <w:r w:rsidRPr="005F4FAA">
        <w:rPr>
          <w:rFonts w:ascii="Franklin Gothic Book" w:eastAsiaTheme="minorHAnsi" w:hAnsi="Franklin Gothic Book"/>
          <w:bCs/>
          <w:sz w:val="20"/>
          <w:szCs w:val="20"/>
          <w:lang w:val="en-GB" w:eastAsia="en-US"/>
        </w:rPr>
        <w:t xml:space="preserve">the extent to which the THSSP2 targets have been met, plus the extent to which the recommendations of the IPR have been implemented. Again, an objective way of combining the information about targets and recommendations will be agreed in advance by the PPP. Also again, the payment should be available on a sliding scale, not as an all-or-nothing incentive. </w:t>
      </w:r>
    </w:p>
    <w:p w:rsidR="00B652E1" w:rsidRPr="005F4FAA" w:rsidRDefault="00B652E1" w:rsidP="00B652E1">
      <w:pPr>
        <w:spacing w:line="276" w:lineRule="auto"/>
        <w:rPr>
          <w:rFonts w:ascii="Franklin Gothic Book" w:eastAsiaTheme="minorHAnsi" w:hAnsi="Franklin Gothic Book"/>
          <w:bCs/>
          <w:szCs w:val="20"/>
          <w:lang w:val="en-GB" w:eastAsia="en-US"/>
        </w:rPr>
      </w:pPr>
      <w:r w:rsidRPr="005F4FAA">
        <w:rPr>
          <w:rFonts w:ascii="Franklin Gothic Book" w:eastAsiaTheme="minorHAnsi" w:hAnsi="Franklin Gothic Book"/>
          <w:bCs/>
          <w:szCs w:val="20"/>
          <w:lang w:val="en-GB" w:eastAsia="en-US"/>
        </w:rPr>
        <w:t xml:space="preserve">In general, the PPP should oversee the process for awarding this $400,000. </w:t>
      </w:r>
    </w:p>
    <w:p w:rsidR="00B652E1" w:rsidRPr="005F4FAA" w:rsidRDefault="00B652E1" w:rsidP="00B652E1">
      <w:pPr>
        <w:spacing w:line="276" w:lineRule="auto"/>
        <w:rPr>
          <w:rFonts w:ascii="Franklin Gothic Book" w:eastAsiaTheme="minorHAnsi" w:hAnsi="Franklin Gothic Book"/>
          <w:bCs/>
          <w:szCs w:val="20"/>
          <w:lang w:val="en-GB" w:eastAsia="en-US"/>
        </w:rPr>
      </w:pPr>
    </w:p>
    <w:p w:rsidR="00B652E1" w:rsidRPr="005F4FAA" w:rsidRDefault="00B652E1" w:rsidP="00B652E1">
      <w:pPr>
        <w:spacing w:after="200" w:line="276" w:lineRule="auto"/>
        <w:rPr>
          <w:rFonts w:ascii="Franklin Gothic Book" w:hAnsi="Franklin Gothic Book"/>
          <w:szCs w:val="20"/>
        </w:rPr>
      </w:pPr>
      <w:r w:rsidRPr="005F4FAA">
        <w:rPr>
          <w:rFonts w:ascii="Franklin Gothic Book" w:hAnsi="Franklin Gothic Book"/>
          <w:szCs w:val="20"/>
        </w:rPr>
        <w:t xml:space="preserve">Performance-based funding is a new way of working for the Ministry of Health and DFAT in Tonga, plus it is known from </w:t>
      </w:r>
      <w:r>
        <w:rPr>
          <w:rFonts w:ascii="Franklin Gothic Book" w:hAnsi="Franklin Gothic Book"/>
          <w:szCs w:val="20"/>
        </w:rPr>
        <w:t xml:space="preserve">the </w:t>
      </w:r>
      <w:r w:rsidRPr="005F4FAA">
        <w:rPr>
          <w:rFonts w:ascii="Franklin Gothic Book" w:hAnsi="Franklin Gothic Book"/>
          <w:szCs w:val="20"/>
        </w:rPr>
        <w:t>experience of the DFAT-funded health program in the Solomon Islands that these kind</w:t>
      </w:r>
      <w:r>
        <w:rPr>
          <w:rFonts w:ascii="Franklin Gothic Book" w:hAnsi="Franklin Gothic Book"/>
          <w:szCs w:val="20"/>
        </w:rPr>
        <w:t>s</w:t>
      </w:r>
      <w:r w:rsidRPr="005F4FAA">
        <w:rPr>
          <w:rFonts w:ascii="Franklin Gothic Book" w:hAnsi="Franklin Gothic Book"/>
          <w:szCs w:val="20"/>
        </w:rPr>
        <w:t xml:space="preserve"> of schemes often need to be adapted in the early years to ensure that they function as intended. For these reasons, the NHDC and DFAT can discuss possible changes to the details of the scheme each year and can make minor adjustments if there is mutual agreement. In addition, TORs for the Independent Progress Review will include a thorough assessment of how well the performance-based funding is working.  </w:t>
      </w:r>
    </w:p>
    <w:p w:rsidR="00B652E1" w:rsidRPr="005F4FAA" w:rsidRDefault="00B652E1" w:rsidP="00B652E1">
      <w:pPr>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The point</w:t>
      </w:r>
      <w:r>
        <w:rPr>
          <w:rFonts w:ascii="Franklin Gothic Book" w:eastAsia="Times New Roman" w:hAnsi="Franklin Gothic Book"/>
          <w:szCs w:val="20"/>
          <w:lang w:eastAsia="en-US"/>
        </w:rPr>
        <w:t>s above are presented in Annex 7</w:t>
      </w:r>
      <w:r w:rsidRPr="005F4FAA">
        <w:rPr>
          <w:rFonts w:ascii="Franklin Gothic Book" w:eastAsia="Times New Roman" w:hAnsi="Franklin Gothic Book"/>
          <w:szCs w:val="20"/>
          <w:lang w:eastAsia="en-US"/>
        </w:rPr>
        <w:t xml:space="preserve"> as draft guidelines for the allocation of performance-based payments.</w:t>
      </w:r>
    </w:p>
    <w:p w:rsidR="00B652E1" w:rsidRPr="005F4FAA" w:rsidRDefault="00B652E1" w:rsidP="00B652E1">
      <w:pPr>
        <w:spacing w:before="80" w:line="276" w:lineRule="auto"/>
        <w:rPr>
          <w:rFonts w:ascii="Franklin Gothic Book" w:eastAsia="Times New Roman" w:hAnsi="Franklin Gothic Book"/>
          <w:szCs w:val="20"/>
          <w:u w:val="single"/>
          <w:lang w:eastAsia="en-US"/>
        </w:rPr>
      </w:pPr>
    </w:p>
    <w:p w:rsidR="00B652E1" w:rsidRDefault="00B652E1" w:rsidP="00F12BE8">
      <w:pPr>
        <w:pStyle w:val="Heading2"/>
        <w:rPr>
          <w:szCs w:val="20"/>
          <w:lang w:eastAsia="en-US"/>
        </w:rPr>
      </w:pPr>
      <w:r w:rsidRPr="00F12BE8">
        <w:t>Monitoring and Evaluation (M&amp;E)</w:t>
      </w:r>
      <w:r>
        <w:rPr>
          <w:szCs w:val="20"/>
          <w:lang w:eastAsia="en-US"/>
        </w:rPr>
        <w:t xml:space="preserve"> </w:t>
      </w:r>
    </w:p>
    <w:p w:rsidR="00B652E1" w:rsidRDefault="00B652E1" w:rsidP="00B652E1">
      <w:pPr>
        <w:spacing w:before="80" w:line="276" w:lineRule="auto"/>
        <w:rPr>
          <w:rFonts w:ascii="Franklin Gothic Book" w:eastAsia="Times New Roman" w:hAnsi="Franklin Gothic Book"/>
          <w:szCs w:val="20"/>
          <w:lang w:eastAsia="en-US"/>
        </w:rPr>
      </w:pPr>
      <w:r w:rsidRPr="005F471C">
        <w:rPr>
          <w:rFonts w:ascii="Franklin Gothic Book" w:eastAsia="Times New Roman" w:hAnsi="Franklin Gothic Book"/>
          <w:szCs w:val="20"/>
          <w:lang w:eastAsia="en-US"/>
        </w:rPr>
        <w:t xml:space="preserve">The section above on </w:t>
      </w:r>
      <w:r w:rsidRPr="005F471C">
        <w:rPr>
          <w:rFonts w:ascii="Franklin Gothic Book" w:eastAsia="Times New Roman" w:hAnsi="Franklin Gothic Book"/>
          <w:i/>
          <w:szCs w:val="20"/>
          <w:lang w:eastAsia="en-US"/>
        </w:rPr>
        <w:t>Program Logic and Expected Outcomes</w:t>
      </w:r>
      <w:r w:rsidRPr="005F471C">
        <w:rPr>
          <w:rFonts w:ascii="Franklin Gothic Book" w:eastAsia="Times New Roman" w:hAnsi="Franklin Gothic Book"/>
          <w:szCs w:val="20"/>
          <w:lang w:eastAsia="en-US"/>
        </w:rPr>
        <w:t xml:space="preserve"> described the program logic (or theory of change) and referred to the full monitoring framework of </w:t>
      </w:r>
      <w:r w:rsidRPr="00D57208">
        <w:rPr>
          <w:rFonts w:ascii="Franklin Gothic Book" w:eastAsia="Times New Roman" w:hAnsi="Franklin Gothic Book"/>
          <w:szCs w:val="20"/>
          <w:lang w:eastAsia="en-US"/>
        </w:rPr>
        <w:t>indicators in Annex 1</w:t>
      </w:r>
      <w:r>
        <w:rPr>
          <w:rFonts w:ascii="Franklin Gothic Book" w:eastAsia="Times New Roman" w:hAnsi="Franklin Gothic Book"/>
          <w:szCs w:val="20"/>
          <w:lang w:eastAsia="en-US"/>
        </w:rPr>
        <w:t>2</w:t>
      </w:r>
      <w:r w:rsidRPr="00D57208">
        <w:rPr>
          <w:rFonts w:ascii="Franklin Gothic Book" w:eastAsia="Times New Roman" w:hAnsi="Franklin Gothic Book"/>
          <w:szCs w:val="20"/>
          <w:lang w:eastAsia="en-US"/>
        </w:rPr>
        <w:t xml:space="preserve">. </w:t>
      </w:r>
    </w:p>
    <w:p w:rsidR="00B652E1" w:rsidRPr="006952D2" w:rsidRDefault="00B652E1" w:rsidP="00B652E1">
      <w:pPr>
        <w:spacing w:before="80" w:line="276" w:lineRule="auto"/>
        <w:rPr>
          <w:rFonts w:ascii="Franklin Gothic Book" w:eastAsia="Times New Roman" w:hAnsi="Franklin Gothic Book"/>
          <w:szCs w:val="20"/>
          <w:lang w:eastAsia="en-US"/>
        </w:rPr>
      </w:pPr>
      <w:r>
        <w:rPr>
          <w:rFonts w:ascii="Franklin Gothic Book" w:eastAsia="Times New Roman" w:hAnsi="Franklin Gothic Book"/>
          <w:szCs w:val="20"/>
          <w:lang w:eastAsia="en-US"/>
        </w:rPr>
        <w:t xml:space="preserve">A </w:t>
      </w:r>
      <w:r w:rsidRPr="00DB35E7">
        <w:rPr>
          <w:rFonts w:ascii="Franklin Gothic Book" w:eastAsia="Times New Roman" w:hAnsi="Franklin Gothic Book"/>
          <w:szCs w:val="20"/>
          <w:lang w:eastAsia="en-US"/>
        </w:rPr>
        <w:t>Performance Assessment Framework</w:t>
      </w:r>
      <w:r>
        <w:rPr>
          <w:rFonts w:ascii="Franklin Gothic Book" w:eastAsia="Times New Roman" w:hAnsi="Franklin Gothic Book"/>
          <w:szCs w:val="20"/>
          <w:lang w:eastAsia="en-US"/>
        </w:rPr>
        <w:t xml:space="preserve"> will be jointly developed by the Ministry of Health, </w:t>
      </w:r>
      <w:r w:rsidRPr="00887C16">
        <w:rPr>
          <w:rFonts w:ascii="Franklin Gothic Book" w:eastAsia="Times New Roman" w:hAnsi="Franklin Gothic Book"/>
          <w:szCs w:val="20"/>
          <w:lang w:eastAsia="en-US"/>
        </w:rPr>
        <w:t xml:space="preserve">TongaHealth and DFAT through the Implementation Phase of the program. </w:t>
      </w:r>
      <w:r w:rsidRPr="00687A54">
        <w:rPr>
          <w:rFonts w:ascii="Franklin Gothic Book" w:hAnsi="Franklin Gothic Book"/>
        </w:rPr>
        <w:t xml:space="preserve">Annex 18 gives the start of the this M&amp;E Performance Assessment Framework, which will be completed during Year 1 of THSSP2, guided by the Director of Planning and the TA Planning Adviser. </w:t>
      </w:r>
      <w:r w:rsidRPr="00887C16">
        <w:rPr>
          <w:rFonts w:ascii="Franklin Gothic Book" w:eastAsia="Times New Roman" w:hAnsi="Franklin Gothic Book"/>
          <w:szCs w:val="20"/>
          <w:lang w:eastAsia="en-US"/>
        </w:rPr>
        <w:t>Each indicator in Annex 12 will have a time frequency attached to it and the National Health Development</w:t>
      </w:r>
      <w:r>
        <w:rPr>
          <w:rFonts w:ascii="Franklin Gothic Book" w:eastAsia="Times New Roman" w:hAnsi="Franklin Gothic Book"/>
          <w:szCs w:val="20"/>
          <w:lang w:eastAsia="en-US"/>
        </w:rPr>
        <w:t xml:space="preserve"> Committee and TongaHealth Board will expect to see reports of progress against indicators according to this schedule. The DFAT Second Secretary and DFAT Health Program Manager will carefully scrutinise the quarterly monitoring reports to ensure that reporting is up-to-date. This will take some time to work smoothly: the TA Planning Adviser will support the process and stress the </w:t>
      </w:r>
      <w:r w:rsidRPr="006952D2">
        <w:rPr>
          <w:rFonts w:ascii="Franklin Gothic Book" w:eastAsia="Times New Roman" w:hAnsi="Franklin Gothic Book"/>
          <w:szCs w:val="20"/>
          <w:lang w:eastAsia="en-US"/>
        </w:rPr>
        <w:t>importance of incorporating indicators</w:t>
      </w:r>
      <w:r>
        <w:rPr>
          <w:rFonts w:ascii="Franklin Gothic Book" w:eastAsia="Times New Roman" w:hAnsi="Franklin Gothic Book"/>
          <w:szCs w:val="20"/>
          <w:lang w:eastAsia="en-US"/>
        </w:rPr>
        <w:t xml:space="preserve"> </w:t>
      </w:r>
      <w:r w:rsidRPr="006952D2">
        <w:rPr>
          <w:rFonts w:ascii="Franklin Gothic Book" w:eastAsia="Times New Roman" w:hAnsi="Franklin Gothic Book"/>
          <w:szCs w:val="20"/>
          <w:lang w:eastAsia="en-US"/>
        </w:rPr>
        <w:t xml:space="preserve">in plans and monitoring reports. The responsible Division in the Ministry of Health is Planning, which has responsibilities for both compiling the monitoring reports and providing information. </w:t>
      </w:r>
      <w:r>
        <w:rPr>
          <w:rFonts w:ascii="Franklin Gothic Book" w:eastAsia="Times New Roman" w:hAnsi="Franklin Gothic Book"/>
          <w:szCs w:val="20"/>
          <w:lang w:eastAsia="en-US"/>
        </w:rPr>
        <w:t>Work at section level also needs to take place and the twinning partnership with the Saint John of God Hospital in Ballarat will provide the necessary support to ensure section and individual reports are reflective of Division and corporate plans.</w:t>
      </w:r>
    </w:p>
    <w:p w:rsidR="00B652E1" w:rsidRPr="00887C16" w:rsidRDefault="00B652E1" w:rsidP="00B652E1">
      <w:pPr>
        <w:spacing w:before="80" w:line="276" w:lineRule="auto"/>
        <w:rPr>
          <w:rFonts w:ascii="Franklin Gothic Book" w:eastAsia="Times New Roman" w:hAnsi="Franklin Gothic Book"/>
          <w:szCs w:val="20"/>
          <w:lang w:eastAsia="en-US"/>
        </w:rPr>
      </w:pPr>
      <w:r w:rsidRPr="00687A54">
        <w:rPr>
          <w:rFonts w:ascii="Franklin Gothic Book" w:hAnsi="Franklin Gothic Book"/>
        </w:rPr>
        <w:t>The M&amp;E Performance Assessment Framework describes who is responsible for collecting data and when. The main sources of data are:</w:t>
      </w:r>
      <w:r w:rsidRPr="00887C16">
        <w:rPr>
          <w:rFonts w:ascii="Franklin Gothic Book" w:eastAsia="Times New Roman" w:hAnsi="Franklin Gothic Book"/>
          <w:szCs w:val="20"/>
          <w:lang w:eastAsia="en-US"/>
        </w:rPr>
        <w:t xml:space="preserve"> </w:t>
      </w:r>
    </w:p>
    <w:p w:rsidR="00B652E1" w:rsidRPr="00887C16" w:rsidRDefault="00B652E1" w:rsidP="00B652E1">
      <w:pPr>
        <w:pStyle w:val="ListParagraph"/>
        <w:numPr>
          <w:ilvl w:val="0"/>
          <w:numId w:val="44"/>
        </w:numPr>
        <w:spacing w:before="80" w:line="276" w:lineRule="auto"/>
        <w:rPr>
          <w:rFonts w:ascii="Franklin Gothic Book" w:hAnsi="Franklin Gothic Book"/>
          <w:sz w:val="20"/>
          <w:szCs w:val="20"/>
          <w:lang w:eastAsia="en-US"/>
        </w:rPr>
      </w:pPr>
      <w:r w:rsidRPr="00887C16">
        <w:rPr>
          <w:rFonts w:ascii="Franklin Gothic Book" w:hAnsi="Franklin Gothic Book"/>
          <w:sz w:val="20"/>
          <w:szCs w:val="20"/>
          <w:lang w:eastAsia="en-US"/>
        </w:rPr>
        <w:t xml:space="preserve">The Health Information System (including hospitals, primary care facilities and outreach) </w:t>
      </w:r>
    </w:p>
    <w:p w:rsidR="00B652E1" w:rsidRPr="006952D2" w:rsidRDefault="00B652E1" w:rsidP="00B652E1">
      <w:pPr>
        <w:pStyle w:val="ListParagraph"/>
        <w:numPr>
          <w:ilvl w:val="0"/>
          <w:numId w:val="44"/>
        </w:numPr>
        <w:spacing w:before="80" w:line="276" w:lineRule="auto"/>
        <w:rPr>
          <w:rFonts w:ascii="Franklin Gothic Book" w:hAnsi="Franklin Gothic Book"/>
          <w:sz w:val="20"/>
          <w:szCs w:val="20"/>
          <w:lang w:eastAsia="en-US"/>
        </w:rPr>
      </w:pPr>
      <w:r w:rsidRPr="006952D2">
        <w:rPr>
          <w:rFonts w:ascii="Franklin Gothic Book" w:hAnsi="Franklin Gothic Book"/>
          <w:sz w:val="20"/>
          <w:szCs w:val="20"/>
          <w:lang w:eastAsia="en-US"/>
        </w:rPr>
        <w:t xml:space="preserve">Reviews of health promotion campaigns to measure changes in knowledge, attitudes and behaviour. </w:t>
      </w:r>
    </w:p>
    <w:p w:rsidR="00B652E1" w:rsidRDefault="00B652E1" w:rsidP="00B652E1">
      <w:pPr>
        <w:pStyle w:val="ListParagraph"/>
        <w:numPr>
          <w:ilvl w:val="0"/>
          <w:numId w:val="44"/>
        </w:numPr>
        <w:spacing w:before="80" w:line="276" w:lineRule="auto"/>
        <w:rPr>
          <w:rFonts w:ascii="Franklin Gothic Book" w:hAnsi="Franklin Gothic Book"/>
          <w:sz w:val="20"/>
          <w:szCs w:val="20"/>
          <w:lang w:eastAsia="en-US"/>
        </w:rPr>
      </w:pPr>
      <w:r w:rsidRPr="006952D2">
        <w:rPr>
          <w:rFonts w:ascii="Franklin Gothic Book" w:hAnsi="Franklin Gothic Book"/>
          <w:sz w:val="20"/>
          <w:szCs w:val="20"/>
          <w:lang w:eastAsia="en-US"/>
        </w:rPr>
        <w:t>STEPs, the five-yearly survey o</w:t>
      </w:r>
      <w:r>
        <w:rPr>
          <w:rFonts w:ascii="Franklin Gothic Book" w:hAnsi="Franklin Gothic Book"/>
          <w:sz w:val="20"/>
          <w:szCs w:val="20"/>
          <w:lang w:eastAsia="en-US"/>
        </w:rPr>
        <w:t>f</w:t>
      </w:r>
      <w:r w:rsidRPr="006952D2">
        <w:rPr>
          <w:rFonts w:ascii="Franklin Gothic Book" w:hAnsi="Franklin Gothic Book"/>
          <w:sz w:val="20"/>
          <w:szCs w:val="20"/>
          <w:lang w:eastAsia="en-US"/>
        </w:rPr>
        <w:t xml:space="preserve"> NCD risk factors</w:t>
      </w:r>
      <w:r>
        <w:rPr>
          <w:rFonts w:ascii="Franklin Gothic Book" w:hAnsi="Franklin Gothic Book"/>
          <w:sz w:val="20"/>
          <w:szCs w:val="20"/>
          <w:lang w:eastAsia="en-US"/>
        </w:rPr>
        <w:t>.</w:t>
      </w:r>
    </w:p>
    <w:p w:rsidR="00B652E1" w:rsidRDefault="00B652E1" w:rsidP="00B652E1">
      <w:pPr>
        <w:pStyle w:val="ListParagraph"/>
        <w:numPr>
          <w:ilvl w:val="0"/>
          <w:numId w:val="44"/>
        </w:numPr>
        <w:spacing w:before="80" w:line="276" w:lineRule="auto"/>
        <w:rPr>
          <w:rFonts w:ascii="Franklin Gothic Book" w:hAnsi="Franklin Gothic Book"/>
          <w:sz w:val="20"/>
          <w:szCs w:val="20"/>
          <w:lang w:eastAsia="en-US"/>
        </w:rPr>
      </w:pPr>
      <w:r w:rsidRPr="006952D2">
        <w:rPr>
          <w:rFonts w:ascii="Franklin Gothic Book" w:hAnsi="Franklin Gothic Book"/>
          <w:sz w:val="20"/>
          <w:szCs w:val="20"/>
          <w:lang w:eastAsia="en-US"/>
        </w:rPr>
        <w:t xml:space="preserve">Analyses of the MOH Annual Management Plans and TongaHealth work-plans. These will initially be done by the Planning Adviser, but from year 3 onwards by the MOH (Planning Division) and TongaHealth respectively. </w:t>
      </w:r>
    </w:p>
    <w:p w:rsidR="00B652E1" w:rsidRDefault="00B652E1" w:rsidP="00B652E1">
      <w:pPr>
        <w:spacing w:before="80" w:line="276" w:lineRule="auto"/>
        <w:jc w:val="both"/>
        <w:rPr>
          <w:rFonts w:ascii="Franklin Gothic Book" w:hAnsi="Franklin Gothic Book"/>
          <w:szCs w:val="20"/>
          <w:lang w:eastAsia="en-US"/>
        </w:rPr>
      </w:pPr>
      <w:r>
        <w:rPr>
          <w:rFonts w:ascii="Franklin Gothic Book" w:hAnsi="Franklin Gothic Book"/>
          <w:szCs w:val="20"/>
          <w:lang w:eastAsia="en-US"/>
        </w:rPr>
        <w:t xml:space="preserve">The Health Information System (HIS) is the most complex of the sources. The Asian Development Bank is in the early stages of support for health information: in co-ordination with this work, THSSP2 can fund HIS strengthening activities. An important activity in Year 1 will be to gauge what needs to be done to improve the capacity of the HIS. </w:t>
      </w:r>
    </w:p>
    <w:p w:rsidR="00B652E1" w:rsidRDefault="00B652E1" w:rsidP="00B652E1">
      <w:pPr>
        <w:spacing w:before="80" w:line="276" w:lineRule="auto"/>
        <w:jc w:val="both"/>
        <w:rPr>
          <w:rFonts w:ascii="Franklin Gothic Book" w:hAnsi="Franklin Gothic Book"/>
          <w:szCs w:val="20"/>
          <w:lang w:eastAsia="en-US"/>
        </w:rPr>
      </w:pPr>
      <w:r>
        <w:rPr>
          <w:rFonts w:ascii="Franklin Gothic Book" w:hAnsi="Franklin Gothic Book"/>
          <w:szCs w:val="20"/>
          <w:lang w:eastAsia="en-US"/>
        </w:rPr>
        <w:t xml:space="preserve">In addition to the sources listed above, the Ministry of Internal Affairs, which is the implementing agency responsible for the National Disability Strategy, is gradually improving its database about disability. </w:t>
      </w:r>
    </w:p>
    <w:p w:rsidR="00B652E1" w:rsidRPr="00887C16" w:rsidRDefault="00B652E1" w:rsidP="00B652E1">
      <w:pPr>
        <w:spacing w:before="80" w:line="276" w:lineRule="auto"/>
        <w:jc w:val="both"/>
        <w:rPr>
          <w:rFonts w:ascii="Franklin Gothic Book" w:hAnsi="Franklin Gothic Book"/>
          <w:szCs w:val="20"/>
          <w:lang w:eastAsia="en-US"/>
        </w:rPr>
      </w:pPr>
      <w:r>
        <w:rPr>
          <w:rFonts w:ascii="Franklin Gothic Book" w:hAnsi="Franklin Gothic Book"/>
          <w:szCs w:val="20"/>
          <w:lang w:eastAsia="en-US"/>
        </w:rPr>
        <w:t xml:space="preserve">There are important links between the Risk Register and monitoring: both will be discussed regularly at NHDC and TongaHealth Board meetings. For example, one risk is that the Health Information System (HIS) takes too long to produce consolidated information about primary health care activities. If the quarterly monitoring reports do not include the expected information, the Risk Register signals that it is time to think about what support is needed for the HIS: it is not just a matter of waiting for next time and hoping the information will appear. The mitigation </w:t>
      </w:r>
      <w:r w:rsidRPr="00887C16">
        <w:rPr>
          <w:rFonts w:ascii="Franklin Gothic Book" w:hAnsi="Franklin Gothic Book"/>
          <w:szCs w:val="20"/>
          <w:lang w:eastAsia="en-US"/>
        </w:rPr>
        <w:t xml:space="preserve">strategies for this risk would then be worked out in detail and included in the relevant work-plan. </w:t>
      </w:r>
    </w:p>
    <w:p w:rsidR="00B652E1" w:rsidRDefault="00B652E1" w:rsidP="00B652E1">
      <w:pPr>
        <w:spacing w:before="80" w:line="276" w:lineRule="auto"/>
        <w:jc w:val="both"/>
        <w:rPr>
          <w:rFonts w:ascii="Franklin Gothic Book" w:hAnsi="Franklin Gothic Book"/>
          <w:szCs w:val="20"/>
          <w:lang w:eastAsia="en-US"/>
        </w:rPr>
      </w:pPr>
      <w:r w:rsidRPr="00687A54">
        <w:rPr>
          <w:rFonts w:ascii="Franklin Gothic Book" w:hAnsi="Franklin Gothic Book"/>
        </w:rPr>
        <w:t>The Independent Progress Review of THSSP2 in late 2017 is an opportunity to scrutinise achievements in terms of outputs and outcomes and to interrogate the program logic to consider</w:t>
      </w:r>
      <w:r w:rsidRPr="00887C16">
        <w:rPr>
          <w:rFonts w:ascii="Franklin Gothic Book" w:hAnsi="Franklin Gothic Book"/>
          <w:szCs w:val="20"/>
          <w:lang w:eastAsia="en-US"/>
        </w:rPr>
        <w:t xml:space="preserve"> whether the thinking under-pinning THSSP2 is still valid. In particular, is there evidence that the</w:t>
      </w:r>
      <w:r>
        <w:rPr>
          <w:rFonts w:ascii="Franklin Gothic Book" w:hAnsi="Franklin Gothic Book"/>
          <w:szCs w:val="20"/>
          <w:lang w:eastAsia="en-US"/>
        </w:rPr>
        <w:t xml:space="preserve"> Ministry of Health is making good decisions about resource allocation to improve NCDs and then effectively overseeing implementation? </w:t>
      </w:r>
    </w:p>
    <w:p w:rsidR="00B652E1" w:rsidRDefault="00B652E1" w:rsidP="00B652E1">
      <w:pPr>
        <w:spacing w:before="80" w:line="276" w:lineRule="auto"/>
        <w:jc w:val="both"/>
        <w:rPr>
          <w:rFonts w:ascii="Franklin Gothic Book" w:hAnsi="Franklin Gothic Book"/>
          <w:szCs w:val="20"/>
          <w:lang w:eastAsia="en-US"/>
        </w:rPr>
      </w:pPr>
    </w:p>
    <w:p w:rsidR="00B652E1" w:rsidRPr="006952D2" w:rsidRDefault="00B652E1" w:rsidP="00B652E1">
      <w:pPr>
        <w:pStyle w:val="ListParagraph"/>
        <w:numPr>
          <w:ilvl w:val="0"/>
          <w:numId w:val="0"/>
        </w:numPr>
        <w:spacing w:before="80" w:line="276" w:lineRule="auto"/>
        <w:rPr>
          <w:rFonts w:ascii="Franklin Gothic Book" w:hAnsi="Franklin Gothic Book"/>
          <w:i/>
          <w:sz w:val="20"/>
          <w:szCs w:val="20"/>
          <w:lang w:eastAsia="en-US"/>
        </w:rPr>
      </w:pPr>
      <w:r w:rsidRPr="006952D2">
        <w:rPr>
          <w:rFonts w:ascii="Franklin Gothic Book" w:hAnsi="Franklin Gothic Book"/>
          <w:sz w:val="20"/>
          <w:szCs w:val="20"/>
          <w:lang w:eastAsia="en-US"/>
        </w:rPr>
        <w:t>The monit</w:t>
      </w:r>
      <w:r>
        <w:rPr>
          <w:rFonts w:ascii="Franklin Gothic Book" w:hAnsi="Franklin Gothic Book"/>
          <w:sz w:val="20"/>
          <w:szCs w:val="20"/>
          <w:lang w:eastAsia="en-US"/>
        </w:rPr>
        <w:t>o</w:t>
      </w:r>
      <w:r w:rsidRPr="006952D2">
        <w:rPr>
          <w:rFonts w:ascii="Franklin Gothic Book" w:hAnsi="Franklin Gothic Book"/>
          <w:sz w:val="20"/>
          <w:szCs w:val="20"/>
          <w:lang w:eastAsia="en-US"/>
        </w:rPr>
        <w:t>r</w:t>
      </w:r>
      <w:r>
        <w:rPr>
          <w:rFonts w:ascii="Franklin Gothic Book" w:hAnsi="Franklin Gothic Book"/>
          <w:sz w:val="20"/>
          <w:szCs w:val="20"/>
          <w:lang w:eastAsia="en-US"/>
        </w:rPr>
        <w:t>i</w:t>
      </w:r>
      <w:r w:rsidRPr="006952D2">
        <w:rPr>
          <w:rFonts w:ascii="Franklin Gothic Book" w:hAnsi="Franklin Gothic Book"/>
          <w:sz w:val="20"/>
          <w:szCs w:val="20"/>
          <w:lang w:eastAsia="en-US"/>
        </w:rPr>
        <w:t xml:space="preserve">ng of financial information </w:t>
      </w:r>
      <w:r>
        <w:rPr>
          <w:rFonts w:ascii="Franklin Gothic Book" w:hAnsi="Franklin Gothic Book"/>
          <w:sz w:val="20"/>
          <w:szCs w:val="20"/>
          <w:lang w:eastAsia="en-US"/>
        </w:rPr>
        <w:t xml:space="preserve">has been described above in the section on </w:t>
      </w:r>
      <w:r>
        <w:rPr>
          <w:rFonts w:ascii="Franklin Gothic Book" w:hAnsi="Franklin Gothic Book"/>
          <w:i/>
          <w:sz w:val="20"/>
          <w:szCs w:val="20"/>
          <w:lang w:eastAsia="en-US"/>
        </w:rPr>
        <w:t xml:space="preserve">Financial Management Arrangements. </w:t>
      </w:r>
    </w:p>
    <w:p w:rsidR="00B652E1" w:rsidRDefault="00B652E1" w:rsidP="00B652E1">
      <w:pPr>
        <w:spacing w:before="80" w:line="276" w:lineRule="auto"/>
        <w:rPr>
          <w:rFonts w:ascii="Franklin Gothic Medium" w:eastAsia="Times New Roman" w:hAnsi="Franklin Gothic Medium"/>
          <w:szCs w:val="20"/>
          <w:highlight w:val="yellow"/>
          <w:u w:val="single"/>
          <w:lang w:eastAsia="en-US"/>
        </w:rPr>
      </w:pPr>
    </w:p>
    <w:p w:rsidR="00B652E1" w:rsidRPr="00687A54" w:rsidRDefault="00B652E1" w:rsidP="00F12BE8">
      <w:pPr>
        <w:pStyle w:val="Heading2"/>
      </w:pPr>
      <w:r w:rsidRPr="00687A54">
        <w:t>Sustainability</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spacing w:line="276" w:lineRule="auto"/>
        <w:rPr>
          <w:rFonts w:ascii="Franklin Gothic Medium" w:hAnsi="Franklin Gothic Medium"/>
          <w:sz w:val="20"/>
        </w:rPr>
      </w:pPr>
      <w:r w:rsidRPr="00687A54">
        <w:rPr>
          <w:rFonts w:ascii="Franklin Gothic Medium" w:hAnsi="Franklin Gothic Medium"/>
          <w:sz w:val="20"/>
        </w:rPr>
        <w:t xml:space="preserve">Sustainability is at the heart of the design of THSSP2. An apposite statement was made by the Joint Forum Economic and Pacific Economic and Health Ministers in 2014: </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spacing w:line="276" w:lineRule="auto"/>
        <w:ind w:left="720"/>
        <w:rPr>
          <w:rFonts w:ascii="Franklin Gothic Medium" w:hAnsi="Franklin Gothic Medium"/>
          <w:sz w:val="20"/>
        </w:rPr>
      </w:pPr>
      <w:r w:rsidRPr="00687A54">
        <w:rPr>
          <w:rFonts w:ascii="Franklin Gothic Medium" w:hAnsi="Franklin Gothic Medium"/>
          <w:sz w:val="20"/>
        </w:rPr>
        <w:t xml:space="preserve">“NCDs already undermine social and economic development in the Pacific, and are financially unsustainable. NCDs impose increasingly large, yet often preventable financial costs on national budgets and the economy more broadly. Without decisive action, NCDs can undo the development gains of the last 20 years.”  </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spacing w:line="276" w:lineRule="auto"/>
        <w:rPr>
          <w:rFonts w:ascii="Franklin Gothic Medium" w:hAnsi="Franklin Gothic Medium"/>
        </w:rPr>
      </w:pPr>
      <w:r w:rsidRPr="00687A54">
        <w:rPr>
          <w:rFonts w:ascii="Franklin Gothic Medium" w:hAnsi="Franklin Gothic Medium"/>
        </w:rPr>
        <w:t>THSSP2 is about institutionalising the ability within Tonga to prevent and manage NCDs so that development gains are not undone. This is reflected in the targets for the Program, which include downward trends in premature deaths caused by NCDs, reductions in the proportion of Tongans at high risk of NCDs and savings in expensive hospitalisations through better management of NCDs in primary health care facilities. (It is more efficient to prevent an amputation than to fund the treatment costs.) Full details of the targets are given in Annex 12.</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spacing w:line="276" w:lineRule="auto"/>
        <w:rPr>
          <w:rFonts w:ascii="Franklin Gothic Medium" w:hAnsi="Franklin Gothic Medium"/>
          <w:sz w:val="20"/>
        </w:rPr>
      </w:pPr>
      <w:r w:rsidRPr="00687A54">
        <w:rPr>
          <w:rFonts w:ascii="Franklin Gothic Medium" w:hAnsi="Franklin Gothic Medium"/>
          <w:sz w:val="20"/>
        </w:rPr>
        <w:t xml:space="preserve">The strategies for achieving this sustained control over the NCD crisis are: </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numPr>
          <w:ilvl w:val="0"/>
          <w:numId w:val="52"/>
        </w:numPr>
        <w:spacing w:line="276" w:lineRule="auto"/>
        <w:rPr>
          <w:rFonts w:ascii="Franklin Gothic Medium" w:hAnsi="Franklin Gothic Medium"/>
          <w:sz w:val="20"/>
        </w:rPr>
      </w:pPr>
      <w:r w:rsidRPr="00687A54">
        <w:rPr>
          <w:rFonts w:ascii="Franklin Gothic Medium" w:hAnsi="Franklin Gothic Medium"/>
          <w:sz w:val="20"/>
        </w:rPr>
        <w:t>Strengthening the technical response to NCDs so that the diseases are dealt with effectively and equitably throughout Tonga</w:t>
      </w:r>
    </w:p>
    <w:p w:rsidR="00B652E1" w:rsidRPr="00687A54" w:rsidRDefault="00B652E1" w:rsidP="00B652E1">
      <w:pPr>
        <w:pStyle w:val="Default"/>
        <w:numPr>
          <w:ilvl w:val="0"/>
          <w:numId w:val="52"/>
        </w:numPr>
        <w:spacing w:line="276" w:lineRule="auto"/>
        <w:rPr>
          <w:rFonts w:ascii="Franklin Gothic Medium" w:hAnsi="Franklin Gothic Medium"/>
          <w:sz w:val="20"/>
        </w:rPr>
      </w:pPr>
      <w:r w:rsidRPr="00687A54">
        <w:rPr>
          <w:rFonts w:ascii="Franklin Gothic Medium" w:hAnsi="Franklin Gothic Medium"/>
          <w:sz w:val="20"/>
        </w:rPr>
        <w:t>Strengthening management systems in the Ministry of Health so that it is a more responsible and efficient  organisation</w:t>
      </w:r>
    </w:p>
    <w:p w:rsidR="00B652E1" w:rsidRPr="00687A54" w:rsidRDefault="00B652E1" w:rsidP="00B652E1">
      <w:pPr>
        <w:pStyle w:val="Default"/>
        <w:numPr>
          <w:ilvl w:val="0"/>
          <w:numId w:val="52"/>
        </w:numPr>
        <w:spacing w:line="276" w:lineRule="auto"/>
        <w:rPr>
          <w:rFonts w:ascii="Franklin Gothic Medium" w:hAnsi="Franklin Gothic Medium"/>
          <w:sz w:val="20"/>
        </w:rPr>
      </w:pPr>
      <w:r w:rsidRPr="00687A54">
        <w:rPr>
          <w:rFonts w:ascii="Franklin Gothic Medium" w:hAnsi="Franklin Gothic Medium"/>
          <w:sz w:val="20"/>
        </w:rPr>
        <w:t>Supporting TongaHealth with its work in preventing NCDs and promoting healthier individual behaviour and healthier public policies (e.g. in terms of enforcing no smoking rules).</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spacing w:line="276" w:lineRule="auto"/>
        <w:rPr>
          <w:rFonts w:ascii="Franklin Gothic Medium" w:hAnsi="Franklin Gothic Medium"/>
          <w:sz w:val="20"/>
        </w:rPr>
      </w:pPr>
      <w:r w:rsidRPr="00687A54">
        <w:rPr>
          <w:rFonts w:ascii="Franklin Gothic Medium" w:hAnsi="Franklin Gothic Medium"/>
          <w:sz w:val="20"/>
        </w:rPr>
        <w:t xml:space="preserve">All three strategies address significant reasons for the current NCD crisis –health interventions which are sub-optimal in terms of effectiveness and distribution, weak support systems and unhealthy behaviours. </w:t>
      </w:r>
    </w:p>
    <w:p w:rsidR="00B652E1" w:rsidRPr="00687A54" w:rsidRDefault="00B652E1" w:rsidP="00B652E1">
      <w:pPr>
        <w:pStyle w:val="Default"/>
        <w:spacing w:line="276" w:lineRule="auto"/>
        <w:rPr>
          <w:rFonts w:ascii="Franklin Gothic Medium" w:hAnsi="Franklin Gothic Medium"/>
          <w:sz w:val="20"/>
        </w:rPr>
      </w:pPr>
    </w:p>
    <w:p w:rsidR="00B652E1" w:rsidRPr="00687A54" w:rsidRDefault="00B652E1" w:rsidP="00B652E1">
      <w:pPr>
        <w:pStyle w:val="Default"/>
        <w:spacing w:line="276" w:lineRule="auto"/>
        <w:rPr>
          <w:rFonts w:ascii="Franklin Gothic Medium" w:hAnsi="Franklin Gothic Medium"/>
          <w:sz w:val="20"/>
        </w:rPr>
      </w:pPr>
      <w:r w:rsidRPr="00687A54">
        <w:rPr>
          <w:rFonts w:ascii="Franklin Gothic Medium" w:hAnsi="Franklin Gothic Medium"/>
          <w:sz w:val="20"/>
        </w:rPr>
        <w:t xml:space="preserve">In addition to these strategies, THSSP2’s pre-conditions ensure that there is a strong focus on the Government of Tonga’s financial commitment to the health sector. According to the latest National Health Accounts (2007/8), donors provided about 38% of total health expenditure. With percentages such as these, sustainability is always a challenge. However the two preconditions (see Box 6) are intended to protect government health expenditure as a whole, and particularly for the most cost-effective area of public health. </w:t>
      </w:r>
    </w:p>
    <w:p w:rsidR="00B652E1" w:rsidRPr="00687A54" w:rsidRDefault="00B652E1" w:rsidP="00B652E1">
      <w:pPr>
        <w:spacing w:line="276" w:lineRule="auto"/>
        <w:rPr>
          <w:rFonts w:ascii="Franklin Gothic Medium" w:hAnsi="Franklin Gothic Medium"/>
        </w:rPr>
      </w:pPr>
    </w:p>
    <w:p w:rsidR="00B652E1" w:rsidRPr="00A233A2" w:rsidRDefault="00B652E1" w:rsidP="00B652E1">
      <w:pPr>
        <w:spacing w:line="276" w:lineRule="auto"/>
        <w:rPr>
          <w:rFonts w:ascii="Franklin Gothic Medium" w:hAnsi="Franklin Gothic Medium"/>
          <w:szCs w:val="20"/>
          <w:highlight w:val="yellow"/>
        </w:rPr>
      </w:pPr>
    </w:p>
    <w:tbl>
      <w:tblPr>
        <w:tblStyle w:val="TableGrid"/>
        <w:tblW w:w="0" w:type="auto"/>
        <w:tblLook w:val="04A0" w:firstRow="1" w:lastRow="0" w:firstColumn="1" w:lastColumn="0" w:noHBand="0" w:noVBand="1"/>
      </w:tblPr>
      <w:tblGrid>
        <w:gridCol w:w="8381"/>
      </w:tblGrid>
      <w:tr w:rsidR="00B652E1" w:rsidRPr="00887C16" w:rsidTr="00B652E1">
        <w:tc>
          <w:tcPr>
            <w:tcW w:w="8381" w:type="dxa"/>
          </w:tcPr>
          <w:p w:rsidR="00B652E1" w:rsidRPr="00F12BE8" w:rsidRDefault="00B652E1" w:rsidP="00B652E1">
            <w:pPr>
              <w:spacing w:line="276" w:lineRule="auto"/>
              <w:ind w:left="360"/>
              <w:rPr>
                <w:rFonts w:ascii="Franklin Gothic Medium" w:hAnsi="Franklin Gothic Medium"/>
                <w:b/>
              </w:rPr>
            </w:pPr>
          </w:p>
          <w:p w:rsidR="00B652E1" w:rsidRPr="00EE0AA8" w:rsidRDefault="00B652E1" w:rsidP="00B652E1">
            <w:pPr>
              <w:spacing w:line="276" w:lineRule="auto"/>
              <w:ind w:left="360"/>
              <w:rPr>
                <w:rFonts w:ascii="Franklin Gothic Medium" w:hAnsi="Franklin Gothic Medium"/>
                <w:b/>
              </w:rPr>
            </w:pPr>
            <w:r w:rsidRPr="00EE0AA8">
              <w:rPr>
                <w:rFonts w:ascii="Franklin Gothic Medium" w:hAnsi="Franklin Gothic Medium"/>
                <w:b/>
              </w:rPr>
              <w:t xml:space="preserve">Box 6   Pre-conditions </w:t>
            </w:r>
          </w:p>
          <w:p w:rsidR="00B652E1" w:rsidRPr="00687A54" w:rsidRDefault="00B652E1" w:rsidP="00B652E1">
            <w:pPr>
              <w:spacing w:line="276" w:lineRule="auto"/>
              <w:rPr>
                <w:rFonts w:ascii="Franklin Gothic Medium" w:hAnsi="Franklin Gothic Medium"/>
                <w:lang w:val="en-GB"/>
              </w:rPr>
            </w:pPr>
          </w:p>
          <w:p w:rsidR="00B652E1" w:rsidRPr="00687A54" w:rsidRDefault="00B652E1" w:rsidP="00B652E1">
            <w:pPr>
              <w:spacing w:line="276" w:lineRule="auto"/>
              <w:ind w:left="360"/>
              <w:rPr>
                <w:rFonts w:ascii="Franklin Gothic Medium" w:hAnsi="Franklin Gothic Medium"/>
                <w:lang w:val="en-GB"/>
              </w:rPr>
            </w:pPr>
            <w:r w:rsidRPr="00687A54">
              <w:rPr>
                <w:rFonts w:ascii="Franklin Gothic Medium" w:hAnsi="Franklin Gothic Medium"/>
                <w:lang w:val="en-GB"/>
              </w:rPr>
              <w:t>The combined MOH plus TongaHealth budgets (excluding donor funds) as a percentage of the total government budget do not decrease (taking 2015 as the baseline).</w:t>
            </w:r>
          </w:p>
          <w:p w:rsidR="00B652E1" w:rsidRPr="00687A54" w:rsidRDefault="00B652E1" w:rsidP="00B652E1">
            <w:pPr>
              <w:spacing w:line="276" w:lineRule="auto"/>
              <w:rPr>
                <w:rFonts w:ascii="Franklin Gothic Medium" w:hAnsi="Franklin Gothic Medium"/>
                <w:lang w:val="en-GB"/>
              </w:rPr>
            </w:pPr>
          </w:p>
          <w:p w:rsidR="00B652E1" w:rsidRPr="00687A54" w:rsidRDefault="00B652E1" w:rsidP="00B652E1">
            <w:pPr>
              <w:spacing w:line="276" w:lineRule="auto"/>
              <w:ind w:left="360"/>
              <w:rPr>
                <w:rFonts w:ascii="Franklin Gothic Medium" w:hAnsi="Franklin Gothic Medium"/>
                <w:lang w:val="en-GB"/>
              </w:rPr>
            </w:pPr>
            <w:r w:rsidRPr="00687A54">
              <w:rPr>
                <w:rFonts w:ascii="Franklin Gothic Medium" w:hAnsi="Franklin Gothic Medium"/>
                <w:lang w:val="en-GB"/>
              </w:rPr>
              <w:t xml:space="preserve">The MOH’s budget for the Public Health Division (excluding donor funds) increases as a percentage of the total MOH budget (taking 2015 as the baseline).  </w:t>
            </w:r>
          </w:p>
          <w:p w:rsidR="00B652E1" w:rsidRPr="00687A54" w:rsidRDefault="00B652E1" w:rsidP="00B652E1">
            <w:pPr>
              <w:spacing w:line="276" w:lineRule="auto"/>
              <w:ind w:left="360"/>
              <w:rPr>
                <w:rFonts w:ascii="Franklin Gothic Medium" w:hAnsi="Franklin Gothic Medium"/>
                <w:lang w:val="en-GB"/>
              </w:rPr>
            </w:pPr>
          </w:p>
          <w:p w:rsidR="00B652E1" w:rsidRPr="00687A54" w:rsidRDefault="00B652E1" w:rsidP="00B652E1">
            <w:pPr>
              <w:spacing w:line="276" w:lineRule="auto"/>
              <w:ind w:left="360"/>
              <w:rPr>
                <w:rFonts w:ascii="Franklin Gothic Medium" w:hAnsi="Franklin Gothic Medium"/>
                <w:lang w:val="en-GB"/>
              </w:rPr>
            </w:pPr>
            <w:r w:rsidRPr="00687A54">
              <w:rPr>
                <w:rFonts w:ascii="Franklin Gothic Medium" w:hAnsi="Franklin Gothic Medium"/>
                <w:lang w:val="en-GB"/>
              </w:rPr>
              <w:t xml:space="preserve">If the pre-conditions are not met, DFAT will formally re-assess its commitment to THSSP2 and may reduce its overall financial allocation to the Programme.  </w:t>
            </w:r>
          </w:p>
          <w:p w:rsidR="00B652E1" w:rsidRPr="00687A54" w:rsidRDefault="00B652E1" w:rsidP="00B652E1">
            <w:pPr>
              <w:spacing w:line="276" w:lineRule="auto"/>
              <w:ind w:left="360"/>
              <w:rPr>
                <w:rFonts w:ascii="Franklin Gothic Medium" w:hAnsi="Franklin Gothic Medium"/>
                <w:lang w:val="en-GB"/>
              </w:rPr>
            </w:pPr>
          </w:p>
        </w:tc>
      </w:tr>
    </w:tbl>
    <w:p w:rsidR="00B652E1" w:rsidRPr="00F12BE8" w:rsidRDefault="00B652E1" w:rsidP="00B652E1">
      <w:pPr>
        <w:spacing w:line="276" w:lineRule="auto"/>
        <w:ind w:left="413"/>
        <w:rPr>
          <w:rFonts w:ascii="Franklin Gothic Medium" w:hAnsi="Franklin Gothic Medium"/>
        </w:rPr>
      </w:pPr>
    </w:p>
    <w:p w:rsidR="00B652E1" w:rsidRPr="00687A54" w:rsidRDefault="00B652E1" w:rsidP="00B652E1">
      <w:pPr>
        <w:spacing w:line="276" w:lineRule="auto"/>
        <w:rPr>
          <w:rFonts w:ascii="Franklin Gothic Medium" w:hAnsi="Franklin Gothic Medium"/>
        </w:rPr>
      </w:pPr>
      <w:r w:rsidRPr="00EE0AA8">
        <w:rPr>
          <w:rFonts w:ascii="Franklin Gothic Medium" w:hAnsi="Franklin Gothic Medium"/>
        </w:rPr>
        <w:t>THSSP2 has a strong focus on capacity development, through the provision of TA; strengthening planning, financial management and reporting systems by using them; linking financial disbursements to the effective running o</w:t>
      </w:r>
      <w:r w:rsidRPr="00687A54">
        <w:rPr>
          <w:rFonts w:ascii="Franklin Gothic Medium" w:hAnsi="Franklin Gothic Medium"/>
        </w:rPr>
        <w:t xml:space="preserve">f these systems; and rewarding good practice with performance payments. In addition, THSSP2 is linked to the Economic and Public Sector Reform Program, which aims to develop capacity in financial management and procurement across the Tongan public sector. </w:t>
      </w:r>
    </w:p>
    <w:p w:rsidR="00B652E1" w:rsidRPr="00687A54" w:rsidRDefault="00B652E1" w:rsidP="00B652E1">
      <w:pPr>
        <w:spacing w:line="276" w:lineRule="auto"/>
        <w:rPr>
          <w:rFonts w:ascii="Franklin Gothic Medium" w:hAnsi="Franklin Gothic Medium"/>
        </w:rPr>
      </w:pPr>
    </w:p>
    <w:p w:rsidR="00B652E1" w:rsidRPr="00687A54" w:rsidRDefault="00B652E1" w:rsidP="00B652E1">
      <w:pPr>
        <w:spacing w:line="276" w:lineRule="auto"/>
        <w:rPr>
          <w:rFonts w:ascii="Franklin Gothic Medium" w:hAnsi="Franklin Gothic Medium"/>
        </w:rPr>
      </w:pPr>
      <w:r w:rsidRPr="00687A54">
        <w:rPr>
          <w:rFonts w:ascii="Franklin Gothic Medium" w:hAnsi="Franklin Gothic Medium"/>
        </w:rPr>
        <w:t>Capacity development is explicitly mentioned in the TORs of all three long-term TA posts (see Annex 11):</w:t>
      </w:r>
    </w:p>
    <w:p w:rsidR="00B652E1" w:rsidRPr="00687A54" w:rsidRDefault="00B652E1" w:rsidP="00B652E1">
      <w:pPr>
        <w:spacing w:line="276" w:lineRule="auto"/>
        <w:rPr>
          <w:rFonts w:ascii="Franklin Gothic Medium" w:hAnsi="Franklin Gothic Medium"/>
        </w:rPr>
      </w:pPr>
    </w:p>
    <w:p w:rsidR="00B652E1" w:rsidRPr="00687A54" w:rsidRDefault="00B652E1" w:rsidP="00B652E1">
      <w:pPr>
        <w:pStyle w:val="ListParagraph"/>
        <w:numPr>
          <w:ilvl w:val="0"/>
          <w:numId w:val="53"/>
        </w:numPr>
        <w:spacing w:before="60" w:after="0" w:line="276" w:lineRule="auto"/>
        <w:contextualSpacing/>
        <w:rPr>
          <w:rFonts w:ascii="Franklin Gothic Medium" w:hAnsi="Franklin Gothic Medium"/>
          <w:sz w:val="20"/>
        </w:rPr>
      </w:pPr>
      <w:r w:rsidRPr="00687A54">
        <w:rPr>
          <w:rFonts w:ascii="Franklin Gothic Medium" w:hAnsi="Franklin Gothic Medium"/>
          <w:sz w:val="20"/>
        </w:rPr>
        <w:t>Health Systems Support and Planning Manager: “Provide support in the development of a Staged Capacity Development Plan for the MoH”.</w:t>
      </w:r>
    </w:p>
    <w:p w:rsidR="00B652E1" w:rsidRPr="00687A54" w:rsidRDefault="00B652E1" w:rsidP="00B652E1">
      <w:pPr>
        <w:pStyle w:val="ListParagraph"/>
        <w:numPr>
          <w:ilvl w:val="0"/>
          <w:numId w:val="53"/>
        </w:numPr>
        <w:spacing w:before="60" w:after="0" w:line="276" w:lineRule="auto"/>
        <w:contextualSpacing/>
        <w:rPr>
          <w:rFonts w:ascii="Franklin Gothic Medium" w:hAnsi="Franklin Gothic Medium"/>
          <w:sz w:val="20"/>
        </w:rPr>
      </w:pPr>
      <w:r w:rsidRPr="00687A54">
        <w:rPr>
          <w:rFonts w:ascii="Franklin Gothic Medium" w:hAnsi="Franklin Gothic Medium"/>
          <w:sz w:val="20"/>
          <w:lang w:val="en-GB"/>
        </w:rPr>
        <w:t xml:space="preserve">Technical support for </w:t>
      </w:r>
      <w:r w:rsidRPr="00687A54">
        <w:rPr>
          <w:rFonts w:ascii="Franklin Gothic Medium" w:hAnsi="Franklin Gothic Medium"/>
          <w:i/>
          <w:sz w:val="20"/>
          <w:lang w:val="en-GB"/>
        </w:rPr>
        <w:t>Hala Fononga</w:t>
      </w:r>
      <w:r w:rsidRPr="00687A54">
        <w:rPr>
          <w:rFonts w:ascii="Franklin Gothic Medium" w:hAnsi="Franklin Gothic Medium"/>
          <w:sz w:val="20"/>
          <w:lang w:val="en-GB"/>
        </w:rPr>
        <w:t xml:space="preserve"> (NCD Strategy/Health Promotion): </w:t>
      </w:r>
      <w:r w:rsidRPr="00687A54">
        <w:rPr>
          <w:rFonts w:ascii="Franklin Gothic Medium" w:hAnsi="Franklin Gothic Medium"/>
          <w:sz w:val="20"/>
        </w:rPr>
        <w:t>“Support CEO TongaHealth to identify capacity development needs for TongaHealth and where possible to link in with DFAT funded capacity development trainings with MOH.”</w:t>
      </w:r>
    </w:p>
    <w:p w:rsidR="00B652E1" w:rsidRPr="00687A54" w:rsidRDefault="00B652E1" w:rsidP="00B652E1">
      <w:pPr>
        <w:pStyle w:val="ListParagraph"/>
        <w:numPr>
          <w:ilvl w:val="0"/>
          <w:numId w:val="53"/>
        </w:numPr>
        <w:spacing w:before="60" w:after="0" w:line="276" w:lineRule="auto"/>
        <w:contextualSpacing/>
        <w:rPr>
          <w:rFonts w:ascii="Franklin Gothic Medium" w:hAnsi="Franklin Gothic Medium"/>
          <w:sz w:val="20"/>
        </w:rPr>
      </w:pPr>
      <w:r w:rsidRPr="00687A54">
        <w:rPr>
          <w:rFonts w:ascii="Franklin Gothic Medium" w:hAnsi="Franklin Gothic Medium"/>
          <w:sz w:val="20"/>
          <w:lang w:val="en-GB"/>
        </w:rPr>
        <w:t>Technical support for public/primary health: “</w:t>
      </w:r>
      <w:r w:rsidRPr="00687A54">
        <w:rPr>
          <w:rFonts w:ascii="Franklin Gothic Medium" w:hAnsi="Franklin Gothic Medium"/>
          <w:sz w:val="20"/>
        </w:rPr>
        <w:t xml:space="preserve">Provide support for Capacity Development Assessments (CDAs) linked to annual management plans as a first step in the development of a CDA for the Division. In general, the capacity-building element of this position is crucial.” </w:t>
      </w:r>
    </w:p>
    <w:p w:rsidR="00B652E1" w:rsidRPr="00687A54" w:rsidRDefault="00B652E1" w:rsidP="00B652E1">
      <w:pPr>
        <w:spacing w:before="60" w:line="276" w:lineRule="auto"/>
        <w:rPr>
          <w:rFonts w:ascii="Franklin Gothic Medium" w:hAnsi="Franklin Gothic Medium"/>
        </w:rPr>
      </w:pPr>
    </w:p>
    <w:p w:rsidR="00B652E1" w:rsidRPr="003C09BD" w:rsidRDefault="00B652E1" w:rsidP="00B652E1">
      <w:pPr>
        <w:spacing w:line="276" w:lineRule="auto"/>
        <w:contextualSpacing/>
        <w:rPr>
          <w:rFonts w:ascii="Franklin Gothic Medium" w:hAnsi="Franklin Gothic Medium"/>
          <w:szCs w:val="20"/>
        </w:rPr>
      </w:pPr>
      <w:r w:rsidRPr="00687A54">
        <w:rPr>
          <w:rFonts w:ascii="Franklin Gothic Medium" w:hAnsi="Franklin Gothic Medium"/>
        </w:rPr>
        <w:t>A particularly challenging aspect of sustainability in Tonga is the funding of Critical Staffing Deficiency posts. THSSP2 will support the development of plans and budget structures to tackle the gradual transfer of responsibility for funding key skills to the Government of Tonga wherever possible.</w:t>
      </w:r>
      <w:r w:rsidRPr="003C09BD">
        <w:rPr>
          <w:rFonts w:ascii="Franklin Gothic Medium" w:hAnsi="Franklin Gothic Medium"/>
          <w:szCs w:val="20"/>
        </w:rPr>
        <w:t xml:space="preserve">  </w:t>
      </w:r>
    </w:p>
    <w:p w:rsidR="00B652E1" w:rsidRPr="005F4FAA" w:rsidRDefault="00B652E1" w:rsidP="00B652E1">
      <w:pPr>
        <w:spacing w:before="80"/>
        <w:ind w:left="360" w:hanging="360"/>
        <w:rPr>
          <w:rFonts w:ascii="Franklin Gothic Book" w:eastAsia="Times New Roman" w:hAnsi="Franklin Gothic Book"/>
          <w:i/>
          <w:szCs w:val="20"/>
          <w:lang w:eastAsia="en-US"/>
        </w:rPr>
      </w:pPr>
    </w:p>
    <w:p w:rsidR="00B652E1" w:rsidRDefault="00B652E1" w:rsidP="00F12BE8">
      <w:pPr>
        <w:pStyle w:val="Heading2"/>
        <w:rPr>
          <w:lang w:eastAsia="en-US"/>
        </w:rPr>
      </w:pPr>
      <w:r w:rsidRPr="005F4FAA">
        <w:rPr>
          <w:lang w:eastAsia="en-US"/>
        </w:rPr>
        <w:t>Gender Equality</w:t>
      </w:r>
    </w:p>
    <w:p w:rsidR="00B652E1" w:rsidRPr="005F4FAA" w:rsidRDefault="00B652E1" w:rsidP="00B652E1">
      <w:pPr>
        <w:spacing w:before="80" w:line="276" w:lineRule="auto"/>
        <w:ind w:left="360" w:hanging="360"/>
        <w:rPr>
          <w:rFonts w:ascii="Franklin Gothic Book" w:eastAsia="Times New Roman" w:hAnsi="Franklin Gothic Book"/>
          <w:szCs w:val="20"/>
          <w:u w:val="single"/>
          <w:lang w:eastAsia="en-US"/>
        </w:rPr>
      </w:pPr>
    </w:p>
    <w:p w:rsidR="00B652E1" w:rsidRDefault="00B652E1" w:rsidP="00B652E1">
      <w:pPr>
        <w:pStyle w:val="ListParagraph"/>
        <w:numPr>
          <w:ilvl w:val="0"/>
          <w:numId w:val="0"/>
        </w:numPr>
        <w:autoSpaceDE w:val="0"/>
        <w:autoSpaceDN w:val="0"/>
        <w:adjustRightInd w:val="0"/>
        <w:spacing w:line="276" w:lineRule="auto"/>
        <w:rPr>
          <w:rFonts w:ascii="Franklin Gothic Book" w:eastAsiaTheme="minorHAnsi" w:hAnsi="Franklin Gothic Book"/>
          <w:sz w:val="20"/>
          <w:szCs w:val="20"/>
          <w:lang w:val="en-GB" w:eastAsia="en-US"/>
        </w:rPr>
      </w:pPr>
      <w:r w:rsidRPr="005F4FAA">
        <w:rPr>
          <w:rFonts w:ascii="Franklin Gothic Book" w:eastAsiaTheme="minorHAnsi" w:hAnsi="Franklin Gothic Book"/>
          <w:sz w:val="20"/>
          <w:szCs w:val="20"/>
          <w:lang w:val="en-GB" w:eastAsia="en-US"/>
        </w:rPr>
        <w:t xml:space="preserve">The latest Tonga Strategic Development Framework is currently being prepared and is expected to include a strong statement about the importance of gender equality to Tonga’s overall development.  </w:t>
      </w:r>
      <w:r>
        <w:rPr>
          <w:rFonts w:ascii="Franklin Gothic Book" w:eastAsiaTheme="minorHAnsi" w:hAnsi="Franklin Gothic Book"/>
          <w:sz w:val="20"/>
          <w:szCs w:val="20"/>
          <w:lang w:val="en-GB" w:eastAsia="en-US"/>
        </w:rPr>
        <w:t xml:space="preserve">This complements the Revised Gender and Development Policy, which was launched in 2014.  </w:t>
      </w:r>
    </w:p>
    <w:p w:rsidR="00B652E1" w:rsidRPr="005F4FAA" w:rsidRDefault="00B652E1" w:rsidP="00B652E1">
      <w:pPr>
        <w:pStyle w:val="ListParagraph"/>
        <w:numPr>
          <w:ilvl w:val="0"/>
          <w:numId w:val="0"/>
        </w:numPr>
        <w:autoSpaceDE w:val="0"/>
        <w:autoSpaceDN w:val="0"/>
        <w:adjustRightInd w:val="0"/>
        <w:spacing w:line="276" w:lineRule="auto"/>
        <w:rPr>
          <w:rFonts w:ascii="Franklin Gothic Book" w:eastAsiaTheme="minorHAnsi" w:hAnsi="Franklin Gothic Book"/>
          <w:szCs w:val="20"/>
          <w:lang w:val="en-GB" w:eastAsia="en-US"/>
        </w:rPr>
      </w:pPr>
      <w:r>
        <w:rPr>
          <w:rFonts w:ascii="Franklin Gothic Book" w:eastAsiaTheme="minorHAnsi" w:hAnsi="Franklin Gothic Book"/>
          <w:sz w:val="20"/>
          <w:szCs w:val="20"/>
          <w:lang w:val="en-GB" w:eastAsia="en-US"/>
        </w:rPr>
        <w:t xml:space="preserve">In the policy dialogs related to THSSP2 DFAT will promote gender equality and other aspects of GESI. One idea is to advocate for “GESI champions” on the National Health Development Committee and TongaHealth Board. </w:t>
      </w:r>
    </w:p>
    <w:p w:rsidR="00B652E1" w:rsidRPr="00340075" w:rsidRDefault="00B652E1" w:rsidP="00B652E1">
      <w:pPr>
        <w:spacing w:line="276" w:lineRule="auto"/>
        <w:rPr>
          <w:rFonts w:ascii="Franklin Gothic Book" w:eastAsiaTheme="minorHAnsi" w:hAnsi="Franklin Gothic Book"/>
          <w:szCs w:val="20"/>
          <w:lang w:val="en-GB" w:eastAsia="en-US"/>
        </w:rPr>
      </w:pPr>
      <w:r w:rsidRPr="00340075">
        <w:rPr>
          <w:rFonts w:ascii="Franklin Gothic Book" w:eastAsiaTheme="minorHAnsi" w:hAnsi="Franklin Gothic Book"/>
          <w:szCs w:val="20"/>
          <w:lang w:val="en-GB" w:eastAsia="en-US"/>
        </w:rPr>
        <w:t xml:space="preserve">The work on essential primary care will mean an enhanced role for professionals in primary care, very many of whom are women.  In general, the health sector offers excellent opportunities for women to develop their leadership skills.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eastAsiaTheme="minorHAnsi" w:hAnsi="Franklin Gothic Book"/>
          <w:szCs w:val="20"/>
          <w:lang w:val="en-GB" w:eastAsia="en-US"/>
        </w:rPr>
      </w:pPr>
      <w:r w:rsidRPr="005F4FAA">
        <w:rPr>
          <w:rFonts w:ascii="Franklin Gothic Book" w:hAnsi="Franklin Gothic Book"/>
          <w:szCs w:val="20"/>
        </w:rPr>
        <w:t xml:space="preserve">NCDs are not only a health issue, but also an economic and social problem which affects females and males differently. Women and girls are more likely to care for people with disabling advanced NCDs; </w:t>
      </w:r>
      <w:r w:rsidRPr="005F4FAA">
        <w:rPr>
          <w:rFonts w:ascii="Franklin Gothic Book" w:eastAsiaTheme="minorHAnsi" w:hAnsi="Franklin Gothic Book"/>
          <w:szCs w:val="20"/>
          <w:lang w:val="en-GB" w:eastAsia="en-US"/>
        </w:rPr>
        <w:t xml:space="preserve">orphans and widows caused by premature NCD deaths are vulnerable to poverty and exploitation. This program aims to prevent NCDs and manage early-stage disease efficiently: this has the potential to benefit women in terms of their own health, reduced responsibilities as carers and fewer occasions when women bear heavy economic responsibilities as the head of a single-adult household.  </w:t>
      </w:r>
    </w:p>
    <w:p w:rsidR="00B652E1" w:rsidRPr="005F4FAA"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Considerations of gender are mainstreamed into THSSP2 because the work-plans that determine the allocation of funds will need to consider gender aspects. The review of work-plans and quarterly reports will include a gender-review: are gender differences properly reflected? Is information disaggregated by </w:t>
      </w:r>
      <w:r>
        <w:rPr>
          <w:rFonts w:ascii="Franklin Gothic Book" w:hAnsi="Franklin Gothic Book"/>
          <w:szCs w:val="20"/>
        </w:rPr>
        <w:t>sex</w:t>
      </w:r>
      <w:r w:rsidRPr="005F4FAA">
        <w:rPr>
          <w:rFonts w:ascii="Franklin Gothic Book" w:hAnsi="Franklin Gothic Book"/>
          <w:szCs w:val="20"/>
        </w:rPr>
        <w:t xml:space="preserve">? If a service is less used by one </w:t>
      </w:r>
      <w:r>
        <w:rPr>
          <w:rFonts w:ascii="Franklin Gothic Book" w:hAnsi="Franklin Gothic Book"/>
          <w:szCs w:val="20"/>
        </w:rPr>
        <w:t>gender</w:t>
      </w:r>
      <w:r w:rsidRPr="005F4FAA">
        <w:rPr>
          <w:rFonts w:ascii="Franklin Gothic Book" w:hAnsi="Franklin Gothic Book"/>
          <w:szCs w:val="20"/>
        </w:rPr>
        <w:t xml:space="preserve">, what is being done about that? Performance rewards can be made if there is particularly good work related to gender. </w:t>
      </w:r>
    </w:p>
    <w:p w:rsidR="00B652E1" w:rsidRPr="005F4FAA" w:rsidRDefault="00B652E1" w:rsidP="00B652E1">
      <w:pPr>
        <w:spacing w:line="276" w:lineRule="auto"/>
        <w:rPr>
          <w:rFonts w:ascii="Franklin Gothic Book" w:hAnsi="Franklin Gothic Book"/>
          <w:szCs w:val="20"/>
        </w:rPr>
      </w:pPr>
    </w:p>
    <w:p w:rsidR="00B652E1"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Good health is a necessary, although obviously not sufficient, part of empowerment. The work on essential services should improve reproductive health services throughout Tonga: this is an important element in women taking control of their lives. Good clinical management of NCDs is important for reproductive and maternal health: for example gestational diabetes needs to be diagnosed and managed appropriately. Work-plans will be scrutinised to ensure that they include gender-specific activities where relevant and to ensure that relevant information is disaggregated by gender.    </w:t>
      </w:r>
    </w:p>
    <w:p w:rsidR="00B652E1" w:rsidRDefault="00B652E1" w:rsidP="00B652E1">
      <w:pPr>
        <w:spacing w:line="276" w:lineRule="auto"/>
        <w:rPr>
          <w:rFonts w:ascii="Franklin Gothic Book" w:hAnsi="Franklin Gothic Book"/>
          <w:szCs w:val="20"/>
        </w:rPr>
      </w:pPr>
    </w:p>
    <w:p w:rsidR="00B652E1" w:rsidRPr="005F4FAA" w:rsidRDefault="00B652E1" w:rsidP="00B652E1">
      <w:pPr>
        <w:spacing w:line="276" w:lineRule="auto"/>
        <w:rPr>
          <w:rFonts w:ascii="Franklin Gothic Book" w:hAnsi="Franklin Gothic Book"/>
          <w:szCs w:val="20"/>
        </w:rPr>
      </w:pPr>
      <w:r w:rsidRPr="005F4FAA">
        <w:rPr>
          <w:rFonts w:ascii="Franklin Gothic Book" w:hAnsi="Franklin Gothic Book"/>
          <w:szCs w:val="20"/>
        </w:rPr>
        <w:t xml:space="preserve">NCDs affect women and men differently and the response needs to be tailored accordingly. For example men are less likely to visit a health practitioner and there is a need for targeted interventions to improve male utilisation. A mass media campaign about tobacco use would benefit men more than women; in contrast a campaign promoting participation in netball would benefit mostly women and girls. </w:t>
      </w:r>
    </w:p>
    <w:p w:rsidR="00B652E1" w:rsidRPr="005F4FAA" w:rsidRDefault="00B652E1" w:rsidP="00B652E1">
      <w:pPr>
        <w:spacing w:before="80" w:line="276" w:lineRule="auto"/>
        <w:rPr>
          <w:rFonts w:ascii="Franklin Gothic Book" w:eastAsia="Times New Roman" w:hAnsi="Franklin Gothic Book"/>
          <w:szCs w:val="20"/>
          <w:u w:val="single"/>
          <w:lang w:eastAsia="en-US"/>
        </w:rPr>
      </w:pPr>
      <w:r w:rsidRPr="005F4FAA">
        <w:rPr>
          <w:rFonts w:ascii="Franklin Gothic Book" w:hAnsi="Franklin Gothic Book"/>
          <w:szCs w:val="20"/>
        </w:rPr>
        <w:t>An important activity under THSSP2 is defining a “</w:t>
      </w:r>
      <w:r>
        <w:rPr>
          <w:rFonts w:ascii="Franklin Gothic Book" w:hAnsi="Franklin Gothic Book"/>
          <w:szCs w:val="20"/>
        </w:rPr>
        <w:t>universal health coverage</w:t>
      </w:r>
      <w:r w:rsidRPr="005F4FAA">
        <w:rPr>
          <w:rFonts w:ascii="Franklin Gothic Book" w:hAnsi="Franklin Gothic Book"/>
          <w:szCs w:val="20"/>
        </w:rPr>
        <w:t xml:space="preserve">” package for </w:t>
      </w:r>
      <w:r w:rsidRPr="005F4FAA">
        <w:rPr>
          <w:rFonts w:ascii="Franklin Gothic Book" w:hAnsi="Franklin Gothic Book"/>
          <w:i/>
          <w:szCs w:val="20"/>
        </w:rPr>
        <w:t>all</w:t>
      </w:r>
      <w:r w:rsidRPr="005F4FAA">
        <w:rPr>
          <w:rFonts w:ascii="Franklin Gothic Book" w:hAnsi="Franklin Gothic Book"/>
          <w:szCs w:val="20"/>
        </w:rPr>
        <w:t xml:space="preserve"> Tongans – poor and disadvantaged groups stand to benefit from this disproportionately. This will be monitored, with the information disaggregated by gender</w:t>
      </w:r>
      <w:r>
        <w:rPr>
          <w:rFonts w:ascii="Franklin Gothic Book" w:hAnsi="Franklin Gothic Book"/>
          <w:szCs w:val="20"/>
        </w:rPr>
        <w:t>, age, location and (as feasible) disability</w:t>
      </w:r>
      <w:r w:rsidRPr="005F4FAA">
        <w:rPr>
          <w:rFonts w:ascii="Franklin Gothic Book" w:hAnsi="Franklin Gothic Book"/>
          <w:szCs w:val="20"/>
        </w:rPr>
        <w:t xml:space="preserve">. Most data about NCDs is also disaggregated by gender, as can be seen in the indicators selected for THSSP2. This makes it possible to target interventions appropriately and to monitor the impact on males and on females separately: inequalities can be identified and acted on. </w:t>
      </w:r>
    </w:p>
    <w:p w:rsidR="00B652E1" w:rsidRPr="005F4FAA" w:rsidRDefault="00B652E1" w:rsidP="00B652E1">
      <w:pPr>
        <w:spacing w:line="276" w:lineRule="auto"/>
        <w:rPr>
          <w:rFonts w:ascii="Franklin Gothic Book" w:hAnsi="Franklin Gothic Book"/>
          <w:szCs w:val="20"/>
        </w:rPr>
      </w:pPr>
    </w:p>
    <w:p w:rsidR="00B652E1" w:rsidRPr="005F4FAA" w:rsidRDefault="00B652E1" w:rsidP="00F12BE8">
      <w:pPr>
        <w:pStyle w:val="Heading2"/>
        <w:rPr>
          <w:lang w:eastAsia="en-US"/>
        </w:rPr>
      </w:pPr>
      <w:r w:rsidRPr="005F4FAA">
        <w:rPr>
          <w:lang w:eastAsia="en-US"/>
        </w:rPr>
        <w:t>Disability Inclus</w:t>
      </w:r>
      <w:r>
        <w:rPr>
          <w:lang w:eastAsia="en-US"/>
        </w:rPr>
        <w:t>ion</w:t>
      </w:r>
    </w:p>
    <w:p w:rsidR="00B652E1" w:rsidRPr="005F4FAA" w:rsidRDefault="00B652E1" w:rsidP="00B652E1">
      <w:pPr>
        <w:spacing w:before="80" w:line="276" w:lineRule="auto"/>
        <w:rPr>
          <w:rFonts w:ascii="Franklin Gothic Book" w:hAnsi="Franklin Gothic Book"/>
          <w:szCs w:val="20"/>
        </w:rPr>
      </w:pPr>
      <w:r w:rsidRPr="005F4FAA">
        <w:rPr>
          <w:rFonts w:ascii="Franklin Gothic Book" w:hAnsi="Franklin Gothic Book"/>
          <w:szCs w:val="20"/>
        </w:rPr>
        <w:t>The Investment Concept Note for THSSP2 is given in Annex</w:t>
      </w:r>
      <w:r>
        <w:rPr>
          <w:rFonts w:ascii="Franklin Gothic Book" w:hAnsi="Franklin Gothic Book"/>
          <w:szCs w:val="20"/>
        </w:rPr>
        <w:t xml:space="preserve"> 3</w:t>
      </w:r>
      <w:r w:rsidRPr="005F4FAA">
        <w:rPr>
          <w:rFonts w:ascii="Franklin Gothic Book" w:hAnsi="Franklin Gothic Book"/>
          <w:szCs w:val="20"/>
        </w:rPr>
        <w:t xml:space="preserve">. The NHDC of the Ministry of Health was given the choice of whether or not to include mental health and disability as eligible areas for THSSP2 spending. No additional money was involved, so including disability and mental health meant that the resources were spread more thinly. The NHDC strongly supported including mental health and disability in the program design: we believe that this is an unusually strong statement of support by a Ministry of Health. </w:t>
      </w:r>
    </w:p>
    <w:p w:rsidR="00B652E1" w:rsidRDefault="00B652E1" w:rsidP="00B652E1">
      <w:pPr>
        <w:spacing w:before="80" w:line="276" w:lineRule="auto"/>
        <w:rPr>
          <w:rFonts w:ascii="Franklin Gothic Book" w:hAnsi="Franklin Gothic Book"/>
          <w:szCs w:val="20"/>
        </w:rPr>
      </w:pPr>
      <w:r w:rsidRPr="005F4FAA">
        <w:rPr>
          <w:rFonts w:ascii="Franklin Gothic Book" w:hAnsi="Franklin Gothic Book"/>
          <w:szCs w:val="20"/>
        </w:rPr>
        <w:t>In addition to the small amount of money directly available for disability and mental health</w:t>
      </w:r>
      <w:r>
        <w:rPr>
          <w:rFonts w:ascii="Franklin Gothic Book" w:hAnsi="Franklin Gothic Book"/>
          <w:szCs w:val="20"/>
        </w:rPr>
        <w:t xml:space="preserve"> services</w:t>
      </w:r>
      <w:r w:rsidRPr="005F4FAA">
        <w:rPr>
          <w:rFonts w:ascii="Franklin Gothic Book" w:hAnsi="Franklin Gothic Book"/>
          <w:szCs w:val="20"/>
        </w:rPr>
        <w:t xml:space="preserve">, </w:t>
      </w:r>
      <w:r>
        <w:rPr>
          <w:rFonts w:ascii="Franklin Gothic Book" w:hAnsi="Franklin Gothic Book"/>
          <w:szCs w:val="20"/>
        </w:rPr>
        <w:t>efforts will be made to ‘mainstream’ disability where possible into</w:t>
      </w:r>
      <w:r w:rsidRPr="005F4FAA">
        <w:rPr>
          <w:rFonts w:ascii="Franklin Gothic Book" w:hAnsi="Franklin Gothic Book"/>
          <w:szCs w:val="20"/>
        </w:rPr>
        <w:t xml:space="preserve"> much of THSSP2’s work because (a) basic disability services should be part of the </w:t>
      </w:r>
      <w:r>
        <w:rPr>
          <w:rFonts w:ascii="Franklin Gothic Book" w:hAnsi="Franklin Gothic Book"/>
          <w:szCs w:val="20"/>
        </w:rPr>
        <w:t>universal health coverage</w:t>
      </w:r>
      <w:r w:rsidRPr="005F4FAA">
        <w:rPr>
          <w:rFonts w:ascii="Franklin Gothic Book" w:hAnsi="Franklin Gothic Book"/>
          <w:szCs w:val="20"/>
        </w:rPr>
        <w:t xml:space="preserve"> package for primary care and (b) much of the work on preventing NCDs and their most serious sequelae is about preventing disability (most notably amputations). Work-plans will be scrutinised to ensure that they </w:t>
      </w:r>
      <w:r>
        <w:rPr>
          <w:rFonts w:ascii="Franklin Gothic Book" w:hAnsi="Franklin Gothic Book"/>
          <w:szCs w:val="20"/>
        </w:rPr>
        <w:t xml:space="preserve">have identified and reasonably addressed potential barriers for people with disability accessing health services/activities </w:t>
      </w:r>
      <w:r w:rsidRPr="005F4FAA">
        <w:rPr>
          <w:rFonts w:ascii="Franklin Gothic Book" w:hAnsi="Franklin Gothic Book"/>
          <w:szCs w:val="20"/>
        </w:rPr>
        <w:t xml:space="preserve">and to ensure that relevant information is being collected </w:t>
      </w:r>
      <w:r>
        <w:rPr>
          <w:rFonts w:ascii="Franklin Gothic Book" w:hAnsi="Franklin Gothic Book"/>
          <w:szCs w:val="20"/>
        </w:rPr>
        <w:t>on their inclusion</w:t>
      </w:r>
      <w:r w:rsidRPr="005F4FAA">
        <w:rPr>
          <w:rFonts w:ascii="Franklin Gothic Book" w:hAnsi="Franklin Gothic Book"/>
          <w:szCs w:val="20"/>
        </w:rPr>
        <w:t xml:space="preserve">.  </w:t>
      </w:r>
      <w:r>
        <w:rPr>
          <w:rFonts w:ascii="Franklin Gothic Book" w:hAnsi="Franklin Gothic Book"/>
          <w:szCs w:val="20"/>
        </w:rPr>
        <w:t xml:space="preserve">An important part of the dialogue between the Ministry of Health and DFAT throughout THSSP2 will be about how GESI considerations, including disability, can become an integrated part of how the Ministry operates. </w:t>
      </w:r>
    </w:p>
    <w:p w:rsidR="00B652E1" w:rsidRPr="005F4FAA" w:rsidRDefault="00B652E1" w:rsidP="00B652E1">
      <w:pPr>
        <w:spacing w:before="80" w:line="276" w:lineRule="auto"/>
        <w:rPr>
          <w:rFonts w:ascii="Franklin Gothic Book" w:eastAsia="Times New Roman" w:hAnsi="Franklin Gothic Book"/>
          <w:szCs w:val="20"/>
          <w:u w:val="single"/>
          <w:lang w:eastAsia="en-US"/>
        </w:rPr>
      </w:pPr>
    </w:p>
    <w:p w:rsidR="00B652E1" w:rsidRDefault="00B652E1" w:rsidP="00F12BE8">
      <w:pPr>
        <w:pStyle w:val="Heading2"/>
        <w:rPr>
          <w:lang w:eastAsia="en-US"/>
        </w:rPr>
      </w:pPr>
      <w:r w:rsidRPr="002D4943">
        <w:rPr>
          <w:lang w:eastAsia="en-US"/>
        </w:rPr>
        <w:t>Risk Management Plan</w:t>
      </w:r>
      <w:r w:rsidRPr="005F4FAA">
        <w:rPr>
          <w:lang w:eastAsia="en-US"/>
        </w:rPr>
        <w:t xml:space="preserve"> </w:t>
      </w:r>
    </w:p>
    <w:p w:rsidR="00B652E1" w:rsidRPr="00B61419" w:rsidRDefault="00B652E1" w:rsidP="00B652E1">
      <w:pPr>
        <w:spacing w:before="80" w:line="276" w:lineRule="auto"/>
        <w:rPr>
          <w:rFonts w:ascii="Franklin Gothic Medium" w:eastAsia="Times New Roman" w:hAnsi="Franklin Gothic Medium"/>
          <w:szCs w:val="20"/>
          <w:u w:val="single"/>
          <w:lang w:eastAsia="en-US"/>
        </w:rPr>
      </w:pPr>
    </w:p>
    <w:p w:rsidR="00B652E1" w:rsidRPr="00687A54" w:rsidRDefault="00B652E1" w:rsidP="00B652E1">
      <w:pPr>
        <w:spacing w:line="276" w:lineRule="auto"/>
        <w:rPr>
          <w:rFonts w:ascii="Franklin Gothic Medium" w:hAnsi="Franklin Gothic Medium"/>
        </w:rPr>
      </w:pPr>
      <w:r w:rsidRPr="00687A54">
        <w:rPr>
          <w:rFonts w:ascii="Franklin Gothic Medium" w:hAnsi="Franklin Gothic Medium"/>
        </w:rPr>
        <w:t>Table 7 shows the identified risks for THSSP2. This is simply a list – further details are given in the completed Risk Register in Annex 19 (EXCEL file). The risks cover the technical areas of the program (NCDs, Universal Health Coverage, health systems strengthening and GESI) as well as governance, workplans, financial management, procurement and the resources for THSSP2.</w:t>
      </w:r>
    </w:p>
    <w:p w:rsidR="00B652E1" w:rsidRPr="00687A54" w:rsidRDefault="00B652E1" w:rsidP="00B652E1">
      <w:pPr>
        <w:spacing w:before="80" w:line="276" w:lineRule="auto"/>
        <w:rPr>
          <w:rFonts w:ascii="Franklin Gothic Medium" w:hAnsi="Franklin Gothic Medium"/>
        </w:rPr>
      </w:pPr>
      <w:r w:rsidRPr="00687A54">
        <w:rPr>
          <w:rFonts w:ascii="Franklin Gothic Medium" w:hAnsi="Franklin Gothic Medium"/>
        </w:rPr>
        <w:t xml:space="preserve">This analysis of risks will be shared with the NHDC and TongaHealth Board: they will both be asked to discuss them regularly and identify appropriate mitigation measures, specifying a timescale and who is responsible for implementing the response. In addition, the risks will be incorporated into the risk management tool for post (Post Risk Register), which is actively managed and updated quarterly. </w:t>
      </w:r>
    </w:p>
    <w:p w:rsidR="00B652E1" w:rsidRPr="00687A54" w:rsidRDefault="00B652E1" w:rsidP="00B652E1">
      <w:pPr>
        <w:spacing w:before="80" w:line="276" w:lineRule="auto"/>
        <w:rPr>
          <w:rFonts w:ascii="Franklin Gothic Medium" w:hAnsi="Franklin Gothic Medium"/>
        </w:rPr>
      </w:pPr>
      <w:r w:rsidRPr="00687A54">
        <w:rPr>
          <w:rFonts w:ascii="Franklin Gothic Medium" w:hAnsi="Franklin Gothic Medium"/>
        </w:rPr>
        <w:t xml:space="preserve">In spite of the mitigation efforts described in the regularly-updated Risk Register, some residual risk will remain. This residual risk is about the effectiveness of the Ministry and TongaHealth and the relationships between these organisations and DFAT. The main strategies for dealing with these issues are building good working relationships, implementing the robust project management processes described in this document and monitoring progress systematically. There are already good relationships with the Ministry based on THSSP2; TongaHealth is a newer partner for DFAT.      </w:t>
      </w:r>
    </w:p>
    <w:p w:rsidR="00B652E1" w:rsidRPr="00687A54" w:rsidRDefault="00B652E1" w:rsidP="00B652E1">
      <w:pPr>
        <w:spacing w:before="80" w:line="276" w:lineRule="auto"/>
        <w:rPr>
          <w:rFonts w:ascii="Franklin Gothic Medium" w:hAnsi="Franklin Gothic Medium"/>
        </w:rPr>
      </w:pPr>
    </w:p>
    <w:tbl>
      <w:tblPr>
        <w:tblStyle w:val="TableGrid"/>
        <w:tblW w:w="0" w:type="auto"/>
        <w:tblLook w:val="04A0" w:firstRow="1" w:lastRow="0" w:firstColumn="1" w:lastColumn="0" w:noHBand="0" w:noVBand="1"/>
      </w:tblPr>
      <w:tblGrid>
        <w:gridCol w:w="8381"/>
      </w:tblGrid>
      <w:tr w:rsidR="00B652E1" w:rsidRPr="00887C16" w:rsidTr="00B652E1">
        <w:tc>
          <w:tcPr>
            <w:tcW w:w="9242" w:type="dxa"/>
          </w:tcPr>
          <w:p w:rsidR="00B652E1" w:rsidRPr="00EE0AA8" w:rsidRDefault="00B652E1" w:rsidP="00B652E1">
            <w:pPr>
              <w:spacing w:before="80" w:line="276" w:lineRule="auto"/>
              <w:rPr>
                <w:rFonts w:ascii="Franklin Gothic Medium" w:hAnsi="Franklin Gothic Medium"/>
              </w:rPr>
            </w:pPr>
            <w:r w:rsidRPr="00F12BE8">
              <w:rPr>
                <w:rFonts w:ascii="Franklin Gothic Medium" w:hAnsi="Franklin Gothic Medium"/>
                <w:b/>
              </w:rPr>
              <w:t xml:space="preserve">Table 7 Risks in THSSP2 </w:t>
            </w:r>
            <w:r w:rsidRPr="00EE0AA8">
              <w:rPr>
                <w:rFonts w:ascii="Franklin Gothic Medium" w:hAnsi="Franklin Gothic Medium"/>
              </w:rPr>
              <w:t>(for full details see the Risk Register in Annex 19)</w:t>
            </w:r>
          </w:p>
        </w:tc>
      </w:tr>
      <w:tr w:rsidR="00B652E1" w:rsidRPr="00887C16" w:rsidTr="00B652E1">
        <w:tc>
          <w:tcPr>
            <w:tcW w:w="9242" w:type="dxa"/>
          </w:tcPr>
          <w:p w:rsidR="00B652E1" w:rsidRPr="00F12BE8" w:rsidRDefault="00B652E1" w:rsidP="00B652E1">
            <w:pPr>
              <w:spacing w:before="80" w:line="276" w:lineRule="auto"/>
              <w:rPr>
                <w:rFonts w:ascii="Franklin Gothic Medium" w:hAnsi="Franklin Gothic Medium"/>
              </w:rPr>
            </w:pP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Reduction or loss of program funding due to pre-conditions and DFAT requirements not met.</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Health outcomes related to NCDs do not improve.</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Health promotion activities do not work or have less impact on NCD risk factors than expected.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Government Ministries do not include NCD-related activities in their work-plans.</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Publication of the 2019 STEPS survey is delayed.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Operationalising the definition of Universal Health Coverage takes a long time to finalise.</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Human Resource Strategy is weak, or MOH stakeholders feel insufficient ownership of it.</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Health Information System slow to solve its problems with collating primary health care data.</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Dependency on DFAT funding for Critical Staffing Deficiencies inadequately addressed.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Recommendations about drug procurement system are not accepted or implemented.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Staff are under-skilled in GESI analysis and the collection of disaggregated data.</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MoH and TongaHealth unable to fulfil DFAT's requirements for GESI.</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Implementing Capacity of TongaHealth (a new partner for DFAT) is over-estimated.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Relationships between the Ministry of Health and TongaHealth are unconstructive.</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 xml:space="preserve">TongaHealth Board does not meet as scheduled or does not keep to fixed agenda items. </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Difficult for DFAT to signal when TongaHealth Board decision could be an inappropriate use of DFAT funds.</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MOH unable to carry out committed work-plans due to other commitments to other donors.</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The NHDC does not meet as scheduled or does not keep to the fixed agenda items.</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Difficult for DFAT to signal when it thinks an NHDC decision is inappropriate use of DFAT funds.</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 xml:space="preserve">Work-plans are inadequate, meaning that spending is low and progress not as hoped. </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Work-plans are inadequately tracked.</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Lack of development partner co-ordination causes gaps or duplication.</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 xml:space="preserve">Position of Program Finance Officer is not successfully integrated into MoH finance team. </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MoH is not able to gain access to the Vision reporting module of the SUN accounting system.</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Low procurement capacity leads to delays in program implementation and increased cost.</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PFM and procurement activities not co-ordinated with PFM reform activities planned by MoFNP.</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The overall THSSP2 budget is cut.</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DFAT Post has insufficient resources to manage THSSP2.</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 xml:space="preserve">Important permanent posts in the Ministry of Health are left vacant.  </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Environmental and resettlement safeguards are not fully implemented or are inadequate.</w:t>
            </w:r>
          </w:p>
          <w:p w:rsidR="00B652E1" w:rsidRPr="00687A54" w:rsidRDefault="00B652E1" w:rsidP="00B652E1">
            <w:pPr>
              <w:pStyle w:val="ListParagraph"/>
              <w:numPr>
                <w:ilvl w:val="0"/>
                <w:numId w:val="51"/>
              </w:numPr>
              <w:spacing w:after="0" w:line="276" w:lineRule="auto"/>
              <w:contextualSpacing/>
              <w:rPr>
                <w:rFonts w:ascii="Franklin Gothic Medium" w:hAnsi="Franklin Gothic Medium"/>
                <w:color w:val="000000"/>
                <w:sz w:val="20"/>
              </w:rPr>
            </w:pPr>
            <w:r w:rsidRPr="00687A54">
              <w:rPr>
                <w:rFonts w:ascii="Franklin Gothic Medium" w:hAnsi="Franklin Gothic Medium"/>
                <w:color w:val="000000"/>
                <w:sz w:val="20"/>
              </w:rPr>
              <w:t>Child protection safeguards are not fully implemented or are inadequate.</w:t>
            </w:r>
            <w:r w:rsidRPr="00887C16">
              <w:rPr>
                <w:rFonts w:ascii="Franklin Gothic Medium" w:hAnsi="Franklin Gothic Medium" w:cs="Calibri"/>
                <w:color w:val="000000"/>
                <w:sz w:val="20"/>
                <w:szCs w:val="20"/>
              </w:rPr>
              <w:t xml:space="preserve"> </w:t>
            </w:r>
          </w:p>
          <w:p w:rsidR="00B652E1" w:rsidRPr="00687A54" w:rsidRDefault="00B652E1" w:rsidP="00B652E1">
            <w:pPr>
              <w:spacing w:line="276" w:lineRule="auto"/>
              <w:contextualSpacing/>
              <w:rPr>
                <w:rFonts w:ascii="Franklin Gothic Medium" w:hAnsi="Franklin Gothic Medium"/>
                <w:color w:val="000000"/>
              </w:rPr>
            </w:pPr>
          </w:p>
        </w:tc>
      </w:tr>
    </w:tbl>
    <w:p w:rsidR="00B652E1" w:rsidRPr="00887C16" w:rsidRDefault="00B652E1" w:rsidP="00B652E1">
      <w:pPr>
        <w:spacing w:before="80"/>
        <w:rPr>
          <w:rFonts w:ascii="Franklin Gothic Medium" w:eastAsia="Times New Roman" w:hAnsi="Franklin Gothic Medium" w:cs="Calibri"/>
          <w:color w:val="000000"/>
          <w:szCs w:val="20"/>
          <w:lang w:eastAsia="en-GB"/>
        </w:rPr>
      </w:pPr>
      <w:r w:rsidRPr="00887C16">
        <w:rPr>
          <w:rFonts w:ascii="Franklin Gothic Medium" w:eastAsia="Times New Roman" w:hAnsi="Franklin Gothic Medium" w:cs="Calibri"/>
          <w:color w:val="000000"/>
          <w:szCs w:val="20"/>
          <w:lang w:eastAsia="en-GB"/>
        </w:rPr>
        <w:t xml:space="preserve"> </w:t>
      </w:r>
    </w:p>
    <w:p w:rsidR="00B652E1" w:rsidRPr="00340075" w:rsidRDefault="00B652E1" w:rsidP="00F12BE8">
      <w:pPr>
        <w:pStyle w:val="Heading2"/>
        <w:rPr>
          <w:lang w:eastAsia="en-US"/>
        </w:rPr>
      </w:pPr>
      <w:r w:rsidRPr="00887C16">
        <w:rPr>
          <w:lang w:eastAsia="en-US"/>
        </w:rPr>
        <w:t>Private Sector</w:t>
      </w:r>
    </w:p>
    <w:p w:rsidR="00B652E1" w:rsidRDefault="00B652E1" w:rsidP="00B652E1">
      <w:pPr>
        <w:spacing w:line="276" w:lineRule="auto"/>
        <w:rPr>
          <w:rFonts w:ascii="Franklin Gothic Book" w:hAnsi="Franklin Gothic Book" w:cs="Arial"/>
          <w:szCs w:val="20"/>
        </w:rPr>
      </w:pPr>
    </w:p>
    <w:p w:rsidR="00B652E1" w:rsidRPr="005F4FAA" w:rsidRDefault="00B652E1" w:rsidP="00B652E1">
      <w:pPr>
        <w:spacing w:line="276" w:lineRule="auto"/>
        <w:rPr>
          <w:rFonts w:ascii="Franklin Gothic Book" w:hAnsi="Franklin Gothic Book" w:cs="Arial"/>
          <w:szCs w:val="20"/>
        </w:rPr>
      </w:pPr>
      <w:r w:rsidRPr="006F416F">
        <w:rPr>
          <w:rFonts w:ascii="Franklin Gothic Book" w:hAnsi="Franklin Gothic Book" w:cs="Arial"/>
          <w:szCs w:val="20"/>
        </w:rPr>
        <w:t xml:space="preserve">The private health market in Tonga is small and there are limited opportunities to develop work with the sector. There will, however, be some engagement.  Through the funding for TongaHealth work-plans, Post will look for opportunities to prioritise funding of health promotion activities implemented by the private sector: </w:t>
      </w:r>
      <w:r w:rsidRPr="006F416F">
        <w:rPr>
          <w:rFonts w:ascii="Franklin Gothic Book" w:eastAsia="Times New Roman" w:hAnsi="Franklin Gothic Book" w:cs="Arial"/>
          <w:szCs w:val="20"/>
        </w:rPr>
        <w:t>TongaHealth is able and willing to fund all kinds of organisations, both private and public. There will certainly be engagement at various stages of media campaign activities where it will be neces</w:t>
      </w:r>
      <w:r>
        <w:rPr>
          <w:rFonts w:ascii="Franklin Gothic Book" w:eastAsia="Times New Roman" w:hAnsi="Franklin Gothic Book" w:cs="Arial"/>
          <w:szCs w:val="20"/>
        </w:rPr>
        <w:t>sary to tender out contracts (</w:t>
      </w:r>
      <w:r w:rsidRPr="006F416F">
        <w:rPr>
          <w:rFonts w:ascii="Franklin Gothic Book" w:eastAsia="Times New Roman" w:hAnsi="Franklin Gothic Book" w:cs="Arial"/>
          <w:szCs w:val="20"/>
        </w:rPr>
        <w:t xml:space="preserve">research, media design and broadcast etc.). </w:t>
      </w:r>
      <w:r w:rsidRPr="006F416F">
        <w:rPr>
          <w:rFonts w:ascii="Franklin Gothic Book" w:hAnsi="Franklin Gothic Book" w:cs="Arial"/>
          <w:szCs w:val="20"/>
        </w:rPr>
        <w:t>An example could be a health promotion campaign transmitted by a communications provider via text messaging.</w:t>
      </w:r>
    </w:p>
    <w:p w:rsidR="00B652E1" w:rsidRPr="005F4FAA" w:rsidRDefault="00B652E1" w:rsidP="00B652E1">
      <w:pPr>
        <w:spacing w:before="80" w:line="276" w:lineRule="auto"/>
        <w:rPr>
          <w:rFonts w:ascii="Franklin Gothic Book" w:hAnsi="Franklin Gothic Book"/>
          <w:szCs w:val="20"/>
        </w:rPr>
      </w:pPr>
    </w:p>
    <w:p w:rsidR="00B652E1" w:rsidRPr="005F4FAA" w:rsidRDefault="00B652E1" w:rsidP="00F12BE8">
      <w:pPr>
        <w:pStyle w:val="Heading2"/>
        <w:rPr>
          <w:lang w:eastAsia="en-US"/>
        </w:rPr>
      </w:pPr>
      <w:r w:rsidRPr="005F4FAA">
        <w:rPr>
          <w:lang w:eastAsia="en-US"/>
        </w:rPr>
        <w:t>Safeguards</w:t>
      </w:r>
    </w:p>
    <w:p w:rsidR="00B652E1" w:rsidRPr="005F4FAA" w:rsidRDefault="00B652E1" w:rsidP="00B652E1">
      <w:pPr>
        <w:tabs>
          <w:tab w:val="left" w:pos="1454"/>
        </w:tabs>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Environment and Resettlement Safeguards</w:t>
      </w:r>
    </w:p>
    <w:p w:rsidR="00B652E1" w:rsidRPr="005F4FAA" w:rsidRDefault="00B652E1" w:rsidP="00B652E1">
      <w:pPr>
        <w:tabs>
          <w:tab w:val="left" w:pos="1454"/>
        </w:tabs>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The main potential area where environmental issues could arise is with the construction or renovation of health infrastructure (clinics, hospitals etc.), including the removal of asbestos. Resettlement issues are unlikely as potential renovations will not lead to physical or economic displacement of people. A screening of the environmental risks and resettlement issues associated with this investment was undertaken by Post (</w:t>
      </w:r>
      <w:r>
        <w:rPr>
          <w:rFonts w:ascii="Franklin Gothic Book" w:eastAsia="Times New Roman" w:hAnsi="Franklin Gothic Book"/>
          <w:szCs w:val="20"/>
          <w:lang w:eastAsia="en-US"/>
        </w:rPr>
        <w:t>Annex 20</w:t>
      </w:r>
      <w:r w:rsidRPr="005F4FAA">
        <w:rPr>
          <w:rFonts w:ascii="Franklin Gothic Book" w:eastAsia="Times New Roman" w:hAnsi="Franklin Gothic Book"/>
          <w:szCs w:val="20"/>
          <w:lang w:eastAsia="en-US"/>
        </w:rPr>
        <w:t xml:space="preserve">) in consultation with the Environmental and Social Safeguard focal point at Post. The risk categorisation for the potential for this initiative to have a significant negative environmental impact is limited and therefore, in alignment with the DFAT Environment Policy (2015), a full Environmental Assessment and Environment Management Plan was not required for this design. However as the systems strengthening approach aims to create improvements in procurement and infrastructure management within the Ministry of Health, there is potential to ensure that both resettlement and environmental protection safeguards are considered in this investment. This will be described and monitored through Annual Management Plans and reported through annual aid quality processes. Post will continue with engagement by both Post’s Environmental and Social Safeguards focal point and the DFAT Infrastructure Adviser currently engaged in Tonga Post’s infrastructure portfolio, as needed. </w:t>
      </w:r>
    </w:p>
    <w:p w:rsidR="00B652E1" w:rsidRPr="00310294" w:rsidRDefault="00B652E1" w:rsidP="00B652E1">
      <w:pPr>
        <w:tabs>
          <w:tab w:val="left" w:pos="1454"/>
        </w:tabs>
        <w:spacing w:before="80" w:line="276" w:lineRule="auto"/>
        <w:rPr>
          <w:rFonts w:ascii="Franklin Gothic Book" w:eastAsia="Times New Roman" w:hAnsi="Franklin Gothic Book"/>
          <w:szCs w:val="20"/>
          <w:lang w:eastAsia="en-US"/>
        </w:rPr>
      </w:pPr>
      <w:r w:rsidRPr="00687A54">
        <w:rPr>
          <w:rFonts w:ascii="Franklin Gothic Book" w:hAnsi="Franklin Gothic Book"/>
        </w:rPr>
        <w:t>Environment and resettlement safeguards are included in the Risk Register (Annex 19).</w:t>
      </w:r>
      <w:r w:rsidRPr="00310294">
        <w:rPr>
          <w:rFonts w:ascii="Franklin Gothic Book" w:eastAsia="Times New Roman" w:hAnsi="Franklin Gothic Book"/>
          <w:szCs w:val="20"/>
          <w:lang w:eastAsia="en-US"/>
        </w:rPr>
        <w:t xml:space="preserve"> </w:t>
      </w:r>
    </w:p>
    <w:p w:rsidR="00B652E1" w:rsidRPr="005F4FAA" w:rsidRDefault="00B652E1" w:rsidP="00B652E1">
      <w:pPr>
        <w:tabs>
          <w:tab w:val="left" w:pos="1454"/>
        </w:tabs>
        <w:spacing w:before="80" w:line="276" w:lineRule="auto"/>
        <w:rPr>
          <w:rFonts w:ascii="Franklin Gothic Book" w:eastAsia="Times New Roman" w:hAnsi="Franklin Gothic Book"/>
          <w:szCs w:val="20"/>
          <w:u w:val="single"/>
          <w:lang w:eastAsia="en-US"/>
        </w:rPr>
      </w:pPr>
    </w:p>
    <w:p w:rsidR="00B652E1" w:rsidRPr="005F4FAA" w:rsidRDefault="00B652E1" w:rsidP="00B652E1">
      <w:pPr>
        <w:tabs>
          <w:tab w:val="left" w:pos="1454"/>
        </w:tabs>
        <w:spacing w:before="80" w:line="276" w:lineRule="auto"/>
        <w:rPr>
          <w:rFonts w:ascii="Franklin Gothic Book" w:eastAsia="Times New Roman" w:hAnsi="Franklin Gothic Book"/>
          <w:i/>
          <w:szCs w:val="20"/>
          <w:lang w:eastAsia="en-US"/>
        </w:rPr>
      </w:pPr>
      <w:r w:rsidRPr="005F4FAA">
        <w:rPr>
          <w:rFonts w:ascii="Franklin Gothic Book" w:eastAsia="Times New Roman" w:hAnsi="Franklin Gothic Book"/>
          <w:i/>
          <w:szCs w:val="20"/>
          <w:lang w:eastAsia="en-US"/>
        </w:rPr>
        <w:t>Child Protection and Child Protection Safeguards</w:t>
      </w:r>
    </w:p>
    <w:p w:rsidR="00B652E1" w:rsidRPr="005F4FAA" w:rsidRDefault="00B652E1" w:rsidP="00B652E1">
      <w:pPr>
        <w:tabs>
          <w:tab w:val="left" w:pos="1454"/>
        </w:tabs>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 xml:space="preserve">To effectively manage risks to children, DFAT requires the commitment, support and co-operation of contractors and civil society organisations. Post will ensure all of the arrangements with contractors and civil society organisations under this investment meet the terms of DFAT’s Child Protection </w:t>
      </w:r>
      <w:r>
        <w:rPr>
          <w:rFonts w:ascii="Franklin Gothic Book" w:eastAsia="Times New Roman" w:hAnsi="Franklin Gothic Book"/>
          <w:szCs w:val="20"/>
          <w:lang w:eastAsia="en-US"/>
        </w:rPr>
        <w:t>P</w:t>
      </w:r>
      <w:r w:rsidRPr="005F4FAA">
        <w:rPr>
          <w:rFonts w:ascii="Franklin Gothic Book" w:eastAsia="Times New Roman" w:hAnsi="Franklin Gothic Book"/>
          <w:szCs w:val="20"/>
          <w:lang w:eastAsia="en-US"/>
        </w:rPr>
        <w:t>olicy and ensure that partners are aware that they will be held accountable, through contracts, audits and spot checks, for complying with it. TongaHealth has successfully undergone DFAT’s due diligence framework which requires all potential partners to be assessed for risks and strengths before agreements are entered into, and to ensure they are compliant with DFAT policy and standards. TongaHealth has developed a child protection policy (</w:t>
      </w:r>
      <w:r>
        <w:rPr>
          <w:rFonts w:ascii="Franklin Gothic Book" w:eastAsia="Times New Roman" w:hAnsi="Franklin Gothic Book"/>
          <w:szCs w:val="20"/>
          <w:lang w:eastAsia="en-US"/>
        </w:rPr>
        <w:t>Annex 21</w:t>
      </w:r>
      <w:r w:rsidRPr="005F4FAA">
        <w:rPr>
          <w:rFonts w:ascii="Franklin Gothic Book" w:eastAsia="Times New Roman" w:hAnsi="Franklin Gothic Book"/>
          <w:szCs w:val="20"/>
          <w:lang w:eastAsia="en-US"/>
        </w:rPr>
        <w:t>) as a part of this process and compliance will be monitored by Post through annual performance assessments and the THSSP Independent Progress Report.</w:t>
      </w:r>
    </w:p>
    <w:p w:rsidR="00B652E1" w:rsidRPr="005F4FAA" w:rsidRDefault="00B652E1" w:rsidP="00B652E1">
      <w:pPr>
        <w:tabs>
          <w:tab w:val="left" w:pos="1454"/>
        </w:tabs>
        <w:spacing w:before="80" w:line="276" w:lineRule="auto"/>
        <w:rPr>
          <w:rFonts w:ascii="Franklin Gothic Book" w:eastAsia="Times New Roman" w:hAnsi="Franklin Gothic Book"/>
          <w:szCs w:val="20"/>
          <w:lang w:eastAsia="en-US"/>
        </w:rPr>
      </w:pPr>
      <w:r>
        <w:rPr>
          <w:rFonts w:ascii="Franklin Gothic Book" w:eastAsia="Times New Roman" w:hAnsi="Franklin Gothic Book"/>
          <w:szCs w:val="20"/>
          <w:lang w:eastAsia="en-US"/>
        </w:rPr>
        <w:t>Where</w:t>
      </w:r>
      <w:r w:rsidRPr="005F4FAA">
        <w:rPr>
          <w:rFonts w:ascii="Franklin Gothic Book" w:eastAsia="Times New Roman" w:hAnsi="Franklin Gothic Book"/>
          <w:szCs w:val="20"/>
          <w:lang w:eastAsia="en-US"/>
        </w:rPr>
        <w:t xml:space="preserve"> DFAT funds are being used to engage an organisation or individual sub-contractor such as PACTAM, Post will ensure the organisation or individual sub-contractor complies with the relevant child protection policy as a part of the standard recruitment process. </w:t>
      </w:r>
    </w:p>
    <w:p w:rsidR="00B652E1" w:rsidRDefault="00B652E1" w:rsidP="00B652E1">
      <w:pPr>
        <w:tabs>
          <w:tab w:val="left" w:pos="1454"/>
        </w:tabs>
        <w:spacing w:before="80" w:line="276" w:lineRule="auto"/>
        <w:rPr>
          <w:rFonts w:ascii="Franklin Gothic Book" w:eastAsia="Times New Roman" w:hAnsi="Franklin Gothic Book"/>
          <w:szCs w:val="20"/>
          <w:lang w:eastAsia="en-US"/>
        </w:rPr>
      </w:pPr>
      <w:r w:rsidRPr="005F4FAA">
        <w:rPr>
          <w:rFonts w:ascii="Franklin Gothic Book" w:eastAsia="Times New Roman" w:hAnsi="Franklin Gothic Book"/>
          <w:szCs w:val="20"/>
          <w:lang w:eastAsia="en-US"/>
        </w:rPr>
        <w:t>While the DFAT Child Protection Policy does not cover our Government Partners, Tonga is making progress in child protection. The Tongan Government ratified the Convention on the Rights of the Child (CRC) in 1995. More recently the Family Protection Bill was introduced in 2012 to deal with domestic violence (including against children) and to introduce the concept of protection orders. The Bill states that one of its aims is to enact provisions that are consisten</w:t>
      </w:r>
      <w:r>
        <w:rPr>
          <w:rFonts w:ascii="Franklin Gothic Book" w:eastAsia="Times New Roman" w:hAnsi="Franklin Gothic Book"/>
          <w:szCs w:val="20"/>
          <w:lang w:eastAsia="en-US"/>
        </w:rPr>
        <w:t>t with the CRC. The Act came in</w:t>
      </w:r>
      <w:r w:rsidRPr="005F4FAA">
        <w:rPr>
          <w:rFonts w:ascii="Franklin Gothic Book" w:eastAsia="Times New Roman" w:hAnsi="Franklin Gothic Book"/>
          <w:szCs w:val="20"/>
          <w:lang w:eastAsia="en-US"/>
        </w:rPr>
        <w:t xml:space="preserve">to effect in 2014. Tonga Post is monitoring the implementation of the Act through the Pacific Women Shaping Pacific Development initiative.  </w:t>
      </w:r>
    </w:p>
    <w:p w:rsidR="00B652E1" w:rsidRPr="00310294" w:rsidRDefault="00B652E1" w:rsidP="00B652E1">
      <w:pPr>
        <w:tabs>
          <w:tab w:val="left" w:pos="1454"/>
        </w:tabs>
        <w:spacing w:before="80" w:line="276" w:lineRule="auto"/>
        <w:rPr>
          <w:rFonts w:ascii="Franklin Gothic Book" w:eastAsia="Times New Roman" w:hAnsi="Franklin Gothic Book"/>
          <w:szCs w:val="20"/>
          <w:lang w:eastAsia="en-US"/>
        </w:rPr>
      </w:pPr>
      <w:r w:rsidRPr="00687A54">
        <w:rPr>
          <w:rFonts w:ascii="Franklin Gothic Book" w:hAnsi="Franklin Gothic Book"/>
        </w:rPr>
        <w:t>Child protection safeguards are included in the Risk Register (Annex 19).</w:t>
      </w:r>
      <w:r w:rsidRPr="00310294">
        <w:rPr>
          <w:rFonts w:ascii="Franklin Gothic Book" w:eastAsia="Times New Roman" w:hAnsi="Franklin Gothic Book"/>
          <w:szCs w:val="20"/>
          <w:lang w:eastAsia="en-US"/>
        </w:rPr>
        <w:t xml:space="preserve"> </w:t>
      </w:r>
    </w:p>
    <w:p w:rsidR="00B652E1" w:rsidRPr="005F4FAA" w:rsidRDefault="00B652E1" w:rsidP="00B652E1">
      <w:pPr>
        <w:tabs>
          <w:tab w:val="left" w:pos="1454"/>
        </w:tabs>
        <w:spacing w:before="80" w:line="276" w:lineRule="auto"/>
        <w:rPr>
          <w:rFonts w:ascii="Franklin Gothic Book" w:hAnsi="Franklin Gothic Book"/>
          <w:szCs w:val="20"/>
        </w:rPr>
      </w:pPr>
    </w:p>
    <w:sectPr w:rsidR="00B652E1" w:rsidRPr="005F4FAA" w:rsidSect="00B652E1">
      <w:pgSz w:w="11907" w:h="16840" w:code="9"/>
      <w:pgMar w:top="2268" w:right="1871" w:bottom="907" w:left="1871" w:header="851"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9B" w:rsidRDefault="00312C9B" w:rsidP="0050529F">
      <w:r>
        <w:separator/>
      </w:r>
    </w:p>
    <w:p w:rsidR="00312C9B" w:rsidRDefault="00312C9B"/>
    <w:p w:rsidR="00312C9B" w:rsidRDefault="00312C9B"/>
    <w:p w:rsidR="00312C9B" w:rsidRDefault="00312C9B"/>
    <w:p w:rsidR="00312C9B" w:rsidRDefault="00312C9B"/>
    <w:p w:rsidR="00312C9B" w:rsidRDefault="00312C9B"/>
    <w:p w:rsidR="00312C9B" w:rsidRDefault="00312C9B"/>
  </w:endnote>
  <w:endnote w:type="continuationSeparator" w:id="0">
    <w:p w:rsidR="00312C9B" w:rsidRDefault="00312C9B" w:rsidP="0050529F">
      <w:r>
        <w:continuationSeparator/>
      </w:r>
    </w:p>
    <w:p w:rsidR="00312C9B" w:rsidRDefault="00312C9B"/>
    <w:p w:rsidR="00312C9B" w:rsidRDefault="00312C9B"/>
    <w:p w:rsidR="00312C9B" w:rsidRDefault="00312C9B"/>
    <w:p w:rsidR="00312C9B" w:rsidRDefault="00312C9B"/>
    <w:p w:rsidR="00312C9B" w:rsidRDefault="00312C9B"/>
    <w:p w:rsidR="00312C9B" w:rsidRDefault="00312C9B"/>
  </w:endnote>
  <w:endnote w:type="continuationNotice" w:id="1">
    <w:p w:rsidR="00312C9B" w:rsidRDefault="00312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647" w:rsidRDefault="005056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89807"/>
      <w:docPartObj>
        <w:docPartGallery w:val="Page Numbers (Bottom of Page)"/>
        <w:docPartUnique/>
      </w:docPartObj>
    </w:sdtPr>
    <w:sdtEndPr>
      <w:rPr>
        <w:noProof/>
        <w:color w:val="auto"/>
        <w:sz w:val="20"/>
        <w:szCs w:val="22"/>
      </w:rPr>
    </w:sdtEndPr>
    <w:sdtContent>
      <w:p w:rsidR="004F6539" w:rsidRPr="007224E9" w:rsidRDefault="004F6539" w:rsidP="009C7191">
        <w:pPr>
          <w:pStyle w:val="Footer"/>
          <w:jc w:val="center"/>
          <w:rPr>
            <w:color w:val="auto"/>
            <w:sz w:val="20"/>
            <w:szCs w:val="22"/>
          </w:rPr>
        </w:pPr>
        <w:r w:rsidRPr="007224E9">
          <w:rPr>
            <w:color w:val="auto"/>
            <w:sz w:val="20"/>
            <w:szCs w:val="22"/>
          </w:rPr>
          <w:fldChar w:fldCharType="begin"/>
        </w:r>
        <w:r w:rsidRPr="007224E9">
          <w:rPr>
            <w:color w:val="auto"/>
            <w:sz w:val="20"/>
            <w:szCs w:val="22"/>
          </w:rPr>
          <w:instrText xml:space="preserve"> PAGE   \* MERGEFORMAT </w:instrText>
        </w:r>
        <w:r w:rsidRPr="007224E9">
          <w:rPr>
            <w:color w:val="auto"/>
            <w:sz w:val="20"/>
            <w:szCs w:val="22"/>
          </w:rPr>
          <w:fldChar w:fldCharType="separate"/>
        </w:r>
        <w:r w:rsidR="00505647">
          <w:rPr>
            <w:noProof/>
            <w:color w:val="auto"/>
            <w:sz w:val="20"/>
            <w:szCs w:val="22"/>
          </w:rPr>
          <w:t>1</w:t>
        </w:r>
        <w:r w:rsidRPr="007224E9">
          <w:rPr>
            <w:color w:val="auto"/>
            <w:sz w:val="20"/>
            <w:szCs w:val="22"/>
          </w:rPr>
          <w:fldChar w:fldCharType="end"/>
        </w:r>
      </w:p>
    </w:sdtContent>
  </w:sdt>
  <w:p w:rsidR="004F6539" w:rsidRDefault="004F6539"/>
  <w:p w:rsidR="004F6539" w:rsidRDefault="004F65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39" w:rsidRDefault="004F6539">
    <w:pPr>
      <w:pStyle w:val="Footer"/>
    </w:pPr>
    <w:r>
      <w:t>Preparing Aid Program Performance Reports and Aid Program Management Reviews</w:t>
    </w:r>
  </w:p>
  <w:p w:rsidR="004F6539" w:rsidRPr="004C4A3E" w:rsidRDefault="004F6539" w:rsidP="000D733F">
    <w:pPr>
      <w:tabs>
        <w:tab w:val="left" w:pos="0"/>
        <w:tab w:val="left" w:pos="13325"/>
      </w:tabs>
      <w:spacing w:line="180" w:lineRule="exact"/>
      <w:ind w:right="-1136"/>
      <w:rPr>
        <w:rFonts w:ascii="Franklin Gothic Medium" w:hAnsi="Franklin Gothic Medium"/>
        <w:color w:val="5A9A98"/>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9B" w:rsidRDefault="00312C9B" w:rsidP="0050529F">
      <w:r>
        <w:separator/>
      </w:r>
    </w:p>
    <w:p w:rsidR="00312C9B" w:rsidRDefault="00312C9B"/>
    <w:p w:rsidR="00312C9B" w:rsidRDefault="00312C9B"/>
    <w:p w:rsidR="00312C9B" w:rsidRDefault="00312C9B"/>
    <w:p w:rsidR="00312C9B" w:rsidRDefault="00312C9B"/>
    <w:p w:rsidR="00312C9B" w:rsidRDefault="00312C9B"/>
    <w:p w:rsidR="00312C9B" w:rsidRDefault="00312C9B"/>
  </w:footnote>
  <w:footnote w:type="continuationSeparator" w:id="0">
    <w:p w:rsidR="00312C9B" w:rsidRDefault="00312C9B" w:rsidP="0050529F">
      <w:r>
        <w:continuationSeparator/>
      </w:r>
    </w:p>
    <w:p w:rsidR="00312C9B" w:rsidRDefault="00312C9B"/>
    <w:p w:rsidR="00312C9B" w:rsidRDefault="00312C9B"/>
    <w:p w:rsidR="00312C9B" w:rsidRDefault="00312C9B"/>
    <w:p w:rsidR="00312C9B" w:rsidRDefault="00312C9B"/>
    <w:p w:rsidR="00312C9B" w:rsidRDefault="00312C9B"/>
    <w:p w:rsidR="00312C9B" w:rsidRDefault="00312C9B"/>
  </w:footnote>
  <w:footnote w:type="continuationNotice" w:id="1">
    <w:p w:rsidR="00312C9B" w:rsidRDefault="00312C9B"/>
  </w:footnote>
  <w:footnote w:id="2">
    <w:p w:rsidR="004F6539" w:rsidRPr="009C7191" w:rsidRDefault="004F6539" w:rsidP="00B652E1">
      <w:pPr>
        <w:pStyle w:val="FootnoteText"/>
        <w:rPr>
          <w:lang w:val="en-GB"/>
        </w:rPr>
      </w:pPr>
      <w:r>
        <w:rPr>
          <w:rStyle w:val="FootnoteReference"/>
        </w:rPr>
        <w:footnoteRef/>
      </w:r>
      <w:r>
        <w:t xml:space="preserve"> The literature is inconsistent about whether or not life expectancy has fallen, although the Ministry of Health accepts that is has. This inconsistency is discussed in the main text, Section C </w:t>
      </w:r>
      <w:r>
        <w:rPr>
          <w:i/>
        </w:rPr>
        <w:t xml:space="preserve">The problem of NCDs. </w:t>
      </w:r>
      <w:r>
        <w:t xml:space="preserve">  </w:t>
      </w:r>
    </w:p>
  </w:footnote>
  <w:footnote w:id="3">
    <w:p w:rsidR="004F6539" w:rsidRDefault="004F6539">
      <w:pPr>
        <w:pStyle w:val="FootnoteText"/>
      </w:pPr>
      <w:r>
        <w:rPr>
          <w:rStyle w:val="FootnoteReference"/>
        </w:rPr>
        <w:footnoteRef/>
      </w:r>
      <w:r>
        <w:t xml:space="preserve"> Preventable disability for THSSP 2is here defined as cases of diabetic retinopathy, limp amputation (related to lack of diabetic control)  and different stages of renal failure (as per data collected by the Diabetes Clinic).. </w:t>
      </w:r>
    </w:p>
  </w:footnote>
  <w:footnote w:id="4">
    <w:p w:rsidR="004F6539" w:rsidRPr="007225A7" w:rsidRDefault="004F6539" w:rsidP="00B652E1">
      <w:pPr>
        <w:pStyle w:val="FootnoteText"/>
        <w:rPr>
          <w:lang w:val="en-GB"/>
        </w:rPr>
      </w:pPr>
      <w:r w:rsidRPr="00A40A80">
        <w:rPr>
          <w:rStyle w:val="FootnoteReference"/>
        </w:rPr>
        <w:footnoteRef/>
      </w:r>
      <w:r w:rsidRPr="00A40A80">
        <w:t xml:space="preserve"> </w:t>
      </w:r>
      <w:r w:rsidRPr="00B67EAD">
        <w:t>A note on terminology: the Ministry of Health uses the term “Annual Management Plan (AMP)”, but TongaHealth does not. AMP is used in the context of the Ministry; “work-plans”, or simply “plans” is used when referring to both institutions.</w:t>
      </w:r>
    </w:p>
  </w:footnote>
  <w:footnote w:id="5">
    <w:p w:rsidR="004F6539" w:rsidRPr="00D702CA" w:rsidRDefault="004F6539" w:rsidP="00B652E1">
      <w:pPr>
        <w:pStyle w:val="FootnoteText"/>
        <w:rPr>
          <w:lang w:val="en-GB"/>
        </w:rPr>
      </w:pPr>
      <w:r>
        <w:rPr>
          <w:rStyle w:val="FootnoteReference"/>
        </w:rPr>
        <w:footnoteRef/>
      </w:r>
      <w:r>
        <w:t xml:space="preserve"> </w:t>
      </w:r>
      <w:r w:rsidRPr="009C7191">
        <w:rPr>
          <w:rFonts w:ascii="Times New Roman" w:hAnsi="Times New Roman"/>
          <w:sz w:val="20"/>
        </w:rPr>
        <w:t xml:space="preserve">This section draws heavily on the DFAT-commissioned </w:t>
      </w:r>
      <w:r w:rsidRPr="009C7191">
        <w:rPr>
          <w:rFonts w:ascii="Times New Roman" w:hAnsi="Times New Roman"/>
          <w:i/>
          <w:sz w:val="20"/>
        </w:rPr>
        <w:t xml:space="preserve">Tonga </w:t>
      </w:r>
      <w:r w:rsidRPr="009C7191">
        <w:rPr>
          <w:rFonts w:ascii="Times New Roman" w:hAnsi="Times New Roman"/>
          <w:i/>
          <w:sz w:val="20"/>
          <w:lang w:val="en-US"/>
        </w:rPr>
        <w:t xml:space="preserve">Health Sector Analysis </w:t>
      </w:r>
      <w:r w:rsidRPr="009C7191">
        <w:rPr>
          <w:rFonts w:ascii="Times New Roman" w:hAnsi="Times New Roman"/>
          <w:sz w:val="20"/>
          <w:lang w:val="en-US"/>
        </w:rPr>
        <w:t xml:space="preserve">which was part of the preparatory </w:t>
      </w:r>
      <w:r w:rsidRPr="00D702CA">
        <w:rPr>
          <w:rFonts w:ascii="Times New Roman" w:hAnsi="Times New Roman"/>
          <w:sz w:val="20"/>
          <w:lang w:val="en-US"/>
        </w:rPr>
        <w:t>work for THSSP2 (</w:t>
      </w:r>
      <w:r w:rsidRPr="00D702CA">
        <w:rPr>
          <w:rFonts w:ascii="Times New Roman" w:hAnsi="Times New Roman"/>
          <w:sz w:val="20"/>
        </w:rPr>
        <w:t xml:space="preserve">Levisay A with Evans L, 2014). More primary references can be found in this document. </w:t>
      </w:r>
      <w:r>
        <w:rPr>
          <w:rFonts w:ascii="Times New Roman" w:hAnsi="Times New Roman"/>
          <w:sz w:val="20"/>
        </w:rPr>
        <w:t xml:space="preserve"> The Executive summary is given in Annex 2.</w:t>
      </w:r>
    </w:p>
  </w:footnote>
  <w:footnote w:id="6">
    <w:p w:rsidR="004F6539" w:rsidRPr="003061C0" w:rsidRDefault="004F6539" w:rsidP="00B652E1">
      <w:pPr>
        <w:pStyle w:val="FootnoteText"/>
        <w:rPr>
          <w:lang w:val="en-GB"/>
        </w:rPr>
      </w:pPr>
      <w:r w:rsidRPr="003061C0">
        <w:rPr>
          <w:rStyle w:val="FootnoteReference"/>
        </w:rPr>
        <w:footnoteRef/>
      </w:r>
      <w:r w:rsidRPr="003061C0">
        <w:t xml:space="preserve"> </w:t>
      </w:r>
      <w:r w:rsidRPr="003061C0">
        <w:rPr>
          <w:rFonts w:ascii="Times New Roman" w:hAnsi="Times New Roman"/>
          <w:sz w:val="20"/>
        </w:rPr>
        <w:t>WHO, Asia Pacific Observatory on Health Systems and Policies: 10.</w:t>
      </w:r>
    </w:p>
  </w:footnote>
  <w:footnote w:id="7">
    <w:p w:rsidR="004F6539" w:rsidRPr="003061C0" w:rsidRDefault="004F6539" w:rsidP="00B652E1">
      <w:pPr>
        <w:pStyle w:val="FootnoteText"/>
        <w:rPr>
          <w:rFonts w:ascii="Times New Roman" w:hAnsi="Times New Roman"/>
          <w:sz w:val="20"/>
          <w:lang w:val="en-GB"/>
        </w:rPr>
      </w:pPr>
      <w:r w:rsidRPr="003061C0">
        <w:rPr>
          <w:rStyle w:val="FootnoteReference"/>
          <w:sz w:val="20"/>
          <w:szCs w:val="20"/>
        </w:rPr>
        <w:footnoteRef/>
      </w:r>
      <w:r w:rsidRPr="003061C0">
        <w:rPr>
          <w:rFonts w:ascii="Times New Roman" w:hAnsi="Times New Roman"/>
          <w:sz w:val="20"/>
        </w:rPr>
        <w:t xml:space="preserve"> Hufanga et al., Mortality Trends in Tonga: An Assessment Based on a Synthesis of Local Data</w:t>
      </w:r>
      <w:r w:rsidRPr="003061C0">
        <w:rPr>
          <w:rFonts w:ascii="Times New Roman" w:hAnsi="Times New Roman"/>
          <w:i/>
          <w:sz w:val="20"/>
        </w:rPr>
        <w:t>, Population Health Metrics</w:t>
      </w:r>
      <w:r w:rsidRPr="003061C0">
        <w:rPr>
          <w:rFonts w:ascii="Times New Roman" w:hAnsi="Times New Roman"/>
          <w:sz w:val="20"/>
        </w:rPr>
        <w:t xml:space="preserve"> 10:14, 2012, 9-10.  </w:t>
      </w:r>
    </w:p>
  </w:footnote>
  <w:footnote w:id="8">
    <w:p w:rsidR="004F6539" w:rsidRPr="003061C0" w:rsidRDefault="004F6539" w:rsidP="00B652E1">
      <w:pPr>
        <w:pStyle w:val="FootnoteText"/>
        <w:rPr>
          <w:rFonts w:ascii="Times New Roman" w:hAnsi="Times New Roman"/>
          <w:sz w:val="20"/>
          <w:lang w:val="en-GB"/>
        </w:rPr>
      </w:pPr>
      <w:r w:rsidRPr="003061C0">
        <w:rPr>
          <w:rStyle w:val="FootnoteReference"/>
          <w:sz w:val="20"/>
          <w:szCs w:val="20"/>
        </w:rPr>
        <w:footnoteRef/>
      </w:r>
      <w:r w:rsidRPr="003061C0">
        <w:rPr>
          <w:rFonts w:ascii="Times New Roman" w:hAnsi="Times New Roman"/>
          <w:sz w:val="20"/>
        </w:rPr>
        <w:t xml:space="preserve"> http://hdr.undp.org/en/data</w:t>
      </w:r>
    </w:p>
  </w:footnote>
  <w:footnote w:id="9">
    <w:p w:rsidR="004F6539" w:rsidRPr="00382A61" w:rsidRDefault="004F6539" w:rsidP="00B652E1">
      <w:pPr>
        <w:autoSpaceDE w:val="0"/>
        <w:autoSpaceDN w:val="0"/>
        <w:adjustRightInd w:val="0"/>
        <w:spacing w:line="276" w:lineRule="auto"/>
        <w:rPr>
          <w:rFonts w:eastAsia="Times New Roman"/>
          <w:szCs w:val="20"/>
          <w:lang w:eastAsia="en-US"/>
        </w:rPr>
      </w:pPr>
      <w:r w:rsidRPr="003061C0">
        <w:rPr>
          <w:rStyle w:val="FootnoteReference"/>
          <w:sz w:val="20"/>
          <w:szCs w:val="20"/>
        </w:rPr>
        <w:footnoteRef/>
      </w:r>
      <w:r w:rsidRPr="003061C0">
        <w:rPr>
          <w:szCs w:val="20"/>
        </w:rPr>
        <w:t xml:space="preserve"> </w:t>
      </w:r>
      <w:r w:rsidRPr="003061C0">
        <w:rPr>
          <w:szCs w:val="20"/>
          <w:lang w:val="en-GB"/>
        </w:rPr>
        <w:t xml:space="preserve">See for example, Anderson, I (2012) </w:t>
      </w:r>
      <w:r w:rsidRPr="003061C0">
        <w:rPr>
          <w:rFonts w:eastAsia="Times New Roman"/>
          <w:i/>
          <w:szCs w:val="20"/>
          <w:lang w:eastAsia="en-US"/>
        </w:rPr>
        <w:t>The economic costs of NCDs in the Pacific Islands: a rapid stocktake of the situation in Samoa, Tonga and Vanuatu.</w:t>
      </w:r>
      <w:r w:rsidRPr="009C7191">
        <w:rPr>
          <w:rFonts w:eastAsia="Times New Roman"/>
          <w:szCs w:val="20"/>
          <w:lang w:eastAsia="en-US"/>
        </w:rPr>
        <w:t xml:space="preserve"> </w:t>
      </w:r>
    </w:p>
  </w:footnote>
  <w:footnote w:id="10">
    <w:p w:rsidR="004F6539" w:rsidRPr="00421E3E" w:rsidRDefault="004F6539" w:rsidP="00B652E1">
      <w:pPr>
        <w:pStyle w:val="FootnoteText"/>
        <w:rPr>
          <w:lang w:val="en-GB"/>
        </w:rPr>
      </w:pPr>
      <w:r>
        <w:rPr>
          <w:rStyle w:val="FootnoteReference"/>
        </w:rPr>
        <w:footnoteRef/>
      </w:r>
      <w:r>
        <w:t xml:space="preserve"> </w:t>
      </w:r>
      <w:r w:rsidRPr="000800D2">
        <w:rPr>
          <w:rFonts w:ascii="Times New Roman" w:hAnsi="Times New Roman"/>
          <w:sz w:val="20"/>
        </w:rPr>
        <w:t xml:space="preserve">The terminology here can be confusing. “Secondary prevention” – avoiding the escalation of existing NCDs – actually takes place in the </w:t>
      </w:r>
      <w:r w:rsidRPr="000800D2">
        <w:rPr>
          <w:rFonts w:ascii="Times New Roman" w:hAnsi="Times New Roman"/>
          <w:i/>
          <w:sz w:val="20"/>
        </w:rPr>
        <w:t>primary</w:t>
      </w:r>
      <w:r w:rsidRPr="000800D2">
        <w:rPr>
          <w:rFonts w:ascii="Times New Roman" w:hAnsi="Times New Roman"/>
          <w:sz w:val="20"/>
        </w:rPr>
        <w:t xml:space="preserve"> health care setting.</w:t>
      </w:r>
    </w:p>
  </w:footnote>
  <w:footnote w:id="11">
    <w:p w:rsidR="004F6539" w:rsidRPr="00511A02" w:rsidRDefault="004F6539" w:rsidP="00B652E1">
      <w:pPr>
        <w:pStyle w:val="FootnoteText"/>
        <w:rPr>
          <w:lang w:val="en-GB"/>
        </w:rPr>
      </w:pPr>
      <w:r>
        <w:rPr>
          <w:rStyle w:val="FootnoteReference"/>
        </w:rPr>
        <w:footnoteRef/>
      </w:r>
      <w:r>
        <w:t xml:space="preserve"> </w:t>
      </w:r>
      <w:r w:rsidRPr="00511A02">
        <w:rPr>
          <w:rFonts w:ascii="Times New Roman" w:hAnsi="Times New Roman"/>
          <w:sz w:val="20"/>
        </w:rPr>
        <w:t xml:space="preserve">World Bank, </w:t>
      </w:r>
      <w:r w:rsidRPr="00511A02">
        <w:rPr>
          <w:rFonts w:ascii="Times New Roman" w:hAnsi="Times New Roman"/>
          <w:i/>
          <w:sz w:val="20"/>
        </w:rPr>
        <w:t xml:space="preserve">Financing Options for the Health Sector in </w:t>
      </w:r>
      <w:r w:rsidRPr="00BB31E0">
        <w:rPr>
          <w:rFonts w:ascii="Times New Roman" w:hAnsi="Times New Roman"/>
          <w:i/>
          <w:sz w:val="20"/>
        </w:rPr>
        <w:t>Tonga</w:t>
      </w:r>
      <w:r w:rsidRPr="00BB31E0">
        <w:rPr>
          <w:rFonts w:ascii="Times New Roman" w:hAnsi="Times New Roman"/>
          <w:sz w:val="20"/>
        </w:rPr>
        <w:t>, 2009.</w:t>
      </w:r>
    </w:p>
  </w:footnote>
  <w:footnote w:id="12">
    <w:p w:rsidR="004F6539" w:rsidRPr="00B67EAD" w:rsidRDefault="004F6539" w:rsidP="00B652E1">
      <w:pPr>
        <w:pStyle w:val="FootnoteText"/>
        <w:rPr>
          <w:rFonts w:ascii="Times New Roman" w:hAnsi="Times New Roman"/>
          <w:sz w:val="20"/>
        </w:rPr>
      </w:pPr>
      <w:r w:rsidRPr="00B67EAD">
        <w:rPr>
          <w:sz w:val="20"/>
          <w:vertAlign w:val="superscript"/>
        </w:rPr>
        <w:footnoteRef/>
      </w:r>
      <w:r w:rsidRPr="00B67EAD">
        <w:rPr>
          <w:rFonts w:ascii="Times New Roman" w:hAnsi="Times New Roman"/>
          <w:sz w:val="20"/>
          <w:vertAlign w:val="superscript"/>
        </w:rPr>
        <w:t xml:space="preserve"> </w:t>
      </w:r>
      <w:r w:rsidRPr="00B67EAD">
        <w:rPr>
          <w:rFonts w:ascii="Times New Roman" w:hAnsi="Times New Roman"/>
          <w:sz w:val="20"/>
        </w:rPr>
        <w:t>A note on terminology: the Ministry of Health uses the term “Annual Management Plan (AMP)”, but TongaHealth does not. AMP is used in the context of the Ministry; “work-plans”, or simply “plans” is used when referring to both institutions.</w:t>
      </w:r>
    </w:p>
  </w:footnote>
  <w:footnote w:id="13">
    <w:p w:rsidR="004F6539" w:rsidRPr="00DC4912" w:rsidRDefault="004F6539" w:rsidP="00B652E1">
      <w:pPr>
        <w:pStyle w:val="FootnoteText"/>
        <w:rPr>
          <w:lang w:val="en-GB"/>
        </w:rPr>
      </w:pPr>
      <w:r w:rsidRPr="00A40A80">
        <w:rPr>
          <w:rStyle w:val="FootnoteReference"/>
        </w:rPr>
        <w:footnoteRef/>
      </w:r>
      <w:r w:rsidRPr="00552B0E">
        <w:t xml:space="preserve"> </w:t>
      </w:r>
      <w:r w:rsidRPr="00552B0E">
        <w:rPr>
          <w:rFonts w:ascii="Times New Roman" w:hAnsi="Times New Roman"/>
          <w:sz w:val="20"/>
        </w:rPr>
        <w:t>The WHO STEPwise approach to Surveillance (STEPS) of NCD risk factors is a standardized method for collecting, analysing and disseminating data in WHO member countries. By using the</w:t>
      </w:r>
      <w:r w:rsidRPr="002509F7">
        <w:rPr>
          <w:rFonts w:ascii="Times New Roman" w:hAnsi="Times New Roman"/>
          <w:sz w:val="20"/>
        </w:rPr>
        <w:t xml:space="preserve"> same questions and protocols, countries can use STEPS information not only for monitoring within-country trends, but also for making comparisons across countries.</w:t>
      </w:r>
    </w:p>
  </w:footnote>
  <w:footnote w:id="14">
    <w:p w:rsidR="004F6539" w:rsidRDefault="004F6539" w:rsidP="00B652E1">
      <w:pPr>
        <w:rPr>
          <w:rFonts w:eastAsia="Times New Roman"/>
        </w:rPr>
      </w:pPr>
      <w:r w:rsidRPr="00552B0E">
        <w:rPr>
          <w:rStyle w:val="FootnoteReference"/>
        </w:rPr>
        <w:footnoteRef/>
      </w:r>
      <w:r w:rsidRPr="00552B0E">
        <w:t xml:space="preserve"> </w:t>
      </w:r>
      <w:r w:rsidRPr="00552B0E">
        <w:rPr>
          <w:szCs w:val="20"/>
        </w:rPr>
        <w:t xml:space="preserve">Information about disability services comes from documents by the </w:t>
      </w:r>
      <w:r w:rsidRPr="00552B0E">
        <w:rPr>
          <w:rFonts w:eastAsia="Times New Roman"/>
          <w:bCs/>
          <w:szCs w:val="20"/>
        </w:rPr>
        <w:t>CBM – Nossal Institute Partnership for Disability Inclusive Development.</w:t>
      </w:r>
    </w:p>
    <w:p w:rsidR="004F6539" w:rsidRDefault="004F6539" w:rsidP="00B652E1">
      <w:pPr>
        <w:pStyle w:val="FootnoteText"/>
      </w:pPr>
    </w:p>
  </w:footnote>
  <w:footnote w:id="15">
    <w:p w:rsidR="004F6539" w:rsidRPr="00561CA1" w:rsidRDefault="004F6539" w:rsidP="00B652E1">
      <w:pPr>
        <w:pStyle w:val="FootnoteText"/>
        <w:rPr>
          <w:lang w:val="en-GB"/>
        </w:rPr>
      </w:pPr>
      <w:r>
        <w:rPr>
          <w:rStyle w:val="FootnoteReference"/>
        </w:rPr>
        <w:footnoteRef/>
      </w:r>
      <w:r>
        <w:t xml:space="preserve"> </w:t>
      </w:r>
      <w:r w:rsidRPr="00AF7064">
        <w:rPr>
          <w:rFonts w:ascii="Times New Roman" w:eastAsiaTheme="minorHAnsi" w:hAnsi="Times New Roman"/>
          <w:color w:val="000000"/>
          <w:sz w:val="20"/>
          <w:lang w:val="en-GB" w:eastAsia="en-US"/>
        </w:rPr>
        <w:t xml:space="preserve">Wijemanne N Rannan-Eliya R (2014) </w:t>
      </w:r>
      <w:r w:rsidRPr="00AF7064">
        <w:rPr>
          <w:rFonts w:ascii="Times New Roman" w:eastAsiaTheme="minorHAnsi" w:hAnsi="Times New Roman"/>
          <w:i/>
          <w:color w:val="000000"/>
          <w:sz w:val="20"/>
          <w:lang w:val="en-GB" w:eastAsia="en-US"/>
        </w:rPr>
        <w:t>Policy Brief for DFAT on Support for Country Implementation of CVD Treatment and WHO-PEN</w:t>
      </w:r>
      <w:r w:rsidRPr="00AF7064">
        <w:rPr>
          <w:rFonts w:ascii="Times New Roman" w:eastAsiaTheme="minorHAnsi" w:hAnsi="Times New Roman"/>
          <w:color w:val="000000"/>
          <w:sz w:val="20"/>
          <w:lang w:val="en-GB" w:eastAsia="en-US"/>
        </w:rPr>
        <w:t xml:space="preserve">. Institute for Health Policy, Sri Lanka. </w:t>
      </w:r>
      <w:r w:rsidRPr="00AF7064">
        <w:rPr>
          <w:rFonts w:ascii="Times New Roman" w:hAnsi="Times New Roman"/>
          <w:sz w:val="20"/>
        </w:rPr>
        <w:t>HRF Help-desk Request.</w:t>
      </w:r>
      <w:r w:rsidRPr="00BB69E0">
        <w:t xml:space="preserve">  </w:t>
      </w:r>
    </w:p>
  </w:footnote>
  <w:footnote w:id="16">
    <w:p w:rsidR="004F6539" w:rsidRDefault="004F6539">
      <w:pPr>
        <w:pStyle w:val="FootnoteText"/>
      </w:pPr>
      <w:r>
        <w:rPr>
          <w:rStyle w:val="FootnoteReference"/>
        </w:rPr>
        <w:footnoteRef/>
      </w:r>
      <w:r>
        <w:t xml:space="preserve"> As statedmentioned in an earlier reference, preventable disability for THSSP2THSSP 2  is here defined as cases of diabetic retinopathy, limp amputation (related to lack of diabetic control)  and different stages of renal failure (as per data collected by the Diabetes Clinic)..</w:t>
      </w:r>
    </w:p>
  </w:footnote>
  <w:footnote w:id="17">
    <w:p w:rsidR="004F6539" w:rsidRDefault="004F6539" w:rsidP="00B652E1">
      <w:pPr>
        <w:pStyle w:val="FootnoteText"/>
      </w:pPr>
      <w:r>
        <w:rPr>
          <w:rStyle w:val="FootnoteReference"/>
        </w:rPr>
        <w:footnoteRef/>
      </w:r>
      <w:r>
        <w:t xml:space="preserve"> </w:t>
      </w:r>
      <w:hyperlink r:id="rId1" w:history="1">
        <w:r w:rsidRPr="001914B5">
          <w:rPr>
            <w:rStyle w:val="Hyperlink"/>
            <w:sz w:val="16"/>
          </w:rPr>
          <w:t>www.wpro.who.int/southpacific/programmes/healthy_communities/health_promotion/page/en/index1.html</w:t>
        </w:r>
      </w:hyperlink>
    </w:p>
    <w:p w:rsidR="004F6539" w:rsidRPr="001914B5" w:rsidRDefault="004F6539" w:rsidP="00B652E1">
      <w:pPr>
        <w:pStyle w:val="FootnoteText"/>
        <w:rPr>
          <w:lang w:val="en-GB"/>
        </w:rPr>
      </w:pPr>
    </w:p>
  </w:footnote>
  <w:footnote w:id="18">
    <w:p w:rsidR="004F6539" w:rsidRDefault="004F6539">
      <w:pPr>
        <w:pStyle w:val="FootnoteText"/>
      </w:pPr>
      <w:r>
        <w:rPr>
          <w:rStyle w:val="FootnoteReference"/>
        </w:rPr>
        <w:footnoteRef/>
      </w:r>
      <w:r>
        <w:t xml:space="preserve"> As mentioned in an earlier reference, preventable disability for THSSP2THSSP 2  is here defined as cases of diabetic retinopathy, limp amputation (related to lack of diabetic control)  and different stages of renal failure (as per data collected by the Diabetes Clinic)..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39" w:rsidRDefault="004F65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39" w:rsidRDefault="004F6539" w:rsidP="00044338">
    <w:pPr>
      <w:shd w:val="clear" w:color="auto" w:fill="0C81AC"/>
      <w:ind w:left="-1928" w:right="-1871"/>
    </w:pPr>
  </w:p>
  <w:p w:rsidR="004F6539" w:rsidRDefault="004F6539" w:rsidP="00044338">
    <w:pPr>
      <w:shd w:val="clear" w:color="auto" w:fill="0C81AC"/>
      <w:ind w:left="-1928" w:right="-1871"/>
    </w:pPr>
  </w:p>
  <w:p w:rsidR="004F6539" w:rsidRDefault="004F6539" w:rsidP="00044338">
    <w:pPr>
      <w:shd w:val="clear" w:color="auto" w:fill="0C81AC"/>
      <w:spacing w:before="100" w:beforeAutospacing="1"/>
      <w:ind w:left="-1928" w:right="-1871"/>
    </w:pPr>
  </w:p>
  <w:p w:rsidR="004F6539" w:rsidRDefault="004F6539" w:rsidP="00044338"/>
  <w:p w:rsidR="004F6539" w:rsidRPr="00044338" w:rsidRDefault="004F6539" w:rsidP="00044338">
    <w:pPr>
      <w:pStyle w:val="Header"/>
    </w:pPr>
  </w:p>
  <w:p w:rsidR="004F6539" w:rsidRDefault="004F6539"/>
  <w:p w:rsidR="004F6539" w:rsidRDefault="004F65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39" w:rsidRDefault="004F6539">
    <w:r>
      <w:rPr>
        <w:noProof/>
      </w:rPr>
      <w:drawing>
        <wp:anchor distT="0" distB="0" distL="114300" distR="114300" simplePos="0" relativeHeight="251659264" behindDoc="0" locked="0" layoutInCell="1" allowOverlap="1" wp14:anchorId="500BE052" wp14:editId="72A99994">
          <wp:simplePos x="0" y="0"/>
          <wp:positionH relativeFrom="page">
            <wp:posOffset>0</wp:posOffset>
          </wp:positionH>
          <wp:positionV relativeFrom="page">
            <wp:posOffset>7620</wp:posOffset>
          </wp:positionV>
          <wp:extent cx="7559675" cy="1871345"/>
          <wp:effectExtent l="0" t="0" r="317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71345"/>
                  </a:xfrm>
                  <a:prstGeom prst="rect">
                    <a:avLst/>
                  </a:prstGeom>
                </pic:spPr>
              </pic:pic>
            </a:graphicData>
          </a:graphic>
        </wp:anchor>
      </w:drawing>
    </w:r>
  </w:p>
  <w:p w:rsidR="004F6539" w:rsidRDefault="004F6539"/>
  <w:p w:rsidR="004F6539" w:rsidRDefault="004F6539"/>
  <w:p w:rsidR="004F6539" w:rsidRDefault="004F6539"/>
  <w:p w:rsidR="004F6539" w:rsidRDefault="004F65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BF8C6E4"/>
    <w:lvl w:ilvl="0">
      <w:start w:val="1"/>
      <w:numFmt w:val="lowerRoman"/>
      <w:pStyle w:val="ListNumber3"/>
      <w:lvlText w:val="%1."/>
      <w:lvlJc w:val="left"/>
      <w:pPr>
        <w:ind w:left="926" w:hanging="360"/>
      </w:pPr>
      <w:rPr>
        <w:rFonts w:hint="default"/>
      </w:rPr>
    </w:lvl>
  </w:abstractNum>
  <w:abstractNum w:abstractNumId="1">
    <w:nsid w:val="FFFFFF82"/>
    <w:multiLevelType w:val="singleLevel"/>
    <w:tmpl w:val="661CC504"/>
    <w:lvl w:ilvl="0">
      <w:start w:val="1"/>
      <w:numFmt w:val="bullet"/>
      <w:pStyle w:val="ListBullet3"/>
      <w:lvlText w:val="o"/>
      <w:lvlJc w:val="left"/>
      <w:pPr>
        <w:ind w:left="927" w:hanging="360"/>
      </w:pPr>
      <w:rPr>
        <w:rFonts w:ascii="Courier New" w:hAnsi="Courier New" w:cs="Courier New" w:hint="default"/>
        <w:color w:val="auto"/>
        <w:position w:val="3"/>
      </w:rPr>
    </w:lvl>
  </w:abstractNum>
  <w:abstractNum w:abstractNumId="2">
    <w:nsid w:val="030E5705"/>
    <w:multiLevelType w:val="hybridMultilevel"/>
    <w:tmpl w:val="5D6A2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1D20C1"/>
    <w:multiLevelType w:val="hybridMultilevel"/>
    <w:tmpl w:val="AA785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9F48DF"/>
    <w:multiLevelType w:val="hybridMultilevel"/>
    <w:tmpl w:val="B860B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901DC9"/>
    <w:multiLevelType w:val="hybridMultilevel"/>
    <w:tmpl w:val="993AF05A"/>
    <w:lvl w:ilvl="0" w:tplc="FA4017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C722A3"/>
    <w:multiLevelType w:val="hybridMultilevel"/>
    <w:tmpl w:val="07966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2C5CF6"/>
    <w:multiLevelType w:val="hybridMultilevel"/>
    <w:tmpl w:val="37F2A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2C2BC5"/>
    <w:multiLevelType w:val="hybridMultilevel"/>
    <w:tmpl w:val="70CA8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3">
    <w:nsid w:val="209B02A7"/>
    <w:multiLevelType w:val="singleLevel"/>
    <w:tmpl w:val="9D8819C8"/>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4">
    <w:nsid w:val="217C46B3"/>
    <w:multiLevelType w:val="hybridMultilevel"/>
    <w:tmpl w:val="DBBC4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4F63808"/>
    <w:multiLevelType w:val="hybridMultilevel"/>
    <w:tmpl w:val="A25C3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nsid w:val="27440C8B"/>
    <w:multiLevelType w:val="multilevel"/>
    <w:tmpl w:val="59E651A8"/>
    <w:name w:val="StandardBulletedList"/>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nsid w:val="290D0E59"/>
    <w:multiLevelType w:val="hybridMultilevel"/>
    <w:tmpl w:val="8B40AF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BA2423"/>
    <w:multiLevelType w:val="hybridMultilevel"/>
    <w:tmpl w:val="FAC4E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DF54A2C"/>
    <w:multiLevelType w:val="hybridMultilevel"/>
    <w:tmpl w:val="80920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E966517"/>
    <w:multiLevelType w:val="hybridMultilevel"/>
    <w:tmpl w:val="DB54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2FBE4376"/>
    <w:multiLevelType w:val="hybridMultilevel"/>
    <w:tmpl w:val="5F907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2A522CB"/>
    <w:multiLevelType w:val="hybridMultilevel"/>
    <w:tmpl w:val="FAC01A90"/>
    <w:lvl w:ilvl="0" w:tplc="87CC011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4F84755"/>
    <w:multiLevelType w:val="multilevel"/>
    <w:tmpl w:val="38EE4B86"/>
    <w:lvl w:ilvl="0">
      <w:start w:val="1"/>
      <w:numFmt w:val="decimal"/>
      <w:pStyle w:val="HRFHeading1Numbered"/>
      <w:lvlText w:val="%1."/>
      <w:lvlJc w:val="left"/>
      <w:pPr>
        <w:tabs>
          <w:tab w:val="num" w:pos="720"/>
        </w:tabs>
        <w:ind w:left="720" w:hanging="360"/>
      </w:pPr>
      <w:rPr>
        <w:i w:val="0"/>
      </w:rPr>
    </w:lvl>
    <w:lvl w:ilvl="1">
      <w:start w:val="1"/>
      <w:numFmt w:val="decimal"/>
      <w:pStyle w:val="HRFHeading2Numbered"/>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27">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5329D9"/>
    <w:multiLevelType w:val="hybridMultilevel"/>
    <w:tmpl w:val="5A54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7531147"/>
    <w:multiLevelType w:val="hybridMultilevel"/>
    <w:tmpl w:val="D5B06BB0"/>
    <w:lvl w:ilvl="0" w:tplc="C5B0958A">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1">
    <w:nsid w:val="50F74A49"/>
    <w:multiLevelType w:val="hybridMultilevel"/>
    <w:tmpl w:val="4A7E203A"/>
    <w:lvl w:ilvl="0" w:tplc="F96A026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513F46"/>
    <w:multiLevelType w:val="hybridMultilevel"/>
    <w:tmpl w:val="4D6A4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32C0F0F"/>
    <w:multiLevelType w:val="hybridMultilevel"/>
    <w:tmpl w:val="B324217A"/>
    <w:lvl w:ilvl="0" w:tplc="4474A5FE">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53E547C6"/>
    <w:multiLevelType w:val="hybridMultilevel"/>
    <w:tmpl w:val="89FADC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43C4685"/>
    <w:multiLevelType w:val="hybridMultilevel"/>
    <w:tmpl w:val="12745D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4A63013"/>
    <w:multiLevelType w:val="hybridMultilevel"/>
    <w:tmpl w:val="6F2095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nsid w:val="56D97B43"/>
    <w:multiLevelType w:val="hybridMultilevel"/>
    <w:tmpl w:val="1324C606"/>
    <w:lvl w:ilvl="0" w:tplc="74A8E162">
      <w:start w:val="1"/>
      <w:numFmt w:val="bullet"/>
      <w:lvlText w:val="•"/>
      <w:lvlJc w:val="left"/>
      <w:pPr>
        <w:tabs>
          <w:tab w:val="num" w:pos="720"/>
        </w:tabs>
        <w:ind w:left="720" w:hanging="360"/>
      </w:pPr>
      <w:rPr>
        <w:rFonts w:ascii="Arial" w:hAnsi="Arial" w:hint="default"/>
      </w:rPr>
    </w:lvl>
    <w:lvl w:ilvl="1" w:tplc="1A06B328">
      <w:start w:val="2396"/>
      <w:numFmt w:val="bullet"/>
      <w:lvlText w:val="–"/>
      <w:lvlJc w:val="left"/>
      <w:pPr>
        <w:tabs>
          <w:tab w:val="num" w:pos="1440"/>
        </w:tabs>
        <w:ind w:left="1440" w:hanging="360"/>
      </w:pPr>
      <w:rPr>
        <w:rFonts w:ascii="Arial" w:hAnsi="Arial" w:hint="default"/>
      </w:rPr>
    </w:lvl>
    <w:lvl w:ilvl="2" w:tplc="B12449BA" w:tentative="1">
      <w:start w:val="1"/>
      <w:numFmt w:val="bullet"/>
      <w:lvlText w:val="•"/>
      <w:lvlJc w:val="left"/>
      <w:pPr>
        <w:tabs>
          <w:tab w:val="num" w:pos="2160"/>
        </w:tabs>
        <w:ind w:left="2160" w:hanging="360"/>
      </w:pPr>
      <w:rPr>
        <w:rFonts w:ascii="Arial" w:hAnsi="Arial" w:hint="default"/>
      </w:rPr>
    </w:lvl>
    <w:lvl w:ilvl="3" w:tplc="B55C0C16" w:tentative="1">
      <w:start w:val="1"/>
      <w:numFmt w:val="bullet"/>
      <w:lvlText w:val="•"/>
      <w:lvlJc w:val="left"/>
      <w:pPr>
        <w:tabs>
          <w:tab w:val="num" w:pos="2880"/>
        </w:tabs>
        <w:ind w:left="2880" w:hanging="360"/>
      </w:pPr>
      <w:rPr>
        <w:rFonts w:ascii="Arial" w:hAnsi="Arial" w:hint="default"/>
      </w:rPr>
    </w:lvl>
    <w:lvl w:ilvl="4" w:tplc="F42E4812" w:tentative="1">
      <w:start w:val="1"/>
      <w:numFmt w:val="bullet"/>
      <w:lvlText w:val="•"/>
      <w:lvlJc w:val="left"/>
      <w:pPr>
        <w:tabs>
          <w:tab w:val="num" w:pos="3600"/>
        </w:tabs>
        <w:ind w:left="3600" w:hanging="360"/>
      </w:pPr>
      <w:rPr>
        <w:rFonts w:ascii="Arial" w:hAnsi="Arial" w:hint="default"/>
      </w:rPr>
    </w:lvl>
    <w:lvl w:ilvl="5" w:tplc="71680CA2" w:tentative="1">
      <w:start w:val="1"/>
      <w:numFmt w:val="bullet"/>
      <w:lvlText w:val="•"/>
      <w:lvlJc w:val="left"/>
      <w:pPr>
        <w:tabs>
          <w:tab w:val="num" w:pos="4320"/>
        </w:tabs>
        <w:ind w:left="4320" w:hanging="360"/>
      </w:pPr>
      <w:rPr>
        <w:rFonts w:ascii="Arial" w:hAnsi="Arial" w:hint="default"/>
      </w:rPr>
    </w:lvl>
    <w:lvl w:ilvl="6" w:tplc="274256FA" w:tentative="1">
      <w:start w:val="1"/>
      <w:numFmt w:val="bullet"/>
      <w:lvlText w:val="•"/>
      <w:lvlJc w:val="left"/>
      <w:pPr>
        <w:tabs>
          <w:tab w:val="num" w:pos="5040"/>
        </w:tabs>
        <w:ind w:left="5040" w:hanging="360"/>
      </w:pPr>
      <w:rPr>
        <w:rFonts w:ascii="Arial" w:hAnsi="Arial" w:hint="default"/>
      </w:rPr>
    </w:lvl>
    <w:lvl w:ilvl="7" w:tplc="3C2CCC50" w:tentative="1">
      <w:start w:val="1"/>
      <w:numFmt w:val="bullet"/>
      <w:lvlText w:val="•"/>
      <w:lvlJc w:val="left"/>
      <w:pPr>
        <w:tabs>
          <w:tab w:val="num" w:pos="5760"/>
        </w:tabs>
        <w:ind w:left="5760" w:hanging="360"/>
      </w:pPr>
      <w:rPr>
        <w:rFonts w:ascii="Arial" w:hAnsi="Arial" w:hint="default"/>
      </w:rPr>
    </w:lvl>
    <w:lvl w:ilvl="8" w:tplc="B9269DC4" w:tentative="1">
      <w:start w:val="1"/>
      <w:numFmt w:val="bullet"/>
      <w:lvlText w:val="•"/>
      <w:lvlJc w:val="left"/>
      <w:pPr>
        <w:tabs>
          <w:tab w:val="num" w:pos="6480"/>
        </w:tabs>
        <w:ind w:left="6480" w:hanging="360"/>
      </w:pPr>
      <w:rPr>
        <w:rFonts w:ascii="Arial" w:hAnsi="Arial" w:hint="default"/>
      </w:rPr>
    </w:lvl>
  </w:abstractNum>
  <w:abstractNum w:abstractNumId="39">
    <w:nsid w:val="56DA23D0"/>
    <w:multiLevelType w:val="hybridMultilevel"/>
    <w:tmpl w:val="483A5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5E3A0F87"/>
    <w:multiLevelType w:val="singleLevel"/>
    <w:tmpl w:val="94F61A96"/>
    <w:lvl w:ilvl="0">
      <w:start w:val="2"/>
      <w:numFmt w:val="decimal"/>
      <w:pStyle w:val="AfterFirstPara"/>
      <w:lvlText w:val="%1."/>
      <w:lvlJc w:val="left"/>
      <w:pPr>
        <w:tabs>
          <w:tab w:val="num" w:pos="567"/>
        </w:tabs>
        <w:ind w:left="0" w:firstLine="0"/>
      </w:pPr>
    </w:lvl>
  </w:abstractNum>
  <w:abstractNum w:abstractNumId="42">
    <w:nsid w:val="5F6C0462"/>
    <w:multiLevelType w:val="hybridMultilevel"/>
    <w:tmpl w:val="A150F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4D165AB"/>
    <w:multiLevelType w:val="hybridMultilevel"/>
    <w:tmpl w:val="1952C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5">
    <w:nsid w:val="655E179A"/>
    <w:multiLevelType w:val="hybridMultilevel"/>
    <w:tmpl w:val="4FF4B7A6"/>
    <w:lvl w:ilvl="0" w:tplc="CBE215D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6C55035"/>
    <w:multiLevelType w:val="hybridMultilevel"/>
    <w:tmpl w:val="599E5468"/>
    <w:lvl w:ilvl="0" w:tplc="2A42AF7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7CB19B4"/>
    <w:multiLevelType w:val="hybridMultilevel"/>
    <w:tmpl w:val="65E80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7D40F27"/>
    <w:multiLevelType w:val="hybridMultilevel"/>
    <w:tmpl w:val="B8D09F5A"/>
    <w:lvl w:ilvl="0" w:tplc="AA8E8A5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8890DC7"/>
    <w:multiLevelType w:val="hybridMultilevel"/>
    <w:tmpl w:val="871E0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A7F62CC"/>
    <w:multiLevelType w:val="multilevel"/>
    <w:tmpl w:val="7E0C13D2"/>
    <w:styleLink w:val="1stlevelbulleted11pt"/>
    <w:lvl w:ilvl="0">
      <w:start w:val="1"/>
      <w:numFmt w:val="bullet"/>
      <w:pStyle w:val="HRFBullet"/>
      <w:lvlText w:val=""/>
      <w:lvlJc w:val="left"/>
      <w:pPr>
        <w:tabs>
          <w:tab w:val="num" w:pos="454"/>
        </w:tabs>
        <w:ind w:left="454" w:hanging="227"/>
      </w:pPr>
      <w:rPr>
        <w:rFonts w:ascii="Symbol" w:hAnsi="Symbol" w:cs="Mangal"/>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6B0E590C"/>
    <w:multiLevelType w:val="hybridMultilevel"/>
    <w:tmpl w:val="AC7E0A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6C567759"/>
    <w:multiLevelType w:val="multilevel"/>
    <w:tmpl w:val="7E0C13D2"/>
    <w:numStyleLink w:val="1stlevelbulleted11pt"/>
  </w:abstractNum>
  <w:abstractNum w:abstractNumId="53">
    <w:nsid w:val="6ED70DA7"/>
    <w:multiLevelType w:val="hybridMultilevel"/>
    <w:tmpl w:val="E9E6C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F9C06B9"/>
    <w:multiLevelType w:val="hybridMultilevel"/>
    <w:tmpl w:val="2BD612E2"/>
    <w:lvl w:ilvl="0" w:tplc="B0740388">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0CF7B90"/>
    <w:multiLevelType w:val="hybridMultilevel"/>
    <w:tmpl w:val="19286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197744C"/>
    <w:multiLevelType w:val="hybridMultilevel"/>
    <w:tmpl w:val="C5283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87F7A38"/>
    <w:multiLevelType w:val="hybridMultilevel"/>
    <w:tmpl w:val="185CC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7E2C2CE8"/>
    <w:multiLevelType w:val="hybridMultilevel"/>
    <w:tmpl w:val="0FD49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F7A528B"/>
    <w:multiLevelType w:val="hybridMultilevel"/>
    <w:tmpl w:val="A39658C0"/>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0"/>
  </w:num>
  <w:num w:numId="3">
    <w:abstractNumId w:val="11"/>
  </w:num>
  <w:num w:numId="4">
    <w:abstractNumId w:val="34"/>
  </w:num>
  <w:num w:numId="5">
    <w:abstractNumId w:val="29"/>
  </w:num>
  <w:num w:numId="6">
    <w:abstractNumId w:val="27"/>
  </w:num>
  <w:num w:numId="7">
    <w:abstractNumId w:val="46"/>
  </w:num>
  <w:num w:numId="8">
    <w:abstractNumId w:val="8"/>
  </w:num>
  <w:num w:numId="9">
    <w:abstractNumId w:val="13"/>
  </w:num>
  <w:num w:numId="10">
    <w:abstractNumId w:val="58"/>
  </w:num>
  <w:num w:numId="11">
    <w:abstractNumId w:val="60"/>
  </w:num>
  <w:num w:numId="12">
    <w:abstractNumId w:val="0"/>
  </w:num>
  <w:num w:numId="13">
    <w:abstractNumId w:val="3"/>
  </w:num>
  <w:num w:numId="14">
    <w:abstractNumId w:val="45"/>
  </w:num>
  <w:num w:numId="15">
    <w:abstractNumId w:val="1"/>
  </w:num>
  <w:num w:numId="16">
    <w:abstractNumId w:val="18"/>
  </w:num>
  <w:num w:numId="17">
    <w:abstractNumId w:val="16"/>
  </w:num>
  <w:num w:numId="18">
    <w:abstractNumId w:val="12"/>
  </w:num>
  <w:num w:numId="19">
    <w:abstractNumId w:val="23"/>
  </w:num>
  <w:num w:numId="20">
    <w:abstractNumId w:val="30"/>
  </w:num>
  <w:num w:numId="21">
    <w:abstractNumId w:val="5"/>
  </w:num>
  <w:num w:numId="22">
    <w:abstractNumId w:val="53"/>
  </w:num>
  <w:num w:numId="23">
    <w:abstractNumId w:val="39"/>
  </w:num>
  <w:num w:numId="24">
    <w:abstractNumId w:val="49"/>
  </w:num>
  <w:num w:numId="25">
    <w:abstractNumId w:val="50"/>
  </w:num>
  <w:num w:numId="26">
    <w:abstractNumId w:val="52"/>
  </w:num>
  <w:num w:numId="27">
    <w:abstractNumId w:val="26"/>
  </w:num>
  <w:num w:numId="28">
    <w:abstractNumId w:val="32"/>
  </w:num>
  <w:num w:numId="29">
    <w:abstractNumId w:val="21"/>
  </w:num>
  <w:num w:numId="30">
    <w:abstractNumId w:val="55"/>
  </w:num>
  <w:num w:numId="31">
    <w:abstractNumId w:val="43"/>
  </w:num>
  <w:num w:numId="32">
    <w:abstractNumId w:val="56"/>
  </w:num>
  <w:num w:numId="33">
    <w:abstractNumId w:val="38"/>
  </w:num>
  <w:num w:numId="34">
    <w:abstractNumId w:val="35"/>
  </w:num>
  <w:num w:numId="35">
    <w:abstractNumId w:val="14"/>
  </w:num>
  <w:num w:numId="36">
    <w:abstractNumId w:val="42"/>
  </w:num>
  <w:num w:numId="37">
    <w:abstractNumId w:val="10"/>
  </w:num>
  <w:num w:numId="38">
    <w:abstractNumId w:val="4"/>
  </w:num>
  <w:num w:numId="39">
    <w:abstractNumId w:val="37"/>
  </w:num>
  <w:num w:numId="40">
    <w:abstractNumId w:val="28"/>
  </w:num>
  <w:num w:numId="41">
    <w:abstractNumId w:val="9"/>
  </w:num>
  <w:num w:numId="42">
    <w:abstractNumId w:val="22"/>
  </w:num>
  <w:num w:numId="43">
    <w:abstractNumId w:val="19"/>
  </w:num>
  <w:num w:numId="44">
    <w:abstractNumId w:val="57"/>
  </w:num>
  <w:num w:numId="45">
    <w:abstractNumId w:val="25"/>
  </w:num>
  <w:num w:numId="46">
    <w:abstractNumId w:val="20"/>
  </w:num>
  <w:num w:numId="47">
    <w:abstractNumId w:val="51"/>
  </w:num>
  <w:num w:numId="48">
    <w:abstractNumId w:val="48"/>
  </w:num>
  <w:num w:numId="49">
    <w:abstractNumId w:val="47"/>
  </w:num>
  <w:num w:numId="50">
    <w:abstractNumId w:val="24"/>
  </w:num>
  <w:num w:numId="51">
    <w:abstractNumId w:val="15"/>
  </w:num>
  <w:num w:numId="52">
    <w:abstractNumId w:val="7"/>
  </w:num>
  <w:num w:numId="53">
    <w:abstractNumId w:val="59"/>
  </w:num>
  <w:num w:numId="54">
    <w:abstractNumId w:val="2"/>
  </w:num>
  <w:num w:numId="55">
    <w:abstractNumId w:val="33"/>
  </w:num>
  <w:num w:numId="56">
    <w:abstractNumId w:val="54"/>
  </w:num>
  <w:num w:numId="57">
    <w:abstractNumId w:val="36"/>
  </w:num>
  <w:num w:numId="58">
    <w:abstractNumId w:val="31"/>
  </w:num>
  <w:num w:numId="59">
    <w:abstractNumId w:val="6"/>
  </w:num>
  <w:num w:numId="60">
    <w:abstractNumId w:val="41"/>
    <w:lvlOverride w:ilvl="0">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oNotTrackMoves/>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
  <w:rsids>
    <w:rsidRoot w:val="001171DE"/>
    <w:rsid w:val="000004FF"/>
    <w:rsid w:val="0000093A"/>
    <w:rsid w:val="00002161"/>
    <w:rsid w:val="0000242A"/>
    <w:rsid w:val="00002A92"/>
    <w:rsid w:val="00002E28"/>
    <w:rsid w:val="000031D3"/>
    <w:rsid w:val="000039CF"/>
    <w:rsid w:val="00004E18"/>
    <w:rsid w:val="00007E94"/>
    <w:rsid w:val="00010A21"/>
    <w:rsid w:val="00012D37"/>
    <w:rsid w:val="00013DE2"/>
    <w:rsid w:val="000142A2"/>
    <w:rsid w:val="000143D9"/>
    <w:rsid w:val="000146D5"/>
    <w:rsid w:val="00014B33"/>
    <w:rsid w:val="0001527B"/>
    <w:rsid w:val="00015B0B"/>
    <w:rsid w:val="000161F6"/>
    <w:rsid w:val="00016699"/>
    <w:rsid w:val="00020121"/>
    <w:rsid w:val="00020E9F"/>
    <w:rsid w:val="000219C2"/>
    <w:rsid w:val="00021A9E"/>
    <w:rsid w:val="00022557"/>
    <w:rsid w:val="00023A4C"/>
    <w:rsid w:val="00027629"/>
    <w:rsid w:val="00030111"/>
    <w:rsid w:val="00030858"/>
    <w:rsid w:val="00031100"/>
    <w:rsid w:val="00031EB5"/>
    <w:rsid w:val="0003231A"/>
    <w:rsid w:val="0003371F"/>
    <w:rsid w:val="00034EBE"/>
    <w:rsid w:val="00034EC3"/>
    <w:rsid w:val="00040580"/>
    <w:rsid w:val="00040AF6"/>
    <w:rsid w:val="000426DF"/>
    <w:rsid w:val="00042D6F"/>
    <w:rsid w:val="00042FD5"/>
    <w:rsid w:val="00044338"/>
    <w:rsid w:val="000454C7"/>
    <w:rsid w:val="00045E7E"/>
    <w:rsid w:val="000468D2"/>
    <w:rsid w:val="00046B64"/>
    <w:rsid w:val="00046BD1"/>
    <w:rsid w:val="000474C8"/>
    <w:rsid w:val="00050101"/>
    <w:rsid w:val="00050DA5"/>
    <w:rsid w:val="000529AD"/>
    <w:rsid w:val="00054C4D"/>
    <w:rsid w:val="0005506B"/>
    <w:rsid w:val="000550B0"/>
    <w:rsid w:val="00055265"/>
    <w:rsid w:val="00055834"/>
    <w:rsid w:val="00055C17"/>
    <w:rsid w:val="00055E78"/>
    <w:rsid w:val="0005613C"/>
    <w:rsid w:val="00056CA4"/>
    <w:rsid w:val="00057589"/>
    <w:rsid w:val="00057D09"/>
    <w:rsid w:val="00057D17"/>
    <w:rsid w:val="00060793"/>
    <w:rsid w:val="00060F08"/>
    <w:rsid w:val="00061788"/>
    <w:rsid w:val="000622DA"/>
    <w:rsid w:val="00062FAA"/>
    <w:rsid w:val="000675C9"/>
    <w:rsid w:val="00070448"/>
    <w:rsid w:val="00071B95"/>
    <w:rsid w:val="0007395B"/>
    <w:rsid w:val="00073B77"/>
    <w:rsid w:val="000745E2"/>
    <w:rsid w:val="00076697"/>
    <w:rsid w:val="00076A63"/>
    <w:rsid w:val="0007703B"/>
    <w:rsid w:val="000774FD"/>
    <w:rsid w:val="00081F4E"/>
    <w:rsid w:val="0008388C"/>
    <w:rsid w:val="0008462F"/>
    <w:rsid w:val="00086865"/>
    <w:rsid w:val="0008727E"/>
    <w:rsid w:val="0008750A"/>
    <w:rsid w:val="000878A8"/>
    <w:rsid w:val="000905A8"/>
    <w:rsid w:val="0009147F"/>
    <w:rsid w:val="0009165E"/>
    <w:rsid w:val="00091878"/>
    <w:rsid w:val="000924DF"/>
    <w:rsid w:val="00092A51"/>
    <w:rsid w:val="00094AE0"/>
    <w:rsid w:val="000951B7"/>
    <w:rsid w:val="000957FC"/>
    <w:rsid w:val="00095A5A"/>
    <w:rsid w:val="0009623F"/>
    <w:rsid w:val="000979A0"/>
    <w:rsid w:val="00097B02"/>
    <w:rsid w:val="000A151D"/>
    <w:rsid w:val="000A1618"/>
    <w:rsid w:val="000A2B66"/>
    <w:rsid w:val="000A6BBA"/>
    <w:rsid w:val="000A7AE0"/>
    <w:rsid w:val="000B157A"/>
    <w:rsid w:val="000B3121"/>
    <w:rsid w:val="000B68F6"/>
    <w:rsid w:val="000B6BE5"/>
    <w:rsid w:val="000B6FEA"/>
    <w:rsid w:val="000B75E8"/>
    <w:rsid w:val="000B760E"/>
    <w:rsid w:val="000C0B5A"/>
    <w:rsid w:val="000C14FA"/>
    <w:rsid w:val="000C258A"/>
    <w:rsid w:val="000C29BF"/>
    <w:rsid w:val="000C30BD"/>
    <w:rsid w:val="000C3153"/>
    <w:rsid w:val="000C34CC"/>
    <w:rsid w:val="000C4CEF"/>
    <w:rsid w:val="000C5EA5"/>
    <w:rsid w:val="000C6080"/>
    <w:rsid w:val="000C60A8"/>
    <w:rsid w:val="000D151B"/>
    <w:rsid w:val="000D1993"/>
    <w:rsid w:val="000D3C61"/>
    <w:rsid w:val="000D56BB"/>
    <w:rsid w:val="000D5FB9"/>
    <w:rsid w:val="000D66D2"/>
    <w:rsid w:val="000D733F"/>
    <w:rsid w:val="000E36F7"/>
    <w:rsid w:val="000E4573"/>
    <w:rsid w:val="000E65E3"/>
    <w:rsid w:val="000E7297"/>
    <w:rsid w:val="000E7A8D"/>
    <w:rsid w:val="000F1412"/>
    <w:rsid w:val="000F2513"/>
    <w:rsid w:val="000F2B0F"/>
    <w:rsid w:val="000F2D94"/>
    <w:rsid w:val="000F310F"/>
    <w:rsid w:val="000F41F1"/>
    <w:rsid w:val="000F51DC"/>
    <w:rsid w:val="000F5205"/>
    <w:rsid w:val="000F5B51"/>
    <w:rsid w:val="000F6724"/>
    <w:rsid w:val="000F6B0A"/>
    <w:rsid w:val="0010006C"/>
    <w:rsid w:val="00100485"/>
    <w:rsid w:val="00100925"/>
    <w:rsid w:val="00100AA2"/>
    <w:rsid w:val="00100BEF"/>
    <w:rsid w:val="0010197C"/>
    <w:rsid w:val="00101ACA"/>
    <w:rsid w:val="00105078"/>
    <w:rsid w:val="00105128"/>
    <w:rsid w:val="00105F4B"/>
    <w:rsid w:val="00106147"/>
    <w:rsid w:val="00106185"/>
    <w:rsid w:val="00106BDC"/>
    <w:rsid w:val="00106FCC"/>
    <w:rsid w:val="0010729C"/>
    <w:rsid w:val="00107967"/>
    <w:rsid w:val="00110BDE"/>
    <w:rsid w:val="00110DBD"/>
    <w:rsid w:val="001113B7"/>
    <w:rsid w:val="00111CBE"/>
    <w:rsid w:val="00111E5C"/>
    <w:rsid w:val="001126EE"/>
    <w:rsid w:val="00112E97"/>
    <w:rsid w:val="001139DE"/>
    <w:rsid w:val="00114751"/>
    <w:rsid w:val="001154CA"/>
    <w:rsid w:val="00115DAF"/>
    <w:rsid w:val="00116C3A"/>
    <w:rsid w:val="001171DE"/>
    <w:rsid w:val="0011746F"/>
    <w:rsid w:val="001177AC"/>
    <w:rsid w:val="001209AB"/>
    <w:rsid w:val="00120FC7"/>
    <w:rsid w:val="00122038"/>
    <w:rsid w:val="001227C3"/>
    <w:rsid w:val="0012429A"/>
    <w:rsid w:val="00124E59"/>
    <w:rsid w:val="00125281"/>
    <w:rsid w:val="001258C6"/>
    <w:rsid w:val="001263E0"/>
    <w:rsid w:val="001275F8"/>
    <w:rsid w:val="0012793C"/>
    <w:rsid w:val="00127AF5"/>
    <w:rsid w:val="00130EA8"/>
    <w:rsid w:val="00131FF0"/>
    <w:rsid w:val="00132003"/>
    <w:rsid w:val="00133AAD"/>
    <w:rsid w:val="001351A3"/>
    <w:rsid w:val="00135806"/>
    <w:rsid w:val="00136297"/>
    <w:rsid w:val="0013666B"/>
    <w:rsid w:val="001366B4"/>
    <w:rsid w:val="001366F1"/>
    <w:rsid w:val="0013753D"/>
    <w:rsid w:val="001375E3"/>
    <w:rsid w:val="00137CAC"/>
    <w:rsid w:val="00141A30"/>
    <w:rsid w:val="00142F13"/>
    <w:rsid w:val="00143053"/>
    <w:rsid w:val="00143A2B"/>
    <w:rsid w:val="0014411B"/>
    <w:rsid w:val="001448E7"/>
    <w:rsid w:val="00147215"/>
    <w:rsid w:val="00147846"/>
    <w:rsid w:val="00147A38"/>
    <w:rsid w:val="00150036"/>
    <w:rsid w:val="0015043E"/>
    <w:rsid w:val="00152DFD"/>
    <w:rsid w:val="00154EF9"/>
    <w:rsid w:val="00155119"/>
    <w:rsid w:val="00157858"/>
    <w:rsid w:val="00160C53"/>
    <w:rsid w:val="00160C70"/>
    <w:rsid w:val="001612CE"/>
    <w:rsid w:val="00162376"/>
    <w:rsid w:val="001624FB"/>
    <w:rsid w:val="00163415"/>
    <w:rsid w:val="001646BE"/>
    <w:rsid w:val="0016537A"/>
    <w:rsid w:val="0016544D"/>
    <w:rsid w:val="001657F1"/>
    <w:rsid w:val="00167331"/>
    <w:rsid w:val="0016740F"/>
    <w:rsid w:val="001701F9"/>
    <w:rsid w:val="0017024E"/>
    <w:rsid w:val="00171487"/>
    <w:rsid w:val="00171F82"/>
    <w:rsid w:val="00172B4A"/>
    <w:rsid w:val="00173223"/>
    <w:rsid w:val="00173C6E"/>
    <w:rsid w:val="001771EC"/>
    <w:rsid w:val="00177C17"/>
    <w:rsid w:val="00180B19"/>
    <w:rsid w:val="0018196F"/>
    <w:rsid w:val="001829BB"/>
    <w:rsid w:val="00182B39"/>
    <w:rsid w:val="0018305E"/>
    <w:rsid w:val="00183080"/>
    <w:rsid w:val="0018353A"/>
    <w:rsid w:val="00183827"/>
    <w:rsid w:val="00184219"/>
    <w:rsid w:val="001843B5"/>
    <w:rsid w:val="0018491A"/>
    <w:rsid w:val="00184B5D"/>
    <w:rsid w:val="0018524F"/>
    <w:rsid w:val="00185DC2"/>
    <w:rsid w:val="0018724D"/>
    <w:rsid w:val="001914B5"/>
    <w:rsid w:val="00192498"/>
    <w:rsid w:val="001942AF"/>
    <w:rsid w:val="001943B6"/>
    <w:rsid w:val="0019478E"/>
    <w:rsid w:val="00194806"/>
    <w:rsid w:val="00195207"/>
    <w:rsid w:val="0019558B"/>
    <w:rsid w:val="00195D83"/>
    <w:rsid w:val="00196706"/>
    <w:rsid w:val="00197233"/>
    <w:rsid w:val="001A0FA2"/>
    <w:rsid w:val="001A1AE4"/>
    <w:rsid w:val="001A2A21"/>
    <w:rsid w:val="001A374B"/>
    <w:rsid w:val="001A5A95"/>
    <w:rsid w:val="001A6791"/>
    <w:rsid w:val="001A7106"/>
    <w:rsid w:val="001B1A0C"/>
    <w:rsid w:val="001B2948"/>
    <w:rsid w:val="001B41CD"/>
    <w:rsid w:val="001B714C"/>
    <w:rsid w:val="001C054E"/>
    <w:rsid w:val="001C0EE8"/>
    <w:rsid w:val="001C1047"/>
    <w:rsid w:val="001C19D5"/>
    <w:rsid w:val="001C1EA0"/>
    <w:rsid w:val="001C31B9"/>
    <w:rsid w:val="001C37D3"/>
    <w:rsid w:val="001C507E"/>
    <w:rsid w:val="001C700E"/>
    <w:rsid w:val="001C7117"/>
    <w:rsid w:val="001C745A"/>
    <w:rsid w:val="001C765C"/>
    <w:rsid w:val="001C7DDD"/>
    <w:rsid w:val="001D0640"/>
    <w:rsid w:val="001D20FC"/>
    <w:rsid w:val="001D210A"/>
    <w:rsid w:val="001D29AD"/>
    <w:rsid w:val="001D3041"/>
    <w:rsid w:val="001D4111"/>
    <w:rsid w:val="001D468E"/>
    <w:rsid w:val="001D49BD"/>
    <w:rsid w:val="001D4D8E"/>
    <w:rsid w:val="001D5261"/>
    <w:rsid w:val="001D5B44"/>
    <w:rsid w:val="001D6059"/>
    <w:rsid w:val="001D77B6"/>
    <w:rsid w:val="001E4357"/>
    <w:rsid w:val="001E4BDE"/>
    <w:rsid w:val="001E6635"/>
    <w:rsid w:val="001E6DAB"/>
    <w:rsid w:val="001F00DC"/>
    <w:rsid w:val="001F12A2"/>
    <w:rsid w:val="001F5CB1"/>
    <w:rsid w:val="001F5F40"/>
    <w:rsid w:val="001F61A8"/>
    <w:rsid w:val="001F7480"/>
    <w:rsid w:val="001F7F16"/>
    <w:rsid w:val="00201174"/>
    <w:rsid w:val="002022EB"/>
    <w:rsid w:val="00202880"/>
    <w:rsid w:val="00202A56"/>
    <w:rsid w:val="00202E4E"/>
    <w:rsid w:val="00202FDC"/>
    <w:rsid w:val="0020342D"/>
    <w:rsid w:val="00203BCC"/>
    <w:rsid w:val="00205A5E"/>
    <w:rsid w:val="00205E0B"/>
    <w:rsid w:val="00205F2B"/>
    <w:rsid w:val="002074D8"/>
    <w:rsid w:val="00210FC6"/>
    <w:rsid w:val="002115BD"/>
    <w:rsid w:val="00211AAC"/>
    <w:rsid w:val="002126BA"/>
    <w:rsid w:val="00212926"/>
    <w:rsid w:val="00212A48"/>
    <w:rsid w:val="00212B27"/>
    <w:rsid w:val="00212DF0"/>
    <w:rsid w:val="00214555"/>
    <w:rsid w:val="0021492D"/>
    <w:rsid w:val="0021515C"/>
    <w:rsid w:val="002151DD"/>
    <w:rsid w:val="00216A98"/>
    <w:rsid w:val="0021788E"/>
    <w:rsid w:val="002204B7"/>
    <w:rsid w:val="002205F7"/>
    <w:rsid w:val="00221510"/>
    <w:rsid w:val="00221D93"/>
    <w:rsid w:val="002227A9"/>
    <w:rsid w:val="0022427C"/>
    <w:rsid w:val="00225346"/>
    <w:rsid w:val="00225607"/>
    <w:rsid w:val="002256C6"/>
    <w:rsid w:val="00225C35"/>
    <w:rsid w:val="00226DEE"/>
    <w:rsid w:val="0022790B"/>
    <w:rsid w:val="00231CAA"/>
    <w:rsid w:val="00231D45"/>
    <w:rsid w:val="00232025"/>
    <w:rsid w:val="002328AF"/>
    <w:rsid w:val="002335A9"/>
    <w:rsid w:val="002343CF"/>
    <w:rsid w:val="00234720"/>
    <w:rsid w:val="00235D29"/>
    <w:rsid w:val="002363D9"/>
    <w:rsid w:val="00236B8C"/>
    <w:rsid w:val="00237C4B"/>
    <w:rsid w:val="00240118"/>
    <w:rsid w:val="0024018A"/>
    <w:rsid w:val="00240D59"/>
    <w:rsid w:val="002418B3"/>
    <w:rsid w:val="00241BEA"/>
    <w:rsid w:val="00242024"/>
    <w:rsid w:val="00242CD1"/>
    <w:rsid w:val="002430D0"/>
    <w:rsid w:val="00244042"/>
    <w:rsid w:val="002441D5"/>
    <w:rsid w:val="00244C44"/>
    <w:rsid w:val="00245EC0"/>
    <w:rsid w:val="00246C90"/>
    <w:rsid w:val="00246E5F"/>
    <w:rsid w:val="00247F42"/>
    <w:rsid w:val="00250BBB"/>
    <w:rsid w:val="00250E04"/>
    <w:rsid w:val="0025452D"/>
    <w:rsid w:val="00255FC9"/>
    <w:rsid w:val="00260837"/>
    <w:rsid w:val="00261E78"/>
    <w:rsid w:val="00265694"/>
    <w:rsid w:val="00265C91"/>
    <w:rsid w:val="002677A5"/>
    <w:rsid w:val="00267EFE"/>
    <w:rsid w:val="00270840"/>
    <w:rsid w:val="00270898"/>
    <w:rsid w:val="00271B7D"/>
    <w:rsid w:val="00272AF0"/>
    <w:rsid w:val="00272F14"/>
    <w:rsid w:val="0027384E"/>
    <w:rsid w:val="00273C6F"/>
    <w:rsid w:val="00274AE8"/>
    <w:rsid w:val="00274DF0"/>
    <w:rsid w:val="00275C42"/>
    <w:rsid w:val="0027741C"/>
    <w:rsid w:val="0028222C"/>
    <w:rsid w:val="00282238"/>
    <w:rsid w:val="0028373C"/>
    <w:rsid w:val="002849B4"/>
    <w:rsid w:val="00287056"/>
    <w:rsid w:val="00287132"/>
    <w:rsid w:val="00290B0E"/>
    <w:rsid w:val="002911A4"/>
    <w:rsid w:val="00291F1C"/>
    <w:rsid w:val="00294F9C"/>
    <w:rsid w:val="002962B3"/>
    <w:rsid w:val="0029786F"/>
    <w:rsid w:val="0029798B"/>
    <w:rsid w:val="00297A04"/>
    <w:rsid w:val="00297FA7"/>
    <w:rsid w:val="002A15F4"/>
    <w:rsid w:val="002A1843"/>
    <w:rsid w:val="002A1935"/>
    <w:rsid w:val="002A194D"/>
    <w:rsid w:val="002A1A79"/>
    <w:rsid w:val="002A21D1"/>
    <w:rsid w:val="002A22F7"/>
    <w:rsid w:val="002A3A62"/>
    <w:rsid w:val="002A4897"/>
    <w:rsid w:val="002A4D70"/>
    <w:rsid w:val="002A6359"/>
    <w:rsid w:val="002A6E2C"/>
    <w:rsid w:val="002B0E64"/>
    <w:rsid w:val="002B1F61"/>
    <w:rsid w:val="002B1F66"/>
    <w:rsid w:val="002B2615"/>
    <w:rsid w:val="002B31B3"/>
    <w:rsid w:val="002B433A"/>
    <w:rsid w:val="002B4A53"/>
    <w:rsid w:val="002B56EA"/>
    <w:rsid w:val="002B61A8"/>
    <w:rsid w:val="002B6EBE"/>
    <w:rsid w:val="002B74E9"/>
    <w:rsid w:val="002B79D4"/>
    <w:rsid w:val="002B7C42"/>
    <w:rsid w:val="002B7E60"/>
    <w:rsid w:val="002C12CE"/>
    <w:rsid w:val="002C1511"/>
    <w:rsid w:val="002C1E00"/>
    <w:rsid w:val="002C1ED3"/>
    <w:rsid w:val="002C2B8E"/>
    <w:rsid w:val="002C639B"/>
    <w:rsid w:val="002C6EAE"/>
    <w:rsid w:val="002C7B29"/>
    <w:rsid w:val="002D0879"/>
    <w:rsid w:val="002D1328"/>
    <w:rsid w:val="002D162C"/>
    <w:rsid w:val="002D1D7F"/>
    <w:rsid w:val="002D3386"/>
    <w:rsid w:val="002D369C"/>
    <w:rsid w:val="002D3700"/>
    <w:rsid w:val="002D3A51"/>
    <w:rsid w:val="002D4943"/>
    <w:rsid w:val="002D5D7B"/>
    <w:rsid w:val="002D6914"/>
    <w:rsid w:val="002D6DF0"/>
    <w:rsid w:val="002D7FFA"/>
    <w:rsid w:val="002E0405"/>
    <w:rsid w:val="002E1A06"/>
    <w:rsid w:val="002E3FBA"/>
    <w:rsid w:val="002E4944"/>
    <w:rsid w:val="002E55EA"/>
    <w:rsid w:val="002E5604"/>
    <w:rsid w:val="002E5709"/>
    <w:rsid w:val="002E6155"/>
    <w:rsid w:val="002E61FB"/>
    <w:rsid w:val="002E6894"/>
    <w:rsid w:val="002E7A09"/>
    <w:rsid w:val="002F0618"/>
    <w:rsid w:val="002F1212"/>
    <w:rsid w:val="002F1D09"/>
    <w:rsid w:val="002F1F07"/>
    <w:rsid w:val="002F2E83"/>
    <w:rsid w:val="002F479A"/>
    <w:rsid w:val="002F4815"/>
    <w:rsid w:val="002F5007"/>
    <w:rsid w:val="002F54F3"/>
    <w:rsid w:val="002F5A14"/>
    <w:rsid w:val="002F5AF9"/>
    <w:rsid w:val="002F6972"/>
    <w:rsid w:val="003015DC"/>
    <w:rsid w:val="00301D4E"/>
    <w:rsid w:val="00302001"/>
    <w:rsid w:val="00303038"/>
    <w:rsid w:val="0030318A"/>
    <w:rsid w:val="00304950"/>
    <w:rsid w:val="00304B69"/>
    <w:rsid w:val="00304C27"/>
    <w:rsid w:val="00304F9A"/>
    <w:rsid w:val="003056BA"/>
    <w:rsid w:val="003061C0"/>
    <w:rsid w:val="00306638"/>
    <w:rsid w:val="00306734"/>
    <w:rsid w:val="00307AA7"/>
    <w:rsid w:val="00310294"/>
    <w:rsid w:val="00310426"/>
    <w:rsid w:val="00310974"/>
    <w:rsid w:val="003115A8"/>
    <w:rsid w:val="003115E4"/>
    <w:rsid w:val="00312292"/>
    <w:rsid w:val="00312C9B"/>
    <w:rsid w:val="00313F81"/>
    <w:rsid w:val="003140C1"/>
    <w:rsid w:val="00314C8A"/>
    <w:rsid w:val="00314D9F"/>
    <w:rsid w:val="00315135"/>
    <w:rsid w:val="00315D13"/>
    <w:rsid w:val="003167E5"/>
    <w:rsid w:val="00320B38"/>
    <w:rsid w:val="00320C89"/>
    <w:rsid w:val="00320FCE"/>
    <w:rsid w:val="0032115D"/>
    <w:rsid w:val="003223F8"/>
    <w:rsid w:val="0032292A"/>
    <w:rsid w:val="00322C02"/>
    <w:rsid w:val="00322D92"/>
    <w:rsid w:val="00323A49"/>
    <w:rsid w:val="0032486D"/>
    <w:rsid w:val="003260C0"/>
    <w:rsid w:val="0032652D"/>
    <w:rsid w:val="003266E1"/>
    <w:rsid w:val="00326B5A"/>
    <w:rsid w:val="0032727D"/>
    <w:rsid w:val="003274C0"/>
    <w:rsid w:val="003275D0"/>
    <w:rsid w:val="003279FD"/>
    <w:rsid w:val="00331366"/>
    <w:rsid w:val="003315D7"/>
    <w:rsid w:val="00331870"/>
    <w:rsid w:val="003327F8"/>
    <w:rsid w:val="00333401"/>
    <w:rsid w:val="003335BE"/>
    <w:rsid w:val="003359D7"/>
    <w:rsid w:val="00335F19"/>
    <w:rsid w:val="00335FCE"/>
    <w:rsid w:val="003363C7"/>
    <w:rsid w:val="00340075"/>
    <w:rsid w:val="00341177"/>
    <w:rsid w:val="00341311"/>
    <w:rsid w:val="003414DB"/>
    <w:rsid w:val="0034174A"/>
    <w:rsid w:val="00342069"/>
    <w:rsid w:val="00342BF7"/>
    <w:rsid w:val="00343B25"/>
    <w:rsid w:val="00345B8E"/>
    <w:rsid w:val="00346963"/>
    <w:rsid w:val="00347934"/>
    <w:rsid w:val="00347C1F"/>
    <w:rsid w:val="00350272"/>
    <w:rsid w:val="00351880"/>
    <w:rsid w:val="0035192C"/>
    <w:rsid w:val="00351ACA"/>
    <w:rsid w:val="00352AE5"/>
    <w:rsid w:val="00356E01"/>
    <w:rsid w:val="00357648"/>
    <w:rsid w:val="00357969"/>
    <w:rsid w:val="00357AF7"/>
    <w:rsid w:val="00360662"/>
    <w:rsid w:val="00360A4F"/>
    <w:rsid w:val="0036159A"/>
    <w:rsid w:val="00361E64"/>
    <w:rsid w:val="0036229C"/>
    <w:rsid w:val="00362330"/>
    <w:rsid w:val="00364499"/>
    <w:rsid w:val="00365382"/>
    <w:rsid w:val="003669C6"/>
    <w:rsid w:val="0036756D"/>
    <w:rsid w:val="00367E00"/>
    <w:rsid w:val="003706CC"/>
    <w:rsid w:val="00370FBC"/>
    <w:rsid w:val="0037176E"/>
    <w:rsid w:val="00371987"/>
    <w:rsid w:val="00371F53"/>
    <w:rsid w:val="0037225A"/>
    <w:rsid w:val="00372871"/>
    <w:rsid w:val="00372E1B"/>
    <w:rsid w:val="003730BC"/>
    <w:rsid w:val="00374299"/>
    <w:rsid w:val="003743C8"/>
    <w:rsid w:val="00374683"/>
    <w:rsid w:val="003762C4"/>
    <w:rsid w:val="00380CFB"/>
    <w:rsid w:val="00382A61"/>
    <w:rsid w:val="00383294"/>
    <w:rsid w:val="00383683"/>
    <w:rsid w:val="003837AC"/>
    <w:rsid w:val="00383F3F"/>
    <w:rsid w:val="00383FA5"/>
    <w:rsid w:val="00384342"/>
    <w:rsid w:val="00385A4C"/>
    <w:rsid w:val="0038780C"/>
    <w:rsid w:val="00390B70"/>
    <w:rsid w:val="0039240C"/>
    <w:rsid w:val="00392981"/>
    <w:rsid w:val="00392ED8"/>
    <w:rsid w:val="0039355E"/>
    <w:rsid w:val="00393903"/>
    <w:rsid w:val="00394857"/>
    <w:rsid w:val="0039537A"/>
    <w:rsid w:val="00395CFA"/>
    <w:rsid w:val="003A1A7D"/>
    <w:rsid w:val="003A1FD5"/>
    <w:rsid w:val="003A27D2"/>
    <w:rsid w:val="003A2D7B"/>
    <w:rsid w:val="003A44B4"/>
    <w:rsid w:val="003A44C4"/>
    <w:rsid w:val="003A4A0E"/>
    <w:rsid w:val="003A4B7B"/>
    <w:rsid w:val="003A710D"/>
    <w:rsid w:val="003A74BF"/>
    <w:rsid w:val="003B122C"/>
    <w:rsid w:val="003B2756"/>
    <w:rsid w:val="003B2C4E"/>
    <w:rsid w:val="003B5C84"/>
    <w:rsid w:val="003B5D68"/>
    <w:rsid w:val="003B656E"/>
    <w:rsid w:val="003B658C"/>
    <w:rsid w:val="003B6884"/>
    <w:rsid w:val="003B7F56"/>
    <w:rsid w:val="003B7FE1"/>
    <w:rsid w:val="003C09BD"/>
    <w:rsid w:val="003C171B"/>
    <w:rsid w:val="003C288C"/>
    <w:rsid w:val="003C30E8"/>
    <w:rsid w:val="003C31EE"/>
    <w:rsid w:val="003C331D"/>
    <w:rsid w:val="003C34D9"/>
    <w:rsid w:val="003C37C3"/>
    <w:rsid w:val="003C5340"/>
    <w:rsid w:val="003C53B5"/>
    <w:rsid w:val="003C6FBB"/>
    <w:rsid w:val="003C7721"/>
    <w:rsid w:val="003D081D"/>
    <w:rsid w:val="003D1716"/>
    <w:rsid w:val="003D1A52"/>
    <w:rsid w:val="003D2E2F"/>
    <w:rsid w:val="003D3647"/>
    <w:rsid w:val="003D41C2"/>
    <w:rsid w:val="003D44F4"/>
    <w:rsid w:val="003D535E"/>
    <w:rsid w:val="003D5CD9"/>
    <w:rsid w:val="003D73D4"/>
    <w:rsid w:val="003E036D"/>
    <w:rsid w:val="003E0891"/>
    <w:rsid w:val="003E0E66"/>
    <w:rsid w:val="003E398C"/>
    <w:rsid w:val="003E3EE3"/>
    <w:rsid w:val="003E4982"/>
    <w:rsid w:val="003E4CAE"/>
    <w:rsid w:val="003E560B"/>
    <w:rsid w:val="003E5AC5"/>
    <w:rsid w:val="003E5FBF"/>
    <w:rsid w:val="003E6393"/>
    <w:rsid w:val="003E63B3"/>
    <w:rsid w:val="003E6809"/>
    <w:rsid w:val="003E6A3E"/>
    <w:rsid w:val="003E6AC0"/>
    <w:rsid w:val="003E7AA9"/>
    <w:rsid w:val="003F03DE"/>
    <w:rsid w:val="003F175B"/>
    <w:rsid w:val="003F2ACF"/>
    <w:rsid w:val="003F2BA2"/>
    <w:rsid w:val="003F2D40"/>
    <w:rsid w:val="003F47F2"/>
    <w:rsid w:val="003F557F"/>
    <w:rsid w:val="003F5749"/>
    <w:rsid w:val="003F6F38"/>
    <w:rsid w:val="004017E7"/>
    <w:rsid w:val="00403152"/>
    <w:rsid w:val="00403AAA"/>
    <w:rsid w:val="004045D8"/>
    <w:rsid w:val="00406000"/>
    <w:rsid w:val="00407925"/>
    <w:rsid w:val="00407DF9"/>
    <w:rsid w:val="00410A49"/>
    <w:rsid w:val="00411B35"/>
    <w:rsid w:val="00412707"/>
    <w:rsid w:val="004128AE"/>
    <w:rsid w:val="00413109"/>
    <w:rsid w:val="004133BF"/>
    <w:rsid w:val="00413539"/>
    <w:rsid w:val="0041396D"/>
    <w:rsid w:val="00415605"/>
    <w:rsid w:val="00415A92"/>
    <w:rsid w:val="004168B6"/>
    <w:rsid w:val="0041730D"/>
    <w:rsid w:val="00420E02"/>
    <w:rsid w:val="00421E3E"/>
    <w:rsid w:val="004228CD"/>
    <w:rsid w:val="00423012"/>
    <w:rsid w:val="00423500"/>
    <w:rsid w:val="0042527A"/>
    <w:rsid w:val="00426354"/>
    <w:rsid w:val="004279B5"/>
    <w:rsid w:val="00427E1C"/>
    <w:rsid w:val="004309E9"/>
    <w:rsid w:val="00431CD9"/>
    <w:rsid w:val="004330AE"/>
    <w:rsid w:val="00434D35"/>
    <w:rsid w:val="0043525A"/>
    <w:rsid w:val="00435316"/>
    <w:rsid w:val="00435434"/>
    <w:rsid w:val="00435A86"/>
    <w:rsid w:val="00437780"/>
    <w:rsid w:val="00437C95"/>
    <w:rsid w:val="00441E77"/>
    <w:rsid w:val="00443639"/>
    <w:rsid w:val="0044372E"/>
    <w:rsid w:val="00443FF0"/>
    <w:rsid w:val="004453CE"/>
    <w:rsid w:val="0044581A"/>
    <w:rsid w:val="00445A3B"/>
    <w:rsid w:val="00445C4E"/>
    <w:rsid w:val="00446742"/>
    <w:rsid w:val="00447C8C"/>
    <w:rsid w:val="004512E6"/>
    <w:rsid w:val="004527A4"/>
    <w:rsid w:val="00453A67"/>
    <w:rsid w:val="00454055"/>
    <w:rsid w:val="00454314"/>
    <w:rsid w:val="0045444C"/>
    <w:rsid w:val="0045475F"/>
    <w:rsid w:val="00454C8C"/>
    <w:rsid w:val="004565D8"/>
    <w:rsid w:val="0046058D"/>
    <w:rsid w:val="00461887"/>
    <w:rsid w:val="00461A81"/>
    <w:rsid w:val="00462000"/>
    <w:rsid w:val="0046220E"/>
    <w:rsid w:val="00462E75"/>
    <w:rsid w:val="00463E87"/>
    <w:rsid w:val="004648AA"/>
    <w:rsid w:val="00466720"/>
    <w:rsid w:val="00466C98"/>
    <w:rsid w:val="00467C3F"/>
    <w:rsid w:val="00467CE4"/>
    <w:rsid w:val="0047135E"/>
    <w:rsid w:val="00472B48"/>
    <w:rsid w:val="004733CB"/>
    <w:rsid w:val="00474538"/>
    <w:rsid w:val="004747E1"/>
    <w:rsid w:val="004760A1"/>
    <w:rsid w:val="0047710F"/>
    <w:rsid w:val="00480094"/>
    <w:rsid w:val="004807D5"/>
    <w:rsid w:val="00481777"/>
    <w:rsid w:val="00486440"/>
    <w:rsid w:val="00487183"/>
    <w:rsid w:val="00490454"/>
    <w:rsid w:val="00490BDE"/>
    <w:rsid w:val="00491231"/>
    <w:rsid w:val="0049243E"/>
    <w:rsid w:val="00494504"/>
    <w:rsid w:val="0049453F"/>
    <w:rsid w:val="004954B9"/>
    <w:rsid w:val="004957EC"/>
    <w:rsid w:val="00496F8D"/>
    <w:rsid w:val="004A3057"/>
    <w:rsid w:val="004A3DB3"/>
    <w:rsid w:val="004A454F"/>
    <w:rsid w:val="004A568F"/>
    <w:rsid w:val="004A64FA"/>
    <w:rsid w:val="004A687A"/>
    <w:rsid w:val="004A7400"/>
    <w:rsid w:val="004B0408"/>
    <w:rsid w:val="004B201A"/>
    <w:rsid w:val="004B3842"/>
    <w:rsid w:val="004B41B9"/>
    <w:rsid w:val="004B4A47"/>
    <w:rsid w:val="004B5FE0"/>
    <w:rsid w:val="004B64F3"/>
    <w:rsid w:val="004B77A5"/>
    <w:rsid w:val="004B79FE"/>
    <w:rsid w:val="004C1C0D"/>
    <w:rsid w:val="004C36CF"/>
    <w:rsid w:val="004C4664"/>
    <w:rsid w:val="004C4A3E"/>
    <w:rsid w:val="004C59EA"/>
    <w:rsid w:val="004C6138"/>
    <w:rsid w:val="004C65C6"/>
    <w:rsid w:val="004C660D"/>
    <w:rsid w:val="004C7E92"/>
    <w:rsid w:val="004D0699"/>
    <w:rsid w:val="004D1529"/>
    <w:rsid w:val="004D19CE"/>
    <w:rsid w:val="004D23F6"/>
    <w:rsid w:val="004D2E74"/>
    <w:rsid w:val="004D2ED0"/>
    <w:rsid w:val="004D381C"/>
    <w:rsid w:val="004D4522"/>
    <w:rsid w:val="004D4F97"/>
    <w:rsid w:val="004D6663"/>
    <w:rsid w:val="004D6C37"/>
    <w:rsid w:val="004E01E9"/>
    <w:rsid w:val="004E0DBE"/>
    <w:rsid w:val="004E1715"/>
    <w:rsid w:val="004E198E"/>
    <w:rsid w:val="004E1CEA"/>
    <w:rsid w:val="004E2EC2"/>
    <w:rsid w:val="004E36AC"/>
    <w:rsid w:val="004E3938"/>
    <w:rsid w:val="004E3E40"/>
    <w:rsid w:val="004E54B2"/>
    <w:rsid w:val="004E570D"/>
    <w:rsid w:val="004E6400"/>
    <w:rsid w:val="004E642E"/>
    <w:rsid w:val="004E6924"/>
    <w:rsid w:val="004E6A61"/>
    <w:rsid w:val="004E6E33"/>
    <w:rsid w:val="004E702A"/>
    <w:rsid w:val="004F019F"/>
    <w:rsid w:val="004F07B1"/>
    <w:rsid w:val="004F0A65"/>
    <w:rsid w:val="004F0C2D"/>
    <w:rsid w:val="004F1442"/>
    <w:rsid w:val="004F389B"/>
    <w:rsid w:val="004F3D7E"/>
    <w:rsid w:val="004F4EA2"/>
    <w:rsid w:val="004F521E"/>
    <w:rsid w:val="004F6539"/>
    <w:rsid w:val="004F755E"/>
    <w:rsid w:val="00500667"/>
    <w:rsid w:val="005009F4"/>
    <w:rsid w:val="00500EB4"/>
    <w:rsid w:val="00501CD2"/>
    <w:rsid w:val="00503974"/>
    <w:rsid w:val="0050439B"/>
    <w:rsid w:val="005044E5"/>
    <w:rsid w:val="0050529F"/>
    <w:rsid w:val="00505647"/>
    <w:rsid w:val="00506A51"/>
    <w:rsid w:val="005078AE"/>
    <w:rsid w:val="005110C3"/>
    <w:rsid w:val="00514B5E"/>
    <w:rsid w:val="005157C1"/>
    <w:rsid w:val="00515954"/>
    <w:rsid w:val="00515E3D"/>
    <w:rsid w:val="0052005F"/>
    <w:rsid w:val="005208AC"/>
    <w:rsid w:val="0052212F"/>
    <w:rsid w:val="0052286C"/>
    <w:rsid w:val="00522AB9"/>
    <w:rsid w:val="0052649E"/>
    <w:rsid w:val="005265B9"/>
    <w:rsid w:val="005307E8"/>
    <w:rsid w:val="00530CE6"/>
    <w:rsid w:val="00531168"/>
    <w:rsid w:val="00531580"/>
    <w:rsid w:val="0053175E"/>
    <w:rsid w:val="00532956"/>
    <w:rsid w:val="00533533"/>
    <w:rsid w:val="00533A1C"/>
    <w:rsid w:val="005358FD"/>
    <w:rsid w:val="00535C99"/>
    <w:rsid w:val="00535E24"/>
    <w:rsid w:val="00537D3D"/>
    <w:rsid w:val="00537DFA"/>
    <w:rsid w:val="00537E02"/>
    <w:rsid w:val="00537F92"/>
    <w:rsid w:val="005403D6"/>
    <w:rsid w:val="00542718"/>
    <w:rsid w:val="00542FA9"/>
    <w:rsid w:val="00543224"/>
    <w:rsid w:val="00543687"/>
    <w:rsid w:val="00543CE5"/>
    <w:rsid w:val="005440F6"/>
    <w:rsid w:val="00544CCD"/>
    <w:rsid w:val="0054557A"/>
    <w:rsid w:val="00546DD6"/>
    <w:rsid w:val="0054778F"/>
    <w:rsid w:val="00550774"/>
    <w:rsid w:val="0055172C"/>
    <w:rsid w:val="00551911"/>
    <w:rsid w:val="00552B0E"/>
    <w:rsid w:val="00556EA0"/>
    <w:rsid w:val="00556FD0"/>
    <w:rsid w:val="0055771D"/>
    <w:rsid w:val="0056192C"/>
    <w:rsid w:val="00561CA1"/>
    <w:rsid w:val="0056298B"/>
    <w:rsid w:val="00563DDB"/>
    <w:rsid w:val="00565055"/>
    <w:rsid w:val="005653BB"/>
    <w:rsid w:val="00565635"/>
    <w:rsid w:val="00565A2E"/>
    <w:rsid w:val="0056662C"/>
    <w:rsid w:val="00567FCF"/>
    <w:rsid w:val="00570765"/>
    <w:rsid w:val="005732BD"/>
    <w:rsid w:val="00573E59"/>
    <w:rsid w:val="00574715"/>
    <w:rsid w:val="00574DB6"/>
    <w:rsid w:val="00575295"/>
    <w:rsid w:val="00575983"/>
    <w:rsid w:val="00580147"/>
    <w:rsid w:val="00581C01"/>
    <w:rsid w:val="005820CA"/>
    <w:rsid w:val="0058242D"/>
    <w:rsid w:val="00583809"/>
    <w:rsid w:val="005845CB"/>
    <w:rsid w:val="00584700"/>
    <w:rsid w:val="0058498A"/>
    <w:rsid w:val="005852C0"/>
    <w:rsid w:val="00586350"/>
    <w:rsid w:val="00590409"/>
    <w:rsid w:val="00591EFC"/>
    <w:rsid w:val="005920FC"/>
    <w:rsid w:val="005930F6"/>
    <w:rsid w:val="00593E94"/>
    <w:rsid w:val="0059461A"/>
    <w:rsid w:val="005947D0"/>
    <w:rsid w:val="00594F5A"/>
    <w:rsid w:val="00595EFD"/>
    <w:rsid w:val="005960C6"/>
    <w:rsid w:val="00597520"/>
    <w:rsid w:val="005A0342"/>
    <w:rsid w:val="005A0CA6"/>
    <w:rsid w:val="005A0E7B"/>
    <w:rsid w:val="005A10E8"/>
    <w:rsid w:val="005A18C5"/>
    <w:rsid w:val="005A2BFD"/>
    <w:rsid w:val="005A3319"/>
    <w:rsid w:val="005A3E56"/>
    <w:rsid w:val="005A3ED5"/>
    <w:rsid w:val="005A511C"/>
    <w:rsid w:val="005A5709"/>
    <w:rsid w:val="005A7CF6"/>
    <w:rsid w:val="005B1214"/>
    <w:rsid w:val="005B1539"/>
    <w:rsid w:val="005B34D4"/>
    <w:rsid w:val="005B3761"/>
    <w:rsid w:val="005B42EE"/>
    <w:rsid w:val="005B4B6C"/>
    <w:rsid w:val="005B5168"/>
    <w:rsid w:val="005B58BE"/>
    <w:rsid w:val="005B7C71"/>
    <w:rsid w:val="005C09B1"/>
    <w:rsid w:val="005C1DF6"/>
    <w:rsid w:val="005C3356"/>
    <w:rsid w:val="005C4A6B"/>
    <w:rsid w:val="005C4D72"/>
    <w:rsid w:val="005C4E40"/>
    <w:rsid w:val="005C5125"/>
    <w:rsid w:val="005C661F"/>
    <w:rsid w:val="005C6925"/>
    <w:rsid w:val="005D06FD"/>
    <w:rsid w:val="005D0BDF"/>
    <w:rsid w:val="005D2A59"/>
    <w:rsid w:val="005D2CAD"/>
    <w:rsid w:val="005D3B08"/>
    <w:rsid w:val="005D42C4"/>
    <w:rsid w:val="005D5C6A"/>
    <w:rsid w:val="005D6FB0"/>
    <w:rsid w:val="005D7D9A"/>
    <w:rsid w:val="005E027F"/>
    <w:rsid w:val="005E10C6"/>
    <w:rsid w:val="005E1574"/>
    <w:rsid w:val="005E19A1"/>
    <w:rsid w:val="005E244E"/>
    <w:rsid w:val="005E290F"/>
    <w:rsid w:val="005E326D"/>
    <w:rsid w:val="005E370A"/>
    <w:rsid w:val="005E4669"/>
    <w:rsid w:val="005E569C"/>
    <w:rsid w:val="005E65F2"/>
    <w:rsid w:val="005E7014"/>
    <w:rsid w:val="005E7EB6"/>
    <w:rsid w:val="005F0C00"/>
    <w:rsid w:val="005F0F69"/>
    <w:rsid w:val="005F15BF"/>
    <w:rsid w:val="005F15ED"/>
    <w:rsid w:val="005F25CA"/>
    <w:rsid w:val="005F30AA"/>
    <w:rsid w:val="005F33F2"/>
    <w:rsid w:val="005F460C"/>
    <w:rsid w:val="005F471C"/>
    <w:rsid w:val="005F4FAA"/>
    <w:rsid w:val="005F51F6"/>
    <w:rsid w:val="005F74D0"/>
    <w:rsid w:val="0060117A"/>
    <w:rsid w:val="006023E0"/>
    <w:rsid w:val="006031CA"/>
    <w:rsid w:val="00603BA0"/>
    <w:rsid w:val="00604911"/>
    <w:rsid w:val="00605903"/>
    <w:rsid w:val="006075D5"/>
    <w:rsid w:val="00611A26"/>
    <w:rsid w:val="00612635"/>
    <w:rsid w:val="00612893"/>
    <w:rsid w:val="00612E14"/>
    <w:rsid w:val="00615972"/>
    <w:rsid w:val="0061730F"/>
    <w:rsid w:val="006177F7"/>
    <w:rsid w:val="00617F30"/>
    <w:rsid w:val="00620AC0"/>
    <w:rsid w:val="0062319B"/>
    <w:rsid w:val="00623D0F"/>
    <w:rsid w:val="0062598A"/>
    <w:rsid w:val="00625A52"/>
    <w:rsid w:val="0062686B"/>
    <w:rsid w:val="006273A5"/>
    <w:rsid w:val="00627A95"/>
    <w:rsid w:val="00627BB8"/>
    <w:rsid w:val="00631E94"/>
    <w:rsid w:val="006321AE"/>
    <w:rsid w:val="00632EC0"/>
    <w:rsid w:val="00632F85"/>
    <w:rsid w:val="0063370F"/>
    <w:rsid w:val="00633A74"/>
    <w:rsid w:val="00633A77"/>
    <w:rsid w:val="00637549"/>
    <w:rsid w:val="0064223D"/>
    <w:rsid w:val="0064296A"/>
    <w:rsid w:val="00642A6F"/>
    <w:rsid w:val="00642E50"/>
    <w:rsid w:val="0064357D"/>
    <w:rsid w:val="006454F2"/>
    <w:rsid w:val="00646049"/>
    <w:rsid w:val="00646DDB"/>
    <w:rsid w:val="00647FBA"/>
    <w:rsid w:val="00650B9A"/>
    <w:rsid w:val="00651175"/>
    <w:rsid w:val="0065178E"/>
    <w:rsid w:val="00651F00"/>
    <w:rsid w:val="006522C2"/>
    <w:rsid w:val="0065268F"/>
    <w:rsid w:val="00652C6A"/>
    <w:rsid w:val="006530D0"/>
    <w:rsid w:val="006536D6"/>
    <w:rsid w:val="0065391A"/>
    <w:rsid w:val="0065679C"/>
    <w:rsid w:val="00656C2D"/>
    <w:rsid w:val="00656CC7"/>
    <w:rsid w:val="00657108"/>
    <w:rsid w:val="00657C93"/>
    <w:rsid w:val="00661776"/>
    <w:rsid w:val="00663306"/>
    <w:rsid w:val="00663370"/>
    <w:rsid w:val="006633D6"/>
    <w:rsid w:val="006637DF"/>
    <w:rsid w:val="00663856"/>
    <w:rsid w:val="00663909"/>
    <w:rsid w:val="00663E95"/>
    <w:rsid w:val="00664B30"/>
    <w:rsid w:val="00664D43"/>
    <w:rsid w:val="006659FF"/>
    <w:rsid w:val="006671BC"/>
    <w:rsid w:val="00670BF4"/>
    <w:rsid w:val="00671955"/>
    <w:rsid w:val="0067299B"/>
    <w:rsid w:val="00673287"/>
    <w:rsid w:val="006749E0"/>
    <w:rsid w:val="00675486"/>
    <w:rsid w:val="00675D7A"/>
    <w:rsid w:val="00676331"/>
    <w:rsid w:val="00677755"/>
    <w:rsid w:val="00677BBE"/>
    <w:rsid w:val="00680234"/>
    <w:rsid w:val="00680679"/>
    <w:rsid w:val="0068146D"/>
    <w:rsid w:val="00681CF5"/>
    <w:rsid w:val="00682DB1"/>
    <w:rsid w:val="006836CD"/>
    <w:rsid w:val="00683C85"/>
    <w:rsid w:val="00683FFB"/>
    <w:rsid w:val="006843EB"/>
    <w:rsid w:val="00685778"/>
    <w:rsid w:val="00685787"/>
    <w:rsid w:val="00685CFB"/>
    <w:rsid w:val="006860C4"/>
    <w:rsid w:val="006864A4"/>
    <w:rsid w:val="0068768A"/>
    <w:rsid w:val="00687974"/>
    <w:rsid w:val="00687A54"/>
    <w:rsid w:val="00687D28"/>
    <w:rsid w:val="00690BEA"/>
    <w:rsid w:val="00691DF4"/>
    <w:rsid w:val="00692788"/>
    <w:rsid w:val="00694CE2"/>
    <w:rsid w:val="00695279"/>
    <w:rsid w:val="006952D2"/>
    <w:rsid w:val="00695433"/>
    <w:rsid w:val="00696FF2"/>
    <w:rsid w:val="00697C69"/>
    <w:rsid w:val="006A4231"/>
    <w:rsid w:val="006A54F1"/>
    <w:rsid w:val="006B00EF"/>
    <w:rsid w:val="006B0488"/>
    <w:rsid w:val="006B0F12"/>
    <w:rsid w:val="006B13F3"/>
    <w:rsid w:val="006B2543"/>
    <w:rsid w:val="006B33A7"/>
    <w:rsid w:val="006B670A"/>
    <w:rsid w:val="006C07CB"/>
    <w:rsid w:val="006C0DD6"/>
    <w:rsid w:val="006C1260"/>
    <w:rsid w:val="006C1D4C"/>
    <w:rsid w:val="006C2232"/>
    <w:rsid w:val="006C487B"/>
    <w:rsid w:val="006C4E9D"/>
    <w:rsid w:val="006C5AB2"/>
    <w:rsid w:val="006C6800"/>
    <w:rsid w:val="006C6C0A"/>
    <w:rsid w:val="006C789F"/>
    <w:rsid w:val="006C7F68"/>
    <w:rsid w:val="006D031A"/>
    <w:rsid w:val="006D0BC5"/>
    <w:rsid w:val="006D2CF2"/>
    <w:rsid w:val="006D2E37"/>
    <w:rsid w:val="006D2FB0"/>
    <w:rsid w:val="006D34C3"/>
    <w:rsid w:val="006D3D45"/>
    <w:rsid w:val="006D4A6A"/>
    <w:rsid w:val="006D5631"/>
    <w:rsid w:val="006E003F"/>
    <w:rsid w:val="006E0049"/>
    <w:rsid w:val="006E0401"/>
    <w:rsid w:val="006E1D94"/>
    <w:rsid w:val="006E2073"/>
    <w:rsid w:val="006E2889"/>
    <w:rsid w:val="006E2EDC"/>
    <w:rsid w:val="006E327C"/>
    <w:rsid w:val="006E3344"/>
    <w:rsid w:val="006E6166"/>
    <w:rsid w:val="006E7795"/>
    <w:rsid w:val="006E7A37"/>
    <w:rsid w:val="006E7E9F"/>
    <w:rsid w:val="006E7FA8"/>
    <w:rsid w:val="006F00DB"/>
    <w:rsid w:val="006F1104"/>
    <w:rsid w:val="006F2A44"/>
    <w:rsid w:val="006F3C8C"/>
    <w:rsid w:val="006F416F"/>
    <w:rsid w:val="006F4623"/>
    <w:rsid w:val="006F47CA"/>
    <w:rsid w:val="006F4B40"/>
    <w:rsid w:val="006F6632"/>
    <w:rsid w:val="006F6B1E"/>
    <w:rsid w:val="006F6D00"/>
    <w:rsid w:val="006F7390"/>
    <w:rsid w:val="00701520"/>
    <w:rsid w:val="00701FEA"/>
    <w:rsid w:val="007040D1"/>
    <w:rsid w:val="007044B9"/>
    <w:rsid w:val="00704E06"/>
    <w:rsid w:val="007053C5"/>
    <w:rsid w:val="00706233"/>
    <w:rsid w:val="007069F7"/>
    <w:rsid w:val="00706DE1"/>
    <w:rsid w:val="00707181"/>
    <w:rsid w:val="00707A98"/>
    <w:rsid w:val="00710059"/>
    <w:rsid w:val="00710337"/>
    <w:rsid w:val="00710638"/>
    <w:rsid w:val="007108A6"/>
    <w:rsid w:val="00710B03"/>
    <w:rsid w:val="007110C9"/>
    <w:rsid w:val="00711278"/>
    <w:rsid w:val="00711403"/>
    <w:rsid w:val="00712349"/>
    <w:rsid w:val="007128CA"/>
    <w:rsid w:val="00712C8D"/>
    <w:rsid w:val="00712FCE"/>
    <w:rsid w:val="007131E5"/>
    <w:rsid w:val="0071354C"/>
    <w:rsid w:val="0071382B"/>
    <w:rsid w:val="007138E0"/>
    <w:rsid w:val="00713BB4"/>
    <w:rsid w:val="00714735"/>
    <w:rsid w:val="00714BA3"/>
    <w:rsid w:val="00715F83"/>
    <w:rsid w:val="007162F7"/>
    <w:rsid w:val="007167AE"/>
    <w:rsid w:val="007170D8"/>
    <w:rsid w:val="00717403"/>
    <w:rsid w:val="0072069F"/>
    <w:rsid w:val="00721098"/>
    <w:rsid w:val="007223AA"/>
    <w:rsid w:val="007224E9"/>
    <w:rsid w:val="007225A7"/>
    <w:rsid w:val="0072495B"/>
    <w:rsid w:val="0072539A"/>
    <w:rsid w:val="00725B4F"/>
    <w:rsid w:val="00726877"/>
    <w:rsid w:val="007275E0"/>
    <w:rsid w:val="00730904"/>
    <w:rsid w:val="007311E0"/>
    <w:rsid w:val="0073142C"/>
    <w:rsid w:val="007329DF"/>
    <w:rsid w:val="0073386D"/>
    <w:rsid w:val="00733C7C"/>
    <w:rsid w:val="00734027"/>
    <w:rsid w:val="007351F3"/>
    <w:rsid w:val="007352F6"/>
    <w:rsid w:val="007360D3"/>
    <w:rsid w:val="0073644C"/>
    <w:rsid w:val="00736856"/>
    <w:rsid w:val="007370BB"/>
    <w:rsid w:val="00737641"/>
    <w:rsid w:val="00737C72"/>
    <w:rsid w:val="00740B07"/>
    <w:rsid w:val="00742D60"/>
    <w:rsid w:val="00743B1D"/>
    <w:rsid w:val="00745157"/>
    <w:rsid w:val="007452F9"/>
    <w:rsid w:val="0074654A"/>
    <w:rsid w:val="0074660C"/>
    <w:rsid w:val="007475D4"/>
    <w:rsid w:val="00747B69"/>
    <w:rsid w:val="00750E77"/>
    <w:rsid w:val="00750FBD"/>
    <w:rsid w:val="00751449"/>
    <w:rsid w:val="0075229A"/>
    <w:rsid w:val="007545CE"/>
    <w:rsid w:val="007555B5"/>
    <w:rsid w:val="00755D95"/>
    <w:rsid w:val="007560FB"/>
    <w:rsid w:val="00756B0E"/>
    <w:rsid w:val="00757BAA"/>
    <w:rsid w:val="00760F84"/>
    <w:rsid w:val="00761212"/>
    <w:rsid w:val="00761A39"/>
    <w:rsid w:val="00761D74"/>
    <w:rsid w:val="00761D7A"/>
    <w:rsid w:val="00762B9C"/>
    <w:rsid w:val="00764C9C"/>
    <w:rsid w:val="0076558B"/>
    <w:rsid w:val="007667D3"/>
    <w:rsid w:val="00766BCF"/>
    <w:rsid w:val="00767186"/>
    <w:rsid w:val="00767E8D"/>
    <w:rsid w:val="00767EC7"/>
    <w:rsid w:val="00767F39"/>
    <w:rsid w:val="007705BC"/>
    <w:rsid w:val="00770F1B"/>
    <w:rsid w:val="0077178A"/>
    <w:rsid w:val="007722AA"/>
    <w:rsid w:val="007726E1"/>
    <w:rsid w:val="00773A6F"/>
    <w:rsid w:val="0077447F"/>
    <w:rsid w:val="00774F4B"/>
    <w:rsid w:val="00775B4D"/>
    <w:rsid w:val="00776754"/>
    <w:rsid w:val="00776FEC"/>
    <w:rsid w:val="0078010F"/>
    <w:rsid w:val="00780313"/>
    <w:rsid w:val="00780F43"/>
    <w:rsid w:val="00782226"/>
    <w:rsid w:val="00782936"/>
    <w:rsid w:val="00783798"/>
    <w:rsid w:val="00783B24"/>
    <w:rsid w:val="00783B9E"/>
    <w:rsid w:val="00785882"/>
    <w:rsid w:val="00785F7B"/>
    <w:rsid w:val="0078608C"/>
    <w:rsid w:val="00787A9A"/>
    <w:rsid w:val="00787FE5"/>
    <w:rsid w:val="007900B4"/>
    <w:rsid w:val="00790AE0"/>
    <w:rsid w:val="007919F8"/>
    <w:rsid w:val="0079256F"/>
    <w:rsid w:val="0079307B"/>
    <w:rsid w:val="007941CF"/>
    <w:rsid w:val="00794A41"/>
    <w:rsid w:val="00794C84"/>
    <w:rsid w:val="00794D60"/>
    <w:rsid w:val="00794F6C"/>
    <w:rsid w:val="00796157"/>
    <w:rsid w:val="00796F48"/>
    <w:rsid w:val="007A2A5E"/>
    <w:rsid w:val="007A2BF1"/>
    <w:rsid w:val="007A3C6A"/>
    <w:rsid w:val="007A3E10"/>
    <w:rsid w:val="007A4BE2"/>
    <w:rsid w:val="007A5417"/>
    <w:rsid w:val="007A5821"/>
    <w:rsid w:val="007A6B87"/>
    <w:rsid w:val="007B0A6D"/>
    <w:rsid w:val="007B0EBF"/>
    <w:rsid w:val="007B12EF"/>
    <w:rsid w:val="007B3510"/>
    <w:rsid w:val="007B51E2"/>
    <w:rsid w:val="007B6F81"/>
    <w:rsid w:val="007B7243"/>
    <w:rsid w:val="007B79D9"/>
    <w:rsid w:val="007C08B4"/>
    <w:rsid w:val="007C4D52"/>
    <w:rsid w:val="007C51A2"/>
    <w:rsid w:val="007C7015"/>
    <w:rsid w:val="007D00C3"/>
    <w:rsid w:val="007D027A"/>
    <w:rsid w:val="007D0C04"/>
    <w:rsid w:val="007D3909"/>
    <w:rsid w:val="007D4C74"/>
    <w:rsid w:val="007D51CB"/>
    <w:rsid w:val="007D55A9"/>
    <w:rsid w:val="007D5D8D"/>
    <w:rsid w:val="007D6BFD"/>
    <w:rsid w:val="007E0093"/>
    <w:rsid w:val="007E010F"/>
    <w:rsid w:val="007E04EC"/>
    <w:rsid w:val="007E0C21"/>
    <w:rsid w:val="007E10A5"/>
    <w:rsid w:val="007E1B76"/>
    <w:rsid w:val="007E270C"/>
    <w:rsid w:val="007E2A95"/>
    <w:rsid w:val="007E356C"/>
    <w:rsid w:val="007E381B"/>
    <w:rsid w:val="007E3B5F"/>
    <w:rsid w:val="007E3D71"/>
    <w:rsid w:val="007E5F33"/>
    <w:rsid w:val="007E63CD"/>
    <w:rsid w:val="007F0036"/>
    <w:rsid w:val="007F0BFA"/>
    <w:rsid w:val="007F0C26"/>
    <w:rsid w:val="007F0C76"/>
    <w:rsid w:val="007F13E8"/>
    <w:rsid w:val="007F2090"/>
    <w:rsid w:val="007F2841"/>
    <w:rsid w:val="007F3E30"/>
    <w:rsid w:val="007F409A"/>
    <w:rsid w:val="007F6F02"/>
    <w:rsid w:val="0080000E"/>
    <w:rsid w:val="0080096B"/>
    <w:rsid w:val="00800B90"/>
    <w:rsid w:val="008013A7"/>
    <w:rsid w:val="008019CF"/>
    <w:rsid w:val="008020CD"/>
    <w:rsid w:val="00802A66"/>
    <w:rsid w:val="00804A3E"/>
    <w:rsid w:val="00804D65"/>
    <w:rsid w:val="00804F7D"/>
    <w:rsid w:val="00805ADD"/>
    <w:rsid w:val="0080664E"/>
    <w:rsid w:val="008103A0"/>
    <w:rsid w:val="00810DE3"/>
    <w:rsid w:val="008120F4"/>
    <w:rsid w:val="00812E16"/>
    <w:rsid w:val="0081638E"/>
    <w:rsid w:val="00816CB1"/>
    <w:rsid w:val="00816E4C"/>
    <w:rsid w:val="00817409"/>
    <w:rsid w:val="008177F5"/>
    <w:rsid w:val="00817AEB"/>
    <w:rsid w:val="0082086D"/>
    <w:rsid w:val="008212D8"/>
    <w:rsid w:val="00821541"/>
    <w:rsid w:val="00821A06"/>
    <w:rsid w:val="008220F3"/>
    <w:rsid w:val="00822273"/>
    <w:rsid w:val="008235DB"/>
    <w:rsid w:val="008235E0"/>
    <w:rsid w:val="008246E3"/>
    <w:rsid w:val="00824B19"/>
    <w:rsid w:val="00824D74"/>
    <w:rsid w:val="00824DB4"/>
    <w:rsid w:val="0082584C"/>
    <w:rsid w:val="00826AF2"/>
    <w:rsid w:val="00826FCD"/>
    <w:rsid w:val="00826FE4"/>
    <w:rsid w:val="00830647"/>
    <w:rsid w:val="00830E80"/>
    <w:rsid w:val="008313B0"/>
    <w:rsid w:val="00831F00"/>
    <w:rsid w:val="008324B4"/>
    <w:rsid w:val="00832911"/>
    <w:rsid w:val="00833DE8"/>
    <w:rsid w:val="00833EB7"/>
    <w:rsid w:val="0083529D"/>
    <w:rsid w:val="00835BCA"/>
    <w:rsid w:val="00837B67"/>
    <w:rsid w:val="0084092F"/>
    <w:rsid w:val="0084166C"/>
    <w:rsid w:val="00841C1B"/>
    <w:rsid w:val="00843B54"/>
    <w:rsid w:val="00843DDD"/>
    <w:rsid w:val="00844C87"/>
    <w:rsid w:val="00846D98"/>
    <w:rsid w:val="008474AB"/>
    <w:rsid w:val="00847C25"/>
    <w:rsid w:val="00847CBA"/>
    <w:rsid w:val="00850A5B"/>
    <w:rsid w:val="008518A8"/>
    <w:rsid w:val="008532FB"/>
    <w:rsid w:val="008540F0"/>
    <w:rsid w:val="008561D6"/>
    <w:rsid w:val="008568C0"/>
    <w:rsid w:val="00856F97"/>
    <w:rsid w:val="008578FB"/>
    <w:rsid w:val="0086050A"/>
    <w:rsid w:val="00860E35"/>
    <w:rsid w:val="008621A5"/>
    <w:rsid w:val="008625DA"/>
    <w:rsid w:val="00863363"/>
    <w:rsid w:val="00864874"/>
    <w:rsid w:val="00864C15"/>
    <w:rsid w:val="008657F9"/>
    <w:rsid w:val="00867670"/>
    <w:rsid w:val="00870308"/>
    <w:rsid w:val="00870CD9"/>
    <w:rsid w:val="00871CA1"/>
    <w:rsid w:val="00874F47"/>
    <w:rsid w:val="00875A1C"/>
    <w:rsid w:val="00877B6C"/>
    <w:rsid w:val="00877D87"/>
    <w:rsid w:val="00880255"/>
    <w:rsid w:val="008810FA"/>
    <w:rsid w:val="00881728"/>
    <w:rsid w:val="008818E5"/>
    <w:rsid w:val="008824C1"/>
    <w:rsid w:val="008829F0"/>
    <w:rsid w:val="00883402"/>
    <w:rsid w:val="008842A7"/>
    <w:rsid w:val="008844D1"/>
    <w:rsid w:val="00884878"/>
    <w:rsid w:val="00885B9C"/>
    <w:rsid w:val="008868A6"/>
    <w:rsid w:val="00886D18"/>
    <w:rsid w:val="00886F63"/>
    <w:rsid w:val="00887376"/>
    <w:rsid w:val="00887C16"/>
    <w:rsid w:val="008919E6"/>
    <w:rsid w:val="00892303"/>
    <w:rsid w:val="00893F26"/>
    <w:rsid w:val="008940DA"/>
    <w:rsid w:val="0089517E"/>
    <w:rsid w:val="00896927"/>
    <w:rsid w:val="00897CA8"/>
    <w:rsid w:val="00897E16"/>
    <w:rsid w:val="008A12A6"/>
    <w:rsid w:val="008A144E"/>
    <w:rsid w:val="008A310A"/>
    <w:rsid w:val="008A54C4"/>
    <w:rsid w:val="008A6603"/>
    <w:rsid w:val="008A72ED"/>
    <w:rsid w:val="008A7C40"/>
    <w:rsid w:val="008A7D6B"/>
    <w:rsid w:val="008B1229"/>
    <w:rsid w:val="008B16CF"/>
    <w:rsid w:val="008B26BE"/>
    <w:rsid w:val="008B5F65"/>
    <w:rsid w:val="008C015D"/>
    <w:rsid w:val="008C0FBD"/>
    <w:rsid w:val="008C1F53"/>
    <w:rsid w:val="008C256D"/>
    <w:rsid w:val="008C2994"/>
    <w:rsid w:val="008C2E71"/>
    <w:rsid w:val="008C3804"/>
    <w:rsid w:val="008C4903"/>
    <w:rsid w:val="008C4D80"/>
    <w:rsid w:val="008C5617"/>
    <w:rsid w:val="008C5EDB"/>
    <w:rsid w:val="008C61E5"/>
    <w:rsid w:val="008C6687"/>
    <w:rsid w:val="008C70BD"/>
    <w:rsid w:val="008C735E"/>
    <w:rsid w:val="008C79C7"/>
    <w:rsid w:val="008C7AC8"/>
    <w:rsid w:val="008D0242"/>
    <w:rsid w:val="008D02C8"/>
    <w:rsid w:val="008D02CD"/>
    <w:rsid w:val="008D0854"/>
    <w:rsid w:val="008D09C7"/>
    <w:rsid w:val="008D2240"/>
    <w:rsid w:val="008D2699"/>
    <w:rsid w:val="008D27EF"/>
    <w:rsid w:val="008D28DF"/>
    <w:rsid w:val="008D2A4F"/>
    <w:rsid w:val="008D2DC8"/>
    <w:rsid w:val="008D2F1D"/>
    <w:rsid w:val="008D34F9"/>
    <w:rsid w:val="008D454D"/>
    <w:rsid w:val="008D5DCE"/>
    <w:rsid w:val="008D6D69"/>
    <w:rsid w:val="008D745E"/>
    <w:rsid w:val="008E084A"/>
    <w:rsid w:val="008E2803"/>
    <w:rsid w:val="008E28D9"/>
    <w:rsid w:val="008E2931"/>
    <w:rsid w:val="008E29AB"/>
    <w:rsid w:val="008E315F"/>
    <w:rsid w:val="008E3AE7"/>
    <w:rsid w:val="008E44A5"/>
    <w:rsid w:val="008E46C5"/>
    <w:rsid w:val="008E4933"/>
    <w:rsid w:val="008E4EF2"/>
    <w:rsid w:val="008E6604"/>
    <w:rsid w:val="008E6DA3"/>
    <w:rsid w:val="008E7A45"/>
    <w:rsid w:val="008E7B76"/>
    <w:rsid w:val="008F06F2"/>
    <w:rsid w:val="008F0CE2"/>
    <w:rsid w:val="008F0E60"/>
    <w:rsid w:val="008F1E28"/>
    <w:rsid w:val="008F1E80"/>
    <w:rsid w:val="008F1EF9"/>
    <w:rsid w:val="008F233E"/>
    <w:rsid w:val="008F2D64"/>
    <w:rsid w:val="008F4516"/>
    <w:rsid w:val="008F4C4B"/>
    <w:rsid w:val="008F4EA5"/>
    <w:rsid w:val="008F5D80"/>
    <w:rsid w:val="008F6CE6"/>
    <w:rsid w:val="009006D2"/>
    <w:rsid w:val="0090101D"/>
    <w:rsid w:val="00901A47"/>
    <w:rsid w:val="0090231D"/>
    <w:rsid w:val="00903370"/>
    <w:rsid w:val="00903895"/>
    <w:rsid w:val="00903EBB"/>
    <w:rsid w:val="00906BBD"/>
    <w:rsid w:val="009074A5"/>
    <w:rsid w:val="0090757A"/>
    <w:rsid w:val="009103F3"/>
    <w:rsid w:val="009105DE"/>
    <w:rsid w:val="009120F8"/>
    <w:rsid w:val="009126A4"/>
    <w:rsid w:val="00913A5F"/>
    <w:rsid w:val="00913CF0"/>
    <w:rsid w:val="009140AF"/>
    <w:rsid w:val="00915F82"/>
    <w:rsid w:val="009163AF"/>
    <w:rsid w:val="00916714"/>
    <w:rsid w:val="00916CD0"/>
    <w:rsid w:val="00916D52"/>
    <w:rsid w:val="00923B52"/>
    <w:rsid w:val="00923D3D"/>
    <w:rsid w:val="00924CCB"/>
    <w:rsid w:val="0092520A"/>
    <w:rsid w:val="00926C7E"/>
    <w:rsid w:val="00926C88"/>
    <w:rsid w:val="00927978"/>
    <w:rsid w:val="00930014"/>
    <w:rsid w:val="00930ECE"/>
    <w:rsid w:val="00931C0F"/>
    <w:rsid w:val="00932FAD"/>
    <w:rsid w:val="0093523D"/>
    <w:rsid w:val="00935865"/>
    <w:rsid w:val="00935AB1"/>
    <w:rsid w:val="00936ECF"/>
    <w:rsid w:val="00937307"/>
    <w:rsid w:val="0094033C"/>
    <w:rsid w:val="00941CD2"/>
    <w:rsid w:val="00942FA0"/>
    <w:rsid w:val="00943DBC"/>
    <w:rsid w:val="009441EF"/>
    <w:rsid w:val="009445BA"/>
    <w:rsid w:val="00944929"/>
    <w:rsid w:val="00945130"/>
    <w:rsid w:val="00945B0A"/>
    <w:rsid w:val="00946B47"/>
    <w:rsid w:val="00946F68"/>
    <w:rsid w:val="009475F3"/>
    <w:rsid w:val="00947F92"/>
    <w:rsid w:val="009509C8"/>
    <w:rsid w:val="00951562"/>
    <w:rsid w:val="00951651"/>
    <w:rsid w:val="00953CAB"/>
    <w:rsid w:val="00953EB4"/>
    <w:rsid w:val="0095402A"/>
    <w:rsid w:val="00954A57"/>
    <w:rsid w:val="00954EF3"/>
    <w:rsid w:val="00954F6C"/>
    <w:rsid w:val="00955A48"/>
    <w:rsid w:val="0095603B"/>
    <w:rsid w:val="009564E3"/>
    <w:rsid w:val="00956D79"/>
    <w:rsid w:val="009570AB"/>
    <w:rsid w:val="00957948"/>
    <w:rsid w:val="00957EAA"/>
    <w:rsid w:val="00957F8A"/>
    <w:rsid w:val="00961B2C"/>
    <w:rsid w:val="00962DC1"/>
    <w:rsid w:val="00963A54"/>
    <w:rsid w:val="0096644A"/>
    <w:rsid w:val="009668EF"/>
    <w:rsid w:val="00967691"/>
    <w:rsid w:val="009713CF"/>
    <w:rsid w:val="0097194F"/>
    <w:rsid w:val="00971968"/>
    <w:rsid w:val="009729A9"/>
    <w:rsid w:val="00973953"/>
    <w:rsid w:val="00975EDE"/>
    <w:rsid w:val="009761F8"/>
    <w:rsid w:val="00976AF1"/>
    <w:rsid w:val="00976FAB"/>
    <w:rsid w:val="00976FB3"/>
    <w:rsid w:val="0097719C"/>
    <w:rsid w:val="0098030D"/>
    <w:rsid w:val="00981306"/>
    <w:rsid w:val="00981E62"/>
    <w:rsid w:val="009848D1"/>
    <w:rsid w:val="00984E0A"/>
    <w:rsid w:val="009854D5"/>
    <w:rsid w:val="009865C8"/>
    <w:rsid w:val="009879AD"/>
    <w:rsid w:val="00987D4C"/>
    <w:rsid w:val="00991134"/>
    <w:rsid w:val="009913A0"/>
    <w:rsid w:val="009923ED"/>
    <w:rsid w:val="009928E1"/>
    <w:rsid w:val="00992B1D"/>
    <w:rsid w:val="00992CF8"/>
    <w:rsid w:val="00992ED3"/>
    <w:rsid w:val="0099344F"/>
    <w:rsid w:val="00994434"/>
    <w:rsid w:val="00994D57"/>
    <w:rsid w:val="00995D15"/>
    <w:rsid w:val="00996460"/>
    <w:rsid w:val="00996489"/>
    <w:rsid w:val="00996699"/>
    <w:rsid w:val="0099677B"/>
    <w:rsid w:val="00997A78"/>
    <w:rsid w:val="009A0106"/>
    <w:rsid w:val="009A0381"/>
    <w:rsid w:val="009A0725"/>
    <w:rsid w:val="009A09EF"/>
    <w:rsid w:val="009A0CB1"/>
    <w:rsid w:val="009A1177"/>
    <w:rsid w:val="009A1AD2"/>
    <w:rsid w:val="009A1C39"/>
    <w:rsid w:val="009A1E07"/>
    <w:rsid w:val="009A290D"/>
    <w:rsid w:val="009A2A57"/>
    <w:rsid w:val="009A2B18"/>
    <w:rsid w:val="009A3C26"/>
    <w:rsid w:val="009A4396"/>
    <w:rsid w:val="009A521D"/>
    <w:rsid w:val="009A5F68"/>
    <w:rsid w:val="009A662E"/>
    <w:rsid w:val="009A759A"/>
    <w:rsid w:val="009B0A47"/>
    <w:rsid w:val="009B1015"/>
    <w:rsid w:val="009B13DF"/>
    <w:rsid w:val="009B346D"/>
    <w:rsid w:val="009B5190"/>
    <w:rsid w:val="009B5381"/>
    <w:rsid w:val="009B5856"/>
    <w:rsid w:val="009B654F"/>
    <w:rsid w:val="009B765A"/>
    <w:rsid w:val="009C044C"/>
    <w:rsid w:val="009C065C"/>
    <w:rsid w:val="009C16DF"/>
    <w:rsid w:val="009C1FDC"/>
    <w:rsid w:val="009C4804"/>
    <w:rsid w:val="009C532C"/>
    <w:rsid w:val="009C5880"/>
    <w:rsid w:val="009C7191"/>
    <w:rsid w:val="009C74E0"/>
    <w:rsid w:val="009D0A9A"/>
    <w:rsid w:val="009D0AD8"/>
    <w:rsid w:val="009D104E"/>
    <w:rsid w:val="009D1AE6"/>
    <w:rsid w:val="009D1FDF"/>
    <w:rsid w:val="009D3524"/>
    <w:rsid w:val="009D4C82"/>
    <w:rsid w:val="009D5236"/>
    <w:rsid w:val="009D6110"/>
    <w:rsid w:val="009D7538"/>
    <w:rsid w:val="009E00AA"/>
    <w:rsid w:val="009E0BA6"/>
    <w:rsid w:val="009E1667"/>
    <w:rsid w:val="009E1CA8"/>
    <w:rsid w:val="009E2306"/>
    <w:rsid w:val="009E2391"/>
    <w:rsid w:val="009E28E1"/>
    <w:rsid w:val="009E38C1"/>
    <w:rsid w:val="009E5FFE"/>
    <w:rsid w:val="009E6780"/>
    <w:rsid w:val="009E6833"/>
    <w:rsid w:val="009E79EC"/>
    <w:rsid w:val="009F0054"/>
    <w:rsid w:val="009F0D8D"/>
    <w:rsid w:val="009F1705"/>
    <w:rsid w:val="009F2095"/>
    <w:rsid w:val="009F4D99"/>
    <w:rsid w:val="009F50F0"/>
    <w:rsid w:val="009F542D"/>
    <w:rsid w:val="009F7366"/>
    <w:rsid w:val="00A005A8"/>
    <w:rsid w:val="00A006F0"/>
    <w:rsid w:val="00A009E0"/>
    <w:rsid w:val="00A01327"/>
    <w:rsid w:val="00A018E7"/>
    <w:rsid w:val="00A03911"/>
    <w:rsid w:val="00A03BEF"/>
    <w:rsid w:val="00A0435A"/>
    <w:rsid w:val="00A0444A"/>
    <w:rsid w:val="00A047A3"/>
    <w:rsid w:val="00A05140"/>
    <w:rsid w:val="00A0626A"/>
    <w:rsid w:val="00A06613"/>
    <w:rsid w:val="00A0675E"/>
    <w:rsid w:val="00A06BE1"/>
    <w:rsid w:val="00A06FC9"/>
    <w:rsid w:val="00A079F9"/>
    <w:rsid w:val="00A07AEC"/>
    <w:rsid w:val="00A07CF2"/>
    <w:rsid w:val="00A10BC3"/>
    <w:rsid w:val="00A10DE1"/>
    <w:rsid w:val="00A11A16"/>
    <w:rsid w:val="00A11D59"/>
    <w:rsid w:val="00A123C7"/>
    <w:rsid w:val="00A125C1"/>
    <w:rsid w:val="00A13029"/>
    <w:rsid w:val="00A1427B"/>
    <w:rsid w:val="00A144E1"/>
    <w:rsid w:val="00A144F0"/>
    <w:rsid w:val="00A14E44"/>
    <w:rsid w:val="00A14E66"/>
    <w:rsid w:val="00A14F88"/>
    <w:rsid w:val="00A1513D"/>
    <w:rsid w:val="00A17450"/>
    <w:rsid w:val="00A20730"/>
    <w:rsid w:val="00A210A9"/>
    <w:rsid w:val="00A21C4C"/>
    <w:rsid w:val="00A22301"/>
    <w:rsid w:val="00A22538"/>
    <w:rsid w:val="00A24248"/>
    <w:rsid w:val="00A24537"/>
    <w:rsid w:val="00A245B2"/>
    <w:rsid w:val="00A24C24"/>
    <w:rsid w:val="00A2584C"/>
    <w:rsid w:val="00A2619B"/>
    <w:rsid w:val="00A264BA"/>
    <w:rsid w:val="00A2670A"/>
    <w:rsid w:val="00A26E0B"/>
    <w:rsid w:val="00A26EE9"/>
    <w:rsid w:val="00A27011"/>
    <w:rsid w:val="00A27E2B"/>
    <w:rsid w:val="00A27EDC"/>
    <w:rsid w:val="00A27F64"/>
    <w:rsid w:val="00A30385"/>
    <w:rsid w:val="00A311E0"/>
    <w:rsid w:val="00A321EA"/>
    <w:rsid w:val="00A328C6"/>
    <w:rsid w:val="00A32C15"/>
    <w:rsid w:val="00A33B7B"/>
    <w:rsid w:val="00A34039"/>
    <w:rsid w:val="00A3552E"/>
    <w:rsid w:val="00A35C9C"/>
    <w:rsid w:val="00A36365"/>
    <w:rsid w:val="00A4086A"/>
    <w:rsid w:val="00A40A80"/>
    <w:rsid w:val="00A40DEA"/>
    <w:rsid w:val="00A40E26"/>
    <w:rsid w:val="00A4174B"/>
    <w:rsid w:val="00A417FA"/>
    <w:rsid w:val="00A42760"/>
    <w:rsid w:val="00A443C7"/>
    <w:rsid w:val="00A458B3"/>
    <w:rsid w:val="00A45B60"/>
    <w:rsid w:val="00A45E73"/>
    <w:rsid w:val="00A47A50"/>
    <w:rsid w:val="00A52109"/>
    <w:rsid w:val="00A5236E"/>
    <w:rsid w:val="00A5390D"/>
    <w:rsid w:val="00A5551F"/>
    <w:rsid w:val="00A5578E"/>
    <w:rsid w:val="00A60453"/>
    <w:rsid w:val="00A60AA3"/>
    <w:rsid w:val="00A62E17"/>
    <w:rsid w:val="00A64D5D"/>
    <w:rsid w:val="00A65CAA"/>
    <w:rsid w:val="00A65DFF"/>
    <w:rsid w:val="00A662CF"/>
    <w:rsid w:val="00A67415"/>
    <w:rsid w:val="00A70EFE"/>
    <w:rsid w:val="00A71899"/>
    <w:rsid w:val="00A71A89"/>
    <w:rsid w:val="00A7221F"/>
    <w:rsid w:val="00A733A7"/>
    <w:rsid w:val="00A73B24"/>
    <w:rsid w:val="00A760AB"/>
    <w:rsid w:val="00A766FD"/>
    <w:rsid w:val="00A76E5A"/>
    <w:rsid w:val="00A80353"/>
    <w:rsid w:val="00A8147B"/>
    <w:rsid w:val="00A81951"/>
    <w:rsid w:val="00A8200B"/>
    <w:rsid w:val="00A820E7"/>
    <w:rsid w:val="00A824D7"/>
    <w:rsid w:val="00A82DF8"/>
    <w:rsid w:val="00A858B1"/>
    <w:rsid w:val="00A86062"/>
    <w:rsid w:val="00A86962"/>
    <w:rsid w:val="00A87604"/>
    <w:rsid w:val="00A91556"/>
    <w:rsid w:val="00A916C5"/>
    <w:rsid w:val="00A91ADE"/>
    <w:rsid w:val="00A924E2"/>
    <w:rsid w:val="00A929D3"/>
    <w:rsid w:val="00A92A34"/>
    <w:rsid w:val="00A92E68"/>
    <w:rsid w:val="00A9333E"/>
    <w:rsid w:val="00A93D51"/>
    <w:rsid w:val="00A93FB2"/>
    <w:rsid w:val="00A94B61"/>
    <w:rsid w:val="00A94EC5"/>
    <w:rsid w:val="00A9554E"/>
    <w:rsid w:val="00A964B8"/>
    <w:rsid w:val="00A97B24"/>
    <w:rsid w:val="00AA04B9"/>
    <w:rsid w:val="00AA06F5"/>
    <w:rsid w:val="00AA1044"/>
    <w:rsid w:val="00AA11E8"/>
    <w:rsid w:val="00AA31F2"/>
    <w:rsid w:val="00AA3402"/>
    <w:rsid w:val="00AA406C"/>
    <w:rsid w:val="00AA4F9F"/>
    <w:rsid w:val="00AA5E1B"/>
    <w:rsid w:val="00AA7256"/>
    <w:rsid w:val="00AB0987"/>
    <w:rsid w:val="00AB0D42"/>
    <w:rsid w:val="00AB205F"/>
    <w:rsid w:val="00AB276A"/>
    <w:rsid w:val="00AB3256"/>
    <w:rsid w:val="00AB3900"/>
    <w:rsid w:val="00AB4890"/>
    <w:rsid w:val="00AB5AB8"/>
    <w:rsid w:val="00AB6DC1"/>
    <w:rsid w:val="00AB7215"/>
    <w:rsid w:val="00AC005D"/>
    <w:rsid w:val="00AC042C"/>
    <w:rsid w:val="00AC0609"/>
    <w:rsid w:val="00AC095B"/>
    <w:rsid w:val="00AC106D"/>
    <w:rsid w:val="00AC1172"/>
    <w:rsid w:val="00AC14DE"/>
    <w:rsid w:val="00AC352A"/>
    <w:rsid w:val="00AC52B6"/>
    <w:rsid w:val="00AC56C2"/>
    <w:rsid w:val="00AC5E19"/>
    <w:rsid w:val="00AD0375"/>
    <w:rsid w:val="00AD0FDE"/>
    <w:rsid w:val="00AD1E04"/>
    <w:rsid w:val="00AD2723"/>
    <w:rsid w:val="00AD445D"/>
    <w:rsid w:val="00AD5DE6"/>
    <w:rsid w:val="00AD5FB5"/>
    <w:rsid w:val="00AD6577"/>
    <w:rsid w:val="00AD6F47"/>
    <w:rsid w:val="00AE1915"/>
    <w:rsid w:val="00AE2781"/>
    <w:rsid w:val="00AE2E63"/>
    <w:rsid w:val="00AE4517"/>
    <w:rsid w:val="00AE4E41"/>
    <w:rsid w:val="00AE5C52"/>
    <w:rsid w:val="00AE64BF"/>
    <w:rsid w:val="00AE6D76"/>
    <w:rsid w:val="00AE6E0A"/>
    <w:rsid w:val="00AE6EB0"/>
    <w:rsid w:val="00AE6F99"/>
    <w:rsid w:val="00AF045F"/>
    <w:rsid w:val="00AF0DB3"/>
    <w:rsid w:val="00AF0FA2"/>
    <w:rsid w:val="00AF0FDD"/>
    <w:rsid w:val="00AF218D"/>
    <w:rsid w:val="00AF29D0"/>
    <w:rsid w:val="00AF3264"/>
    <w:rsid w:val="00AF528D"/>
    <w:rsid w:val="00AF5724"/>
    <w:rsid w:val="00AF58B7"/>
    <w:rsid w:val="00AF5A70"/>
    <w:rsid w:val="00AF5C5C"/>
    <w:rsid w:val="00AF7098"/>
    <w:rsid w:val="00B00544"/>
    <w:rsid w:val="00B01EB0"/>
    <w:rsid w:val="00B027FA"/>
    <w:rsid w:val="00B02BEB"/>
    <w:rsid w:val="00B03A72"/>
    <w:rsid w:val="00B03FB1"/>
    <w:rsid w:val="00B04584"/>
    <w:rsid w:val="00B05BE0"/>
    <w:rsid w:val="00B05DDE"/>
    <w:rsid w:val="00B071AE"/>
    <w:rsid w:val="00B100FA"/>
    <w:rsid w:val="00B1016A"/>
    <w:rsid w:val="00B102EF"/>
    <w:rsid w:val="00B11701"/>
    <w:rsid w:val="00B12F63"/>
    <w:rsid w:val="00B1329C"/>
    <w:rsid w:val="00B137E4"/>
    <w:rsid w:val="00B14844"/>
    <w:rsid w:val="00B15829"/>
    <w:rsid w:val="00B16D2D"/>
    <w:rsid w:val="00B17A9D"/>
    <w:rsid w:val="00B17C19"/>
    <w:rsid w:val="00B17D8E"/>
    <w:rsid w:val="00B21C2F"/>
    <w:rsid w:val="00B2221C"/>
    <w:rsid w:val="00B2431A"/>
    <w:rsid w:val="00B249B7"/>
    <w:rsid w:val="00B253DE"/>
    <w:rsid w:val="00B25AED"/>
    <w:rsid w:val="00B25F1A"/>
    <w:rsid w:val="00B2714C"/>
    <w:rsid w:val="00B2764E"/>
    <w:rsid w:val="00B30E77"/>
    <w:rsid w:val="00B326B2"/>
    <w:rsid w:val="00B33F27"/>
    <w:rsid w:val="00B34731"/>
    <w:rsid w:val="00B34B88"/>
    <w:rsid w:val="00B351DF"/>
    <w:rsid w:val="00B37A25"/>
    <w:rsid w:val="00B405AE"/>
    <w:rsid w:val="00B415C9"/>
    <w:rsid w:val="00B41CC6"/>
    <w:rsid w:val="00B4221F"/>
    <w:rsid w:val="00B42A7C"/>
    <w:rsid w:val="00B43624"/>
    <w:rsid w:val="00B43841"/>
    <w:rsid w:val="00B44032"/>
    <w:rsid w:val="00B445D9"/>
    <w:rsid w:val="00B447BF"/>
    <w:rsid w:val="00B45078"/>
    <w:rsid w:val="00B456CC"/>
    <w:rsid w:val="00B4604E"/>
    <w:rsid w:val="00B46248"/>
    <w:rsid w:val="00B478EF"/>
    <w:rsid w:val="00B51BAD"/>
    <w:rsid w:val="00B53732"/>
    <w:rsid w:val="00B54F2E"/>
    <w:rsid w:val="00B55037"/>
    <w:rsid w:val="00B55BE4"/>
    <w:rsid w:val="00B564A3"/>
    <w:rsid w:val="00B56514"/>
    <w:rsid w:val="00B56551"/>
    <w:rsid w:val="00B57AE9"/>
    <w:rsid w:val="00B57CA2"/>
    <w:rsid w:val="00B57CB4"/>
    <w:rsid w:val="00B638BD"/>
    <w:rsid w:val="00B64330"/>
    <w:rsid w:val="00B652E1"/>
    <w:rsid w:val="00B65EB5"/>
    <w:rsid w:val="00B66555"/>
    <w:rsid w:val="00B673B5"/>
    <w:rsid w:val="00B67969"/>
    <w:rsid w:val="00B67EAD"/>
    <w:rsid w:val="00B67EE1"/>
    <w:rsid w:val="00B67EF7"/>
    <w:rsid w:val="00B727CE"/>
    <w:rsid w:val="00B72CEC"/>
    <w:rsid w:val="00B72FD9"/>
    <w:rsid w:val="00B73156"/>
    <w:rsid w:val="00B73B49"/>
    <w:rsid w:val="00B74929"/>
    <w:rsid w:val="00B7516D"/>
    <w:rsid w:val="00B7716B"/>
    <w:rsid w:val="00B777E6"/>
    <w:rsid w:val="00B778A2"/>
    <w:rsid w:val="00B80134"/>
    <w:rsid w:val="00B80707"/>
    <w:rsid w:val="00B813AF"/>
    <w:rsid w:val="00B8376F"/>
    <w:rsid w:val="00B83A95"/>
    <w:rsid w:val="00B84F03"/>
    <w:rsid w:val="00B85364"/>
    <w:rsid w:val="00B861D4"/>
    <w:rsid w:val="00B8737A"/>
    <w:rsid w:val="00B87675"/>
    <w:rsid w:val="00B90308"/>
    <w:rsid w:val="00B910DF"/>
    <w:rsid w:val="00B914A3"/>
    <w:rsid w:val="00B91FBE"/>
    <w:rsid w:val="00B922B9"/>
    <w:rsid w:val="00B93B9B"/>
    <w:rsid w:val="00B94EC5"/>
    <w:rsid w:val="00B95043"/>
    <w:rsid w:val="00B95056"/>
    <w:rsid w:val="00B9539A"/>
    <w:rsid w:val="00B96BD2"/>
    <w:rsid w:val="00B96E56"/>
    <w:rsid w:val="00B9749F"/>
    <w:rsid w:val="00B97F0F"/>
    <w:rsid w:val="00BA0A95"/>
    <w:rsid w:val="00BA13C9"/>
    <w:rsid w:val="00BA28F4"/>
    <w:rsid w:val="00BA3026"/>
    <w:rsid w:val="00BA3269"/>
    <w:rsid w:val="00BA3555"/>
    <w:rsid w:val="00BA3C1D"/>
    <w:rsid w:val="00BA3EFF"/>
    <w:rsid w:val="00BA4237"/>
    <w:rsid w:val="00BA4972"/>
    <w:rsid w:val="00BA5357"/>
    <w:rsid w:val="00BA5FE7"/>
    <w:rsid w:val="00BA6648"/>
    <w:rsid w:val="00BA6A25"/>
    <w:rsid w:val="00BB144C"/>
    <w:rsid w:val="00BB1C24"/>
    <w:rsid w:val="00BB2580"/>
    <w:rsid w:val="00BB27EC"/>
    <w:rsid w:val="00BB31E0"/>
    <w:rsid w:val="00BB33D3"/>
    <w:rsid w:val="00BB37EE"/>
    <w:rsid w:val="00BB530B"/>
    <w:rsid w:val="00BB58D3"/>
    <w:rsid w:val="00BB5C5C"/>
    <w:rsid w:val="00BC028B"/>
    <w:rsid w:val="00BC179B"/>
    <w:rsid w:val="00BC1C9F"/>
    <w:rsid w:val="00BC2B2E"/>
    <w:rsid w:val="00BC432E"/>
    <w:rsid w:val="00BC45D3"/>
    <w:rsid w:val="00BC6774"/>
    <w:rsid w:val="00BC6C00"/>
    <w:rsid w:val="00BC6C8B"/>
    <w:rsid w:val="00BC6EEF"/>
    <w:rsid w:val="00BC7980"/>
    <w:rsid w:val="00BC7DC8"/>
    <w:rsid w:val="00BD0216"/>
    <w:rsid w:val="00BD1DB3"/>
    <w:rsid w:val="00BD28C5"/>
    <w:rsid w:val="00BD2FEE"/>
    <w:rsid w:val="00BD4D43"/>
    <w:rsid w:val="00BD4F92"/>
    <w:rsid w:val="00BD67C9"/>
    <w:rsid w:val="00BD7695"/>
    <w:rsid w:val="00BE0D5C"/>
    <w:rsid w:val="00BE0EE1"/>
    <w:rsid w:val="00BE280A"/>
    <w:rsid w:val="00BE30B6"/>
    <w:rsid w:val="00BE3DE0"/>
    <w:rsid w:val="00BE4BDF"/>
    <w:rsid w:val="00BE5568"/>
    <w:rsid w:val="00BE5FED"/>
    <w:rsid w:val="00BE65E4"/>
    <w:rsid w:val="00BE7D81"/>
    <w:rsid w:val="00BF0AA7"/>
    <w:rsid w:val="00BF10F9"/>
    <w:rsid w:val="00BF1944"/>
    <w:rsid w:val="00BF1EA5"/>
    <w:rsid w:val="00BF1F3A"/>
    <w:rsid w:val="00BF201D"/>
    <w:rsid w:val="00BF22BD"/>
    <w:rsid w:val="00BF2F97"/>
    <w:rsid w:val="00BF4349"/>
    <w:rsid w:val="00BF46B7"/>
    <w:rsid w:val="00BF4736"/>
    <w:rsid w:val="00BF4B73"/>
    <w:rsid w:val="00C00313"/>
    <w:rsid w:val="00C00765"/>
    <w:rsid w:val="00C008CB"/>
    <w:rsid w:val="00C00E26"/>
    <w:rsid w:val="00C01576"/>
    <w:rsid w:val="00C01B7C"/>
    <w:rsid w:val="00C01EDD"/>
    <w:rsid w:val="00C03A2E"/>
    <w:rsid w:val="00C05578"/>
    <w:rsid w:val="00C06287"/>
    <w:rsid w:val="00C07F7A"/>
    <w:rsid w:val="00C1032A"/>
    <w:rsid w:val="00C12309"/>
    <w:rsid w:val="00C132C8"/>
    <w:rsid w:val="00C17BF1"/>
    <w:rsid w:val="00C20D5E"/>
    <w:rsid w:val="00C21334"/>
    <w:rsid w:val="00C2292E"/>
    <w:rsid w:val="00C22C22"/>
    <w:rsid w:val="00C23583"/>
    <w:rsid w:val="00C2421E"/>
    <w:rsid w:val="00C244B0"/>
    <w:rsid w:val="00C24D36"/>
    <w:rsid w:val="00C25B51"/>
    <w:rsid w:val="00C301D7"/>
    <w:rsid w:val="00C30749"/>
    <w:rsid w:val="00C312CC"/>
    <w:rsid w:val="00C32424"/>
    <w:rsid w:val="00C34D66"/>
    <w:rsid w:val="00C34E20"/>
    <w:rsid w:val="00C35D0F"/>
    <w:rsid w:val="00C36C67"/>
    <w:rsid w:val="00C37256"/>
    <w:rsid w:val="00C37F1D"/>
    <w:rsid w:val="00C4066A"/>
    <w:rsid w:val="00C408AC"/>
    <w:rsid w:val="00C40D0E"/>
    <w:rsid w:val="00C40E7B"/>
    <w:rsid w:val="00C41FC2"/>
    <w:rsid w:val="00C454C6"/>
    <w:rsid w:val="00C458B6"/>
    <w:rsid w:val="00C4686A"/>
    <w:rsid w:val="00C469FC"/>
    <w:rsid w:val="00C504E9"/>
    <w:rsid w:val="00C51DF7"/>
    <w:rsid w:val="00C521E2"/>
    <w:rsid w:val="00C5255D"/>
    <w:rsid w:val="00C527AE"/>
    <w:rsid w:val="00C53C80"/>
    <w:rsid w:val="00C56BAB"/>
    <w:rsid w:val="00C57483"/>
    <w:rsid w:val="00C57E14"/>
    <w:rsid w:val="00C602B7"/>
    <w:rsid w:val="00C6036B"/>
    <w:rsid w:val="00C60744"/>
    <w:rsid w:val="00C607E4"/>
    <w:rsid w:val="00C60D92"/>
    <w:rsid w:val="00C637A6"/>
    <w:rsid w:val="00C654E9"/>
    <w:rsid w:val="00C65830"/>
    <w:rsid w:val="00C65930"/>
    <w:rsid w:val="00C65E0C"/>
    <w:rsid w:val="00C661F5"/>
    <w:rsid w:val="00C66243"/>
    <w:rsid w:val="00C6720B"/>
    <w:rsid w:val="00C67399"/>
    <w:rsid w:val="00C7048A"/>
    <w:rsid w:val="00C7209A"/>
    <w:rsid w:val="00C725C4"/>
    <w:rsid w:val="00C74F72"/>
    <w:rsid w:val="00C74FD6"/>
    <w:rsid w:val="00C75AB0"/>
    <w:rsid w:val="00C75F7B"/>
    <w:rsid w:val="00C82AA4"/>
    <w:rsid w:val="00C8305C"/>
    <w:rsid w:val="00C844D6"/>
    <w:rsid w:val="00C8493E"/>
    <w:rsid w:val="00C8524A"/>
    <w:rsid w:val="00C852DB"/>
    <w:rsid w:val="00C85E63"/>
    <w:rsid w:val="00C85FF6"/>
    <w:rsid w:val="00C86344"/>
    <w:rsid w:val="00C87483"/>
    <w:rsid w:val="00C9127D"/>
    <w:rsid w:val="00C9326B"/>
    <w:rsid w:val="00C9477D"/>
    <w:rsid w:val="00C94872"/>
    <w:rsid w:val="00C954D2"/>
    <w:rsid w:val="00C95691"/>
    <w:rsid w:val="00C95F8D"/>
    <w:rsid w:val="00C96A47"/>
    <w:rsid w:val="00C970CE"/>
    <w:rsid w:val="00CA0172"/>
    <w:rsid w:val="00CA1ECD"/>
    <w:rsid w:val="00CA33AC"/>
    <w:rsid w:val="00CA4C7F"/>
    <w:rsid w:val="00CA5912"/>
    <w:rsid w:val="00CA5A4A"/>
    <w:rsid w:val="00CA5B7A"/>
    <w:rsid w:val="00CA60D7"/>
    <w:rsid w:val="00CA679C"/>
    <w:rsid w:val="00CA74C5"/>
    <w:rsid w:val="00CB13B7"/>
    <w:rsid w:val="00CB2AE5"/>
    <w:rsid w:val="00CB38EA"/>
    <w:rsid w:val="00CB4AF2"/>
    <w:rsid w:val="00CB4F64"/>
    <w:rsid w:val="00CB5296"/>
    <w:rsid w:val="00CB64EE"/>
    <w:rsid w:val="00CB7087"/>
    <w:rsid w:val="00CB70BE"/>
    <w:rsid w:val="00CB723D"/>
    <w:rsid w:val="00CC0999"/>
    <w:rsid w:val="00CC41EE"/>
    <w:rsid w:val="00CC58A8"/>
    <w:rsid w:val="00CC5A9F"/>
    <w:rsid w:val="00CC6ECE"/>
    <w:rsid w:val="00CC72FD"/>
    <w:rsid w:val="00CC761E"/>
    <w:rsid w:val="00CD061B"/>
    <w:rsid w:val="00CD0BF5"/>
    <w:rsid w:val="00CD0FA4"/>
    <w:rsid w:val="00CD1089"/>
    <w:rsid w:val="00CD12D0"/>
    <w:rsid w:val="00CD1BCD"/>
    <w:rsid w:val="00CD41F8"/>
    <w:rsid w:val="00CD647B"/>
    <w:rsid w:val="00CD6D61"/>
    <w:rsid w:val="00CD724A"/>
    <w:rsid w:val="00CD780F"/>
    <w:rsid w:val="00CD7D66"/>
    <w:rsid w:val="00CD7FFC"/>
    <w:rsid w:val="00CE059F"/>
    <w:rsid w:val="00CE0AA2"/>
    <w:rsid w:val="00CE27E1"/>
    <w:rsid w:val="00CE2C6E"/>
    <w:rsid w:val="00CE2D75"/>
    <w:rsid w:val="00CE3A71"/>
    <w:rsid w:val="00CE3DE2"/>
    <w:rsid w:val="00CE4E66"/>
    <w:rsid w:val="00CE5D48"/>
    <w:rsid w:val="00CE6A60"/>
    <w:rsid w:val="00CE6C66"/>
    <w:rsid w:val="00CE799B"/>
    <w:rsid w:val="00CF1C1E"/>
    <w:rsid w:val="00CF206E"/>
    <w:rsid w:val="00CF27BB"/>
    <w:rsid w:val="00CF321C"/>
    <w:rsid w:val="00CF450A"/>
    <w:rsid w:val="00CF47BC"/>
    <w:rsid w:val="00CF47F4"/>
    <w:rsid w:val="00CF4FE6"/>
    <w:rsid w:val="00CF556F"/>
    <w:rsid w:val="00CF5974"/>
    <w:rsid w:val="00CF6149"/>
    <w:rsid w:val="00CF6708"/>
    <w:rsid w:val="00CF67FB"/>
    <w:rsid w:val="00D0030F"/>
    <w:rsid w:val="00D00CA3"/>
    <w:rsid w:val="00D017DC"/>
    <w:rsid w:val="00D0386B"/>
    <w:rsid w:val="00D0445F"/>
    <w:rsid w:val="00D046B0"/>
    <w:rsid w:val="00D0608D"/>
    <w:rsid w:val="00D061D5"/>
    <w:rsid w:val="00D06E87"/>
    <w:rsid w:val="00D06EFC"/>
    <w:rsid w:val="00D074BF"/>
    <w:rsid w:val="00D0770D"/>
    <w:rsid w:val="00D078C7"/>
    <w:rsid w:val="00D07FA0"/>
    <w:rsid w:val="00D1197E"/>
    <w:rsid w:val="00D122E5"/>
    <w:rsid w:val="00D1298E"/>
    <w:rsid w:val="00D137C7"/>
    <w:rsid w:val="00D150F9"/>
    <w:rsid w:val="00D15AE6"/>
    <w:rsid w:val="00D1619E"/>
    <w:rsid w:val="00D17189"/>
    <w:rsid w:val="00D17F97"/>
    <w:rsid w:val="00D204F4"/>
    <w:rsid w:val="00D20915"/>
    <w:rsid w:val="00D20986"/>
    <w:rsid w:val="00D219C1"/>
    <w:rsid w:val="00D22C33"/>
    <w:rsid w:val="00D2360C"/>
    <w:rsid w:val="00D24378"/>
    <w:rsid w:val="00D25AA1"/>
    <w:rsid w:val="00D268E7"/>
    <w:rsid w:val="00D26A2E"/>
    <w:rsid w:val="00D2701D"/>
    <w:rsid w:val="00D27373"/>
    <w:rsid w:val="00D27CBE"/>
    <w:rsid w:val="00D3090B"/>
    <w:rsid w:val="00D32833"/>
    <w:rsid w:val="00D32AF3"/>
    <w:rsid w:val="00D33DA7"/>
    <w:rsid w:val="00D34E31"/>
    <w:rsid w:val="00D3507E"/>
    <w:rsid w:val="00D3515A"/>
    <w:rsid w:val="00D354D0"/>
    <w:rsid w:val="00D35DE8"/>
    <w:rsid w:val="00D414C7"/>
    <w:rsid w:val="00D41678"/>
    <w:rsid w:val="00D41D9A"/>
    <w:rsid w:val="00D42C11"/>
    <w:rsid w:val="00D43238"/>
    <w:rsid w:val="00D4359C"/>
    <w:rsid w:val="00D44BF7"/>
    <w:rsid w:val="00D44DCA"/>
    <w:rsid w:val="00D453F9"/>
    <w:rsid w:val="00D45D21"/>
    <w:rsid w:val="00D472D8"/>
    <w:rsid w:val="00D50C04"/>
    <w:rsid w:val="00D51373"/>
    <w:rsid w:val="00D5255B"/>
    <w:rsid w:val="00D538F6"/>
    <w:rsid w:val="00D5457D"/>
    <w:rsid w:val="00D54DAE"/>
    <w:rsid w:val="00D54EF5"/>
    <w:rsid w:val="00D56CD6"/>
    <w:rsid w:val="00D56FF4"/>
    <w:rsid w:val="00D57208"/>
    <w:rsid w:val="00D57527"/>
    <w:rsid w:val="00D57B2A"/>
    <w:rsid w:val="00D57B75"/>
    <w:rsid w:val="00D60EBE"/>
    <w:rsid w:val="00D60F08"/>
    <w:rsid w:val="00D61415"/>
    <w:rsid w:val="00D6213A"/>
    <w:rsid w:val="00D634E1"/>
    <w:rsid w:val="00D64C31"/>
    <w:rsid w:val="00D65D75"/>
    <w:rsid w:val="00D671DE"/>
    <w:rsid w:val="00D67B06"/>
    <w:rsid w:val="00D67DC6"/>
    <w:rsid w:val="00D702CA"/>
    <w:rsid w:val="00D71864"/>
    <w:rsid w:val="00D73071"/>
    <w:rsid w:val="00D73760"/>
    <w:rsid w:val="00D73EB8"/>
    <w:rsid w:val="00D74036"/>
    <w:rsid w:val="00D7474D"/>
    <w:rsid w:val="00D74EBF"/>
    <w:rsid w:val="00D75E76"/>
    <w:rsid w:val="00D77B73"/>
    <w:rsid w:val="00D802BD"/>
    <w:rsid w:val="00D808EE"/>
    <w:rsid w:val="00D81D72"/>
    <w:rsid w:val="00D82428"/>
    <w:rsid w:val="00D8317B"/>
    <w:rsid w:val="00D83CB6"/>
    <w:rsid w:val="00D83CC1"/>
    <w:rsid w:val="00D8489C"/>
    <w:rsid w:val="00D84BB3"/>
    <w:rsid w:val="00D86AB6"/>
    <w:rsid w:val="00D87FE7"/>
    <w:rsid w:val="00D91257"/>
    <w:rsid w:val="00D91885"/>
    <w:rsid w:val="00D93663"/>
    <w:rsid w:val="00D94097"/>
    <w:rsid w:val="00D95014"/>
    <w:rsid w:val="00D95DDC"/>
    <w:rsid w:val="00D96B60"/>
    <w:rsid w:val="00DA0633"/>
    <w:rsid w:val="00DA0634"/>
    <w:rsid w:val="00DA249E"/>
    <w:rsid w:val="00DA28AF"/>
    <w:rsid w:val="00DA3E6F"/>
    <w:rsid w:val="00DA4AB1"/>
    <w:rsid w:val="00DA62C5"/>
    <w:rsid w:val="00DA63E1"/>
    <w:rsid w:val="00DA6613"/>
    <w:rsid w:val="00DA79CE"/>
    <w:rsid w:val="00DA7CB8"/>
    <w:rsid w:val="00DA7DA7"/>
    <w:rsid w:val="00DB0CB2"/>
    <w:rsid w:val="00DB26EB"/>
    <w:rsid w:val="00DB28C0"/>
    <w:rsid w:val="00DB35E7"/>
    <w:rsid w:val="00DB3B9A"/>
    <w:rsid w:val="00DB49D8"/>
    <w:rsid w:val="00DB5EDB"/>
    <w:rsid w:val="00DB676E"/>
    <w:rsid w:val="00DB78F3"/>
    <w:rsid w:val="00DC0334"/>
    <w:rsid w:val="00DC08BC"/>
    <w:rsid w:val="00DC0DB9"/>
    <w:rsid w:val="00DC1F63"/>
    <w:rsid w:val="00DC2061"/>
    <w:rsid w:val="00DC2331"/>
    <w:rsid w:val="00DC373D"/>
    <w:rsid w:val="00DC4912"/>
    <w:rsid w:val="00DC6545"/>
    <w:rsid w:val="00DC70AB"/>
    <w:rsid w:val="00DD06D9"/>
    <w:rsid w:val="00DD0A58"/>
    <w:rsid w:val="00DD1011"/>
    <w:rsid w:val="00DD1D4C"/>
    <w:rsid w:val="00DD2BA9"/>
    <w:rsid w:val="00DD40FB"/>
    <w:rsid w:val="00DD4844"/>
    <w:rsid w:val="00DD6510"/>
    <w:rsid w:val="00DD6653"/>
    <w:rsid w:val="00DD7D19"/>
    <w:rsid w:val="00DE1302"/>
    <w:rsid w:val="00DE1AB3"/>
    <w:rsid w:val="00DE221F"/>
    <w:rsid w:val="00DE3A2A"/>
    <w:rsid w:val="00DE48B0"/>
    <w:rsid w:val="00DE4D3C"/>
    <w:rsid w:val="00DE4DDA"/>
    <w:rsid w:val="00DE55E6"/>
    <w:rsid w:val="00DE5657"/>
    <w:rsid w:val="00DE5DBB"/>
    <w:rsid w:val="00DE734F"/>
    <w:rsid w:val="00DF169D"/>
    <w:rsid w:val="00DF213A"/>
    <w:rsid w:val="00DF29B9"/>
    <w:rsid w:val="00DF323D"/>
    <w:rsid w:val="00DF39C3"/>
    <w:rsid w:val="00DF3A46"/>
    <w:rsid w:val="00DF62C5"/>
    <w:rsid w:val="00DF7271"/>
    <w:rsid w:val="00DF7AE1"/>
    <w:rsid w:val="00E0069C"/>
    <w:rsid w:val="00E01F15"/>
    <w:rsid w:val="00E0241F"/>
    <w:rsid w:val="00E03180"/>
    <w:rsid w:val="00E03DFB"/>
    <w:rsid w:val="00E04269"/>
    <w:rsid w:val="00E04482"/>
    <w:rsid w:val="00E04D37"/>
    <w:rsid w:val="00E05823"/>
    <w:rsid w:val="00E05840"/>
    <w:rsid w:val="00E0624B"/>
    <w:rsid w:val="00E06435"/>
    <w:rsid w:val="00E06ACB"/>
    <w:rsid w:val="00E07107"/>
    <w:rsid w:val="00E07968"/>
    <w:rsid w:val="00E10BA8"/>
    <w:rsid w:val="00E1116E"/>
    <w:rsid w:val="00E12448"/>
    <w:rsid w:val="00E136F9"/>
    <w:rsid w:val="00E14683"/>
    <w:rsid w:val="00E14EAE"/>
    <w:rsid w:val="00E16D0E"/>
    <w:rsid w:val="00E207DB"/>
    <w:rsid w:val="00E214CF"/>
    <w:rsid w:val="00E215E5"/>
    <w:rsid w:val="00E21EFB"/>
    <w:rsid w:val="00E2267F"/>
    <w:rsid w:val="00E235D4"/>
    <w:rsid w:val="00E244B2"/>
    <w:rsid w:val="00E24DDE"/>
    <w:rsid w:val="00E25FBA"/>
    <w:rsid w:val="00E270B7"/>
    <w:rsid w:val="00E27C9F"/>
    <w:rsid w:val="00E32AD4"/>
    <w:rsid w:val="00E3398C"/>
    <w:rsid w:val="00E347D6"/>
    <w:rsid w:val="00E36A50"/>
    <w:rsid w:val="00E40D0D"/>
    <w:rsid w:val="00E40EC6"/>
    <w:rsid w:val="00E41503"/>
    <w:rsid w:val="00E41B22"/>
    <w:rsid w:val="00E43C87"/>
    <w:rsid w:val="00E43E5F"/>
    <w:rsid w:val="00E440F3"/>
    <w:rsid w:val="00E44BDB"/>
    <w:rsid w:val="00E44BDD"/>
    <w:rsid w:val="00E455FB"/>
    <w:rsid w:val="00E45685"/>
    <w:rsid w:val="00E457CA"/>
    <w:rsid w:val="00E50555"/>
    <w:rsid w:val="00E50A3A"/>
    <w:rsid w:val="00E50F32"/>
    <w:rsid w:val="00E51B5D"/>
    <w:rsid w:val="00E51F0A"/>
    <w:rsid w:val="00E528EB"/>
    <w:rsid w:val="00E5370B"/>
    <w:rsid w:val="00E55545"/>
    <w:rsid w:val="00E562BF"/>
    <w:rsid w:val="00E56811"/>
    <w:rsid w:val="00E56A3E"/>
    <w:rsid w:val="00E6139F"/>
    <w:rsid w:val="00E61E1E"/>
    <w:rsid w:val="00E62387"/>
    <w:rsid w:val="00E6445B"/>
    <w:rsid w:val="00E64B3B"/>
    <w:rsid w:val="00E64BAA"/>
    <w:rsid w:val="00E672A4"/>
    <w:rsid w:val="00E67CB9"/>
    <w:rsid w:val="00E67D97"/>
    <w:rsid w:val="00E7057F"/>
    <w:rsid w:val="00E71A05"/>
    <w:rsid w:val="00E72250"/>
    <w:rsid w:val="00E742BC"/>
    <w:rsid w:val="00E7462E"/>
    <w:rsid w:val="00E75F41"/>
    <w:rsid w:val="00E778B0"/>
    <w:rsid w:val="00E77CFE"/>
    <w:rsid w:val="00E80294"/>
    <w:rsid w:val="00E80AB0"/>
    <w:rsid w:val="00E8148B"/>
    <w:rsid w:val="00E8433B"/>
    <w:rsid w:val="00E8435E"/>
    <w:rsid w:val="00E8602B"/>
    <w:rsid w:val="00E86422"/>
    <w:rsid w:val="00E86C66"/>
    <w:rsid w:val="00E87AB4"/>
    <w:rsid w:val="00E90AA1"/>
    <w:rsid w:val="00E90B9D"/>
    <w:rsid w:val="00E91080"/>
    <w:rsid w:val="00E923F1"/>
    <w:rsid w:val="00E9249D"/>
    <w:rsid w:val="00E9432F"/>
    <w:rsid w:val="00E96A6F"/>
    <w:rsid w:val="00E96D5A"/>
    <w:rsid w:val="00E9709C"/>
    <w:rsid w:val="00EA003B"/>
    <w:rsid w:val="00EA06BA"/>
    <w:rsid w:val="00EA1B79"/>
    <w:rsid w:val="00EA2D31"/>
    <w:rsid w:val="00EA37C8"/>
    <w:rsid w:val="00EA42B1"/>
    <w:rsid w:val="00EA4912"/>
    <w:rsid w:val="00EA5736"/>
    <w:rsid w:val="00EA6D03"/>
    <w:rsid w:val="00EA6F24"/>
    <w:rsid w:val="00EB1D3D"/>
    <w:rsid w:val="00EB2976"/>
    <w:rsid w:val="00EB2D81"/>
    <w:rsid w:val="00EB3D8A"/>
    <w:rsid w:val="00EB4223"/>
    <w:rsid w:val="00EB472E"/>
    <w:rsid w:val="00EB4AF9"/>
    <w:rsid w:val="00EB54E9"/>
    <w:rsid w:val="00EB5684"/>
    <w:rsid w:val="00EB5A5E"/>
    <w:rsid w:val="00EB6F54"/>
    <w:rsid w:val="00EB711D"/>
    <w:rsid w:val="00EC0476"/>
    <w:rsid w:val="00EC0F31"/>
    <w:rsid w:val="00EC1BC5"/>
    <w:rsid w:val="00EC2859"/>
    <w:rsid w:val="00EC42FB"/>
    <w:rsid w:val="00EC43ED"/>
    <w:rsid w:val="00EC5793"/>
    <w:rsid w:val="00EC60CE"/>
    <w:rsid w:val="00EC6394"/>
    <w:rsid w:val="00EC709B"/>
    <w:rsid w:val="00EC70F5"/>
    <w:rsid w:val="00EC71ED"/>
    <w:rsid w:val="00EC7486"/>
    <w:rsid w:val="00ED0901"/>
    <w:rsid w:val="00ED2536"/>
    <w:rsid w:val="00ED27A5"/>
    <w:rsid w:val="00ED41AF"/>
    <w:rsid w:val="00ED55B5"/>
    <w:rsid w:val="00ED596E"/>
    <w:rsid w:val="00ED5C58"/>
    <w:rsid w:val="00ED6A30"/>
    <w:rsid w:val="00ED74B1"/>
    <w:rsid w:val="00ED7B38"/>
    <w:rsid w:val="00EE0057"/>
    <w:rsid w:val="00EE026F"/>
    <w:rsid w:val="00EE0665"/>
    <w:rsid w:val="00EE0AA8"/>
    <w:rsid w:val="00EE0E84"/>
    <w:rsid w:val="00EE1372"/>
    <w:rsid w:val="00EE208F"/>
    <w:rsid w:val="00EE308D"/>
    <w:rsid w:val="00EE401A"/>
    <w:rsid w:val="00EE44C9"/>
    <w:rsid w:val="00EE5C05"/>
    <w:rsid w:val="00EE62CD"/>
    <w:rsid w:val="00EF087C"/>
    <w:rsid w:val="00EF0937"/>
    <w:rsid w:val="00EF1ECC"/>
    <w:rsid w:val="00EF2769"/>
    <w:rsid w:val="00EF301D"/>
    <w:rsid w:val="00EF336F"/>
    <w:rsid w:val="00EF33D8"/>
    <w:rsid w:val="00EF366A"/>
    <w:rsid w:val="00EF416E"/>
    <w:rsid w:val="00EF4DF3"/>
    <w:rsid w:val="00EF686B"/>
    <w:rsid w:val="00EF7CD8"/>
    <w:rsid w:val="00F009ED"/>
    <w:rsid w:val="00F0280E"/>
    <w:rsid w:val="00F028E3"/>
    <w:rsid w:val="00F02F28"/>
    <w:rsid w:val="00F03DD4"/>
    <w:rsid w:val="00F03FBC"/>
    <w:rsid w:val="00F04CA6"/>
    <w:rsid w:val="00F05B0C"/>
    <w:rsid w:val="00F05FE3"/>
    <w:rsid w:val="00F0799D"/>
    <w:rsid w:val="00F11A7B"/>
    <w:rsid w:val="00F12744"/>
    <w:rsid w:val="00F12BE8"/>
    <w:rsid w:val="00F13F24"/>
    <w:rsid w:val="00F13FE1"/>
    <w:rsid w:val="00F1419E"/>
    <w:rsid w:val="00F143BB"/>
    <w:rsid w:val="00F14671"/>
    <w:rsid w:val="00F147DB"/>
    <w:rsid w:val="00F14D11"/>
    <w:rsid w:val="00F15EF6"/>
    <w:rsid w:val="00F15F8C"/>
    <w:rsid w:val="00F1653C"/>
    <w:rsid w:val="00F209D8"/>
    <w:rsid w:val="00F20F46"/>
    <w:rsid w:val="00F22AD4"/>
    <w:rsid w:val="00F23045"/>
    <w:rsid w:val="00F25DBD"/>
    <w:rsid w:val="00F26678"/>
    <w:rsid w:val="00F26F1D"/>
    <w:rsid w:val="00F27ED1"/>
    <w:rsid w:val="00F308FA"/>
    <w:rsid w:val="00F30CF8"/>
    <w:rsid w:val="00F30FBF"/>
    <w:rsid w:val="00F31315"/>
    <w:rsid w:val="00F326A2"/>
    <w:rsid w:val="00F34CBE"/>
    <w:rsid w:val="00F34FEB"/>
    <w:rsid w:val="00F3513B"/>
    <w:rsid w:val="00F35E66"/>
    <w:rsid w:val="00F36345"/>
    <w:rsid w:val="00F37B97"/>
    <w:rsid w:val="00F40408"/>
    <w:rsid w:val="00F42301"/>
    <w:rsid w:val="00F42783"/>
    <w:rsid w:val="00F42BE2"/>
    <w:rsid w:val="00F42F5E"/>
    <w:rsid w:val="00F42FB6"/>
    <w:rsid w:val="00F44BB6"/>
    <w:rsid w:val="00F45253"/>
    <w:rsid w:val="00F458D1"/>
    <w:rsid w:val="00F46297"/>
    <w:rsid w:val="00F46759"/>
    <w:rsid w:val="00F46ABC"/>
    <w:rsid w:val="00F50574"/>
    <w:rsid w:val="00F50778"/>
    <w:rsid w:val="00F50996"/>
    <w:rsid w:val="00F5172B"/>
    <w:rsid w:val="00F53655"/>
    <w:rsid w:val="00F53C1E"/>
    <w:rsid w:val="00F55290"/>
    <w:rsid w:val="00F5588C"/>
    <w:rsid w:val="00F55956"/>
    <w:rsid w:val="00F55F66"/>
    <w:rsid w:val="00F564D0"/>
    <w:rsid w:val="00F5666B"/>
    <w:rsid w:val="00F56CA9"/>
    <w:rsid w:val="00F6071E"/>
    <w:rsid w:val="00F613E5"/>
    <w:rsid w:val="00F616C5"/>
    <w:rsid w:val="00F61E80"/>
    <w:rsid w:val="00F62CFC"/>
    <w:rsid w:val="00F62E20"/>
    <w:rsid w:val="00F63076"/>
    <w:rsid w:val="00F63763"/>
    <w:rsid w:val="00F639E2"/>
    <w:rsid w:val="00F63C34"/>
    <w:rsid w:val="00F64D9A"/>
    <w:rsid w:val="00F65284"/>
    <w:rsid w:val="00F66195"/>
    <w:rsid w:val="00F671A8"/>
    <w:rsid w:val="00F70476"/>
    <w:rsid w:val="00F711FF"/>
    <w:rsid w:val="00F71512"/>
    <w:rsid w:val="00F72F8F"/>
    <w:rsid w:val="00F73CDB"/>
    <w:rsid w:val="00F74363"/>
    <w:rsid w:val="00F74F20"/>
    <w:rsid w:val="00F74FA5"/>
    <w:rsid w:val="00F762CA"/>
    <w:rsid w:val="00F7658C"/>
    <w:rsid w:val="00F769FF"/>
    <w:rsid w:val="00F77C17"/>
    <w:rsid w:val="00F77E6A"/>
    <w:rsid w:val="00F80334"/>
    <w:rsid w:val="00F808EA"/>
    <w:rsid w:val="00F80BC8"/>
    <w:rsid w:val="00F81D93"/>
    <w:rsid w:val="00F82500"/>
    <w:rsid w:val="00F8286C"/>
    <w:rsid w:val="00F831FB"/>
    <w:rsid w:val="00F84975"/>
    <w:rsid w:val="00F86C57"/>
    <w:rsid w:val="00F86C62"/>
    <w:rsid w:val="00F907B5"/>
    <w:rsid w:val="00F92CFE"/>
    <w:rsid w:val="00F93164"/>
    <w:rsid w:val="00F93332"/>
    <w:rsid w:val="00F940A3"/>
    <w:rsid w:val="00F9413F"/>
    <w:rsid w:val="00F94974"/>
    <w:rsid w:val="00F94A2D"/>
    <w:rsid w:val="00F94D21"/>
    <w:rsid w:val="00F95FB6"/>
    <w:rsid w:val="00F9601E"/>
    <w:rsid w:val="00F96283"/>
    <w:rsid w:val="00F9638D"/>
    <w:rsid w:val="00F96BAD"/>
    <w:rsid w:val="00F96F4B"/>
    <w:rsid w:val="00F97A5B"/>
    <w:rsid w:val="00F97EEF"/>
    <w:rsid w:val="00FA0011"/>
    <w:rsid w:val="00FA11D0"/>
    <w:rsid w:val="00FA14EB"/>
    <w:rsid w:val="00FA1BD8"/>
    <w:rsid w:val="00FA344A"/>
    <w:rsid w:val="00FA35E4"/>
    <w:rsid w:val="00FA39DE"/>
    <w:rsid w:val="00FA406D"/>
    <w:rsid w:val="00FA44DE"/>
    <w:rsid w:val="00FA4570"/>
    <w:rsid w:val="00FA5AA8"/>
    <w:rsid w:val="00FA7293"/>
    <w:rsid w:val="00FA7D74"/>
    <w:rsid w:val="00FB0B3B"/>
    <w:rsid w:val="00FB0F60"/>
    <w:rsid w:val="00FB114E"/>
    <w:rsid w:val="00FB1562"/>
    <w:rsid w:val="00FB2038"/>
    <w:rsid w:val="00FB23F4"/>
    <w:rsid w:val="00FB25FF"/>
    <w:rsid w:val="00FB3748"/>
    <w:rsid w:val="00FB3E4C"/>
    <w:rsid w:val="00FB407B"/>
    <w:rsid w:val="00FB5056"/>
    <w:rsid w:val="00FB5466"/>
    <w:rsid w:val="00FB6E31"/>
    <w:rsid w:val="00FB6F4D"/>
    <w:rsid w:val="00FC015B"/>
    <w:rsid w:val="00FC1512"/>
    <w:rsid w:val="00FC19A6"/>
    <w:rsid w:val="00FC24F1"/>
    <w:rsid w:val="00FC33D1"/>
    <w:rsid w:val="00FC3C87"/>
    <w:rsid w:val="00FC41B0"/>
    <w:rsid w:val="00FC597D"/>
    <w:rsid w:val="00FC6174"/>
    <w:rsid w:val="00FC6EA5"/>
    <w:rsid w:val="00FC72AB"/>
    <w:rsid w:val="00FD0CB0"/>
    <w:rsid w:val="00FD0D96"/>
    <w:rsid w:val="00FD0EE1"/>
    <w:rsid w:val="00FD1315"/>
    <w:rsid w:val="00FD19F3"/>
    <w:rsid w:val="00FD1C20"/>
    <w:rsid w:val="00FD3325"/>
    <w:rsid w:val="00FD54E7"/>
    <w:rsid w:val="00FD57BC"/>
    <w:rsid w:val="00FD6156"/>
    <w:rsid w:val="00FD7BD8"/>
    <w:rsid w:val="00FD7EDC"/>
    <w:rsid w:val="00FE00E1"/>
    <w:rsid w:val="00FE1536"/>
    <w:rsid w:val="00FE1853"/>
    <w:rsid w:val="00FE2079"/>
    <w:rsid w:val="00FE239A"/>
    <w:rsid w:val="00FE25EE"/>
    <w:rsid w:val="00FE3F05"/>
    <w:rsid w:val="00FE4491"/>
    <w:rsid w:val="00FE5718"/>
    <w:rsid w:val="00FE68CD"/>
    <w:rsid w:val="00FE7DB4"/>
    <w:rsid w:val="00FF061A"/>
    <w:rsid w:val="00FF0BB8"/>
    <w:rsid w:val="00FF2137"/>
    <w:rsid w:val="00FF2D07"/>
    <w:rsid w:val="00FF3700"/>
    <w:rsid w:val="00FF3DA4"/>
    <w:rsid w:val="00FF49DF"/>
    <w:rsid w:val="00FF6A90"/>
    <w:rsid w:val="00FF6B6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39"/>
    <w:lsdException w:name="toc 9" w:uiPriority="39"/>
    <w:lsdException w:name="footnote text" w:qFormat="1"/>
    <w:lsdException w:name="annotation text" w:uiPriority="0"/>
    <w:lsdException w:name="header" w:uiPriority="0"/>
    <w:lsdException w:name="caption" w:uiPriority="0" w:qFormat="1"/>
    <w:lsdException w:name="table of figures" w:uiPriority="0"/>
    <w:lsdException w:name="footnote reference" w:qFormat="1"/>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qFormat="1"/>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autoRedefine/>
    <w:qFormat/>
    <w:rsid w:val="00F63C34"/>
    <w:pPr>
      <w:keepNext/>
      <w:shd w:val="clear" w:color="auto" w:fill="C6D9F1" w:themeFill="text2" w:themeFillTint="33"/>
      <w:spacing w:before="240" w:after="120"/>
      <w:ind w:left="-340"/>
      <w:outlineLvl w:val="0"/>
    </w:pPr>
    <w:rPr>
      <w:rFonts w:ascii="Franklin Gothic Medium" w:hAnsi="Franklin Gothic Medium" w:cs="Arial"/>
      <w:b/>
      <w:color w:val="auto"/>
      <w:sz w:val="24"/>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6D0BC5"/>
    <w:pPr>
      <w:keepNext w:val="0"/>
      <w:numPr>
        <w:ilvl w:val="2"/>
      </w:numPr>
      <w:spacing w:before="240"/>
      <w:outlineLvl w:val="2"/>
    </w:pPr>
    <w:rPr>
      <w:b/>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val="0"/>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3C34"/>
    <w:rPr>
      <w:rFonts w:ascii="Franklin Gothic Medium" w:eastAsia="Times New Roman" w:hAnsi="Franklin Gothic Medium" w:cs="Arial"/>
      <w:b/>
      <w:spacing w:val="-10"/>
      <w:kern w:val="28"/>
      <w:sz w:val="24"/>
      <w:szCs w:val="28"/>
      <w:shd w:val="clear" w:color="auto" w:fill="C6D9F1" w:themeFill="text2" w:themeFillTint="33"/>
    </w:rPr>
  </w:style>
  <w:style w:type="paragraph" w:styleId="BodyText">
    <w:name w:val="Body Text"/>
    <w:basedOn w:val="Normal"/>
    <w:link w:val="BodyTextChar"/>
    <w:uiPriority w:val="99"/>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uiPriority w:val="99"/>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6D0BC5"/>
    <w:rPr>
      <w:rFonts w:ascii="Helvetica" w:eastAsia="Times New Roman" w:hAnsi="Helvetica" w:cs="Arial"/>
      <w:b/>
      <w:color w:val="124486"/>
      <w:kern w:val="28"/>
      <w:lang w:eastAsia="zh-CN"/>
    </w:rPr>
  </w:style>
  <w:style w:type="character" w:customStyle="1" w:styleId="Heading4Char">
    <w:name w:val="Heading 4 Char"/>
    <w:basedOn w:val="DefaultParagraphFont"/>
    <w:link w:val="Heading4"/>
    <w:rsid w:val="009E79EC"/>
    <w:rPr>
      <w:rFonts w:ascii="Helvetica" w:eastAsia="Times New Roman" w:hAnsi="Helvetica" w:cs="Arial"/>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iPriority w:val="99"/>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uiPriority w:val="99"/>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qFormat/>
    <w:rsid w:val="001171DE"/>
    <w:pPr>
      <w:keepNext/>
      <w:spacing w:before="80" w:after="80" w:line="280" w:lineRule="atLeast"/>
    </w:pPr>
    <w:rPr>
      <w:rFonts w:ascii="Franklin Gothic Book" w:eastAsia="Times New Roman" w:hAnsi="Franklin Gothic Book" w:cs="Arial"/>
      <w:szCs w:val="19"/>
    </w:rPr>
  </w:style>
  <w:style w:type="paragraph" w:customStyle="1" w:styleId="Note">
    <w:name w:val="Note"/>
    <w:basedOn w:val="TableTextEntries"/>
    <w:next w:val="BodyText"/>
    <w:link w:val="NoteCharChar"/>
    <w:autoRedefine/>
    <w:rsid w:val="006D0BC5"/>
    <w:pPr>
      <w:keepNext/>
      <w:spacing w:before="20" w:after="20" w:line="180" w:lineRule="atLeast"/>
      <w:jc w:val="both"/>
    </w:pPr>
    <w:rPr>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6D0BC5"/>
    <w:rPr>
      <w:rFonts w:ascii="Franklin Gothic Book" w:eastAsia="Times New Roman" w:hAnsi="Franklin Gothic Book" w:cs="Times New Roman"/>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07395B"/>
    <w:pPr>
      <w:jc w:val="left"/>
    </w:pPr>
    <w:rPr>
      <w:b/>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Borders>
        <w:top w:val="single" w:sz="12" w:space="0" w:color="auto"/>
        <w:bottom w:val="single" w:sz="12" w:space="0" w:color="auto"/>
      </w:tblBorders>
    </w:tblPr>
  </w:style>
  <w:style w:type="table" w:customStyle="1" w:styleId="DFATBox">
    <w:name w:val="DFAT Box"/>
    <w:basedOn w:val="TableNormal"/>
    <w:uiPriority w:val="99"/>
    <w:rsid w:val="00AA406C"/>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
    <w:name w:val="List Bullet"/>
    <w:basedOn w:val="BodyText"/>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rsid w:val="009E79EC"/>
    <w:rPr>
      <w:rFonts w:ascii="Helvetica" w:hAnsi="Helvetica"/>
      <w:color w:val="A8A5A8"/>
      <w:sz w:val="14"/>
      <w:szCs w:val="14"/>
    </w:rPr>
  </w:style>
  <w:style w:type="paragraph" w:styleId="TOC1">
    <w:name w:val="toc 1"/>
    <w:basedOn w:val="BodyText"/>
    <w:next w:val="BodyText"/>
    <w:uiPriority w:val="39"/>
    <w:rsid w:val="00F97A5B"/>
    <w:pPr>
      <w:tabs>
        <w:tab w:val="left" w:pos="397"/>
        <w:tab w:val="right" w:pos="7938"/>
      </w:tabs>
      <w:spacing w:before="180" w:after="0"/>
      <w:ind w:left="397" w:right="567" w:hanging="397"/>
    </w:pPr>
    <w:rPr>
      <w:rFonts w:ascii="Helvetica" w:hAnsi="Helvetica"/>
      <w:b/>
      <w:color w:val="1F497D" w:themeColor="text2"/>
      <w:sz w:val="22"/>
    </w:rPr>
  </w:style>
  <w:style w:type="paragraph" w:styleId="TOC2">
    <w:name w:val="toc 2"/>
    <w:basedOn w:val="TOC1"/>
    <w:next w:val="TOC1"/>
    <w:uiPriority w:val="39"/>
    <w:rsid w:val="00F97A5B"/>
    <w:pPr>
      <w:spacing w:before="120" w:line="200" w:lineRule="atLeast"/>
      <w:ind w:left="0" w:firstLine="0"/>
    </w:pPr>
    <w:rPr>
      <w:b w:val="0"/>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uiPriority w:val="39"/>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rsid w:val="009E79EC"/>
    <w:pPr>
      <w:spacing w:line="240" w:lineRule="atLeast"/>
    </w:pPr>
    <w:rPr>
      <w:sz w:val="18"/>
      <w:szCs w:val="18"/>
    </w:rPr>
  </w:style>
  <w:style w:type="character" w:customStyle="1" w:styleId="CommentTextChar">
    <w:name w:val="Comment Text Char"/>
    <w:basedOn w:val="DefaultParagraphFont"/>
    <w:link w:val="CommentText"/>
    <w:rsid w:val="009E79EC"/>
    <w:rPr>
      <w:rFonts w:ascii="Franklin Gothic Book" w:eastAsia="Times New Roman" w:hAnsi="Franklin Gothic Book" w:cs="Times New Roman"/>
      <w:sz w:val="18"/>
      <w:szCs w:val="18"/>
    </w:rPr>
  </w:style>
  <w:style w:type="character" w:styleId="Hyperlink">
    <w:name w:val="Hyperlink"/>
    <w:uiPriority w:val="99"/>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locked/>
    <w:rsid w:val="001171DE"/>
    <w:rPr>
      <w:rFonts w:ascii="Franklin Gothic Book" w:eastAsia="Times New Roman" w:hAnsi="Franklin Gothic Book" w:cs="Arial"/>
      <w:sz w:val="20"/>
      <w:szCs w:val="19"/>
    </w:rPr>
  </w:style>
  <w:style w:type="paragraph" w:styleId="FootnoteText">
    <w:name w:val="footnote text"/>
    <w:aliases w:val="Footnote,12pt,ft,single space,FOOTNOTES,fn,footnote text,Footnote Text Char Char Char Char Char Char Char Char Char Char,Footnote Text Char Char Char Char Char Char Char Char Char Char Char Char,Footnote Text2,ft2,Footnote Text1,f,Geneva 9"/>
    <w:basedOn w:val="BodyText"/>
    <w:link w:val="FootnoteTextChar"/>
    <w:uiPriority w:val="99"/>
    <w:unhideWhenUsed/>
    <w:qFormat/>
    <w:rsid w:val="00DA7CB8"/>
    <w:pPr>
      <w:spacing w:after="0"/>
      <w:contextualSpacing/>
    </w:pPr>
    <w:rPr>
      <w:sz w:val="16"/>
      <w:szCs w:val="20"/>
    </w:rPr>
  </w:style>
  <w:style w:type="character" w:customStyle="1" w:styleId="FootnoteTextChar">
    <w:name w:val="Footnote Text Char"/>
    <w:aliases w:val="Footnote Char,12pt Char,ft Char,single space Char,FOOTNOTES Char,fn Char,footnote text Char,Footnote Text Char Char Char Char Char Char Char Char Char Char Char,Footnote Text2 Char,ft2 Char,Footnote Text1 Char,f Char,Geneva 9 Char"/>
    <w:basedOn w:val="DefaultParagraphFont"/>
    <w:link w:val="FootnoteText"/>
    <w:uiPriority w:val="99"/>
    <w:rsid w:val="00DA7CB8"/>
    <w:rPr>
      <w:rFonts w:ascii="Times New Roman" w:eastAsia="Times New Roman" w:hAnsi="Times New Roman" w:cs="Times New Roman"/>
      <w:sz w:val="16"/>
      <w:szCs w:val="20"/>
    </w:rPr>
  </w:style>
  <w:style w:type="character" w:styleId="FootnoteReference">
    <w:name w:val="footnote reference"/>
    <w:aliases w:val="Normal + Font:9 Point,Superscript 3 Point Times,ftref, Char Char,16 Point,Superscript 6 Point,Footnote text,fr,(NECG) Footnote Reference,Footnote + Arial,10 pt,Black,BVI fnr,Ref,de nota al pie,FnR-ANZDEC,Fußnotenzeichen DISS,SUPERS"/>
    <w:uiPriority w:val="99"/>
    <w:qFormat/>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qFormat/>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aliases w:val="List Paragraph1,Recommendation,List Paragraph11,L,CV text,Table text,F5 List Paragraph,Dot pt,List Paragraph111,Medium Grid 1 - Accent 21,Numbered Paragraph,Bullet List,FooterText,List Paragraph2,Main numbered paragraph,sub-section"/>
    <w:basedOn w:val="BodyText"/>
    <w:link w:val="ListParagraphChar"/>
    <w:uiPriority w:val="34"/>
    <w:qFormat/>
    <w:rsid w:val="00FD7BD8"/>
    <w:pPr>
      <w:numPr>
        <w:numId w:val="18"/>
      </w:numPr>
      <w:spacing w:after="120" w:line="240" w:lineRule="auto"/>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number-2">
    <w:name w:val="List-number-2"/>
    <w:basedOn w:val="Normal"/>
    <w:qFormat/>
    <w:rsid w:val="002B2615"/>
    <w:pPr>
      <w:numPr>
        <w:ilvl w:val="1"/>
        <w:numId w:val="19"/>
      </w:numPr>
      <w:spacing w:before="120"/>
    </w:pPr>
    <w:rPr>
      <w:rFonts w:ascii="Arial" w:eastAsia="Times New Roman" w:hAnsi="Arial"/>
      <w:lang w:eastAsia="en-US"/>
    </w:rPr>
  </w:style>
  <w:style w:type="paragraph" w:customStyle="1" w:styleId="List-number-1">
    <w:name w:val="List-number-1"/>
    <w:basedOn w:val="Normal"/>
    <w:link w:val="List-number-1Char"/>
    <w:qFormat/>
    <w:rsid w:val="002B2615"/>
    <w:pPr>
      <w:numPr>
        <w:numId w:val="19"/>
      </w:numPr>
      <w:spacing w:before="120"/>
    </w:pPr>
    <w:rPr>
      <w:rFonts w:ascii="Arial" w:eastAsia="Times New Roman" w:hAnsi="Arial"/>
      <w:lang w:eastAsia="en-US"/>
    </w:rPr>
  </w:style>
  <w:style w:type="character" w:customStyle="1" w:styleId="List-number-1Char">
    <w:name w:val="List-number-1 Char"/>
    <w:link w:val="List-number-1"/>
    <w:rsid w:val="002B2615"/>
    <w:rPr>
      <w:rFonts w:ascii="Arial" w:eastAsia="Times New Roman" w:hAnsi="Arial" w:cs="Times New Roman"/>
      <w:sz w:val="20"/>
      <w:szCs w:val="24"/>
      <w:lang w:eastAsia="en-US"/>
    </w:rPr>
  </w:style>
  <w:style w:type="paragraph" w:customStyle="1" w:styleId="List-bullet-2">
    <w:name w:val="List-bullet-2"/>
    <w:basedOn w:val="Normal"/>
    <w:link w:val="List-bullet-2Char"/>
    <w:rsid w:val="002B2615"/>
    <w:pPr>
      <w:numPr>
        <w:numId w:val="20"/>
      </w:numPr>
      <w:spacing w:before="80"/>
    </w:pPr>
    <w:rPr>
      <w:rFonts w:ascii="Arial" w:eastAsia="Times New Roman" w:hAnsi="Arial" w:cs="Arial"/>
      <w:szCs w:val="22"/>
      <w:lang w:val="en-US" w:eastAsia="en-US"/>
    </w:rPr>
  </w:style>
  <w:style w:type="character" w:customStyle="1" w:styleId="List-bullet-2Char">
    <w:name w:val="List-bullet-2 Char"/>
    <w:link w:val="List-bullet-2"/>
    <w:rsid w:val="002B2615"/>
    <w:rPr>
      <w:rFonts w:ascii="Arial" w:eastAsia="Times New Roman" w:hAnsi="Arial" w:cs="Arial"/>
      <w:sz w:val="20"/>
      <w:lang w:val="en-US" w:eastAsia="en-US"/>
    </w:rPr>
  </w:style>
  <w:style w:type="paragraph" w:customStyle="1" w:styleId="DocName">
    <w:name w:val="DocName"/>
    <w:basedOn w:val="Normal"/>
    <w:link w:val="DocNameChar"/>
    <w:rsid w:val="002B2615"/>
    <w:pPr>
      <w:jc w:val="center"/>
    </w:pPr>
    <w:rPr>
      <w:rFonts w:ascii="Arial" w:eastAsia="Times New Roman" w:hAnsi="Arial"/>
      <w:b/>
      <w:bCs/>
      <w:sz w:val="28"/>
      <w:lang w:eastAsia="en-US"/>
    </w:rPr>
  </w:style>
  <w:style w:type="paragraph" w:customStyle="1" w:styleId="Heading2numbered">
    <w:name w:val="Heading 2 numbered"/>
    <w:basedOn w:val="Heading2"/>
    <w:next w:val="Normal"/>
    <w:rsid w:val="002B2615"/>
    <w:pPr>
      <w:tabs>
        <w:tab w:val="num" w:pos="357"/>
      </w:tabs>
      <w:spacing w:after="60"/>
      <w:ind w:left="357" w:hanging="357"/>
    </w:pPr>
    <w:rPr>
      <w:rFonts w:ascii="Arial" w:hAnsi="Arial"/>
      <w:b/>
      <w:iCs/>
      <w:color w:val="auto"/>
      <w:kern w:val="0"/>
      <w:sz w:val="26"/>
      <w:szCs w:val="22"/>
    </w:rPr>
  </w:style>
  <w:style w:type="paragraph" w:customStyle="1" w:styleId="Heading3numbered">
    <w:name w:val="Heading 3 numbered"/>
    <w:basedOn w:val="Heading3"/>
    <w:next w:val="Normal"/>
    <w:rsid w:val="002B2615"/>
    <w:pPr>
      <w:keepNext/>
      <w:numPr>
        <w:ilvl w:val="0"/>
      </w:numPr>
      <w:tabs>
        <w:tab w:val="num" w:pos="454"/>
      </w:tabs>
      <w:spacing w:after="60"/>
      <w:ind w:left="454" w:hanging="454"/>
    </w:pPr>
    <w:rPr>
      <w:rFonts w:ascii="Arial" w:hAnsi="Arial" w:cs="Times New Roman"/>
      <w:bCs/>
      <w:i/>
      <w:iCs/>
      <w:color w:val="auto"/>
      <w:kern w:val="0"/>
      <w:szCs w:val="26"/>
      <w:lang w:eastAsia="en-US"/>
    </w:rPr>
  </w:style>
  <w:style w:type="paragraph" w:customStyle="1" w:styleId="List-outline-numbered">
    <w:name w:val="List-outline-numbered"/>
    <w:basedOn w:val="Normal"/>
    <w:rsid w:val="002B2615"/>
    <w:pPr>
      <w:tabs>
        <w:tab w:val="num" w:pos="737"/>
      </w:tabs>
      <w:spacing w:before="120"/>
      <w:ind w:left="737" w:hanging="380"/>
    </w:pPr>
    <w:rPr>
      <w:rFonts w:ascii="Arial" w:eastAsia="Times New Roman" w:hAnsi="Arial"/>
      <w:lang w:eastAsia="en-US"/>
    </w:rPr>
  </w:style>
  <w:style w:type="character" w:customStyle="1" w:styleId="DocNameChar">
    <w:name w:val="DocName Char"/>
    <w:link w:val="DocName"/>
    <w:rsid w:val="002B2615"/>
    <w:rPr>
      <w:rFonts w:ascii="Arial" w:eastAsia="Times New Roman" w:hAnsi="Arial" w:cs="Times New Roman"/>
      <w:b/>
      <w:bCs/>
      <w:sz w:val="28"/>
      <w:szCs w:val="24"/>
      <w:lang w:eastAsia="en-US"/>
    </w:rPr>
  </w:style>
  <w:style w:type="character" w:styleId="PlaceholderText">
    <w:name w:val="Placeholder Text"/>
    <w:basedOn w:val="DefaultParagraphFont"/>
    <w:uiPriority w:val="99"/>
    <w:semiHidden/>
    <w:rsid w:val="002B2615"/>
    <w:rPr>
      <w:color w:val="808080"/>
    </w:rPr>
  </w:style>
  <w:style w:type="paragraph" w:customStyle="1" w:styleId="Default">
    <w:name w:val="Default"/>
    <w:rsid w:val="00957EAA"/>
    <w:pPr>
      <w:autoSpaceDE w:val="0"/>
      <w:autoSpaceDN w:val="0"/>
      <w:adjustRightInd w:val="0"/>
      <w:spacing w:after="0" w:line="240" w:lineRule="auto"/>
    </w:pPr>
    <w:rPr>
      <w:rFonts w:ascii="Times New Roman" w:hAnsi="Times New Roman" w:cs="Times New Roman"/>
      <w:color w:val="000000"/>
      <w:sz w:val="24"/>
      <w:szCs w:val="24"/>
      <w:lang w:val="en-GB" w:eastAsia="en-US"/>
    </w:rPr>
  </w:style>
  <w:style w:type="character" w:customStyle="1" w:styleId="ListParagraphChar">
    <w:name w:val="List Paragraph Char"/>
    <w:aliases w:val="List Paragraph1 Char,Recommendation Char,List Paragraph11 Char,L Char,CV text Char,Table text Char,F5 List Paragraph Char,Dot pt Char,List Paragraph111 Char,Medium Grid 1 - Accent 21 Char,Numbered Paragraph Char,Bullet List Char"/>
    <w:basedOn w:val="DefaultParagraphFont"/>
    <w:link w:val="ListParagraph"/>
    <w:uiPriority w:val="34"/>
    <w:locked/>
    <w:rsid w:val="00957EAA"/>
    <w:rPr>
      <w:rFonts w:ascii="Times New Roman" w:eastAsia="Times New Roman" w:hAnsi="Times New Roman" w:cs="Times New Roman"/>
      <w:szCs w:val="24"/>
    </w:rPr>
  </w:style>
  <w:style w:type="numbering" w:customStyle="1" w:styleId="1stlevelbulleted11pt">
    <w:name w:val="1st level bulleted 11 pt"/>
    <w:basedOn w:val="NoList"/>
    <w:rsid w:val="00957EAA"/>
    <w:pPr>
      <w:numPr>
        <w:numId w:val="25"/>
      </w:numPr>
    </w:pPr>
  </w:style>
  <w:style w:type="table" w:customStyle="1" w:styleId="HRF">
    <w:name w:val="HRF"/>
    <w:basedOn w:val="TableNormal"/>
    <w:rsid w:val="00957EAA"/>
    <w:pPr>
      <w:spacing w:after="0" w:line="240" w:lineRule="auto"/>
    </w:pPr>
    <w:rPr>
      <w:rFonts w:ascii="Arial" w:eastAsia="Times New Roman" w:hAnsi="Arial" w:cs="Times New Roman"/>
      <w:color w:val="000000"/>
      <w:szCs w:val="20"/>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HRFHeading1Numbered">
    <w:name w:val="HRF Heading 1 Numbered"/>
    <w:basedOn w:val="Heading1"/>
    <w:rsid w:val="00957EAA"/>
    <w:pPr>
      <w:numPr>
        <w:numId w:val="27"/>
      </w:numPr>
      <w:spacing w:after="240"/>
      <w:ind w:left="357" w:hanging="357"/>
      <w:jc w:val="both"/>
    </w:pPr>
    <w:rPr>
      <w:rFonts w:ascii="Arial" w:hAnsi="Arial" w:cs="Mangal"/>
      <w:b w:val="0"/>
      <w:bCs/>
      <w:color w:val="1B3A59"/>
      <w:spacing w:val="0"/>
      <w:kern w:val="32"/>
      <w:szCs w:val="32"/>
      <w:lang w:val="en-GB" w:eastAsia="en-GB" w:bidi="hi-IN"/>
    </w:rPr>
  </w:style>
  <w:style w:type="paragraph" w:customStyle="1" w:styleId="HRFHeading2Numbered">
    <w:name w:val="HRF Heading 2 Numbered"/>
    <w:basedOn w:val="Heading1"/>
    <w:rsid w:val="00957EAA"/>
    <w:pPr>
      <w:numPr>
        <w:ilvl w:val="1"/>
        <w:numId w:val="27"/>
      </w:numPr>
      <w:ind w:left="431" w:hanging="431"/>
      <w:jc w:val="both"/>
    </w:pPr>
    <w:rPr>
      <w:rFonts w:ascii="Arial" w:hAnsi="Arial" w:cs="Mangal"/>
      <w:b w:val="0"/>
      <w:bCs/>
      <w:iCs/>
      <w:color w:val="1B3A59"/>
      <w:spacing w:val="0"/>
      <w:kern w:val="32"/>
      <w:szCs w:val="32"/>
      <w:lang w:val="en-GB" w:eastAsia="en-GB" w:bidi="hi-IN"/>
    </w:rPr>
  </w:style>
  <w:style w:type="paragraph" w:customStyle="1" w:styleId="HRFBullet">
    <w:name w:val="HRF Bullet"/>
    <w:basedOn w:val="Normal"/>
    <w:link w:val="HRFBulletChar"/>
    <w:qFormat/>
    <w:rsid w:val="00957EAA"/>
    <w:pPr>
      <w:numPr>
        <w:numId w:val="26"/>
      </w:numPr>
      <w:spacing w:after="120"/>
      <w:jc w:val="both"/>
    </w:pPr>
    <w:rPr>
      <w:rFonts w:ascii="Arial" w:eastAsia="Times New Roman" w:hAnsi="Arial" w:cs="Mangal"/>
      <w:sz w:val="22"/>
      <w:lang w:val="en-GB" w:eastAsia="en-GB" w:bidi="hi-IN"/>
    </w:rPr>
  </w:style>
  <w:style w:type="character" w:customStyle="1" w:styleId="HRFBulletChar">
    <w:name w:val="HRF Bullet Char"/>
    <w:basedOn w:val="DefaultParagraphFont"/>
    <w:link w:val="HRFBullet"/>
    <w:rsid w:val="00957EAA"/>
    <w:rPr>
      <w:rFonts w:ascii="Arial" w:eastAsia="Times New Roman" w:hAnsi="Arial" w:cs="Mangal"/>
      <w:szCs w:val="24"/>
      <w:lang w:val="en-GB" w:eastAsia="en-GB" w:bidi="hi-IN"/>
    </w:rPr>
  </w:style>
  <w:style w:type="paragraph" w:customStyle="1" w:styleId="HRFTable">
    <w:name w:val="HRF Table"/>
    <w:basedOn w:val="Normal"/>
    <w:link w:val="HRFTableChar"/>
    <w:qFormat/>
    <w:rsid w:val="00957EAA"/>
    <w:pPr>
      <w:spacing w:after="120"/>
    </w:pPr>
    <w:rPr>
      <w:rFonts w:ascii="Arial" w:eastAsia="Times New Roman" w:hAnsi="Arial" w:cs="Mangal"/>
      <w:b/>
      <w:sz w:val="22"/>
      <w:lang w:val="en-GB" w:eastAsia="en-GB" w:bidi="hi-IN"/>
    </w:rPr>
  </w:style>
  <w:style w:type="character" w:customStyle="1" w:styleId="HRFTableChar">
    <w:name w:val="HRF Table Char"/>
    <w:basedOn w:val="DefaultParagraphFont"/>
    <w:link w:val="HRFTable"/>
    <w:rsid w:val="00957EAA"/>
    <w:rPr>
      <w:rFonts w:ascii="Arial" w:eastAsia="Times New Roman" w:hAnsi="Arial" w:cs="Mangal"/>
      <w:b/>
      <w:szCs w:val="24"/>
      <w:lang w:val="en-GB" w:eastAsia="en-GB" w:bidi="hi-IN"/>
    </w:rPr>
  </w:style>
  <w:style w:type="table" w:styleId="MediumGrid3-Accent3">
    <w:name w:val="Medium Grid 3 Accent 3"/>
    <w:basedOn w:val="TableNormal"/>
    <w:uiPriority w:val="69"/>
    <w:rsid w:val="006E2889"/>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AfterFirstPara">
    <w:name w:val="AfterFirstPara"/>
    <w:basedOn w:val="Normal"/>
    <w:rsid w:val="00C85E63"/>
    <w:pPr>
      <w:numPr>
        <w:numId w:val="60"/>
      </w:numPr>
      <w:spacing w:before="120" w:after="120"/>
    </w:pPr>
    <w:rPr>
      <w:rFonts w:eastAsia="Times New Roman"/>
      <w:sz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39"/>
    <w:lsdException w:name="toc 9" w:uiPriority="39"/>
    <w:lsdException w:name="footnote text" w:qFormat="1"/>
    <w:lsdException w:name="annotation text" w:uiPriority="0"/>
    <w:lsdException w:name="header" w:uiPriority="0"/>
    <w:lsdException w:name="caption" w:uiPriority="0" w:qFormat="1"/>
    <w:lsdException w:name="table of figures" w:uiPriority="0"/>
    <w:lsdException w:name="footnote reference" w:qFormat="1"/>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qFormat="1"/>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autoRedefine/>
    <w:qFormat/>
    <w:rsid w:val="00F63C34"/>
    <w:pPr>
      <w:keepNext/>
      <w:shd w:val="clear" w:color="auto" w:fill="C6D9F1" w:themeFill="text2" w:themeFillTint="33"/>
      <w:spacing w:before="240" w:after="120"/>
      <w:ind w:left="-340"/>
      <w:outlineLvl w:val="0"/>
    </w:pPr>
    <w:rPr>
      <w:rFonts w:ascii="Franklin Gothic Medium" w:hAnsi="Franklin Gothic Medium" w:cs="Arial"/>
      <w:b/>
      <w:color w:val="auto"/>
      <w:sz w:val="24"/>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6D0BC5"/>
    <w:pPr>
      <w:keepNext w:val="0"/>
      <w:numPr>
        <w:ilvl w:val="2"/>
      </w:numPr>
      <w:spacing w:before="240"/>
      <w:outlineLvl w:val="2"/>
    </w:pPr>
    <w:rPr>
      <w:b/>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val="0"/>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3C34"/>
    <w:rPr>
      <w:rFonts w:ascii="Franklin Gothic Medium" w:eastAsia="Times New Roman" w:hAnsi="Franklin Gothic Medium" w:cs="Arial"/>
      <w:b/>
      <w:spacing w:val="-10"/>
      <w:kern w:val="28"/>
      <w:sz w:val="24"/>
      <w:szCs w:val="28"/>
      <w:shd w:val="clear" w:color="auto" w:fill="C6D9F1" w:themeFill="text2" w:themeFillTint="33"/>
    </w:rPr>
  </w:style>
  <w:style w:type="paragraph" w:styleId="BodyText">
    <w:name w:val="Body Text"/>
    <w:basedOn w:val="Normal"/>
    <w:link w:val="BodyTextChar"/>
    <w:uiPriority w:val="99"/>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uiPriority w:val="99"/>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6D0BC5"/>
    <w:rPr>
      <w:rFonts w:ascii="Helvetica" w:eastAsia="Times New Roman" w:hAnsi="Helvetica" w:cs="Arial"/>
      <w:b/>
      <w:color w:val="124486"/>
      <w:kern w:val="28"/>
      <w:lang w:eastAsia="zh-CN"/>
    </w:rPr>
  </w:style>
  <w:style w:type="character" w:customStyle="1" w:styleId="Heading4Char">
    <w:name w:val="Heading 4 Char"/>
    <w:basedOn w:val="DefaultParagraphFont"/>
    <w:link w:val="Heading4"/>
    <w:rsid w:val="009E79EC"/>
    <w:rPr>
      <w:rFonts w:ascii="Helvetica" w:eastAsia="Times New Roman" w:hAnsi="Helvetica" w:cs="Arial"/>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iPriority w:val="99"/>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uiPriority w:val="99"/>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qFormat/>
    <w:rsid w:val="001171DE"/>
    <w:pPr>
      <w:keepNext/>
      <w:spacing w:before="80" w:after="80" w:line="280" w:lineRule="atLeast"/>
    </w:pPr>
    <w:rPr>
      <w:rFonts w:ascii="Franklin Gothic Book" w:eastAsia="Times New Roman" w:hAnsi="Franklin Gothic Book" w:cs="Arial"/>
      <w:szCs w:val="19"/>
    </w:rPr>
  </w:style>
  <w:style w:type="paragraph" w:customStyle="1" w:styleId="Note">
    <w:name w:val="Note"/>
    <w:basedOn w:val="TableTextEntries"/>
    <w:next w:val="BodyText"/>
    <w:link w:val="NoteCharChar"/>
    <w:autoRedefine/>
    <w:rsid w:val="006D0BC5"/>
    <w:pPr>
      <w:keepNext/>
      <w:spacing w:before="20" w:after="20" w:line="180" w:lineRule="atLeast"/>
      <w:jc w:val="both"/>
    </w:pPr>
    <w:rPr>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6D0BC5"/>
    <w:rPr>
      <w:rFonts w:ascii="Franklin Gothic Book" w:eastAsia="Times New Roman" w:hAnsi="Franklin Gothic Book" w:cs="Times New Roman"/>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07395B"/>
    <w:pPr>
      <w:jc w:val="left"/>
    </w:pPr>
    <w:rPr>
      <w:b/>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Borders>
        <w:top w:val="single" w:sz="12" w:space="0" w:color="auto"/>
        <w:bottom w:val="single" w:sz="12" w:space="0" w:color="auto"/>
      </w:tblBorders>
    </w:tblPr>
  </w:style>
  <w:style w:type="table" w:customStyle="1" w:styleId="DFATBox">
    <w:name w:val="DFAT Box"/>
    <w:basedOn w:val="TableNormal"/>
    <w:uiPriority w:val="99"/>
    <w:rsid w:val="00AA406C"/>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
    <w:name w:val="List Bullet"/>
    <w:basedOn w:val="BodyText"/>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rsid w:val="009E79EC"/>
    <w:rPr>
      <w:rFonts w:ascii="Helvetica" w:hAnsi="Helvetica"/>
      <w:color w:val="A8A5A8"/>
      <w:sz w:val="14"/>
      <w:szCs w:val="14"/>
    </w:rPr>
  </w:style>
  <w:style w:type="paragraph" w:styleId="TOC1">
    <w:name w:val="toc 1"/>
    <w:basedOn w:val="BodyText"/>
    <w:next w:val="BodyText"/>
    <w:uiPriority w:val="39"/>
    <w:rsid w:val="00F97A5B"/>
    <w:pPr>
      <w:tabs>
        <w:tab w:val="left" w:pos="397"/>
        <w:tab w:val="right" w:pos="7938"/>
      </w:tabs>
      <w:spacing w:before="180" w:after="0"/>
      <w:ind w:left="397" w:right="567" w:hanging="397"/>
    </w:pPr>
    <w:rPr>
      <w:rFonts w:ascii="Helvetica" w:hAnsi="Helvetica"/>
      <w:b/>
      <w:color w:val="1F497D" w:themeColor="text2"/>
      <w:sz w:val="22"/>
    </w:rPr>
  </w:style>
  <w:style w:type="paragraph" w:styleId="TOC2">
    <w:name w:val="toc 2"/>
    <w:basedOn w:val="TOC1"/>
    <w:next w:val="TOC1"/>
    <w:uiPriority w:val="39"/>
    <w:rsid w:val="00F97A5B"/>
    <w:pPr>
      <w:spacing w:before="120" w:line="200" w:lineRule="atLeast"/>
      <w:ind w:left="0" w:firstLine="0"/>
    </w:pPr>
    <w:rPr>
      <w:b w:val="0"/>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uiPriority w:val="39"/>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rsid w:val="009E79EC"/>
    <w:pPr>
      <w:spacing w:line="240" w:lineRule="atLeast"/>
    </w:pPr>
    <w:rPr>
      <w:sz w:val="18"/>
      <w:szCs w:val="18"/>
    </w:rPr>
  </w:style>
  <w:style w:type="character" w:customStyle="1" w:styleId="CommentTextChar">
    <w:name w:val="Comment Text Char"/>
    <w:basedOn w:val="DefaultParagraphFont"/>
    <w:link w:val="CommentText"/>
    <w:rsid w:val="009E79EC"/>
    <w:rPr>
      <w:rFonts w:ascii="Franklin Gothic Book" w:eastAsia="Times New Roman" w:hAnsi="Franklin Gothic Book" w:cs="Times New Roman"/>
      <w:sz w:val="18"/>
      <w:szCs w:val="18"/>
    </w:rPr>
  </w:style>
  <w:style w:type="character" w:styleId="Hyperlink">
    <w:name w:val="Hyperlink"/>
    <w:uiPriority w:val="99"/>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locked/>
    <w:rsid w:val="001171DE"/>
    <w:rPr>
      <w:rFonts w:ascii="Franklin Gothic Book" w:eastAsia="Times New Roman" w:hAnsi="Franklin Gothic Book" w:cs="Arial"/>
      <w:sz w:val="20"/>
      <w:szCs w:val="19"/>
    </w:rPr>
  </w:style>
  <w:style w:type="paragraph" w:styleId="FootnoteText">
    <w:name w:val="footnote text"/>
    <w:aliases w:val="Footnote,12pt,ft,single space,FOOTNOTES,fn,footnote text,Footnote Text Char Char Char Char Char Char Char Char Char Char,Footnote Text Char Char Char Char Char Char Char Char Char Char Char Char,Footnote Text2,ft2,Footnote Text1,f,Geneva 9"/>
    <w:basedOn w:val="BodyText"/>
    <w:link w:val="FootnoteTextChar"/>
    <w:uiPriority w:val="99"/>
    <w:unhideWhenUsed/>
    <w:qFormat/>
    <w:rsid w:val="00DA7CB8"/>
    <w:pPr>
      <w:spacing w:after="0"/>
      <w:contextualSpacing/>
    </w:pPr>
    <w:rPr>
      <w:sz w:val="16"/>
      <w:szCs w:val="20"/>
    </w:rPr>
  </w:style>
  <w:style w:type="character" w:customStyle="1" w:styleId="FootnoteTextChar">
    <w:name w:val="Footnote Text Char"/>
    <w:aliases w:val="Footnote Char,12pt Char,ft Char,single space Char,FOOTNOTES Char,fn Char,footnote text Char,Footnote Text Char Char Char Char Char Char Char Char Char Char Char,Footnote Text2 Char,ft2 Char,Footnote Text1 Char,f Char,Geneva 9 Char"/>
    <w:basedOn w:val="DefaultParagraphFont"/>
    <w:link w:val="FootnoteText"/>
    <w:uiPriority w:val="99"/>
    <w:rsid w:val="00DA7CB8"/>
    <w:rPr>
      <w:rFonts w:ascii="Times New Roman" w:eastAsia="Times New Roman" w:hAnsi="Times New Roman" w:cs="Times New Roman"/>
      <w:sz w:val="16"/>
      <w:szCs w:val="20"/>
    </w:rPr>
  </w:style>
  <w:style w:type="character" w:styleId="FootnoteReference">
    <w:name w:val="footnote reference"/>
    <w:aliases w:val="Normal + Font:9 Point,Superscript 3 Point Times,ftref, Char Char,16 Point,Superscript 6 Point,Footnote text,fr,(NECG) Footnote Reference,Footnote + Arial,10 pt,Black,BVI fnr,Ref,de nota al pie,FnR-ANZDEC,Fußnotenzeichen DISS,SUPERS"/>
    <w:uiPriority w:val="99"/>
    <w:qFormat/>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qFormat/>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aliases w:val="List Paragraph1,Recommendation,List Paragraph11,L,CV text,Table text,F5 List Paragraph,Dot pt,List Paragraph111,Medium Grid 1 - Accent 21,Numbered Paragraph,Bullet List,FooterText,List Paragraph2,Main numbered paragraph,sub-section"/>
    <w:basedOn w:val="BodyText"/>
    <w:link w:val="ListParagraphChar"/>
    <w:uiPriority w:val="34"/>
    <w:qFormat/>
    <w:rsid w:val="00FD7BD8"/>
    <w:pPr>
      <w:numPr>
        <w:numId w:val="18"/>
      </w:numPr>
      <w:spacing w:after="120" w:line="240" w:lineRule="auto"/>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number-2">
    <w:name w:val="List-number-2"/>
    <w:basedOn w:val="Normal"/>
    <w:qFormat/>
    <w:rsid w:val="002B2615"/>
    <w:pPr>
      <w:numPr>
        <w:ilvl w:val="1"/>
        <w:numId w:val="19"/>
      </w:numPr>
      <w:spacing w:before="120"/>
    </w:pPr>
    <w:rPr>
      <w:rFonts w:ascii="Arial" w:eastAsia="Times New Roman" w:hAnsi="Arial"/>
      <w:lang w:eastAsia="en-US"/>
    </w:rPr>
  </w:style>
  <w:style w:type="paragraph" w:customStyle="1" w:styleId="List-number-1">
    <w:name w:val="List-number-1"/>
    <w:basedOn w:val="Normal"/>
    <w:link w:val="List-number-1Char"/>
    <w:qFormat/>
    <w:rsid w:val="002B2615"/>
    <w:pPr>
      <w:numPr>
        <w:numId w:val="19"/>
      </w:numPr>
      <w:spacing w:before="120"/>
    </w:pPr>
    <w:rPr>
      <w:rFonts w:ascii="Arial" w:eastAsia="Times New Roman" w:hAnsi="Arial"/>
      <w:lang w:eastAsia="en-US"/>
    </w:rPr>
  </w:style>
  <w:style w:type="character" w:customStyle="1" w:styleId="List-number-1Char">
    <w:name w:val="List-number-1 Char"/>
    <w:link w:val="List-number-1"/>
    <w:rsid w:val="002B2615"/>
    <w:rPr>
      <w:rFonts w:ascii="Arial" w:eastAsia="Times New Roman" w:hAnsi="Arial" w:cs="Times New Roman"/>
      <w:sz w:val="20"/>
      <w:szCs w:val="24"/>
      <w:lang w:eastAsia="en-US"/>
    </w:rPr>
  </w:style>
  <w:style w:type="paragraph" w:customStyle="1" w:styleId="List-bullet-2">
    <w:name w:val="List-bullet-2"/>
    <w:basedOn w:val="Normal"/>
    <w:link w:val="List-bullet-2Char"/>
    <w:rsid w:val="002B2615"/>
    <w:pPr>
      <w:numPr>
        <w:numId w:val="20"/>
      </w:numPr>
      <w:spacing w:before="80"/>
    </w:pPr>
    <w:rPr>
      <w:rFonts w:ascii="Arial" w:eastAsia="Times New Roman" w:hAnsi="Arial" w:cs="Arial"/>
      <w:szCs w:val="22"/>
      <w:lang w:val="en-US" w:eastAsia="en-US"/>
    </w:rPr>
  </w:style>
  <w:style w:type="character" w:customStyle="1" w:styleId="List-bullet-2Char">
    <w:name w:val="List-bullet-2 Char"/>
    <w:link w:val="List-bullet-2"/>
    <w:rsid w:val="002B2615"/>
    <w:rPr>
      <w:rFonts w:ascii="Arial" w:eastAsia="Times New Roman" w:hAnsi="Arial" w:cs="Arial"/>
      <w:sz w:val="20"/>
      <w:lang w:val="en-US" w:eastAsia="en-US"/>
    </w:rPr>
  </w:style>
  <w:style w:type="paragraph" w:customStyle="1" w:styleId="DocName">
    <w:name w:val="DocName"/>
    <w:basedOn w:val="Normal"/>
    <w:link w:val="DocNameChar"/>
    <w:rsid w:val="002B2615"/>
    <w:pPr>
      <w:jc w:val="center"/>
    </w:pPr>
    <w:rPr>
      <w:rFonts w:ascii="Arial" w:eastAsia="Times New Roman" w:hAnsi="Arial"/>
      <w:b/>
      <w:bCs/>
      <w:sz w:val="28"/>
      <w:lang w:eastAsia="en-US"/>
    </w:rPr>
  </w:style>
  <w:style w:type="paragraph" w:customStyle="1" w:styleId="Heading2numbered">
    <w:name w:val="Heading 2 numbered"/>
    <w:basedOn w:val="Heading2"/>
    <w:next w:val="Normal"/>
    <w:rsid w:val="002B2615"/>
    <w:pPr>
      <w:tabs>
        <w:tab w:val="num" w:pos="357"/>
      </w:tabs>
      <w:spacing w:after="60"/>
      <w:ind w:left="357" w:hanging="357"/>
    </w:pPr>
    <w:rPr>
      <w:rFonts w:ascii="Arial" w:hAnsi="Arial"/>
      <w:b/>
      <w:iCs/>
      <w:color w:val="auto"/>
      <w:kern w:val="0"/>
      <w:sz w:val="26"/>
      <w:szCs w:val="22"/>
    </w:rPr>
  </w:style>
  <w:style w:type="paragraph" w:customStyle="1" w:styleId="Heading3numbered">
    <w:name w:val="Heading 3 numbered"/>
    <w:basedOn w:val="Heading3"/>
    <w:next w:val="Normal"/>
    <w:rsid w:val="002B2615"/>
    <w:pPr>
      <w:keepNext/>
      <w:numPr>
        <w:ilvl w:val="0"/>
      </w:numPr>
      <w:tabs>
        <w:tab w:val="num" w:pos="454"/>
      </w:tabs>
      <w:spacing w:after="60"/>
      <w:ind w:left="454" w:hanging="454"/>
    </w:pPr>
    <w:rPr>
      <w:rFonts w:ascii="Arial" w:hAnsi="Arial" w:cs="Times New Roman"/>
      <w:bCs/>
      <w:i/>
      <w:iCs/>
      <w:color w:val="auto"/>
      <w:kern w:val="0"/>
      <w:szCs w:val="26"/>
      <w:lang w:eastAsia="en-US"/>
    </w:rPr>
  </w:style>
  <w:style w:type="paragraph" w:customStyle="1" w:styleId="List-outline-numbered">
    <w:name w:val="List-outline-numbered"/>
    <w:basedOn w:val="Normal"/>
    <w:rsid w:val="002B2615"/>
    <w:pPr>
      <w:tabs>
        <w:tab w:val="num" w:pos="737"/>
      </w:tabs>
      <w:spacing w:before="120"/>
      <w:ind w:left="737" w:hanging="380"/>
    </w:pPr>
    <w:rPr>
      <w:rFonts w:ascii="Arial" w:eastAsia="Times New Roman" w:hAnsi="Arial"/>
      <w:lang w:eastAsia="en-US"/>
    </w:rPr>
  </w:style>
  <w:style w:type="character" w:customStyle="1" w:styleId="DocNameChar">
    <w:name w:val="DocName Char"/>
    <w:link w:val="DocName"/>
    <w:rsid w:val="002B2615"/>
    <w:rPr>
      <w:rFonts w:ascii="Arial" w:eastAsia="Times New Roman" w:hAnsi="Arial" w:cs="Times New Roman"/>
      <w:b/>
      <w:bCs/>
      <w:sz w:val="28"/>
      <w:szCs w:val="24"/>
      <w:lang w:eastAsia="en-US"/>
    </w:rPr>
  </w:style>
  <w:style w:type="character" w:styleId="PlaceholderText">
    <w:name w:val="Placeholder Text"/>
    <w:basedOn w:val="DefaultParagraphFont"/>
    <w:uiPriority w:val="99"/>
    <w:semiHidden/>
    <w:rsid w:val="002B2615"/>
    <w:rPr>
      <w:color w:val="808080"/>
    </w:rPr>
  </w:style>
  <w:style w:type="paragraph" w:customStyle="1" w:styleId="Default">
    <w:name w:val="Default"/>
    <w:rsid w:val="00957EAA"/>
    <w:pPr>
      <w:autoSpaceDE w:val="0"/>
      <w:autoSpaceDN w:val="0"/>
      <w:adjustRightInd w:val="0"/>
      <w:spacing w:after="0" w:line="240" w:lineRule="auto"/>
    </w:pPr>
    <w:rPr>
      <w:rFonts w:ascii="Times New Roman" w:hAnsi="Times New Roman" w:cs="Times New Roman"/>
      <w:color w:val="000000"/>
      <w:sz w:val="24"/>
      <w:szCs w:val="24"/>
      <w:lang w:val="en-GB" w:eastAsia="en-US"/>
    </w:rPr>
  </w:style>
  <w:style w:type="character" w:customStyle="1" w:styleId="ListParagraphChar">
    <w:name w:val="List Paragraph Char"/>
    <w:aliases w:val="List Paragraph1 Char,Recommendation Char,List Paragraph11 Char,L Char,CV text Char,Table text Char,F5 List Paragraph Char,Dot pt Char,List Paragraph111 Char,Medium Grid 1 - Accent 21 Char,Numbered Paragraph Char,Bullet List Char"/>
    <w:basedOn w:val="DefaultParagraphFont"/>
    <w:link w:val="ListParagraph"/>
    <w:uiPriority w:val="34"/>
    <w:locked/>
    <w:rsid w:val="00957EAA"/>
    <w:rPr>
      <w:rFonts w:ascii="Times New Roman" w:eastAsia="Times New Roman" w:hAnsi="Times New Roman" w:cs="Times New Roman"/>
      <w:szCs w:val="24"/>
    </w:rPr>
  </w:style>
  <w:style w:type="numbering" w:customStyle="1" w:styleId="1stlevelbulleted11pt">
    <w:name w:val="1st level bulleted 11 pt"/>
    <w:basedOn w:val="NoList"/>
    <w:rsid w:val="00957EAA"/>
    <w:pPr>
      <w:numPr>
        <w:numId w:val="25"/>
      </w:numPr>
    </w:pPr>
  </w:style>
  <w:style w:type="table" w:customStyle="1" w:styleId="HRF">
    <w:name w:val="HRF"/>
    <w:basedOn w:val="TableNormal"/>
    <w:rsid w:val="00957EAA"/>
    <w:pPr>
      <w:spacing w:after="0" w:line="240" w:lineRule="auto"/>
    </w:pPr>
    <w:rPr>
      <w:rFonts w:ascii="Arial" w:eastAsia="Times New Roman" w:hAnsi="Arial" w:cs="Times New Roman"/>
      <w:color w:val="000000"/>
      <w:szCs w:val="20"/>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HRFHeading1Numbered">
    <w:name w:val="HRF Heading 1 Numbered"/>
    <w:basedOn w:val="Heading1"/>
    <w:rsid w:val="00957EAA"/>
    <w:pPr>
      <w:numPr>
        <w:numId w:val="27"/>
      </w:numPr>
      <w:spacing w:after="240"/>
      <w:ind w:left="357" w:hanging="357"/>
      <w:jc w:val="both"/>
    </w:pPr>
    <w:rPr>
      <w:rFonts w:ascii="Arial" w:hAnsi="Arial" w:cs="Mangal"/>
      <w:b w:val="0"/>
      <w:bCs/>
      <w:color w:val="1B3A59"/>
      <w:spacing w:val="0"/>
      <w:kern w:val="32"/>
      <w:szCs w:val="32"/>
      <w:lang w:val="en-GB" w:eastAsia="en-GB" w:bidi="hi-IN"/>
    </w:rPr>
  </w:style>
  <w:style w:type="paragraph" w:customStyle="1" w:styleId="HRFHeading2Numbered">
    <w:name w:val="HRF Heading 2 Numbered"/>
    <w:basedOn w:val="Heading1"/>
    <w:rsid w:val="00957EAA"/>
    <w:pPr>
      <w:numPr>
        <w:ilvl w:val="1"/>
        <w:numId w:val="27"/>
      </w:numPr>
      <w:ind w:left="431" w:hanging="431"/>
      <w:jc w:val="both"/>
    </w:pPr>
    <w:rPr>
      <w:rFonts w:ascii="Arial" w:hAnsi="Arial" w:cs="Mangal"/>
      <w:b w:val="0"/>
      <w:bCs/>
      <w:iCs/>
      <w:color w:val="1B3A59"/>
      <w:spacing w:val="0"/>
      <w:kern w:val="32"/>
      <w:szCs w:val="32"/>
      <w:lang w:val="en-GB" w:eastAsia="en-GB" w:bidi="hi-IN"/>
    </w:rPr>
  </w:style>
  <w:style w:type="paragraph" w:customStyle="1" w:styleId="HRFBullet">
    <w:name w:val="HRF Bullet"/>
    <w:basedOn w:val="Normal"/>
    <w:link w:val="HRFBulletChar"/>
    <w:qFormat/>
    <w:rsid w:val="00957EAA"/>
    <w:pPr>
      <w:numPr>
        <w:numId w:val="26"/>
      </w:numPr>
      <w:spacing w:after="120"/>
      <w:jc w:val="both"/>
    </w:pPr>
    <w:rPr>
      <w:rFonts w:ascii="Arial" w:eastAsia="Times New Roman" w:hAnsi="Arial" w:cs="Mangal"/>
      <w:sz w:val="22"/>
      <w:lang w:val="en-GB" w:eastAsia="en-GB" w:bidi="hi-IN"/>
    </w:rPr>
  </w:style>
  <w:style w:type="character" w:customStyle="1" w:styleId="HRFBulletChar">
    <w:name w:val="HRF Bullet Char"/>
    <w:basedOn w:val="DefaultParagraphFont"/>
    <w:link w:val="HRFBullet"/>
    <w:rsid w:val="00957EAA"/>
    <w:rPr>
      <w:rFonts w:ascii="Arial" w:eastAsia="Times New Roman" w:hAnsi="Arial" w:cs="Mangal"/>
      <w:szCs w:val="24"/>
      <w:lang w:val="en-GB" w:eastAsia="en-GB" w:bidi="hi-IN"/>
    </w:rPr>
  </w:style>
  <w:style w:type="paragraph" w:customStyle="1" w:styleId="HRFTable">
    <w:name w:val="HRF Table"/>
    <w:basedOn w:val="Normal"/>
    <w:link w:val="HRFTableChar"/>
    <w:qFormat/>
    <w:rsid w:val="00957EAA"/>
    <w:pPr>
      <w:spacing w:after="120"/>
    </w:pPr>
    <w:rPr>
      <w:rFonts w:ascii="Arial" w:eastAsia="Times New Roman" w:hAnsi="Arial" w:cs="Mangal"/>
      <w:b/>
      <w:sz w:val="22"/>
      <w:lang w:val="en-GB" w:eastAsia="en-GB" w:bidi="hi-IN"/>
    </w:rPr>
  </w:style>
  <w:style w:type="character" w:customStyle="1" w:styleId="HRFTableChar">
    <w:name w:val="HRF Table Char"/>
    <w:basedOn w:val="DefaultParagraphFont"/>
    <w:link w:val="HRFTable"/>
    <w:rsid w:val="00957EAA"/>
    <w:rPr>
      <w:rFonts w:ascii="Arial" w:eastAsia="Times New Roman" w:hAnsi="Arial" w:cs="Mangal"/>
      <w:b/>
      <w:szCs w:val="24"/>
      <w:lang w:val="en-GB" w:eastAsia="en-GB" w:bidi="hi-IN"/>
    </w:rPr>
  </w:style>
  <w:style w:type="table" w:styleId="MediumGrid3-Accent3">
    <w:name w:val="Medium Grid 3 Accent 3"/>
    <w:basedOn w:val="TableNormal"/>
    <w:uiPriority w:val="69"/>
    <w:rsid w:val="006E2889"/>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AfterFirstPara">
    <w:name w:val="AfterFirstPara"/>
    <w:basedOn w:val="Normal"/>
    <w:rsid w:val="00C85E63"/>
    <w:pPr>
      <w:numPr>
        <w:numId w:val="60"/>
      </w:numPr>
      <w:spacing w:before="120" w:after="120"/>
    </w:pPr>
    <w:rPr>
      <w:rFonts w:eastAsia="Times New Roman"/>
      <w:sz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3616">
      <w:bodyDiv w:val="1"/>
      <w:marLeft w:val="0"/>
      <w:marRight w:val="0"/>
      <w:marTop w:val="0"/>
      <w:marBottom w:val="0"/>
      <w:divBdr>
        <w:top w:val="none" w:sz="0" w:space="0" w:color="auto"/>
        <w:left w:val="none" w:sz="0" w:space="0" w:color="auto"/>
        <w:bottom w:val="none" w:sz="0" w:space="0" w:color="auto"/>
        <w:right w:val="none" w:sz="0" w:space="0" w:color="auto"/>
      </w:divBdr>
    </w:div>
    <w:div w:id="170800594">
      <w:bodyDiv w:val="1"/>
      <w:marLeft w:val="0"/>
      <w:marRight w:val="0"/>
      <w:marTop w:val="0"/>
      <w:marBottom w:val="0"/>
      <w:divBdr>
        <w:top w:val="none" w:sz="0" w:space="0" w:color="auto"/>
        <w:left w:val="none" w:sz="0" w:space="0" w:color="auto"/>
        <w:bottom w:val="none" w:sz="0" w:space="0" w:color="auto"/>
        <w:right w:val="none" w:sz="0" w:space="0" w:color="auto"/>
      </w:divBdr>
      <w:divsChild>
        <w:div w:id="1849826520">
          <w:marLeft w:val="0"/>
          <w:marRight w:val="0"/>
          <w:marTop w:val="0"/>
          <w:marBottom w:val="0"/>
          <w:divBdr>
            <w:top w:val="none" w:sz="0" w:space="0" w:color="auto"/>
            <w:left w:val="none" w:sz="0" w:space="0" w:color="auto"/>
            <w:bottom w:val="none" w:sz="0" w:space="0" w:color="auto"/>
            <w:right w:val="none" w:sz="0" w:space="0" w:color="auto"/>
          </w:divBdr>
        </w:div>
      </w:divsChild>
    </w:div>
    <w:div w:id="404449519">
      <w:bodyDiv w:val="1"/>
      <w:marLeft w:val="0"/>
      <w:marRight w:val="0"/>
      <w:marTop w:val="0"/>
      <w:marBottom w:val="0"/>
      <w:divBdr>
        <w:top w:val="none" w:sz="0" w:space="0" w:color="auto"/>
        <w:left w:val="none" w:sz="0" w:space="0" w:color="auto"/>
        <w:bottom w:val="none" w:sz="0" w:space="0" w:color="auto"/>
        <w:right w:val="none" w:sz="0" w:space="0" w:color="auto"/>
      </w:divBdr>
    </w:div>
    <w:div w:id="418449527">
      <w:bodyDiv w:val="1"/>
      <w:marLeft w:val="0"/>
      <w:marRight w:val="0"/>
      <w:marTop w:val="0"/>
      <w:marBottom w:val="0"/>
      <w:divBdr>
        <w:top w:val="none" w:sz="0" w:space="0" w:color="auto"/>
        <w:left w:val="none" w:sz="0" w:space="0" w:color="auto"/>
        <w:bottom w:val="none" w:sz="0" w:space="0" w:color="auto"/>
        <w:right w:val="none" w:sz="0" w:space="0" w:color="auto"/>
      </w:divBdr>
    </w:div>
    <w:div w:id="632560476">
      <w:bodyDiv w:val="1"/>
      <w:marLeft w:val="0"/>
      <w:marRight w:val="0"/>
      <w:marTop w:val="0"/>
      <w:marBottom w:val="0"/>
      <w:divBdr>
        <w:top w:val="none" w:sz="0" w:space="0" w:color="auto"/>
        <w:left w:val="none" w:sz="0" w:space="0" w:color="auto"/>
        <w:bottom w:val="none" w:sz="0" w:space="0" w:color="auto"/>
        <w:right w:val="none" w:sz="0" w:space="0" w:color="auto"/>
      </w:divBdr>
    </w:div>
    <w:div w:id="654340721">
      <w:bodyDiv w:val="1"/>
      <w:marLeft w:val="0"/>
      <w:marRight w:val="0"/>
      <w:marTop w:val="0"/>
      <w:marBottom w:val="0"/>
      <w:divBdr>
        <w:top w:val="none" w:sz="0" w:space="0" w:color="auto"/>
        <w:left w:val="none" w:sz="0" w:space="0" w:color="auto"/>
        <w:bottom w:val="none" w:sz="0" w:space="0" w:color="auto"/>
        <w:right w:val="none" w:sz="0" w:space="0" w:color="auto"/>
      </w:divBdr>
    </w:div>
    <w:div w:id="790975192">
      <w:bodyDiv w:val="1"/>
      <w:marLeft w:val="0"/>
      <w:marRight w:val="0"/>
      <w:marTop w:val="0"/>
      <w:marBottom w:val="0"/>
      <w:divBdr>
        <w:top w:val="none" w:sz="0" w:space="0" w:color="auto"/>
        <w:left w:val="none" w:sz="0" w:space="0" w:color="auto"/>
        <w:bottom w:val="none" w:sz="0" w:space="0" w:color="auto"/>
        <w:right w:val="none" w:sz="0" w:space="0" w:color="auto"/>
      </w:divBdr>
    </w:div>
    <w:div w:id="849375196">
      <w:bodyDiv w:val="1"/>
      <w:marLeft w:val="0"/>
      <w:marRight w:val="0"/>
      <w:marTop w:val="0"/>
      <w:marBottom w:val="0"/>
      <w:divBdr>
        <w:top w:val="none" w:sz="0" w:space="0" w:color="auto"/>
        <w:left w:val="none" w:sz="0" w:space="0" w:color="auto"/>
        <w:bottom w:val="none" w:sz="0" w:space="0" w:color="auto"/>
        <w:right w:val="none" w:sz="0" w:space="0" w:color="auto"/>
      </w:divBdr>
      <w:divsChild>
        <w:div w:id="958099486">
          <w:marLeft w:val="0"/>
          <w:marRight w:val="0"/>
          <w:marTop w:val="0"/>
          <w:marBottom w:val="0"/>
          <w:divBdr>
            <w:top w:val="none" w:sz="0" w:space="0" w:color="auto"/>
            <w:left w:val="none" w:sz="0" w:space="0" w:color="auto"/>
            <w:bottom w:val="none" w:sz="0" w:space="0" w:color="auto"/>
            <w:right w:val="none" w:sz="0" w:space="0" w:color="auto"/>
          </w:divBdr>
        </w:div>
        <w:div w:id="1610623587">
          <w:marLeft w:val="0"/>
          <w:marRight w:val="0"/>
          <w:marTop w:val="0"/>
          <w:marBottom w:val="0"/>
          <w:divBdr>
            <w:top w:val="none" w:sz="0" w:space="0" w:color="auto"/>
            <w:left w:val="none" w:sz="0" w:space="0" w:color="auto"/>
            <w:bottom w:val="none" w:sz="0" w:space="0" w:color="auto"/>
            <w:right w:val="none" w:sz="0" w:space="0" w:color="auto"/>
          </w:divBdr>
        </w:div>
      </w:divsChild>
    </w:div>
    <w:div w:id="869995118">
      <w:bodyDiv w:val="1"/>
      <w:marLeft w:val="0"/>
      <w:marRight w:val="0"/>
      <w:marTop w:val="0"/>
      <w:marBottom w:val="0"/>
      <w:divBdr>
        <w:top w:val="none" w:sz="0" w:space="0" w:color="auto"/>
        <w:left w:val="none" w:sz="0" w:space="0" w:color="auto"/>
        <w:bottom w:val="none" w:sz="0" w:space="0" w:color="auto"/>
        <w:right w:val="none" w:sz="0" w:space="0" w:color="auto"/>
      </w:divBdr>
    </w:div>
    <w:div w:id="906887770">
      <w:bodyDiv w:val="1"/>
      <w:marLeft w:val="0"/>
      <w:marRight w:val="0"/>
      <w:marTop w:val="0"/>
      <w:marBottom w:val="0"/>
      <w:divBdr>
        <w:top w:val="none" w:sz="0" w:space="0" w:color="auto"/>
        <w:left w:val="none" w:sz="0" w:space="0" w:color="auto"/>
        <w:bottom w:val="none" w:sz="0" w:space="0" w:color="auto"/>
        <w:right w:val="none" w:sz="0" w:space="0" w:color="auto"/>
      </w:divBdr>
      <w:divsChild>
        <w:div w:id="1687058485">
          <w:marLeft w:val="0"/>
          <w:marRight w:val="0"/>
          <w:marTop w:val="0"/>
          <w:marBottom w:val="0"/>
          <w:divBdr>
            <w:top w:val="none" w:sz="0" w:space="0" w:color="auto"/>
            <w:left w:val="none" w:sz="0" w:space="0" w:color="auto"/>
            <w:bottom w:val="none" w:sz="0" w:space="0" w:color="auto"/>
            <w:right w:val="none" w:sz="0" w:space="0" w:color="auto"/>
          </w:divBdr>
          <w:divsChild>
            <w:div w:id="1750345560">
              <w:marLeft w:val="0"/>
              <w:marRight w:val="0"/>
              <w:marTop w:val="0"/>
              <w:marBottom w:val="0"/>
              <w:divBdr>
                <w:top w:val="none" w:sz="0" w:space="0" w:color="auto"/>
                <w:left w:val="none" w:sz="0" w:space="0" w:color="auto"/>
                <w:bottom w:val="none" w:sz="0" w:space="0" w:color="auto"/>
                <w:right w:val="none" w:sz="0" w:space="0" w:color="auto"/>
              </w:divBdr>
              <w:divsChild>
                <w:div w:id="987590386">
                  <w:marLeft w:val="0"/>
                  <w:marRight w:val="0"/>
                  <w:marTop w:val="0"/>
                  <w:marBottom w:val="0"/>
                  <w:divBdr>
                    <w:top w:val="none" w:sz="0" w:space="0" w:color="auto"/>
                    <w:left w:val="none" w:sz="0" w:space="0" w:color="auto"/>
                    <w:bottom w:val="none" w:sz="0" w:space="0" w:color="auto"/>
                    <w:right w:val="none" w:sz="0" w:space="0" w:color="auto"/>
                  </w:divBdr>
                  <w:divsChild>
                    <w:div w:id="1207717354">
                      <w:marLeft w:val="2325"/>
                      <w:marRight w:val="0"/>
                      <w:marTop w:val="0"/>
                      <w:marBottom w:val="0"/>
                      <w:divBdr>
                        <w:top w:val="none" w:sz="0" w:space="0" w:color="auto"/>
                        <w:left w:val="none" w:sz="0" w:space="0" w:color="auto"/>
                        <w:bottom w:val="none" w:sz="0" w:space="0" w:color="auto"/>
                        <w:right w:val="none" w:sz="0" w:space="0" w:color="auto"/>
                      </w:divBdr>
                      <w:divsChild>
                        <w:div w:id="397361162">
                          <w:marLeft w:val="0"/>
                          <w:marRight w:val="0"/>
                          <w:marTop w:val="0"/>
                          <w:marBottom w:val="0"/>
                          <w:divBdr>
                            <w:top w:val="none" w:sz="0" w:space="0" w:color="auto"/>
                            <w:left w:val="none" w:sz="0" w:space="0" w:color="auto"/>
                            <w:bottom w:val="none" w:sz="0" w:space="0" w:color="auto"/>
                            <w:right w:val="none" w:sz="0" w:space="0" w:color="auto"/>
                          </w:divBdr>
                          <w:divsChild>
                            <w:div w:id="1968852841">
                              <w:marLeft w:val="0"/>
                              <w:marRight w:val="0"/>
                              <w:marTop w:val="0"/>
                              <w:marBottom w:val="0"/>
                              <w:divBdr>
                                <w:top w:val="none" w:sz="0" w:space="0" w:color="auto"/>
                                <w:left w:val="none" w:sz="0" w:space="0" w:color="auto"/>
                                <w:bottom w:val="none" w:sz="0" w:space="0" w:color="auto"/>
                                <w:right w:val="none" w:sz="0" w:space="0" w:color="auto"/>
                              </w:divBdr>
                              <w:divsChild>
                                <w:div w:id="519928029">
                                  <w:marLeft w:val="0"/>
                                  <w:marRight w:val="0"/>
                                  <w:marTop w:val="0"/>
                                  <w:marBottom w:val="0"/>
                                  <w:divBdr>
                                    <w:top w:val="none" w:sz="0" w:space="0" w:color="auto"/>
                                    <w:left w:val="none" w:sz="0" w:space="0" w:color="auto"/>
                                    <w:bottom w:val="none" w:sz="0" w:space="0" w:color="auto"/>
                                    <w:right w:val="none" w:sz="0" w:space="0" w:color="auto"/>
                                  </w:divBdr>
                                  <w:divsChild>
                                    <w:div w:id="419180244">
                                      <w:marLeft w:val="0"/>
                                      <w:marRight w:val="0"/>
                                      <w:marTop w:val="0"/>
                                      <w:marBottom w:val="0"/>
                                      <w:divBdr>
                                        <w:top w:val="none" w:sz="0" w:space="0" w:color="auto"/>
                                        <w:left w:val="none" w:sz="0" w:space="0" w:color="auto"/>
                                        <w:bottom w:val="none" w:sz="0" w:space="0" w:color="auto"/>
                                        <w:right w:val="none" w:sz="0" w:space="0" w:color="auto"/>
                                      </w:divBdr>
                                      <w:divsChild>
                                        <w:div w:id="846676688">
                                          <w:marLeft w:val="0"/>
                                          <w:marRight w:val="0"/>
                                          <w:marTop w:val="0"/>
                                          <w:marBottom w:val="0"/>
                                          <w:divBdr>
                                            <w:top w:val="none" w:sz="0" w:space="0" w:color="auto"/>
                                            <w:left w:val="none" w:sz="0" w:space="0" w:color="auto"/>
                                            <w:bottom w:val="none" w:sz="0" w:space="0" w:color="auto"/>
                                            <w:right w:val="none" w:sz="0" w:space="0" w:color="auto"/>
                                          </w:divBdr>
                                          <w:divsChild>
                                            <w:div w:id="1963998040">
                                              <w:marLeft w:val="0"/>
                                              <w:marRight w:val="0"/>
                                              <w:marTop w:val="0"/>
                                              <w:marBottom w:val="0"/>
                                              <w:divBdr>
                                                <w:top w:val="none" w:sz="0" w:space="0" w:color="auto"/>
                                                <w:left w:val="none" w:sz="0" w:space="0" w:color="auto"/>
                                                <w:bottom w:val="none" w:sz="0" w:space="0" w:color="auto"/>
                                                <w:right w:val="none" w:sz="0" w:space="0" w:color="auto"/>
                                              </w:divBdr>
                                              <w:divsChild>
                                                <w:div w:id="260185647">
                                                  <w:marLeft w:val="0"/>
                                                  <w:marRight w:val="0"/>
                                                  <w:marTop w:val="0"/>
                                                  <w:marBottom w:val="0"/>
                                                  <w:divBdr>
                                                    <w:top w:val="none" w:sz="0" w:space="0" w:color="auto"/>
                                                    <w:left w:val="none" w:sz="0" w:space="0" w:color="auto"/>
                                                    <w:bottom w:val="none" w:sz="0" w:space="0" w:color="auto"/>
                                                    <w:right w:val="none" w:sz="0" w:space="0" w:color="auto"/>
                                                  </w:divBdr>
                                                  <w:divsChild>
                                                    <w:div w:id="1983389395">
                                                      <w:marLeft w:val="0"/>
                                                      <w:marRight w:val="0"/>
                                                      <w:marTop w:val="0"/>
                                                      <w:marBottom w:val="0"/>
                                                      <w:divBdr>
                                                        <w:top w:val="none" w:sz="0" w:space="0" w:color="auto"/>
                                                        <w:left w:val="none" w:sz="0" w:space="0" w:color="auto"/>
                                                        <w:bottom w:val="none" w:sz="0" w:space="0" w:color="auto"/>
                                                        <w:right w:val="none" w:sz="0" w:space="0" w:color="auto"/>
                                                      </w:divBdr>
                                                      <w:divsChild>
                                                        <w:div w:id="1875917744">
                                                          <w:marLeft w:val="0"/>
                                                          <w:marRight w:val="0"/>
                                                          <w:marTop w:val="15"/>
                                                          <w:marBottom w:val="15"/>
                                                          <w:divBdr>
                                                            <w:top w:val="none" w:sz="0" w:space="0" w:color="auto"/>
                                                            <w:left w:val="none" w:sz="0" w:space="0" w:color="auto"/>
                                                            <w:bottom w:val="none" w:sz="0" w:space="0" w:color="auto"/>
                                                            <w:right w:val="none" w:sz="0" w:space="0" w:color="auto"/>
                                                          </w:divBdr>
                                                          <w:divsChild>
                                                            <w:div w:id="1225338489">
                                                              <w:marLeft w:val="0"/>
                                                              <w:marRight w:val="0"/>
                                                              <w:marTop w:val="0"/>
                                                              <w:marBottom w:val="0"/>
                                                              <w:divBdr>
                                                                <w:top w:val="none" w:sz="0" w:space="0" w:color="auto"/>
                                                                <w:left w:val="none" w:sz="0" w:space="0" w:color="auto"/>
                                                                <w:bottom w:val="none" w:sz="0" w:space="0" w:color="auto"/>
                                                                <w:right w:val="none" w:sz="0" w:space="0" w:color="auto"/>
                                                              </w:divBdr>
                                                              <w:divsChild>
                                                                <w:div w:id="1743914366">
                                                                  <w:marLeft w:val="0"/>
                                                                  <w:marRight w:val="0"/>
                                                                  <w:marTop w:val="0"/>
                                                                  <w:marBottom w:val="0"/>
                                                                  <w:divBdr>
                                                                    <w:top w:val="none" w:sz="0" w:space="0" w:color="auto"/>
                                                                    <w:left w:val="none" w:sz="0" w:space="0" w:color="auto"/>
                                                                    <w:bottom w:val="none" w:sz="0" w:space="0" w:color="auto"/>
                                                                    <w:right w:val="none" w:sz="0" w:space="0" w:color="auto"/>
                                                                  </w:divBdr>
                                                                  <w:divsChild>
                                                                    <w:div w:id="2131656692">
                                                                      <w:marLeft w:val="0"/>
                                                                      <w:marRight w:val="0"/>
                                                                      <w:marTop w:val="0"/>
                                                                      <w:marBottom w:val="0"/>
                                                                      <w:divBdr>
                                                                        <w:top w:val="none" w:sz="0" w:space="0" w:color="auto"/>
                                                                        <w:left w:val="none" w:sz="0" w:space="0" w:color="auto"/>
                                                                        <w:bottom w:val="none" w:sz="0" w:space="0" w:color="auto"/>
                                                                        <w:right w:val="none" w:sz="0" w:space="0" w:color="auto"/>
                                                                      </w:divBdr>
                                                                      <w:divsChild>
                                                                        <w:div w:id="2075080198">
                                                                          <w:marLeft w:val="0"/>
                                                                          <w:marRight w:val="0"/>
                                                                          <w:marTop w:val="0"/>
                                                                          <w:marBottom w:val="0"/>
                                                                          <w:divBdr>
                                                                            <w:top w:val="none" w:sz="0" w:space="0" w:color="auto"/>
                                                                            <w:left w:val="none" w:sz="0" w:space="0" w:color="auto"/>
                                                                            <w:bottom w:val="none" w:sz="0" w:space="0" w:color="auto"/>
                                                                            <w:right w:val="none" w:sz="0" w:space="0" w:color="auto"/>
                                                                          </w:divBdr>
                                                                          <w:divsChild>
                                                                            <w:div w:id="1240795041">
                                                                              <w:marLeft w:val="0"/>
                                                                              <w:marRight w:val="0"/>
                                                                              <w:marTop w:val="0"/>
                                                                              <w:marBottom w:val="0"/>
                                                                              <w:divBdr>
                                                                                <w:top w:val="none" w:sz="0" w:space="0" w:color="auto"/>
                                                                                <w:left w:val="none" w:sz="0" w:space="0" w:color="auto"/>
                                                                                <w:bottom w:val="none" w:sz="0" w:space="0" w:color="auto"/>
                                                                                <w:right w:val="none" w:sz="0" w:space="0" w:color="auto"/>
                                                                              </w:divBdr>
                                                                              <w:divsChild>
                                                                                <w:div w:id="160045370">
                                                                                  <w:marLeft w:val="0"/>
                                                                                  <w:marRight w:val="0"/>
                                                                                  <w:marTop w:val="0"/>
                                                                                  <w:marBottom w:val="0"/>
                                                                                  <w:divBdr>
                                                                                    <w:top w:val="none" w:sz="0" w:space="0" w:color="auto"/>
                                                                                    <w:left w:val="none" w:sz="0" w:space="0" w:color="auto"/>
                                                                                    <w:bottom w:val="none" w:sz="0" w:space="0" w:color="auto"/>
                                                                                    <w:right w:val="none" w:sz="0" w:space="0" w:color="auto"/>
                                                                                  </w:divBdr>
                                                                                  <w:divsChild>
                                                                                    <w:div w:id="215051749">
                                                                                      <w:marLeft w:val="0"/>
                                                                                      <w:marRight w:val="0"/>
                                                                                      <w:marTop w:val="0"/>
                                                                                      <w:marBottom w:val="0"/>
                                                                                      <w:divBdr>
                                                                                        <w:top w:val="none" w:sz="0" w:space="0" w:color="auto"/>
                                                                                        <w:left w:val="none" w:sz="0" w:space="0" w:color="auto"/>
                                                                                        <w:bottom w:val="none" w:sz="0" w:space="0" w:color="auto"/>
                                                                                        <w:right w:val="none" w:sz="0" w:space="0" w:color="auto"/>
                                                                                      </w:divBdr>
                                                                                      <w:divsChild>
                                                                                        <w:div w:id="1480030714">
                                                                                          <w:marLeft w:val="0"/>
                                                                                          <w:marRight w:val="0"/>
                                                                                          <w:marTop w:val="0"/>
                                                                                          <w:marBottom w:val="0"/>
                                                                                          <w:divBdr>
                                                                                            <w:top w:val="none" w:sz="0" w:space="0" w:color="auto"/>
                                                                                            <w:left w:val="none" w:sz="0" w:space="0" w:color="auto"/>
                                                                                            <w:bottom w:val="none" w:sz="0" w:space="0" w:color="auto"/>
                                                                                            <w:right w:val="none" w:sz="0" w:space="0" w:color="auto"/>
                                                                                          </w:divBdr>
                                                                                          <w:divsChild>
                                                                                            <w:div w:id="7829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581698">
      <w:bodyDiv w:val="1"/>
      <w:marLeft w:val="0"/>
      <w:marRight w:val="0"/>
      <w:marTop w:val="0"/>
      <w:marBottom w:val="0"/>
      <w:divBdr>
        <w:top w:val="none" w:sz="0" w:space="0" w:color="auto"/>
        <w:left w:val="none" w:sz="0" w:space="0" w:color="auto"/>
        <w:bottom w:val="none" w:sz="0" w:space="0" w:color="auto"/>
        <w:right w:val="none" w:sz="0" w:space="0" w:color="auto"/>
      </w:divBdr>
      <w:divsChild>
        <w:div w:id="2052915962">
          <w:marLeft w:val="0"/>
          <w:marRight w:val="0"/>
          <w:marTop w:val="0"/>
          <w:marBottom w:val="0"/>
          <w:divBdr>
            <w:top w:val="none" w:sz="0" w:space="0" w:color="auto"/>
            <w:left w:val="none" w:sz="0" w:space="0" w:color="auto"/>
            <w:bottom w:val="none" w:sz="0" w:space="0" w:color="auto"/>
            <w:right w:val="none" w:sz="0" w:space="0" w:color="auto"/>
          </w:divBdr>
        </w:div>
      </w:divsChild>
    </w:div>
    <w:div w:id="1225022999">
      <w:bodyDiv w:val="1"/>
      <w:marLeft w:val="0"/>
      <w:marRight w:val="0"/>
      <w:marTop w:val="0"/>
      <w:marBottom w:val="0"/>
      <w:divBdr>
        <w:top w:val="none" w:sz="0" w:space="0" w:color="auto"/>
        <w:left w:val="none" w:sz="0" w:space="0" w:color="auto"/>
        <w:bottom w:val="none" w:sz="0" w:space="0" w:color="auto"/>
        <w:right w:val="none" w:sz="0" w:space="0" w:color="auto"/>
      </w:divBdr>
      <w:divsChild>
        <w:div w:id="933049636">
          <w:marLeft w:val="0"/>
          <w:marRight w:val="0"/>
          <w:marTop w:val="0"/>
          <w:marBottom w:val="0"/>
          <w:divBdr>
            <w:top w:val="none" w:sz="0" w:space="0" w:color="auto"/>
            <w:left w:val="none" w:sz="0" w:space="0" w:color="auto"/>
            <w:bottom w:val="none" w:sz="0" w:space="0" w:color="auto"/>
            <w:right w:val="none" w:sz="0" w:space="0" w:color="auto"/>
          </w:divBdr>
        </w:div>
      </w:divsChild>
    </w:div>
    <w:div w:id="1251044418">
      <w:bodyDiv w:val="1"/>
      <w:marLeft w:val="0"/>
      <w:marRight w:val="0"/>
      <w:marTop w:val="0"/>
      <w:marBottom w:val="0"/>
      <w:divBdr>
        <w:top w:val="none" w:sz="0" w:space="0" w:color="auto"/>
        <w:left w:val="none" w:sz="0" w:space="0" w:color="auto"/>
        <w:bottom w:val="none" w:sz="0" w:space="0" w:color="auto"/>
        <w:right w:val="none" w:sz="0" w:space="0" w:color="auto"/>
      </w:divBdr>
    </w:div>
    <w:div w:id="1283151696">
      <w:bodyDiv w:val="1"/>
      <w:marLeft w:val="0"/>
      <w:marRight w:val="0"/>
      <w:marTop w:val="0"/>
      <w:marBottom w:val="0"/>
      <w:divBdr>
        <w:top w:val="none" w:sz="0" w:space="0" w:color="auto"/>
        <w:left w:val="none" w:sz="0" w:space="0" w:color="auto"/>
        <w:bottom w:val="none" w:sz="0" w:space="0" w:color="auto"/>
        <w:right w:val="none" w:sz="0" w:space="0" w:color="auto"/>
      </w:divBdr>
    </w:div>
    <w:div w:id="1319577261">
      <w:bodyDiv w:val="1"/>
      <w:marLeft w:val="0"/>
      <w:marRight w:val="0"/>
      <w:marTop w:val="0"/>
      <w:marBottom w:val="0"/>
      <w:divBdr>
        <w:top w:val="none" w:sz="0" w:space="0" w:color="auto"/>
        <w:left w:val="none" w:sz="0" w:space="0" w:color="auto"/>
        <w:bottom w:val="none" w:sz="0" w:space="0" w:color="auto"/>
        <w:right w:val="none" w:sz="0" w:space="0" w:color="auto"/>
      </w:divBdr>
      <w:divsChild>
        <w:div w:id="1633053962">
          <w:marLeft w:val="0"/>
          <w:marRight w:val="0"/>
          <w:marTop w:val="0"/>
          <w:marBottom w:val="0"/>
          <w:divBdr>
            <w:top w:val="none" w:sz="0" w:space="0" w:color="auto"/>
            <w:left w:val="none" w:sz="0" w:space="0" w:color="auto"/>
            <w:bottom w:val="none" w:sz="0" w:space="0" w:color="auto"/>
            <w:right w:val="none" w:sz="0" w:space="0" w:color="auto"/>
          </w:divBdr>
        </w:div>
      </w:divsChild>
    </w:div>
    <w:div w:id="1336877119">
      <w:bodyDiv w:val="1"/>
      <w:marLeft w:val="0"/>
      <w:marRight w:val="0"/>
      <w:marTop w:val="0"/>
      <w:marBottom w:val="0"/>
      <w:divBdr>
        <w:top w:val="none" w:sz="0" w:space="0" w:color="auto"/>
        <w:left w:val="none" w:sz="0" w:space="0" w:color="auto"/>
        <w:bottom w:val="none" w:sz="0" w:space="0" w:color="auto"/>
        <w:right w:val="none" w:sz="0" w:space="0" w:color="auto"/>
      </w:divBdr>
    </w:div>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423917138">
      <w:bodyDiv w:val="1"/>
      <w:marLeft w:val="0"/>
      <w:marRight w:val="0"/>
      <w:marTop w:val="0"/>
      <w:marBottom w:val="0"/>
      <w:divBdr>
        <w:top w:val="none" w:sz="0" w:space="0" w:color="auto"/>
        <w:left w:val="none" w:sz="0" w:space="0" w:color="auto"/>
        <w:bottom w:val="none" w:sz="0" w:space="0" w:color="auto"/>
        <w:right w:val="none" w:sz="0" w:space="0" w:color="auto"/>
      </w:divBdr>
      <w:divsChild>
        <w:div w:id="1976829254">
          <w:marLeft w:val="0"/>
          <w:marRight w:val="0"/>
          <w:marTop w:val="0"/>
          <w:marBottom w:val="0"/>
          <w:divBdr>
            <w:top w:val="none" w:sz="0" w:space="0" w:color="auto"/>
            <w:left w:val="none" w:sz="0" w:space="0" w:color="auto"/>
            <w:bottom w:val="none" w:sz="0" w:space="0" w:color="auto"/>
            <w:right w:val="none" w:sz="0" w:space="0" w:color="auto"/>
          </w:divBdr>
        </w:div>
      </w:divsChild>
    </w:div>
    <w:div w:id="1444227678">
      <w:bodyDiv w:val="1"/>
      <w:marLeft w:val="0"/>
      <w:marRight w:val="0"/>
      <w:marTop w:val="0"/>
      <w:marBottom w:val="0"/>
      <w:divBdr>
        <w:top w:val="none" w:sz="0" w:space="0" w:color="auto"/>
        <w:left w:val="none" w:sz="0" w:space="0" w:color="auto"/>
        <w:bottom w:val="none" w:sz="0" w:space="0" w:color="auto"/>
        <w:right w:val="none" w:sz="0" w:space="0" w:color="auto"/>
      </w:divBdr>
    </w:div>
    <w:div w:id="1446346657">
      <w:bodyDiv w:val="1"/>
      <w:marLeft w:val="0"/>
      <w:marRight w:val="0"/>
      <w:marTop w:val="0"/>
      <w:marBottom w:val="0"/>
      <w:divBdr>
        <w:top w:val="none" w:sz="0" w:space="0" w:color="auto"/>
        <w:left w:val="none" w:sz="0" w:space="0" w:color="auto"/>
        <w:bottom w:val="none" w:sz="0" w:space="0" w:color="auto"/>
        <w:right w:val="none" w:sz="0" w:space="0" w:color="auto"/>
      </w:divBdr>
    </w:div>
    <w:div w:id="1540901320">
      <w:bodyDiv w:val="1"/>
      <w:marLeft w:val="0"/>
      <w:marRight w:val="0"/>
      <w:marTop w:val="0"/>
      <w:marBottom w:val="0"/>
      <w:divBdr>
        <w:top w:val="none" w:sz="0" w:space="0" w:color="auto"/>
        <w:left w:val="none" w:sz="0" w:space="0" w:color="auto"/>
        <w:bottom w:val="none" w:sz="0" w:space="0" w:color="auto"/>
        <w:right w:val="none" w:sz="0" w:space="0" w:color="auto"/>
      </w:divBdr>
    </w:div>
    <w:div w:id="1647008294">
      <w:bodyDiv w:val="1"/>
      <w:marLeft w:val="0"/>
      <w:marRight w:val="0"/>
      <w:marTop w:val="0"/>
      <w:marBottom w:val="0"/>
      <w:divBdr>
        <w:top w:val="none" w:sz="0" w:space="0" w:color="auto"/>
        <w:left w:val="none" w:sz="0" w:space="0" w:color="auto"/>
        <w:bottom w:val="none" w:sz="0" w:space="0" w:color="auto"/>
        <w:right w:val="none" w:sz="0" w:space="0" w:color="auto"/>
      </w:divBdr>
    </w:div>
    <w:div w:id="1652325527">
      <w:bodyDiv w:val="1"/>
      <w:marLeft w:val="0"/>
      <w:marRight w:val="0"/>
      <w:marTop w:val="0"/>
      <w:marBottom w:val="0"/>
      <w:divBdr>
        <w:top w:val="none" w:sz="0" w:space="0" w:color="auto"/>
        <w:left w:val="none" w:sz="0" w:space="0" w:color="auto"/>
        <w:bottom w:val="none" w:sz="0" w:space="0" w:color="auto"/>
        <w:right w:val="none" w:sz="0" w:space="0" w:color="auto"/>
      </w:divBdr>
      <w:divsChild>
        <w:div w:id="421488937">
          <w:marLeft w:val="0"/>
          <w:marRight w:val="0"/>
          <w:marTop w:val="0"/>
          <w:marBottom w:val="0"/>
          <w:divBdr>
            <w:top w:val="none" w:sz="0" w:space="0" w:color="auto"/>
            <w:left w:val="none" w:sz="0" w:space="0" w:color="auto"/>
            <w:bottom w:val="none" w:sz="0" w:space="0" w:color="auto"/>
            <w:right w:val="none" w:sz="0" w:space="0" w:color="auto"/>
          </w:divBdr>
          <w:divsChild>
            <w:div w:id="166599492">
              <w:marLeft w:val="0"/>
              <w:marRight w:val="0"/>
              <w:marTop w:val="0"/>
              <w:marBottom w:val="0"/>
              <w:divBdr>
                <w:top w:val="none" w:sz="0" w:space="0" w:color="auto"/>
                <w:left w:val="none" w:sz="0" w:space="0" w:color="auto"/>
                <w:bottom w:val="none" w:sz="0" w:space="0" w:color="auto"/>
                <w:right w:val="none" w:sz="0" w:space="0" w:color="auto"/>
              </w:divBdr>
              <w:divsChild>
                <w:div w:id="584343549">
                  <w:marLeft w:val="0"/>
                  <w:marRight w:val="0"/>
                  <w:marTop w:val="0"/>
                  <w:marBottom w:val="0"/>
                  <w:divBdr>
                    <w:top w:val="none" w:sz="0" w:space="0" w:color="auto"/>
                    <w:left w:val="none" w:sz="0" w:space="0" w:color="auto"/>
                    <w:bottom w:val="none" w:sz="0" w:space="0" w:color="auto"/>
                    <w:right w:val="none" w:sz="0" w:space="0" w:color="auto"/>
                  </w:divBdr>
                  <w:divsChild>
                    <w:div w:id="1326397638">
                      <w:marLeft w:val="2325"/>
                      <w:marRight w:val="0"/>
                      <w:marTop w:val="0"/>
                      <w:marBottom w:val="0"/>
                      <w:divBdr>
                        <w:top w:val="none" w:sz="0" w:space="0" w:color="auto"/>
                        <w:left w:val="none" w:sz="0" w:space="0" w:color="auto"/>
                        <w:bottom w:val="none" w:sz="0" w:space="0" w:color="auto"/>
                        <w:right w:val="none" w:sz="0" w:space="0" w:color="auto"/>
                      </w:divBdr>
                      <w:divsChild>
                        <w:div w:id="1988512745">
                          <w:marLeft w:val="0"/>
                          <w:marRight w:val="0"/>
                          <w:marTop w:val="0"/>
                          <w:marBottom w:val="0"/>
                          <w:divBdr>
                            <w:top w:val="none" w:sz="0" w:space="0" w:color="auto"/>
                            <w:left w:val="none" w:sz="0" w:space="0" w:color="auto"/>
                            <w:bottom w:val="none" w:sz="0" w:space="0" w:color="auto"/>
                            <w:right w:val="none" w:sz="0" w:space="0" w:color="auto"/>
                          </w:divBdr>
                          <w:divsChild>
                            <w:div w:id="347098481">
                              <w:marLeft w:val="0"/>
                              <w:marRight w:val="0"/>
                              <w:marTop w:val="0"/>
                              <w:marBottom w:val="0"/>
                              <w:divBdr>
                                <w:top w:val="none" w:sz="0" w:space="0" w:color="auto"/>
                                <w:left w:val="none" w:sz="0" w:space="0" w:color="auto"/>
                                <w:bottom w:val="none" w:sz="0" w:space="0" w:color="auto"/>
                                <w:right w:val="none" w:sz="0" w:space="0" w:color="auto"/>
                              </w:divBdr>
                              <w:divsChild>
                                <w:div w:id="1839804660">
                                  <w:marLeft w:val="0"/>
                                  <w:marRight w:val="0"/>
                                  <w:marTop w:val="0"/>
                                  <w:marBottom w:val="0"/>
                                  <w:divBdr>
                                    <w:top w:val="none" w:sz="0" w:space="0" w:color="auto"/>
                                    <w:left w:val="none" w:sz="0" w:space="0" w:color="auto"/>
                                    <w:bottom w:val="none" w:sz="0" w:space="0" w:color="auto"/>
                                    <w:right w:val="none" w:sz="0" w:space="0" w:color="auto"/>
                                  </w:divBdr>
                                  <w:divsChild>
                                    <w:div w:id="2095658928">
                                      <w:marLeft w:val="0"/>
                                      <w:marRight w:val="0"/>
                                      <w:marTop w:val="0"/>
                                      <w:marBottom w:val="0"/>
                                      <w:divBdr>
                                        <w:top w:val="none" w:sz="0" w:space="0" w:color="auto"/>
                                        <w:left w:val="none" w:sz="0" w:space="0" w:color="auto"/>
                                        <w:bottom w:val="none" w:sz="0" w:space="0" w:color="auto"/>
                                        <w:right w:val="none" w:sz="0" w:space="0" w:color="auto"/>
                                      </w:divBdr>
                                      <w:divsChild>
                                        <w:div w:id="721366120">
                                          <w:marLeft w:val="0"/>
                                          <w:marRight w:val="0"/>
                                          <w:marTop w:val="0"/>
                                          <w:marBottom w:val="0"/>
                                          <w:divBdr>
                                            <w:top w:val="none" w:sz="0" w:space="0" w:color="auto"/>
                                            <w:left w:val="none" w:sz="0" w:space="0" w:color="auto"/>
                                            <w:bottom w:val="none" w:sz="0" w:space="0" w:color="auto"/>
                                            <w:right w:val="none" w:sz="0" w:space="0" w:color="auto"/>
                                          </w:divBdr>
                                          <w:divsChild>
                                            <w:div w:id="1299870889">
                                              <w:marLeft w:val="0"/>
                                              <w:marRight w:val="0"/>
                                              <w:marTop w:val="0"/>
                                              <w:marBottom w:val="0"/>
                                              <w:divBdr>
                                                <w:top w:val="none" w:sz="0" w:space="0" w:color="auto"/>
                                                <w:left w:val="none" w:sz="0" w:space="0" w:color="auto"/>
                                                <w:bottom w:val="none" w:sz="0" w:space="0" w:color="auto"/>
                                                <w:right w:val="none" w:sz="0" w:space="0" w:color="auto"/>
                                              </w:divBdr>
                                              <w:divsChild>
                                                <w:div w:id="1994791883">
                                                  <w:marLeft w:val="0"/>
                                                  <w:marRight w:val="0"/>
                                                  <w:marTop w:val="0"/>
                                                  <w:marBottom w:val="0"/>
                                                  <w:divBdr>
                                                    <w:top w:val="none" w:sz="0" w:space="0" w:color="auto"/>
                                                    <w:left w:val="none" w:sz="0" w:space="0" w:color="auto"/>
                                                    <w:bottom w:val="none" w:sz="0" w:space="0" w:color="auto"/>
                                                    <w:right w:val="none" w:sz="0" w:space="0" w:color="auto"/>
                                                  </w:divBdr>
                                                  <w:divsChild>
                                                    <w:div w:id="1403261082">
                                                      <w:marLeft w:val="0"/>
                                                      <w:marRight w:val="0"/>
                                                      <w:marTop w:val="0"/>
                                                      <w:marBottom w:val="0"/>
                                                      <w:divBdr>
                                                        <w:top w:val="none" w:sz="0" w:space="0" w:color="auto"/>
                                                        <w:left w:val="none" w:sz="0" w:space="0" w:color="auto"/>
                                                        <w:bottom w:val="none" w:sz="0" w:space="0" w:color="auto"/>
                                                        <w:right w:val="none" w:sz="0" w:space="0" w:color="auto"/>
                                                      </w:divBdr>
                                                      <w:divsChild>
                                                        <w:div w:id="746343835">
                                                          <w:marLeft w:val="0"/>
                                                          <w:marRight w:val="0"/>
                                                          <w:marTop w:val="15"/>
                                                          <w:marBottom w:val="15"/>
                                                          <w:divBdr>
                                                            <w:top w:val="none" w:sz="0" w:space="0" w:color="auto"/>
                                                            <w:left w:val="none" w:sz="0" w:space="0" w:color="auto"/>
                                                            <w:bottom w:val="none" w:sz="0" w:space="0" w:color="auto"/>
                                                            <w:right w:val="none" w:sz="0" w:space="0" w:color="auto"/>
                                                          </w:divBdr>
                                                          <w:divsChild>
                                                            <w:div w:id="420953050">
                                                              <w:marLeft w:val="0"/>
                                                              <w:marRight w:val="0"/>
                                                              <w:marTop w:val="0"/>
                                                              <w:marBottom w:val="0"/>
                                                              <w:divBdr>
                                                                <w:top w:val="none" w:sz="0" w:space="0" w:color="auto"/>
                                                                <w:left w:val="none" w:sz="0" w:space="0" w:color="auto"/>
                                                                <w:bottom w:val="none" w:sz="0" w:space="0" w:color="auto"/>
                                                                <w:right w:val="none" w:sz="0" w:space="0" w:color="auto"/>
                                                              </w:divBdr>
                                                              <w:divsChild>
                                                                <w:div w:id="1451508521">
                                                                  <w:marLeft w:val="0"/>
                                                                  <w:marRight w:val="0"/>
                                                                  <w:marTop w:val="0"/>
                                                                  <w:marBottom w:val="0"/>
                                                                  <w:divBdr>
                                                                    <w:top w:val="none" w:sz="0" w:space="0" w:color="auto"/>
                                                                    <w:left w:val="none" w:sz="0" w:space="0" w:color="auto"/>
                                                                    <w:bottom w:val="none" w:sz="0" w:space="0" w:color="auto"/>
                                                                    <w:right w:val="none" w:sz="0" w:space="0" w:color="auto"/>
                                                                  </w:divBdr>
                                                                  <w:divsChild>
                                                                    <w:div w:id="336738887">
                                                                      <w:marLeft w:val="0"/>
                                                                      <w:marRight w:val="0"/>
                                                                      <w:marTop w:val="0"/>
                                                                      <w:marBottom w:val="0"/>
                                                                      <w:divBdr>
                                                                        <w:top w:val="none" w:sz="0" w:space="0" w:color="auto"/>
                                                                        <w:left w:val="none" w:sz="0" w:space="0" w:color="auto"/>
                                                                        <w:bottom w:val="none" w:sz="0" w:space="0" w:color="auto"/>
                                                                        <w:right w:val="none" w:sz="0" w:space="0" w:color="auto"/>
                                                                      </w:divBdr>
                                                                      <w:divsChild>
                                                                        <w:div w:id="279529876">
                                                                          <w:marLeft w:val="0"/>
                                                                          <w:marRight w:val="0"/>
                                                                          <w:marTop w:val="0"/>
                                                                          <w:marBottom w:val="0"/>
                                                                          <w:divBdr>
                                                                            <w:top w:val="none" w:sz="0" w:space="0" w:color="auto"/>
                                                                            <w:left w:val="none" w:sz="0" w:space="0" w:color="auto"/>
                                                                            <w:bottom w:val="none" w:sz="0" w:space="0" w:color="auto"/>
                                                                            <w:right w:val="none" w:sz="0" w:space="0" w:color="auto"/>
                                                                          </w:divBdr>
                                                                          <w:divsChild>
                                                                            <w:div w:id="455299996">
                                                                              <w:marLeft w:val="0"/>
                                                                              <w:marRight w:val="0"/>
                                                                              <w:marTop w:val="0"/>
                                                                              <w:marBottom w:val="0"/>
                                                                              <w:divBdr>
                                                                                <w:top w:val="none" w:sz="0" w:space="0" w:color="auto"/>
                                                                                <w:left w:val="none" w:sz="0" w:space="0" w:color="auto"/>
                                                                                <w:bottom w:val="none" w:sz="0" w:space="0" w:color="auto"/>
                                                                                <w:right w:val="none" w:sz="0" w:space="0" w:color="auto"/>
                                                                              </w:divBdr>
                                                                              <w:divsChild>
                                                                                <w:div w:id="1721709142">
                                                                                  <w:marLeft w:val="0"/>
                                                                                  <w:marRight w:val="0"/>
                                                                                  <w:marTop w:val="0"/>
                                                                                  <w:marBottom w:val="0"/>
                                                                                  <w:divBdr>
                                                                                    <w:top w:val="none" w:sz="0" w:space="0" w:color="auto"/>
                                                                                    <w:left w:val="none" w:sz="0" w:space="0" w:color="auto"/>
                                                                                    <w:bottom w:val="none" w:sz="0" w:space="0" w:color="auto"/>
                                                                                    <w:right w:val="none" w:sz="0" w:space="0" w:color="auto"/>
                                                                                  </w:divBdr>
                                                                                  <w:divsChild>
                                                                                    <w:div w:id="1334409477">
                                                                                      <w:marLeft w:val="0"/>
                                                                                      <w:marRight w:val="0"/>
                                                                                      <w:marTop w:val="0"/>
                                                                                      <w:marBottom w:val="0"/>
                                                                                      <w:divBdr>
                                                                                        <w:top w:val="none" w:sz="0" w:space="0" w:color="auto"/>
                                                                                        <w:left w:val="none" w:sz="0" w:space="0" w:color="auto"/>
                                                                                        <w:bottom w:val="none" w:sz="0" w:space="0" w:color="auto"/>
                                                                                        <w:right w:val="none" w:sz="0" w:space="0" w:color="auto"/>
                                                                                      </w:divBdr>
                                                                                      <w:divsChild>
                                                                                        <w:div w:id="1203245876">
                                                                                          <w:marLeft w:val="0"/>
                                                                                          <w:marRight w:val="0"/>
                                                                                          <w:marTop w:val="0"/>
                                                                                          <w:marBottom w:val="0"/>
                                                                                          <w:divBdr>
                                                                                            <w:top w:val="none" w:sz="0" w:space="0" w:color="auto"/>
                                                                                            <w:left w:val="none" w:sz="0" w:space="0" w:color="auto"/>
                                                                                            <w:bottom w:val="none" w:sz="0" w:space="0" w:color="auto"/>
                                                                                            <w:right w:val="none" w:sz="0" w:space="0" w:color="auto"/>
                                                                                          </w:divBdr>
                                                                                          <w:divsChild>
                                                                                            <w:div w:id="982543266">
                                                                                              <w:marLeft w:val="0"/>
                                                                                              <w:marRight w:val="0"/>
                                                                                              <w:marTop w:val="0"/>
                                                                                              <w:marBottom w:val="0"/>
                                                                                              <w:divBdr>
                                                                                                <w:top w:val="none" w:sz="0" w:space="0" w:color="auto"/>
                                                                                                <w:left w:val="none" w:sz="0" w:space="0" w:color="auto"/>
                                                                                                <w:bottom w:val="none" w:sz="0" w:space="0" w:color="auto"/>
                                                                                                <w:right w:val="none" w:sz="0" w:space="0" w:color="auto"/>
                                                                                              </w:divBdr>
                                                                                              <w:divsChild>
                                                                                                <w:div w:id="1430079688">
                                                                                                  <w:marLeft w:val="0"/>
                                                                                                  <w:marRight w:val="0"/>
                                                                                                  <w:marTop w:val="0"/>
                                                                                                  <w:marBottom w:val="0"/>
                                                                                                  <w:divBdr>
                                                                                                    <w:top w:val="none" w:sz="0" w:space="0" w:color="auto"/>
                                                                                                    <w:left w:val="none" w:sz="0" w:space="0" w:color="auto"/>
                                                                                                    <w:bottom w:val="none" w:sz="0" w:space="0" w:color="auto"/>
                                                                                                    <w:right w:val="none" w:sz="0" w:space="0" w:color="auto"/>
                                                                                                  </w:divBdr>
                                                                                                  <w:divsChild>
                                                                                                    <w:div w:id="62217148">
                                                                                                      <w:marLeft w:val="0"/>
                                                                                                      <w:marRight w:val="0"/>
                                                                                                      <w:marTop w:val="0"/>
                                                                                                      <w:marBottom w:val="0"/>
                                                                                                      <w:divBdr>
                                                                                                        <w:top w:val="none" w:sz="0" w:space="0" w:color="auto"/>
                                                                                                        <w:left w:val="none" w:sz="0" w:space="0" w:color="auto"/>
                                                                                                        <w:bottom w:val="none" w:sz="0" w:space="0" w:color="auto"/>
                                                                                                        <w:right w:val="none" w:sz="0" w:space="0" w:color="auto"/>
                                                                                                      </w:divBdr>
                                                                                                      <w:divsChild>
                                                                                                        <w:div w:id="20444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956691">
      <w:bodyDiv w:val="1"/>
      <w:marLeft w:val="0"/>
      <w:marRight w:val="0"/>
      <w:marTop w:val="0"/>
      <w:marBottom w:val="0"/>
      <w:divBdr>
        <w:top w:val="none" w:sz="0" w:space="0" w:color="auto"/>
        <w:left w:val="none" w:sz="0" w:space="0" w:color="auto"/>
        <w:bottom w:val="none" w:sz="0" w:space="0" w:color="auto"/>
        <w:right w:val="none" w:sz="0" w:space="0" w:color="auto"/>
      </w:divBdr>
    </w:div>
    <w:div w:id="1920752061">
      <w:bodyDiv w:val="1"/>
      <w:marLeft w:val="0"/>
      <w:marRight w:val="0"/>
      <w:marTop w:val="0"/>
      <w:marBottom w:val="0"/>
      <w:divBdr>
        <w:top w:val="none" w:sz="0" w:space="0" w:color="auto"/>
        <w:left w:val="none" w:sz="0" w:space="0" w:color="auto"/>
        <w:bottom w:val="none" w:sz="0" w:space="0" w:color="auto"/>
        <w:right w:val="none" w:sz="0" w:space="0" w:color="auto"/>
      </w:divBdr>
    </w:div>
    <w:div w:id="1924531385">
      <w:bodyDiv w:val="1"/>
      <w:marLeft w:val="0"/>
      <w:marRight w:val="0"/>
      <w:marTop w:val="0"/>
      <w:marBottom w:val="0"/>
      <w:divBdr>
        <w:top w:val="none" w:sz="0" w:space="0" w:color="auto"/>
        <w:left w:val="none" w:sz="0" w:space="0" w:color="auto"/>
        <w:bottom w:val="none" w:sz="0" w:space="0" w:color="auto"/>
        <w:right w:val="none" w:sz="0" w:space="0" w:color="auto"/>
      </w:divBdr>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 w:id="2080440744">
      <w:bodyDiv w:val="1"/>
      <w:marLeft w:val="0"/>
      <w:marRight w:val="0"/>
      <w:marTop w:val="0"/>
      <w:marBottom w:val="0"/>
      <w:divBdr>
        <w:top w:val="none" w:sz="0" w:space="0" w:color="auto"/>
        <w:left w:val="none" w:sz="0" w:space="0" w:color="auto"/>
        <w:bottom w:val="none" w:sz="0" w:space="0" w:color="auto"/>
        <w:right w:val="none" w:sz="0" w:space="0" w:color="auto"/>
      </w:divBdr>
      <w:divsChild>
        <w:div w:id="482626885">
          <w:marLeft w:val="0"/>
          <w:marRight w:val="0"/>
          <w:marTop w:val="0"/>
          <w:marBottom w:val="0"/>
          <w:divBdr>
            <w:top w:val="none" w:sz="0" w:space="0" w:color="auto"/>
            <w:left w:val="none" w:sz="0" w:space="0" w:color="auto"/>
            <w:bottom w:val="none" w:sz="0" w:space="0" w:color="auto"/>
            <w:right w:val="none" w:sz="0" w:space="0" w:color="auto"/>
          </w:divBdr>
          <w:divsChild>
            <w:div w:id="1090394708">
              <w:marLeft w:val="0"/>
              <w:marRight w:val="0"/>
              <w:marTop w:val="0"/>
              <w:marBottom w:val="0"/>
              <w:divBdr>
                <w:top w:val="none" w:sz="0" w:space="0" w:color="auto"/>
                <w:left w:val="none" w:sz="0" w:space="0" w:color="auto"/>
                <w:bottom w:val="none" w:sz="0" w:space="0" w:color="auto"/>
                <w:right w:val="none" w:sz="0" w:space="0" w:color="auto"/>
              </w:divBdr>
              <w:divsChild>
                <w:div w:id="1027752456">
                  <w:marLeft w:val="0"/>
                  <w:marRight w:val="0"/>
                  <w:marTop w:val="0"/>
                  <w:marBottom w:val="0"/>
                  <w:divBdr>
                    <w:top w:val="none" w:sz="0" w:space="0" w:color="auto"/>
                    <w:left w:val="none" w:sz="0" w:space="0" w:color="auto"/>
                    <w:bottom w:val="none" w:sz="0" w:space="0" w:color="auto"/>
                    <w:right w:val="none" w:sz="0" w:space="0" w:color="auto"/>
                  </w:divBdr>
                  <w:divsChild>
                    <w:div w:id="1281646560">
                      <w:marLeft w:val="0"/>
                      <w:marRight w:val="0"/>
                      <w:marTop w:val="0"/>
                      <w:marBottom w:val="0"/>
                      <w:divBdr>
                        <w:top w:val="none" w:sz="0" w:space="0" w:color="auto"/>
                        <w:left w:val="none" w:sz="0" w:space="0" w:color="auto"/>
                        <w:bottom w:val="none" w:sz="0" w:space="0" w:color="auto"/>
                        <w:right w:val="none" w:sz="0" w:space="0" w:color="auto"/>
                      </w:divBdr>
                      <w:divsChild>
                        <w:div w:id="423303639">
                          <w:marLeft w:val="0"/>
                          <w:marRight w:val="0"/>
                          <w:marTop w:val="0"/>
                          <w:marBottom w:val="0"/>
                          <w:divBdr>
                            <w:top w:val="none" w:sz="0" w:space="0" w:color="auto"/>
                            <w:left w:val="none" w:sz="0" w:space="0" w:color="auto"/>
                            <w:bottom w:val="none" w:sz="0" w:space="0" w:color="auto"/>
                            <w:right w:val="none" w:sz="0" w:space="0" w:color="auto"/>
                          </w:divBdr>
                          <w:divsChild>
                            <w:div w:id="519128867">
                              <w:marLeft w:val="0"/>
                              <w:marRight w:val="0"/>
                              <w:marTop w:val="0"/>
                              <w:marBottom w:val="0"/>
                              <w:divBdr>
                                <w:top w:val="none" w:sz="0" w:space="0" w:color="auto"/>
                                <w:left w:val="none" w:sz="0" w:space="0" w:color="auto"/>
                                <w:bottom w:val="none" w:sz="0" w:space="0" w:color="auto"/>
                                <w:right w:val="none" w:sz="0" w:space="0" w:color="auto"/>
                              </w:divBdr>
                              <w:divsChild>
                                <w:div w:id="605581978">
                                  <w:marLeft w:val="0"/>
                                  <w:marRight w:val="0"/>
                                  <w:marTop w:val="0"/>
                                  <w:marBottom w:val="0"/>
                                  <w:divBdr>
                                    <w:top w:val="none" w:sz="0" w:space="0" w:color="auto"/>
                                    <w:left w:val="none" w:sz="0" w:space="0" w:color="auto"/>
                                    <w:bottom w:val="none" w:sz="0" w:space="0" w:color="auto"/>
                                    <w:right w:val="none" w:sz="0" w:space="0" w:color="auto"/>
                                  </w:divBdr>
                                  <w:divsChild>
                                    <w:div w:id="743455315">
                                      <w:marLeft w:val="0"/>
                                      <w:marRight w:val="0"/>
                                      <w:marTop w:val="0"/>
                                      <w:marBottom w:val="0"/>
                                      <w:divBdr>
                                        <w:top w:val="none" w:sz="0" w:space="0" w:color="auto"/>
                                        <w:left w:val="none" w:sz="0" w:space="0" w:color="auto"/>
                                        <w:bottom w:val="none" w:sz="0" w:space="0" w:color="auto"/>
                                        <w:right w:val="none" w:sz="0" w:space="0" w:color="auto"/>
                                      </w:divBdr>
                                      <w:divsChild>
                                        <w:div w:id="477382358">
                                          <w:marLeft w:val="0"/>
                                          <w:marRight w:val="0"/>
                                          <w:marTop w:val="0"/>
                                          <w:marBottom w:val="0"/>
                                          <w:divBdr>
                                            <w:top w:val="none" w:sz="0" w:space="0" w:color="auto"/>
                                            <w:left w:val="none" w:sz="0" w:space="0" w:color="auto"/>
                                            <w:bottom w:val="none" w:sz="0" w:space="0" w:color="auto"/>
                                            <w:right w:val="none" w:sz="0" w:space="0" w:color="auto"/>
                                          </w:divBdr>
                                          <w:divsChild>
                                            <w:div w:id="2256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379645">
      <w:bodyDiv w:val="1"/>
      <w:marLeft w:val="0"/>
      <w:marRight w:val="0"/>
      <w:marTop w:val="0"/>
      <w:marBottom w:val="0"/>
      <w:divBdr>
        <w:top w:val="none" w:sz="0" w:space="0" w:color="auto"/>
        <w:left w:val="none" w:sz="0" w:space="0" w:color="auto"/>
        <w:bottom w:val="none" w:sz="0" w:space="0" w:color="auto"/>
        <w:right w:val="none" w:sz="0" w:space="0" w:color="auto"/>
      </w:divBdr>
      <w:divsChild>
        <w:div w:id="1684238560">
          <w:marLeft w:val="0"/>
          <w:marRight w:val="0"/>
          <w:marTop w:val="0"/>
          <w:marBottom w:val="0"/>
          <w:divBdr>
            <w:top w:val="none" w:sz="0" w:space="0" w:color="auto"/>
            <w:left w:val="none" w:sz="0" w:space="0" w:color="auto"/>
            <w:bottom w:val="none" w:sz="0" w:space="0" w:color="auto"/>
            <w:right w:val="none" w:sz="0" w:space="0" w:color="auto"/>
          </w:divBdr>
        </w:div>
      </w:divsChild>
    </w:div>
    <w:div w:id="213601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wpro.who.int/southpacific/programmes/healthy_communities/health_promotion/page/en/index1.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E623FB-D6A1-42F0-8339-5A81A1239E6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BB90B614-EDD1-43D8-A7B4-C0E9D0E2F90B}">
      <dgm:prSet phldrT="[Text]" custT="1"/>
      <dgm:spPr/>
      <dgm:t>
        <a:bodyPr/>
        <a:lstStyle/>
        <a:p>
          <a:r>
            <a:rPr lang="en-AU" sz="1200"/>
            <a:t>MoFNP</a:t>
          </a:r>
        </a:p>
      </dgm:t>
    </dgm:pt>
    <dgm:pt modelId="{39494DD6-16B1-42DA-8C35-89A57E80C17F}" type="parTrans" cxnId="{42DFCCCA-E931-42D0-8E56-101FA4AE78DA}">
      <dgm:prSet/>
      <dgm:spPr/>
      <dgm:t>
        <a:bodyPr/>
        <a:lstStyle/>
        <a:p>
          <a:endParaRPr lang="en-AU"/>
        </a:p>
      </dgm:t>
    </dgm:pt>
    <dgm:pt modelId="{13E40D5C-DE4A-44BA-A4B6-C32C1EADAD63}" type="sibTrans" cxnId="{42DFCCCA-E931-42D0-8E56-101FA4AE78DA}">
      <dgm:prSet/>
      <dgm:spPr/>
      <dgm:t>
        <a:bodyPr/>
        <a:lstStyle/>
        <a:p>
          <a:endParaRPr lang="en-AU"/>
        </a:p>
      </dgm:t>
    </dgm:pt>
    <dgm:pt modelId="{AA58DBAE-8307-484B-A63C-6EB3BEA7E3D7}">
      <dgm:prSet/>
      <dgm:spPr/>
      <dgm:t>
        <a:bodyPr/>
        <a:lstStyle/>
        <a:p>
          <a:r>
            <a:rPr lang="en-AU"/>
            <a:t>Other implementing partners</a:t>
          </a:r>
        </a:p>
      </dgm:t>
    </dgm:pt>
    <dgm:pt modelId="{3E066C24-B7E7-43CB-8C4E-454350335B24}" type="parTrans" cxnId="{1D0718C0-3724-4E83-BED2-E6CF6EC2B870}">
      <dgm:prSet/>
      <dgm:spPr/>
      <dgm:t>
        <a:bodyPr/>
        <a:lstStyle/>
        <a:p>
          <a:endParaRPr lang="en-AU"/>
        </a:p>
      </dgm:t>
    </dgm:pt>
    <dgm:pt modelId="{0DF67589-DFB6-4887-811F-6BFED05700DF}" type="sibTrans" cxnId="{1D0718C0-3724-4E83-BED2-E6CF6EC2B870}">
      <dgm:prSet/>
      <dgm:spPr/>
      <dgm:t>
        <a:bodyPr/>
        <a:lstStyle/>
        <a:p>
          <a:endParaRPr lang="en-AU"/>
        </a:p>
      </dgm:t>
    </dgm:pt>
    <dgm:pt modelId="{73E9867F-4425-4435-837C-AE29ED24E32F}">
      <dgm:prSet custT="1"/>
      <dgm:spPr/>
      <dgm:t>
        <a:bodyPr/>
        <a:lstStyle/>
        <a:p>
          <a:r>
            <a:rPr lang="en-AU" sz="1200"/>
            <a:t>DFAT</a:t>
          </a:r>
        </a:p>
      </dgm:t>
    </dgm:pt>
    <dgm:pt modelId="{DC8BC548-10BD-4502-9814-E668A20A344F}" type="sibTrans" cxnId="{BA4F1C8A-17BD-4CEF-A2A9-C371FCBCCFB6}">
      <dgm:prSet/>
      <dgm:spPr/>
      <dgm:t>
        <a:bodyPr/>
        <a:lstStyle/>
        <a:p>
          <a:endParaRPr lang="en-AU"/>
        </a:p>
      </dgm:t>
    </dgm:pt>
    <dgm:pt modelId="{27806EAA-62AB-4AF0-987A-8AB71889DF05}" type="parTrans" cxnId="{BA4F1C8A-17BD-4CEF-A2A9-C371FCBCCFB6}">
      <dgm:prSet/>
      <dgm:spPr/>
      <dgm:t>
        <a:bodyPr/>
        <a:lstStyle/>
        <a:p>
          <a:endParaRPr lang="en-AU"/>
        </a:p>
      </dgm:t>
    </dgm:pt>
    <dgm:pt modelId="{92AACB06-F4E8-4761-AB7B-976640492794}">
      <dgm:prSet/>
      <dgm:spPr/>
      <dgm:t>
        <a:bodyPr/>
        <a:lstStyle/>
        <a:p>
          <a:r>
            <a:rPr lang="en-AU"/>
            <a:t>NGOs</a:t>
          </a:r>
        </a:p>
      </dgm:t>
    </dgm:pt>
    <dgm:pt modelId="{B9821F29-A961-497A-A053-D5F24D8C1BFB}">
      <dgm:prSet/>
      <dgm:spPr/>
      <dgm:t>
        <a:bodyPr/>
        <a:lstStyle/>
        <a:p>
          <a:r>
            <a:rPr lang="en-AU"/>
            <a:t>Other GoT ministries</a:t>
          </a:r>
        </a:p>
      </dgm:t>
    </dgm:pt>
    <dgm:pt modelId="{77825092-5B31-4579-AD05-33EC4F73B37F}">
      <dgm:prSet phldrT="[Text]"/>
      <dgm:spPr/>
      <dgm:t>
        <a:bodyPr/>
        <a:lstStyle/>
        <a:p>
          <a:r>
            <a:rPr lang="en-AU"/>
            <a:t>MIA</a:t>
          </a:r>
        </a:p>
      </dgm:t>
    </dgm:pt>
    <dgm:pt modelId="{39BE447E-DC92-4F65-A0C2-528B349A4DA8}">
      <dgm:prSet/>
      <dgm:spPr/>
      <dgm:t>
        <a:bodyPr/>
        <a:lstStyle/>
        <a:p>
          <a:r>
            <a:rPr lang="en-AU"/>
            <a:t>MET</a:t>
          </a:r>
        </a:p>
      </dgm:t>
    </dgm:pt>
    <dgm:pt modelId="{D07C75A5-0D5C-4CD1-9E19-25FB221A12E6}">
      <dgm:prSet/>
      <dgm:spPr/>
      <dgm:t>
        <a:bodyPr/>
        <a:lstStyle/>
        <a:p>
          <a:r>
            <a:rPr lang="en-AU"/>
            <a:t>MAFFF</a:t>
          </a:r>
        </a:p>
      </dgm:t>
    </dgm:pt>
    <dgm:pt modelId="{7400DA68-33CA-47A2-951F-9730C9FC85C9}">
      <dgm:prSet/>
      <dgm:spPr/>
      <dgm:t>
        <a:bodyPr/>
        <a:lstStyle/>
        <a:p>
          <a:r>
            <a:rPr lang="en-AU"/>
            <a:t>MoFNP</a:t>
          </a:r>
        </a:p>
      </dgm:t>
    </dgm:pt>
    <dgm:pt modelId="{6155C319-2BBA-46AA-8592-14F3A0D39F32}" type="sibTrans" cxnId="{1691A9E9-6066-4FAE-A41D-DB0DB29D6033}">
      <dgm:prSet/>
      <dgm:spPr/>
      <dgm:t>
        <a:bodyPr/>
        <a:lstStyle/>
        <a:p>
          <a:endParaRPr lang="en-AU"/>
        </a:p>
      </dgm:t>
    </dgm:pt>
    <dgm:pt modelId="{BE177A7C-421B-4C3A-B275-EEE7554FB53D}" type="parTrans" cxnId="{1691A9E9-6066-4FAE-A41D-DB0DB29D6033}">
      <dgm:prSet/>
      <dgm:spPr>
        <a:ln>
          <a:solidFill>
            <a:schemeClr val="accent1"/>
          </a:solidFill>
          <a:prstDash val="dash"/>
        </a:ln>
      </dgm:spPr>
      <dgm:t>
        <a:bodyPr/>
        <a:lstStyle/>
        <a:p>
          <a:endParaRPr lang="en-AU"/>
        </a:p>
      </dgm:t>
    </dgm:pt>
    <dgm:pt modelId="{08CDFAF9-F800-4812-8C8A-28323F0C9748}" type="sibTrans" cxnId="{037F6115-83D4-4F46-9A5D-4FC25E398D4C}">
      <dgm:prSet/>
      <dgm:spPr/>
      <dgm:t>
        <a:bodyPr/>
        <a:lstStyle/>
        <a:p>
          <a:endParaRPr lang="en-AU"/>
        </a:p>
      </dgm:t>
    </dgm:pt>
    <dgm:pt modelId="{7EFBE548-58A6-4FBD-8ADC-130312554C86}" type="parTrans" cxnId="{037F6115-83D4-4F46-9A5D-4FC25E398D4C}">
      <dgm:prSet/>
      <dgm:spPr>
        <a:ln>
          <a:solidFill>
            <a:schemeClr val="accent1"/>
          </a:solidFill>
          <a:prstDash val="dash"/>
        </a:ln>
      </dgm:spPr>
      <dgm:t>
        <a:bodyPr/>
        <a:lstStyle/>
        <a:p>
          <a:endParaRPr lang="en-AU"/>
        </a:p>
      </dgm:t>
    </dgm:pt>
    <dgm:pt modelId="{D49C4B18-888B-4F70-AB71-4C951E9575BB}" type="sibTrans" cxnId="{874F7D08-B232-49CD-9935-6793CFDC9D46}">
      <dgm:prSet/>
      <dgm:spPr/>
      <dgm:t>
        <a:bodyPr/>
        <a:lstStyle/>
        <a:p>
          <a:endParaRPr lang="en-AU"/>
        </a:p>
      </dgm:t>
    </dgm:pt>
    <dgm:pt modelId="{8DF55F58-D1CC-4BFB-89A1-C4308BAE64E9}" type="parTrans" cxnId="{874F7D08-B232-49CD-9935-6793CFDC9D46}">
      <dgm:prSet/>
      <dgm:spPr>
        <a:ln>
          <a:solidFill>
            <a:schemeClr val="accent1"/>
          </a:solidFill>
          <a:prstDash val="dash"/>
        </a:ln>
      </dgm:spPr>
      <dgm:t>
        <a:bodyPr/>
        <a:lstStyle/>
        <a:p>
          <a:endParaRPr lang="en-AU"/>
        </a:p>
      </dgm:t>
    </dgm:pt>
    <dgm:pt modelId="{9C555662-F99D-46BF-9072-191709B8CC9E}" type="sibTrans" cxnId="{D4550022-2701-44FC-A030-79C4C1B1BD58}">
      <dgm:prSet/>
      <dgm:spPr/>
      <dgm:t>
        <a:bodyPr/>
        <a:lstStyle/>
        <a:p>
          <a:endParaRPr lang="en-AU"/>
        </a:p>
      </dgm:t>
    </dgm:pt>
    <dgm:pt modelId="{3B0C1AEF-5FB4-4DC2-9099-E96B4E1F68D6}" type="parTrans" cxnId="{D4550022-2701-44FC-A030-79C4C1B1BD58}">
      <dgm:prSet/>
      <dgm:spPr>
        <a:ln>
          <a:solidFill>
            <a:schemeClr val="accent1"/>
          </a:solidFill>
          <a:prstDash val="dash"/>
        </a:ln>
      </dgm:spPr>
      <dgm:t>
        <a:bodyPr/>
        <a:lstStyle/>
        <a:p>
          <a:endParaRPr lang="en-AU"/>
        </a:p>
      </dgm:t>
    </dgm:pt>
    <dgm:pt modelId="{0DBA38A6-E666-4D02-90A9-FAFA01D29AB4}">
      <dgm:prSet phldrT="[Text]"/>
      <dgm:spPr/>
      <dgm:t>
        <a:bodyPr/>
        <a:lstStyle/>
        <a:p>
          <a:r>
            <a:rPr lang="en-AU"/>
            <a:t>Community Groups</a:t>
          </a:r>
        </a:p>
      </dgm:t>
    </dgm:pt>
    <dgm:pt modelId="{574D894F-899B-436C-A3B4-C862B1ABB268}">
      <dgm:prSet phldrT="[Text]" custT="1"/>
      <dgm:spPr/>
      <dgm:t>
        <a:bodyPr/>
        <a:lstStyle/>
        <a:p>
          <a:r>
            <a:rPr lang="en-AU" sz="1000"/>
            <a:t>Tonga Health</a:t>
          </a:r>
        </a:p>
      </dgm:t>
    </dgm:pt>
    <dgm:pt modelId="{D90EBDD8-CA75-4FD0-B864-A6E4693E3A36}" type="sibTrans" cxnId="{AEBFEEB8-0F88-49B4-B2FC-ACF3AF406744}">
      <dgm:prSet/>
      <dgm:spPr/>
      <dgm:t>
        <a:bodyPr/>
        <a:lstStyle/>
        <a:p>
          <a:endParaRPr lang="en-AU"/>
        </a:p>
      </dgm:t>
    </dgm:pt>
    <dgm:pt modelId="{7A31A2EE-3871-4897-BCE8-810380F670D7}" type="parTrans" cxnId="{AEBFEEB8-0F88-49B4-B2FC-ACF3AF406744}">
      <dgm:prSet/>
      <dgm:spPr/>
      <dgm:t>
        <a:bodyPr/>
        <a:lstStyle/>
        <a:p>
          <a:endParaRPr lang="en-AU"/>
        </a:p>
      </dgm:t>
    </dgm:pt>
    <dgm:pt modelId="{7B285C87-C3A7-4890-A1E6-3B53C6D342ED}" type="sibTrans" cxnId="{1E1C8F7F-C055-40A8-82FF-23B209C4A1F6}">
      <dgm:prSet/>
      <dgm:spPr/>
      <dgm:t>
        <a:bodyPr/>
        <a:lstStyle/>
        <a:p>
          <a:endParaRPr lang="en-AU"/>
        </a:p>
      </dgm:t>
    </dgm:pt>
    <dgm:pt modelId="{6C06BB41-A397-4EEC-9ABD-B4C10BD61A42}" type="parTrans" cxnId="{1E1C8F7F-C055-40A8-82FF-23B209C4A1F6}">
      <dgm:prSet/>
      <dgm:spPr/>
      <dgm:t>
        <a:bodyPr/>
        <a:lstStyle/>
        <a:p>
          <a:endParaRPr lang="en-AU"/>
        </a:p>
      </dgm:t>
    </dgm:pt>
    <dgm:pt modelId="{51649F8C-B4A0-42A5-9FD1-DE3744F40939}" type="sibTrans" cxnId="{8AB8ADA8-C9C1-49D2-897F-F4C0A4443802}">
      <dgm:prSet/>
      <dgm:spPr/>
      <dgm:t>
        <a:bodyPr/>
        <a:lstStyle/>
        <a:p>
          <a:endParaRPr lang="en-AU"/>
        </a:p>
      </dgm:t>
    </dgm:pt>
    <dgm:pt modelId="{8CF268EE-7786-46FB-8D19-A40545578D1F}" type="parTrans" cxnId="{8AB8ADA8-C9C1-49D2-897F-F4C0A4443802}">
      <dgm:prSet/>
      <dgm:spPr/>
      <dgm:t>
        <a:bodyPr/>
        <a:lstStyle/>
        <a:p>
          <a:endParaRPr lang="en-AU"/>
        </a:p>
      </dgm:t>
    </dgm:pt>
    <dgm:pt modelId="{2775BA28-2AC5-409A-970E-025F31A98AC4}" type="sibTrans" cxnId="{15C069CB-C7E1-4C54-87CF-95B7686EF7D0}">
      <dgm:prSet/>
      <dgm:spPr/>
      <dgm:t>
        <a:bodyPr/>
        <a:lstStyle/>
        <a:p>
          <a:endParaRPr lang="en-AU"/>
        </a:p>
      </dgm:t>
    </dgm:pt>
    <dgm:pt modelId="{49C12040-DCBC-4989-8D3B-414C7088C01C}" type="parTrans" cxnId="{15C069CB-C7E1-4C54-87CF-95B7686EF7D0}">
      <dgm:prSet/>
      <dgm:spPr/>
      <dgm:t>
        <a:bodyPr/>
        <a:lstStyle/>
        <a:p>
          <a:endParaRPr lang="en-AU"/>
        </a:p>
      </dgm:t>
    </dgm:pt>
    <dgm:pt modelId="{412AEE0A-ACA1-4541-9F32-3B405F484C0A}">
      <dgm:prSet phldrT="[Text]" custT="1"/>
      <dgm:spPr/>
      <dgm:t>
        <a:bodyPr/>
        <a:lstStyle/>
        <a:p>
          <a:r>
            <a:rPr lang="en-AU" sz="1200"/>
            <a:t>MOH</a:t>
          </a:r>
        </a:p>
      </dgm:t>
    </dgm:pt>
    <dgm:pt modelId="{62870014-D156-C14B-8B82-E79DD8192BCC}" type="parTrans" cxnId="{F7BB9DB4-41C5-9D4F-B59E-3EC4F97B0BA6}">
      <dgm:prSet/>
      <dgm:spPr/>
      <dgm:t>
        <a:bodyPr/>
        <a:lstStyle/>
        <a:p>
          <a:endParaRPr lang="en-US"/>
        </a:p>
      </dgm:t>
    </dgm:pt>
    <dgm:pt modelId="{B89D8B30-2224-9242-96D7-6B0AC6B92EF3}" type="sibTrans" cxnId="{F7BB9DB4-41C5-9D4F-B59E-3EC4F97B0BA6}">
      <dgm:prSet/>
      <dgm:spPr/>
      <dgm:t>
        <a:bodyPr/>
        <a:lstStyle/>
        <a:p>
          <a:endParaRPr lang="en-US"/>
        </a:p>
      </dgm:t>
    </dgm:pt>
    <dgm:pt modelId="{DC214A10-8E17-49F5-A7EF-BA86D5D69A8B}" type="pres">
      <dgm:prSet presAssocID="{DCE623FB-D6A1-42F0-8339-5A81A1239E6D}" presName="diagram" presStyleCnt="0">
        <dgm:presLayoutVars>
          <dgm:chPref val="1"/>
          <dgm:dir/>
          <dgm:animOne val="branch"/>
          <dgm:animLvl val="lvl"/>
          <dgm:resizeHandles val="exact"/>
        </dgm:presLayoutVars>
      </dgm:prSet>
      <dgm:spPr/>
      <dgm:t>
        <a:bodyPr/>
        <a:lstStyle/>
        <a:p>
          <a:endParaRPr lang="en-AU"/>
        </a:p>
      </dgm:t>
    </dgm:pt>
    <dgm:pt modelId="{05EA96B9-F460-4734-AB44-81C3D1965BFE}" type="pres">
      <dgm:prSet presAssocID="{73E9867F-4425-4435-837C-AE29ED24E32F}" presName="root1" presStyleCnt="0"/>
      <dgm:spPr/>
      <dgm:t>
        <a:bodyPr/>
        <a:lstStyle/>
        <a:p>
          <a:endParaRPr lang="en-AU"/>
        </a:p>
      </dgm:t>
    </dgm:pt>
    <dgm:pt modelId="{BF199A0F-3ECA-4786-9BC7-9174AFE9224E}" type="pres">
      <dgm:prSet presAssocID="{73E9867F-4425-4435-837C-AE29ED24E32F}" presName="LevelOneTextNode" presStyleLbl="node0" presStyleIdx="0" presStyleCnt="1" custScaleX="30205" custScaleY="28481" custLinFactNeighborX="-12" custLinFactNeighborY="52395">
        <dgm:presLayoutVars>
          <dgm:chPref val="3"/>
        </dgm:presLayoutVars>
      </dgm:prSet>
      <dgm:spPr/>
      <dgm:t>
        <a:bodyPr/>
        <a:lstStyle/>
        <a:p>
          <a:endParaRPr lang="en-AU"/>
        </a:p>
      </dgm:t>
    </dgm:pt>
    <dgm:pt modelId="{5063C696-CC5A-4E1B-9F26-6B5FD59B32A0}" type="pres">
      <dgm:prSet presAssocID="{73E9867F-4425-4435-837C-AE29ED24E32F}" presName="level2hierChild" presStyleCnt="0"/>
      <dgm:spPr/>
      <dgm:t>
        <a:bodyPr/>
        <a:lstStyle/>
        <a:p>
          <a:endParaRPr lang="en-AU"/>
        </a:p>
      </dgm:t>
    </dgm:pt>
    <dgm:pt modelId="{EDE4464F-E059-3844-A0FE-D5C2E44B2DEA}" type="pres">
      <dgm:prSet presAssocID="{39494DD6-16B1-42DA-8C35-89A57E80C17F}" presName="conn2-1" presStyleLbl="parChTrans1D2" presStyleIdx="0" presStyleCnt="2"/>
      <dgm:spPr/>
      <dgm:t>
        <a:bodyPr/>
        <a:lstStyle/>
        <a:p>
          <a:endParaRPr lang="en-US"/>
        </a:p>
      </dgm:t>
    </dgm:pt>
    <dgm:pt modelId="{E76D907A-DF88-9A4D-B42B-9EE67F28BB06}" type="pres">
      <dgm:prSet presAssocID="{39494DD6-16B1-42DA-8C35-89A57E80C17F}" presName="connTx" presStyleLbl="parChTrans1D2" presStyleIdx="0" presStyleCnt="2"/>
      <dgm:spPr/>
      <dgm:t>
        <a:bodyPr/>
        <a:lstStyle/>
        <a:p>
          <a:endParaRPr lang="en-US"/>
        </a:p>
      </dgm:t>
    </dgm:pt>
    <dgm:pt modelId="{300761B3-43AE-9C4B-8C50-01D42EBE916A}" type="pres">
      <dgm:prSet presAssocID="{BB90B614-EDD1-43D8-A7B4-C0E9D0E2F90B}" presName="root2" presStyleCnt="0"/>
      <dgm:spPr/>
    </dgm:pt>
    <dgm:pt modelId="{141257FD-3D82-9446-8880-D360C84D6F8B}" type="pres">
      <dgm:prSet presAssocID="{BB90B614-EDD1-43D8-A7B4-C0E9D0E2F90B}" presName="LevelTwoTextNode" presStyleLbl="node2" presStyleIdx="0" presStyleCnt="2" custScaleX="40665" custScaleY="30892">
        <dgm:presLayoutVars>
          <dgm:chPref val="3"/>
        </dgm:presLayoutVars>
      </dgm:prSet>
      <dgm:spPr/>
      <dgm:t>
        <a:bodyPr/>
        <a:lstStyle/>
        <a:p>
          <a:endParaRPr lang="en-US"/>
        </a:p>
      </dgm:t>
    </dgm:pt>
    <dgm:pt modelId="{75073242-97B0-BD41-90E4-C09D3DC2C6DB}" type="pres">
      <dgm:prSet presAssocID="{BB90B614-EDD1-43D8-A7B4-C0E9D0E2F90B}" presName="level3hierChild" presStyleCnt="0"/>
      <dgm:spPr/>
    </dgm:pt>
    <dgm:pt modelId="{31156F20-8660-864C-B882-CA3114B1A941}" type="pres">
      <dgm:prSet presAssocID="{62870014-D156-C14B-8B82-E79DD8192BCC}" presName="conn2-1" presStyleLbl="parChTrans1D3" presStyleIdx="0" presStyleCnt="5"/>
      <dgm:spPr/>
      <dgm:t>
        <a:bodyPr/>
        <a:lstStyle/>
        <a:p>
          <a:endParaRPr lang="en-AU"/>
        </a:p>
      </dgm:t>
    </dgm:pt>
    <dgm:pt modelId="{100ECB94-0DE1-0C47-935B-9FCFF97F6C8C}" type="pres">
      <dgm:prSet presAssocID="{62870014-D156-C14B-8B82-E79DD8192BCC}" presName="connTx" presStyleLbl="parChTrans1D3" presStyleIdx="0" presStyleCnt="5"/>
      <dgm:spPr/>
      <dgm:t>
        <a:bodyPr/>
        <a:lstStyle/>
        <a:p>
          <a:endParaRPr lang="en-AU"/>
        </a:p>
      </dgm:t>
    </dgm:pt>
    <dgm:pt modelId="{3D8457A0-85B4-564C-9472-AD2C6F999BA2}" type="pres">
      <dgm:prSet presAssocID="{412AEE0A-ACA1-4541-9F32-3B405F484C0A}" presName="root2" presStyleCnt="0"/>
      <dgm:spPr/>
    </dgm:pt>
    <dgm:pt modelId="{83FDAB8F-B83B-FF42-83B2-2976528FF2D7}" type="pres">
      <dgm:prSet presAssocID="{412AEE0A-ACA1-4541-9F32-3B405F484C0A}" presName="LevelTwoTextNode" presStyleLbl="node3" presStyleIdx="0" presStyleCnt="5" custScaleX="40619" custScaleY="28847" custLinFactNeighborX="-4999" custLinFactNeighborY="-2799">
        <dgm:presLayoutVars>
          <dgm:chPref val="3"/>
        </dgm:presLayoutVars>
      </dgm:prSet>
      <dgm:spPr/>
      <dgm:t>
        <a:bodyPr/>
        <a:lstStyle/>
        <a:p>
          <a:endParaRPr lang="en-US"/>
        </a:p>
      </dgm:t>
    </dgm:pt>
    <dgm:pt modelId="{B3D72F9F-7938-A04C-9C11-F68A963D7DEE}" type="pres">
      <dgm:prSet presAssocID="{412AEE0A-ACA1-4541-9F32-3B405F484C0A}" presName="level3hierChild" presStyleCnt="0"/>
      <dgm:spPr/>
    </dgm:pt>
    <dgm:pt modelId="{40B94147-4B5B-48E4-9EE0-7641FC75D1F5}" type="pres">
      <dgm:prSet presAssocID="{7A31A2EE-3871-4897-BCE8-810380F670D7}" presName="conn2-1" presStyleLbl="parChTrans1D2" presStyleIdx="1" presStyleCnt="2"/>
      <dgm:spPr/>
      <dgm:t>
        <a:bodyPr/>
        <a:lstStyle/>
        <a:p>
          <a:endParaRPr lang="en-AU"/>
        </a:p>
      </dgm:t>
    </dgm:pt>
    <dgm:pt modelId="{EACB0DBC-077A-4B82-8AD3-E0C54738E25F}" type="pres">
      <dgm:prSet presAssocID="{7A31A2EE-3871-4897-BCE8-810380F670D7}" presName="connTx" presStyleLbl="parChTrans1D2" presStyleIdx="1" presStyleCnt="2"/>
      <dgm:spPr/>
      <dgm:t>
        <a:bodyPr/>
        <a:lstStyle/>
        <a:p>
          <a:endParaRPr lang="en-AU"/>
        </a:p>
      </dgm:t>
    </dgm:pt>
    <dgm:pt modelId="{3C570BE2-2200-4F6C-B60C-3DF541D435A6}" type="pres">
      <dgm:prSet presAssocID="{574D894F-899B-436C-A3B4-C862B1ABB268}" presName="root2" presStyleCnt="0"/>
      <dgm:spPr/>
      <dgm:t>
        <a:bodyPr/>
        <a:lstStyle/>
        <a:p>
          <a:endParaRPr lang="en-AU"/>
        </a:p>
      </dgm:t>
    </dgm:pt>
    <dgm:pt modelId="{226C679B-7CC5-4699-95AD-03023770406B}" type="pres">
      <dgm:prSet presAssocID="{574D894F-899B-436C-A3B4-C862B1ABB268}" presName="LevelTwoTextNode" presStyleLbl="node2" presStyleIdx="1" presStyleCnt="2" custScaleX="40529" custScaleY="33921" custLinFactNeighborX="556" custLinFactNeighborY="35785">
        <dgm:presLayoutVars>
          <dgm:chPref val="3"/>
        </dgm:presLayoutVars>
      </dgm:prSet>
      <dgm:spPr/>
      <dgm:t>
        <a:bodyPr/>
        <a:lstStyle/>
        <a:p>
          <a:endParaRPr lang="en-AU"/>
        </a:p>
      </dgm:t>
    </dgm:pt>
    <dgm:pt modelId="{A0BFE0E6-53D1-4D79-9792-F67482132963}" type="pres">
      <dgm:prSet presAssocID="{574D894F-899B-436C-A3B4-C862B1ABB268}" presName="level3hierChild" presStyleCnt="0"/>
      <dgm:spPr/>
      <dgm:t>
        <a:bodyPr/>
        <a:lstStyle/>
        <a:p>
          <a:endParaRPr lang="en-AU"/>
        </a:p>
      </dgm:t>
    </dgm:pt>
    <dgm:pt modelId="{28F8F428-723D-4BEF-AF5A-42639A56F84D}" type="pres">
      <dgm:prSet presAssocID="{49C12040-DCBC-4989-8D3B-414C7088C01C}" presName="conn2-1" presStyleLbl="parChTrans1D3" presStyleIdx="1" presStyleCnt="5"/>
      <dgm:spPr/>
      <dgm:t>
        <a:bodyPr/>
        <a:lstStyle/>
        <a:p>
          <a:endParaRPr lang="en-AU"/>
        </a:p>
      </dgm:t>
    </dgm:pt>
    <dgm:pt modelId="{86EE7708-B1BB-4649-84DE-5243390B26D4}" type="pres">
      <dgm:prSet presAssocID="{49C12040-DCBC-4989-8D3B-414C7088C01C}" presName="connTx" presStyleLbl="parChTrans1D3" presStyleIdx="1" presStyleCnt="5"/>
      <dgm:spPr/>
      <dgm:t>
        <a:bodyPr/>
        <a:lstStyle/>
        <a:p>
          <a:endParaRPr lang="en-AU"/>
        </a:p>
      </dgm:t>
    </dgm:pt>
    <dgm:pt modelId="{7320263E-1460-4B66-BF26-EEA4387B3B84}" type="pres">
      <dgm:prSet presAssocID="{0DBA38A6-E666-4D02-90A9-FAFA01D29AB4}" presName="root2" presStyleCnt="0"/>
      <dgm:spPr/>
      <dgm:t>
        <a:bodyPr/>
        <a:lstStyle/>
        <a:p>
          <a:endParaRPr lang="en-AU"/>
        </a:p>
      </dgm:t>
    </dgm:pt>
    <dgm:pt modelId="{412A5A97-815F-4E80-A16E-7E8C8833B533}" type="pres">
      <dgm:prSet presAssocID="{0DBA38A6-E666-4D02-90A9-FAFA01D29AB4}" presName="LevelTwoTextNode" presStyleLbl="node3" presStyleIdx="1" presStyleCnt="5" custScaleX="34412" custScaleY="42522" custLinFactNeighborX="-8894" custLinFactNeighborY="16327">
        <dgm:presLayoutVars>
          <dgm:chPref val="3"/>
        </dgm:presLayoutVars>
      </dgm:prSet>
      <dgm:spPr/>
      <dgm:t>
        <a:bodyPr/>
        <a:lstStyle/>
        <a:p>
          <a:endParaRPr lang="en-AU"/>
        </a:p>
      </dgm:t>
    </dgm:pt>
    <dgm:pt modelId="{63D806FF-45A5-4E20-AE30-350FA0152C6F}" type="pres">
      <dgm:prSet presAssocID="{0DBA38A6-E666-4D02-90A9-FAFA01D29AB4}" presName="level3hierChild" presStyleCnt="0"/>
      <dgm:spPr/>
      <dgm:t>
        <a:bodyPr/>
        <a:lstStyle/>
        <a:p>
          <a:endParaRPr lang="en-AU"/>
        </a:p>
      </dgm:t>
    </dgm:pt>
    <dgm:pt modelId="{5CFC8F18-B81B-40F8-906A-4B026F76BB1B}" type="pres">
      <dgm:prSet presAssocID="{8CF268EE-7786-46FB-8D19-A40545578D1F}" presName="conn2-1" presStyleLbl="parChTrans1D3" presStyleIdx="2" presStyleCnt="5"/>
      <dgm:spPr/>
      <dgm:t>
        <a:bodyPr/>
        <a:lstStyle/>
        <a:p>
          <a:endParaRPr lang="en-AU"/>
        </a:p>
      </dgm:t>
    </dgm:pt>
    <dgm:pt modelId="{017CD23F-1E80-4EAF-BF11-FC87359A0106}" type="pres">
      <dgm:prSet presAssocID="{8CF268EE-7786-46FB-8D19-A40545578D1F}" presName="connTx" presStyleLbl="parChTrans1D3" presStyleIdx="2" presStyleCnt="5"/>
      <dgm:spPr/>
      <dgm:t>
        <a:bodyPr/>
        <a:lstStyle/>
        <a:p>
          <a:endParaRPr lang="en-AU"/>
        </a:p>
      </dgm:t>
    </dgm:pt>
    <dgm:pt modelId="{2164EF12-90D5-4C50-9C18-E059E054FBE0}" type="pres">
      <dgm:prSet presAssocID="{7400DA68-33CA-47A2-951F-9730C9FC85C9}" presName="root2" presStyleCnt="0"/>
      <dgm:spPr/>
      <dgm:t>
        <a:bodyPr/>
        <a:lstStyle/>
        <a:p>
          <a:endParaRPr lang="en-AU"/>
        </a:p>
      </dgm:t>
    </dgm:pt>
    <dgm:pt modelId="{7C6522E4-79BC-404E-A5FC-B9F4D6185665}" type="pres">
      <dgm:prSet presAssocID="{7400DA68-33CA-47A2-951F-9730C9FC85C9}" presName="LevelTwoTextNode" presStyleLbl="node3" presStyleIdx="2" presStyleCnt="5" custScaleX="31765" custScaleY="31110" custLinFactNeighborX="-9247" custLinFactNeighborY="77626">
        <dgm:presLayoutVars>
          <dgm:chPref val="3"/>
        </dgm:presLayoutVars>
      </dgm:prSet>
      <dgm:spPr/>
      <dgm:t>
        <a:bodyPr/>
        <a:lstStyle/>
        <a:p>
          <a:endParaRPr lang="en-AU"/>
        </a:p>
      </dgm:t>
    </dgm:pt>
    <dgm:pt modelId="{D43E0B23-EB19-4453-9BCF-69F2C00B0F2C}" type="pres">
      <dgm:prSet presAssocID="{7400DA68-33CA-47A2-951F-9730C9FC85C9}" presName="level3hierChild" presStyleCnt="0"/>
      <dgm:spPr/>
      <dgm:t>
        <a:bodyPr/>
        <a:lstStyle/>
        <a:p>
          <a:endParaRPr lang="en-AU"/>
        </a:p>
      </dgm:t>
    </dgm:pt>
    <dgm:pt modelId="{894521F2-1906-49B3-A792-A75934F9D19E}" type="pres">
      <dgm:prSet presAssocID="{3B0C1AEF-5FB4-4DC2-9099-E96B4E1F68D6}" presName="conn2-1" presStyleLbl="parChTrans1D4" presStyleIdx="0" presStyleCnt="4"/>
      <dgm:spPr/>
      <dgm:t>
        <a:bodyPr/>
        <a:lstStyle/>
        <a:p>
          <a:endParaRPr lang="en-AU"/>
        </a:p>
      </dgm:t>
    </dgm:pt>
    <dgm:pt modelId="{6A4E403F-042E-448A-820D-C3679365D4C9}" type="pres">
      <dgm:prSet presAssocID="{3B0C1AEF-5FB4-4DC2-9099-E96B4E1F68D6}" presName="connTx" presStyleLbl="parChTrans1D4" presStyleIdx="0" presStyleCnt="4"/>
      <dgm:spPr/>
      <dgm:t>
        <a:bodyPr/>
        <a:lstStyle/>
        <a:p>
          <a:endParaRPr lang="en-AU"/>
        </a:p>
      </dgm:t>
    </dgm:pt>
    <dgm:pt modelId="{75387508-799F-404B-924C-DC679F7ABE32}" type="pres">
      <dgm:prSet presAssocID="{D07C75A5-0D5C-4CD1-9E19-25FB221A12E6}" presName="root2" presStyleCnt="0"/>
      <dgm:spPr/>
      <dgm:t>
        <a:bodyPr/>
        <a:lstStyle/>
        <a:p>
          <a:endParaRPr lang="en-AU"/>
        </a:p>
      </dgm:t>
    </dgm:pt>
    <dgm:pt modelId="{CFEC438F-ED47-4EE2-89AF-0A2BDE1DEA44}" type="pres">
      <dgm:prSet presAssocID="{D07C75A5-0D5C-4CD1-9E19-25FB221A12E6}" presName="LevelTwoTextNode" presStyleLbl="node4" presStyleIdx="0" presStyleCnt="4" custScaleX="39095" custScaleY="25597" custLinFactNeighborX="-7184" custLinFactNeighborY="49609">
        <dgm:presLayoutVars>
          <dgm:chPref val="3"/>
        </dgm:presLayoutVars>
      </dgm:prSet>
      <dgm:spPr/>
      <dgm:t>
        <a:bodyPr/>
        <a:lstStyle/>
        <a:p>
          <a:endParaRPr lang="en-AU"/>
        </a:p>
      </dgm:t>
    </dgm:pt>
    <dgm:pt modelId="{A2A23B0A-D150-4073-979A-D185B1954F8B}" type="pres">
      <dgm:prSet presAssocID="{D07C75A5-0D5C-4CD1-9E19-25FB221A12E6}" presName="level3hierChild" presStyleCnt="0"/>
      <dgm:spPr/>
      <dgm:t>
        <a:bodyPr/>
        <a:lstStyle/>
        <a:p>
          <a:endParaRPr lang="en-AU"/>
        </a:p>
      </dgm:t>
    </dgm:pt>
    <dgm:pt modelId="{A08518E1-1E2B-438F-90B3-8457E9D6DE6A}" type="pres">
      <dgm:prSet presAssocID="{8DF55F58-D1CC-4BFB-89A1-C4308BAE64E9}" presName="conn2-1" presStyleLbl="parChTrans1D4" presStyleIdx="1" presStyleCnt="4"/>
      <dgm:spPr/>
      <dgm:t>
        <a:bodyPr/>
        <a:lstStyle/>
        <a:p>
          <a:endParaRPr lang="en-AU"/>
        </a:p>
      </dgm:t>
    </dgm:pt>
    <dgm:pt modelId="{2F3E165B-C8AA-4528-9265-44B0771D82DA}" type="pres">
      <dgm:prSet presAssocID="{8DF55F58-D1CC-4BFB-89A1-C4308BAE64E9}" presName="connTx" presStyleLbl="parChTrans1D4" presStyleIdx="1" presStyleCnt="4"/>
      <dgm:spPr/>
      <dgm:t>
        <a:bodyPr/>
        <a:lstStyle/>
        <a:p>
          <a:endParaRPr lang="en-AU"/>
        </a:p>
      </dgm:t>
    </dgm:pt>
    <dgm:pt modelId="{30B76C17-C21F-4DAB-B4D1-DE32BDDFA782}" type="pres">
      <dgm:prSet presAssocID="{39BE447E-DC92-4F65-A0C2-528B349A4DA8}" presName="root2" presStyleCnt="0"/>
      <dgm:spPr/>
      <dgm:t>
        <a:bodyPr/>
        <a:lstStyle/>
        <a:p>
          <a:endParaRPr lang="en-AU"/>
        </a:p>
      </dgm:t>
    </dgm:pt>
    <dgm:pt modelId="{714F06D5-0BAF-44A7-8D4F-7C077D1AE502}" type="pres">
      <dgm:prSet presAssocID="{39BE447E-DC92-4F65-A0C2-528B349A4DA8}" presName="LevelTwoTextNode" presStyleLbl="node4" presStyleIdx="1" presStyleCnt="4" custScaleX="41689" custScaleY="25163" custLinFactNeighborX="-7184" custLinFactNeighborY="50992">
        <dgm:presLayoutVars>
          <dgm:chPref val="3"/>
        </dgm:presLayoutVars>
      </dgm:prSet>
      <dgm:spPr/>
      <dgm:t>
        <a:bodyPr/>
        <a:lstStyle/>
        <a:p>
          <a:endParaRPr lang="en-AU"/>
        </a:p>
      </dgm:t>
    </dgm:pt>
    <dgm:pt modelId="{CBC91F17-11B5-4A63-8714-EDCC534FDF18}" type="pres">
      <dgm:prSet presAssocID="{39BE447E-DC92-4F65-A0C2-528B349A4DA8}" presName="level3hierChild" presStyleCnt="0"/>
      <dgm:spPr/>
      <dgm:t>
        <a:bodyPr/>
        <a:lstStyle/>
        <a:p>
          <a:endParaRPr lang="en-AU"/>
        </a:p>
      </dgm:t>
    </dgm:pt>
    <dgm:pt modelId="{D2F97983-3B45-44E8-86E4-8C9CC5B5C4BA}" type="pres">
      <dgm:prSet presAssocID="{7EFBE548-58A6-4FBD-8ADC-130312554C86}" presName="conn2-1" presStyleLbl="parChTrans1D4" presStyleIdx="2" presStyleCnt="4"/>
      <dgm:spPr/>
      <dgm:t>
        <a:bodyPr/>
        <a:lstStyle/>
        <a:p>
          <a:endParaRPr lang="en-AU"/>
        </a:p>
      </dgm:t>
    </dgm:pt>
    <dgm:pt modelId="{35E00BCD-D719-4410-A032-5CE055AC84AA}" type="pres">
      <dgm:prSet presAssocID="{7EFBE548-58A6-4FBD-8ADC-130312554C86}" presName="connTx" presStyleLbl="parChTrans1D4" presStyleIdx="2" presStyleCnt="4"/>
      <dgm:spPr/>
      <dgm:t>
        <a:bodyPr/>
        <a:lstStyle/>
        <a:p>
          <a:endParaRPr lang="en-AU"/>
        </a:p>
      </dgm:t>
    </dgm:pt>
    <dgm:pt modelId="{DFCE91A1-D8FD-4F93-9AE7-52E5867C3650}" type="pres">
      <dgm:prSet presAssocID="{77825092-5B31-4579-AD05-33EC4F73B37F}" presName="root2" presStyleCnt="0"/>
      <dgm:spPr/>
      <dgm:t>
        <a:bodyPr/>
        <a:lstStyle/>
        <a:p>
          <a:endParaRPr lang="en-AU"/>
        </a:p>
      </dgm:t>
    </dgm:pt>
    <dgm:pt modelId="{46003335-3269-4E83-9FCE-D64015473B64}" type="pres">
      <dgm:prSet presAssocID="{77825092-5B31-4579-AD05-33EC4F73B37F}" presName="LevelTwoTextNode" presStyleLbl="node4" presStyleIdx="2" presStyleCnt="4" custScaleX="42360" custScaleY="28241" custLinFactNeighborX="-7184" custLinFactNeighborY="52810">
        <dgm:presLayoutVars>
          <dgm:chPref val="3"/>
        </dgm:presLayoutVars>
      </dgm:prSet>
      <dgm:spPr/>
      <dgm:t>
        <a:bodyPr/>
        <a:lstStyle/>
        <a:p>
          <a:endParaRPr lang="en-AU"/>
        </a:p>
      </dgm:t>
    </dgm:pt>
    <dgm:pt modelId="{88ABDFA0-01F4-4F9C-B35F-E8711784D263}" type="pres">
      <dgm:prSet presAssocID="{77825092-5B31-4579-AD05-33EC4F73B37F}" presName="level3hierChild" presStyleCnt="0"/>
      <dgm:spPr/>
      <dgm:t>
        <a:bodyPr/>
        <a:lstStyle/>
        <a:p>
          <a:endParaRPr lang="en-AU"/>
        </a:p>
      </dgm:t>
    </dgm:pt>
    <dgm:pt modelId="{031C4A7E-35C8-47C1-AC15-8CDB887042E0}" type="pres">
      <dgm:prSet presAssocID="{BE177A7C-421B-4C3A-B275-EEE7554FB53D}" presName="conn2-1" presStyleLbl="parChTrans1D4" presStyleIdx="3" presStyleCnt="4"/>
      <dgm:spPr/>
      <dgm:t>
        <a:bodyPr/>
        <a:lstStyle/>
        <a:p>
          <a:endParaRPr lang="en-AU"/>
        </a:p>
      </dgm:t>
    </dgm:pt>
    <dgm:pt modelId="{D4028C41-0127-4F2B-A1CA-41C6DA9CE109}" type="pres">
      <dgm:prSet presAssocID="{BE177A7C-421B-4C3A-B275-EEE7554FB53D}" presName="connTx" presStyleLbl="parChTrans1D4" presStyleIdx="3" presStyleCnt="4"/>
      <dgm:spPr/>
      <dgm:t>
        <a:bodyPr/>
        <a:lstStyle/>
        <a:p>
          <a:endParaRPr lang="en-AU"/>
        </a:p>
      </dgm:t>
    </dgm:pt>
    <dgm:pt modelId="{5AD7EED6-CFD2-4134-AB65-E00E0978FA1D}" type="pres">
      <dgm:prSet presAssocID="{B9821F29-A961-497A-A053-D5F24D8C1BFB}" presName="root2" presStyleCnt="0"/>
      <dgm:spPr/>
      <dgm:t>
        <a:bodyPr/>
        <a:lstStyle/>
        <a:p>
          <a:endParaRPr lang="en-AU"/>
        </a:p>
      </dgm:t>
    </dgm:pt>
    <dgm:pt modelId="{8D49B7CE-DA24-4401-AA2D-49FEE877A11A}" type="pres">
      <dgm:prSet presAssocID="{B9821F29-A961-497A-A053-D5F24D8C1BFB}" presName="LevelTwoTextNode" presStyleLbl="node4" presStyleIdx="3" presStyleCnt="4" custScaleX="45130" custScaleY="25739" custLinFactNeighborX="-7184" custLinFactNeighborY="51554">
        <dgm:presLayoutVars>
          <dgm:chPref val="3"/>
        </dgm:presLayoutVars>
      </dgm:prSet>
      <dgm:spPr/>
      <dgm:t>
        <a:bodyPr/>
        <a:lstStyle/>
        <a:p>
          <a:endParaRPr lang="en-AU"/>
        </a:p>
      </dgm:t>
    </dgm:pt>
    <dgm:pt modelId="{53278250-1479-40BE-8471-10F5F49072D6}" type="pres">
      <dgm:prSet presAssocID="{B9821F29-A961-497A-A053-D5F24D8C1BFB}" presName="level3hierChild" presStyleCnt="0"/>
      <dgm:spPr/>
      <dgm:t>
        <a:bodyPr/>
        <a:lstStyle/>
        <a:p>
          <a:endParaRPr lang="en-AU"/>
        </a:p>
      </dgm:t>
    </dgm:pt>
    <dgm:pt modelId="{90C9D0C5-0AE7-476F-8EEF-53F54257BC62}" type="pres">
      <dgm:prSet presAssocID="{6C06BB41-A397-4EEC-9ABD-B4C10BD61A42}" presName="conn2-1" presStyleLbl="parChTrans1D3" presStyleIdx="3" presStyleCnt="5"/>
      <dgm:spPr/>
      <dgm:t>
        <a:bodyPr/>
        <a:lstStyle/>
        <a:p>
          <a:endParaRPr lang="en-AU"/>
        </a:p>
      </dgm:t>
    </dgm:pt>
    <dgm:pt modelId="{A6314FEE-2758-4147-8CA3-BB0B790465CF}" type="pres">
      <dgm:prSet presAssocID="{6C06BB41-A397-4EEC-9ABD-B4C10BD61A42}" presName="connTx" presStyleLbl="parChTrans1D3" presStyleIdx="3" presStyleCnt="5"/>
      <dgm:spPr/>
      <dgm:t>
        <a:bodyPr/>
        <a:lstStyle/>
        <a:p>
          <a:endParaRPr lang="en-AU"/>
        </a:p>
      </dgm:t>
    </dgm:pt>
    <dgm:pt modelId="{F475AE9F-13AD-435A-B2B9-C5CD8E5404FD}" type="pres">
      <dgm:prSet presAssocID="{92AACB06-F4E8-4761-AB7B-976640492794}" presName="root2" presStyleCnt="0"/>
      <dgm:spPr/>
      <dgm:t>
        <a:bodyPr/>
        <a:lstStyle/>
        <a:p>
          <a:endParaRPr lang="en-AU"/>
        </a:p>
      </dgm:t>
    </dgm:pt>
    <dgm:pt modelId="{E35192BE-814C-4639-85AF-02A4DB1E17D5}" type="pres">
      <dgm:prSet presAssocID="{92AACB06-F4E8-4761-AB7B-976640492794}" presName="LevelTwoTextNode" presStyleLbl="node3" presStyleIdx="3" presStyleCnt="5" custScaleX="30923" custScaleY="23761" custLinFactNeighborX="-8891" custLinFactNeighborY="-13825">
        <dgm:presLayoutVars>
          <dgm:chPref val="3"/>
        </dgm:presLayoutVars>
      </dgm:prSet>
      <dgm:spPr/>
      <dgm:t>
        <a:bodyPr/>
        <a:lstStyle/>
        <a:p>
          <a:endParaRPr lang="en-AU"/>
        </a:p>
      </dgm:t>
    </dgm:pt>
    <dgm:pt modelId="{142B79B1-8D05-48D4-A5BB-878423A8ACAD}" type="pres">
      <dgm:prSet presAssocID="{92AACB06-F4E8-4761-AB7B-976640492794}" presName="level3hierChild" presStyleCnt="0"/>
      <dgm:spPr/>
      <dgm:t>
        <a:bodyPr/>
        <a:lstStyle/>
        <a:p>
          <a:endParaRPr lang="en-AU"/>
        </a:p>
      </dgm:t>
    </dgm:pt>
    <dgm:pt modelId="{5AFA4497-A125-42B3-92C5-5BD60E96CC1A}" type="pres">
      <dgm:prSet presAssocID="{3E066C24-B7E7-43CB-8C4E-454350335B24}" presName="conn2-1" presStyleLbl="parChTrans1D3" presStyleIdx="4" presStyleCnt="5"/>
      <dgm:spPr/>
      <dgm:t>
        <a:bodyPr/>
        <a:lstStyle/>
        <a:p>
          <a:endParaRPr lang="en-AU"/>
        </a:p>
      </dgm:t>
    </dgm:pt>
    <dgm:pt modelId="{E1B9541B-5DCB-4FAC-95D2-3BD6192E7EBE}" type="pres">
      <dgm:prSet presAssocID="{3E066C24-B7E7-43CB-8C4E-454350335B24}" presName="connTx" presStyleLbl="parChTrans1D3" presStyleIdx="4" presStyleCnt="5"/>
      <dgm:spPr/>
      <dgm:t>
        <a:bodyPr/>
        <a:lstStyle/>
        <a:p>
          <a:endParaRPr lang="en-AU"/>
        </a:p>
      </dgm:t>
    </dgm:pt>
    <dgm:pt modelId="{552CBF26-E5FA-4A12-AA27-5EF8ABC84970}" type="pres">
      <dgm:prSet presAssocID="{AA58DBAE-8307-484B-A63C-6EB3BEA7E3D7}" presName="root2" presStyleCnt="0"/>
      <dgm:spPr/>
      <dgm:t>
        <a:bodyPr/>
        <a:lstStyle/>
        <a:p>
          <a:endParaRPr lang="en-AU"/>
        </a:p>
      </dgm:t>
    </dgm:pt>
    <dgm:pt modelId="{470EEA8B-08A1-458C-9440-63D22C24D654}" type="pres">
      <dgm:prSet presAssocID="{AA58DBAE-8307-484B-A63C-6EB3BEA7E3D7}" presName="LevelTwoTextNode" presStyleLbl="node3" presStyleIdx="4" presStyleCnt="5" custScaleX="52059" custScaleY="29651" custLinFactNeighborX="-8893" custLinFactNeighborY="52381">
        <dgm:presLayoutVars>
          <dgm:chPref val="3"/>
        </dgm:presLayoutVars>
      </dgm:prSet>
      <dgm:spPr/>
      <dgm:t>
        <a:bodyPr/>
        <a:lstStyle/>
        <a:p>
          <a:endParaRPr lang="en-AU"/>
        </a:p>
      </dgm:t>
    </dgm:pt>
    <dgm:pt modelId="{E363E580-E9AD-457A-AACA-F5EA0CC9F828}" type="pres">
      <dgm:prSet presAssocID="{AA58DBAE-8307-484B-A63C-6EB3BEA7E3D7}" presName="level3hierChild" presStyleCnt="0"/>
      <dgm:spPr/>
      <dgm:t>
        <a:bodyPr/>
        <a:lstStyle/>
        <a:p>
          <a:endParaRPr lang="en-AU"/>
        </a:p>
      </dgm:t>
    </dgm:pt>
  </dgm:ptLst>
  <dgm:cxnLst>
    <dgm:cxn modelId="{CADD521C-46D3-4EDA-80CF-BABF7DC21D79}" type="presOf" srcId="{7EFBE548-58A6-4FBD-8ADC-130312554C86}" destId="{D2F97983-3B45-44E8-86E4-8C9CC5B5C4BA}" srcOrd="0" destOrd="0" presId="urn:microsoft.com/office/officeart/2005/8/layout/hierarchy2"/>
    <dgm:cxn modelId="{79E36C15-2FA6-4971-ACA9-D1FBCE83F737}" type="presOf" srcId="{412AEE0A-ACA1-4541-9F32-3B405F484C0A}" destId="{83FDAB8F-B83B-FF42-83B2-2976528FF2D7}" srcOrd="0" destOrd="0" presId="urn:microsoft.com/office/officeart/2005/8/layout/hierarchy2"/>
    <dgm:cxn modelId="{41481581-3FE9-4991-85A6-D9A993A01C04}" type="presOf" srcId="{62870014-D156-C14B-8B82-E79DD8192BCC}" destId="{31156F20-8660-864C-B882-CA3114B1A941}" srcOrd="0" destOrd="0" presId="urn:microsoft.com/office/officeart/2005/8/layout/hierarchy2"/>
    <dgm:cxn modelId="{48E361A0-5660-4496-AAC6-C314D91F8709}" type="presOf" srcId="{BE177A7C-421B-4C3A-B275-EEE7554FB53D}" destId="{D4028C41-0127-4F2B-A1CA-41C6DA9CE109}" srcOrd="1" destOrd="0" presId="urn:microsoft.com/office/officeart/2005/8/layout/hierarchy2"/>
    <dgm:cxn modelId="{923FA5AB-C01D-4B2F-82E8-55C8CE0BBF84}" type="presOf" srcId="{6C06BB41-A397-4EEC-9ABD-B4C10BD61A42}" destId="{90C9D0C5-0AE7-476F-8EEF-53F54257BC62}" srcOrd="0" destOrd="0" presId="urn:microsoft.com/office/officeart/2005/8/layout/hierarchy2"/>
    <dgm:cxn modelId="{0151A0B6-71AB-458C-BAD5-7736E7A1E698}" type="presOf" srcId="{3B0C1AEF-5FB4-4DC2-9099-E96B4E1F68D6}" destId="{6A4E403F-042E-448A-820D-C3679365D4C9}" srcOrd="1" destOrd="0" presId="urn:microsoft.com/office/officeart/2005/8/layout/hierarchy2"/>
    <dgm:cxn modelId="{F81EE567-C775-40D9-A69A-E56074833EDB}" type="presOf" srcId="{AA58DBAE-8307-484B-A63C-6EB3BEA7E3D7}" destId="{470EEA8B-08A1-458C-9440-63D22C24D654}" srcOrd="0" destOrd="0" presId="urn:microsoft.com/office/officeart/2005/8/layout/hierarchy2"/>
    <dgm:cxn modelId="{DE3E96B2-CFCA-4BFF-B21E-27CF99E09EAE}" type="presOf" srcId="{7A31A2EE-3871-4897-BCE8-810380F670D7}" destId="{40B94147-4B5B-48E4-9EE0-7641FC75D1F5}" srcOrd="0" destOrd="0" presId="urn:microsoft.com/office/officeart/2005/8/layout/hierarchy2"/>
    <dgm:cxn modelId="{219C2E04-1BB4-49CE-B9B1-EF91E2605E2C}" type="presOf" srcId="{49C12040-DCBC-4989-8D3B-414C7088C01C}" destId="{86EE7708-B1BB-4649-84DE-5243390B26D4}" srcOrd="1" destOrd="0" presId="urn:microsoft.com/office/officeart/2005/8/layout/hierarchy2"/>
    <dgm:cxn modelId="{88872D29-0467-4CE4-A981-9A056283466C}" type="presOf" srcId="{73E9867F-4425-4435-837C-AE29ED24E32F}" destId="{BF199A0F-3ECA-4786-9BC7-9174AFE9224E}" srcOrd="0" destOrd="0" presId="urn:microsoft.com/office/officeart/2005/8/layout/hierarchy2"/>
    <dgm:cxn modelId="{C0E87433-4BAD-4A0F-9826-BC248ABBB220}" type="presOf" srcId="{D07C75A5-0D5C-4CD1-9E19-25FB221A12E6}" destId="{CFEC438F-ED47-4EE2-89AF-0A2BDE1DEA44}" srcOrd="0" destOrd="0" presId="urn:microsoft.com/office/officeart/2005/8/layout/hierarchy2"/>
    <dgm:cxn modelId="{250A6964-186A-437E-9793-9E779D001845}" type="presOf" srcId="{DCE623FB-D6A1-42F0-8339-5A81A1239E6D}" destId="{DC214A10-8E17-49F5-A7EF-BA86D5D69A8B}" srcOrd="0" destOrd="0" presId="urn:microsoft.com/office/officeart/2005/8/layout/hierarchy2"/>
    <dgm:cxn modelId="{1E1C8F7F-C055-40A8-82FF-23B209C4A1F6}" srcId="{574D894F-899B-436C-A3B4-C862B1ABB268}" destId="{92AACB06-F4E8-4761-AB7B-976640492794}" srcOrd="2" destOrd="0" parTransId="{6C06BB41-A397-4EEC-9ABD-B4C10BD61A42}" sibTransId="{7B285C87-C3A7-4890-A1E6-3B53C6D342ED}"/>
    <dgm:cxn modelId="{1691A9E9-6066-4FAE-A41D-DB0DB29D6033}" srcId="{7400DA68-33CA-47A2-951F-9730C9FC85C9}" destId="{B9821F29-A961-497A-A053-D5F24D8C1BFB}" srcOrd="3" destOrd="0" parTransId="{BE177A7C-421B-4C3A-B275-EEE7554FB53D}" sibTransId="{6155C319-2BBA-46AA-8592-14F3A0D39F32}"/>
    <dgm:cxn modelId="{876A97DF-E3BF-42D7-A0E0-88BBACA51AA7}" type="presOf" srcId="{7400DA68-33CA-47A2-951F-9730C9FC85C9}" destId="{7C6522E4-79BC-404E-A5FC-B9F4D6185665}" srcOrd="0" destOrd="0" presId="urn:microsoft.com/office/officeart/2005/8/layout/hierarchy2"/>
    <dgm:cxn modelId="{4BC85565-F596-46A9-BC01-DCFF681A8415}" type="presOf" srcId="{92AACB06-F4E8-4761-AB7B-976640492794}" destId="{E35192BE-814C-4639-85AF-02A4DB1E17D5}" srcOrd="0" destOrd="0" presId="urn:microsoft.com/office/officeart/2005/8/layout/hierarchy2"/>
    <dgm:cxn modelId="{55F119D2-8E1D-4223-B364-4E1D882D2089}" type="presOf" srcId="{0DBA38A6-E666-4D02-90A9-FAFA01D29AB4}" destId="{412A5A97-815F-4E80-A16E-7E8C8833B533}" srcOrd="0" destOrd="0" presId="urn:microsoft.com/office/officeart/2005/8/layout/hierarchy2"/>
    <dgm:cxn modelId="{940AF0DC-A27A-4959-A98D-FE358CE8339D}" type="presOf" srcId="{3E066C24-B7E7-43CB-8C4E-454350335B24}" destId="{E1B9541B-5DCB-4FAC-95D2-3BD6192E7EBE}" srcOrd="1" destOrd="0" presId="urn:microsoft.com/office/officeart/2005/8/layout/hierarchy2"/>
    <dgm:cxn modelId="{DB649C6C-5C0A-434E-BCFE-4FC1A843E0D3}" type="presOf" srcId="{39BE447E-DC92-4F65-A0C2-528B349A4DA8}" destId="{714F06D5-0BAF-44A7-8D4F-7C077D1AE502}" srcOrd="0" destOrd="0" presId="urn:microsoft.com/office/officeart/2005/8/layout/hierarchy2"/>
    <dgm:cxn modelId="{D64E969D-27A9-445A-8E03-91E3CFC36B99}" type="presOf" srcId="{8DF55F58-D1CC-4BFB-89A1-C4308BAE64E9}" destId="{A08518E1-1E2B-438F-90B3-8457E9D6DE6A}" srcOrd="0" destOrd="0" presId="urn:microsoft.com/office/officeart/2005/8/layout/hierarchy2"/>
    <dgm:cxn modelId="{8032D2B9-8C31-4709-A4DB-47245763B4E4}" type="presOf" srcId="{7A31A2EE-3871-4897-BCE8-810380F670D7}" destId="{EACB0DBC-077A-4B82-8AD3-E0C54738E25F}" srcOrd="1" destOrd="0" presId="urn:microsoft.com/office/officeart/2005/8/layout/hierarchy2"/>
    <dgm:cxn modelId="{037F6115-83D4-4F46-9A5D-4FC25E398D4C}" srcId="{7400DA68-33CA-47A2-951F-9730C9FC85C9}" destId="{77825092-5B31-4579-AD05-33EC4F73B37F}" srcOrd="2" destOrd="0" parTransId="{7EFBE548-58A6-4FBD-8ADC-130312554C86}" sibTransId="{08CDFAF9-F800-4812-8C8A-28323F0C9748}"/>
    <dgm:cxn modelId="{8AB8ADA8-C9C1-49D2-897F-F4C0A4443802}" srcId="{574D894F-899B-436C-A3B4-C862B1ABB268}" destId="{7400DA68-33CA-47A2-951F-9730C9FC85C9}" srcOrd="1" destOrd="0" parTransId="{8CF268EE-7786-46FB-8D19-A40545578D1F}" sibTransId="{51649F8C-B4A0-42A5-9FD1-DE3744F40939}"/>
    <dgm:cxn modelId="{50D4E1FF-FF65-4D22-AF7D-348C2B3754C2}" type="presOf" srcId="{BE177A7C-421B-4C3A-B275-EEE7554FB53D}" destId="{031C4A7E-35C8-47C1-AC15-8CDB887042E0}" srcOrd="0" destOrd="0" presId="urn:microsoft.com/office/officeart/2005/8/layout/hierarchy2"/>
    <dgm:cxn modelId="{AEBFEEB8-0F88-49B4-B2FC-ACF3AF406744}" srcId="{73E9867F-4425-4435-837C-AE29ED24E32F}" destId="{574D894F-899B-436C-A3B4-C862B1ABB268}" srcOrd="1" destOrd="0" parTransId="{7A31A2EE-3871-4897-BCE8-810380F670D7}" sibTransId="{D90EBDD8-CA75-4FD0-B864-A6E4693E3A36}"/>
    <dgm:cxn modelId="{52E43E1E-BF88-4E0C-910A-1960B7E4688C}" type="presOf" srcId="{49C12040-DCBC-4989-8D3B-414C7088C01C}" destId="{28F8F428-723D-4BEF-AF5A-42639A56F84D}" srcOrd="0" destOrd="0" presId="urn:microsoft.com/office/officeart/2005/8/layout/hierarchy2"/>
    <dgm:cxn modelId="{DF84281A-20C3-40CC-91B4-4691172CF25C}" type="presOf" srcId="{574D894F-899B-436C-A3B4-C862B1ABB268}" destId="{226C679B-7CC5-4699-95AD-03023770406B}" srcOrd="0" destOrd="0" presId="urn:microsoft.com/office/officeart/2005/8/layout/hierarchy2"/>
    <dgm:cxn modelId="{F7BB9DB4-41C5-9D4F-B59E-3EC4F97B0BA6}" srcId="{BB90B614-EDD1-43D8-A7B4-C0E9D0E2F90B}" destId="{412AEE0A-ACA1-4541-9F32-3B405F484C0A}" srcOrd="0" destOrd="0" parTransId="{62870014-D156-C14B-8B82-E79DD8192BCC}" sibTransId="{B89D8B30-2224-9242-96D7-6B0AC6B92EF3}"/>
    <dgm:cxn modelId="{FAB04B4D-2B70-4BF9-A4B9-4C972EAAF4AC}" type="presOf" srcId="{62870014-D156-C14B-8B82-E79DD8192BCC}" destId="{100ECB94-0DE1-0C47-935B-9FCFF97F6C8C}" srcOrd="1" destOrd="0" presId="urn:microsoft.com/office/officeart/2005/8/layout/hierarchy2"/>
    <dgm:cxn modelId="{874F7D08-B232-49CD-9935-6793CFDC9D46}" srcId="{7400DA68-33CA-47A2-951F-9730C9FC85C9}" destId="{39BE447E-DC92-4F65-A0C2-528B349A4DA8}" srcOrd="1" destOrd="0" parTransId="{8DF55F58-D1CC-4BFB-89A1-C4308BAE64E9}" sibTransId="{D49C4B18-888B-4F70-AB71-4C951E9575BB}"/>
    <dgm:cxn modelId="{10B0A711-2921-44AF-95AF-A39E0A58792D}" type="presOf" srcId="{7EFBE548-58A6-4FBD-8ADC-130312554C86}" destId="{35E00BCD-D719-4410-A032-5CE055AC84AA}" srcOrd="1" destOrd="0" presId="urn:microsoft.com/office/officeart/2005/8/layout/hierarchy2"/>
    <dgm:cxn modelId="{B0A323DA-CB4E-4723-A51C-651A56928DAA}" type="presOf" srcId="{39494DD6-16B1-42DA-8C35-89A57E80C17F}" destId="{E76D907A-DF88-9A4D-B42B-9EE67F28BB06}" srcOrd="1" destOrd="0" presId="urn:microsoft.com/office/officeart/2005/8/layout/hierarchy2"/>
    <dgm:cxn modelId="{C737A045-5C3B-4527-8EE0-8C9B83CDB38D}" type="presOf" srcId="{3E066C24-B7E7-43CB-8C4E-454350335B24}" destId="{5AFA4497-A125-42B3-92C5-5BD60E96CC1A}" srcOrd="0" destOrd="0" presId="urn:microsoft.com/office/officeart/2005/8/layout/hierarchy2"/>
    <dgm:cxn modelId="{312B8368-E476-44A8-99C7-0CD45C0A6E0B}" type="presOf" srcId="{8CF268EE-7786-46FB-8D19-A40545578D1F}" destId="{017CD23F-1E80-4EAF-BF11-FC87359A0106}" srcOrd="1" destOrd="0" presId="urn:microsoft.com/office/officeart/2005/8/layout/hierarchy2"/>
    <dgm:cxn modelId="{B7C8E604-8186-4886-B84D-276DDDEB9154}" type="presOf" srcId="{6C06BB41-A397-4EEC-9ABD-B4C10BD61A42}" destId="{A6314FEE-2758-4147-8CA3-BB0B790465CF}" srcOrd="1" destOrd="0" presId="urn:microsoft.com/office/officeart/2005/8/layout/hierarchy2"/>
    <dgm:cxn modelId="{FA792577-0D79-49E4-A929-F1C2A67E4930}" type="presOf" srcId="{8DF55F58-D1CC-4BFB-89A1-C4308BAE64E9}" destId="{2F3E165B-C8AA-4528-9265-44B0771D82DA}" srcOrd="1" destOrd="0" presId="urn:microsoft.com/office/officeart/2005/8/layout/hierarchy2"/>
    <dgm:cxn modelId="{9392CE56-9E42-442F-BE68-D060E36966DD}" type="presOf" srcId="{3B0C1AEF-5FB4-4DC2-9099-E96B4E1F68D6}" destId="{894521F2-1906-49B3-A792-A75934F9D19E}" srcOrd="0" destOrd="0" presId="urn:microsoft.com/office/officeart/2005/8/layout/hierarchy2"/>
    <dgm:cxn modelId="{15C069CB-C7E1-4C54-87CF-95B7686EF7D0}" srcId="{574D894F-899B-436C-A3B4-C862B1ABB268}" destId="{0DBA38A6-E666-4D02-90A9-FAFA01D29AB4}" srcOrd="0" destOrd="0" parTransId="{49C12040-DCBC-4989-8D3B-414C7088C01C}" sibTransId="{2775BA28-2AC5-409A-970E-025F31A98AC4}"/>
    <dgm:cxn modelId="{1D0718C0-3724-4E83-BED2-E6CF6EC2B870}" srcId="{574D894F-899B-436C-A3B4-C862B1ABB268}" destId="{AA58DBAE-8307-484B-A63C-6EB3BEA7E3D7}" srcOrd="3" destOrd="0" parTransId="{3E066C24-B7E7-43CB-8C4E-454350335B24}" sibTransId="{0DF67589-DFB6-4887-811F-6BFED05700DF}"/>
    <dgm:cxn modelId="{420C9404-DB27-40BF-A99D-9DE417A17EE4}" type="presOf" srcId="{BB90B614-EDD1-43D8-A7B4-C0E9D0E2F90B}" destId="{141257FD-3D82-9446-8880-D360C84D6F8B}" srcOrd="0" destOrd="0" presId="urn:microsoft.com/office/officeart/2005/8/layout/hierarchy2"/>
    <dgm:cxn modelId="{41C48506-2851-43AF-8BD1-0D8CD9F594C6}" type="presOf" srcId="{39494DD6-16B1-42DA-8C35-89A57E80C17F}" destId="{EDE4464F-E059-3844-A0FE-D5C2E44B2DEA}" srcOrd="0" destOrd="0" presId="urn:microsoft.com/office/officeart/2005/8/layout/hierarchy2"/>
    <dgm:cxn modelId="{42DFCCCA-E931-42D0-8E56-101FA4AE78DA}" srcId="{73E9867F-4425-4435-837C-AE29ED24E32F}" destId="{BB90B614-EDD1-43D8-A7B4-C0E9D0E2F90B}" srcOrd="0" destOrd="0" parTransId="{39494DD6-16B1-42DA-8C35-89A57E80C17F}" sibTransId="{13E40D5C-DE4A-44BA-A4B6-C32C1EADAD63}"/>
    <dgm:cxn modelId="{6DF4E7C7-C900-4BE3-88DC-00147AC9033B}" type="presOf" srcId="{77825092-5B31-4579-AD05-33EC4F73B37F}" destId="{46003335-3269-4E83-9FCE-D64015473B64}" srcOrd="0" destOrd="0" presId="urn:microsoft.com/office/officeart/2005/8/layout/hierarchy2"/>
    <dgm:cxn modelId="{BA4F1C8A-17BD-4CEF-A2A9-C371FCBCCFB6}" srcId="{DCE623FB-D6A1-42F0-8339-5A81A1239E6D}" destId="{73E9867F-4425-4435-837C-AE29ED24E32F}" srcOrd="0" destOrd="0" parTransId="{27806EAA-62AB-4AF0-987A-8AB71889DF05}" sibTransId="{DC8BC548-10BD-4502-9814-E668A20A344F}"/>
    <dgm:cxn modelId="{A4B711DB-E5A4-4CBD-9EA6-01C6C658ECF1}" type="presOf" srcId="{B9821F29-A961-497A-A053-D5F24D8C1BFB}" destId="{8D49B7CE-DA24-4401-AA2D-49FEE877A11A}" srcOrd="0" destOrd="0" presId="urn:microsoft.com/office/officeart/2005/8/layout/hierarchy2"/>
    <dgm:cxn modelId="{EC7C8FD2-3CDD-4D82-950A-88F4CD016FF1}" type="presOf" srcId="{8CF268EE-7786-46FB-8D19-A40545578D1F}" destId="{5CFC8F18-B81B-40F8-906A-4B026F76BB1B}" srcOrd="0" destOrd="0" presId="urn:microsoft.com/office/officeart/2005/8/layout/hierarchy2"/>
    <dgm:cxn modelId="{D4550022-2701-44FC-A030-79C4C1B1BD58}" srcId="{7400DA68-33CA-47A2-951F-9730C9FC85C9}" destId="{D07C75A5-0D5C-4CD1-9E19-25FB221A12E6}" srcOrd="0" destOrd="0" parTransId="{3B0C1AEF-5FB4-4DC2-9099-E96B4E1F68D6}" sibTransId="{9C555662-F99D-46BF-9072-191709B8CC9E}"/>
    <dgm:cxn modelId="{A47F3B7F-05ED-4274-8F2A-5A898F1D555D}" type="presParOf" srcId="{DC214A10-8E17-49F5-A7EF-BA86D5D69A8B}" destId="{05EA96B9-F460-4734-AB44-81C3D1965BFE}" srcOrd="0" destOrd="0" presId="urn:microsoft.com/office/officeart/2005/8/layout/hierarchy2"/>
    <dgm:cxn modelId="{130D267B-503D-4689-B59D-A47071C1253C}" type="presParOf" srcId="{05EA96B9-F460-4734-AB44-81C3D1965BFE}" destId="{BF199A0F-3ECA-4786-9BC7-9174AFE9224E}" srcOrd="0" destOrd="0" presId="urn:microsoft.com/office/officeart/2005/8/layout/hierarchy2"/>
    <dgm:cxn modelId="{B741A25B-C86A-416A-88E0-2D5B74EB5B82}" type="presParOf" srcId="{05EA96B9-F460-4734-AB44-81C3D1965BFE}" destId="{5063C696-CC5A-4E1B-9F26-6B5FD59B32A0}" srcOrd="1" destOrd="0" presId="urn:microsoft.com/office/officeart/2005/8/layout/hierarchy2"/>
    <dgm:cxn modelId="{41B0934C-F4DF-4AE3-83E3-E1322282F1C7}" type="presParOf" srcId="{5063C696-CC5A-4E1B-9F26-6B5FD59B32A0}" destId="{EDE4464F-E059-3844-A0FE-D5C2E44B2DEA}" srcOrd="0" destOrd="0" presId="urn:microsoft.com/office/officeart/2005/8/layout/hierarchy2"/>
    <dgm:cxn modelId="{409239A1-4933-42C9-82A3-AE204EF32437}" type="presParOf" srcId="{EDE4464F-E059-3844-A0FE-D5C2E44B2DEA}" destId="{E76D907A-DF88-9A4D-B42B-9EE67F28BB06}" srcOrd="0" destOrd="0" presId="urn:microsoft.com/office/officeart/2005/8/layout/hierarchy2"/>
    <dgm:cxn modelId="{64D546F2-79DC-4FCB-8C25-E7106BB93487}" type="presParOf" srcId="{5063C696-CC5A-4E1B-9F26-6B5FD59B32A0}" destId="{300761B3-43AE-9C4B-8C50-01D42EBE916A}" srcOrd="1" destOrd="0" presId="urn:microsoft.com/office/officeart/2005/8/layout/hierarchy2"/>
    <dgm:cxn modelId="{4F40A710-B7F7-4FA6-9872-FAB623D7FA59}" type="presParOf" srcId="{300761B3-43AE-9C4B-8C50-01D42EBE916A}" destId="{141257FD-3D82-9446-8880-D360C84D6F8B}" srcOrd="0" destOrd="0" presId="urn:microsoft.com/office/officeart/2005/8/layout/hierarchy2"/>
    <dgm:cxn modelId="{4C5FC56F-B762-458F-9E8C-B5FD254CC2EE}" type="presParOf" srcId="{300761B3-43AE-9C4B-8C50-01D42EBE916A}" destId="{75073242-97B0-BD41-90E4-C09D3DC2C6DB}" srcOrd="1" destOrd="0" presId="urn:microsoft.com/office/officeart/2005/8/layout/hierarchy2"/>
    <dgm:cxn modelId="{0E94D662-1787-40DF-9946-7BF70EE5FB95}" type="presParOf" srcId="{75073242-97B0-BD41-90E4-C09D3DC2C6DB}" destId="{31156F20-8660-864C-B882-CA3114B1A941}" srcOrd="0" destOrd="0" presId="urn:microsoft.com/office/officeart/2005/8/layout/hierarchy2"/>
    <dgm:cxn modelId="{D1D7A374-7324-4C5E-91AB-2FB73CD69D32}" type="presParOf" srcId="{31156F20-8660-864C-B882-CA3114B1A941}" destId="{100ECB94-0DE1-0C47-935B-9FCFF97F6C8C}" srcOrd="0" destOrd="0" presId="urn:microsoft.com/office/officeart/2005/8/layout/hierarchy2"/>
    <dgm:cxn modelId="{485FC49C-E5D7-4C46-8E80-84524D8CD7FA}" type="presParOf" srcId="{75073242-97B0-BD41-90E4-C09D3DC2C6DB}" destId="{3D8457A0-85B4-564C-9472-AD2C6F999BA2}" srcOrd="1" destOrd="0" presId="urn:microsoft.com/office/officeart/2005/8/layout/hierarchy2"/>
    <dgm:cxn modelId="{2D3CCC04-0377-4379-9475-F431A2DB3DAF}" type="presParOf" srcId="{3D8457A0-85B4-564C-9472-AD2C6F999BA2}" destId="{83FDAB8F-B83B-FF42-83B2-2976528FF2D7}" srcOrd="0" destOrd="0" presId="urn:microsoft.com/office/officeart/2005/8/layout/hierarchy2"/>
    <dgm:cxn modelId="{3FD0F940-E192-4DB5-B6C5-8A03390C936A}" type="presParOf" srcId="{3D8457A0-85B4-564C-9472-AD2C6F999BA2}" destId="{B3D72F9F-7938-A04C-9C11-F68A963D7DEE}" srcOrd="1" destOrd="0" presId="urn:microsoft.com/office/officeart/2005/8/layout/hierarchy2"/>
    <dgm:cxn modelId="{F9493F87-89EB-439D-8873-6D95A517EBFA}" type="presParOf" srcId="{5063C696-CC5A-4E1B-9F26-6B5FD59B32A0}" destId="{40B94147-4B5B-48E4-9EE0-7641FC75D1F5}" srcOrd="2" destOrd="0" presId="urn:microsoft.com/office/officeart/2005/8/layout/hierarchy2"/>
    <dgm:cxn modelId="{2F63B829-321B-42E1-8E8A-D883126BADCD}" type="presParOf" srcId="{40B94147-4B5B-48E4-9EE0-7641FC75D1F5}" destId="{EACB0DBC-077A-4B82-8AD3-E0C54738E25F}" srcOrd="0" destOrd="0" presId="urn:microsoft.com/office/officeart/2005/8/layout/hierarchy2"/>
    <dgm:cxn modelId="{C43DE46A-6BCB-490E-B910-167432DAE829}" type="presParOf" srcId="{5063C696-CC5A-4E1B-9F26-6B5FD59B32A0}" destId="{3C570BE2-2200-4F6C-B60C-3DF541D435A6}" srcOrd="3" destOrd="0" presId="urn:microsoft.com/office/officeart/2005/8/layout/hierarchy2"/>
    <dgm:cxn modelId="{DAB03022-F88C-4CFF-AD80-16CFDE4E5BA4}" type="presParOf" srcId="{3C570BE2-2200-4F6C-B60C-3DF541D435A6}" destId="{226C679B-7CC5-4699-95AD-03023770406B}" srcOrd="0" destOrd="0" presId="urn:microsoft.com/office/officeart/2005/8/layout/hierarchy2"/>
    <dgm:cxn modelId="{C95F4681-1DFA-4856-AEF9-79F3A734FD10}" type="presParOf" srcId="{3C570BE2-2200-4F6C-B60C-3DF541D435A6}" destId="{A0BFE0E6-53D1-4D79-9792-F67482132963}" srcOrd="1" destOrd="0" presId="urn:microsoft.com/office/officeart/2005/8/layout/hierarchy2"/>
    <dgm:cxn modelId="{2D312E0F-9DDE-486C-AEF3-6D7225816A20}" type="presParOf" srcId="{A0BFE0E6-53D1-4D79-9792-F67482132963}" destId="{28F8F428-723D-4BEF-AF5A-42639A56F84D}" srcOrd="0" destOrd="0" presId="urn:microsoft.com/office/officeart/2005/8/layout/hierarchy2"/>
    <dgm:cxn modelId="{DCC74910-9D2F-4125-8AD3-CB8B29008741}" type="presParOf" srcId="{28F8F428-723D-4BEF-AF5A-42639A56F84D}" destId="{86EE7708-B1BB-4649-84DE-5243390B26D4}" srcOrd="0" destOrd="0" presId="urn:microsoft.com/office/officeart/2005/8/layout/hierarchy2"/>
    <dgm:cxn modelId="{0EFA06B2-0894-4939-8F82-52893B92411A}" type="presParOf" srcId="{A0BFE0E6-53D1-4D79-9792-F67482132963}" destId="{7320263E-1460-4B66-BF26-EEA4387B3B84}" srcOrd="1" destOrd="0" presId="urn:microsoft.com/office/officeart/2005/8/layout/hierarchy2"/>
    <dgm:cxn modelId="{4334436F-D333-4EFD-94FA-F0570E58062B}" type="presParOf" srcId="{7320263E-1460-4B66-BF26-EEA4387B3B84}" destId="{412A5A97-815F-4E80-A16E-7E8C8833B533}" srcOrd="0" destOrd="0" presId="urn:microsoft.com/office/officeart/2005/8/layout/hierarchy2"/>
    <dgm:cxn modelId="{94EB956E-B26C-4722-A21B-78C29E3AC787}" type="presParOf" srcId="{7320263E-1460-4B66-BF26-EEA4387B3B84}" destId="{63D806FF-45A5-4E20-AE30-350FA0152C6F}" srcOrd="1" destOrd="0" presId="urn:microsoft.com/office/officeart/2005/8/layout/hierarchy2"/>
    <dgm:cxn modelId="{CA13AA45-2712-4101-AB17-3E73B981618F}" type="presParOf" srcId="{A0BFE0E6-53D1-4D79-9792-F67482132963}" destId="{5CFC8F18-B81B-40F8-906A-4B026F76BB1B}" srcOrd="2" destOrd="0" presId="urn:microsoft.com/office/officeart/2005/8/layout/hierarchy2"/>
    <dgm:cxn modelId="{DEC57C75-7043-4BE3-9A66-1A1621F098E2}" type="presParOf" srcId="{5CFC8F18-B81B-40F8-906A-4B026F76BB1B}" destId="{017CD23F-1E80-4EAF-BF11-FC87359A0106}" srcOrd="0" destOrd="0" presId="urn:microsoft.com/office/officeart/2005/8/layout/hierarchy2"/>
    <dgm:cxn modelId="{A4AC1AD1-577A-446C-B2B9-85FB2194C143}" type="presParOf" srcId="{A0BFE0E6-53D1-4D79-9792-F67482132963}" destId="{2164EF12-90D5-4C50-9C18-E059E054FBE0}" srcOrd="3" destOrd="0" presId="urn:microsoft.com/office/officeart/2005/8/layout/hierarchy2"/>
    <dgm:cxn modelId="{73DAB847-032D-48D4-908B-27DC27C2A3C5}" type="presParOf" srcId="{2164EF12-90D5-4C50-9C18-E059E054FBE0}" destId="{7C6522E4-79BC-404E-A5FC-B9F4D6185665}" srcOrd="0" destOrd="0" presId="urn:microsoft.com/office/officeart/2005/8/layout/hierarchy2"/>
    <dgm:cxn modelId="{B7A0D79A-E26D-4265-9627-8FB6505A859D}" type="presParOf" srcId="{2164EF12-90D5-4C50-9C18-E059E054FBE0}" destId="{D43E0B23-EB19-4453-9BCF-69F2C00B0F2C}" srcOrd="1" destOrd="0" presId="urn:microsoft.com/office/officeart/2005/8/layout/hierarchy2"/>
    <dgm:cxn modelId="{49A0E8FA-04AF-48DA-9136-7520F200A682}" type="presParOf" srcId="{D43E0B23-EB19-4453-9BCF-69F2C00B0F2C}" destId="{894521F2-1906-49B3-A792-A75934F9D19E}" srcOrd="0" destOrd="0" presId="urn:microsoft.com/office/officeart/2005/8/layout/hierarchy2"/>
    <dgm:cxn modelId="{D5367377-D344-4209-BB0A-978CBD114EF7}" type="presParOf" srcId="{894521F2-1906-49B3-A792-A75934F9D19E}" destId="{6A4E403F-042E-448A-820D-C3679365D4C9}" srcOrd="0" destOrd="0" presId="urn:microsoft.com/office/officeart/2005/8/layout/hierarchy2"/>
    <dgm:cxn modelId="{B9C590D3-3E16-441A-B84F-9C5572C0CEA7}" type="presParOf" srcId="{D43E0B23-EB19-4453-9BCF-69F2C00B0F2C}" destId="{75387508-799F-404B-924C-DC679F7ABE32}" srcOrd="1" destOrd="0" presId="urn:microsoft.com/office/officeart/2005/8/layout/hierarchy2"/>
    <dgm:cxn modelId="{DD0FACF0-1448-445B-A37D-881F5D10CA26}" type="presParOf" srcId="{75387508-799F-404B-924C-DC679F7ABE32}" destId="{CFEC438F-ED47-4EE2-89AF-0A2BDE1DEA44}" srcOrd="0" destOrd="0" presId="urn:microsoft.com/office/officeart/2005/8/layout/hierarchy2"/>
    <dgm:cxn modelId="{D222CFBE-F373-4159-BB0D-C07BC973BF5C}" type="presParOf" srcId="{75387508-799F-404B-924C-DC679F7ABE32}" destId="{A2A23B0A-D150-4073-979A-D185B1954F8B}" srcOrd="1" destOrd="0" presId="urn:microsoft.com/office/officeart/2005/8/layout/hierarchy2"/>
    <dgm:cxn modelId="{BD631316-EF4D-423F-9917-81068CF96947}" type="presParOf" srcId="{D43E0B23-EB19-4453-9BCF-69F2C00B0F2C}" destId="{A08518E1-1E2B-438F-90B3-8457E9D6DE6A}" srcOrd="2" destOrd="0" presId="urn:microsoft.com/office/officeart/2005/8/layout/hierarchy2"/>
    <dgm:cxn modelId="{6D5046D0-383E-4D96-A418-5033F0F75B42}" type="presParOf" srcId="{A08518E1-1E2B-438F-90B3-8457E9D6DE6A}" destId="{2F3E165B-C8AA-4528-9265-44B0771D82DA}" srcOrd="0" destOrd="0" presId="urn:microsoft.com/office/officeart/2005/8/layout/hierarchy2"/>
    <dgm:cxn modelId="{47EEDDB8-4A99-4C4B-A4F0-C76FD00EE873}" type="presParOf" srcId="{D43E0B23-EB19-4453-9BCF-69F2C00B0F2C}" destId="{30B76C17-C21F-4DAB-B4D1-DE32BDDFA782}" srcOrd="3" destOrd="0" presId="urn:microsoft.com/office/officeart/2005/8/layout/hierarchy2"/>
    <dgm:cxn modelId="{8E7BFC8A-C677-4DC1-A2D8-4BB0D2C1D37E}" type="presParOf" srcId="{30B76C17-C21F-4DAB-B4D1-DE32BDDFA782}" destId="{714F06D5-0BAF-44A7-8D4F-7C077D1AE502}" srcOrd="0" destOrd="0" presId="urn:microsoft.com/office/officeart/2005/8/layout/hierarchy2"/>
    <dgm:cxn modelId="{84EC57FA-E7DC-44AD-AF51-4C6B7398AB9B}" type="presParOf" srcId="{30B76C17-C21F-4DAB-B4D1-DE32BDDFA782}" destId="{CBC91F17-11B5-4A63-8714-EDCC534FDF18}" srcOrd="1" destOrd="0" presId="urn:microsoft.com/office/officeart/2005/8/layout/hierarchy2"/>
    <dgm:cxn modelId="{0EA873D7-D4A6-4157-B04C-E2E0550203E6}" type="presParOf" srcId="{D43E0B23-EB19-4453-9BCF-69F2C00B0F2C}" destId="{D2F97983-3B45-44E8-86E4-8C9CC5B5C4BA}" srcOrd="4" destOrd="0" presId="urn:microsoft.com/office/officeart/2005/8/layout/hierarchy2"/>
    <dgm:cxn modelId="{2FE8A876-5413-4A89-8FD7-C81C8008100B}" type="presParOf" srcId="{D2F97983-3B45-44E8-86E4-8C9CC5B5C4BA}" destId="{35E00BCD-D719-4410-A032-5CE055AC84AA}" srcOrd="0" destOrd="0" presId="urn:microsoft.com/office/officeart/2005/8/layout/hierarchy2"/>
    <dgm:cxn modelId="{BD7C5C47-9252-47A9-B754-0464CF4B0C3A}" type="presParOf" srcId="{D43E0B23-EB19-4453-9BCF-69F2C00B0F2C}" destId="{DFCE91A1-D8FD-4F93-9AE7-52E5867C3650}" srcOrd="5" destOrd="0" presId="urn:microsoft.com/office/officeart/2005/8/layout/hierarchy2"/>
    <dgm:cxn modelId="{5E8D8FE5-5F68-4E92-B5DE-6A9657265070}" type="presParOf" srcId="{DFCE91A1-D8FD-4F93-9AE7-52E5867C3650}" destId="{46003335-3269-4E83-9FCE-D64015473B64}" srcOrd="0" destOrd="0" presId="urn:microsoft.com/office/officeart/2005/8/layout/hierarchy2"/>
    <dgm:cxn modelId="{50FE0046-CC3E-4F7F-BA01-463FF3A3E65F}" type="presParOf" srcId="{DFCE91A1-D8FD-4F93-9AE7-52E5867C3650}" destId="{88ABDFA0-01F4-4F9C-B35F-E8711784D263}" srcOrd="1" destOrd="0" presId="urn:microsoft.com/office/officeart/2005/8/layout/hierarchy2"/>
    <dgm:cxn modelId="{35918138-5E2E-42F2-83C0-0CF0737B887E}" type="presParOf" srcId="{D43E0B23-EB19-4453-9BCF-69F2C00B0F2C}" destId="{031C4A7E-35C8-47C1-AC15-8CDB887042E0}" srcOrd="6" destOrd="0" presId="urn:microsoft.com/office/officeart/2005/8/layout/hierarchy2"/>
    <dgm:cxn modelId="{6C374D1B-0600-4B77-B98B-193D0A573944}" type="presParOf" srcId="{031C4A7E-35C8-47C1-AC15-8CDB887042E0}" destId="{D4028C41-0127-4F2B-A1CA-41C6DA9CE109}" srcOrd="0" destOrd="0" presId="urn:microsoft.com/office/officeart/2005/8/layout/hierarchy2"/>
    <dgm:cxn modelId="{FE90342D-F4C1-47C4-8538-1C37FE3C647D}" type="presParOf" srcId="{D43E0B23-EB19-4453-9BCF-69F2C00B0F2C}" destId="{5AD7EED6-CFD2-4134-AB65-E00E0978FA1D}" srcOrd="7" destOrd="0" presId="urn:microsoft.com/office/officeart/2005/8/layout/hierarchy2"/>
    <dgm:cxn modelId="{2C851927-9631-4F1B-B01F-C7C00461199F}" type="presParOf" srcId="{5AD7EED6-CFD2-4134-AB65-E00E0978FA1D}" destId="{8D49B7CE-DA24-4401-AA2D-49FEE877A11A}" srcOrd="0" destOrd="0" presId="urn:microsoft.com/office/officeart/2005/8/layout/hierarchy2"/>
    <dgm:cxn modelId="{5B457141-DD8E-4029-86F3-F1BE3442E6E9}" type="presParOf" srcId="{5AD7EED6-CFD2-4134-AB65-E00E0978FA1D}" destId="{53278250-1479-40BE-8471-10F5F49072D6}" srcOrd="1" destOrd="0" presId="urn:microsoft.com/office/officeart/2005/8/layout/hierarchy2"/>
    <dgm:cxn modelId="{DA644ADA-F273-465D-8336-897B286217DF}" type="presParOf" srcId="{A0BFE0E6-53D1-4D79-9792-F67482132963}" destId="{90C9D0C5-0AE7-476F-8EEF-53F54257BC62}" srcOrd="4" destOrd="0" presId="urn:microsoft.com/office/officeart/2005/8/layout/hierarchy2"/>
    <dgm:cxn modelId="{27E813AE-739F-407C-8737-2329FAC74564}" type="presParOf" srcId="{90C9D0C5-0AE7-476F-8EEF-53F54257BC62}" destId="{A6314FEE-2758-4147-8CA3-BB0B790465CF}" srcOrd="0" destOrd="0" presId="urn:microsoft.com/office/officeart/2005/8/layout/hierarchy2"/>
    <dgm:cxn modelId="{81D95138-1B60-4FE7-AD2B-15761BCE7CEE}" type="presParOf" srcId="{A0BFE0E6-53D1-4D79-9792-F67482132963}" destId="{F475AE9F-13AD-435A-B2B9-C5CD8E5404FD}" srcOrd="5" destOrd="0" presId="urn:microsoft.com/office/officeart/2005/8/layout/hierarchy2"/>
    <dgm:cxn modelId="{48469A3F-0B85-450A-A38F-7847C6C827E6}" type="presParOf" srcId="{F475AE9F-13AD-435A-B2B9-C5CD8E5404FD}" destId="{E35192BE-814C-4639-85AF-02A4DB1E17D5}" srcOrd="0" destOrd="0" presId="urn:microsoft.com/office/officeart/2005/8/layout/hierarchy2"/>
    <dgm:cxn modelId="{AD68BD7A-0346-412B-BE81-3C6C9C9F2D86}" type="presParOf" srcId="{F475AE9F-13AD-435A-B2B9-C5CD8E5404FD}" destId="{142B79B1-8D05-48D4-A5BB-878423A8ACAD}" srcOrd="1" destOrd="0" presId="urn:microsoft.com/office/officeart/2005/8/layout/hierarchy2"/>
    <dgm:cxn modelId="{2A66134B-8CA3-41CA-880A-3DFF691E2247}" type="presParOf" srcId="{A0BFE0E6-53D1-4D79-9792-F67482132963}" destId="{5AFA4497-A125-42B3-92C5-5BD60E96CC1A}" srcOrd="6" destOrd="0" presId="urn:microsoft.com/office/officeart/2005/8/layout/hierarchy2"/>
    <dgm:cxn modelId="{6FFFF272-4D87-4B10-BC5D-486D40A1CE4D}" type="presParOf" srcId="{5AFA4497-A125-42B3-92C5-5BD60E96CC1A}" destId="{E1B9541B-5DCB-4FAC-95D2-3BD6192E7EBE}" srcOrd="0" destOrd="0" presId="urn:microsoft.com/office/officeart/2005/8/layout/hierarchy2"/>
    <dgm:cxn modelId="{6C8CFC6D-211E-441B-9659-CE9F8B8512D2}" type="presParOf" srcId="{A0BFE0E6-53D1-4D79-9792-F67482132963}" destId="{552CBF26-E5FA-4A12-AA27-5EF8ABC84970}" srcOrd="7" destOrd="0" presId="urn:microsoft.com/office/officeart/2005/8/layout/hierarchy2"/>
    <dgm:cxn modelId="{EFC4A877-5CC0-4113-8F93-89E26E10744A}" type="presParOf" srcId="{552CBF26-E5FA-4A12-AA27-5EF8ABC84970}" destId="{470EEA8B-08A1-458C-9440-63D22C24D654}" srcOrd="0" destOrd="0" presId="urn:microsoft.com/office/officeart/2005/8/layout/hierarchy2"/>
    <dgm:cxn modelId="{25603E2C-3355-45EE-8227-B93A0F5652A1}" type="presParOf" srcId="{552CBF26-E5FA-4A12-AA27-5EF8ABC84970}" destId="{E363E580-E9AD-457A-AACA-F5EA0CC9F828}" srcOrd="1" destOrd="0" presId="urn:microsoft.com/office/officeart/2005/8/layout/hierarchy2"/>
  </dgm:cxnLst>
  <dgm:bg/>
  <dgm:whole>
    <a:ln w="12700" cmpd="dbl"/>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99A0F-3ECA-4786-9BC7-9174AFE9224E}">
      <dsp:nvSpPr>
        <dsp:cNvPr id="0" name=""/>
        <dsp:cNvSpPr/>
      </dsp:nvSpPr>
      <dsp:spPr>
        <a:xfrm>
          <a:off x="887" y="2266802"/>
          <a:ext cx="667986" cy="314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DFAT</a:t>
          </a:r>
        </a:p>
      </dsp:txBody>
      <dsp:txXfrm>
        <a:off x="10111" y="2276026"/>
        <a:ext cx="649538" cy="296482"/>
      </dsp:txXfrm>
    </dsp:sp>
    <dsp:sp modelId="{EDE4464F-E059-3844-A0FE-D5C2E44B2DEA}">
      <dsp:nvSpPr>
        <dsp:cNvPr id="0" name=""/>
        <dsp:cNvSpPr/>
      </dsp:nvSpPr>
      <dsp:spPr>
        <a:xfrm rot="18349191">
          <a:off x="355319" y="1788918"/>
          <a:ext cx="1511981" cy="44692"/>
        </a:xfrm>
        <a:custGeom>
          <a:avLst/>
          <a:gdLst/>
          <a:ahLst/>
          <a:cxnLst/>
          <a:rect l="0" t="0" r="0" b="0"/>
          <a:pathLst>
            <a:path>
              <a:moveTo>
                <a:pt x="0" y="22346"/>
              </a:moveTo>
              <a:lnTo>
                <a:pt x="1511981" y="22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073510" y="1773465"/>
        <a:ext cx="75599" cy="75599"/>
      </dsp:txXfrm>
    </dsp:sp>
    <dsp:sp modelId="{141257FD-3D82-9446-8880-D360C84D6F8B}">
      <dsp:nvSpPr>
        <dsp:cNvPr id="0" name=""/>
        <dsp:cNvSpPr/>
      </dsp:nvSpPr>
      <dsp:spPr>
        <a:xfrm>
          <a:off x="1553744" y="1027466"/>
          <a:ext cx="899311" cy="3415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MoFNP</a:t>
          </a:r>
        </a:p>
      </dsp:txBody>
      <dsp:txXfrm>
        <a:off x="1563749" y="1037471"/>
        <a:ext cx="879301" cy="321580"/>
      </dsp:txXfrm>
    </dsp:sp>
    <dsp:sp modelId="{31156F20-8660-864C-B882-CA3114B1A941}">
      <dsp:nvSpPr>
        <dsp:cNvPr id="0" name=""/>
        <dsp:cNvSpPr/>
      </dsp:nvSpPr>
      <dsp:spPr>
        <a:xfrm rot="21462616">
          <a:off x="2452746" y="1160440"/>
          <a:ext cx="774669" cy="44692"/>
        </a:xfrm>
        <a:custGeom>
          <a:avLst/>
          <a:gdLst/>
          <a:ahLst/>
          <a:cxnLst/>
          <a:rect l="0" t="0" r="0" b="0"/>
          <a:pathLst>
            <a:path>
              <a:moveTo>
                <a:pt x="0" y="22346"/>
              </a:moveTo>
              <a:lnTo>
                <a:pt x="774669" y="22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20714" y="1163419"/>
        <a:ext cx="38733" cy="38733"/>
      </dsp:txXfrm>
    </dsp:sp>
    <dsp:sp modelId="{83FDAB8F-B83B-FF42-83B2-2976528FF2D7}">
      <dsp:nvSpPr>
        <dsp:cNvPr id="0" name=""/>
        <dsp:cNvSpPr/>
      </dsp:nvSpPr>
      <dsp:spPr>
        <a:xfrm>
          <a:off x="3227106" y="1007822"/>
          <a:ext cx="898293" cy="318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MOH</a:t>
          </a:r>
        </a:p>
      </dsp:txBody>
      <dsp:txXfrm>
        <a:off x="3236449" y="1017165"/>
        <a:ext cx="879607" cy="300291"/>
      </dsp:txXfrm>
    </dsp:sp>
    <dsp:sp modelId="{40B94147-4B5B-48E4-9EE0-7641FC75D1F5}">
      <dsp:nvSpPr>
        <dsp:cNvPr id="0" name=""/>
        <dsp:cNvSpPr/>
      </dsp:nvSpPr>
      <dsp:spPr>
        <a:xfrm rot="1586693">
          <a:off x="616451" y="2625038"/>
          <a:ext cx="1002013" cy="44692"/>
        </a:xfrm>
        <a:custGeom>
          <a:avLst/>
          <a:gdLst/>
          <a:ahLst/>
          <a:cxnLst/>
          <a:rect l="0" t="0" r="0" b="0"/>
          <a:pathLst>
            <a:path>
              <a:moveTo>
                <a:pt x="0" y="22346"/>
              </a:moveTo>
              <a:lnTo>
                <a:pt x="1002013" y="22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092407" y="2622334"/>
        <a:ext cx="50100" cy="50100"/>
      </dsp:txXfrm>
    </dsp:sp>
    <dsp:sp modelId="{226C679B-7CC5-4699-95AD-03023770406B}">
      <dsp:nvSpPr>
        <dsp:cNvPr id="0" name=""/>
        <dsp:cNvSpPr/>
      </dsp:nvSpPr>
      <dsp:spPr>
        <a:xfrm>
          <a:off x="1566040" y="2682959"/>
          <a:ext cx="896303" cy="3750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Tonga Health</a:t>
          </a:r>
        </a:p>
      </dsp:txBody>
      <dsp:txXfrm>
        <a:off x="1577026" y="2693945"/>
        <a:ext cx="874331" cy="353111"/>
      </dsp:txXfrm>
    </dsp:sp>
    <dsp:sp modelId="{28F8F428-723D-4BEF-AF5A-42639A56F84D}">
      <dsp:nvSpPr>
        <dsp:cNvPr id="0" name=""/>
        <dsp:cNvSpPr/>
      </dsp:nvSpPr>
      <dsp:spPr>
        <a:xfrm rot="18357629">
          <a:off x="2224892" y="2382526"/>
          <a:ext cx="1150519" cy="44692"/>
        </a:xfrm>
        <a:custGeom>
          <a:avLst/>
          <a:gdLst/>
          <a:ahLst/>
          <a:cxnLst/>
          <a:rect l="0" t="0" r="0" b="0"/>
          <a:pathLst>
            <a:path>
              <a:moveTo>
                <a:pt x="0" y="22346"/>
              </a:moveTo>
              <a:lnTo>
                <a:pt x="1150519" y="22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71389" y="2376109"/>
        <a:ext cx="57525" cy="57525"/>
      </dsp:txXfrm>
    </dsp:sp>
    <dsp:sp modelId="{412A5A97-815F-4E80-A16E-7E8C8833B533}">
      <dsp:nvSpPr>
        <dsp:cNvPr id="0" name=""/>
        <dsp:cNvSpPr/>
      </dsp:nvSpPr>
      <dsp:spPr>
        <a:xfrm>
          <a:off x="3137960" y="1704150"/>
          <a:ext cx="761025" cy="470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Community Groups</a:t>
          </a:r>
        </a:p>
      </dsp:txBody>
      <dsp:txXfrm>
        <a:off x="3151731" y="1717921"/>
        <a:ext cx="733483" cy="442647"/>
      </dsp:txXfrm>
    </dsp:sp>
    <dsp:sp modelId="{5CFC8F18-B81B-40F8-906A-4B026F76BB1B}">
      <dsp:nvSpPr>
        <dsp:cNvPr id="0" name=""/>
        <dsp:cNvSpPr/>
      </dsp:nvSpPr>
      <dsp:spPr>
        <a:xfrm rot="1534150">
          <a:off x="2426092" y="3007914"/>
          <a:ext cx="740312" cy="44692"/>
        </a:xfrm>
        <a:custGeom>
          <a:avLst/>
          <a:gdLst/>
          <a:ahLst/>
          <a:cxnLst/>
          <a:rect l="0" t="0" r="0" b="0"/>
          <a:pathLst>
            <a:path>
              <a:moveTo>
                <a:pt x="0" y="22346"/>
              </a:moveTo>
              <a:lnTo>
                <a:pt x="740312" y="22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77741" y="3011752"/>
        <a:ext cx="37015" cy="37015"/>
      </dsp:txXfrm>
    </dsp:sp>
    <dsp:sp modelId="{7C6522E4-79BC-404E-A5FC-B9F4D6185665}">
      <dsp:nvSpPr>
        <dsp:cNvPr id="0" name=""/>
        <dsp:cNvSpPr/>
      </dsp:nvSpPr>
      <dsp:spPr>
        <a:xfrm>
          <a:off x="3130154" y="3018019"/>
          <a:ext cx="702486" cy="344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MoFNP</a:t>
          </a:r>
        </a:p>
      </dsp:txBody>
      <dsp:txXfrm>
        <a:off x="3140229" y="3028094"/>
        <a:ext cx="682336" cy="323850"/>
      </dsp:txXfrm>
    </dsp:sp>
    <dsp:sp modelId="{894521F2-1906-49B3-A792-A75934F9D19E}">
      <dsp:nvSpPr>
        <dsp:cNvPr id="0" name=""/>
        <dsp:cNvSpPr/>
      </dsp:nvSpPr>
      <dsp:spPr>
        <a:xfrm rot="18782389">
          <a:off x="3616275" y="2669594"/>
          <a:ext cx="1362958" cy="44692"/>
        </a:xfrm>
        <a:custGeom>
          <a:avLst/>
          <a:gdLst/>
          <a:ahLst/>
          <a:cxnLst/>
          <a:rect l="0" t="0" r="0" b="0"/>
          <a:pathLst>
            <a:path>
              <a:moveTo>
                <a:pt x="0" y="22346"/>
              </a:moveTo>
              <a:lnTo>
                <a:pt x="1362958" y="22346"/>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263680" y="2657867"/>
        <a:ext cx="68147" cy="68147"/>
      </dsp:txXfrm>
    </dsp:sp>
    <dsp:sp modelId="{CFEC438F-ED47-4EE2-89AF-0A2BDE1DEA44}">
      <dsp:nvSpPr>
        <dsp:cNvPr id="0" name=""/>
        <dsp:cNvSpPr/>
      </dsp:nvSpPr>
      <dsp:spPr>
        <a:xfrm>
          <a:off x="4762868" y="2052341"/>
          <a:ext cx="864590" cy="283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MAFFF</a:t>
          </a:r>
        </a:p>
      </dsp:txBody>
      <dsp:txXfrm>
        <a:off x="4771158" y="2060631"/>
        <a:ext cx="848010" cy="266460"/>
      </dsp:txXfrm>
    </dsp:sp>
    <dsp:sp modelId="{A08518E1-1E2B-438F-90B3-8457E9D6DE6A}">
      <dsp:nvSpPr>
        <dsp:cNvPr id="0" name=""/>
        <dsp:cNvSpPr/>
      </dsp:nvSpPr>
      <dsp:spPr>
        <a:xfrm rot="19807508">
          <a:off x="3761362" y="2900493"/>
          <a:ext cx="1072784" cy="44692"/>
        </a:xfrm>
        <a:custGeom>
          <a:avLst/>
          <a:gdLst/>
          <a:ahLst/>
          <a:cxnLst/>
          <a:rect l="0" t="0" r="0" b="0"/>
          <a:pathLst>
            <a:path>
              <a:moveTo>
                <a:pt x="0" y="22346"/>
              </a:moveTo>
              <a:lnTo>
                <a:pt x="1072784" y="22346"/>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270935" y="2896019"/>
        <a:ext cx="53639" cy="53639"/>
      </dsp:txXfrm>
    </dsp:sp>
    <dsp:sp modelId="{714F06D5-0BAF-44A7-8D4F-7C077D1AE502}">
      <dsp:nvSpPr>
        <dsp:cNvPr id="0" name=""/>
        <dsp:cNvSpPr/>
      </dsp:nvSpPr>
      <dsp:spPr>
        <a:xfrm>
          <a:off x="4762868" y="2516537"/>
          <a:ext cx="921956" cy="278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MET</a:t>
          </a:r>
        </a:p>
      </dsp:txBody>
      <dsp:txXfrm>
        <a:off x="4771017" y="2524686"/>
        <a:ext cx="905658" cy="261943"/>
      </dsp:txXfrm>
    </dsp:sp>
    <dsp:sp modelId="{D2F97983-3B45-44E8-86E4-8C9CC5B5C4BA}">
      <dsp:nvSpPr>
        <dsp:cNvPr id="0" name=""/>
        <dsp:cNvSpPr/>
      </dsp:nvSpPr>
      <dsp:spPr>
        <a:xfrm rot="21403840">
          <a:off x="3831882" y="3141105"/>
          <a:ext cx="931744" cy="44692"/>
        </a:xfrm>
        <a:custGeom>
          <a:avLst/>
          <a:gdLst/>
          <a:ahLst/>
          <a:cxnLst/>
          <a:rect l="0" t="0" r="0" b="0"/>
          <a:pathLst>
            <a:path>
              <a:moveTo>
                <a:pt x="0" y="22346"/>
              </a:moveTo>
              <a:lnTo>
                <a:pt x="931744" y="22346"/>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274461" y="3140158"/>
        <a:ext cx="46587" cy="46587"/>
      </dsp:txXfrm>
    </dsp:sp>
    <dsp:sp modelId="{46003335-3269-4E83-9FCE-D64015473B64}">
      <dsp:nvSpPr>
        <dsp:cNvPr id="0" name=""/>
        <dsp:cNvSpPr/>
      </dsp:nvSpPr>
      <dsp:spPr>
        <a:xfrm>
          <a:off x="4762868" y="2980744"/>
          <a:ext cx="936796" cy="312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MIA</a:t>
          </a:r>
        </a:p>
      </dsp:txBody>
      <dsp:txXfrm>
        <a:off x="4772014" y="2989890"/>
        <a:ext cx="918504" cy="293984"/>
      </dsp:txXfrm>
    </dsp:sp>
    <dsp:sp modelId="{031C4A7E-35C8-47C1-AC15-8CDB887042E0}">
      <dsp:nvSpPr>
        <dsp:cNvPr id="0" name=""/>
        <dsp:cNvSpPr/>
      </dsp:nvSpPr>
      <dsp:spPr>
        <a:xfrm rot="1387580">
          <a:off x="3791998" y="3366314"/>
          <a:ext cx="1011512" cy="44692"/>
        </a:xfrm>
        <a:custGeom>
          <a:avLst/>
          <a:gdLst/>
          <a:ahLst/>
          <a:cxnLst/>
          <a:rect l="0" t="0" r="0" b="0"/>
          <a:pathLst>
            <a:path>
              <a:moveTo>
                <a:pt x="0" y="22346"/>
              </a:moveTo>
              <a:lnTo>
                <a:pt x="1011512" y="22346"/>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272466" y="3363373"/>
        <a:ext cx="50575" cy="50575"/>
      </dsp:txXfrm>
    </dsp:sp>
    <dsp:sp modelId="{8D49B7CE-DA24-4401-AA2D-49FEE877A11A}">
      <dsp:nvSpPr>
        <dsp:cNvPr id="0" name=""/>
        <dsp:cNvSpPr/>
      </dsp:nvSpPr>
      <dsp:spPr>
        <a:xfrm>
          <a:off x="4762868" y="3444996"/>
          <a:ext cx="998055" cy="284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Other GoT ministries</a:t>
          </a:r>
        </a:p>
      </dsp:txBody>
      <dsp:txXfrm>
        <a:off x="4771204" y="3453332"/>
        <a:ext cx="981383" cy="267938"/>
      </dsp:txXfrm>
    </dsp:sp>
    <dsp:sp modelId="{90C9D0C5-0AE7-476F-8EEF-53F54257BC62}">
      <dsp:nvSpPr>
        <dsp:cNvPr id="0" name=""/>
        <dsp:cNvSpPr/>
      </dsp:nvSpPr>
      <dsp:spPr>
        <a:xfrm rot="20506534">
          <a:off x="2444502" y="2736918"/>
          <a:ext cx="711365" cy="44692"/>
        </a:xfrm>
        <a:custGeom>
          <a:avLst/>
          <a:gdLst/>
          <a:ahLst/>
          <a:cxnLst/>
          <a:rect l="0" t="0" r="0" b="0"/>
          <a:pathLst>
            <a:path>
              <a:moveTo>
                <a:pt x="0" y="22346"/>
              </a:moveTo>
              <a:lnTo>
                <a:pt x="711365" y="22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82401" y="2741480"/>
        <a:ext cx="35568" cy="35568"/>
      </dsp:txXfrm>
    </dsp:sp>
    <dsp:sp modelId="{E35192BE-814C-4639-85AF-02A4DB1E17D5}">
      <dsp:nvSpPr>
        <dsp:cNvPr id="0" name=""/>
        <dsp:cNvSpPr/>
      </dsp:nvSpPr>
      <dsp:spPr>
        <a:xfrm>
          <a:off x="3138027" y="2516659"/>
          <a:ext cx="683865" cy="2627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NGOs</a:t>
          </a:r>
        </a:p>
      </dsp:txBody>
      <dsp:txXfrm>
        <a:off x="3145722" y="2524354"/>
        <a:ext cx="668475" cy="247348"/>
      </dsp:txXfrm>
    </dsp:sp>
    <dsp:sp modelId="{5AFA4497-A125-42B3-92C5-5BD60E96CC1A}">
      <dsp:nvSpPr>
        <dsp:cNvPr id="0" name=""/>
        <dsp:cNvSpPr/>
      </dsp:nvSpPr>
      <dsp:spPr>
        <a:xfrm rot="3309767">
          <a:off x="2208791" y="3333540"/>
          <a:ext cx="1182743" cy="44692"/>
        </a:xfrm>
        <a:custGeom>
          <a:avLst/>
          <a:gdLst/>
          <a:ahLst/>
          <a:cxnLst/>
          <a:rect l="0" t="0" r="0" b="0"/>
          <a:pathLst>
            <a:path>
              <a:moveTo>
                <a:pt x="0" y="22346"/>
              </a:moveTo>
              <a:lnTo>
                <a:pt x="1182743" y="22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70594" y="3326317"/>
        <a:ext cx="59137" cy="59137"/>
      </dsp:txXfrm>
    </dsp:sp>
    <dsp:sp modelId="{470EEA8B-08A1-458C-9440-63D22C24D654}">
      <dsp:nvSpPr>
        <dsp:cNvPr id="0" name=""/>
        <dsp:cNvSpPr/>
      </dsp:nvSpPr>
      <dsp:spPr>
        <a:xfrm>
          <a:off x="3137982" y="3677337"/>
          <a:ext cx="1151290" cy="3278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Other implementing partners</a:t>
          </a:r>
        </a:p>
      </dsp:txBody>
      <dsp:txXfrm>
        <a:off x="3147585" y="3686940"/>
        <a:ext cx="1132084" cy="3086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0">
          <a:blip xmlns:r="http://schemas.openxmlformats.org/officeDocument/2006/relationships"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8968D-7663-4315-984A-31668B9AD0CF}"/>
</file>

<file path=customXml/itemProps2.xml><?xml version="1.0" encoding="utf-8"?>
<ds:datastoreItem xmlns:ds="http://schemas.openxmlformats.org/officeDocument/2006/customXml" ds:itemID="{6C88E240-5AF1-4C3D-B1A4-B0E34B4D6D3B}"/>
</file>

<file path=customXml/itemProps3.xml><?xml version="1.0" encoding="utf-8"?>
<ds:datastoreItem xmlns:ds="http://schemas.openxmlformats.org/officeDocument/2006/customXml" ds:itemID="{C21264F2-775F-4DD3-B04D-4E5147AB876E}"/>
</file>

<file path=customXml/itemProps4.xml><?xml version="1.0" encoding="utf-8"?>
<ds:datastoreItem xmlns:ds="http://schemas.openxmlformats.org/officeDocument/2006/customXml" ds:itemID="{E7CDD36A-55B6-452D-97FE-6B0B8877081E}"/>
</file>

<file path=customXml/itemProps5.xml><?xml version="1.0" encoding="utf-8"?>
<ds:datastoreItem xmlns:ds="http://schemas.openxmlformats.org/officeDocument/2006/customXml" ds:itemID="{5A600ED9-0816-49BD-BD7D-D24CF75CCB5B}"/>
</file>

<file path=docProps/app.xml><?xml version="1.0" encoding="utf-8"?>
<Properties xmlns="http://schemas.openxmlformats.org/officeDocument/2006/extended-properties" xmlns:vt="http://schemas.openxmlformats.org/officeDocument/2006/docPropsVTypes">
  <Template>2E5FFC1D</Template>
  <TotalTime>0</TotalTime>
  <Pages>66</Pages>
  <Words>25506</Words>
  <Characters>145390</Characters>
  <Application>Microsoft Office Word</Application>
  <DocSecurity>0</DocSecurity>
  <Lines>1211</Lines>
  <Paragraphs>341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Table of Contents </vt:lpstr>
      <vt:lpstr>B:  Executive Summary</vt:lpstr>
      <vt:lpstr>C: Analysis and Strategic Context</vt:lpstr>
      <vt:lpstr>    Introduction</vt:lpstr>
      <vt:lpstr>    Non-communicable diseases</vt:lpstr>
      <vt:lpstr>    Universal health coverage </vt:lpstr>
      <vt:lpstr>    Systems strengthening </vt:lpstr>
      <vt:lpstr>    Gender equality and disability inclusion </vt:lpstr>
      <vt:lpstr>    Development Problem/Issue Analysis </vt:lpstr>
      <vt:lpstr>    Evidence-base/Lessons Learned</vt:lpstr>
      <vt:lpstr>    Lessons from the wider DFAT portfolio in Tonga</vt:lpstr>
      <vt:lpstr>    Lessons from elsewhere</vt:lpstr>
      <vt:lpstr>    Strategic Setting and Rationale for Australian/DFAT engagement</vt:lpstr>
      <vt:lpstr>    Alignment of investments with Australia’s aid policy framework</vt:lpstr>
      <vt:lpstr>D: Investment Description</vt:lpstr>
      <vt:lpstr>    Delivery Approach</vt:lpstr>
      <vt:lpstr>    Resources</vt:lpstr>
      <vt:lpstr>    Program Logic and Expected Outcomes </vt:lpstr>
    </vt:vector>
  </TitlesOfParts>
  <LinksUpToDate>false</LinksUpToDate>
  <CharactersWithSpaces>170555</CharactersWithSpaces>
  <SharedDoc>false</SharedDoc>
  <HLinks>
    <vt:vector size="6" baseType="variant">
      <vt:variant>
        <vt:i4>7274606</vt:i4>
      </vt:variant>
      <vt:variant>
        <vt:i4>3</vt:i4>
      </vt:variant>
      <vt:variant>
        <vt:i4>0</vt:i4>
      </vt:variant>
      <vt:variant>
        <vt:i4>5</vt:i4>
      </vt:variant>
      <vt:variant>
        <vt:lpwstr>http://intranet2.ausaid.gov.au/sharedsites/gender/resourcedocs/AusAID Publications/Gender Thematic Strategy.PDF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2016-01-12T05:31:00Z</dcterms:created>
  <dcterms:modified xsi:type="dcterms:W3CDTF">2016-01-12T05:31:00Z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1003900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