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192696" w:rsidRPr="00C95307" w:rsidTr="00B85459">
        <w:trPr>
          <w:cantSplit/>
          <w:trHeight w:val="283"/>
        </w:trPr>
        <w:tc>
          <w:tcPr>
            <w:tcW w:w="9838" w:type="dxa"/>
            <w:tcBorders>
              <w:top w:val="single" w:sz="4" w:space="0" w:color="808080"/>
              <w:left w:val="single" w:sz="4" w:space="0" w:color="808080"/>
              <w:bottom w:val="single" w:sz="4" w:space="0" w:color="808080"/>
              <w:right w:val="single" w:sz="4" w:space="0" w:color="808080"/>
            </w:tcBorders>
            <w:shd w:val="clear" w:color="auto" w:fill="FFFF99"/>
            <w:hideMark/>
          </w:tcPr>
          <w:p w:rsidR="00192696" w:rsidRPr="00C95307" w:rsidRDefault="00192696" w:rsidP="00F05FB8">
            <w:pPr>
              <w:pStyle w:val="Table-normal-text"/>
              <w:tabs>
                <w:tab w:val="left" w:pos="5964"/>
              </w:tabs>
              <w:rPr>
                <w:b/>
                <w:sz w:val="22"/>
                <w:szCs w:val="22"/>
              </w:rPr>
            </w:pPr>
            <w:bookmarkStart w:id="0" w:name="_GoBack"/>
            <w:bookmarkEnd w:id="0"/>
            <w:r w:rsidRPr="00C95307">
              <w:rPr>
                <w:b/>
                <w:sz w:val="22"/>
                <w:szCs w:val="22"/>
              </w:rPr>
              <w:t>Investment Design Summary:</w:t>
            </w:r>
            <w:r w:rsidR="008965AC" w:rsidRPr="00C95307">
              <w:rPr>
                <w:b/>
                <w:sz w:val="22"/>
                <w:szCs w:val="22"/>
              </w:rPr>
              <w:t xml:space="preserve"> </w:t>
            </w:r>
            <w:r w:rsidRPr="00C95307">
              <w:rPr>
                <w:b/>
                <w:sz w:val="22"/>
                <w:szCs w:val="22"/>
              </w:rPr>
              <w:t xml:space="preserve">Tonga </w:t>
            </w:r>
            <w:r w:rsidR="00D70AD7" w:rsidRPr="00C95307">
              <w:rPr>
                <w:b/>
                <w:sz w:val="22"/>
                <w:szCs w:val="22"/>
              </w:rPr>
              <w:t xml:space="preserve">Education </w:t>
            </w:r>
            <w:r w:rsidRPr="00C95307">
              <w:rPr>
                <w:b/>
                <w:sz w:val="22"/>
                <w:szCs w:val="22"/>
              </w:rPr>
              <w:t xml:space="preserve">Support </w:t>
            </w:r>
            <w:r w:rsidR="00C2036C" w:rsidRPr="00C95307">
              <w:rPr>
                <w:b/>
                <w:sz w:val="22"/>
                <w:szCs w:val="22"/>
              </w:rPr>
              <w:t>Programme</w:t>
            </w:r>
            <w:r w:rsidRPr="00C95307">
              <w:rPr>
                <w:b/>
                <w:sz w:val="22"/>
                <w:szCs w:val="22"/>
              </w:rPr>
              <w:t xml:space="preserve"> </w:t>
            </w:r>
            <w:r w:rsidR="00D70AD7" w:rsidRPr="00C95307">
              <w:rPr>
                <w:b/>
                <w:sz w:val="22"/>
                <w:szCs w:val="22"/>
              </w:rPr>
              <w:t>(TESP2</w:t>
            </w:r>
            <w:r w:rsidR="00DE7C42" w:rsidRPr="00C95307">
              <w:rPr>
                <w:rStyle w:val="EndnoteReference"/>
                <w:b/>
                <w:sz w:val="22"/>
                <w:szCs w:val="22"/>
              </w:rPr>
              <w:endnoteReference w:id="1"/>
            </w:r>
            <w:r w:rsidR="00D70AD7" w:rsidRPr="00C95307">
              <w:rPr>
                <w:b/>
                <w:sz w:val="22"/>
                <w:szCs w:val="22"/>
              </w:rPr>
              <w:t>)</w:t>
            </w:r>
            <w:r w:rsidRPr="00C95307">
              <w:rPr>
                <w:b/>
                <w:sz w:val="22"/>
                <w:szCs w:val="22"/>
              </w:rPr>
              <w:t xml:space="preserve"> </w:t>
            </w:r>
          </w:p>
        </w:tc>
      </w:tr>
      <w:tr w:rsidR="00192696" w:rsidRPr="00C95307" w:rsidTr="001E0DC1">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FFFFCC"/>
            <w:tcMar>
              <w:top w:w="28" w:type="dxa"/>
              <w:left w:w="108" w:type="dxa"/>
              <w:bottom w:w="28" w:type="dxa"/>
              <w:right w:w="108" w:type="dxa"/>
            </w:tcMar>
            <w:hideMark/>
          </w:tcPr>
          <w:p w:rsidR="00192696" w:rsidRPr="00C95307" w:rsidRDefault="00192696" w:rsidP="00556918">
            <w:pPr>
              <w:pStyle w:val="Table-normal-text"/>
              <w:rPr>
                <w:b/>
                <w:sz w:val="22"/>
                <w:szCs w:val="22"/>
              </w:rPr>
            </w:pPr>
            <w:r w:rsidRPr="00C95307">
              <w:rPr>
                <w:sz w:val="22"/>
                <w:szCs w:val="22"/>
              </w:rPr>
              <w:t>Proposed Implementing Partner/s</w:t>
            </w:r>
            <w:r w:rsidRPr="00C95307">
              <w:rPr>
                <w:b/>
                <w:sz w:val="22"/>
                <w:szCs w:val="22"/>
              </w:rPr>
              <w:t>:</w:t>
            </w:r>
            <w:r w:rsidR="001F0097" w:rsidRPr="00C95307">
              <w:rPr>
                <w:b/>
                <w:sz w:val="22"/>
                <w:szCs w:val="22"/>
              </w:rPr>
              <w:t xml:space="preserve"> </w:t>
            </w:r>
            <w:r w:rsidR="0006755B" w:rsidRPr="00C95307">
              <w:rPr>
                <w:b/>
                <w:sz w:val="22"/>
                <w:szCs w:val="22"/>
              </w:rPr>
              <w:t>Government of Tonga,  AusAID</w:t>
            </w:r>
            <w:r w:rsidR="00B85459" w:rsidRPr="00C95307">
              <w:rPr>
                <w:b/>
                <w:sz w:val="22"/>
                <w:szCs w:val="22"/>
              </w:rPr>
              <w:t xml:space="preserve">  </w:t>
            </w:r>
            <w:r w:rsidR="00151382" w:rsidRPr="00C95307">
              <w:rPr>
                <w:b/>
                <w:szCs w:val="22"/>
              </w:rPr>
              <w:t xml:space="preserve">(and </w:t>
            </w:r>
            <w:r w:rsidR="008965AC" w:rsidRPr="00C95307">
              <w:rPr>
                <w:b/>
                <w:szCs w:val="22"/>
              </w:rPr>
              <w:t>New Zealand MFAT</w:t>
            </w:r>
            <w:r w:rsidR="00151382" w:rsidRPr="00C95307">
              <w:rPr>
                <w:b/>
                <w:szCs w:val="22"/>
              </w:rPr>
              <w:t>)</w:t>
            </w:r>
          </w:p>
        </w:tc>
      </w:tr>
      <w:tr w:rsidR="00192696" w:rsidRPr="00C95307" w:rsidTr="001E0DC1">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FFFFCC"/>
            <w:tcMar>
              <w:top w:w="28" w:type="dxa"/>
              <w:left w:w="108" w:type="dxa"/>
              <w:bottom w:w="28" w:type="dxa"/>
              <w:right w:w="108" w:type="dxa"/>
            </w:tcMar>
            <w:hideMark/>
          </w:tcPr>
          <w:p w:rsidR="00192696" w:rsidRPr="00C95307" w:rsidRDefault="00192696" w:rsidP="001E0DC1">
            <w:pPr>
              <w:pStyle w:val="Table-normal-text"/>
              <w:rPr>
                <w:b/>
                <w:sz w:val="22"/>
                <w:szCs w:val="22"/>
              </w:rPr>
            </w:pPr>
            <w:r w:rsidRPr="00C95307">
              <w:rPr>
                <w:sz w:val="22"/>
                <w:szCs w:val="22"/>
              </w:rPr>
              <w:t>Proposed start date and timeframe:</w:t>
            </w:r>
            <w:r w:rsidRPr="00C95307">
              <w:rPr>
                <w:b/>
                <w:sz w:val="22"/>
                <w:szCs w:val="22"/>
              </w:rPr>
              <w:t xml:space="preserve"> January 2013 to June 2016</w:t>
            </w:r>
          </w:p>
        </w:tc>
      </w:tr>
      <w:tr w:rsidR="00192696" w:rsidRPr="00C95307" w:rsidTr="001E0DC1">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FFFFCC"/>
            <w:tcMar>
              <w:top w:w="28" w:type="dxa"/>
              <w:left w:w="108" w:type="dxa"/>
              <w:bottom w:w="28" w:type="dxa"/>
              <w:right w:w="108" w:type="dxa"/>
            </w:tcMar>
            <w:hideMark/>
          </w:tcPr>
          <w:p w:rsidR="00192696" w:rsidRPr="00C95307" w:rsidRDefault="00192696" w:rsidP="00AF4D7C">
            <w:pPr>
              <w:pStyle w:val="Table-normal-text"/>
              <w:rPr>
                <w:color w:val="000000" w:themeColor="text1"/>
                <w:sz w:val="22"/>
                <w:szCs w:val="22"/>
              </w:rPr>
            </w:pPr>
            <w:r w:rsidRPr="00C95307">
              <w:rPr>
                <w:color w:val="000000" w:themeColor="text1"/>
                <w:sz w:val="22"/>
                <w:szCs w:val="22"/>
              </w:rPr>
              <w:t>Proposed funding allocation:</w:t>
            </w:r>
            <w:r w:rsidR="001F0097" w:rsidRPr="00C95307">
              <w:rPr>
                <w:color w:val="000000" w:themeColor="text1"/>
                <w:sz w:val="22"/>
                <w:szCs w:val="22"/>
              </w:rPr>
              <w:t xml:space="preserve">  </w:t>
            </w:r>
            <w:r w:rsidR="00E12415" w:rsidRPr="00C95307">
              <w:rPr>
                <w:b/>
                <w:color w:val="000000" w:themeColor="text1"/>
                <w:sz w:val="22"/>
                <w:szCs w:val="22"/>
              </w:rPr>
              <w:t>AUD$</w:t>
            </w:r>
            <w:r w:rsidR="00AF4D7C" w:rsidRPr="00C95307">
              <w:rPr>
                <w:b/>
                <w:color w:val="000000" w:themeColor="text1"/>
                <w:sz w:val="22"/>
                <w:szCs w:val="22"/>
              </w:rPr>
              <w:t>12</w:t>
            </w:r>
            <w:r w:rsidR="00D70AD7" w:rsidRPr="00C95307">
              <w:rPr>
                <w:b/>
                <w:color w:val="000000" w:themeColor="text1"/>
                <w:sz w:val="22"/>
                <w:szCs w:val="22"/>
              </w:rPr>
              <w:t xml:space="preserve"> </w:t>
            </w:r>
            <w:r w:rsidRPr="00C95307">
              <w:rPr>
                <w:b/>
                <w:color w:val="000000" w:themeColor="text1"/>
                <w:sz w:val="22"/>
                <w:szCs w:val="22"/>
              </w:rPr>
              <w:t>million</w:t>
            </w:r>
          </w:p>
        </w:tc>
      </w:tr>
    </w:tbl>
    <w:p w:rsidR="00A264C2" w:rsidRPr="00C95307" w:rsidRDefault="00A264C2" w:rsidP="00192696"/>
    <w:p w:rsidR="00D134C6" w:rsidRPr="00C95307" w:rsidRDefault="00400F4C" w:rsidP="00873468">
      <w:pPr>
        <w:spacing w:after="120"/>
        <w:outlineLvl w:val="0"/>
        <w:rPr>
          <w:b/>
          <w:sz w:val="22"/>
        </w:rPr>
      </w:pPr>
      <w:r w:rsidRPr="00C95307">
        <w:rPr>
          <w:b/>
          <w:sz w:val="22"/>
        </w:rPr>
        <w:t xml:space="preserve">Proposed </w:t>
      </w:r>
      <w:r w:rsidR="00D134C6" w:rsidRPr="00C95307">
        <w:rPr>
          <w:b/>
          <w:sz w:val="22"/>
        </w:rPr>
        <w:t xml:space="preserve">investment </w:t>
      </w:r>
      <w:r w:rsidRPr="00C95307">
        <w:rPr>
          <w:b/>
          <w:sz w:val="22"/>
        </w:rPr>
        <w:t>and rationale for AusAID involvement</w:t>
      </w:r>
    </w:p>
    <w:p w:rsidR="003C01D2" w:rsidRPr="00C95307" w:rsidRDefault="00683911" w:rsidP="00724AA1">
      <w:pPr>
        <w:jc w:val="both"/>
        <w:rPr>
          <w:szCs w:val="20"/>
        </w:rPr>
      </w:pPr>
      <w:r w:rsidRPr="00C95307">
        <w:rPr>
          <w:szCs w:val="20"/>
        </w:rPr>
        <w:t>Achieving equitable access to quality education remains a challenge in Tonga. Considerable inequities exist between government and non-government schools, and between rural and urban areas. While near universal primary education has been achieved, the primary net enrolment rate has declined to 93% in 2008, and there is signific</w:t>
      </w:r>
      <w:r w:rsidR="008965AC" w:rsidRPr="00C95307">
        <w:rPr>
          <w:szCs w:val="20"/>
        </w:rPr>
        <w:t>ant repetition and drop out</w:t>
      </w:r>
      <w:r w:rsidR="00724AA1" w:rsidRPr="00C95307">
        <w:rPr>
          <w:rStyle w:val="EndnoteReference"/>
          <w:szCs w:val="20"/>
        </w:rPr>
        <w:endnoteReference w:id="2"/>
      </w:r>
      <w:r w:rsidR="008965AC" w:rsidRPr="00C95307">
        <w:rPr>
          <w:szCs w:val="20"/>
        </w:rPr>
        <w:t xml:space="preserve">. </w:t>
      </w:r>
      <w:r w:rsidRPr="00C95307">
        <w:rPr>
          <w:szCs w:val="20"/>
        </w:rPr>
        <w:t>Many schools have too few text</w:t>
      </w:r>
      <w:r w:rsidR="00C53704" w:rsidRPr="00C95307">
        <w:rPr>
          <w:szCs w:val="20"/>
        </w:rPr>
        <w:t xml:space="preserve">, </w:t>
      </w:r>
      <w:r w:rsidRPr="00C95307">
        <w:rPr>
          <w:szCs w:val="20"/>
        </w:rPr>
        <w:t xml:space="preserve">books, reading books, work books and consumables, and most have very low maintenance budgets. While school grants have been provided to finance the meeting of Minimum Service Standards (MSS), many schools are still under resourced. There are concerns about the quality of teachers, especially the relatively high </w:t>
      </w:r>
      <w:r w:rsidR="00E12415" w:rsidRPr="00C95307">
        <w:rPr>
          <w:szCs w:val="20"/>
        </w:rPr>
        <w:t>percent</w:t>
      </w:r>
      <w:r w:rsidRPr="00C95307">
        <w:rPr>
          <w:szCs w:val="20"/>
        </w:rPr>
        <w:t>age of underqualified teachers (particularly in non-government secondary schools). As a consequence, learning outcomes are less than desirable as evidenced by the high repetition rates and low literacy levels</w:t>
      </w:r>
      <w:r w:rsidR="008965AC" w:rsidRPr="00C95307">
        <w:rPr>
          <w:szCs w:val="20"/>
        </w:rPr>
        <w:t xml:space="preserve">. </w:t>
      </w:r>
      <w:r w:rsidRPr="00C95307">
        <w:rPr>
          <w:szCs w:val="20"/>
        </w:rPr>
        <w:t xml:space="preserve">Poor results were reported in the 2010 </w:t>
      </w:r>
      <w:r w:rsidR="00EE5B19" w:rsidRPr="00C95307">
        <w:rPr>
          <w:szCs w:val="20"/>
        </w:rPr>
        <w:t>Secretariat</w:t>
      </w:r>
      <w:r w:rsidRPr="00C95307">
        <w:rPr>
          <w:szCs w:val="20"/>
        </w:rPr>
        <w:t xml:space="preserve"> </w:t>
      </w:r>
      <w:r w:rsidR="00EE5B19" w:rsidRPr="00C95307">
        <w:rPr>
          <w:szCs w:val="20"/>
        </w:rPr>
        <w:t xml:space="preserve">of the </w:t>
      </w:r>
      <w:r w:rsidRPr="00C95307">
        <w:rPr>
          <w:szCs w:val="20"/>
        </w:rPr>
        <w:t>Pacific Board of Educational Assessment (SPBEA) Standardised Tests of Achievement in Tonga (STAT) at Classes 4 and 6</w:t>
      </w:r>
      <w:r w:rsidR="003E6D85" w:rsidRPr="00C95307">
        <w:rPr>
          <w:szCs w:val="20"/>
          <w:vertAlign w:val="superscript"/>
        </w:rPr>
        <w:endnoteReference w:id="3"/>
      </w:r>
      <w:r w:rsidR="003E6D85" w:rsidRPr="00C95307">
        <w:rPr>
          <w:szCs w:val="20"/>
        </w:rPr>
        <w:t>,</w:t>
      </w:r>
      <w:r w:rsidRPr="00C95307">
        <w:rPr>
          <w:szCs w:val="20"/>
        </w:rPr>
        <w:t xml:space="preserve"> with low levels of acquisition of reading skills identified in the World Bank supported Tonga Early Grade Reading Assessments (TEGRA). </w:t>
      </w:r>
    </w:p>
    <w:p w:rsidR="003C01D2" w:rsidRPr="00C95307" w:rsidRDefault="003C01D2" w:rsidP="00724AA1">
      <w:pPr>
        <w:jc w:val="both"/>
        <w:rPr>
          <w:szCs w:val="20"/>
        </w:rPr>
      </w:pPr>
    </w:p>
    <w:p w:rsidR="00683911" w:rsidRPr="00C95307" w:rsidRDefault="00683911" w:rsidP="00724AA1">
      <w:pPr>
        <w:jc w:val="both"/>
        <w:rPr>
          <w:szCs w:val="20"/>
        </w:rPr>
      </w:pPr>
      <w:r w:rsidRPr="00C95307">
        <w:rPr>
          <w:szCs w:val="20"/>
        </w:rPr>
        <w:t>Early childhood education (ECE) is community-based, but is poorly resourced</w:t>
      </w:r>
      <w:r w:rsidR="00C53704" w:rsidRPr="00C95307">
        <w:rPr>
          <w:szCs w:val="20"/>
        </w:rPr>
        <w:t xml:space="preserve">, with  </w:t>
      </w:r>
      <w:r w:rsidRPr="00C95307">
        <w:rPr>
          <w:szCs w:val="20"/>
        </w:rPr>
        <w:t>few</w:t>
      </w:r>
      <w:r w:rsidR="008965AC" w:rsidRPr="00C95307">
        <w:rPr>
          <w:szCs w:val="20"/>
        </w:rPr>
        <w:t xml:space="preserve"> </w:t>
      </w:r>
      <w:r w:rsidRPr="00C95307">
        <w:rPr>
          <w:szCs w:val="20"/>
        </w:rPr>
        <w:t>trained te</w:t>
      </w:r>
      <w:r w:rsidR="00554BFA" w:rsidRPr="00C95307">
        <w:rPr>
          <w:szCs w:val="20"/>
        </w:rPr>
        <w:t xml:space="preserve">achers, no national curriculum, </w:t>
      </w:r>
      <w:r w:rsidRPr="00C95307">
        <w:rPr>
          <w:szCs w:val="20"/>
        </w:rPr>
        <w:t xml:space="preserve">and generally poor facilities. The management capacity of the Ministry of Education and Training (MET) </w:t>
      </w:r>
      <w:r w:rsidR="00030DE3" w:rsidRPr="00C95307">
        <w:rPr>
          <w:szCs w:val="20"/>
        </w:rPr>
        <w:t>has limitations</w:t>
      </w:r>
      <w:r w:rsidRPr="00C95307">
        <w:rPr>
          <w:szCs w:val="20"/>
        </w:rPr>
        <w:t xml:space="preserve">, especially in the areas of </w:t>
      </w:r>
      <w:r w:rsidR="00665177" w:rsidRPr="00C95307">
        <w:rPr>
          <w:szCs w:val="20"/>
        </w:rPr>
        <w:t>program</w:t>
      </w:r>
      <w:r w:rsidRPr="00C95307">
        <w:rPr>
          <w:szCs w:val="20"/>
        </w:rPr>
        <w:t xml:space="preserve"> planning, forecasting, costing, </w:t>
      </w:r>
      <w:r w:rsidR="00C53704" w:rsidRPr="00C95307">
        <w:rPr>
          <w:szCs w:val="20"/>
        </w:rPr>
        <w:t xml:space="preserve">procurement, </w:t>
      </w:r>
      <w:r w:rsidRPr="00C95307">
        <w:rPr>
          <w:szCs w:val="20"/>
        </w:rPr>
        <w:t xml:space="preserve">budget control, </w:t>
      </w:r>
      <w:r w:rsidR="005F60C9" w:rsidRPr="00C95307">
        <w:rPr>
          <w:szCs w:val="20"/>
        </w:rPr>
        <w:t xml:space="preserve">and </w:t>
      </w:r>
      <w:r w:rsidRPr="00C95307">
        <w:rPr>
          <w:szCs w:val="20"/>
        </w:rPr>
        <w:t>monitoring and reporting.</w:t>
      </w:r>
      <w:r w:rsidR="00030DE3" w:rsidRPr="00C95307">
        <w:t xml:space="preserve"> </w:t>
      </w:r>
      <w:r w:rsidR="00EE5B19" w:rsidRPr="00C95307">
        <w:rPr>
          <w:szCs w:val="20"/>
        </w:rPr>
        <w:t>Despite significant investment in a</w:t>
      </w:r>
      <w:r w:rsidR="005F60C9" w:rsidRPr="00C95307">
        <w:rPr>
          <w:szCs w:val="20"/>
        </w:rPr>
        <w:t>n</w:t>
      </w:r>
      <w:r w:rsidR="00EE5B19" w:rsidRPr="00C95307">
        <w:rPr>
          <w:szCs w:val="20"/>
        </w:rPr>
        <w:t xml:space="preserve"> Education Management Information System (EMIS), a</w:t>
      </w:r>
      <w:r w:rsidRPr="00C95307">
        <w:rPr>
          <w:szCs w:val="20"/>
        </w:rPr>
        <w:t>ccess to up-to-da</w:t>
      </w:r>
      <w:r w:rsidR="00EE5B19" w:rsidRPr="00C95307">
        <w:rPr>
          <w:szCs w:val="20"/>
        </w:rPr>
        <w:t xml:space="preserve">te information is problematic, </w:t>
      </w:r>
      <w:r w:rsidRPr="00C95307">
        <w:rPr>
          <w:szCs w:val="20"/>
        </w:rPr>
        <w:t>and analysis of data</w:t>
      </w:r>
      <w:r w:rsidR="00EE5B19" w:rsidRPr="00C95307">
        <w:rPr>
          <w:szCs w:val="20"/>
        </w:rPr>
        <w:t xml:space="preserve"> </w:t>
      </w:r>
      <w:r w:rsidRPr="00C95307">
        <w:rPr>
          <w:szCs w:val="20"/>
        </w:rPr>
        <w:t>to inform policy-making is not routinely undertaken. The Tonga Institute of Education (TIOE - responsible for training teachers</w:t>
      </w:r>
      <w:r w:rsidR="00112AFD" w:rsidRPr="00C95307">
        <w:rPr>
          <w:szCs w:val="20"/>
        </w:rPr>
        <w:t>)</w:t>
      </w:r>
      <w:r w:rsidR="00030DE3" w:rsidRPr="00C95307">
        <w:rPr>
          <w:szCs w:val="20"/>
        </w:rPr>
        <w:t xml:space="preserve"> is struggling to meet the demand for qualified teachers,</w:t>
      </w:r>
      <w:r w:rsidR="00112AFD" w:rsidRPr="00C95307">
        <w:rPr>
          <w:szCs w:val="20"/>
        </w:rPr>
        <w:t xml:space="preserve"> </w:t>
      </w:r>
      <w:r w:rsidRPr="00C95307">
        <w:rPr>
          <w:szCs w:val="20"/>
        </w:rPr>
        <w:t>and is in need of refurbishment.</w:t>
      </w:r>
    </w:p>
    <w:p w:rsidR="003C01D2" w:rsidRPr="00C95307" w:rsidRDefault="003C01D2" w:rsidP="00724AA1">
      <w:pPr>
        <w:jc w:val="both"/>
        <w:rPr>
          <w:szCs w:val="20"/>
        </w:rPr>
      </w:pPr>
    </w:p>
    <w:p w:rsidR="003C01D2" w:rsidRPr="00C95307" w:rsidRDefault="003E6D85" w:rsidP="00724AA1">
      <w:pPr>
        <w:tabs>
          <w:tab w:val="left" w:pos="227"/>
        </w:tabs>
        <w:jc w:val="both"/>
        <w:rPr>
          <w:rFonts w:cs="Arial"/>
          <w:b/>
          <w:i/>
          <w:color w:val="76923C"/>
          <w:szCs w:val="18"/>
        </w:rPr>
      </w:pPr>
      <w:r w:rsidRPr="00C95307">
        <w:rPr>
          <w:rFonts w:cs="Arial"/>
          <w:szCs w:val="18"/>
        </w:rPr>
        <w:t>Girls are significantly outperforming boys in primary school</w:t>
      </w:r>
      <w:r w:rsidRPr="00C95307">
        <w:rPr>
          <w:szCs w:val="20"/>
          <w:vertAlign w:val="superscript"/>
        </w:rPr>
        <w:endnoteReference w:id="4"/>
      </w:r>
      <w:r w:rsidRPr="00C95307">
        <w:rPr>
          <w:rFonts w:cs="Arial"/>
          <w:szCs w:val="18"/>
        </w:rPr>
        <w:t xml:space="preserve">, although </w:t>
      </w:r>
      <w:r w:rsidR="005F60C9" w:rsidRPr="00C95307">
        <w:rPr>
          <w:rFonts w:cs="Arial"/>
          <w:szCs w:val="18"/>
        </w:rPr>
        <w:t xml:space="preserve">they </w:t>
      </w:r>
      <w:r w:rsidRPr="00C95307">
        <w:rPr>
          <w:rFonts w:cs="Arial"/>
          <w:szCs w:val="18"/>
        </w:rPr>
        <w:t xml:space="preserve">have lower participation rates in secondary school. </w:t>
      </w:r>
      <w:r w:rsidR="009C505B" w:rsidRPr="00C95307">
        <w:rPr>
          <w:rFonts w:cs="Arial"/>
          <w:szCs w:val="18"/>
        </w:rPr>
        <w:t xml:space="preserve">The </w:t>
      </w:r>
      <w:r w:rsidR="003C01D2" w:rsidRPr="00C95307">
        <w:rPr>
          <w:rFonts w:cs="Arial"/>
          <w:szCs w:val="18"/>
        </w:rPr>
        <w:t>GoT education policy and planning documents</w:t>
      </w:r>
      <w:r w:rsidR="009C505B" w:rsidRPr="00C95307">
        <w:rPr>
          <w:rFonts w:cs="Arial"/>
          <w:szCs w:val="18"/>
        </w:rPr>
        <w:t xml:space="preserve"> address gender equality </w:t>
      </w:r>
      <w:r w:rsidR="004561E1" w:rsidRPr="00C95307">
        <w:rPr>
          <w:rFonts w:cs="Arial"/>
          <w:szCs w:val="18"/>
        </w:rPr>
        <w:t xml:space="preserve">by </w:t>
      </w:r>
      <w:r w:rsidR="005F60C9" w:rsidRPr="00C95307">
        <w:rPr>
          <w:rFonts w:cs="Arial"/>
          <w:szCs w:val="18"/>
        </w:rPr>
        <w:t>requiring</w:t>
      </w:r>
      <w:r w:rsidR="001F0097" w:rsidRPr="00C95307">
        <w:rPr>
          <w:rFonts w:cs="Arial"/>
          <w:szCs w:val="18"/>
        </w:rPr>
        <w:t xml:space="preserve"> </w:t>
      </w:r>
      <w:r w:rsidR="003C01D2" w:rsidRPr="00C95307">
        <w:rPr>
          <w:rFonts w:cs="Arial"/>
          <w:szCs w:val="18"/>
        </w:rPr>
        <w:t>compulsory and equal participation of boys and girls in schools from age</w:t>
      </w:r>
      <w:r w:rsidR="005F60C9" w:rsidRPr="00C95307">
        <w:rPr>
          <w:rFonts w:cs="Arial"/>
          <w:szCs w:val="18"/>
        </w:rPr>
        <w:t>s</w:t>
      </w:r>
      <w:r w:rsidR="003C01D2" w:rsidRPr="00C95307">
        <w:rPr>
          <w:rFonts w:cs="Arial"/>
          <w:szCs w:val="18"/>
        </w:rPr>
        <w:t xml:space="preserve"> 4-18</w:t>
      </w:r>
      <w:r w:rsidR="00FF248B" w:rsidRPr="00C95307">
        <w:rPr>
          <w:rFonts w:cs="Arial"/>
          <w:szCs w:val="18"/>
        </w:rPr>
        <w:t>.</w:t>
      </w:r>
      <w:r w:rsidR="001F0097" w:rsidRPr="00C95307">
        <w:rPr>
          <w:rFonts w:cs="Arial"/>
          <w:szCs w:val="18"/>
        </w:rPr>
        <w:t xml:space="preserve"> </w:t>
      </w:r>
      <w:r w:rsidR="00FF248B" w:rsidRPr="00C95307">
        <w:rPr>
          <w:rFonts w:cs="Arial"/>
          <w:szCs w:val="18"/>
        </w:rPr>
        <w:t>I</w:t>
      </w:r>
      <w:r w:rsidR="003C01D2" w:rsidRPr="00C95307">
        <w:rPr>
          <w:rFonts w:cs="Arial"/>
          <w:szCs w:val="18"/>
        </w:rPr>
        <w:t>mprove</w:t>
      </w:r>
      <w:r w:rsidR="00692A46" w:rsidRPr="00C95307">
        <w:rPr>
          <w:rFonts w:cs="Arial"/>
          <w:szCs w:val="18"/>
        </w:rPr>
        <w:t>ments to</w:t>
      </w:r>
      <w:r w:rsidR="003C01D2" w:rsidRPr="00C95307">
        <w:rPr>
          <w:rFonts w:cs="Arial"/>
          <w:szCs w:val="18"/>
        </w:rPr>
        <w:t xml:space="preserve"> student outcome</w:t>
      </w:r>
      <w:r w:rsidR="00FB1366" w:rsidRPr="00C95307">
        <w:rPr>
          <w:rFonts w:cs="Arial"/>
          <w:szCs w:val="18"/>
        </w:rPr>
        <w:t>s</w:t>
      </w:r>
      <w:r w:rsidR="003C01D2" w:rsidRPr="00C95307">
        <w:rPr>
          <w:rFonts w:cs="Arial"/>
          <w:szCs w:val="18"/>
        </w:rPr>
        <w:t xml:space="preserve"> and teacher competency </w:t>
      </w:r>
      <w:r w:rsidR="00FF248B" w:rsidRPr="00C95307">
        <w:rPr>
          <w:rFonts w:cs="Arial"/>
          <w:szCs w:val="18"/>
        </w:rPr>
        <w:t xml:space="preserve">are sought that </w:t>
      </w:r>
      <w:r w:rsidRPr="00C95307">
        <w:rPr>
          <w:rFonts w:cs="Arial"/>
          <w:szCs w:val="18"/>
        </w:rPr>
        <w:t>will</w:t>
      </w:r>
      <w:r w:rsidR="003C01D2" w:rsidRPr="00C95307">
        <w:rPr>
          <w:rFonts w:cs="Arial"/>
          <w:szCs w:val="18"/>
        </w:rPr>
        <w:t xml:space="preserve"> app</w:t>
      </w:r>
      <w:r w:rsidRPr="00C95307">
        <w:rPr>
          <w:rFonts w:cs="Arial"/>
          <w:szCs w:val="18"/>
        </w:rPr>
        <w:t xml:space="preserve">ly equally to male and female. </w:t>
      </w:r>
      <w:r w:rsidR="003C01D2" w:rsidRPr="00C95307">
        <w:rPr>
          <w:rFonts w:cs="Arial"/>
          <w:szCs w:val="18"/>
        </w:rPr>
        <w:t xml:space="preserve">There is </w:t>
      </w:r>
      <w:r w:rsidR="00EE5B19" w:rsidRPr="00C95307">
        <w:rPr>
          <w:rFonts w:cs="Arial"/>
          <w:szCs w:val="18"/>
        </w:rPr>
        <w:t xml:space="preserve">also </w:t>
      </w:r>
      <w:r w:rsidR="003C01D2" w:rsidRPr="00C95307">
        <w:rPr>
          <w:rFonts w:cs="Arial"/>
          <w:szCs w:val="18"/>
        </w:rPr>
        <w:t>equal participation of women in decision</w:t>
      </w:r>
      <w:r w:rsidR="00FF248B" w:rsidRPr="00C95307">
        <w:rPr>
          <w:rFonts w:cs="Arial"/>
          <w:szCs w:val="18"/>
        </w:rPr>
        <w:t>-</w:t>
      </w:r>
      <w:r w:rsidR="003C01D2" w:rsidRPr="00C95307">
        <w:rPr>
          <w:rFonts w:cs="Arial"/>
          <w:szCs w:val="18"/>
        </w:rPr>
        <w:t>making and</w:t>
      </w:r>
      <w:r w:rsidR="00FF248B" w:rsidRPr="00C95307">
        <w:rPr>
          <w:rFonts w:cs="Arial"/>
          <w:szCs w:val="18"/>
        </w:rPr>
        <w:t xml:space="preserve"> in</w:t>
      </w:r>
      <w:r w:rsidR="003C01D2" w:rsidRPr="00C95307">
        <w:rPr>
          <w:rFonts w:cs="Arial"/>
          <w:szCs w:val="18"/>
        </w:rPr>
        <w:t xml:space="preserve"> leadership position</w:t>
      </w:r>
      <w:r w:rsidR="00FF248B" w:rsidRPr="00C95307">
        <w:rPr>
          <w:rFonts w:cs="Arial"/>
          <w:szCs w:val="18"/>
        </w:rPr>
        <w:t>s</w:t>
      </w:r>
      <w:r w:rsidR="003C01D2" w:rsidRPr="00C95307">
        <w:rPr>
          <w:rFonts w:cs="Arial"/>
          <w:szCs w:val="18"/>
        </w:rPr>
        <w:t xml:space="preserve"> in the Ministry</w:t>
      </w:r>
      <w:r w:rsidR="00F46BB6" w:rsidRPr="00C95307">
        <w:rPr>
          <w:rStyle w:val="EndnoteReference"/>
          <w:szCs w:val="18"/>
        </w:rPr>
        <w:endnoteReference w:id="5"/>
      </w:r>
      <w:r w:rsidR="008965AC" w:rsidRPr="00C95307">
        <w:rPr>
          <w:rFonts w:cs="Arial"/>
          <w:szCs w:val="18"/>
        </w:rPr>
        <w:t xml:space="preserve">. </w:t>
      </w:r>
    </w:p>
    <w:p w:rsidR="003C01D2" w:rsidRPr="00C95307" w:rsidRDefault="003C01D2" w:rsidP="00724AA1">
      <w:pPr>
        <w:tabs>
          <w:tab w:val="left" w:pos="227"/>
        </w:tabs>
        <w:jc w:val="both"/>
        <w:rPr>
          <w:rFonts w:cs="Arial"/>
          <w:b/>
          <w:i/>
          <w:color w:val="76923C"/>
          <w:szCs w:val="18"/>
        </w:rPr>
      </w:pPr>
    </w:p>
    <w:p w:rsidR="00C53704" w:rsidRPr="00C95307" w:rsidRDefault="00DB0F87" w:rsidP="00C53704">
      <w:pPr>
        <w:tabs>
          <w:tab w:val="left" w:pos="227"/>
        </w:tabs>
        <w:jc w:val="both"/>
        <w:rPr>
          <w:rFonts w:cs="Arial"/>
          <w:szCs w:val="18"/>
        </w:rPr>
      </w:pPr>
      <w:r w:rsidRPr="00C95307">
        <w:rPr>
          <w:rFonts w:cs="Arial"/>
          <w:szCs w:val="18"/>
        </w:rPr>
        <w:t>The Government of Tonga (GoT) faces a</w:t>
      </w:r>
      <w:r w:rsidR="00C53704" w:rsidRPr="00C95307">
        <w:rPr>
          <w:rFonts w:cs="Arial"/>
          <w:szCs w:val="18"/>
        </w:rPr>
        <w:t xml:space="preserve"> financing gap for its program</w:t>
      </w:r>
      <w:r w:rsidRPr="00C95307">
        <w:rPr>
          <w:rFonts w:cs="Arial"/>
          <w:szCs w:val="18"/>
        </w:rPr>
        <w:t xml:space="preserve">s, including education. The </w:t>
      </w:r>
      <w:r w:rsidR="00677ECD" w:rsidRPr="00C95307">
        <w:rPr>
          <w:rFonts w:cs="Arial"/>
          <w:szCs w:val="18"/>
        </w:rPr>
        <w:t>GoT commits about 15</w:t>
      </w:r>
      <w:r w:rsidRPr="00C95307">
        <w:rPr>
          <w:rFonts w:cs="Arial"/>
          <w:szCs w:val="18"/>
        </w:rPr>
        <w:t>% of its</w:t>
      </w:r>
      <w:r w:rsidR="00420E64" w:rsidRPr="00C95307">
        <w:rPr>
          <w:rFonts w:cs="Arial"/>
          <w:szCs w:val="18"/>
        </w:rPr>
        <w:t xml:space="preserve"> total</w:t>
      </w:r>
      <w:r w:rsidRPr="00C95307">
        <w:rPr>
          <w:rFonts w:cs="Arial"/>
          <w:szCs w:val="18"/>
        </w:rPr>
        <w:t xml:space="preserve"> budget </w:t>
      </w:r>
      <w:r w:rsidR="00FF248B" w:rsidRPr="00C95307">
        <w:rPr>
          <w:rFonts w:cs="Arial"/>
          <w:szCs w:val="18"/>
        </w:rPr>
        <w:t>to</w:t>
      </w:r>
      <w:r w:rsidRPr="00C95307">
        <w:rPr>
          <w:rFonts w:cs="Arial"/>
          <w:szCs w:val="18"/>
        </w:rPr>
        <w:t xml:space="preserve"> education. </w:t>
      </w:r>
      <w:r w:rsidR="004609B9" w:rsidRPr="00C95307">
        <w:rPr>
          <w:rFonts w:cs="Arial"/>
          <w:szCs w:val="18"/>
        </w:rPr>
        <w:t>T</w:t>
      </w:r>
      <w:r w:rsidR="00C53704" w:rsidRPr="00C95307">
        <w:rPr>
          <w:rFonts w:cs="Arial"/>
          <w:szCs w:val="18"/>
        </w:rPr>
        <w:t>he cost</w:t>
      </w:r>
      <w:r w:rsidR="004609B9" w:rsidRPr="00C95307">
        <w:rPr>
          <w:rFonts w:cs="Arial"/>
          <w:szCs w:val="18"/>
        </w:rPr>
        <w:t xml:space="preserve"> </w:t>
      </w:r>
      <w:r w:rsidR="00C53704" w:rsidRPr="00C95307">
        <w:rPr>
          <w:rFonts w:cs="Arial"/>
          <w:szCs w:val="18"/>
        </w:rPr>
        <w:t>of salaries at 91%</w:t>
      </w:r>
      <w:r w:rsidR="004609B9" w:rsidRPr="00C95307">
        <w:rPr>
          <w:rFonts w:cs="Arial"/>
          <w:szCs w:val="18"/>
        </w:rPr>
        <w:t xml:space="preserve"> of the education budget are squeezing out other operational spending, and some operational items </w:t>
      </w:r>
      <w:r w:rsidR="00C53704" w:rsidRPr="00C95307">
        <w:rPr>
          <w:rFonts w:cs="Arial"/>
          <w:szCs w:val="18"/>
        </w:rPr>
        <w:t xml:space="preserve">(such as for teacher professional development) </w:t>
      </w:r>
      <w:r w:rsidR="004609B9" w:rsidRPr="00C95307">
        <w:rPr>
          <w:rFonts w:cs="Arial"/>
          <w:szCs w:val="18"/>
        </w:rPr>
        <w:t xml:space="preserve">are now seriously under-funded. </w:t>
      </w:r>
      <w:r w:rsidR="00112AFD" w:rsidRPr="00C95307">
        <w:rPr>
          <w:rFonts w:cs="Arial"/>
          <w:szCs w:val="18"/>
        </w:rPr>
        <w:t>S</w:t>
      </w:r>
      <w:r w:rsidRPr="00C95307">
        <w:rPr>
          <w:rFonts w:cs="Arial"/>
          <w:szCs w:val="18"/>
        </w:rPr>
        <w:t>chool maintenance budgets have been cut by</w:t>
      </w:r>
      <w:r w:rsidR="00EE5B19" w:rsidRPr="00C95307">
        <w:rPr>
          <w:rFonts w:cs="Arial"/>
          <w:szCs w:val="18"/>
        </w:rPr>
        <w:t xml:space="preserve"> almost two-thirds since FY04/05</w:t>
      </w:r>
      <w:r w:rsidR="008965AC" w:rsidRPr="00C95307">
        <w:rPr>
          <w:rFonts w:cs="Arial"/>
          <w:szCs w:val="18"/>
        </w:rPr>
        <w:t xml:space="preserve">. </w:t>
      </w:r>
      <w:r w:rsidR="00EE5B19" w:rsidRPr="00C95307">
        <w:rPr>
          <w:rFonts w:cs="Arial"/>
          <w:szCs w:val="18"/>
        </w:rPr>
        <w:t>P</w:t>
      </w:r>
      <w:r w:rsidRPr="00C95307">
        <w:rPr>
          <w:rFonts w:cs="Arial"/>
          <w:szCs w:val="18"/>
        </w:rPr>
        <w:t xml:space="preserve">rimary education </w:t>
      </w:r>
      <w:r w:rsidR="00EE5B19" w:rsidRPr="00C95307">
        <w:rPr>
          <w:rFonts w:cs="Arial"/>
          <w:szCs w:val="18"/>
        </w:rPr>
        <w:t xml:space="preserve">funding has fallen </w:t>
      </w:r>
      <w:r w:rsidR="00072DBD" w:rsidRPr="00C95307">
        <w:rPr>
          <w:rFonts w:cs="Arial"/>
          <w:szCs w:val="18"/>
        </w:rPr>
        <w:t xml:space="preserve">to </w:t>
      </w:r>
      <w:r w:rsidR="00C53704" w:rsidRPr="00C95307">
        <w:rPr>
          <w:rFonts w:cs="Arial"/>
          <w:szCs w:val="18"/>
        </w:rPr>
        <w:t xml:space="preserve">38% </w:t>
      </w:r>
      <w:r w:rsidR="00F90267" w:rsidRPr="00C95307">
        <w:rPr>
          <w:rFonts w:cs="Arial"/>
          <w:szCs w:val="18"/>
        </w:rPr>
        <w:t>of the total public education budget</w:t>
      </w:r>
      <w:r w:rsidRPr="00C95307">
        <w:rPr>
          <w:rFonts w:cs="Arial"/>
          <w:szCs w:val="18"/>
        </w:rPr>
        <w:t>, while secondary education spending has risen</w:t>
      </w:r>
      <w:r w:rsidR="008965AC" w:rsidRPr="00C95307">
        <w:rPr>
          <w:rFonts w:cs="Arial"/>
          <w:szCs w:val="18"/>
        </w:rPr>
        <w:t xml:space="preserve">. </w:t>
      </w:r>
      <w:r w:rsidR="00C53704" w:rsidRPr="00C95307">
        <w:rPr>
          <w:rFonts w:cs="Arial"/>
          <w:szCs w:val="18"/>
        </w:rPr>
        <w:t xml:space="preserve">An estimated 40-45% </w:t>
      </w:r>
      <w:r w:rsidR="00F90267" w:rsidRPr="00C95307">
        <w:rPr>
          <w:rFonts w:cs="Arial"/>
          <w:szCs w:val="18"/>
        </w:rPr>
        <w:t xml:space="preserve">of Tonga’s </w:t>
      </w:r>
      <w:r w:rsidR="004836BD" w:rsidRPr="00C95307">
        <w:rPr>
          <w:rFonts w:cs="Arial"/>
          <w:szCs w:val="18"/>
        </w:rPr>
        <w:t xml:space="preserve">pre-tertiary education costs </w:t>
      </w:r>
      <w:r w:rsidR="00DD0E73" w:rsidRPr="00C95307">
        <w:rPr>
          <w:rFonts w:cs="Arial"/>
          <w:szCs w:val="18"/>
        </w:rPr>
        <w:t>are</w:t>
      </w:r>
      <w:r w:rsidR="00F90267" w:rsidRPr="00C95307">
        <w:rPr>
          <w:rFonts w:cs="Arial"/>
          <w:szCs w:val="18"/>
        </w:rPr>
        <w:t xml:space="preserve"> being met by churches and parents</w:t>
      </w:r>
      <w:r w:rsidR="00420E64" w:rsidRPr="00C95307">
        <w:rPr>
          <w:rFonts w:cs="Arial"/>
          <w:szCs w:val="18"/>
        </w:rPr>
        <w:endnoteReference w:id="6"/>
      </w:r>
      <w:r w:rsidR="00873468" w:rsidRPr="00C95307">
        <w:rPr>
          <w:rFonts w:cs="Arial"/>
          <w:szCs w:val="18"/>
        </w:rPr>
        <w:t>.</w:t>
      </w:r>
      <w:r w:rsidR="00C53704" w:rsidRPr="00C95307">
        <w:rPr>
          <w:rFonts w:cs="Arial"/>
          <w:szCs w:val="18"/>
        </w:rPr>
        <w:t xml:space="preserve"> </w:t>
      </w:r>
    </w:p>
    <w:p w:rsidR="00C53704" w:rsidRPr="00C95307" w:rsidRDefault="00C53704" w:rsidP="00C53704">
      <w:pPr>
        <w:tabs>
          <w:tab w:val="left" w:pos="227"/>
        </w:tabs>
        <w:jc w:val="both"/>
        <w:rPr>
          <w:rFonts w:cs="Arial"/>
          <w:szCs w:val="18"/>
        </w:rPr>
      </w:pPr>
    </w:p>
    <w:p w:rsidR="0068052B" w:rsidRPr="00C95307" w:rsidRDefault="0068052B" w:rsidP="00C53704">
      <w:pPr>
        <w:tabs>
          <w:tab w:val="left" w:pos="227"/>
        </w:tabs>
        <w:jc w:val="both"/>
        <w:rPr>
          <w:rFonts w:cs="Arial"/>
          <w:szCs w:val="18"/>
        </w:rPr>
      </w:pPr>
      <w:r w:rsidRPr="00C95307">
        <w:rPr>
          <w:rFonts w:cs="Arial"/>
          <w:szCs w:val="18"/>
        </w:rPr>
        <w:t xml:space="preserve">Tonga’s education sector focus is </w:t>
      </w:r>
      <w:r w:rsidR="00DB0F87" w:rsidRPr="00C95307">
        <w:rPr>
          <w:rFonts w:cs="Arial"/>
          <w:szCs w:val="18"/>
        </w:rPr>
        <w:t xml:space="preserve">to improve the quality of schooling, and especially </w:t>
      </w:r>
      <w:r w:rsidR="00643267" w:rsidRPr="00C95307">
        <w:rPr>
          <w:rFonts w:cs="Arial"/>
          <w:szCs w:val="18"/>
        </w:rPr>
        <w:t xml:space="preserve">to concentrate </w:t>
      </w:r>
      <w:r w:rsidR="00DB0F87" w:rsidRPr="00C95307">
        <w:rPr>
          <w:rFonts w:cs="Arial"/>
          <w:szCs w:val="18"/>
        </w:rPr>
        <w:t xml:space="preserve">on curriculum reform for primary schooling. </w:t>
      </w:r>
      <w:r w:rsidR="00643267" w:rsidRPr="00C95307">
        <w:rPr>
          <w:rFonts w:cs="Arial"/>
          <w:szCs w:val="18"/>
        </w:rPr>
        <w:t>Improving</w:t>
      </w:r>
      <w:r w:rsidRPr="00C95307">
        <w:rPr>
          <w:rFonts w:cs="Arial"/>
          <w:szCs w:val="18"/>
        </w:rPr>
        <w:t xml:space="preserve"> access to quality primary education will generate better prepared students in both government and non-government secondary schools, thereby improving the performance, efficiency and equity of the whole education system. </w:t>
      </w:r>
    </w:p>
    <w:p w:rsidR="0068052B" w:rsidRPr="00C95307" w:rsidRDefault="0068052B" w:rsidP="00C53704">
      <w:pPr>
        <w:tabs>
          <w:tab w:val="left" w:pos="227"/>
        </w:tabs>
        <w:jc w:val="both"/>
        <w:rPr>
          <w:rFonts w:cs="Arial"/>
          <w:szCs w:val="18"/>
        </w:rPr>
      </w:pPr>
    </w:p>
    <w:p w:rsidR="00C53704" w:rsidRPr="00C95307" w:rsidRDefault="00DB0F87" w:rsidP="00724AA1">
      <w:pPr>
        <w:jc w:val="both"/>
        <w:rPr>
          <w:szCs w:val="20"/>
        </w:rPr>
      </w:pPr>
      <w:r w:rsidRPr="00C95307">
        <w:rPr>
          <w:szCs w:val="20"/>
        </w:rPr>
        <w:t>The GoT</w:t>
      </w:r>
      <w:r w:rsidR="0006755B" w:rsidRPr="00C95307">
        <w:rPr>
          <w:szCs w:val="20"/>
        </w:rPr>
        <w:t>, through its Ministry of Education and Training,</w:t>
      </w:r>
      <w:r w:rsidRPr="00C95307">
        <w:rPr>
          <w:szCs w:val="20"/>
        </w:rPr>
        <w:t xml:space="preserve"> has requested the assistance of AusAID and New Zealand Ministry of Foreign Affairs and Trade (MFAT), as its primary Development Partners (DPs), to provide funding for the </w:t>
      </w:r>
      <w:r w:rsidRPr="00C95307">
        <w:rPr>
          <w:i/>
          <w:szCs w:val="20"/>
        </w:rPr>
        <w:t>MET Support Programme: Implementation Plan and Funding Proposal</w:t>
      </w:r>
      <w:r w:rsidRPr="00C95307">
        <w:rPr>
          <w:szCs w:val="20"/>
        </w:rPr>
        <w:t xml:space="preserve"> </w:t>
      </w:r>
      <w:r w:rsidRPr="00C95307">
        <w:rPr>
          <w:i/>
          <w:szCs w:val="20"/>
        </w:rPr>
        <w:t>2012-2015</w:t>
      </w:r>
      <w:r w:rsidRPr="00C95307">
        <w:rPr>
          <w:szCs w:val="20"/>
        </w:rPr>
        <w:t xml:space="preserve"> developed by </w:t>
      </w:r>
      <w:r w:rsidR="004836BD" w:rsidRPr="00C95307">
        <w:rPr>
          <w:szCs w:val="20"/>
        </w:rPr>
        <w:t>the Ministry of Education and Training (</w:t>
      </w:r>
      <w:r w:rsidR="0068052B" w:rsidRPr="00C95307">
        <w:rPr>
          <w:szCs w:val="20"/>
        </w:rPr>
        <w:t>MET</w:t>
      </w:r>
      <w:r w:rsidR="004836BD" w:rsidRPr="00C95307">
        <w:rPr>
          <w:szCs w:val="20"/>
        </w:rPr>
        <w:t>)</w:t>
      </w:r>
      <w:r w:rsidRPr="00C95307">
        <w:rPr>
          <w:szCs w:val="20"/>
        </w:rPr>
        <w:t xml:space="preserve"> in </w:t>
      </w:r>
      <w:r w:rsidR="000F72F1" w:rsidRPr="00C95307">
        <w:rPr>
          <w:szCs w:val="20"/>
        </w:rPr>
        <w:t>mid-2012</w:t>
      </w:r>
      <w:r w:rsidRPr="00C95307">
        <w:rPr>
          <w:szCs w:val="20"/>
        </w:rPr>
        <w:t>.</w:t>
      </w:r>
      <w:r w:rsidR="001F0097" w:rsidRPr="00C95307">
        <w:rPr>
          <w:szCs w:val="20"/>
        </w:rPr>
        <w:t xml:space="preserve"> </w:t>
      </w:r>
      <w:r w:rsidR="00513C6D" w:rsidRPr="00C95307">
        <w:rPr>
          <w:szCs w:val="20"/>
        </w:rPr>
        <w:t xml:space="preserve">This document outlines a proposed program of support by AusAID, as indicatively agreed with MET and MFAT. </w:t>
      </w:r>
    </w:p>
    <w:p w:rsidR="00C53704" w:rsidRPr="00C95307" w:rsidRDefault="00C53704" w:rsidP="00724AA1">
      <w:pPr>
        <w:jc w:val="both"/>
        <w:rPr>
          <w:szCs w:val="20"/>
        </w:rPr>
      </w:pPr>
    </w:p>
    <w:p w:rsidR="00C53704" w:rsidRPr="00C95307" w:rsidRDefault="00C53704" w:rsidP="00724AA1">
      <w:pPr>
        <w:jc w:val="both"/>
        <w:rPr>
          <w:szCs w:val="20"/>
        </w:rPr>
      </w:pPr>
      <w:r w:rsidRPr="00C95307">
        <w:rPr>
          <w:szCs w:val="20"/>
        </w:rPr>
        <w:t xml:space="preserve">The </w:t>
      </w:r>
      <w:r w:rsidR="00643267" w:rsidRPr="00C95307">
        <w:rPr>
          <w:szCs w:val="20"/>
        </w:rPr>
        <w:t xml:space="preserve">DPs are committed to assisting Tonga to strengthen its education sector and to increase the learning outcomes of Tongan </w:t>
      </w:r>
      <w:r w:rsidR="00127A8B" w:rsidRPr="00C95307">
        <w:rPr>
          <w:szCs w:val="20"/>
        </w:rPr>
        <w:t>children.</w:t>
      </w:r>
      <w:r w:rsidR="00643267" w:rsidRPr="00C95307">
        <w:rPr>
          <w:szCs w:val="20"/>
        </w:rPr>
        <w:t xml:space="preserve"> </w:t>
      </w:r>
      <w:r w:rsidR="00DB0F87" w:rsidRPr="00C95307">
        <w:rPr>
          <w:szCs w:val="20"/>
          <w:lang w:val="en-NZ"/>
        </w:rPr>
        <w:t>The proposed investment builds on the Tonga Education Support Programme (TESP1) that was supported by New Zealand and the World Bank from 2005 to 2010</w:t>
      </w:r>
      <w:r w:rsidR="0068052B" w:rsidRPr="00C95307">
        <w:rPr>
          <w:rStyle w:val="EndnoteReference"/>
          <w:szCs w:val="20"/>
          <w:lang w:val="en-NZ"/>
        </w:rPr>
        <w:endnoteReference w:id="7"/>
      </w:r>
      <w:r w:rsidR="00DB0F87" w:rsidRPr="00C95307">
        <w:rPr>
          <w:szCs w:val="20"/>
          <w:lang w:val="en-NZ"/>
        </w:rPr>
        <w:t xml:space="preserve">. The </w:t>
      </w:r>
      <w:r w:rsidR="0068052B" w:rsidRPr="00C95307">
        <w:rPr>
          <w:szCs w:val="20"/>
          <w:lang w:val="en-NZ"/>
        </w:rPr>
        <w:t xml:space="preserve">2010 TESP1 </w:t>
      </w:r>
      <w:r w:rsidR="00DB0F87" w:rsidRPr="00C95307">
        <w:rPr>
          <w:szCs w:val="20"/>
          <w:lang w:val="en-NZ"/>
        </w:rPr>
        <w:t>evaluation indicated that while there ha</w:t>
      </w:r>
      <w:r w:rsidR="00A67539" w:rsidRPr="00C95307">
        <w:rPr>
          <w:szCs w:val="20"/>
          <w:lang w:val="en-NZ"/>
        </w:rPr>
        <w:t>ve</w:t>
      </w:r>
      <w:r w:rsidR="00DB0F87" w:rsidRPr="00C95307">
        <w:rPr>
          <w:szCs w:val="20"/>
          <w:lang w:val="en-NZ"/>
        </w:rPr>
        <w:t xml:space="preserve"> been successes, much more remained to be done in the education sector</w:t>
      </w:r>
      <w:r w:rsidR="00C15026" w:rsidRPr="00C95307">
        <w:rPr>
          <w:rStyle w:val="EndnoteReference"/>
          <w:szCs w:val="20"/>
          <w:lang w:val="en-NZ"/>
        </w:rPr>
        <w:endnoteReference w:id="8"/>
      </w:r>
      <w:r w:rsidR="00DB0F87" w:rsidRPr="00C95307">
        <w:rPr>
          <w:szCs w:val="20"/>
          <w:lang w:val="en-NZ"/>
        </w:rPr>
        <w:t xml:space="preserve">. Since the conclusion of TESP1, the DPs have provided </w:t>
      </w:r>
      <w:r w:rsidR="0068052B" w:rsidRPr="00C95307">
        <w:rPr>
          <w:szCs w:val="20"/>
          <w:lang w:val="en-NZ"/>
        </w:rPr>
        <w:t xml:space="preserve">interim </w:t>
      </w:r>
      <w:r w:rsidR="00DB0F87" w:rsidRPr="00C95307">
        <w:rPr>
          <w:szCs w:val="20"/>
          <w:lang w:val="en-NZ"/>
        </w:rPr>
        <w:t xml:space="preserve">funding to </w:t>
      </w:r>
      <w:r w:rsidR="00DB0F87" w:rsidRPr="00C95307">
        <w:rPr>
          <w:szCs w:val="20"/>
        </w:rPr>
        <w:t xml:space="preserve">allow </w:t>
      </w:r>
      <w:r w:rsidR="0068052B" w:rsidRPr="00C95307">
        <w:rPr>
          <w:szCs w:val="20"/>
        </w:rPr>
        <w:t>MET</w:t>
      </w:r>
      <w:r w:rsidR="00DB0F87" w:rsidRPr="00C95307">
        <w:rPr>
          <w:szCs w:val="20"/>
        </w:rPr>
        <w:t xml:space="preserve"> to continue and complete t</w:t>
      </w:r>
      <w:r w:rsidR="0068052B" w:rsidRPr="00C95307">
        <w:rPr>
          <w:szCs w:val="20"/>
        </w:rPr>
        <w:t xml:space="preserve">he outstanding TESP1 activities, </w:t>
      </w:r>
      <w:r w:rsidR="00DB0F87" w:rsidRPr="00C95307">
        <w:rPr>
          <w:szCs w:val="20"/>
        </w:rPr>
        <w:t xml:space="preserve">as well as </w:t>
      </w:r>
      <w:r w:rsidR="00643267" w:rsidRPr="00C95307">
        <w:rPr>
          <w:szCs w:val="20"/>
        </w:rPr>
        <w:t xml:space="preserve">to </w:t>
      </w:r>
      <w:r w:rsidR="00DB0F87" w:rsidRPr="00C95307">
        <w:rPr>
          <w:szCs w:val="20"/>
        </w:rPr>
        <w:t>complet</w:t>
      </w:r>
      <w:r w:rsidR="00643267" w:rsidRPr="00C95307">
        <w:rPr>
          <w:szCs w:val="20"/>
        </w:rPr>
        <w:t>e</w:t>
      </w:r>
      <w:r w:rsidR="00DB0F87" w:rsidRPr="00C95307">
        <w:rPr>
          <w:szCs w:val="20"/>
        </w:rPr>
        <w:t xml:space="preserve"> revisions to the Education Act and the Education Policy Framework.</w:t>
      </w:r>
      <w:r w:rsidRPr="00C95307">
        <w:rPr>
          <w:szCs w:val="20"/>
        </w:rPr>
        <w:t xml:space="preserve">  </w:t>
      </w:r>
    </w:p>
    <w:p w:rsidR="00C53704" w:rsidRPr="00C95307" w:rsidRDefault="00C53704" w:rsidP="00724AA1">
      <w:pPr>
        <w:jc w:val="both"/>
        <w:rPr>
          <w:szCs w:val="20"/>
        </w:rPr>
      </w:pPr>
    </w:p>
    <w:p w:rsidR="00C53704" w:rsidRPr="00C95307" w:rsidRDefault="00C53704" w:rsidP="00724AA1">
      <w:pPr>
        <w:jc w:val="both"/>
        <w:rPr>
          <w:szCs w:val="20"/>
        </w:rPr>
      </w:pPr>
    </w:p>
    <w:p w:rsidR="00DB0F87" w:rsidRPr="00C95307" w:rsidRDefault="00DB0F87" w:rsidP="00724AA1">
      <w:pPr>
        <w:jc w:val="both"/>
        <w:rPr>
          <w:szCs w:val="20"/>
        </w:rPr>
      </w:pPr>
      <w:r w:rsidRPr="00C95307">
        <w:rPr>
          <w:szCs w:val="20"/>
        </w:rPr>
        <w:lastRenderedPageBreak/>
        <w:t>The</w:t>
      </w:r>
      <w:r w:rsidR="0068052B" w:rsidRPr="00C95307">
        <w:rPr>
          <w:szCs w:val="20"/>
        </w:rPr>
        <w:t>re have been significant changes to the Tonga education sector in the</w:t>
      </w:r>
      <w:r w:rsidRPr="00C95307">
        <w:rPr>
          <w:szCs w:val="20"/>
        </w:rPr>
        <w:t xml:space="preserve"> last five years</w:t>
      </w:r>
      <w:r w:rsidR="004836BD" w:rsidRPr="00C95307">
        <w:rPr>
          <w:szCs w:val="20"/>
        </w:rPr>
        <w:t>. These include</w:t>
      </w:r>
      <w:r w:rsidR="0068052B" w:rsidRPr="00C95307">
        <w:rPr>
          <w:szCs w:val="20"/>
        </w:rPr>
        <w:t xml:space="preserve"> </w:t>
      </w:r>
      <w:r w:rsidRPr="00C95307">
        <w:rPr>
          <w:szCs w:val="20"/>
        </w:rPr>
        <w:t xml:space="preserve">a restructuring of the </w:t>
      </w:r>
      <w:r w:rsidR="0068052B" w:rsidRPr="00C95307">
        <w:rPr>
          <w:szCs w:val="20"/>
        </w:rPr>
        <w:t>Ministry</w:t>
      </w:r>
      <w:r w:rsidR="0068052B" w:rsidRPr="00C95307">
        <w:rPr>
          <w:rStyle w:val="EndnoteReference"/>
          <w:szCs w:val="20"/>
        </w:rPr>
        <w:endnoteReference w:id="9"/>
      </w:r>
      <w:r w:rsidR="0068052B" w:rsidRPr="00C95307">
        <w:rPr>
          <w:szCs w:val="20"/>
        </w:rPr>
        <w:t xml:space="preserve">; a </w:t>
      </w:r>
      <w:r w:rsidRPr="00C95307">
        <w:rPr>
          <w:szCs w:val="20"/>
        </w:rPr>
        <w:t>new Minister of Education appointed in 2011, and a new Chief Executive Officer in 2012. The</w:t>
      </w:r>
      <w:r w:rsidRPr="00C95307">
        <w:rPr>
          <w:i/>
          <w:szCs w:val="20"/>
        </w:rPr>
        <w:t xml:space="preserve"> Tonga Education Lakalaka Policy Framework 2012-17 </w:t>
      </w:r>
      <w:r w:rsidRPr="00C95307">
        <w:rPr>
          <w:szCs w:val="20"/>
        </w:rPr>
        <w:t xml:space="preserve">underpins planned reforms to the sector. </w:t>
      </w:r>
      <w:r w:rsidR="00A8791B" w:rsidRPr="00C95307">
        <w:rPr>
          <w:szCs w:val="20"/>
        </w:rPr>
        <w:t xml:space="preserve">A revised Education Act </w:t>
      </w:r>
      <w:r w:rsidRPr="00C95307">
        <w:rPr>
          <w:szCs w:val="20"/>
        </w:rPr>
        <w:t>will extend the age range for compulsory education from ages 6-14 to ages 4-18. Major reform of the primary school curriculum is well advanced,</w:t>
      </w:r>
      <w:r w:rsidR="00127A8B" w:rsidRPr="00C95307">
        <w:rPr>
          <w:szCs w:val="20"/>
        </w:rPr>
        <w:t xml:space="preserve"> </w:t>
      </w:r>
      <w:r w:rsidRPr="00C95307">
        <w:rPr>
          <w:szCs w:val="20"/>
        </w:rPr>
        <w:t>including introduction of new student centred te</w:t>
      </w:r>
      <w:r w:rsidR="00127A8B" w:rsidRPr="00C95307">
        <w:rPr>
          <w:szCs w:val="20"/>
        </w:rPr>
        <w:t>aching and learning approaches</w:t>
      </w:r>
      <w:r w:rsidR="0006755B" w:rsidRPr="00C95307">
        <w:rPr>
          <w:szCs w:val="20"/>
        </w:rPr>
        <w:t>,</w:t>
      </w:r>
      <w:r w:rsidR="00127A8B" w:rsidRPr="00C95307">
        <w:rPr>
          <w:szCs w:val="20"/>
        </w:rPr>
        <w:t xml:space="preserve"> and</w:t>
      </w:r>
      <w:r w:rsidRPr="00C95307">
        <w:rPr>
          <w:szCs w:val="20"/>
        </w:rPr>
        <w:t xml:space="preserve"> the use of Tongan language </w:t>
      </w:r>
      <w:r w:rsidR="005572D2" w:rsidRPr="00C95307">
        <w:rPr>
          <w:szCs w:val="20"/>
        </w:rPr>
        <w:t xml:space="preserve">in </w:t>
      </w:r>
      <w:r w:rsidRPr="00C95307">
        <w:rPr>
          <w:szCs w:val="20"/>
        </w:rPr>
        <w:t xml:space="preserve">Classes 1-3. School-based management </w:t>
      </w:r>
      <w:r w:rsidR="00A8791B" w:rsidRPr="00C95307">
        <w:rPr>
          <w:szCs w:val="20"/>
        </w:rPr>
        <w:t xml:space="preserve">(SBM) </w:t>
      </w:r>
      <w:r w:rsidR="00127A8B" w:rsidRPr="00C95307">
        <w:rPr>
          <w:szCs w:val="20"/>
        </w:rPr>
        <w:t>program</w:t>
      </w:r>
      <w:r w:rsidRPr="00C95307">
        <w:rPr>
          <w:szCs w:val="20"/>
        </w:rPr>
        <w:t>s for school Principals have been introduced</w:t>
      </w:r>
      <w:r w:rsidR="00127A8B" w:rsidRPr="00C95307">
        <w:rPr>
          <w:szCs w:val="20"/>
        </w:rPr>
        <w:t>. The</w:t>
      </w:r>
      <w:r w:rsidRPr="00C95307">
        <w:rPr>
          <w:szCs w:val="20"/>
        </w:rPr>
        <w:t xml:space="preserve"> </w:t>
      </w:r>
      <w:r w:rsidR="00A8791B" w:rsidRPr="00C95307">
        <w:rPr>
          <w:szCs w:val="20"/>
        </w:rPr>
        <w:t xml:space="preserve">DP funded </w:t>
      </w:r>
      <w:r w:rsidRPr="00C95307">
        <w:rPr>
          <w:szCs w:val="20"/>
        </w:rPr>
        <w:t>grants for primary</w:t>
      </w:r>
      <w:r w:rsidR="005572D2" w:rsidRPr="00C95307">
        <w:rPr>
          <w:szCs w:val="20"/>
        </w:rPr>
        <w:t xml:space="preserve"> and</w:t>
      </w:r>
      <w:r w:rsidR="00A8791B" w:rsidRPr="00C95307">
        <w:rPr>
          <w:szCs w:val="20"/>
        </w:rPr>
        <w:t xml:space="preserve"> secondary </w:t>
      </w:r>
      <w:r w:rsidR="005572D2" w:rsidRPr="00C95307">
        <w:rPr>
          <w:szCs w:val="20"/>
        </w:rPr>
        <w:t xml:space="preserve">schools </w:t>
      </w:r>
      <w:r w:rsidR="00127A8B" w:rsidRPr="00C95307">
        <w:rPr>
          <w:szCs w:val="20"/>
        </w:rPr>
        <w:t xml:space="preserve">have been continued as well as </w:t>
      </w:r>
      <w:r w:rsidR="005572D2" w:rsidRPr="00C95307">
        <w:rPr>
          <w:szCs w:val="20"/>
        </w:rPr>
        <w:t xml:space="preserve">new grants for </w:t>
      </w:r>
      <w:r w:rsidR="00A8791B" w:rsidRPr="00C95307">
        <w:rPr>
          <w:szCs w:val="20"/>
        </w:rPr>
        <w:t xml:space="preserve">ECE </w:t>
      </w:r>
      <w:r w:rsidR="005572D2" w:rsidRPr="00C95307">
        <w:rPr>
          <w:szCs w:val="20"/>
        </w:rPr>
        <w:t>centres.</w:t>
      </w:r>
    </w:p>
    <w:p w:rsidR="00DB0F87" w:rsidRPr="00C95307" w:rsidRDefault="00DB0F87" w:rsidP="00724AA1">
      <w:pPr>
        <w:jc w:val="both"/>
        <w:rPr>
          <w:szCs w:val="20"/>
        </w:rPr>
      </w:pPr>
    </w:p>
    <w:p w:rsidR="00DB0F87" w:rsidRPr="00C95307" w:rsidRDefault="00D13B62" w:rsidP="00724AA1">
      <w:pPr>
        <w:jc w:val="both"/>
        <w:rPr>
          <w:szCs w:val="20"/>
        </w:rPr>
      </w:pPr>
      <w:r w:rsidRPr="00C95307">
        <w:rPr>
          <w:szCs w:val="20"/>
        </w:rPr>
        <w:t xml:space="preserve">AusAID has a </w:t>
      </w:r>
      <w:r w:rsidRPr="00C95307">
        <w:rPr>
          <w:rFonts w:cs="Arial"/>
          <w:szCs w:val="20"/>
        </w:rPr>
        <w:t xml:space="preserve">long term commitment to the education sector in Tonga and intends to include basic education in the Partnership for Development. As this commitment is performance based, </w:t>
      </w:r>
      <w:r w:rsidR="00A734AF" w:rsidRPr="00C95307">
        <w:rPr>
          <w:rFonts w:cs="Arial"/>
          <w:szCs w:val="20"/>
        </w:rPr>
        <w:t xml:space="preserve">and to fit within financial approval mechanisms, </w:t>
      </w:r>
      <w:r w:rsidRPr="00C95307">
        <w:rPr>
          <w:rFonts w:cs="Arial"/>
          <w:szCs w:val="20"/>
        </w:rPr>
        <w:t>i</w:t>
      </w:r>
      <w:r w:rsidR="00A8791B" w:rsidRPr="00C95307">
        <w:rPr>
          <w:szCs w:val="20"/>
        </w:rPr>
        <w:t xml:space="preserve">t is proposed that </w:t>
      </w:r>
      <w:r w:rsidR="00DB0F87" w:rsidRPr="00C95307">
        <w:rPr>
          <w:szCs w:val="20"/>
        </w:rPr>
        <w:t xml:space="preserve">AusAID contribute </w:t>
      </w:r>
      <w:r w:rsidR="00D83729" w:rsidRPr="00C95307">
        <w:rPr>
          <w:szCs w:val="20"/>
        </w:rPr>
        <w:t>up</w:t>
      </w:r>
      <w:r w:rsidR="00735D44" w:rsidRPr="00C95307">
        <w:rPr>
          <w:szCs w:val="20"/>
        </w:rPr>
        <w:t xml:space="preserve"> </w:t>
      </w:r>
      <w:r w:rsidR="00D83729" w:rsidRPr="00C95307">
        <w:rPr>
          <w:szCs w:val="20"/>
        </w:rPr>
        <w:t xml:space="preserve">to </w:t>
      </w:r>
      <w:r w:rsidR="00E12415" w:rsidRPr="00C95307">
        <w:rPr>
          <w:szCs w:val="20"/>
        </w:rPr>
        <w:t>AUD$</w:t>
      </w:r>
      <w:r w:rsidR="003D1F5F" w:rsidRPr="00C95307">
        <w:rPr>
          <w:szCs w:val="20"/>
        </w:rPr>
        <w:t xml:space="preserve">12 million </w:t>
      </w:r>
      <w:r w:rsidR="00D83729" w:rsidRPr="00C95307">
        <w:rPr>
          <w:szCs w:val="20"/>
        </w:rPr>
        <w:t xml:space="preserve">to the proposed </w:t>
      </w:r>
      <w:r w:rsidR="005572D2" w:rsidRPr="00C95307">
        <w:rPr>
          <w:szCs w:val="20"/>
        </w:rPr>
        <w:t>program</w:t>
      </w:r>
      <w:r w:rsidR="003D1F5F" w:rsidRPr="00C95307">
        <w:rPr>
          <w:szCs w:val="20"/>
        </w:rPr>
        <w:t xml:space="preserve"> over </w:t>
      </w:r>
      <w:r w:rsidRPr="00C95307">
        <w:rPr>
          <w:szCs w:val="20"/>
        </w:rPr>
        <w:t xml:space="preserve">an initial </w:t>
      </w:r>
      <w:r w:rsidR="003D1F5F" w:rsidRPr="00C95307">
        <w:rPr>
          <w:szCs w:val="20"/>
        </w:rPr>
        <w:t>3.5 years.</w:t>
      </w:r>
      <w:r w:rsidR="001F0097" w:rsidRPr="00C95307">
        <w:rPr>
          <w:szCs w:val="20"/>
        </w:rPr>
        <w:t xml:space="preserve"> </w:t>
      </w:r>
      <w:r w:rsidR="003D1F5F" w:rsidRPr="00C95307">
        <w:rPr>
          <w:szCs w:val="20"/>
        </w:rPr>
        <w:t xml:space="preserve">Of this, </w:t>
      </w:r>
      <w:r w:rsidR="000F00B2" w:rsidRPr="00C95307">
        <w:rPr>
          <w:szCs w:val="20"/>
        </w:rPr>
        <w:t xml:space="preserve">approximately </w:t>
      </w:r>
      <w:r w:rsidR="00E12415" w:rsidRPr="00C95307">
        <w:rPr>
          <w:szCs w:val="20"/>
        </w:rPr>
        <w:t>AUD$</w:t>
      </w:r>
      <w:r w:rsidR="003D1F5F" w:rsidRPr="00C95307">
        <w:rPr>
          <w:szCs w:val="20"/>
        </w:rPr>
        <w:t xml:space="preserve">10.5 million </w:t>
      </w:r>
      <w:r w:rsidR="000F00B2" w:rsidRPr="00C95307">
        <w:rPr>
          <w:szCs w:val="20"/>
        </w:rPr>
        <w:t xml:space="preserve">would be </w:t>
      </w:r>
      <w:r w:rsidR="002D337E" w:rsidRPr="00C95307">
        <w:rPr>
          <w:szCs w:val="20"/>
        </w:rPr>
        <w:t>through direct funding to the GoT General Development Account</w:t>
      </w:r>
      <w:r w:rsidR="000F00B2" w:rsidRPr="00C95307">
        <w:rPr>
          <w:szCs w:val="20"/>
        </w:rPr>
        <w:t xml:space="preserve"> </w:t>
      </w:r>
      <w:r w:rsidR="00540A35" w:rsidRPr="00C95307">
        <w:rPr>
          <w:szCs w:val="20"/>
        </w:rPr>
        <w:t xml:space="preserve">(to MET) </w:t>
      </w:r>
      <w:r w:rsidR="000F00B2" w:rsidRPr="00C95307">
        <w:rPr>
          <w:szCs w:val="20"/>
        </w:rPr>
        <w:t xml:space="preserve">while an </w:t>
      </w:r>
      <w:r w:rsidR="002D337E" w:rsidRPr="00C95307">
        <w:rPr>
          <w:szCs w:val="20"/>
        </w:rPr>
        <w:t xml:space="preserve">additional </w:t>
      </w:r>
      <w:r w:rsidR="00E12415" w:rsidRPr="00C95307">
        <w:rPr>
          <w:szCs w:val="20"/>
        </w:rPr>
        <w:t>AUD$</w:t>
      </w:r>
      <w:r w:rsidR="00D24E4F" w:rsidRPr="00C95307">
        <w:rPr>
          <w:szCs w:val="20"/>
        </w:rPr>
        <w:t xml:space="preserve">1.5 </w:t>
      </w:r>
      <w:r w:rsidR="002D337E" w:rsidRPr="00C95307">
        <w:rPr>
          <w:szCs w:val="20"/>
        </w:rPr>
        <w:t xml:space="preserve">million </w:t>
      </w:r>
      <w:r w:rsidR="000F00B2" w:rsidRPr="00C95307">
        <w:rPr>
          <w:szCs w:val="20"/>
        </w:rPr>
        <w:t xml:space="preserve">may </w:t>
      </w:r>
      <w:r w:rsidR="002D337E" w:rsidRPr="00C95307">
        <w:rPr>
          <w:szCs w:val="20"/>
        </w:rPr>
        <w:t xml:space="preserve">be </w:t>
      </w:r>
      <w:r w:rsidR="00D24E4F" w:rsidRPr="00C95307">
        <w:rPr>
          <w:szCs w:val="20"/>
        </w:rPr>
        <w:t>utilised by AusAID</w:t>
      </w:r>
      <w:r w:rsidR="002D337E" w:rsidRPr="00C95307">
        <w:rPr>
          <w:szCs w:val="20"/>
        </w:rPr>
        <w:t xml:space="preserve"> for </w:t>
      </w:r>
      <w:r w:rsidR="002D337E" w:rsidRPr="00C95307">
        <w:rPr>
          <w:szCs w:val="20"/>
          <w:lang w:val="nl-NL"/>
        </w:rPr>
        <w:t>technical assistance</w:t>
      </w:r>
      <w:r w:rsidR="00D24E4F" w:rsidRPr="00C95307">
        <w:rPr>
          <w:szCs w:val="20"/>
          <w:lang w:val="nl-NL"/>
        </w:rPr>
        <w:t xml:space="preserve">, research activities, progress reviews </w:t>
      </w:r>
      <w:r w:rsidR="002D337E" w:rsidRPr="00C95307">
        <w:rPr>
          <w:szCs w:val="20"/>
          <w:lang w:val="nl-NL"/>
        </w:rPr>
        <w:t xml:space="preserve">and related support for the implementation of </w:t>
      </w:r>
      <w:r w:rsidR="00665177" w:rsidRPr="00C95307">
        <w:rPr>
          <w:szCs w:val="20"/>
          <w:lang w:val="nl-NL"/>
        </w:rPr>
        <w:t>TESP2</w:t>
      </w:r>
      <w:r w:rsidR="002D337E" w:rsidRPr="00C95307">
        <w:rPr>
          <w:szCs w:val="20"/>
          <w:lang w:val="nl-NL"/>
        </w:rPr>
        <w:t>.</w:t>
      </w:r>
      <w:r w:rsidR="001F0097" w:rsidRPr="00C95307">
        <w:rPr>
          <w:szCs w:val="20"/>
        </w:rPr>
        <w:t xml:space="preserve"> </w:t>
      </w:r>
      <w:r w:rsidR="00DB0F87" w:rsidRPr="00C95307">
        <w:rPr>
          <w:szCs w:val="20"/>
        </w:rPr>
        <w:t xml:space="preserve">The </w:t>
      </w:r>
      <w:r w:rsidR="000F00B2" w:rsidRPr="00C95307">
        <w:rPr>
          <w:szCs w:val="20"/>
        </w:rPr>
        <w:t xml:space="preserve">proposed </w:t>
      </w:r>
      <w:r w:rsidR="00DB0F87" w:rsidRPr="00C95307">
        <w:rPr>
          <w:szCs w:val="20"/>
        </w:rPr>
        <w:t xml:space="preserve">investment </w:t>
      </w:r>
      <w:r w:rsidR="00D24E4F" w:rsidRPr="00C95307">
        <w:rPr>
          <w:szCs w:val="20"/>
        </w:rPr>
        <w:t xml:space="preserve">will </w:t>
      </w:r>
      <w:r w:rsidR="000F00B2" w:rsidRPr="00C95307">
        <w:rPr>
          <w:szCs w:val="20"/>
        </w:rPr>
        <w:t>support</w:t>
      </w:r>
      <w:r w:rsidR="00DB0F87" w:rsidRPr="00C95307">
        <w:rPr>
          <w:szCs w:val="20"/>
        </w:rPr>
        <w:t xml:space="preserve"> two phases</w:t>
      </w:r>
      <w:r w:rsidR="000F00B2" w:rsidRPr="00C95307">
        <w:rPr>
          <w:szCs w:val="20"/>
        </w:rPr>
        <w:t xml:space="preserve"> of activity</w:t>
      </w:r>
      <w:r w:rsidR="00DB0F87" w:rsidRPr="00C95307">
        <w:rPr>
          <w:szCs w:val="20"/>
        </w:rPr>
        <w:t xml:space="preserve">. Phase One </w:t>
      </w:r>
      <w:r w:rsidR="00D24E4F" w:rsidRPr="00C95307">
        <w:rPr>
          <w:szCs w:val="20"/>
        </w:rPr>
        <w:t>(</w:t>
      </w:r>
      <w:r w:rsidR="00E12415" w:rsidRPr="00C95307">
        <w:rPr>
          <w:szCs w:val="20"/>
        </w:rPr>
        <w:t>AUD$</w:t>
      </w:r>
      <w:r w:rsidR="00D24E4F" w:rsidRPr="00C95307">
        <w:rPr>
          <w:szCs w:val="20"/>
        </w:rPr>
        <w:t>4.5 million</w:t>
      </w:r>
      <w:r w:rsidR="003D1F5F" w:rsidRPr="00C95307">
        <w:rPr>
          <w:szCs w:val="20"/>
        </w:rPr>
        <w:t xml:space="preserve"> of the direct funding</w:t>
      </w:r>
      <w:r w:rsidR="00D24E4F" w:rsidRPr="00C95307">
        <w:rPr>
          <w:szCs w:val="20"/>
        </w:rPr>
        <w:t xml:space="preserve">) </w:t>
      </w:r>
      <w:r w:rsidR="00DB0F87" w:rsidRPr="00C95307">
        <w:rPr>
          <w:szCs w:val="20"/>
        </w:rPr>
        <w:t xml:space="preserve">would run for eighteen months from 1 January 2013 to 30 June 2014. Phase Two </w:t>
      </w:r>
      <w:r w:rsidR="00D24E4F" w:rsidRPr="00C95307">
        <w:rPr>
          <w:szCs w:val="20"/>
        </w:rPr>
        <w:t>(</w:t>
      </w:r>
      <w:r w:rsidR="00E12415" w:rsidRPr="00C95307">
        <w:rPr>
          <w:szCs w:val="20"/>
        </w:rPr>
        <w:t>AUD$</w:t>
      </w:r>
      <w:r w:rsidR="00D24E4F" w:rsidRPr="00C95307">
        <w:rPr>
          <w:szCs w:val="20"/>
        </w:rPr>
        <w:t xml:space="preserve">6 million) </w:t>
      </w:r>
      <w:r w:rsidR="00DB0F87" w:rsidRPr="00C95307">
        <w:rPr>
          <w:szCs w:val="20"/>
        </w:rPr>
        <w:t xml:space="preserve">would span the </w:t>
      </w:r>
      <w:r w:rsidR="00746FEC" w:rsidRPr="00C95307">
        <w:rPr>
          <w:szCs w:val="20"/>
        </w:rPr>
        <w:t xml:space="preserve">two year </w:t>
      </w:r>
      <w:r w:rsidR="00DB0F87" w:rsidRPr="00C95307">
        <w:rPr>
          <w:szCs w:val="20"/>
        </w:rPr>
        <w:t>period from July 2014 to June 2016</w:t>
      </w:r>
      <w:r w:rsidR="00D24E4F" w:rsidRPr="00C95307">
        <w:rPr>
          <w:szCs w:val="20"/>
        </w:rPr>
        <w:t>.</w:t>
      </w:r>
      <w:r w:rsidR="001F0097" w:rsidRPr="00C95307">
        <w:rPr>
          <w:szCs w:val="20"/>
        </w:rPr>
        <w:t xml:space="preserve"> </w:t>
      </w:r>
      <w:r w:rsidR="00746FEC" w:rsidRPr="00C95307">
        <w:rPr>
          <w:szCs w:val="20"/>
        </w:rPr>
        <w:t>The actual funding available for expenditure on TESP</w:t>
      </w:r>
      <w:r w:rsidRPr="00C95307">
        <w:rPr>
          <w:szCs w:val="20"/>
        </w:rPr>
        <w:t>2</w:t>
      </w:r>
      <w:r w:rsidR="00746FEC" w:rsidRPr="00C95307">
        <w:rPr>
          <w:szCs w:val="20"/>
        </w:rPr>
        <w:t xml:space="preserve"> will depend on </w:t>
      </w:r>
      <w:r w:rsidR="000F00B2" w:rsidRPr="00C95307">
        <w:rPr>
          <w:szCs w:val="20"/>
        </w:rPr>
        <w:t xml:space="preserve">annual program reviews and </w:t>
      </w:r>
      <w:r w:rsidR="00540A35" w:rsidRPr="00C95307">
        <w:rPr>
          <w:szCs w:val="20"/>
        </w:rPr>
        <w:t xml:space="preserve">performance, and </w:t>
      </w:r>
      <w:r w:rsidR="000F00B2" w:rsidRPr="00C95307">
        <w:rPr>
          <w:szCs w:val="20"/>
        </w:rPr>
        <w:t xml:space="preserve">may be </w:t>
      </w:r>
      <w:r w:rsidR="005572D2" w:rsidRPr="00C95307">
        <w:rPr>
          <w:szCs w:val="20"/>
        </w:rPr>
        <w:t xml:space="preserve">affected by </w:t>
      </w:r>
      <w:r w:rsidR="00746FEC" w:rsidRPr="00C95307">
        <w:rPr>
          <w:szCs w:val="20"/>
        </w:rPr>
        <w:t>currency exchange variations.</w:t>
      </w:r>
      <w:r w:rsidRPr="00C95307">
        <w:rPr>
          <w:szCs w:val="20"/>
        </w:rPr>
        <w:t xml:space="preserve"> </w:t>
      </w:r>
    </w:p>
    <w:p w:rsidR="00D13B62" w:rsidRPr="00C95307" w:rsidRDefault="00D13B62" w:rsidP="00724AA1">
      <w:pPr>
        <w:jc w:val="both"/>
        <w:rPr>
          <w:szCs w:val="20"/>
        </w:rPr>
      </w:pPr>
    </w:p>
    <w:p w:rsidR="00C3327D" w:rsidRPr="00C95307" w:rsidRDefault="000F00B2" w:rsidP="00C3327D">
      <w:pPr>
        <w:pStyle w:val="ListParagraph"/>
        <w:rPr>
          <w:rFonts w:cs="Arial"/>
          <w:szCs w:val="22"/>
        </w:rPr>
      </w:pPr>
      <w:r w:rsidRPr="00C95307">
        <w:t xml:space="preserve">In addition to directly financing </w:t>
      </w:r>
      <w:r w:rsidR="00BA5CC7" w:rsidRPr="00C95307">
        <w:t xml:space="preserve">MET </w:t>
      </w:r>
      <w:r w:rsidRPr="00C95307">
        <w:t>activities, t</w:t>
      </w:r>
      <w:r w:rsidR="00D24E4F" w:rsidRPr="00C95307">
        <w:t>he</w:t>
      </w:r>
      <w:r w:rsidR="00DB0F87" w:rsidRPr="00C95307">
        <w:t xml:space="preserve"> </w:t>
      </w:r>
      <w:r w:rsidR="00C3327D" w:rsidRPr="00C95307">
        <w:t>Phase One</w:t>
      </w:r>
      <w:r w:rsidR="00D24E4F" w:rsidRPr="00C95307">
        <w:t xml:space="preserve"> </w:t>
      </w:r>
      <w:r w:rsidR="00DB0F87" w:rsidRPr="00C95307">
        <w:t xml:space="preserve">investment will support MET to complete </w:t>
      </w:r>
      <w:r w:rsidR="006B4FA0" w:rsidRPr="00C95307">
        <w:t>agreed</w:t>
      </w:r>
      <w:r w:rsidR="00DB0F87" w:rsidRPr="00C95307">
        <w:t xml:space="preserve"> key activities</w:t>
      </w:r>
      <w:r w:rsidR="00A97DE3" w:rsidRPr="00C95307">
        <w:t xml:space="preserve"> in order to inform the direction of </w:t>
      </w:r>
      <w:r w:rsidR="000B2F61" w:rsidRPr="00C95307">
        <w:t>P</w:t>
      </w:r>
      <w:r w:rsidR="007D272F" w:rsidRPr="00C95307">
        <w:t>hase</w:t>
      </w:r>
      <w:r w:rsidR="000B2F61" w:rsidRPr="00C95307">
        <w:t xml:space="preserve"> Two</w:t>
      </w:r>
      <w:r w:rsidR="008965AC" w:rsidRPr="00C95307">
        <w:t xml:space="preserve">. </w:t>
      </w:r>
      <w:r w:rsidR="00C3327D" w:rsidRPr="00C95307">
        <w:t xml:space="preserve">As part of Phase One, </w:t>
      </w:r>
      <w:r w:rsidR="00A97DE3" w:rsidRPr="00C95307">
        <w:rPr>
          <w:rFonts w:cs="Arial"/>
        </w:rPr>
        <w:t>Shor</w:t>
      </w:r>
      <w:r w:rsidR="00826A3E" w:rsidRPr="00C95307">
        <w:rPr>
          <w:rFonts w:cs="Arial"/>
        </w:rPr>
        <w:t xml:space="preserve">t-term Advisers </w:t>
      </w:r>
      <w:r w:rsidR="00A97DE3" w:rsidRPr="00C95307">
        <w:rPr>
          <w:rFonts w:cs="Arial"/>
        </w:rPr>
        <w:t xml:space="preserve">will </w:t>
      </w:r>
      <w:r w:rsidR="00D24E4F" w:rsidRPr="00C95307">
        <w:rPr>
          <w:rFonts w:cs="Arial"/>
        </w:rPr>
        <w:t>assist</w:t>
      </w:r>
      <w:r w:rsidR="00A97DE3" w:rsidRPr="00C95307">
        <w:rPr>
          <w:rFonts w:cs="Arial"/>
        </w:rPr>
        <w:t xml:space="preserve"> MET to develop policy, to design and evaluate pilot activities and to undertake baseline scoping activities. A staged approach is particularly critical </w:t>
      </w:r>
      <w:r w:rsidR="00460700" w:rsidRPr="00C95307">
        <w:rPr>
          <w:rFonts w:cs="Arial"/>
        </w:rPr>
        <w:t>for the support of ECE</w:t>
      </w:r>
      <w:r w:rsidR="00A97DE3" w:rsidRPr="00C95307">
        <w:rPr>
          <w:rFonts w:cs="Arial"/>
        </w:rPr>
        <w:t xml:space="preserve"> and Inclusive Education, </w:t>
      </w:r>
      <w:r w:rsidRPr="00C95307">
        <w:rPr>
          <w:rFonts w:cs="Arial"/>
        </w:rPr>
        <w:t xml:space="preserve">as these </w:t>
      </w:r>
      <w:r w:rsidR="00A97DE3" w:rsidRPr="00C95307">
        <w:rPr>
          <w:rFonts w:cs="Arial"/>
        </w:rPr>
        <w:t xml:space="preserve">will require extensive community consultation and have significant costing and sustainability considerations. </w:t>
      </w:r>
      <w:r w:rsidR="00C3327D" w:rsidRPr="00C95307">
        <w:rPr>
          <w:rFonts w:cs="Arial"/>
          <w:szCs w:val="22"/>
        </w:rPr>
        <w:t xml:space="preserve">A phased approach will </w:t>
      </w:r>
      <w:r w:rsidR="00D24E4F" w:rsidRPr="00C95307">
        <w:rPr>
          <w:rFonts w:cs="Arial"/>
          <w:szCs w:val="22"/>
        </w:rPr>
        <w:t>also be used to encourage</w:t>
      </w:r>
      <w:r w:rsidR="00C3327D" w:rsidRPr="00C95307">
        <w:rPr>
          <w:rFonts w:cs="Arial"/>
          <w:szCs w:val="22"/>
        </w:rPr>
        <w:t xml:space="preserve"> MET to make credible progress in </w:t>
      </w:r>
      <w:r w:rsidR="00D24E4F" w:rsidRPr="00C95307">
        <w:rPr>
          <w:rFonts w:cs="Arial"/>
          <w:szCs w:val="22"/>
        </w:rPr>
        <w:t>program</w:t>
      </w:r>
      <w:r w:rsidR="00C3327D" w:rsidRPr="00C95307">
        <w:rPr>
          <w:rFonts w:cs="Arial"/>
          <w:szCs w:val="22"/>
        </w:rPr>
        <w:t xml:space="preserve"> implementation </w:t>
      </w:r>
      <w:r w:rsidR="00512A14" w:rsidRPr="00C95307">
        <w:rPr>
          <w:rFonts w:cs="Arial"/>
          <w:szCs w:val="22"/>
        </w:rPr>
        <w:t xml:space="preserve">during Phase </w:t>
      </w:r>
      <w:r w:rsidR="00127A8B" w:rsidRPr="00C95307">
        <w:rPr>
          <w:rFonts w:cs="Arial"/>
          <w:szCs w:val="22"/>
        </w:rPr>
        <w:t>One,</w:t>
      </w:r>
      <w:r w:rsidR="00512A14" w:rsidRPr="00C95307">
        <w:rPr>
          <w:rFonts w:cs="Arial"/>
          <w:szCs w:val="22"/>
        </w:rPr>
        <w:t xml:space="preserve"> </w:t>
      </w:r>
      <w:r w:rsidR="00C3327D" w:rsidRPr="00C95307">
        <w:rPr>
          <w:rFonts w:cs="Arial"/>
          <w:szCs w:val="22"/>
        </w:rPr>
        <w:t xml:space="preserve">before additional activities and further funding </w:t>
      </w:r>
      <w:r w:rsidR="005572D2" w:rsidRPr="00C95307">
        <w:rPr>
          <w:rFonts w:cs="Arial"/>
          <w:szCs w:val="22"/>
        </w:rPr>
        <w:t xml:space="preserve">in </w:t>
      </w:r>
      <w:r w:rsidR="00185483" w:rsidRPr="00C95307">
        <w:rPr>
          <w:rFonts w:cs="Arial"/>
          <w:szCs w:val="22"/>
        </w:rPr>
        <w:t>Phase Two</w:t>
      </w:r>
      <w:r w:rsidR="004836BD" w:rsidRPr="00C95307">
        <w:rPr>
          <w:rFonts w:cs="Arial"/>
          <w:szCs w:val="22"/>
        </w:rPr>
        <w:t xml:space="preserve"> are</w:t>
      </w:r>
      <w:r w:rsidR="00C3327D" w:rsidRPr="00C95307">
        <w:rPr>
          <w:rFonts w:cs="Arial"/>
          <w:szCs w:val="22"/>
        </w:rPr>
        <w:t xml:space="preserve"> supported. </w:t>
      </w:r>
    </w:p>
    <w:p w:rsidR="00512A14" w:rsidRPr="00C95307" w:rsidRDefault="00512A14" w:rsidP="00C3327D">
      <w:pPr>
        <w:pStyle w:val="ListParagraph"/>
        <w:rPr>
          <w:rFonts w:eastAsia="Calibri" w:cs="Arial"/>
          <w:lang w:val="en-AU"/>
        </w:rPr>
      </w:pPr>
      <w:r w:rsidRPr="00C95307">
        <w:rPr>
          <w:rFonts w:eastAsia="Calibri" w:cs="Arial"/>
          <w:lang w:val="en-AU"/>
        </w:rPr>
        <w:t xml:space="preserve">AusAID </w:t>
      </w:r>
      <w:r w:rsidR="006625C3" w:rsidRPr="00C95307">
        <w:rPr>
          <w:rFonts w:eastAsia="Calibri" w:cs="Arial"/>
          <w:lang w:val="en-AU"/>
        </w:rPr>
        <w:t>has</w:t>
      </w:r>
      <w:r w:rsidRPr="00C95307">
        <w:rPr>
          <w:rFonts w:eastAsia="Calibri" w:cs="Arial"/>
          <w:lang w:val="en-AU"/>
        </w:rPr>
        <w:t xml:space="preserve"> also support</w:t>
      </w:r>
      <w:r w:rsidR="006625C3" w:rsidRPr="00C95307">
        <w:rPr>
          <w:rFonts w:eastAsia="Calibri" w:cs="Arial"/>
          <w:lang w:val="en-AU"/>
        </w:rPr>
        <w:t>ed</w:t>
      </w:r>
      <w:r w:rsidRPr="00C95307">
        <w:rPr>
          <w:rFonts w:eastAsia="Calibri" w:cs="Arial"/>
          <w:lang w:val="en-AU"/>
        </w:rPr>
        <w:t xml:space="preserve"> the Tonga education sector though its regional activities and </w:t>
      </w:r>
      <w:r w:rsidR="006625C3" w:rsidRPr="00C95307">
        <w:rPr>
          <w:rFonts w:eastAsia="Calibri" w:cs="Arial"/>
          <w:lang w:val="en-AU"/>
        </w:rPr>
        <w:t xml:space="preserve">will </w:t>
      </w:r>
      <w:r w:rsidRPr="00C95307">
        <w:rPr>
          <w:rFonts w:eastAsia="Calibri" w:cs="Arial"/>
          <w:lang w:val="en-AU"/>
        </w:rPr>
        <w:t>work with other donors to: strengthen EMIS; develop ECE model standards and strengthen non-government ECE delivery support systems; strengthen SPBEA’s capacities to support regional literacy and numeracy assessments; and to advance both Early Grade Reading Assessments and research-based interventions to improve reading. AusAID will maintain close dialogue with MET on its regional activities in order to maximise their integration (and to minimise duplication) with Tonga’s other education initiatives.</w:t>
      </w:r>
    </w:p>
    <w:p w:rsidR="00DB0F87" w:rsidRPr="00C95307" w:rsidRDefault="00677ECD" w:rsidP="00677ECD">
      <w:pPr>
        <w:jc w:val="both"/>
      </w:pPr>
      <w:r w:rsidRPr="00C95307">
        <w:rPr>
          <w:rFonts w:cs="Arial"/>
        </w:rPr>
        <w:t xml:space="preserve">Australia supports education in Tonga both bilaterally and regionally. Its </w:t>
      </w:r>
      <w:r w:rsidR="00DB0F87" w:rsidRPr="00C95307">
        <w:rPr>
          <w:rFonts w:cs="Arial"/>
        </w:rPr>
        <w:t xml:space="preserve">contribution to Tonga in FY11/12 </w:t>
      </w:r>
      <w:r w:rsidRPr="00C95307">
        <w:rPr>
          <w:rFonts w:cs="Arial"/>
        </w:rPr>
        <w:t>was</w:t>
      </w:r>
      <w:r w:rsidR="00460700" w:rsidRPr="00C95307">
        <w:rPr>
          <w:rFonts w:cs="Arial"/>
        </w:rPr>
        <w:t xml:space="preserve"> </w:t>
      </w:r>
      <w:r w:rsidR="00E12415" w:rsidRPr="00C95307">
        <w:rPr>
          <w:rFonts w:cs="Arial"/>
        </w:rPr>
        <w:t>AUD$</w:t>
      </w:r>
      <w:r w:rsidR="00873468" w:rsidRPr="00C95307">
        <w:rPr>
          <w:rFonts w:cs="Arial"/>
        </w:rPr>
        <w:t xml:space="preserve">20.4 </w:t>
      </w:r>
      <w:r w:rsidR="00DB0F87" w:rsidRPr="00C95307">
        <w:rPr>
          <w:rFonts w:cs="Arial"/>
        </w:rPr>
        <w:t xml:space="preserve">million in bilateral </w:t>
      </w:r>
      <w:r w:rsidR="00460700" w:rsidRPr="00C95307">
        <w:rPr>
          <w:rFonts w:cs="Arial"/>
        </w:rPr>
        <w:t xml:space="preserve">programs and </w:t>
      </w:r>
      <w:r w:rsidR="00E12415" w:rsidRPr="00C95307">
        <w:rPr>
          <w:rFonts w:cs="Arial"/>
        </w:rPr>
        <w:t>AUD$</w:t>
      </w:r>
      <w:r w:rsidR="00DB0F87" w:rsidRPr="00C95307">
        <w:rPr>
          <w:rFonts w:cs="Arial"/>
        </w:rPr>
        <w:t>14.5 million in regio</w:t>
      </w:r>
      <w:r w:rsidR="00460700" w:rsidRPr="00C95307">
        <w:rPr>
          <w:rFonts w:cs="Arial"/>
        </w:rPr>
        <w:t>nal/other Australian government department</w:t>
      </w:r>
      <w:r w:rsidR="00DB0F87" w:rsidRPr="00C95307">
        <w:rPr>
          <w:rFonts w:cs="Arial"/>
        </w:rPr>
        <w:t xml:space="preserve"> projects</w:t>
      </w:r>
      <w:r w:rsidR="008965AC" w:rsidRPr="00C95307">
        <w:rPr>
          <w:rFonts w:cs="Arial"/>
        </w:rPr>
        <w:t>.</w:t>
      </w:r>
      <w:r w:rsidRPr="00C95307">
        <w:rPr>
          <w:rFonts w:cs="Arial"/>
        </w:rPr>
        <w:t xml:space="preserve"> </w:t>
      </w:r>
      <w:r w:rsidR="00E12415" w:rsidRPr="00C95307">
        <w:rPr>
          <w:rFonts w:cs="Arial"/>
        </w:rPr>
        <w:t>AUD$</w:t>
      </w:r>
      <w:r w:rsidR="00460700" w:rsidRPr="00C95307">
        <w:rPr>
          <w:rFonts w:cs="Arial"/>
        </w:rPr>
        <w:t xml:space="preserve">5 million </w:t>
      </w:r>
      <w:r w:rsidRPr="00C95307">
        <w:rPr>
          <w:rFonts w:cs="Arial"/>
        </w:rPr>
        <w:t xml:space="preserve">of the bilateral program </w:t>
      </w:r>
      <w:r w:rsidR="00460700" w:rsidRPr="00C95307">
        <w:rPr>
          <w:rFonts w:cs="Arial"/>
        </w:rPr>
        <w:t>was for performance</w:t>
      </w:r>
      <w:r w:rsidR="00512A14" w:rsidRPr="00C95307">
        <w:rPr>
          <w:rFonts w:cs="Arial"/>
        </w:rPr>
        <w:t>-</w:t>
      </w:r>
      <w:r w:rsidR="00460700" w:rsidRPr="00C95307">
        <w:rPr>
          <w:rFonts w:cs="Arial"/>
        </w:rPr>
        <w:t>linked aid in sector</w:t>
      </w:r>
      <w:r w:rsidR="00460700" w:rsidRPr="00C95307">
        <w:rPr>
          <w:rFonts w:cs="Arial"/>
          <w:b/>
        </w:rPr>
        <w:t xml:space="preserve"> </w:t>
      </w:r>
      <w:r w:rsidR="00460700" w:rsidRPr="00C95307">
        <w:rPr>
          <w:rFonts w:cs="Arial"/>
        </w:rPr>
        <w:t xml:space="preserve">budget support for health and education worker salaries. </w:t>
      </w:r>
      <w:r w:rsidR="00512A14" w:rsidRPr="00C95307">
        <w:rPr>
          <w:rFonts w:cs="Arial"/>
        </w:rPr>
        <w:t>Bilateral support</w:t>
      </w:r>
      <w:r w:rsidR="001F0097" w:rsidRPr="00C95307">
        <w:rPr>
          <w:rFonts w:cs="Arial"/>
        </w:rPr>
        <w:t xml:space="preserve"> </w:t>
      </w:r>
      <w:r w:rsidR="00460700" w:rsidRPr="00C95307">
        <w:rPr>
          <w:rFonts w:cs="Arial"/>
        </w:rPr>
        <w:t xml:space="preserve">also </w:t>
      </w:r>
      <w:r w:rsidR="00512A14" w:rsidRPr="00C95307">
        <w:rPr>
          <w:rFonts w:cs="Arial"/>
        </w:rPr>
        <w:t>includ</w:t>
      </w:r>
      <w:r w:rsidR="00460700" w:rsidRPr="00C95307">
        <w:rPr>
          <w:rFonts w:cs="Arial"/>
        </w:rPr>
        <w:t xml:space="preserve">ed </w:t>
      </w:r>
      <w:r w:rsidR="00E12415" w:rsidRPr="00C95307">
        <w:rPr>
          <w:rFonts w:cs="Arial"/>
        </w:rPr>
        <w:t>AUD$</w:t>
      </w:r>
      <w:r w:rsidR="00DB0F87" w:rsidRPr="00C95307">
        <w:rPr>
          <w:rFonts w:cs="Arial"/>
        </w:rPr>
        <w:t xml:space="preserve">2.1 million for the interim education </w:t>
      </w:r>
      <w:r w:rsidR="00665177" w:rsidRPr="00C95307">
        <w:rPr>
          <w:rFonts w:cs="Arial"/>
        </w:rPr>
        <w:t>program</w:t>
      </w:r>
      <w:r w:rsidR="00DB0F87" w:rsidRPr="00C95307">
        <w:rPr>
          <w:rFonts w:cs="Arial"/>
        </w:rPr>
        <w:t xml:space="preserve"> (</w:t>
      </w:r>
      <w:r w:rsidR="00460700" w:rsidRPr="00C95307">
        <w:rPr>
          <w:rFonts w:cs="Arial"/>
        </w:rPr>
        <w:t xml:space="preserve">or </w:t>
      </w:r>
      <w:r w:rsidR="00DB0F87" w:rsidRPr="00C95307">
        <w:rPr>
          <w:rFonts w:cs="Arial"/>
        </w:rPr>
        <w:t>13%</w:t>
      </w:r>
      <w:r w:rsidR="00460700" w:rsidRPr="00C95307">
        <w:rPr>
          <w:rFonts w:cs="Arial"/>
        </w:rPr>
        <w:t xml:space="preserve"> </w:t>
      </w:r>
      <w:r w:rsidR="00DB0F87" w:rsidRPr="00C95307">
        <w:rPr>
          <w:rFonts w:cs="Arial"/>
        </w:rPr>
        <w:t>of the direct bilateral flow</w:t>
      </w:r>
      <w:r w:rsidR="00460700" w:rsidRPr="00C95307">
        <w:rPr>
          <w:rFonts w:cs="Arial"/>
        </w:rPr>
        <w:t>)</w:t>
      </w:r>
      <w:r w:rsidR="00DB0F87" w:rsidRPr="00C95307">
        <w:rPr>
          <w:rStyle w:val="EndnoteReference"/>
        </w:rPr>
        <w:endnoteReference w:id="10"/>
      </w:r>
      <w:r w:rsidR="008965AC" w:rsidRPr="00C95307">
        <w:rPr>
          <w:rFonts w:cs="Arial"/>
        </w:rPr>
        <w:t xml:space="preserve">. </w:t>
      </w:r>
      <w:r w:rsidR="00DB0F87" w:rsidRPr="00C95307">
        <w:t>The propos</w:t>
      </w:r>
      <w:r w:rsidR="00460700" w:rsidRPr="00C95307">
        <w:t xml:space="preserve">ed Australian investment of </w:t>
      </w:r>
      <w:r w:rsidR="00E12415" w:rsidRPr="00C95307">
        <w:t>AUD$</w:t>
      </w:r>
      <w:r w:rsidR="00DB0F87" w:rsidRPr="00C95307">
        <w:t xml:space="preserve">3 million per annum will represent </w:t>
      </w:r>
      <w:r w:rsidR="0077110E" w:rsidRPr="00C95307">
        <w:t>14</w:t>
      </w:r>
      <w:r w:rsidR="00DB0F87" w:rsidRPr="00C95307">
        <w:t>%</w:t>
      </w:r>
      <w:r w:rsidR="00746FEC" w:rsidRPr="00C95307">
        <w:rPr>
          <w:rStyle w:val="EndnoteReference"/>
        </w:rPr>
        <w:endnoteReference w:id="11"/>
      </w:r>
      <w:r w:rsidR="00DB0F87" w:rsidRPr="00C95307">
        <w:t xml:space="preserve"> of the expected bilateral program funding. The combined annual total Australian and New Zealand investment (NZD3 million</w:t>
      </w:r>
      <w:r w:rsidR="006B1D2B" w:rsidRPr="00C95307">
        <w:rPr>
          <w:rStyle w:val="EndnoteReference"/>
        </w:rPr>
        <w:endnoteReference w:id="12"/>
      </w:r>
      <w:r w:rsidR="00DB0F87" w:rsidRPr="00C95307">
        <w:t xml:space="preserve">) of </w:t>
      </w:r>
      <w:r w:rsidR="00E12415" w:rsidRPr="00C95307">
        <w:t>AUD$</w:t>
      </w:r>
      <w:r w:rsidR="00DB0F87" w:rsidRPr="00C95307">
        <w:t xml:space="preserve">5.4 </w:t>
      </w:r>
      <w:r w:rsidR="009E0B82" w:rsidRPr="00C95307">
        <w:t>million</w:t>
      </w:r>
      <w:r w:rsidR="00CD72E5" w:rsidRPr="00C95307">
        <w:t xml:space="preserve"> </w:t>
      </w:r>
      <w:r w:rsidR="00886359" w:rsidRPr="00C95307">
        <w:t>(or approximately TOP</w:t>
      </w:r>
      <w:r w:rsidR="00E671FB" w:rsidRPr="00C95307">
        <w:t>9.7 million)</w:t>
      </w:r>
      <w:r w:rsidR="00886359" w:rsidRPr="00C95307">
        <w:t xml:space="preserve"> </w:t>
      </w:r>
      <w:r w:rsidR="00DB0F87" w:rsidRPr="00C95307">
        <w:t xml:space="preserve">will represent </w:t>
      </w:r>
      <w:r w:rsidR="00E671FB" w:rsidRPr="00C95307">
        <w:t>almost one-third</w:t>
      </w:r>
      <w:r w:rsidR="00DB0F87" w:rsidRPr="00C95307">
        <w:t xml:space="preserve"> of the annual MET recurrent budge</w:t>
      </w:r>
      <w:r w:rsidR="00460700" w:rsidRPr="00C95307">
        <w:t>t</w:t>
      </w:r>
      <w:r w:rsidR="00886359" w:rsidRPr="00C95307">
        <w:t xml:space="preserve"> (TOP30.9 million in FY12/13)</w:t>
      </w:r>
      <w:r w:rsidR="00460700" w:rsidRPr="00C95307">
        <w:t>.</w:t>
      </w:r>
    </w:p>
    <w:p w:rsidR="00DB0F87" w:rsidRPr="00C95307" w:rsidRDefault="00DB0F87" w:rsidP="00677ECD">
      <w:pPr>
        <w:spacing w:line="200" w:lineRule="atLeast"/>
        <w:jc w:val="both"/>
        <w:rPr>
          <w:rFonts w:cs="Arial"/>
        </w:rPr>
      </w:pPr>
    </w:p>
    <w:p w:rsidR="00DB0F87" w:rsidRPr="00C95307" w:rsidRDefault="00DB0F87" w:rsidP="00873468">
      <w:pPr>
        <w:spacing w:after="120"/>
        <w:outlineLvl w:val="0"/>
        <w:rPr>
          <w:b/>
          <w:sz w:val="22"/>
        </w:rPr>
      </w:pPr>
      <w:r w:rsidRPr="00C95307">
        <w:rPr>
          <w:b/>
          <w:sz w:val="22"/>
        </w:rPr>
        <w:t>Proposed outcomes</w:t>
      </w:r>
    </w:p>
    <w:p w:rsidR="00DB0F87" w:rsidRPr="00C95307" w:rsidRDefault="00DB0F87" w:rsidP="00724AA1">
      <w:pPr>
        <w:jc w:val="both"/>
        <w:rPr>
          <w:rFonts w:cs="Arial"/>
          <w:szCs w:val="16"/>
        </w:rPr>
      </w:pPr>
      <w:r w:rsidRPr="00C95307">
        <w:rPr>
          <w:rFonts w:cs="Arial"/>
          <w:szCs w:val="16"/>
        </w:rPr>
        <w:t xml:space="preserve">The Ministry’s vision and mission for the education sector are developed in alignment with the development vision, outcomes statements, and enabling themes of the Government of Tonga. The </w:t>
      </w:r>
      <w:r w:rsidR="006625C3" w:rsidRPr="00C95307">
        <w:rPr>
          <w:rFonts w:cs="Arial"/>
          <w:szCs w:val="16"/>
        </w:rPr>
        <w:t xml:space="preserve">focus of the </w:t>
      </w:r>
      <w:r w:rsidRPr="00C95307">
        <w:rPr>
          <w:rFonts w:cs="Arial"/>
          <w:i/>
          <w:szCs w:val="16"/>
        </w:rPr>
        <w:t>Lakalaka Framework</w:t>
      </w:r>
      <w:r w:rsidRPr="00C95307">
        <w:rPr>
          <w:rFonts w:cs="Arial"/>
          <w:szCs w:val="16"/>
        </w:rPr>
        <w:t xml:space="preserve"> </w:t>
      </w:r>
      <w:r w:rsidR="007A0E2B" w:rsidRPr="00C95307">
        <w:rPr>
          <w:rFonts w:cs="Arial"/>
          <w:szCs w:val="16"/>
        </w:rPr>
        <w:t xml:space="preserve">and the </w:t>
      </w:r>
      <w:r w:rsidR="007A0E2B" w:rsidRPr="00C95307">
        <w:t xml:space="preserve">MET Corporate Plan 2012-2017 </w:t>
      </w:r>
      <w:r w:rsidRPr="00C95307">
        <w:rPr>
          <w:rFonts w:cs="Arial"/>
          <w:szCs w:val="16"/>
        </w:rPr>
        <w:t xml:space="preserve">on </w:t>
      </w:r>
      <w:r w:rsidR="00460700" w:rsidRPr="00C95307">
        <w:rPr>
          <w:rFonts w:cs="Arial"/>
          <w:szCs w:val="16"/>
        </w:rPr>
        <w:t xml:space="preserve">the </w:t>
      </w:r>
      <w:r w:rsidRPr="00C95307">
        <w:rPr>
          <w:rFonts w:cs="Arial"/>
          <w:szCs w:val="16"/>
        </w:rPr>
        <w:t>quality of primary schooling is consistent with the education-</w:t>
      </w:r>
      <w:r w:rsidR="00460700" w:rsidRPr="00C95307">
        <w:rPr>
          <w:rFonts w:cs="Arial"/>
          <w:szCs w:val="16"/>
        </w:rPr>
        <w:t>relat</w:t>
      </w:r>
      <w:r w:rsidRPr="00C95307">
        <w:rPr>
          <w:rFonts w:cs="Arial"/>
          <w:szCs w:val="16"/>
        </w:rPr>
        <w:t>ed Millennium Development Goals (MDGs)</w:t>
      </w:r>
      <w:r w:rsidR="00460700" w:rsidRPr="00C95307">
        <w:rPr>
          <w:rFonts w:cs="Arial"/>
          <w:szCs w:val="16"/>
        </w:rPr>
        <w:t xml:space="preserve"> and</w:t>
      </w:r>
      <w:r w:rsidRPr="00C95307">
        <w:rPr>
          <w:rFonts w:cs="Arial"/>
          <w:szCs w:val="16"/>
        </w:rPr>
        <w:t xml:space="preserve"> the Tonga </w:t>
      </w:r>
      <w:r w:rsidR="00260AD8" w:rsidRPr="00C95307">
        <w:rPr>
          <w:rFonts w:cs="Arial"/>
          <w:szCs w:val="16"/>
        </w:rPr>
        <w:t>Strategic Development Framework</w:t>
      </w:r>
      <w:r w:rsidRPr="00C95307">
        <w:rPr>
          <w:rFonts w:cs="Arial"/>
          <w:szCs w:val="16"/>
        </w:rPr>
        <w:t>.</w:t>
      </w:r>
    </w:p>
    <w:p w:rsidR="00DB0F87" w:rsidRPr="00C95307" w:rsidRDefault="00DB0F87" w:rsidP="00724AA1">
      <w:pPr>
        <w:jc w:val="both"/>
        <w:rPr>
          <w:rFonts w:cs="Arial"/>
          <w:szCs w:val="16"/>
        </w:rPr>
      </w:pPr>
    </w:p>
    <w:p w:rsidR="00CD72E5" w:rsidRPr="00C95307" w:rsidRDefault="00CD72E5" w:rsidP="00724AA1">
      <w:pPr>
        <w:jc w:val="both"/>
        <w:rPr>
          <w:szCs w:val="20"/>
        </w:rPr>
      </w:pPr>
      <w:r w:rsidRPr="00C95307">
        <w:rPr>
          <w:szCs w:val="20"/>
        </w:rPr>
        <w:t xml:space="preserve">The </w:t>
      </w:r>
      <w:r w:rsidRPr="00C95307">
        <w:rPr>
          <w:i/>
          <w:szCs w:val="20"/>
        </w:rPr>
        <w:t>MET Implementation Plan</w:t>
      </w:r>
      <w:r w:rsidRPr="00C95307">
        <w:rPr>
          <w:szCs w:val="20"/>
        </w:rPr>
        <w:t xml:space="preserve"> presented for DP support includes a wide range of activities across all the </w:t>
      </w:r>
      <w:r w:rsidR="00460700" w:rsidRPr="00C95307">
        <w:rPr>
          <w:szCs w:val="20"/>
        </w:rPr>
        <w:t xml:space="preserve">education </w:t>
      </w:r>
      <w:r w:rsidRPr="00C95307">
        <w:rPr>
          <w:szCs w:val="20"/>
        </w:rPr>
        <w:t xml:space="preserve">sub-sectors. </w:t>
      </w:r>
      <w:r w:rsidR="00B4487C" w:rsidRPr="00C95307">
        <w:rPr>
          <w:szCs w:val="20"/>
        </w:rPr>
        <w:t xml:space="preserve">A DP review found the Plan to be </w:t>
      </w:r>
      <w:r w:rsidRPr="00C95307">
        <w:rPr>
          <w:szCs w:val="20"/>
        </w:rPr>
        <w:t>over</w:t>
      </w:r>
      <w:r w:rsidR="000F00B2" w:rsidRPr="00C95307">
        <w:rPr>
          <w:szCs w:val="20"/>
        </w:rPr>
        <w:t>ly</w:t>
      </w:r>
      <w:r w:rsidRPr="00C95307">
        <w:rPr>
          <w:szCs w:val="20"/>
        </w:rPr>
        <w:t xml:space="preserve">-ambitious in relation to the capacity of MET staff to manage its implementation, the available budget from the development partners, and the capacity of principals/teachers </w:t>
      </w:r>
      <w:r w:rsidR="00460700" w:rsidRPr="00C95307">
        <w:rPr>
          <w:szCs w:val="20"/>
        </w:rPr>
        <w:t xml:space="preserve">to maintain their regular responsibilities at the same time as </w:t>
      </w:r>
      <w:r w:rsidR="000B2F61" w:rsidRPr="00C95307">
        <w:rPr>
          <w:szCs w:val="20"/>
        </w:rPr>
        <w:t>they undertake</w:t>
      </w:r>
      <w:r w:rsidR="00460700" w:rsidRPr="00C95307">
        <w:rPr>
          <w:szCs w:val="20"/>
        </w:rPr>
        <w:t xml:space="preserve"> </w:t>
      </w:r>
      <w:r w:rsidRPr="00C95307">
        <w:rPr>
          <w:szCs w:val="20"/>
        </w:rPr>
        <w:t>training in the significant changes required to the way they manage their schools and how they teach.</w:t>
      </w:r>
    </w:p>
    <w:p w:rsidR="00DB0F87" w:rsidRPr="00C95307" w:rsidRDefault="00DB0F87" w:rsidP="00724AA1">
      <w:pPr>
        <w:jc w:val="both"/>
        <w:rPr>
          <w:rFonts w:cs="Arial"/>
          <w:szCs w:val="20"/>
        </w:rPr>
      </w:pPr>
    </w:p>
    <w:p w:rsidR="00DB0F87" w:rsidRPr="00C95307" w:rsidRDefault="00DB0F87" w:rsidP="00724AA1">
      <w:pPr>
        <w:jc w:val="both"/>
        <w:rPr>
          <w:rFonts w:cs="Arial"/>
          <w:szCs w:val="20"/>
        </w:rPr>
      </w:pPr>
      <w:r w:rsidRPr="00C95307">
        <w:rPr>
          <w:szCs w:val="20"/>
        </w:rPr>
        <w:t>At the Partnership for Development talks in August 2011, Australia and Tonga agreed to include education as a priority area under the partnership once a results-focused</w:t>
      </w:r>
      <w:r w:rsidR="008965AC" w:rsidRPr="00C95307">
        <w:rPr>
          <w:szCs w:val="20"/>
        </w:rPr>
        <w:t xml:space="preserve"> </w:t>
      </w:r>
      <w:r w:rsidRPr="00C95307">
        <w:rPr>
          <w:szCs w:val="20"/>
        </w:rPr>
        <w:t>program of support was developed</w:t>
      </w:r>
      <w:r w:rsidR="008965AC" w:rsidRPr="00C95307">
        <w:rPr>
          <w:szCs w:val="20"/>
        </w:rPr>
        <w:t>.</w:t>
      </w:r>
      <w:r w:rsidR="001F0097" w:rsidRPr="00C95307">
        <w:rPr>
          <w:szCs w:val="20"/>
        </w:rPr>
        <w:t xml:space="preserve"> </w:t>
      </w:r>
      <w:r w:rsidR="00573C2D" w:rsidRPr="00C95307">
        <w:rPr>
          <w:rFonts w:cs="Arial"/>
          <w:szCs w:val="20"/>
        </w:rPr>
        <w:t>Based on</w:t>
      </w:r>
      <w:r w:rsidRPr="00C95307">
        <w:rPr>
          <w:rFonts w:cs="Arial"/>
          <w:szCs w:val="20"/>
        </w:rPr>
        <w:t xml:space="preserve"> lessons learnt from TESP1</w:t>
      </w:r>
      <w:r w:rsidR="00BA5CC7" w:rsidRPr="00C95307">
        <w:rPr>
          <w:rFonts w:cs="Arial"/>
          <w:szCs w:val="20"/>
        </w:rPr>
        <w:t xml:space="preserve"> and other educational programs in Tonga and the Pacific (see Annex </w:t>
      </w:r>
      <w:r w:rsidR="002F7620" w:rsidRPr="00C95307">
        <w:rPr>
          <w:rFonts w:cs="Arial"/>
          <w:szCs w:val="20"/>
        </w:rPr>
        <w:t>P</w:t>
      </w:r>
      <w:r w:rsidR="00BA5CC7" w:rsidRPr="00C95307">
        <w:rPr>
          <w:rFonts w:cs="Arial"/>
          <w:szCs w:val="20"/>
        </w:rPr>
        <w:t>)</w:t>
      </w:r>
      <w:r w:rsidRPr="00C95307">
        <w:rPr>
          <w:rFonts w:cs="Arial"/>
          <w:szCs w:val="20"/>
        </w:rPr>
        <w:t xml:space="preserve">, </w:t>
      </w:r>
      <w:r w:rsidR="00D35223" w:rsidRPr="00C95307">
        <w:rPr>
          <w:rFonts w:cs="Arial"/>
          <w:szCs w:val="20"/>
        </w:rPr>
        <w:t xml:space="preserve">assessment of the </w:t>
      </w:r>
      <w:r w:rsidR="00D35223" w:rsidRPr="00C95307">
        <w:rPr>
          <w:rFonts w:cs="Arial"/>
          <w:i/>
          <w:szCs w:val="20"/>
        </w:rPr>
        <w:t xml:space="preserve">MET Implementation Plan </w:t>
      </w:r>
      <w:r w:rsidR="00D35223" w:rsidRPr="00C95307">
        <w:rPr>
          <w:rFonts w:cs="Arial"/>
          <w:szCs w:val="20"/>
        </w:rPr>
        <w:t xml:space="preserve">and further consultation with the GoT, </w:t>
      </w:r>
      <w:r w:rsidRPr="00C95307">
        <w:rPr>
          <w:rFonts w:cs="Arial"/>
          <w:szCs w:val="20"/>
        </w:rPr>
        <w:t>AusAID</w:t>
      </w:r>
      <w:r w:rsidR="0014219C" w:rsidRPr="00C95307">
        <w:rPr>
          <w:rFonts w:cs="Arial"/>
          <w:szCs w:val="20"/>
        </w:rPr>
        <w:t xml:space="preserve"> will focus it</w:t>
      </w:r>
      <w:r w:rsidRPr="00C95307">
        <w:rPr>
          <w:rFonts w:cs="Arial"/>
          <w:szCs w:val="20"/>
        </w:rPr>
        <w:t xml:space="preserve">s investment </w:t>
      </w:r>
      <w:r w:rsidR="0014219C" w:rsidRPr="00C95307">
        <w:rPr>
          <w:rFonts w:cs="Arial"/>
          <w:szCs w:val="20"/>
        </w:rPr>
        <w:t xml:space="preserve">on </w:t>
      </w:r>
      <w:r w:rsidR="00D35223" w:rsidRPr="00C95307">
        <w:rPr>
          <w:rFonts w:cs="Arial"/>
          <w:szCs w:val="20"/>
        </w:rPr>
        <w:t>an agreed set of</w:t>
      </w:r>
      <w:r w:rsidRPr="00C95307">
        <w:rPr>
          <w:rFonts w:cs="Arial"/>
          <w:szCs w:val="20"/>
        </w:rPr>
        <w:t xml:space="preserve"> earmarked activities from </w:t>
      </w:r>
      <w:r w:rsidR="00D35223" w:rsidRPr="00C95307">
        <w:rPr>
          <w:rFonts w:cs="Arial"/>
          <w:szCs w:val="20"/>
        </w:rPr>
        <w:t>the</w:t>
      </w:r>
      <w:r w:rsidRPr="00C95307">
        <w:rPr>
          <w:rFonts w:cs="Arial"/>
          <w:szCs w:val="20"/>
        </w:rPr>
        <w:t xml:space="preserve"> plan</w:t>
      </w:r>
      <w:r w:rsidR="00D35223" w:rsidRPr="00C95307">
        <w:rPr>
          <w:rFonts w:cs="Arial"/>
          <w:szCs w:val="20"/>
        </w:rPr>
        <w:t xml:space="preserve">. These activities have been selected to be </w:t>
      </w:r>
      <w:r w:rsidRPr="00C95307">
        <w:rPr>
          <w:rFonts w:cs="Arial"/>
          <w:szCs w:val="20"/>
        </w:rPr>
        <w:t xml:space="preserve">consistent with the AusAID’s </w:t>
      </w:r>
      <w:r w:rsidRPr="00C95307">
        <w:rPr>
          <w:rFonts w:cs="Arial"/>
          <w:i/>
          <w:szCs w:val="20"/>
        </w:rPr>
        <w:t>Pacific Education and Skills Development Agenda</w:t>
      </w:r>
      <w:r w:rsidRPr="00C95307">
        <w:rPr>
          <w:rFonts w:cs="Arial"/>
          <w:szCs w:val="20"/>
        </w:rPr>
        <w:t xml:space="preserve">, in particular for </w:t>
      </w:r>
      <w:r w:rsidR="0024267F" w:rsidRPr="00C95307">
        <w:rPr>
          <w:rFonts w:cs="Arial"/>
          <w:szCs w:val="20"/>
        </w:rPr>
        <w:t>‘</w:t>
      </w:r>
      <w:r w:rsidR="00665177" w:rsidRPr="00C95307">
        <w:rPr>
          <w:rFonts w:cs="Arial"/>
          <w:szCs w:val="20"/>
        </w:rPr>
        <w:t>e</w:t>
      </w:r>
      <w:r w:rsidRPr="00C95307">
        <w:rPr>
          <w:rFonts w:cs="Arial"/>
          <w:szCs w:val="20"/>
        </w:rPr>
        <w:t xml:space="preserve">nsuring that all Pacific children have </w:t>
      </w:r>
      <w:r w:rsidRPr="00C95307">
        <w:rPr>
          <w:rFonts w:cs="Arial"/>
          <w:bCs/>
          <w:szCs w:val="20"/>
        </w:rPr>
        <w:t xml:space="preserve">access </w:t>
      </w:r>
      <w:r w:rsidR="00CD72E5" w:rsidRPr="00C95307">
        <w:rPr>
          <w:rFonts w:cs="Arial"/>
          <w:szCs w:val="20"/>
        </w:rPr>
        <w:t>to a basic education</w:t>
      </w:r>
      <w:r w:rsidR="0024267F" w:rsidRPr="00C95307">
        <w:rPr>
          <w:rFonts w:cs="Arial"/>
          <w:szCs w:val="20"/>
        </w:rPr>
        <w:t>’</w:t>
      </w:r>
      <w:r w:rsidRPr="00C95307">
        <w:rPr>
          <w:rFonts w:cs="Arial"/>
          <w:szCs w:val="20"/>
        </w:rPr>
        <w:t xml:space="preserve"> and </w:t>
      </w:r>
      <w:r w:rsidR="0024267F" w:rsidRPr="00C95307">
        <w:rPr>
          <w:rFonts w:cs="Arial"/>
          <w:szCs w:val="20"/>
        </w:rPr>
        <w:t>‘</w:t>
      </w:r>
      <w:r w:rsidR="00665177" w:rsidRPr="00C95307">
        <w:rPr>
          <w:rFonts w:cs="Arial"/>
          <w:szCs w:val="20"/>
        </w:rPr>
        <w:t>m</w:t>
      </w:r>
      <w:r w:rsidRPr="00C95307">
        <w:rPr>
          <w:rFonts w:cs="Arial"/>
          <w:szCs w:val="20"/>
        </w:rPr>
        <w:t xml:space="preserve">aking sure that education is of an acceptable </w:t>
      </w:r>
      <w:r w:rsidRPr="00C95307">
        <w:rPr>
          <w:rFonts w:cs="Arial"/>
          <w:bCs/>
          <w:szCs w:val="20"/>
        </w:rPr>
        <w:t>quality</w:t>
      </w:r>
      <w:r w:rsidRPr="00C95307">
        <w:rPr>
          <w:rFonts w:cs="Arial"/>
          <w:szCs w:val="20"/>
        </w:rPr>
        <w:t>, particularly to guarantee literacy</w:t>
      </w:r>
      <w:r w:rsidRPr="00C95307">
        <w:rPr>
          <w:szCs w:val="20"/>
        </w:rPr>
        <w:t xml:space="preserve"> </w:t>
      </w:r>
      <w:r w:rsidRPr="00C95307">
        <w:rPr>
          <w:rFonts w:cs="Arial"/>
          <w:szCs w:val="20"/>
        </w:rPr>
        <w:t>and numeracy and to provide a basis for learning beyond primary school</w:t>
      </w:r>
      <w:r w:rsidR="0024267F" w:rsidRPr="00C95307">
        <w:rPr>
          <w:rFonts w:cs="Arial"/>
          <w:szCs w:val="20"/>
        </w:rPr>
        <w:t>’</w:t>
      </w:r>
      <w:r w:rsidRPr="00C95307">
        <w:rPr>
          <w:rFonts w:cs="Arial"/>
          <w:szCs w:val="20"/>
        </w:rPr>
        <w:t>.</w:t>
      </w:r>
    </w:p>
    <w:p w:rsidR="00987AE9" w:rsidRPr="00C95307" w:rsidRDefault="00BA1A49" w:rsidP="00B85459">
      <w:pPr>
        <w:spacing w:after="120"/>
        <w:jc w:val="both"/>
        <w:rPr>
          <w:rFonts w:cs="Arial"/>
          <w:color w:val="000000" w:themeColor="text1"/>
        </w:rPr>
      </w:pPr>
      <w:r w:rsidRPr="00C95307">
        <w:rPr>
          <w:rFonts w:cs="Arial"/>
          <w:szCs w:val="20"/>
        </w:rPr>
        <w:t>Australia</w:t>
      </w:r>
      <w:r w:rsidR="0014219C" w:rsidRPr="00C95307">
        <w:rPr>
          <w:rFonts w:cs="Arial"/>
          <w:szCs w:val="20"/>
        </w:rPr>
        <w:t xml:space="preserve">’s investment </w:t>
      </w:r>
      <w:r w:rsidR="00BA5CC7" w:rsidRPr="00C95307">
        <w:rPr>
          <w:rFonts w:cs="Arial"/>
          <w:szCs w:val="20"/>
        </w:rPr>
        <w:t xml:space="preserve">in TESP2 </w:t>
      </w:r>
      <w:r w:rsidR="0014219C" w:rsidRPr="00C95307">
        <w:rPr>
          <w:rFonts w:cs="Arial"/>
          <w:szCs w:val="20"/>
        </w:rPr>
        <w:t xml:space="preserve">over the next </w:t>
      </w:r>
      <w:r w:rsidR="00BA5CC7" w:rsidRPr="00C95307">
        <w:rPr>
          <w:rFonts w:cs="Arial"/>
          <w:szCs w:val="20"/>
        </w:rPr>
        <w:t xml:space="preserve">42 </w:t>
      </w:r>
      <w:r w:rsidR="0014219C" w:rsidRPr="00C95307">
        <w:rPr>
          <w:rFonts w:cs="Arial"/>
          <w:szCs w:val="20"/>
        </w:rPr>
        <w:t xml:space="preserve">months will </w:t>
      </w:r>
      <w:r w:rsidR="00826A3E" w:rsidRPr="00C95307">
        <w:rPr>
          <w:rFonts w:cs="Arial"/>
          <w:szCs w:val="20"/>
        </w:rPr>
        <w:t xml:space="preserve">therefore </w:t>
      </w:r>
      <w:r w:rsidR="0014219C" w:rsidRPr="00C95307">
        <w:rPr>
          <w:rFonts w:cs="Arial"/>
          <w:szCs w:val="20"/>
        </w:rPr>
        <w:t xml:space="preserve">primarily </w:t>
      </w:r>
      <w:r w:rsidRPr="00C95307">
        <w:rPr>
          <w:rFonts w:cs="Arial"/>
          <w:szCs w:val="20"/>
        </w:rPr>
        <w:t xml:space="preserve">focus on </w:t>
      </w:r>
      <w:r w:rsidR="006D49BE" w:rsidRPr="00C95307">
        <w:rPr>
          <w:rFonts w:cs="Arial"/>
          <w:color w:val="000000" w:themeColor="text1"/>
        </w:rPr>
        <w:t>assisting MET</w:t>
      </w:r>
      <w:r w:rsidRPr="00C95307">
        <w:rPr>
          <w:rFonts w:cs="Arial"/>
          <w:color w:val="000000" w:themeColor="text1"/>
        </w:rPr>
        <w:t xml:space="preserve"> to improve children’s levels of literacy and numeracy, particularly in the early grades</w:t>
      </w:r>
      <w:r w:rsidRPr="00C95307">
        <w:rPr>
          <w:rFonts w:cs="Arial"/>
          <w:szCs w:val="20"/>
        </w:rPr>
        <w:t>, to ensure</w:t>
      </w:r>
      <w:r w:rsidR="001F0097" w:rsidRPr="00C95307">
        <w:rPr>
          <w:rFonts w:cs="Arial"/>
          <w:szCs w:val="20"/>
        </w:rPr>
        <w:t xml:space="preserve"> </w:t>
      </w:r>
      <w:r w:rsidRPr="00C95307">
        <w:rPr>
          <w:rFonts w:cs="Arial"/>
          <w:szCs w:val="20"/>
        </w:rPr>
        <w:t xml:space="preserve">a sound foundation </w:t>
      </w:r>
      <w:r w:rsidR="0014219C" w:rsidRPr="00C95307">
        <w:rPr>
          <w:rFonts w:cs="Arial"/>
          <w:szCs w:val="20"/>
        </w:rPr>
        <w:t>for future learning</w:t>
      </w:r>
      <w:r w:rsidR="006B4FA0" w:rsidRPr="00C95307">
        <w:rPr>
          <w:rFonts w:cs="Arial"/>
          <w:szCs w:val="20"/>
        </w:rPr>
        <w:t xml:space="preserve"> of both boys and girls</w:t>
      </w:r>
      <w:r w:rsidR="0014219C" w:rsidRPr="00C95307">
        <w:rPr>
          <w:rFonts w:cs="Arial"/>
          <w:szCs w:val="20"/>
        </w:rPr>
        <w:t>.</w:t>
      </w:r>
      <w:r w:rsidRPr="00C95307">
        <w:rPr>
          <w:rFonts w:cs="Arial"/>
          <w:szCs w:val="20"/>
        </w:rPr>
        <w:t xml:space="preserve"> </w:t>
      </w:r>
      <w:r w:rsidR="00335E3C" w:rsidRPr="00C95307">
        <w:rPr>
          <w:rFonts w:cs="Arial"/>
          <w:szCs w:val="20"/>
        </w:rPr>
        <w:t xml:space="preserve"> </w:t>
      </w:r>
      <w:r w:rsidR="00987AE9" w:rsidRPr="00C95307">
        <w:rPr>
          <w:rFonts w:cs="Arial"/>
          <w:color w:val="000000" w:themeColor="text1"/>
        </w:rPr>
        <w:t xml:space="preserve">The key strategic objectives of the </w:t>
      </w:r>
      <w:r w:rsidR="00665177" w:rsidRPr="00C95307">
        <w:rPr>
          <w:rFonts w:cs="Arial"/>
          <w:color w:val="000000" w:themeColor="text1"/>
        </w:rPr>
        <w:t xml:space="preserve">TESP2 </w:t>
      </w:r>
      <w:r w:rsidR="00987AE9" w:rsidRPr="00C95307">
        <w:rPr>
          <w:rFonts w:cs="Arial"/>
          <w:color w:val="000000" w:themeColor="text1"/>
        </w:rPr>
        <w:t>are:</w:t>
      </w:r>
    </w:p>
    <w:p w:rsidR="00033F54" w:rsidRPr="00C95307" w:rsidRDefault="00033F54" w:rsidP="00724AA1">
      <w:pPr>
        <w:numPr>
          <w:ilvl w:val="1"/>
          <w:numId w:val="12"/>
        </w:numPr>
        <w:tabs>
          <w:tab w:val="clear" w:pos="1211"/>
          <w:tab w:val="num" w:pos="1134"/>
        </w:tabs>
        <w:ind w:left="1342" w:hanging="644"/>
        <w:jc w:val="both"/>
        <w:rPr>
          <w:rFonts w:cs="Arial"/>
          <w:color w:val="000000" w:themeColor="text1"/>
        </w:rPr>
      </w:pPr>
      <w:r w:rsidRPr="00C95307">
        <w:rPr>
          <w:rFonts w:cs="Arial"/>
          <w:color w:val="000000" w:themeColor="text1"/>
        </w:rPr>
        <w:t>To improve access</w:t>
      </w:r>
      <w:r w:rsidR="00D87FB1" w:rsidRPr="00C95307">
        <w:rPr>
          <w:rFonts w:cs="Arial"/>
          <w:color w:val="000000" w:themeColor="text1"/>
        </w:rPr>
        <w:t xml:space="preserve"> to basic education</w:t>
      </w:r>
      <w:r w:rsidR="0002153B" w:rsidRPr="00C95307">
        <w:rPr>
          <w:rFonts w:cs="Arial"/>
          <w:color w:val="000000" w:themeColor="text1"/>
        </w:rPr>
        <w:t>:</w:t>
      </w:r>
    </w:p>
    <w:p w:rsidR="003D6C36" w:rsidRPr="00C95307" w:rsidRDefault="003D6C36" w:rsidP="00724AA1">
      <w:pPr>
        <w:numPr>
          <w:ilvl w:val="2"/>
          <w:numId w:val="12"/>
        </w:numPr>
        <w:tabs>
          <w:tab w:val="num" w:pos="1134"/>
        </w:tabs>
        <w:jc w:val="both"/>
        <w:rPr>
          <w:rFonts w:cs="Arial"/>
          <w:color w:val="000000" w:themeColor="text1"/>
        </w:rPr>
      </w:pPr>
      <w:r w:rsidRPr="00C95307">
        <w:rPr>
          <w:rFonts w:cs="Arial"/>
          <w:color w:val="000000" w:themeColor="text1"/>
        </w:rPr>
        <w:t>All children attending and moving towards completion of primary school</w:t>
      </w:r>
    </w:p>
    <w:p w:rsidR="006569F5" w:rsidRPr="00C95307" w:rsidRDefault="006569F5" w:rsidP="00724AA1">
      <w:pPr>
        <w:numPr>
          <w:ilvl w:val="2"/>
          <w:numId w:val="12"/>
        </w:numPr>
        <w:tabs>
          <w:tab w:val="num" w:pos="1134"/>
        </w:tabs>
        <w:jc w:val="both"/>
        <w:rPr>
          <w:rFonts w:cs="Arial"/>
          <w:color w:val="000000" w:themeColor="text1"/>
        </w:rPr>
      </w:pPr>
      <w:r w:rsidRPr="00C95307">
        <w:rPr>
          <w:rFonts w:cs="Arial"/>
          <w:color w:val="000000" w:themeColor="text1"/>
          <w:lang w:val="en-US"/>
        </w:rPr>
        <w:t>Increased numbers of children with disability have access to quality learning opportunities</w:t>
      </w:r>
    </w:p>
    <w:p w:rsidR="002B7F9C" w:rsidRPr="00C95307" w:rsidRDefault="002B7F9C" w:rsidP="00724AA1">
      <w:pPr>
        <w:numPr>
          <w:ilvl w:val="2"/>
          <w:numId w:val="12"/>
        </w:numPr>
        <w:tabs>
          <w:tab w:val="num" w:pos="1134"/>
        </w:tabs>
        <w:jc w:val="both"/>
        <w:rPr>
          <w:rFonts w:cs="Arial"/>
          <w:color w:val="000000" w:themeColor="text1"/>
        </w:rPr>
      </w:pPr>
      <w:r w:rsidRPr="00C95307">
        <w:rPr>
          <w:rFonts w:cs="Arial"/>
          <w:color w:val="000000" w:themeColor="text1"/>
        </w:rPr>
        <w:t xml:space="preserve">Increased numbers of children </w:t>
      </w:r>
      <w:r w:rsidR="00740672" w:rsidRPr="00C95307">
        <w:rPr>
          <w:rFonts w:cs="Arial"/>
          <w:color w:val="000000" w:themeColor="text1"/>
        </w:rPr>
        <w:t>attend recognised</w:t>
      </w:r>
      <w:r w:rsidRPr="00C95307">
        <w:rPr>
          <w:rFonts w:cs="Arial"/>
          <w:color w:val="000000" w:themeColor="text1"/>
        </w:rPr>
        <w:t xml:space="preserve"> Early Childhood Education </w:t>
      </w:r>
      <w:r w:rsidR="00740672" w:rsidRPr="00C95307">
        <w:rPr>
          <w:rFonts w:cs="Arial"/>
          <w:color w:val="000000" w:themeColor="text1"/>
        </w:rPr>
        <w:t>programs</w:t>
      </w:r>
    </w:p>
    <w:p w:rsidR="00033F54" w:rsidRPr="00C95307" w:rsidRDefault="00033F54" w:rsidP="00724AA1">
      <w:pPr>
        <w:numPr>
          <w:ilvl w:val="1"/>
          <w:numId w:val="12"/>
        </w:numPr>
        <w:tabs>
          <w:tab w:val="clear" w:pos="1211"/>
          <w:tab w:val="num" w:pos="1134"/>
        </w:tabs>
        <w:ind w:left="1342" w:hanging="644"/>
        <w:jc w:val="both"/>
        <w:rPr>
          <w:rFonts w:cs="Arial"/>
          <w:color w:val="000000" w:themeColor="text1"/>
        </w:rPr>
      </w:pPr>
      <w:r w:rsidRPr="00C95307">
        <w:rPr>
          <w:rFonts w:cs="Arial"/>
          <w:color w:val="000000" w:themeColor="text1"/>
        </w:rPr>
        <w:t xml:space="preserve">To improve student </w:t>
      </w:r>
      <w:r w:rsidR="000968FD" w:rsidRPr="00C95307">
        <w:rPr>
          <w:rFonts w:cs="Arial"/>
          <w:color w:val="000000" w:themeColor="text1"/>
        </w:rPr>
        <w:t xml:space="preserve">learning </w:t>
      </w:r>
      <w:r w:rsidRPr="00C95307">
        <w:rPr>
          <w:rFonts w:cs="Arial"/>
          <w:color w:val="000000" w:themeColor="text1"/>
        </w:rPr>
        <w:t>outcomes</w:t>
      </w:r>
      <w:r w:rsidR="0002153B" w:rsidRPr="00C95307">
        <w:rPr>
          <w:rFonts w:cs="Arial"/>
          <w:color w:val="000000" w:themeColor="text1"/>
        </w:rPr>
        <w:t>:</w:t>
      </w:r>
    </w:p>
    <w:p w:rsidR="002B7F9C" w:rsidRPr="00C95307" w:rsidRDefault="002B7F9C" w:rsidP="00724AA1">
      <w:pPr>
        <w:numPr>
          <w:ilvl w:val="2"/>
          <w:numId w:val="12"/>
        </w:numPr>
        <w:tabs>
          <w:tab w:val="num" w:pos="1134"/>
        </w:tabs>
        <w:jc w:val="both"/>
        <w:rPr>
          <w:rFonts w:cs="Arial"/>
          <w:color w:val="000000" w:themeColor="text1"/>
        </w:rPr>
      </w:pPr>
      <w:r w:rsidRPr="00C95307">
        <w:rPr>
          <w:rFonts w:cs="Arial"/>
          <w:color w:val="000000" w:themeColor="text1"/>
        </w:rPr>
        <w:t xml:space="preserve">Increased literacy and numeracy levels of students in </w:t>
      </w:r>
      <w:r w:rsidR="00585FCC" w:rsidRPr="00C95307">
        <w:rPr>
          <w:rFonts w:cs="Arial"/>
          <w:color w:val="000000" w:themeColor="text1"/>
        </w:rPr>
        <w:t xml:space="preserve">all </w:t>
      </w:r>
      <w:r w:rsidRPr="00C95307">
        <w:rPr>
          <w:rFonts w:cs="Arial"/>
          <w:color w:val="000000" w:themeColor="text1"/>
        </w:rPr>
        <w:t>primary schools</w:t>
      </w:r>
    </w:p>
    <w:p w:rsidR="003D6C36" w:rsidRPr="00C95307" w:rsidRDefault="003D6C36" w:rsidP="00724AA1">
      <w:pPr>
        <w:numPr>
          <w:ilvl w:val="2"/>
          <w:numId w:val="12"/>
        </w:numPr>
        <w:tabs>
          <w:tab w:val="num" w:pos="1134"/>
        </w:tabs>
        <w:jc w:val="both"/>
        <w:rPr>
          <w:rFonts w:cs="Arial"/>
          <w:color w:val="000000" w:themeColor="text1"/>
        </w:rPr>
      </w:pPr>
      <w:r w:rsidRPr="00C95307">
        <w:rPr>
          <w:rFonts w:cs="Arial"/>
          <w:color w:val="000000" w:themeColor="text1"/>
        </w:rPr>
        <w:t>Appropriate curriculum and curriculum support used by early grade teachers</w:t>
      </w:r>
    </w:p>
    <w:p w:rsidR="00033F54" w:rsidRPr="00C95307" w:rsidRDefault="00033F54" w:rsidP="00724AA1">
      <w:pPr>
        <w:numPr>
          <w:ilvl w:val="1"/>
          <w:numId w:val="12"/>
        </w:numPr>
        <w:tabs>
          <w:tab w:val="clear" w:pos="1211"/>
          <w:tab w:val="num" w:pos="1134"/>
        </w:tabs>
        <w:ind w:left="1342" w:hanging="644"/>
        <w:jc w:val="both"/>
        <w:rPr>
          <w:rFonts w:cs="Arial"/>
          <w:color w:val="000000" w:themeColor="text1"/>
        </w:rPr>
      </w:pPr>
      <w:r w:rsidRPr="00C95307">
        <w:rPr>
          <w:rFonts w:cs="Arial"/>
          <w:color w:val="000000" w:themeColor="text1"/>
        </w:rPr>
        <w:t>To improve teacher quality</w:t>
      </w:r>
      <w:r w:rsidR="0002153B" w:rsidRPr="00C95307">
        <w:rPr>
          <w:rFonts w:cs="Arial"/>
          <w:color w:val="000000" w:themeColor="text1"/>
        </w:rPr>
        <w:t>:</w:t>
      </w:r>
    </w:p>
    <w:p w:rsidR="00D542AF" w:rsidRPr="00C95307" w:rsidRDefault="00D542AF" w:rsidP="00D542AF">
      <w:pPr>
        <w:numPr>
          <w:ilvl w:val="2"/>
          <w:numId w:val="12"/>
        </w:numPr>
        <w:tabs>
          <w:tab w:val="num" w:pos="1134"/>
        </w:tabs>
        <w:jc w:val="both"/>
        <w:rPr>
          <w:rFonts w:cs="Arial"/>
          <w:color w:val="000000" w:themeColor="text1"/>
        </w:rPr>
      </w:pPr>
      <w:r w:rsidRPr="00C95307">
        <w:rPr>
          <w:rFonts w:cs="Arial"/>
          <w:color w:val="000000" w:themeColor="text1"/>
        </w:rPr>
        <w:t>Increased proportion of teachers with teacher-training qualifications</w:t>
      </w:r>
    </w:p>
    <w:p w:rsidR="003D6C36" w:rsidRPr="00C95307" w:rsidRDefault="00740672" w:rsidP="00724AA1">
      <w:pPr>
        <w:numPr>
          <w:ilvl w:val="2"/>
          <w:numId w:val="12"/>
        </w:numPr>
        <w:tabs>
          <w:tab w:val="num" w:pos="1134"/>
        </w:tabs>
        <w:jc w:val="both"/>
        <w:rPr>
          <w:rFonts w:cs="Arial"/>
          <w:color w:val="000000" w:themeColor="text1"/>
        </w:rPr>
      </w:pPr>
      <w:r w:rsidRPr="00C95307">
        <w:rPr>
          <w:rFonts w:cs="Arial"/>
          <w:color w:val="000000" w:themeColor="text1"/>
        </w:rPr>
        <w:t>T</w:t>
      </w:r>
      <w:r w:rsidR="003D6C36" w:rsidRPr="00C95307">
        <w:rPr>
          <w:rFonts w:cs="Arial"/>
          <w:color w:val="000000" w:themeColor="text1"/>
        </w:rPr>
        <w:t>eacher quality</w:t>
      </w:r>
      <w:r w:rsidRPr="00C95307">
        <w:rPr>
          <w:rFonts w:cs="Arial"/>
          <w:color w:val="000000" w:themeColor="text1"/>
        </w:rPr>
        <w:t xml:space="preserve"> improved through professional development</w:t>
      </w:r>
      <w:r w:rsidR="00726964" w:rsidRPr="00C95307">
        <w:rPr>
          <w:rFonts w:cs="Arial"/>
          <w:color w:val="000000" w:themeColor="text1"/>
        </w:rPr>
        <w:t xml:space="preserve"> and assessment</w:t>
      </w:r>
    </w:p>
    <w:p w:rsidR="003D6C36" w:rsidRPr="00C95307" w:rsidRDefault="00003B72" w:rsidP="00724AA1">
      <w:pPr>
        <w:numPr>
          <w:ilvl w:val="2"/>
          <w:numId w:val="12"/>
        </w:numPr>
        <w:tabs>
          <w:tab w:val="num" w:pos="1134"/>
        </w:tabs>
        <w:jc w:val="both"/>
        <w:rPr>
          <w:rFonts w:cs="Arial"/>
          <w:color w:val="000000" w:themeColor="text1"/>
        </w:rPr>
      </w:pPr>
      <w:r w:rsidRPr="00C95307">
        <w:rPr>
          <w:rFonts w:cs="Arial"/>
          <w:color w:val="000000" w:themeColor="text1"/>
        </w:rPr>
        <w:t>TIOE capacity to deliver quality training improved</w:t>
      </w:r>
    </w:p>
    <w:p w:rsidR="00033F54" w:rsidRPr="00C95307" w:rsidRDefault="00033F54" w:rsidP="00724AA1">
      <w:pPr>
        <w:numPr>
          <w:ilvl w:val="1"/>
          <w:numId w:val="12"/>
        </w:numPr>
        <w:tabs>
          <w:tab w:val="clear" w:pos="1211"/>
          <w:tab w:val="num" w:pos="1134"/>
        </w:tabs>
        <w:ind w:left="1342" w:hanging="644"/>
        <w:jc w:val="both"/>
        <w:rPr>
          <w:rFonts w:cs="Arial"/>
          <w:color w:val="000000" w:themeColor="text1"/>
        </w:rPr>
      </w:pPr>
      <w:r w:rsidRPr="00C95307">
        <w:rPr>
          <w:rFonts w:cs="Arial"/>
          <w:color w:val="000000" w:themeColor="text1"/>
        </w:rPr>
        <w:t>To improve the learning environment</w:t>
      </w:r>
      <w:r w:rsidR="0002153B" w:rsidRPr="00C95307">
        <w:rPr>
          <w:rFonts w:cs="Arial"/>
          <w:color w:val="000000" w:themeColor="text1"/>
        </w:rPr>
        <w:t>:</w:t>
      </w:r>
    </w:p>
    <w:p w:rsidR="004F7408" w:rsidRPr="00C95307" w:rsidRDefault="004F7408" w:rsidP="00724AA1">
      <w:pPr>
        <w:numPr>
          <w:ilvl w:val="2"/>
          <w:numId w:val="12"/>
        </w:numPr>
        <w:tabs>
          <w:tab w:val="num" w:pos="1134"/>
        </w:tabs>
        <w:jc w:val="both"/>
        <w:rPr>
          <w:rFonts w:cs="Arial"/>
          <w:color w:val="000000" w:themeColor="text1"/>
        </w:rPr>
      </w:pPr>
      <w:r w:rsidRPr="00C95307">
        <w:rPr>
          <w:rFonts w:cs="Arial"/>
          <w:color w:val="000000" w:themeColor="text1"/>
        </w:rPr>
        <w:t>Improved teaching and learning environments</w:t>
      </w:r>
    </w:p>
    <w:p w:rsidR="004F7408" w:rsidRPr="00C95307" w:rsidRDefault="004F7408" w:rsidP="00724AA1">
      <w:pPr>
        <w:numPr>
          <w:ilvl w:val="2"/>
          <w:numId w:val="12"/>
        </w:numPr>
        <w:tabs>
          <w:tab w:val="num" w:pos="1134"/>
        </w:tabs>
        <w:jc w:val="both"/>
        <w:rPr>
          <w:rFonts w:cs="Arial"/>
          <w:color w:val="000000" w:themeColor="text1"/>
        </w:rPr>
      </w:pPr>
      <w:r w:rsidRPr="00C95307">
        <w:rPr>
          <w:rFonts w:cs="Arial"/>
          <w:color w:val="000000" w:themeColor="text1"/>
        </w:rPr>
        <w:t>Primary schools planning, managing and accountable for institutional performance</w:t>
      </w:r>
    </w:p>
    <w:p w:rsidR="00033F54" w:rsidRPr="00C95307" w:rsidRDefault="000B2F61" w:rsidP="00724AA1">
      <w:pPr>
        <w:numPr>
          <w:ilvl w:val="1"/>
          <w:numId w:val="12"/>
        </w:numPr>
        <w:tabs>
          <w:tab w:val="clear" w:pos="1211"/>
          <w:tab w:val="num" w:pos="1134"/>
        </w:tabs>
        <w:ind w:left="1342" w:hanging="644"/>
        <w:jc w:val="both"/>
        <w:rPr>
          <w:rFonts w:cs="Arial"/>
          <w:color w:val="000000" w:themeColor="text1"/>
        </w:rPr>
      </w:pPr>
      <w:r w:rsidRPr="00C95307">
        <w:rPr>
          <w:rFonts w:cs="Arial"/>
          <w:color w:val="000000" w:themeColor="text1"/>
        </w:rPr>
        <w:t>To improve M</w:t>
      </w:r>
      <w:r w:rsidR="00033F54" w:rsidRPr="00C95307">
        <w:rPr>
          <w:rFonts w:cs="Arial"/>
          <w:color w:val="000000" w:themeColor="text1"/>
        </w:rPr>
        <w:t>E</w:t>
      </w:r>
      <w:r w:rsidRPr="00C95307">
        <w:rPr>
          <w:rFonts w:cs="Arial"/>
          <w:color w:val="000000" w:themeColor="text1"/>
        </w:rPr>
        <w:t>T</w:t>
      </w:r>
      <w:r w:rsidR="00033F54" w:rsidRPr="00C95307">
        <w:rPr>
          <w:rFonts w:cs="Arial"/>
          <w:color w:val="000000" w:themeColor="text1"/>
        </w:rPr>
        <w:t xml:space="preserve"> performance</w:t>
      </w:r>
      <w:r w:rsidR="0002153B" w:rsidRPr="00C95307">
        <w:rPr>
          <w:rFonts w:cs="Arial"/>
          <w:color w:val="000000" w:themeColor="text1"/>
        </w:rPr>
        <w:t>:</w:t>
      </w:r>
    </w:p>
    <w:p w:rsidR="00185483" w:rsidRPr="00C95307" w:rsidRDefault="00185483" w:rsidP="00724AA1">
      <w:pPr>
        <w:numPr>
          <w:ilvl w:val="2"/>
          <w:numId w:val="12"/>
        </w:numPr>
        <w:tabs>
          <w:tab w:val="num" w:pos="1134"/>
        </w:tabs>
        <w:jc w:val="both"/>
        <w:rPr>
          <w:rFonts w:cs="Arial"/>
          <w:color w:val="000000" w:themeColor="text1"/>
        </w:rPr>
      </w:pPr>
      <w:r w:rsidRPr="00C95307">
        <w:rPr>
          <w:rFonts w:cs="Arial"/>
          <w:color w:val="000000" w:themeColor="text1"/>
          <w:lang w:val="en-US"/>
        </w:rPr>
        <w:t xml:space="preserve">Improved </w:t>
      </w:r>
      <w:r w:rsidR="00867DAC" w:rsidRPr="00C95307">
        <w:rPr>
          <w:rFonts w:cs="Arial"/>
          <w:color w:val="000000" w:themeColor="text1"/>
          <w:lang w:val="en-US"/>
        </w:rPr>
        <w:t xml:space="preserve">education </w:t>
      </w:r>
      <w:r w:rsidRPr="00C95307">
        <w:rPr>
          <w:rFonts w:cs="Arial"/>
          <w:color w:val="000000" w:themeColor="text1"/>
          <w:lang w:val="en-NZ"/>
        </w:rPr>
        <w:t>sector management</w:t>
      </w:r>
    </w:p>
    <w:p w:rsidR="004F7408" w:rsidRPr="00C95307" w:rsidRDefault="004F7408" w:rsidP="00724AA1">
      <w:pPr>
        <w:numPr>
          <w:ilvl w:val="2"/>
          <w:numId w:val="12"/>
        </w:numPr>
        <w:tabs>
          <w:tab w:val="num" w:pos="1134"/>
        </w:tabs>
        <w:jc w:val="both"/>
        <w:rPr>
          <w:rFonts w:cs="Arial"/>
          <w:color w:val="000000" w:themeColor="text1"/>
        </w:rPr>
      </w:pPr>
      <w:r w:rsidRPr="00C95307">
        <w:rPr>
          <w:rFonts w:cs="Arial"/>
          <w:color w:val="000000" w:themeColor="text1"/>
        </w:rPr>
        <w:t xml:space="preserve">Improved evidence-base </w:t>
      </w:r>
      <w:r w:rsidR="00AB7E5C" w:rsidRPr="00C95307">
        <w:rPr>
          <w:rFonts w:cs="Arial"/>
          <w:color w:val="000000" w:themeColor="text1"/>
        </w:rPr>
        <w:t xml:space="preserve">used </w:t>
      </w:r>
      <w:r w:rsidRPr="00C95307">
        <w:rPr>
          <w:rFonts w:cs="Arial"/>
          <w:color w:val="000000" w:themeColor="text1"/>
        </w:rPr>
        <w:t>for policy analysis, planning, budgeting and decision making</w:t>
      </w:r>
      <w:r w:rsidR="00260AD8" w:rsidRPr="00C95307">
        <w:rPr>
          <w:rFonts w:cs="Arial"/>
          <w:color w:val="000000" w:themeColor="text1"/>
        </w:rPr>
        <w:t>.</w:t>
      </w:r>
    </w:p>
    <w:p w:rsidR="00987AE9" w:rsidRPr="00C95307" w:rsidRDefault="00987AE9" w:rsidP="00724AA1">
      <w:pPr>
        <w:jc w:val="both"/>
        <w:rPr>
          <w:color w:val="FF0000"/>
          <w:szCs w:val="20"/>
        </w:rPr>
      </w:pPr>
    </w:p>
    <w:p w:rsidR="00B81778" w:rsidRPr="00C95307" w:rsidRDefault="00C3327D" w:rsidP="00724AA1">
      <w:pPr>
        <w:jc w:val="both"/>
        <w:rPr>
          <w:szCs w:val="20"/>
        </w:rPr>
      </w:pPr>
      <w:r w:rsidRPr="00C95307">
        <w:rPr>
          <w:rFonts w:cs="Arial"/>
          <w:szCs w:val="20"/>
        </w:rPr>
        <w:t xml:space="preserve">While there </w:t>
      </w:r>
      <w:r w:rsidR="00C4150E" w:rsidRPr="00C95307">
        <w:rPr>
          <w:rFonts w:cs="Arial"/>
          <w:szCs w:val="20"/>
        </w:rPr>
        <w:t xml:space="preserve">is </w:t>
      </w:r>
      <w:r w:rsidRPr="00C95307">
        <w:rPr>
          <w:rFonts w:cs="Arial"/>
          <w:szCs w:val="20"/>
        </w:rPr>
        <w:t>no expectation of a</w:t>
      </w:r>
      <w:r w:rsidR="00BA5CC7" w:rsidRPr="00C95307">
        <w:rPr>
          <w:rFonts w:cs="Arial"/>
          <w:szCs w:val="20"/>
        </w:rPr>
        <w:t xml:space="preserve">n immediate </w:t>
      </w:r>
      <w:r w:rsidRPr="00C95307">
        <w:rPr>
          <w:rFonts w:cs="Arial"/>
          <w:szCs w:val="20"/>
        </w:rPr>
        <w:t xml:space="preserve">change in </w:t>
      </w:r>
      <w:r w:rsidR="006D49BE" w:rsidRPr="00C95307">
        <w:rPr>
          <w:rFonts w:cs="Arial"/>
          <w:szCs w:val="20"/>
        </w:rPr>
        <w:t xml:space="preserve">learning </w:t>
      </w:r>
      <w:r w:rsidRPr="00C95307">
        <w:rPr>
          <w:rFonts w:cs="Arial"/>
          <w:szCs w:val="20"/>
        </w:rPr>
        <w:t>outcomes</w:t>
      </w:r>
      <w:r w:rsidR="00826A3E" w:rsidRPr="00C95307">
        <w:rPr>
          <w:rFonts w:cs="Arial"/>
          <w:szCs w:val="20"/>
        </w:rPr>
        <w:t xml:space="preserve"> </w:t>
      </w:r>
      <w:r w:rsidR="00BA5CC7" w:rsidRPr="00C95307">
        <w:rPr>
          <w:rFonts w:cs="Arial"/>
          <w:szCs w:val="20"/>
        </w:rPr>
        <w:t>in the classroom</w:t>
      </w:r>
      <w:r w:rsidRPr="00C95307">
        <w:rPr>
          <w:rFonts w:cs="Arial"/>
          <w:szCs w:val="20"/>
        </w:rPr>
        <w:t xml:space="preserve">, </w:t>
      </w:r>
      <w:r w:rsidR="00154DCC" w:rsidRPr="00C95307">
        <w:rPr>
          <w:rFonts w:cs="Arial"/>
          <w:szCs w:val="20"/>
        </w:rPr>
        <w:t xml:space="preserve">the DP </w:t>
      </w:r>
      <w:r w:rsidR="00C4150E" w:rsidRPr="00C95307">
        <w:rPr>
          <w:rFonts w:cs="Arial"/>
          <w:szCs w:val="20"/>
        </w:rPr>
        <w:t xml:space="preserve">investments will </w:t>
      </w:r>
      <w:r w:rsidRPr="00C95307">
        <w:rPr>
          <w:rFonts w:cs="Arial"/>
          <w:szCs w:val="20"/>
        </w:rPr>
        <w:t xml:space="preserve">focus on results. </w:t>
      </w:r>
      <w:r w:rsidR="00BA5CC7" w:rsidRPr="00C95307">
        <w:rPr>
          <w:rFonts w:cs="Arial"/>
          <w:szCs w:val="20"/>
        </w:rPr>
        <w:t xml:space="preserve">To this end, the </w:t>
      </w:r>
      <w:r w:rsidR="00BA5CC7" w:rsidRPr="00C95307">
        <w:rPr>
          <w:rFonts w:cs="Arial"/>
          <w:i/>
          <w:lang w:val="en-GB"/>
        </w:rPr>
        <w:t xml:space="preserve">Direct Partner Government Funding Agreement </w:t>
      </w:r>
      <w:r w:rsidR="00BA5CC7" w:rsidRPr="00C95307">
        <w:rPr>
          <w:rFonts w:cs="Arial"/>
          <w:lang w:val="en-GB"/>
        </w:rPr>
        <w:t xml:space="preserve">includes disbursement linked to agreed milestone achievements. </w:t>
      </w:r>
      <w:r w:rsidR="00BA5CC7" w:rsidRPr="00C95307">
        <w:rPr>
          <w:rFonts w:cs="Arial"/>
          <w:szCs w:val="20"/>
        </w:rPr>
        <w:t xml:space="preserve">A draft </w:t>
      </w:r>
      <w:r w:rsidR="00AB2C75">
        <w:rPr>
          <w:rFonts w:cs="Arial"/>
          <w:szCs w:val="20"/>
        </w:rPr>
        <w:t>Results Framework</w:t>
      </w:r>
      <w:r w:rsidR="00AB2C75" w:rsidRPr="00C95307">
        <w:rPr>
          <w:rFonts w:cs="Arial"/>
          <w:szCs w:val="20"/>
        </w:rPr>
        <w:t xml:space="preserve"> </w:t>
      </w:r>
      <w:r w:rsidR="00BA5CC7" w:rsidRPr="00C95307">
        <w:rPr>
          <w:rFonts w:cs="Arial"/>
          <w:szCs w:val="20"/>
        </w:rPr>
        <w:t xml:space="preserve">has also been developed </w:t>
      </w:r>
      <w:r w:rsidR="00AB2C75">
        <w:rPr>
          <w:rFonts w:cs="Arial"/>
          <w:szCs w:val="20"/>
        </w:rPr>
        <w:t xml:space="preserve">for TESP2 </w:t>
      </w:r>
      <w:r w:rsidR="00BA5CC7" w:rsidRPr="00C95307">
        <w:rPr>
          <w:rFonts w:cs="Arial"/>
          <w:szCs w:val="20"/>
        </w:rPr>
        <w:t>(</w:t>
      </w:r>
      <w:r w:rsidR="00C95307" w:rsidRPr="00C95307">
        <w:rPr>
          <w:rFonts w:cs="Arial"/>
          <w:szCs w:val="20"/>
        </w:rPr>
        <w:t>Annex J</w:t>
      </w:r>
      <w:r w:rsidR="00BA5CC7" w:rsidRPr="00C95307">
        <w:rPr>
          <w:rFonts w:cs="Arial"/>
          <w:szCs w:val="20"/>
        </w:rPr>
        <w:t xml:space="preserve">), and will be completed and agreed by all three partners during the inception phase. The </w:t>
      </w:r>
      <w:r w:rsidR="00AB2C75">
        <w:rPr>
          <w:rFonts w:cs="Arial"/>
          <w:szCs w:val="20"/>
        </w:rPr>
        <w:t>Results Framework</w:t>
      </w:r>
      <w:r w:rsidR="00BA5CC7" w:rsidRPr="00C95307">
        <w:rPr>
          <w:rFonts w:cs="Arial"/>
          <w:szCs w:val="20"/>
        </w:rPr>
        <w:t xml:space="preserve"> will clearly identify, for remedial action any differences between the results of boys and girls in the classroom.</w:t>
      </w:r>
      <w:r w:rsidR="00BA5CC7" w:rsidRPr="00C95307">
        <w:rPr>
          <w:szCs w:val="20"/>
        </w:rPr>
        <w:t xml:space="preserve"> </w:t>
      </w:r>
      <w:r w:rsidR="003B1CC1">
        <w:rPr>
          <w:szCs w:val="20"/>
        </w:rPr>
        <w:t xml:space="preserve">The development of a gender equality strategy will be discussed further with MET. </w:t>
      </w:r>
      <w:r w:rsidR="00E87154" w:rsidRPr="00C95307">
        <w:rPr>
          <w:rFonts w:cs="Arial"/>
          <w:szCs w:val="20"/>
        </w:rPr>
        <w:t xml:space="preserve">Achievement against </w:t>
      </w:r>
      <w:r w:rsidR="00E87154" w:rsidRPr="00C95307">
        <w:rPr>
          <w:szCs w:val="20"/>
        </w:rPr>
        <w:t>a clear set of interim outputs/results</w:t>
      </w:r>
      <w:r w:rsidR="00E87154" w:rsidRPr="00C95307">
        <w:rPr>
          <w:rFonts w:cs="Arial"/>
          <w:szCs w:val="20"/>
        </w:rPr>
        <w:t xml:space="preserve"> in the first 18 months </w:t>
      </w:r>
      <w:r w:rsidRPr="00C95307">
        <w:rPr>
          <w:rFonts w:cs="Arial"/>
          <w:szCs w:val="20"/>
        </w:rPr>
        <w:t xml:space="preserve">will be the basis for discussion and negotiation </w:t>
      </w:r>
      <w:r w:rsidRPr="00C95307">
        <w:rPr>
          <w:szCs w:val="20"/>
        </w:rPr>
        <w:t>before invest</w:t>
      </w:r>
      <w:r w:rsidR="006540CB" w:rsidRPr="00C95307">
        <w:rPr>
          <w:szCs w:val="20"/>
        </w:rPr>
        <w:t>ment</w:t>
      </w:r>
      <w:r w:rsidR="00154DCC" w:rsidRPr="00C95307">
        <w:rPr>
          <w:szCs w:val="20"/>
        </w:rPr>
        <w:t xml:space="preserve"> </w:t>
      </w:r>
      <w:r w:rsidR="0022324C" w:rsidRPr="00C95307">
        <w:rPr>
          <w:szCs w:val="20"/>
        </w:rPr>
        <w:t xml:space="preserve">in </w:t>
      </w:r>
      <w:r w:rsidR="00154DCC" w:rsidRPr="00C95307">
        <w:rPr>
          <w:szCs w:val="20"/>
        </w:rPr>
        <w:t xml:space="preserve">continued or new activities in </w:t>
      </w:r>
      <w:r w:rsidR="0022324C" w:rsidRPr="00C95307">
        <w:rPr>
          <w:szCs w:val="20"/>
        </w:rPr>
        <w:t xml:space="preserve">Phase </w:t>
      </w:r>
      <w:r w:rsidR="00513C6D" w:rsidRPr="00C95307">
        <w:rPr>
          <w:szCs w:val="20"/>
        </w:rPr>
        <w:t>Two</w:t>
      </w:r>
      <w:r w:rsidRPr="00C95307">
        <w:rPr>
          <w:rFonts w:cs="Arial"/>
          <w:szCs w:val="20"/>
        </w:rPr>
        <w:t>.</w:t>
      </w:r>
      <w:r w:rsidR="001F0097" w:rsidRPr="00C95307">
        <w:rPr>
          <w:rFonts w:cs="Arial"/>
          <w:szCs w:val="20"/>
        </w:rPr>
        <w:t xml:space="preserve"> </w:t>
      </w:r>
      <w:r w:rsidR="00B81778" w:rsidRPr="00C95307">
        <w:rPr>
          <w:rFonts w:cs="Arial"/>
          <w:szCs w:val="20"/>
        </w:rPr>
        <w:t xml:space="preserve"> Investment in Phase Two will continue to be aligned with the Lakalaka Framework and MET’s annual planning.</w:t>
      </w:r>
    </w:p>
    <w:p w:rsidR="00B81778" w:rsidRPr="00C95307" w:rsidRDefault="00B81778" w:rsidP="00724AA1">
      <w:pPr>
        <w:jc w:val="both"/>
        <w:rPr>
          <w:rFonts w:cs="Arial"/>
          <w:szCs w:val="20"/>
        </w:rPr>
      </w:pPr>
    </w:p>
    <w:p w:rsidR="00724AA1" w:rsidRPr="00C95307" w:rsidRDefault="00DB0F87" w:rsidP="00724AA1">
      <w:pPr>
        <w:jc w:val="both"/>
        <w:rPr>
          <w:rFonts w:cs="Arial"/>
          <w:szCs w:val="20"/>
        </w:rPr>
      </w:pPr>
      <w:r w:rsidRPr="00C95307">
        <w:rPr>
          <w:rFonts w:cs="Arial"/>
          <w:szCs w:val="20"/>
        </w:rPr>
        <w:t xml:space="preserve">The </w:t>
      </w:r>
      <w:r w:rsidR="00C4150E" w:rsidRPr="00C95307">
        <w:rPr>
          <w:rFonts w:cs="Arial"/>
          <w:szCs w:val="20"/>
        </w:rPr>
        <w:t xml:space="preserve">proposed </w:t>
      </w:r>
      <w:r w:rsidR="006D49BE" w:rsidRPr="00C95307">
        <w:rPr>
          <w:rFonts w:cs="Arial"/>
          <w:szCs w:val="20"/>
        </w:rPr>
        <w:t>p</w:t>
      </w:r>
      <w:r w:rsidRPr="00C95307">
        <w:rPr>
          <w:rFonts w:cs="Arial"/>
          <w:szCs w:val="20"/>
        </w:rPr>
        <w:t xml:space="preserve">rogram has been organised around </w:t>
      </w:r>
      <w:r w:rsidR="009E0B82" w:rsidRPr="00C95307">
        <w:rPr>
          <w:rFonts w:cs="Arial"/>
          <w:szCs w:val="20"/>
        </w:rPr>
        <w:t>seven</w:t>
      </w:r>
      <w:r w:rsidRPr="00C95307">
        <w:rPr>
          <w:rFonts w:cs="Arial"/>
          <w:szCs w:val="20"/>
        </w:rPr>
        <w:t xml:space="preserve"> major</w:t>
      </w:r>
      <w:r w:rsidR="008965AC" w:rsidRPr="00C95307">
        <w:rPr>
          <w:rFonts w:cs="Arial"/>
          <w:szCs w:val="20"/>
        </w:rPr>
        <w:t xml:space="preserve"> </w:t>
      </w:r>
      <w:r w:rsidRPr="00C95307">
        <w:rPr>
          <w:rFonts w:cs="Arial"/>
          <w:szCs w:val="20"/>
        </w:rPr>
        <w:t xml:space="preserve">thematic </w:t>
      </w:r>
      <w:r w:rsidR="00151382" w:rsidRPr="00C95307">
        <w:rPr>
          <w:rFonts w:cs="Arial"/>
          <w:szCs w:val="20"/>
        </w:rPr>
        <w:t>components</w:t>
      </w:r>
      <w:r w:rsidR="00C4150E" w:rsidRPr="00C95307">
        <w:rPr>
          <w:rFonts w:cs="Arial"/>
          <w:szCs w:val="20"/>
        </w:rPr>
        <w:t>, each intended to</w:t>
      </w:r>
      <w:r w:rsidRPr="00C95307">
        <w:rPr>
          <w:rFonts w:cs="Arial"/>
          <w:szCs w:val="20"/>
        </w:rPr>
        <w:t xml:space="preserve"> contribute to improved outcomes in student achievement</w:t>
      </w:r>
      <w:r w:rsidR="00C4150E" w:rsidRPr="00C95307">
        <w:rPr>
          <w:rFonts w:cs="Arial"/>
          <w:szCs w:val="20"/>
        </w:rPr>
        <w:t xml:space="preserve"> and to the strategic </w:t>
      </w:r>
      <w:r w:rsidR="0022324C" w:rsidRPr="00C95307">
        <w:rPr>
          <w:rFonts w:cs="Arial"/>
          <w:szCs w:val="20"/>
        </w:rPr>
        <w:t xml:space="preserve">objectives </w:t>
      </w:r>
      <w:r w:rsidR="00C4150E" w:rsidRPr="00C95307">
        <w:rPr>
          <w:rFonts w:cs="Arial"/>
          <w:szCs w:val="20"/>
        </w:rPr>
        <w:t>listed above</w:t>
      </w:r>
      <w:r w:rsidR="0022324C" w:rsidRPr="00C95307">
        <w:rPr>
          <w:rFonts w:cs="Arial"/>
          <w:szCs w:val="20"/>
        </w:rPr>
        <w:t>.</w:t>
      </w:r>
      <w:r w:rsidRPr="00C95307">
        <w:rPr>
          <w:rFonts w:cs="Arial"/>
          <w:szCs w:val="20"/>
        </w:rPr>
        <w:t xml:space="preserve"> </w:t>
      </w:r>
      <w:r w:rsidR="0022324C" w:rsidRPr="00C95307">
        <w:rPr>
          <w:rFonts w:cs="Arial"/>
          <w:szCs w:val="20"/>
        </w:rPr>
        <w:t xml:space="preserve">The thematic components are: </w:t>
      </w:r>
      <w:r w:rsidRPr="00C95307">
        <w:rPr>
          <w:rFonts w:cs="Arial"/>
        </w:rPr>
        <w:t xml:space="preserve">curriculum reform and assessment; teacher </w:t>
      </w:r>
      <w:r w:rsidR="00CD72E5" w:rsidRPr="00C95307">
        <w:rPr>
          <w:rFonts w:cs="Arial"/>
        </w:rPr>
        <w:t xml:space="preserve">training and </w:t>
      </w:r>
      <w:r w:rsidRPr="00C95307">
        <w:rPr>
          <w:rFonts w:cs="Arial"/>
        </w:rPr>
        <w:t>professional development; delivery of an in</w:t>
      </w:r>
      <w:r w:rsidR="00665177" w:rsidRPr="00C95307">
        <w:rPr>
          <w:rFonts w:cs="Arial"/>
        </w:rPr>
        <w:t>tegrated school grants program</w:t>
      </w:r>
      <w:r w:rsidRPr="00C95307">
        <w:rPr>
          <w:rFonts w:cs="Arial"/>
        </w:rPr>
        <w:t>; early childhood education;</w:t>
      </w:r>
      <w:r w:rsidR="00291567" w:rsidRPr="00C95307">
        <w:rPr>
          <w:rFonts w:cs="Arial"/>
        </w:rPr>
        <w:t xml:space="preserve"> </w:t>
      </w:r>
      <w:r w:rsidRPr="00C95307">
        <w:rPr>
          <w:rFonts w:cs="Arial"/>
        </w:rPr>
        <w:t>inclusive education;</w:t>
      </w:r>
      <w:r w:rsidR="008965AC" w:rsidRPr="00C95307">
        <w:rPr>
          <w:rFonts w:cs="Arial"/>
        </w:rPr>
        <w:t xml:space="preserve"> </w:t>
      </w:r>
      <w:r w:rsidRPr="00C95307">
        <w:rPr>
          <w:rFonts w:cs="Arial"/>
        </w:rPr>
        <w:t>knowledge development and dissemination (including technical assistance);</w:t>
      </w:r>
      <w:r w:rsidR="00291567" w:rsidRPr="00C95307">
        <w:rPr>
          <w:rFonts w:cs="Arial"/>
        </w:rPr>
        <w:t xml:space="preserve"> and </w:t>
      </w:r>
      <w:r w:rsidR="00CD72E5" w:rsidRPr="00C95307">
        <w:rPr>
          <w:rFonts w:cs="Arial"/>
        </w:rPr>
        <w:t>improvements in MET capacity</w:t>
      </w:r>
      <w:r w:rsidR="00E87154" w:rsidRPr="00C95307">
        <w:rPr>
          <w:rFonts w:cs="Arial"/>
        </w:rPr>
        <w:t xml:space="preserve">. </w:t>
      </w:r>
      <w:r w:rsidR="00FE0EAA" w:rsidRPr="00C95307">
        <w:rPr>
          <w:rFonts w:cs="Arial"/>
          <w:szCs w:val="20"/>
        </w:rPr>
        <w:t>T</w:t>
      </w:r>
      <w:r w:rsidR="006D49BE" w:rsidRPr="00C95307">
        <w:rPr>
          <w:rFonts w:cs="Arial"/>
          <w:szCs w:val="20"/>
        </w:rPr>
        <w:t xml:space="preserve">he proposed TESP2 </w:t>
      </w:r>
      <w:r w:rsidR="00185483" w:rsidRPr="00C95307">
        <w:rPr>
          <w:rFonts w:cs="Arial"/>
          <w:szCs w:val="20"/>
        </w:rPr>
        <w:t>Phase One</w:t>
      </w:r>
      <w:r w:rsidR="00151382" w:rsidRPr="00C95307">
        <w:rPr>
          <w:rFonts w:cs="Arial"/>
          <w:szCs w:val="20"/>
        </w:rPr>
        <w:t xml:space="preserve"> </w:t>
      </w:r>
      <w:r w:rsidR="006D49BE" w:rsidRPr="00C95307">
        <w:rPr>
          <w:rFonts w:cs="Arial"/>
          <w:szCs w:val="20"/>
        </w:rPr>
        <w:t>activities to achieve these outcomes</w:t>
      </w:r>
      <w:r w:rsidR="00335E3C" w:rsidRPr="00C95307">
        <w:rPr>
          <w:rFonts w:cs="Arial"/>
          <w:szCs w:val="20"/>
        </w:rPr>
        <w:t>, as endorsed by MET,</w:t>
      </w:r>
      <w:r w:rsidR="006D49BE" w:rsidRPr="00C95307">
        <w:rPr>
          <w:rFonts w:cs="Arial"/>
          <w:szCs w:val="20"/>
        </w:rPr>
        <w:t xml:space="preserve"> </w:t>
      </w:r>
      <w:r w:rsidR="00FE0EAA" w:rsidRPr="00C95307">
        <w:rPr>
          <w:rFonts w:cs="Arial"/>
          <w:szCs w:val="20"/>
        </w:rPr>
        <w:t>are summarised</w:t>
      </w:r>
      <w:r w:rsidR="006D49BE" w:rsidRPr="00C95307">
        <w:rPr>
          <w:rFonts w:cs="Arial"/>
          <w:szCs w:val="20"/>
        </w:rPr>
        <w:t xml:space="preserve"> in Annex</w:t>
      </w:r>
      <w:r w:rsidR="00151382" w:rsidRPr="00C95307">
        <w:rPr>
          <w:rFonts w:cs="Arial"/>
          <w:szCs w:val="20"/>
        </w:rPr>
        <w:t xml:space="preserve">es C and D, along with indicative terms of reference for </w:t>
      </w:r>
      <w:r w:rsidR="00335E3C" w:rsidRPr="00C95307">
        <w:rPr>
          <w:rFonts w:cs="Arial"/>
          <w:szCs w:val="20"/>
        </w:rPr>
        <w:t>the</w:t>
      </w:r>
      <w:r w:rsidR="00151382" w:rsidRPr="00C95307">
        <w:rPr>
          <w:rFonts w:cs="Arial"/>
          <w:szCs w:val="20"/>
        </w:rPr>
        <w:t xml:space="preserve"> Technical Assistance required for the </w:t>
      </w:r>
      <w:r w:rsidR="001F0097" w:rsidRPr="00C95307">
        <w:rPr>
          <w:rFonts w:cs="Arial"/>
          <w:szCs w:val="20"/>
        </w:rPr>
        <w:t xml:space="preserve">activity (Annex E), </w:t>
      </w:r>
      <w:r w:rsidR="00151382" w:rsidRPr="00C95307">
        <w:rPr>
          <w:rFonts w:cs="Arial"/>
          <w:szCs w:val="20"/>
        </w:rPr>
        <w:t xml:space="preserve">timing </w:t>
      </w:r>
      <w:r w:rsidR="006D49BE" w:rsidRPr="00C95307">
        <w:rPr>
          <w:rFonts w:cs="Arial"/>
          <w:szCs w:val="20"/>
        </w:rPr>
        <w:t xml:space="preserve">(Annex </w:t>
      </w:r>
      <w:r w:rsidR="00151382" w:rsidRPr="00C95307">
        <w:rPr>
          <w:rFonts w:cs="Arial"/>
          <w:szCs w:val="20"/>
        </w:rPr>
        <w:t xml:space="preserve">G) and </w:t>
      </w:r>
      <w:r w:rsidR="00291567" w:rsidRPr="00C95307">
        <w:rPr>
          <w:rFonts w:cs="Arial"/>
          <w:szCs w:val="20"/>
        </w:rPr>
        <w:t>budget (Annex</w:t>
      </w:r>
      <w:r w:rsidR="00151382" w:rsidRPr="00C95307">
        <w:rPr>
          <w:rFonts w:cs="Arial"/>
          <w:szCs w:val="20"/>
        </w:rPr>
        <w:t xml:space="preserve"> I).</w:t>
      </w:r>
      <w:r w:rsidR="00260AD8" w:rsidRPr="00C95307">
        <w:rPr>
          <w:rFonts w:cs="Arial"/>
          <w:szCs w:val="20"/>
        </w:rPr>
        <w:t xml:space="preserve"> </w:t>
      </w:r>
      <w:r w:rsidR="00BA5CC7" w:rsidRPr="00C95307">
        <w:rPr>
          <w:rFonts w:cs="Arial"/>
          <w:szCs w:val="20"/>
        </w:rPr>
        <w:t>It is noted that the majority of the technical assistance will be procured directly by MET, will include local consultants where available and will include a capacity development component in the terms of reference.</w:t>
      </w:r>
    </w:p>
    <w:p w:rsidR="00B85459" w:rsidRPr="00C95307" w:rsidRDefault="00B85459" w:rsidP="00724AA1">
      <w:pPr>
        <w:jc w:val="both"/>
        <w:rPr>
          <w:rFonts w:cs="Arial"/>
          <w:szCs w:val="20"/>
        </w:rPr>
      </w:pPr>
    </w:p>
    <w:p w:rsidR="00291567" w:rsidRPr="00C95307" w:rsidRDefault="00CD72E5" w:rsidP="00724AA1">
      <w:pPr>
        <w:jc w:val="both"/>
        <w:rPr>
          <w:rFonts w:cs="Arial"/>
          <w:szCs w:val="20"/>
        </w:rPr>
      </w:pPr>
      <w:r w:rsidRPr="00C95307">
        <w:rPr>
          <w:rFonts w:cs="Arial"/>
          <w:szCs w:val="20"/>
        </w:rPr>
        <w:t xml:space="preserve">Outcomes such as improved literacy and numeracy </w:t>
      </w:r>
      <w:r w:rsidR="007D272F" w:rsidRPr="00C95307">
        <w:rPr>
          <w:rFonts w:cs="Arial"/>
          <w:szCs w:val="20"/>
        </w:rPr>
        <w:t>in primary school</w:t>
      </w:r>
      <w:r w:rsidR="006B4FA0" w:rsidRPr="00C95307">
        <w:rPr>
          <w:rFonts w:cs="Arial"/>
          <w:szCs w:val="20"/>
        </w:rPr>
        <w:t xml:space="preserve"> classroom</w:t>
      </w:r>
      <w:r w:rsidR="007D272F" w:rsidRPr="00C95307">
        <w:rPr>
          <w:rFonts w:cs="Arial"/>
          <w:szCs w:val="20"/>
        </w:rPr>
        <w:t xml:space="preserve">s </w:t>
      </w:r>
      <w:r w:rsidRPr="00C95307">
        <w:rPr>
          <w:rFonts w:cs="Arial"/>
          <w:szCs w:val="20"/>
        </w:rPr>
        <w:t>will result from a strong and well-supported curriculum reform that will provide quality learning materials (such as books, readers and teacher guides).</w:t>
      </w:r>
      <w:r w:rsidR="00291567" w:rsidRPr="00C95307">
        <w:rPr>
          <w:rFonts w:cs="Arial"/>
          <w:szCs w:val="20"/>
        </w:rPr>
        <w:t xml:space="preserve"> </w:t>
      </w:r>
      <w:r w:rsidRPr="00C95307">
        <w:rPr>
          <w:rFonts w:cs="Arial"/>
          <w:szCs w:val="20"/>
        </w:rPr>
        <w:t>Improved teacher competence is a key outcome</w:t>
      </w:r>
      <w:r w:rsidR="00291567" w:rsidRPr="00C95307">
        <w:rPr>
          <w:rFonts w:cs="Arial"/>
          <w:szCs w:val="20"/>
        </w:rPr>
        <w:t xml:space="preserve"> </w:t>
      </w:r>
      <w:r w:rsidRPr="00C95307">
        <w:rPr>
          <w:rFonts w:cs="Arial"/>
          <w:szCs w:val="20"/>
        </w:rPr>
        <w:t>to achieve improved teaching and learning. Teacher development activities to be supported include in-service professional development for primary teachers and up-grading for uncertified secondary teachers. Support for TIOE is critical to ensure accreditation of t</w:t>
      </w:r>
      <w:r w:rsidR="00291567" w:rsidRPr="00C95307">
        <w:rPr>
          <w:rFonts w:cs="Arial"/>
          <w:szCs w:val="20"/>
        </w:rPr>
        <w:t xml:space="preserve">heir courses and </w:t>
      </w:r>
      <w:r w:rsidR="007D272F" w:rsidRPr="00C95307">
        <w:rPr>
          <w:rFonts w:cs="Arial"/>
          <w:szCs w:val="20"/>
        </w:rPr>
        <w:t xml:space="preserve">to </w:t>
      </w:r>
      <w:r w:rsidRPr="00C95307">
        <w:rPr>
          <w:rFonts w:cs="Arial"/>
          <w:szCs w:val="20"/>
        </w:rPr>
        <w:t xml:space="preserve">improve the quality </w:t>
      </w:r>
      <w:r w:rsidR="007D272F" w:rsidRPr="00C95307">
        <w:rPr>
          <w:rFonts w:cs="Arial"/>
          <w:szCs w:val="20"/>
        </w:rPr>
        <w:t xml:space="preserve">and relevance </w:t>
      </w:r>
      <w:r w:rsidRPr="00C95307">
        <w:rPr>
          <w:rFonts w:cs="Arial"/>
          <w:szCs w:val="20"/>
        </w:rPr>
        <w:t xml:space="preserve">of </w:t>
      </w:r>
      <w:r w:rsidR="007D272F" w:rsidRPr="00C95307">
        <w:rPr>
          <w:rFonts w:cs="Arial"/>
          <w:szCs w:val="20"/>
        </w:rPr>
        <w:t>their</w:t>
      </w:r>
      <w:r w:rsidRPr="00C95307">
        <w:rPr>
          <w:rFonts w:cs="Arial"/>
          <w:szCs w:val="20"/>
        </w:rPr>
        <w:t xml:space="preserve"> t</w:t>
      </w:r>
      <w:r w:rsidR="00291567" w:rsidRPr="00C95307">
        <w:rPr>
          <w:rFonts w:cs="Arial"/>
          <w:szCs w:val="20"/>
        </w:rPr>
        <w:t>raining. Primary t</w:t>
      </w:r>
      <w:r w:rsidRPr="00C95307">
        <w:rPr>
          <w:rFonts w:cs="Arial"/>
          <w:szCs w:val="20"/>
        </w:rPr>
        <w:t xml:space="preserve">eacher appraisal policy and processes will be developed, along with improved </w:t>
      </w:r>
      <w:r w:rsidR="00291567" w:rsidRPr="00C95307">
        <w:rPr>
          <w:rFonts w:cs="Arial"/>
          <w:szCs w:val="20"/>
        </w:rPr>
        <w:t xml:space="preserve">primary school </w:t>
      </w:r>
      <w:r w:rsidRPr="00C95307">
        <w:rPr>
          <w:rFonts w:cs="Arial"/>
          <w:szCs w:val="20"/>
        </w:rPr>
        <w:t>assessment practices and procedures.</w:t>
      </w:r>
      <w:r w:rsidR="00291567" w:rsidRPr="00C95307">
        <w:rPr>
          <w:rFonts w:cs="Arial"/>
          <w:szCs w:val="20"/>
        </w:rPr>
        <w:t xml:space="preserve"> </w:t>
      </w:r>
      <w:r w:rsidR="007D272F" w:rsidRPr="00C95307">
        <w:rPr>
          <w:rFonts w:cs="Arial"/>
          <w:szCs w:val="20"/>
        </w:rPr>
        <w:t xml:space="preserve">Provision of primary </w:t>
      </w:r>
      <w:r w:rsidRPr="00C95307">
        <w:rPr>
          <w:rFonts w:cs="Arial"/>
          <w:szCs w:val="20"/>
        </w:rPr>
        <w:t xml:space="preserve">and secondary school grants will support an outcome of improved </w:t>
      </w:r>
      <w:r w:rsidR="00291567" w:rsidRPr="00C95307">
        <w:rPr>
          <w:rFonts w:cs="Arial"/>
          <w:szCs w:val="20"/>
        </w:rPr>
        <w:t>teaching and learning environments</w:t>
      </w:r>
      <w:r w:rsidRPr="00C95307">
        <w:rPr>
          <w:rFonts w:cs="Arial"/>
          <w:szCs w:val="20"/>
        </w:rPr>
        <w:t xml:space="preserve"> (through curriculum support, and better facilities and equipment). </w:t>
      </w:r>
      <w:r w:rsidR="0022324C" w:rsidRPr="00C95307">
        <w:rPr>
          <w:rFonts w:cs="Arial"/>
          <w:szCs w:val="20"/>
        </w:rPr>
        <w:t>Deve</w:t>
      </w:r>
      <w:r w:rsidR="001F0097" w:rsidRPr="00C95307">
        <w:rPr>
          <w:rFonts w:cs="Arial"/>
          <w:szCs w:val="20"/>
        </w:rPr>
        <w:t xml:space="preserve">loping a more efficient system </w:t>
      </w:r>
      <w:r w:rsidR="0022324C" w:rsidRPr="00C95307">
        <w:rPr>
          <w:rFonts w:cs="Arial"/>
          <w:szCs w:val="20"/>
        </w:rPr>
        <w:t>of delivering grants, and li</w:t>
      </w:r>
      <w:r w:rsidRPr="00C95307">
        <w:rPr>
          <w:rFonts w:cs="Arial"/>
          <w:szCs w:val="20"/>
        </w:rPr>
        <w:t xml:space="preserve">nking of these grants to a streamlined </w:t>
      </w:r>
      <w:r w:rsidR="00826A3E" w:rsidRPr="00C95307">
        <w:rPr>
          <w:rFonts w:cs="Arial"/>
          <w:szCs w:val="20"/>
        </w:rPr>
        <w:t>MSS</w:t>
      </w:r>
      <w:r w:rsidRPr="00C95307">
        <w:rPr>
          <w:rFonts w:cs="Arial"/>
          <w:szCs w:val="20"/>
        </w:rPr>
        <w:t xml:space="preserve"> and effective support for school-based management</w:t>
      </w:r>
      <w:r w:rsidR="0022324C" w:rsidRPr="00C95307">
        <w:rPr>
          <w:rFonts w:cs="Arial"/>
          <w:szCs w:val="20"/>
        </w:rPr>
        <w:t xml:space="preserve">, </w:t>
      </w:r>
      <w:r w:rsidRPr="00C95307">
        <w:rPr>
          <w:rFonts w:cs="Arial"/>
          <w:szCs w:val="20"/>
        </w:rPr>
        <w:t>are also priority activities to strengthen classroom performance</w:t>
      </w:r>
      <w:r w:rsidR="007D272F" w:rsidRPr="00C95307">
        <w:rPr>
          <w:rFonts w:cs="Arial"/>
          <w:szCs w:val="20"/>
        </w:rPr>
        <w:t xml:space="preserve"> and learning outcomes</w:t>
      </w:r>
      <w:r w:rsidRPr="00C95307">
        <w:rPr>
          <w:rFonts w:cs="Arial"/>
          <w:szCs w:val="20"/>
        </w:rPr>
        <w:t>.</w:t>
      </w:r>
      <w:r w:rsidR="00291567" w:rsidRPr="00C95307">
        <w:rPr>
          <w:rFonts w:cs="Arial"/>
          <w:szCs w:val="20"/>
        </w:rPr>
        <w:t xml:space="preserve"> </w:t>
      </w:r>
    </w:p>
    <w:p w:rsidR="00291567" w:rsidRPr="00C95307" w:rsidRDefault="00291567" w:rsidP="00724AA1">
      <w:pPr>
        <w:jc w:val="both"/>
        <w:rPr>
          <w:rFonts w:cs="Arial"/>
          <w:szCs w:val="20"/>
        </w:rPr>
      </w:pPr>
    </w:p>
    <w:p w:rsidR="007D272F" w:rsidRPr="00C95307" w:rsidRDefault="00CD72E5" w:rsidP="00724AA1">
      <w:pPr>
        <w:jc w:val="both"/>
      </w:pPr>
      <w:r w:rsidRPr="00C95307">
        <w:rPr>
          <w:rFonts w:cs="Arial"/>
          <w:szCs w:val="20"/>
        </w:rPr>
        <w:t xml:space="preserve">In the area of </w:t>
      </w:r>
      <w:r w:rsidR="00291567" w:rsidRPr="00C95307">
        <w:rPr>
          <w:rFonts w:cs="Arial"/>
          <w:szCs w:val="20"/>
        </w:rPr>
        <w:t>ECE</w:t>
      </w:r>
      <w:r w:rsidRPr="00C95307">
        <w:rPr>
          <w:rFonts w:cs="Arial"/>
          <w:szCs w:val="20"/>
        </w:rPr>
        <w:t xml:space="preserve">, </w:t>
      </w:r>
      <w:r w:rsidR="007D272F" w:rsidRPr="00C95307">
        <w:rPr>
          <w:rFonts w:cs="Arial"/>
          <w:szCs w:val="20"/>
        </w:rPr>
        <w:t xml:space="preserve">activities will include </w:t>
      </w:r>
      <w:r w:rsidRPr="00C95307">
        <w:rPr>
          <w:rFonts w:cs="Arial"/>
          <w:szCs w:val="20"/>
        </w:rPr>
        <w:t>grant provision, policy development, and scoping of existing provision and projected needs</w:t>
      </w:r>
      <w:r w:rsidR="008965AC" w:rsidRPr="00C95307">
        <w:rPr>
          <w:rFonts w:cs="Arial"/>
          <w:szCs w:val="20"/>
        </w:rPr>
        <w:t xml:space="preserve">. </w:t>
      </w:r>
      <w:r w:rsidRPr="00C95307">
        <w:rPr>
          <w:rFonts w:cs="Arial"/>
          <w:szCs w:val="20"/>
        </w:rPr>
        <w:t xml:space="preserve">This approach will form the basis of consideration of resourcing for expansion and provision of quality early childhood education in </w:t>
      </w:r>
      <w:r w:rsidR="00291567" w:rsidRPr="00C95307">
        <w:rPr>
          <w:rFonts w:cs="Arial"/>
          <w:szCs w:val="20"/>
        </w:rPr>
        <w:t>future</w:t>
      </w:r>
      <w:r w:rsidRPr="00C95307">
        <w:rPr>
          <w:rFonts w:cs="Arial"/>
          <w:szCs w:val="20"/>
        </w:rPr>
        <w:t xml:space="preserve"> years. </w:t>
      </w:r>
      <w:r w:rsidR="00291567" w:rsidRPr="00C95307">
        <w:t>G</w:t>
      </w:r>
      <w:r w:rsidR="001F64CB" w:rsidRPr="00C95307">
        <w:t xml:space="preserve">iven </w:t>
      </w:r>
      <w:r w:rsidR="00291567" w:rsidRPr="00C95307">
        <w:t xml:space="preserve">the </w:t>
      </w:r>
      <w:r w:rsidR="001F64CB" w:rsidRPr="00C95307">
        <w:t xml:space="preserve">lack of baseline data </w:t>
      </w:r>
      <w:r w:rsidR="007D272F" w:rsidRPr="00C95307">
        <w:t xml:space="preserve">on children with special learning needs </w:t>
      </w:r>
      <w:r w:rsidR="001F64CB" w:rsidRPr="00C95307">
        <w:t xml:space="preserve">and sustainability </w:t>
      </w:r>
      <w:r w:rsidR="001C457B" w:rsidRPr="00C95307">
        <w:t>concerns</w:t>
      </w:r>
      <w:r w:rsidR="001F64CB" w:rsidRPr="00C95307">
        <w:t xml:space="preserve">, AusAID support </w:t>
      </w:r>
      <w:r w:rsidR="007D272F" w:rsidRPr="00C95307">
        <w:t xml:space="preserve">for inclusive education </w:t>
      </w:r>
      <w:r w:rsidR="001F64CB" w:rsidRPr="00C95307">
        <w:t>will be</w:t>
      </w:r>
      <w:r w:rsidR="001F64CB" w:rsidRPr="00C95307">
        <w:rPr>
          <w:rFonts w:cs="Arial"/>
          <w:szCs w:val="20"/>
        </w:rPr>
        <w:t xml:space="preserve"> iterative and phased, commencing with </w:t>
      </w:r>
      <w:r w:rsidR="00C4150E" w:rsidRPr="00C95307">
        <w:rPr>
          <w:rFonts w:cs="Arial"/>
          <w:szCs w:val="20"/>
        </w:rPr>
        <w:t xml:space="preserve">the initial investment being </w:t>
      </w:r>
      <w:r w:rsidR="001F64CB" w:rsidRPr="00C95307">
        <w:t xml:space="preserve">a scoping study to provide baseline </w:t>
      </w:r>
      <w:r w:rsidR="00C15FF4" w:rsidRPr="00C95307">
        <w:t xml:space="preserve">data </w:t>
      </w:r>
      <w:r w:rsidR="001F64CB" w:rsidRPr="00C95307">
        <w:t xml:space="preserve">for </w:t>
      </w:r>
      <w:r w:rsidR="00C15FF4" w:rsidRPr="00C95307">
        <w:t xml:space="preserve">the planning of provision of inclusive education over </w:t>
      </w:r>
      <w:r w:rsidR="001F64CB" w:rsidRPr="00C95307">
        <w:rPr>
          <w:rFonts w:cs="Arial"/>
          <w:szCs w:val="20"/>
        </w:rPr>
        <w:t>the medium-longer term</w:t>
      </w:r>
      <w:r w:rsidR="001F64CB" w:rsidRPr="00C95307">
        <w:t>.</w:t>
      </w:r>
      <w:r w:rsidR="007D272F" w:rsidRPr="00C95307">
        <w:t xml:space="preserve"> </w:t>
      </w:r>
      <w:r w:rsidR="00465654" w:rsidRPr="00C95307">
        <w:t xml:space="preserve"> The DPs will work with MET to include consideration of the needs of students </w:t>
      </w:r>
      <w:r w:rsidR="007D6CAE" w:rsidRPr="00C95307">
        <w:t xml:space="preserve">with disability, not  just as a stand-alone activity, but </w:t>
      </w:r>
      <w:r w:rsidR="00465654" w:rsidRPr="00C95307">
        <w:t xml:space="preserve">within </w:t>
      </w:r>
      <w:r w:rsidR="00004394">
        <w:t>core</w:t>
      </w:r>
      <w:r w:rsidR="00465654" w:rsidRPr="00C95307">
        <w:t xml:space="preserve"> TESP2 activities including in </w:t>
      </w:r>
      <w:r w:rsidR="007D6CAE" w:rsidRPr="00C95307">
        <w:t xml:space="preserve">curriculum development and </w:t>
      </w:r>
      <w:r w:rsidR="00465654" w:rsidRPr="00C95307">
        <w:t>teacher training.</w:t>
      </w:r>
    </w:p>
    <w:p w:rsidR="00465654" w:rsidRPr="00C95307" w:rsidRDefault="00465654" w:rsidP="00724AA1">
      <w:pPr>
        <w:jc w:val="both"/>
      </w:pPr>
    </w:p>
    <w:p w:rsidR="00F90267" w:rsidRPr="00C95307" w:rsidRDefault="00291567" w:rsidP="00724AA1">
      <w:pPr>
        <w:jc w:val="both"/>
        <w:rPr>
          <w:rFonts w:cs="Arial"/>
          <w:szCs w:val="20"/>
        </w:rPr>
      </w:pPr>
      <w:r w:rsidRPr="00C95307">
        <w:rPr>
          <w:rFonts w:cs="Arial"/>
          <w:szCs w:val="20"/>
        </w:rPr>
        <w:t xml:space="preserve">The </w:t>
      </w:r>
      <w:r w:rsidR="00EB147C" w:rsidRPr="00C95307">
        <w:rPr>
          <w:rFonts w:cs="Arial"/>
          <w:szCs w:val="20"/>
        </w:rPr>
        <w:t xml:space="preserve">proposed </w:t>
      </w:r>
      <w:r w:rsidRPr="00C95307">
        <w:rPr>
          <w:rFonts w:cs="Arial"/>
          <w:szCs w:val="20"/>
        </w:rPr>
        <w:t>investment</w:t>
      </w:r>
      <w:r w:rsidR="001F0097" w:rsidRPr="00C95307">
        <w:rPr>
          <w:rFonts w:cs="Arial"/>
          <w:szCs w:val="20"/>
        </w:rPr>
        <w:t xml:space="preserve"> </w:t>
      </w:r>
      <w:r w:rsidRPr="00C95307">
        <w:rPr>
          <w:rFonts w:cs="Arial"/>
          <w:szCs w:val="20"/>
        </w:rPr>
        <w:t>include</w:t>
      </w:r>
      <w:r w:rsidR="00EB147C" w:rsidRPr="00C95307">
        <w:rPr>
          <w:rFonts w:cs="Arial"/>
          <w:szCs w:val="20"/>
        </w:rPr>
        <w:t>s</w:t>
      </w:r>
      <w:r w:rsidRPr="00C95307">
        <w:rPr>
          <w:rFonts w:cs="Arial"/>
          <w:szCs w:val="20"/>
        </w:rPr>
        <w:t xml:space="preserve"> activities for </w:t>
      </w:r>
      <w:r w:rsidR="00DB0F87" w:rsidRPr="00C95307">
        <w:rPr>
          <w:rFonts w:cs="Arial"/>
          <w:szCs w:val="20"/>
        </w:rPr>
        <w:t xml:space="preserve">knowledge development and dissemination. </w:t>
      </w:r>
      <w:r w:rsidR="00EB147C" w:rsidRPr="00C95307">
        <w:rPr>
          <w:rFonts w:cs="Arial"/>
          <w:szCs w:val="20"/>
        </w:rPr>
        <w:t>E</w:t>
      </w:r>
      <w:r w:rsidR="00DB0F87" w:rsidRPr="00C95307">
        <w:rPr>
          <w:rFonts w:cs="Arial"/>
          <w:szCs w:val="20"/>
        </w:rPr>
        <w:t xml:space="preserve">mphasis </w:t>
      </w:r>
      <w:r w:rsidR="00EB147C" w:rsidRPr="00C95307">
        <w:rPr>
          <w:rFonts w:cs="Arial"/>
          <w:szCs w:val="20"/>
        </w:rPr>
        <w:t xml:space="preserve">will be placed </w:t>
      </w:r>
      <w:r w:rsidR="00DB0F87" w:rsidRPr="00C95307">
        <w:rPr>
          <w:rFonts w:cs="Arial"/>
          <w:szCs w:val="20"/>
        </w:rPr>
        <w:t xml:space="preserve">on data </w:t>
      </w:r>
      <w:r w:rsidR="00826A3E" w:rsidRPr="00C95307">
        <w:rPr>
          <w:rFonts w:cs="Arial"/>
          <w:szCs w:val="20"/>
        </w:rPr>
        <w:t>collection and analysis</w:t>
      </w:r>
      <w:r w:rsidR="00BF34BA" w:rsidRPr="00C95307">
        <w:rPr>
          <w:rFonts w:cs="Arial"/>
          <w:szCs w:val="20"/>
        </w:rPr>
        <w:t xml:space="preserve"> </w:t>
      </w:r>
      <w:r w:rsidR="00826A3E" w:rsidRPr="00C95307">
        <w:rPr>
          <w:rFonts w:cs="Arial"/>
          <w:szCs w:val="20"/>
        </w:rPr>
        <w:t xml:space="preserve">and </w:t>
      </w:r>
      <w:r w:rsidR="00BF34BA" w:rsidRPr="00C95307">
        <w:rPr>
          <w:rFonts w:cs="Arial"/>
          <w:szCs w:val="20"/>
        </w:rPr>
        <w:t>monitoring and evaluation to provide reliable reporting and an evidence based platform for policy development, forward planning and decision making.</w:t>
      </w:r>
      <w:r w:rsidR="00826A3E" w:rsidRPr="00C95307">
        <w:rPr>
          <w:rFonts w:cs="Arial"/>
          <w:szCs w:val="20"/>
        </w:rPr>
        <w:t xml:space="preserve"> </w:t>
      </w:r>
      <w:r w:rsidR="007D272F" w:rsidRPr="00C95307">
        <w:t>T</w:t>
      </w:r>
      <w:r w:rsidR="00F90267" w:rsidRPr="00C95307">
        <w:rPr>
          <w:rFonts w:cs="Arial"/>
          <w:szCs w:val="18"/>
        </w:rPr>
        <w:t xml:space="preserve">here will </w:t>
      </w:r>
      <w:r w:rsidR="007D272F" w:rsidRPr="00C95307">
        <w:rPr>
          <w:rFonts w:cs="Arial"/>
          <w:szCs w:val="18"/>
        </w:rPr>
        <w:t xml:space="preserve">also </w:t>
      </w:r>
      <w:r w:rsidR="00F90267" w:rsidRPr="00C95307">
        <w:rPr>
          <w:rFonts w:cs="Arial"/>
          <w:szCs w:val="18"/>
        </w:rPr>
        <w:t xml:space="preserve">be a need for </w:t>
      </w:r>
      <w:r w:rsidR="00EB147C" w:rsidRPr="00C95307">
        <w:rPr>
          <w:rFonts w:cs="Arial"/>
          <w:szCs w:val="18"/>
        </w:rPr>
        <w:t xml:space="preserve">DPs </w:t>
      </w:r>
      <w:r w:rsidR="00F90267" w:rsidRPr="00C95307">
        <w:rPr>
          <w:rFonts w:cs="Arial"/>
          <w:szCs w:val="18"/>
        </w:rPr>
        <w:t>to</w:t>
      </w:r>
      <w:r w:rsidR="003C01D2" w:rsidRPr="00C95307">
        <w:rPr>
          <w:rFonts w:cs="Arial"/>
          <w:szCs w:val="18"/>
        </w:rPr>
        <w:t xml:space="preserve"> </w:t>
      </w:r>
      <w:r w:rsidR="009E0B82" w:rsidRPr="00C95307">
        <w:rPr>
          <w:rFonts w:cs="Arial"/>
          <w:szCs w:val="18"/>
        </w:rPr>
        <w:t xml:space="preserve">monitor </w:t>
      </w:r>
      <w:r w:rsidR="006B4FA0" w:rsidRPr="00C95307">
        <w:rPr>
          <w:rFonts w:cs="Arial"/>
          <w:szCs w:val="18"/>
        </w:rPr>
        <w:t xml:space="preserve">gender equality in TESP2 </w:t>
      </w:r>
      <w:r w:rsidR="009E0B82" w:rsidRPr="00C95307">
        <w:rPr>
          <w:rFonts w:cs="Arial"/>
          <w:szCs w:val="18"/>
        </w:rPr>
        <w:t xml:space="preserve">activities </w:t>
      </w:r>
      <w:r w:rsidR="006B4FA0" w:rsidRPr="00C95307">
        <w:rPr>
          <w:rFonts w:cs="Arial"/>
          <w:szCs w:val="18"/>
        </w:rPr>
        <w:t xml:space="preserve">(including teacher training and classroom </w:t>
      </w:r>
      <w:r w:rsidR="00465654" w:rsidRPr="00C95307">
        <w:rPr>
          <w:rFonts w:cs="Arial"/>
          <w:szCs w:val="18"/>
        </w:rPr>
        <w:t>initiatives</w:t>
      </w:r>
      <w:r w:rsidR="006B4FA0" w:rsidRPr="00C95307">
        <w:rPr>
          <w:rFonts w:cs="Arial"/>
          <w:szCs w:val="18"/>
        </w:rPr>
        <w:t xml:space="preserve">) </w:t>
      </w:r>
      <w:r w:rsidR="009E0B82" w:rsidRPr="00C95307">
        <w:rPr>
          <w:rFonts w:cs="Arial"/>
          <w:szCs w:val="18"/>
        </w:rPr>
        <w:t>and results</w:t>
      </w:r>
      <w:r w:rsidR="00BF34BA" w:rsidRPr="00C95307">
        <w:rPr>
          <w:rFonts w:cs="Arial"/>
          <w:szCs w:val="18"/>
        </w:rPr>
        <w:t xml:space="preserve">. </w:t>
      </w:r>
      <w:r w:rsidR="00F90267" w:rsidRPr="00C95307">
        <w:rPr>
          <w:rFonts w:cs="Arial"/>
          <w:szCs w:val="18"/>
        </w:rPr>
        <w:t>Gender issues will be particularly important in considering differential literacy and numeracy outcomes between boys and girls and i</w:t>
      </w:r>
      <w:r w:rsidR="00826A3E" w:rsidRPr="00C95307">
        <w:rPr>
          <w:rFonts w:cs="Arial"/>
          <w:szCs w:val="18"/>
        </w:rPr>
        <w:t xml:space="preserve">n the proposed research on </w:t>
      </w:r>
      <w:r w:rsidR="00826A3E" w:rsidRPr="00C95307">
        <w:rPr>
          <w:rFonts w:cs="Arial"/>
          <w:szCs w:val="20"/>
        </w:rPr>
        <w:t xml:space="preserve">access, classroom interactions and </w:t>
      </w:r>
      <w:r w:rsidR="00826A3E" w:rsidRPr="00C95307">
        <w:rPr>
          <w:rFonts w:cs="Arial"/>
        </w:rPr>
        <w:t>the various inputs on learning</w:t>
      </w:r>
      <w:r w:rsidR="00826A3E" w:rsidRPr="00C95307">
        <w:rPr>
          <w:rFonts w:cs="Arial"/>
          <w:szCs w:val="20"/>
        </w:rPr>
        <w:t xml:space="preserve"> (as in Annex F).</w:t>
      </w:r>
      <w:r w:rsidR="006B4FA0" w:rsidRPr="00C95307">
        <w:rPr>
          <w:rFonts w:cs="Arial"/>
          <w:szCs w:val="20"/>
        </w:rPr>
        <w:t xml:space="preserve"> </w:t>
      </w:r>
    </w:p>
    <w:p w:rsidR="006D49BE" w:rsidRPr="00C95307" w:rsidRDefault="006D49BE" w:rsidP="00724AA1">
      <w:pPr>
        <w:jc w:val="both"/>
      </w:pPr>
    </w:p>
    <w:p w:rsidR="00DB0F87" w:rsidRPr="00C95307" w:rsidRDefault="00DB0F87" w:rsidP="00724AA1">
      <w:pPr>
        <w:jc w:val="both"/>
      </w:pPr>
      <w:r w:rsidRPr="00C95307">
        <w:t xml:space="preserve">It is noted that this </w:t>
      </w:r>
      <w:r w:rsidR="00BF34BA" w:rsidRPr="00C95307">
        <w:t>investment</w:t>
      </w:r>
      <w:r w:rsidRPr="00C95307">
        <w:t xml:space="preserve"> does not extend to the TVET sector, or TVET in schools, which will be addressed through a separate program within the Ministry.</w:t>
      </w:r>
    </w:p>
    <w:p w:rsidR="00B85459" w:rsidRPr="00C95307" w:rsidRDefault="00B85459" w:rsidP="00724AA1">
      <w:pPr>
        <w:jc w:val="both"/>
      </w:pPr>
    </w:p>
    <w:p w:rsidR="00DB0F87" w:rsidRPr="00C95307" w:rsidRDefault="00DB0F87" w:rsidP="00873468">
      <w:pPr>
        <w:outlineLvl w:val="0"/>
        <w:rPr>
          <w:rStyle w:val="Heading2Char"/>
          <w:rFonts w:eastAsia="Calibri"/>
          <w:b w:val="0"/>
          <w:sz w:val="22"/>
          <w:szCs w:val="20"/>
          <w:lang w:val="en-AU"/>
        </w:rPr>
      </w:pPr>
      <w:r w:rsidRPr="00C95307">
        <w:rPr>
          <w:rStyle w:val="Heading2Char"/>
          <w:rFonts w:eastAsia="Calibri"/>
          <w:sz w:val="22"/>
          <w:szCs w:val="20"/>
          <w:lang w:val="en-AU"/>
        </w:rPr>
        <w:t xml:space="preserve">Implementation arrangements </w:t>
      </w:r>
    </w:p>
    <w:p w:rsidR="00205DAC" w:rsidRPr="00C95307" w:rsidRDefault="00205DAC" w:rsidP="00724AA1">
      <w:pPr>
        <w:jc w:val="both"/>
        <w:rPr>
          <w:rFonts w:cs="Arial"/>
        </w:rPr>
      </w:pPr>
      <w:r w:rsidRPr="00C95307">
        <w:rPr>
          <w:rFonts w:cs="Arial"/>
        </w:rPr>
        <w:t xml:space="preserve">TESP2 activities will be managed by the </w:t>
      </w:r>
      <w:r w:rsidR="000B2F61" w:rsidRPr="00C95307">
        <w:rPr>
          <w:rFonts w:cs="Arial"/>
        </w:rPr>
        <w:t>MET</w:t>
      </w:r>
      <w:r w:rsidRPr="00C95307">
        <w:rPr>
          <w:rFonts w:cs="Arial"/>
        </w:rPr>
        <w:t xml:space="preserve">, under the direct supervision of its Chief Executive Officer and using </w:t>
      </w:r>
      <w:r w:rsidR="00C53704" w:rsidRPr="00C95307">
        <w:rPr>
          <w:rFonts w:cs="Arial"/>
          <w:szCs w:val="18"/>
        </w:rPr>
        <w:t>GoT</w:t>
      </w:r>
      <w:r w:rsidRPr="00C95307">
        <w:rPr>
          <w:rFonts w:cs="Arial"/>
          <w:szCs w:val="18"/>
        </w:rPr>
        <w:t xml:space="preserve"> systems</w:t>
      </w:r>
      <w:r w:rsidR="008965AC" w:rsidRPr="00C95307">
        <w:rPr>
          <w:rFonts w:cs="Arial"/>
          <w:szCs w:val="18"/>
        </w:rPr>
        <w:t xml:space="preserve">. </w:t>
      </w:r>
      <w:r w:rsidRPr="00C95307">
        <w:rPr>
          <w:szCs w:val="20"/>
        </w:rPr>
        <w:t>The aid modality proposed for TE</w:t>
      </w:r>
      <w:r w:rsidR="00146C62" w:rsidRPr="00C95307">
        <w:rPr>
          <w:szCs w:val="20"/>
        </w:rPr>
        <w:t>SP2 is earmarked budget support</w:t>
      </w:r>
      <w:r w:rsidRPr="00C95307">
        <w:rPr>
          <w:szCs w:val="20"/>
        </w:rPr>
        <w:t xml:space="preserve">. Lessons learnt from the modified Sector-Wide Approach </w:t>
      </w:r>
      <w:r w:rsidR="003857F7" w:rsidRPr="00C95307">
        <w:rPr>
          <w:szCs w:val="20"/>
        </w:rPr>
        <w:t>(</w:t>
      </w:r>
      <w:r w:rsidR="000B2F61" w:rsidRPr="00C95307">
        <w:rPr>
          <w:szCs w:val="20"/>
        </w:rPr>
        <w:t>SWAp</w:t>
      </w:r>
      <w:r w:rsidR="003857F7" w:rsidRPr="00C95307">
        <w:rPr>
          <w:szCs w:val="20"/>
        </w:rPr>
        <w:t xml:space="preserve">) used in TESP1 identified </w:t>
      </w:r>
      <w:r w:rsidRPr="00C95307">
        <w:rPr>
          <w:szCs w:val="20"/>
        </w:rPr>
        <w:t xml:space="preserve">some </w:t>
      </w:r>
      <w:r w:rsidR="000F72F1" w:rsidRPr="00C95307">
        <w:rPr>
          <w:szCs w:val="20"/>
        </w:rPr>
        <w:t xml:space="preserve">current </w:t>
      </w:r>
      <w:r w:rsidRPr="00C95307">
        <w:rPr>
          <w:szCs w:val="20"/>
        </w:rPr>
        <w:t xml:space="preserve">limitations in MET’s capacity to coordinate development assistance through full budget support with a focus on managing for results. Use of </w:t>
      </w:r>
      <w:r w:rsidR="003857F7" w:rsidRPr="00C95307">
        <w:rPr>
          <w:szCs w:val="20"/>
        </w:rPr>
        <w:t>GoT</w:t>
      </w:r>
      <w:r w:rsidRPr="00C95307">
        <w:rPr>
          <w:szCs w:val="20"/>
        </w:rPr>
        <w:t xml:space="preserve"> systems will nevertheless promote local ownership </w:t>
      </w:r>
      <w:r w:rsidR="00C53704" w:rsidRPr="00C95307">
        <w:rPr>
          <w:szCs w:val="20"/>
        </w:rPr>
        <w:t xml:space="preserve">and management </w:t>
      </w:r>
      <w:r w:rsidRPr="00C95307">
        <w:rPr>
          <w:szCs w:val="20"/>
        </w:rPr>
        <w:t xml:space="preserve">of the </w:t>
      </w:r>
      <w:r w:rsidR="00665177" w:rsidRPr="00C95307">
        <w:rPr>
          <w:szCs w:val="20"/>
        </w:rPr>
        <w:t>program</w:t>
      </w:r>
      <w:r w:rsidRPr="00C95307">
        <w:rPr>
          <w:szCs w:val="20"/>
        </w:rPr>
        <w:t xml:space="preserve">. </w:t>
      </w:r>
    </w:p>
    <w:p w:rsidR="003D1F5F" w:rsidRPr="00C95307" w:rsidRDefault="003D1F5F" w:rsidP="00724AA1">
      <w:pPr>
        <w:jc w:val="both"/>
        <w:rPr>
          <w:szCs w:val="20"/>
        </w:rPr>
      </w:pPr>
    </w:p>
    <w:p w:rsidR="00205DAC" w:rsidRPr="00C95307" w:rsidRDefault="00205DAC" w:rsidP="00724AA1">
      <w:pPr>
        <w:jc w:val="both"/>
        <w:rPr>
          <w:rFonts w:cs="Arial"/>
          <w:lang w:val="en-GB"/>
        </w:rPr>
      </w:pPr>
      <w:r w:rsidRPr="00C95307">
        <w:rPr>
          <w:szCs w:val="20"/>
        </w:rPr>
        <w:t xml:space="preserve">Different </w:t>
      </w:r>
      <w:r w:rsidR="0029193A" w:rsidRPr="00C95307">
        <w:rPr>
          <w:szCs w:val="20"/>
        </w:rPr>
        <w:t xml:space="preserve">AusAID and MFAT </w:t>
      </w:r>
      <w:r w:rsidRPr="00C95307">
        <w:rPr>
          <w:szCs w:val="20"/>
        </w:rPr>
        <w:t xml:space="preserve">funding mechanisms and </w:t>
      </w:r>
      <w:r w:rsidR="0029193A" w:rsidRPr="00C95307">
        <w:rPr>
          <w:szCs w:val="20"/>
        </w:rPr>
        <w:t>approaches</w:t>
      </w:r>
      <w:r w:rsidRPr="00C95307">
        <w:rPr>
          <w:szCs w:val="20"/>
        </w:rPr>
        <w:t xml:space="preserve"> </w:t>
      </w:r>
      <w:r w:rsidR="0029193A" w:rsidRPr="00C95307">
        <w:rPr>
          <w:szCs w:val="20"/>
        </w:rPr>
        <w:t>(as experienced in the Tonga TVET Support Program)</w:t>
      </w:r>
      <w:r w:rsidRPr="00C95307">
        <w:rPr>
          <w:szCs w:val="20"/>
        </w:rPr>
        <w:t xml:space="preserve"> make a full joint funding arrangement impractical</w:t>
      </w:r>
      <w:r w:rsidR="00034596" w:rsidRPr="00C95307">
        <w:rPr>
          <w:szCs w:val="20"/>
        </w:rPr>
        <w:t xml:space="preserve"> in this context</w:t>
      </w:r>
      <w:r w:rsidRPr="00C95307">
        <w:rPr>
          <w:szCs w:val="20"/>
        </w:rPr>
        <w:t xml:space="preserve">. </w:t>
      </w:r>
      <w:r w:rsidR="0029193A" w:rsidRPr="00C95307">
        <w:t>AusAID and MFAT will therefore support TESP2 through a funding</w:t>
      </w:r>
      <w:r w:rsidR="00724AA1" w:rsidRPr="00C95307">
        <w:t xml:space="preserve"> mechanism</w:t>
      </w:r>
      <w:r w:rsidR="0029193A" w:rsidRPr="00C95307">
        <w:t xml:space="preserve"> whereby </w:t>
      </w:r>
      <w:r w:rsidR="00724AA1" w:rsidRPr="00C95307">
        <w:t>each DP will deposit its</w:t>
      </w:r>
      <w:r w:rsidR="00146C62" w:rsidRPr="00C95307">
        <w:t xml:space="preserve"> </w:t>
      </w:r>
      <w:r w:rsidR="0029193A" w:rsidRPr="00C95307">
        <w:t xml:space="preserve">funding </w:t>
      </w:r>
      <w:r w:rsidR="0029193A" w:rsidRPr="00C95307">
        <w:rPr>
          <w:rFonts w:cs="Arial"/>
        </w:rPr>
        <w:t>into the GoT’s General Development Account for draw-down by MET for use on agreed TESP</w:t>
      </w:r>
      <w:r w:rsidR="005E3DEC" w:rsidRPr="00C95307">
        <w:rPr>
          <w:rFonts w:cs="Arial"/>
        </w:rPr>
        <w:t>2</w:t>
      </w:r>
      <w:r w:rsidR="0029193A" w:rsidRPr="00C95307">
        <w:rPr>
          <w:rFonts w:cs="Arial"/>
        </w:rPr>
        <w:t xml:space="preserve"> activities.</w:t>
      </w:r>
      <w:r w:rsidR="0029193A" w:rsidRPr="00C95307">
        <w:t xml:space="preserve"> Australia and New Zealand will each have a separate funding arrangement with the Government of Tonga. </w:t>
      </w:r>
      <w:r w:rsidR="0029193A" w:rsidRPr="00C95307">
        <w:rPr>
          <w:rFonts w:cs="Arial"/>
          <w:lang w:val="en-GB"/>
        </w:rPr>
        <w:t xml:space="preserve">AusAID’s funding will be subject to a </w:t>
      </w:r>
      <w:r w:rsidR="0029193A" w:rsidRPr="00C95307">
        <w:rPr>
          <w:rFonts w:cs="Arial"/>
          <w:i/>
          <w:lang w:val="en-GB"/>
        </w:rPr>
        <w:t xml:space="preserve">Direct </w:t>
      </w:r>
      <w:r w:rsidR="005E3DEC" w:rsidRPr="00C95307">
        <w:rPr>
          <w:rFonts w:cs="Arial"/>
          <w:i/>
          <w:lang w:val="en-GB"/>
        </w:rPr>
        <w:t xml:space="preserve">Partner Government </w:t>
      </w:r>
      <w:r w:rsidR="0029193A" w:rsidRPr="00C95307">
        <w:rPr>
          <w:rFonts w:cs="Arial"/>
          <w:i/>
          <w:lang w:val="en-GB"/>
        </w:rPr>
        <w:t>Funding Agreement</w:t>
      </w:r>
      <w:r w:rsidR="0029193A" w:rsidRPr="00C95307">
        <w:rPr>
          <w:rFonts w:cs="Arial"/>
          <w:lang w:val="en-GB"/>
        </w:rPr>
        <w:t xml:space="preserve"> (see draft in Annex </w:t>
      </w:r>
      <w:r w:rsidR="00FE0EAA" w:rsidRPr="00C95307">
        <w:rPr>
          <w:rFonts w:cs="Arial"/>
          <w:lang w:val="en-GB"/>
        </w:rPr>
        <w:t>K</w:t>
      </w:r>
      <w:r w:rsidR="0029193A" w:rsidRPr="00C95307">
        <w:rPr>
          <w:rFonts w:cs="Arial"/>
          <w:lang w:val="en-GB"/>
        </w:rPr>
        <w:t>)</w:t>
      </w:r>
      <w:r w:rsidR="005E3DEC" w:rsidRPr="00C95307">
        <w:rPr>
          <w:rFonts w:cs="Arial"/>
          <w:lang w:val="en-GB"/>
        </w:rPr>
        <w:t>, whilst</w:t>
      </w:r>
      <w:r w:rsidR="0029193A" w:rsidRPr="00C95307">
        <w:rPr>
          <w:rFonts w:cs="Arial"/>
          <w:lang w:val="en-GB"/>
        </w:rPr>
        <w:t xml:space="preserve"> New Zealand will enter into a similar but separate agreement with the GoT</w:t>
      </w:r>
      <w:r w:rsidR="008965AC" w:rsidRPr="00C95307">
        <w:rPr>
          <w:rFonts w:cs="Arial"/>
          <w:lang w:val="en-GB"/>
        </w:rPr>
        <w:t xml:space="preserve">. </w:t>
      </w:r>
    </w:p>
    <w:p w:rsidR="00205DAC" w:rsidRPr="00C95307" w:rsidRDefault="00205DAC" w:rsidP="00724AA1">
      <w:pPr>
        <w:jc w:val="both"/>
      </w:pPr>
    </w:p>
    <w:p w:rsidR="00DB0F87" w:rsidRPr="00C95307" w:rsidRDefault="00DB0F87" w:rsidP="00B85459">
      <w:pPr>
        <w:spacing w:after="120"/>
        <w:jc w:val="both"/>
      </w:pPr>
      <w:r w:rsidRPr="00C95307">
        <w:rPr>
          <w:rFonts w:cs="Arial"/>
          <w:lang w:val="en-GB"/>
        </w:rPr>
        <w:t xml:space="preserve">A </w:t>
      </w:r>
      <w:r w:rsidRPr="00C95307">
        <w:rPr>
          <w:rFonts w:cs="Arial"/>
          <w:i/>
          <w:lang w:val="en-GB"/>
        </w:rPr>
        <w:t>Statement of Partnership Principles</w:t>
      </w:r>
      <w:r w:rsidRPr="00C95307">
        <w:rPr>
          <w:rFonts w:cs="Arial"/>
          <w:lang w:val="en-GB"/>
        </w:rPr>
        <w:t xml:space="preserve"> (see draft in Annex </w:t>
      </w:r>
      <w:r w:rsidR="00FE0EAA" w:rsidRPr="00C95307">
        <w:rPr>
          <w:rFonts w:cs="Arial"/>
          <w:lang w:val="en-GB"/>
        </w:rPr>
        <w:t>L</w:t>
      </w:r>
      <w:r w:rsidRPr="00C95307">
        <w:rPr>
          <w:rFonts w:cs="Arial"/>
          <w:lang w:val="en-GB"/>
        </w:rPr>
        <w:t xml:space="preserve">) between GoT, AusAID and MFAT will also </w:t>
      </w:r>
      <w:r w:rsidR="00EB3BE5" w:rsidRPr="00C95307">
        <w:rPr>
          <w:rFonts w:cs="Arial"/>
          <w:lang w:val="en-GB"/>
        </w:rPr>
        <w:t>set</w:t>
      </w:r>
      <w:r w:rsidRPr="00C95307">
        <w:rPr>
          <w:rFonts w:cs="Arial"/>
          <w:lang w:val="en-GB"/>
        </w:rPr>
        <w:t xml:space="preserve"> out the </w:t>
      </w:r>
      <w:r w:rsidRPr="00C95307">
        <w:rPr>
          <w:rFonts w:cs="Arial"/>
        </w:rPr>
        <w:t xml:space="preserve">overarching principles of engagement and </w:t>
      </w:r>
      <w:r w:rsidR="00665177" w:rsidRPr="00C95307">
        <w:rPr>
          <w:rFonts w:cs="Arial"/>
        </w:rPr>
        <w:t>program</w:t>
      </w:r>
      <w:r w:rsidRPr="00C95307">
        <w:rPr>
          <w:rFonts w:cs="Arial"/>
        </w:rPr>
        <w:t xml:space="preserve"> implementation between the three parties (based on the Paris Principles)</w:t>
      </w:r>
      <w:r w:rsidR="008965AC" w:rsidRPr="00C95307">
        <w:rPr>
          <w:rFonts w:cs="Arial"/>
        </w:rPr>
        <w:t xml:space="preserve">. </w:t>
      </w:r>
      <w:r w:rsidR="00EB3BE5" w:rsidRPr="00C95307">
        <w:t>DP harmonisation will be realised through</w:t>
      </w:r>
      <w:r w:rsidR="000B2F61" w:rsidRPr="00C95307">
        <w:t xml:space="preserve"> a</w:t>
      </w:r>
      <w:r w:rsidR="00EB3BE5" w:rsidRPr="00C95307">
        <w:t xml:space="preserve"> joint program goal and objectives; a common </w:t>
      </w:r>
      <w:r w:rsidR="00AB2C75">
        <w:t>Results Framework</w:t>
      </w:r>
      <w:r w:rsidR="00EB3BE5" w:rsidRPr="00C95307">
        <w:t xml:space="preserve">; joint independent annual </w:t>
      </w:r>
      <w:r w:rsidR="00E671FB" w:rsidRPr="00C95307">
        <w:t>aud</w:t>
      </w:r>
      <w:r w:rsidR="00EB3BE5" w:rsidRPr="00C95307">
        <w:t>its; joint Independent Progress Review</w:t>
      </w:r>
      <w:r w:rsidR="000B2F61" w:rsidRPr="00C95307">
        <w:t>s</w:t>
      </w:r>
      <w:r w:rsidR="00EB3BE5" w:rsidRPr="00C95307">
        <w:t>; and common reporting and acquittal templates and timetable</w:t>
      </w:r>
      <w:r w:rsidR="000B2F61" w:rsidRPr="00C95307">
        <w:t>s</w:t>
      </w:r>
      <w:r w:rsidR="00EB3BE5" w:rsidRPr="00C95307">
        <w:t xml:space="preserve">. </w:t>
      </w:r>
      <w:r w:rsidRPr="00C95307">
        <w:rPr>
          <w:rFonts w:cs="Arial"/>
        </w:rPr>
        <w:t xml:space="preserve">AusAID’s </w:t>
      </w:r>
      <w:r w:rsidR="00EB3BE5" w:rsidRPr="00C95307">
        <w:rPr>
          <w:rFonts w:cs="Arial"/>
        </w:rPr>
        <w:t xml:space="preserve">input into, and </w:t>
      </w:r>
      <w:r w:rsidRPr="00C95307">
        <w:rPr>
          <w:rFonts w:cs="Arial"/>
        </w:rPr>
        <w:t xml:space="preserve">monitoring </w:t>
      </w:r>
      <w:r w:rsidR="00EB3BE5" w:rsidRPr="00C95307">
        <w:rPr>
          <w:rFonts w:cs="Arial"/>
        </w:rPr>
        <w:t xml:space="preserve">of, program implementation, results and outcomes will </w:t>
      </w:r>
      <w:r w:rsidR="004609B9" w:rsidRPr="00C95307">
        <w:rPr>
          <w:rFonts w:cs="Arial"/>
        </w:rPr>
        <w:t>include:</w:t>
      </w:r>
    </w:p>
    <w:p w:rsidR="00DB0F87" w:rsidRPr="00C95307" w:rsidRDefault="007B7E16" w:rsidP="00724AA1">
      <w:pPr>
        <w:pStyle w:val="ListBullet"/>
      </w:pPr>
      <w:r w:rsidRPr="00C95307">
        <w:t>m</w:t>
      </w:r>
      <w:r w:rsidR="00DB0F87" w:rsidRPr="00C95307">
        <w:t>embership of a</w:t>
      </w:r>
      <w:r w:rsidR="00AF0049" w:rsidRPr="00C95307">
        <w:t xml:space="preserve"> </w:t>
      </w:r>
      <w:r w:rsidR="00665177" w:rsidRPr="00C95307">
        <w:t>Program</w:t>
      </w:r>
      <w:r w:rsidR="00AF0049" w:rsidRPr="00C95307">
        <w:t xml:space="preserve"> Oversight Group</w:t>
      </w:r>
      <w:r w:rsidR="00DB0F87" w:rsidRPr="00C95307">
        <w:t xml:space="preserve">. The Group, </w:t>
      </w:r>
      <w:r w:rsidR="00AF0049" w:rsidRPr="00C95307">
        <w:t>chaired by MET</w:t>
      </w:r>
      <w:r w:rsidR="000B2F61" w:rsidRPr="00C95307">
        <w:t>,</w:t>
      </w:r>
      <w:r w:rsidR="00AF0049" w:rsidRPr="00C95307">
        <w:t xml:space="preserve"> will meet twice a year</w:t>
      </w:r>
      <w:r w:rsidR="00DB0F87" w:rsidRPr="00C95307">
        <w:t xml:space="preserve"> </w:t>
      </w:r>
      <w:r w:rsidR="00AF0049" w:rsidRPr="00C95307">
        <w:t>to</w:t>
      </w:r>
      <w:r w:rsidR="00DB0F87" w:rsidRPr="00C95307">
        <w:t xml:space="preserve"> enable the </w:t>
      </w:r>
      <w:r w:rsidR="008965AC" w:rsidRPr="00C95307">
        <w:t>partners</w:t>
      </w:r>
      <w:r w:rsidR="00DB0F87" w:rsidRPr="00C95307">
        <w:t xml:space="preserve"> to </w:t>
      </w:r>
      <w:r w:rsidR="00DB0F87" w:rsidRPr="00C95307">
        <w:rPr>
          <w:lang w:val="en-NZ"/>
        </w:rPr>
        <w:t xml:space="preserve">have high level dialogue around progress against agreed objectives, </w:t>
      </w:r>
      <w:r w:rsidR="00EB3BE5" w:rsidRPr="00C95307">
        <w:rPr>
          <w:lang w:val="en-NZ"/>
        </w:rPr>
        <w:t xml:space="preserve">program </w:t>
      </w:r>
      <w:r w:rsidR="00DB0F87" w:rsidRPr="00C95307">
        <w:rPr>
          <w:lang w:val="en-NZ"/>
        </w:rPr>
        <w:t>commitments/accountabilities, and agree necessary action</w:t>
      </w:r>
      <w:r w:rsidR="00DB0F87" w:rsidRPr="00C95307">
        <w:t xml:space="preserve"> as appropriate</w:t>
      </w:r>
    </w:p>
    <w:p w:rsidR="00DB0F87" w:rsidRPr="00C95307" w:rsidRDefault="00EB3BE5" w:rsidP="00724AA1">
      <w:pPr>
        <w:pStyle w:val="ListBullet"/>
      </w:pPr>
      <w:r w:rsidRPr="00C95307">
        <w:t xml:space="preserve">MET six monthly progress reports and </w:t>
      </w:r>
      <w:r w:rsidR="00DB0F87" w:rsidRPr="00C95307">
        <w:t>Annual Joint Review/Planning</w:t>
      </w:r>
    </w:p>
    <w:p w:rsidR="00DB0F87" w:rsidRPr="00C95307" w:rsidRDefault="007B7E16" w:rsidP="00724AA1">
      <w:pPr>
        <w:pStyle w:val="ListBullet"/>
      </w:pPr>
      <w:r w:rsidRPr="00C95307">
        <w:rPr>
          <w:rFonts w:cs="Arial"/>
          <w:szCs w:val="18"/>
        </w:rPr>
        <w:t>u</w:t>
      </w:r>
      <w:r w:rsidR="00DB0F87" w:rsidRPr="00C95307">
        <w:rPr>
          <w:rFonts w:cs="Arial"/>
          <w:szCs w:val="18"/>
        </w:rPr>
        <w:t>pdate by MET of an Annual Procurement Plan</w:t>
      </w:r>
      <w:r w:rsidR="00AF0049" w:rsidRPr="00C95307">
        <w:rPr>
          <w:rFonts w:cs="Arial"/>
          <w:szCs w:val="18"/>
        </w:rPr>
        <w:t xml:space="preserve"> and the </w:t>
      </w:r>
      <w:r w:rsidR="00DB0F87" w:rsidRPr="00C95307">
        <w:rPr>
          <w:rFonts w:cs="Arial"/>
          <w:szCs w:val="18"/>
        </w:rPr>
        <w:t>Risk Management Plan</w:t>
      </w:r>
    </w:p>
    <w:p w:rsidR="00DB0F87" w:rsidRPr="00C95307" w:rsidRDefault="007B7E16" w:rsidP="00724AA1">
      <w:pPr>
        <w:pStyle w:val="ListBullet"/>
      </w:pPr>
      <w:r w:rsidRPr="00C95307">
        <w:rPr>
          <w:rFonts w:cs="Arial"/>
          <w:szCs w:val="18"/>
        </w:rPr>
        <w:t>q</w:t>
      </w:r>
      <w:r w:rsidR="00DB0F87" w:rsidRPr="00C95307">
        <w:rPr>
          <w:rFonts w:cs="Arial"/>
          <w:szCs w:val="18"/>
        </w:rPr>
        <w:t>uarterly financial acquittals</w:t>
      </w:r>
      <w:r w:rsidR="00AF0049" w:rsidRPr="00C95307">
        <w:rPr>
          <w:rFonts w:cs="Arial"/>
          <w:szCs w:val="18"/>
        </w:rPr>
        <w:t xml:space="preserve"> and </w:t>
      </w:r>
      <w:r w:rsidR="00DB0F87" w:rsidRPr="00C95307">
        <w:t xml:space="preserve">independent </w:t>
      </w:r>
      <w:r w:rsidR="00DE7C42" w:rsidRPr="00C95307">
        <w:t>audits</w:t>
      </w:r>
      <w:r w:rsidR="00DB0F87" w:rsidRPr="00C95307">
        <w:t xml:space="preserve"> of </w:t>
      </w:r>
      <w:r w:rsidR="00665177" w:rsidRPr="00C95307">
        <w:t>program</w:t>
      </w:r>
      <w:r w:rsidR="00DB0F87" w:rsidRPr="00C95307">
        <w:t xml:space="preserve"> expenditure</w:t>
      </w:r>
    </w:p>
    <w:p w:rsidR="00DB0F87" w:rsidRPr="00C95307" w:rsidRDefault="003D1F5F" w:rsidP="00724AA1">
      <w:pPr>
        <w:pStyle w:val="ListBullet"/>
      </w:pPr>
      <w:r w:rsidRPr="00C95307">
        <w:t xml:space="preserve">Independent Progress Reviews - </w:t>
      </w:r>
      <w:r w:rsidR="00DB0F87" w:rsidRPr="00C95307">
        <w:t xml:space="preserve">in March 2014 (to inform </w:t>
      </w:r>
      <w:r w:rsidR="00C3327D" w:rsidRPr="00C95307">
        <w:t>Phase Two</w:t>
      </w:r>
      <w:r w:rsidR="00DB0F87" w:rsidRPr="00C95307">
        <w:t xml:space="preserve"> activities) and in March 2016 (to inform any future </w:t>
      </w:r>
      <w:r w:rsidR="00665177" w:rsidRPr="00C95307">
        <w:t>program</w:t>
      </w:r>
      <w:r w:rsidR="00DB0F87" w:rsidRPr="00C95307">
        <w:t>)</w:t>
      </w:r>
    </w:p>
    <w:p w:rsidR="004F2DC0" w:rsidRPr="00C95307" w:rsidRDefault="004F2DC0" w:rsidP="00724AA1">
      <w:pPr>
        <w:pStyle w:val="ListBullet"/>
      </w:pPr>
      <w:r w:rsidRPr="00C95307">
        <w:t>the provision of tranche payments made on AusAID acceptance of TESP2 deliverable milestones</w:t>
      </w:r>
    </w:p>
    <w:p w:rsidR="00DB0F87" w:rsidRPr="00C95307" w:rsidRDefault="00DB0F87" w:rsidP="00724AA1">
      <w:pPr>
        <w:pStyle w:val="ListBullet"/>
      </w:pPr>
      <w:r w:rsidRPr="00C95307">
        <w:t>MET’s final report and acquitta</w:t>
      </w:r>
      <w:r w:rsidR="00AF0049" w:rsidRPr="00C95307">
        <w:t xml:space="preserve">l at the end of the </w:t>
      </w:r>
      <w:r w:rsidR="008965AC" w:rsidRPr="00C95307">
        <w:t>program</w:t>
      </w:r>
      <w:r w:rsidR="00AF0049" w:rsidRPr="00C95307">
        <w:t>.</w:t>
      </w:r>
    </w:p>
    <w:p w:rsidR="00DB0F87" w:rsidRPr="00C95307" w:rsidRDefault="00DB0F87" w:rsidP="00724AA1">
      <w:pPr>
        <w:jc w:val="both"/>
      </w:pPr>
    </w:p>
    <w:p w:rsidR="00987AE9" w:rsidRPr="00C95307" w:rsidRDefault="00987AE9" w:rsidP="00724AA1">
      <w:pPr>
        <w:jc w:val="both"/>
      </w:pPr>
      <w:r w:rsidRPr="00C95307">
        <w:t xml:space="preserve">AusAID Tonga Post’s oversight of </w:t>
      </w:r>
      <w:r w:rsidR="00C53704" w:rsidRPr="00C95307">
        <w:t>TESP2</w:t>
      </w:r>
      <w:r w:rsidRPr="00C95307">
        <w:t xml:space="preserve"> will have the close support of the AusAID Pacific </w:t>
      </w:r>
      <w:r w:rsidR="00932C8D" w:rsidRPr="00C95307">
        <w:t>team</w:t>
      </w:r>
      <w:r w:rsidRPr="00C95307">
        <w:t xml:space="preserve"> in Canberra</w:t>
      </w:r>
      <w:r w:rsidR="008965AC" w:rsidRPr="00C95307">
        <w:t xml:space="preserve">. </w:t>
      </w:r>
      <w:r w:rsidRPr="00C95307">
        <w:t>The Post will</w:t>
      </w:r>
      <w:r w:rsidR="008965AC" w:rsidRPr="00C95307">
        <w:t xml:space="preserve"> </w:t>
      </w:r>
      <w:r w:rsidRPr="00C95307">
        <w:t>also receive technical education sector support from a Program Adviser</w:t>
      </w:r>
      <w:r w:rsidR="008965AC" w:rsidRPr="00C95307">
        <w:t xml:space="preserve">. </w:t>
      </w:r>
      <w:r w:rsidR="00C53704" w:rsidRPr="00C95307">
        <w:rPr>
          <w:snapToGrid w:val="0"/>
        </w:rPr>
        <w:t>AusAID will also engage a small Technical Advisory Group (TAG) to provide ready access to informed input and quality assurance on program matters, as required. This resource will also be able to be utilised by GoT and MFAT.</w:t>
      </w:r>
      <w:r w:rsidR="00F81B66" w:rsidRPr="00C95307">
        <w:t xml:space="preserve"> </w:t>
      </w:r>
      <w:r w:rsidRPr="00C95307">
        <w:t>Although Post staff have been closely involved in the planning of TESP2, it is expected that their education</w:t>
      </w:r>
      <w:r w:rsidR="00932C8D" w:rsidRPr="00C95307">
        <w:t xml:space="preserve"> sector </w:t>
      </w:r>
      <w:r w:rsidRPr="00C95307">
        <w:t xml:space="preserve">related responsibilities will increase (particularly </w:t>
      </w:r>
      <w:r w:rsidR="00665177" w:rsidRPr="00C95307">
        <w:t>program</w:t>
      </w:r>
      <w:r w:rsidRPr="00C95307">
        <w:t xml:space="preserve"> start-up) once TESP2 becomes a formal commitment, and is included under the Partnership Agreement</w:t>
      </w:r>
      <w:r w:rsidR="008965AC" w:rsidRPr="00C95307">
        <w:t xml:space="preserve">. </w:t>
      </w:r>
      <w:r w:rsidRPr="00C95307">
        <w:t>This is likely to exacerbate workloads of the already stretched Education team within the Post (responsible</w:t>
      </w:r>
      <w:r w:rsidR="000F72F1" w:rsidRPr="00C95307">
        <w:t xml:space="preserve"> for Scholarships, TVET and</w:t>
      </w:r>
      <w:r w:rsidRPr="00C95307">
        <w:t xml:space="preserve"> </w:t>
      </w:r>
      <w:r w:rsidR="000F72F1" w:rsidRPr="00C95307">
        <w:t>gender equality</w:t>
      </w:r>
      <w:r w:rsidRPr="00C95307">
        <w:t>)</w:t>
      </w:r>
      <w:r w:rsidR="00724AA1" w:rsidRPr="00C95307">
        <w:t>.</w:t>
      </w:r>
      <w:r w:rsidRPr="00C95307">
        <w:t xml:space="preserve"> </w:t>
      </w:r>
    </w:p>
    <w:p w:rsidR="00DB0F87" w:rsidRPr="00C95307" w:rsidRDefault="00DB0F87" w:rsidP="00F81B66">
      <w:pPr>
        <w:pStyle w:val="Heading1"/>
        <w:numPr>
          <w:ilvl w:val="0"/>
          <w:numId w:val="0"/>
        </w:numPr>
        <w:rPr>
          <w:sz w:val="22"/>
        </w:rPr>
      </w:pPr>
      <w:r w:rsidRPr="00C95307">
        <w:rPr>
          <w:sz w:val="22"/>
        </w:rPr>
        <w:t>Risk assessment and management</w:t>
      </w:r>
    </w:p>
    <w:p w:rsidR="007B7E16" w:rsidRPr="00C95307" w:rsidRDefault="00DB0F87" w:rsidP="009B5B5E">
      <w:pPr>
        <w:pStyle w:val="ListParagraph"/>
        <w:rPr>
          <w:rFonts w:eastAsia="Calibri" w:cs="Arial"/>
          <w:lang w:val="en-AU"/>
        </w:rPr>
      </w:pPr>
      <w:r w:rsidRPr="00C95307">
        <w:rPr>
          <w:rFonts w:eastAsia="Calibri" w:cs="Arial"/>
          <w:lang w:val="en-AU"/>
        </w:rPr>
        <w:t>The DPs have supported the GoT, and in particular MET, over an extended period</w:t>
      </w:r>
      <w:r w:rsidRPr="00C95307">
        <w:t>, and as such the</w:t>
      </w:r>
      <w:r w:rsidR="007B7E16" w:rsidRPr="00C95307">
        <w:t xml:space="preserve"> proposed</w:t>
      </w:r>
      <w:r w:rsidRPr="00C95307">
        <w:t xml:space="preserve"> investment reflects relevant lessons learned, and improvements that can be made</w:t>
      </w:r>
      <w:r w:rsidR="008965AC" w:rsidRPr="00C95307">
        <w:t xml:space="preserve">. </w:t>
      </w:r>
      <w:r w:rsidR="007B7E16" w:rsidRPr="00C95307">
        <w:rPr>
          <w:rFonts w:eastAsia="Calibri" w:cs="Arial"/>
          <w:lang w:val="en-AU"/>
        </w:rPr>
        <w:t xml:space="preserve">As indicated above, in recognition that the MET </w:t>
      </w:r>
      <w:r w:rsidR="007B7E16" w:rsidRPr="00C95307">
        <w:rPr>
          <w:rFonts w:eastAsia="Calibri" w:cs="Arial"/>
          <w:i/>
          <w:lang w:val="en-AU"/>
        </w:rPr>
        <w:t>Implementation Plan</w:t>
      </w:r>
      <w:r w:rsidR="007B7E16" w:rsidRPr="00C95307">
        <w:rPr>
          <w:rFonts w:eastAsia="Calibri" w:cs="Arial"/>
          <w:lang w:val="en-AU"/>
        </w:rPr>
        <w:t xml:space="preserve"> </w:t>
      </w:r>
      <w:r w:rsidR="007B7E16" w:rsidRPr="00C95307">
        <w:t xml:space="preserve">included a </w:t>
      </w:r>
      <w:r w:rsidR="007B7E16" w:rsidRPr="00C95307">
        <w:rPr>
          <w:rFonts w:cs="Arial"/>
        </w:rPr>
        <w:t xml:space="preserve">very ambitious range of objectives, </w:t>
      </w:r>
      <w:r w:rsidR="007B7E16" w:rsidRPr="00C95307">
        <w:rPr>
          <w:rFonts w:eastAsia="Calibri" w:cs="Arial"/>
          <w:lang w:val="en-AU"/>
        </w:rPr>
        <w:t xml:space="preserve">the DPs have agreed to support a smaller set of earmarked activities from the plan, over two phases. </w:t>
      </w:r>
      <w:r w:rsidR="007B7E16" w:rsidRPr="00C95307">
        <w:rPr>
          <w:rFonts w:eastAsia="Calibri" w:cs="Arial"/>
          <w:szCs w:val="22"/>
          <w:lang w:val="en-AU"/>
        </w:rPr>
        <w:t xml:space="preserve">This will </w:t>
      </w:r>
      <w:r w:rsidR="007B7E16" w:rsidRPr="00C95307">
        <w:rPr>
          <w:rFonts w:cs="Arial"/>
          <w:szCs w:val="22"/>
        </w:rPr>
        <w:t xml:space="preserve">also </w:t>
      </w:r>
      <w:r w:rsidR="007B7E16" w:rsidRPr="00C95307">
        <w:rPr>
          <w:rFonts w:eastAsia="Calibri" w:cs="Arial"/>
          <w:szCs w:val="22"/>
          <w:lang w:val="en-AU"/>
        </w:rPr>
        <w:t xml:space="preserve">enable the DPs </w:t>
      </w:r>
      <w:r w:rsidR="007B7E16" w:rsidRPr="00C95307">
        <w:rPr>
          <w:rFonts w:cs="Arial"/>
          <w:szCs w:val="22"/>
        </w:rPr>
        <w:t>contribution to the program to be clearly identified and monitored</w:t>
      </w:r>
      <w:r w:rsidR="007B7E16" w:rsidRPr="00C95307">
        <w:rPr>
          <w:rFonts w:eastAsia="Calibri" w:cs="Arial"/>
          <w:szCs w:val="22"/>
          <w:lang w:val="en-AU"/>
        </w:rPr>
        <w:t>.</w:t>
      </w:r>
      <w:r w:rsidR="00B85459" w:rsidRPr="00C95307">
        <w:rPr>
          <w:rFonts w:eastAsia="Calibri" w:cs="Arial"/>
          <w:szCs w:val="22"/>
          <w:lang w:val="en-AU"/>
        </w:rPr>
        <w:t xml:space="preserve"> </w:t>
      </w:r>
      <w:r w:rsidR="00834B8C" w:rsidRPr="00C95307">
        <w:t xml:space="preserve">The draft </w:t>
      </w:r>
      <w:r w:rsidR="00BA5CC7" w:rsidRPr="00C95307">
        <w:rPr>
          <w:rFonts w:eastAsia="Calibri" w:cs="Arial"/>
          <w:lang w:val="en-AU"/>
        </w:rPr>
        <w:t xml:space="preserve">risk management matrix </w:t>
      </w:r>
      <w:r w:rsidR="00834B8C" w:rsidRPr="00C95307">
        <w:rPr>
          <w:rFonts w:eastAsia="Calibri" w:cs="Arial"/>
          <w:lang w:val="en-AU"/>
        </w:rPr>
        <w:t xml:space="preserve">lists key implementation risks (as identified the </w:t>
      </w:r>
      <w:r w:rsidRPr="00C95307">
        <w:rPr>
          <w:rFonts w:eastAsia="Calibri" w:cs="Arial"/>
          <w:lang w:val="en-AU"/>
        </w:rPr>
        <w:t xml:space="preserve">MET </w:t>
      </w:r>
      <w:r w:rsidRPr="00C95307">
        <w:rPr>
          <w:rFonts w:eastAsia="Calibri" w:cs="Arial"/>
          <w:i/>
          <w:lang w:val="en-AU"/>
        </w:rPr>
        <w:t>Implementation Plan</w:t>
      </w:r>
      <w:r w:rsidR="00834B8C" w:rsidRPr="00C95307">
        <w:rPr>
          <w:rFonts w:eastAsia="Calibri" w:cs="Arial"/>
          <w:i/>
          <w:lang w:val="en-AU"/>
        </w:rPr>
        <w:t xml:space="preserve">) </w:t>
      </w:r>
      <w:r w:rsidR="00834B8C" w:rsidRPr="00C95307">
        <w:rPr>
          <w:rFonts w:eastAsia="Calibri" w:cs="Arial"/>
          <w:lang w:val="en-AU"/>
        </w:rPr>
        <w:t>and also</w:t>
      </w:r>
      <w:r w:rsidR="00834B8C" w:rsidRPr="00C95307">
        <w:rPr>
          <w:rFonts w:eastAsia="Calibri" w:cs="Arial"/>
          <w:i/>
          <w:lang w:val="en-AU"/>
        </w:rPr>
        <w:t xml:space="preserve"> </w:t>
      </w:r>
      <w:r w:rsidR="007B7E16" w:rsidRPr="00C95307">
        <w:rPr>
          <w:rFonts w:eastAsia="Calibri" w:cs="Arial"/>
          <w:lang w:val="en-AU"/>
        </w:rPr>
        <w:t xml:space="preserve">key </w:t>
      </w:r>
      <w:r w:rsidR="00FE0EAA" w:rsidRPr="00C95307">
        <w:rPr>
          <w:rFonts w:eastAsia="Calibri" w:cs="Arial"/>
          <w:lang w:val="en-AU"/>
        </w:rPr>
        <w:t xml:space="preserve">risks to the </w:t>
      </w:r>
      <w:r w:rsidR="00185483" w:rsidRPr="00C95307">
        <w:rPr>
          <w:rFonts w:eastAsia="Calibri" w:cs="Arial"/>
          <w:lang w:val="en-AU"/>
        </w:rPr>
        <w:t>Phase One</w:t>
      </w:r>
      <w:r w:rsidR="00FE0EAA" w:rsidRPr="00C95307">
        <w:rPr>
          <w:rFonts w:eastAsia="Calibri" w:cs="Arial"/>
          <w:lang w:val="en-AU"/>
        </w:rPr>
        <w:t xml:space="preserve"> activities </w:t>
      </w:r>
      <w:r w:rsidR="007B7E16" w:rsidRPr="00C95307">
        <w:rPr>
          <w:rFonts w:eastAsia="Calibri" w:cs="Arial"/>
          <w:lang w:val="en-AU"/>
        </w:rPr>
        <w:t xml:space="preserve">(Annex </w:t>
      </w:r>
      <w:r w:rsidR="00834B8C" w:rsidRPr="00C95307">
        <w:rPr>
          <w:rFonts w:eastAsia="Calibri" w:cs="Arial"/>
          <w:lang w:val="en-AU"/>
        </w:rPr>
        <w:t>N</w:t>
      </w:r>
      <w:r w:rsidR="007B7E16" w:rsidRPr="00C95307">
        <w:rPr>
          <w:rFonts w:eastAsia="Calibri" w:cs="Arial"/>
          <w:lang w:val="en-AU"/>
        </w:rPr>
        <w:t>).</w:t>
      </w:r>
      <w:r w:rsidR="001F0097" w:rsidRPr="00C95307">
        <w:rPr>
          <w:rFonts w:eastAsia="Calibri" w:cs="Arial"/>
          <w:lang w:val="en-AU"/>
        </w:rPr>
        <w:t xml:space="preserve"> </w:t>
      </w:r>
      <w:r w:rsidR="00FE0EAA" w:rsidRPr="00C95307">
        <w:rPr>
          <w:rFonts w:eastAsia="Calibri" w:cs="Arial"/>
          <w:lang w:val="en-AU"/>
        </w:rPr>
        <w:t>Th</w:t>
      </w:r>
      <w:r w:rsidR="00834B8C" w:rsidRPr="00C95307">
        <w:rPr>
          <w:rFonts w:eastAsia="Calibri" w:cs="Arial"/>
          <w:lang w:val="en-AU"/>
        </w:rPr>
        <w:t>is risk matrix</w:t>
      </w:r>
      <w:r w:rsidR="00FE0EAA" w:rsidRPr="00C95307">
        <w:rPr>
          <w:rFonts w:eastAsia="Calibri" w:cs="Arial"/>
          <w:lang w:val="en-AU"/>
        </w:rPr>
        <w:t xml:space="preserve"> need</w:t>
      </w:r>
      <w:r w:rsidR="00834B8C" w:rsidRPr="00C95307">
        <w:rPr>
          <w:rFonts w:eastAsia="Calibri" w:cs="Arial"/>
          <w:lang w:val="en-AU"/>
        </w:rPr>
        <w:t>s</w:t>
      </w:r>
      <w:r w:rsidR="00FE0EAA" w:rsidRPr="00C95307">
        <w:rPr>
          <w:rFonts w:eastAsia="Calibri" w:cs="Arial"/>
          <w:lang w:val="en-AU"/>
        </w:rPr>
        <w:t xml:space="preserve"> to be agreed with MET </w:t>
      </w:r>
      <w:r w:rsidR="00834B8C" w:rsidRPr="00C95307">
        <w:rPr>
          <w:rFonts w:eastAsia="Calibri" w:cs="Arial"/>
          <w:lang w:val="en-AU"/>
        </w:rPr>
        <w:t xml:space="preserve">and MFAT </w:t>
      </w:r>
      <w:r w:rsidR="00FE0EAA" w:rsidRPr="00C95307">
        <w:rPr>
          <w:rFonts w:eastAsia="Calibri" w:cs="Arial"/>
          <w:lang w:val="en-AU"/>
        </w:rPr>
        <w:t xml:space="preserve">prior to inclusion in the </w:t>
      </w:r>
      <w:r w:rsidR="00834B8C" w:rsidRPr="00C95307">
        <w:rPr>
          <w:rFonts w:eastAsia="Calibri" w:cs="Arial"/>
          <w:lang w:val="en-AU"/>
        </w:rPr>
        <w:t>relevant agreements</w:t>
      </w:r>
      <w:r w:rsidR="00FE0EAA" w:rsidRPr="00C95307">
        <w:rPr>
          <w:rFonts w:eastAsia="Calibri" w:cs="Arial"/>
          <w:lang w:val="en-AU"/>
        </w:rPr>
        <w:t>.</w:t>
      </w:r>
    </w:p>
    <w:p w:rsidR="00F81B66" w:rsidRPr="00C95307" w:rsidRDefault="00F81B66" w:rsidP="00CC0EC8">
      <w:pPr>
        <w:pStyle w:val="ListParagraph"/>
        <w:rPr>
          <w:rFonts w:cs="Arial"/>
          <w:szCs w:val="22"/>
        </w:rPr>
      </w:pPr>
    </w:p>
    <w:p w:rsidR="00F81B66" w:rsidRPr="00C95307" w:rsidRDefault="00F81B66" w:rsidP="00CC0EC8">
      <w:pPr>
        <w:pStyle w:val="ListParagraph"/>
        <w:rPr>
          <w:rFonts w:cs="Arial"/>
          <w:szCs w:val="22"/>
        </w:rPr>
      </w:pPr>
    </w:p>
    <w:p w:rsidR="00034596" w:rsidRPr="00C95307" w:rsidRDefault="00DB0F87" w:rsidP="00CC0EC8">
      <w:pPr>
        <w:pStyle w:val="ListParagraph"/>
        <w:rPr>
          <w:rFonts w:cs="Arial"/>
          <w:szCs w:val="22"/>
        </w:rPr>
      </w:pPr>
      <w:r w:rsidRPr="00C95307">
        <w:rPr>
          <w:rFonts w:cs="Arial"/>
          <w:szCs w:val="22"/>
        </w:rPr>
        <w:t>Ba</w:t>
      </w:r>
      <w:r w:rsidR="00C3327D" w:rsidRPr="00C95307">
        <w:rPr>
          <w:rFonts w:cs="Arial"/>
          <w:szCs w:val="22"/>
        </w:rPr>
        <w:t xml:space="preserve">sed on the </w:t>
      </w:r>
      <w:r w:rsidR="007B7E16" w:rsidRPr="00C95307">
        <w:rPr>
          <w:rFonts w:cs="Arial"/>
          <w:szCs w:val="22"/>
        </w:rPr>
        <w:t>assessments</w:t>
      </w:r>
      <w:r w:rsidR="00C3327D" w:rsidRPr="00C95307">
        <w:rPr>
          <w:rFonts w:cs="Arial"/>
          <w:szCs w:val="22"/>
        </w:rPr>
        <w:t xml:space="preserve"> undertaken as part of the </w:t>
      </w:r>
      <w:r w:rsidR="007B7E16" w:rsidRPr="00C95307">
        <w:rPr>
          <w:rFonts w:cs="Arial"/>
          <w:szCs w:val="22"/>
        </w:rPr>
        <w:t>q</w:t>
      </w:r>
      <w:r w:rsidR="00C3327D" w:rsidRPr="00C95307">
        <w:rPr>
          <w:rFonts w:cs="Arial"/>
          <w:szCs w:val="22"/>
        </w:rPr>
        <w:t xml:space="preserve">uality </w:t>
      </w:r>
      <w:r w:rsidR="007B7E16" w:rsidRPr="00C95307">
        <w:rPr>
          <w:rFonts w:cs="Arial"/>
          <w:szCs w:val="22"/>
        </w:rPr>
        <w:t>a</w:t>
      </w:r>
      <w:r w:rsidR="00C3327D" w:rsidRPr="00C95307">
        <w:rPr>
          <w:rFonts w:cs="Arial"/>
          <w:szCs w:val="22"/>
        </w:rPr>
        <w:t>ssurance process</w:t>
      </w:r>
      <w:r w:rsidRPr="00C95307">
        <w:rPr>
          <w:rFonts w:cs="Arial"/>
          <w:szCs w:val="22"/>
        </w:rPr>
        <w:t xml:space="preserve">, the risks to do with financial management </w:t>
      </w:r>
      <w:r w:rsidR="00C3327D" w:rsidRPr="00C95307">
        <w:rPr>
          <w:rFonts w:cs="Arial"/>
          <w:szCs w:val="22"/>
        </w:rPr>
        <w:t>of</w:t>
      </w:r>
      <w:r w:rsidRPr="00C95307">
        <w:rPr>
          <w:rFonts w:cs="Arial"/>
          <w:szCs w:val="22"/>
        </w:rPr>
        <w:t xml:space="preserve"> the </w:t>
      </w:r>
      <w:r w:rsidR="007B7E16" w:rsidRPr="00C95307">
        <w:rPr>
          <w:rFonts w:cs="Arial"/>
          <w:szCs w:val="22"/>
        </w:rPr>
        <w:t xml:space="preserve">direct funding </w:t>
      </w:r>
      <w:r w:rsidRPr="00C95307">
        <w:rPr>
          <w:rFonts w:cs="Arial"/>
          <w:szCs w:val="22"/>
        </w:rPr>
        <w:t xml:space="preserve">to the GoT are overall moderate. In the </w:t>
      </w:r>
      <w:r w:rsidR="00C3327D" w:rsidRPr="00C95307">
        <w:rPr>
          <w:rFonts w:cs="Arial"/>
          <w:szCs w:val="22"/>
        </w:rPr>
        <w:t xml:space="preserve">2012 </w:t>
      </w:r>
      <w:r w:rsidRPr="00C95307">
        <w:rPr>
          <w:rFonts w:cs="Arial"/>
          <w:szCs w:val="22"/>
        </w:rPr>
        <w:t xml:space="preserve">Annual Partnership Meeting, </w:t>
      </w:r>
      <w:r w:rsidR="00F81B66" w:rsidRPr="00C95307">
        <w:rPr>
          <w:rFonts w:cs="Arial"/>
          <w:szCs w:val="22"/>
        </w:rPr>
        <w:t>both partners agreed to maintain</w:t>
      </w:r>
      <w:r w:rsidRPr="00C95307">
        <w:rPr>
          <w:rFonts w:cs="Arial"/>
          <w:szCs w:val="22"/>
        </w:rPr>
        <w:t xml:space="preserve"> a</w:t>
      </w:r>
      <w:r w:rsidR="008965AC" w:rsidRPr="00C95307">
        <w:rPr>
          <w:rFonts w:cs="Arial"/>
          <w:szCs w:val="22"/>
        </w:rPr>
        <w:t xml:space="preserve"> </w:t>
      </w:r>
      <w:r w:rsidRPr="00C95307">
        <w:rPr>
          <w:rFonts w:cs="Arial"/>
          <w:szCs w:val="22"/>
        </w:rPr>
        <w:t>zero tolerance policy against fr</w:t>
      </w:r>
      <w:r w:rsidR="007F2946" w:rsidRPr="00C95307">
        <w:rPr>
          <w:rFonts w:cs="Arial"/>
          <w:szCs w:val="22"/>
        </w:rPr>
        <w:t>aud</w:t>
      </w:r>
      <w:r w:rsidRPr="00C95307">
        <w:rPr>
          <w:rFonts w:cs="Arial"/>
          <w:szCs w:val="22"/>
        </w:rPr>
        <w:t>, ensuring that aid funds are used appropriately.</w:t>
      </w:r>
      <w:r w:rsidRPr="00C95307">
        <w:rPr>
          <w:rFonts w:cs="Arial"/>
        </w:rPr>
        <w:t xml:space="preserve"> </w:t>
      </w:r>
      <w:r w:rsidR="00C3327D" w:rsidRPr="00C95307">
        <w:rPr>
          <w:rFonts w:cs="Arial"/>
        </w:rPr>
        <w:t>Financial management</w:t>
      </w:r>
      <w:r w:rsidRPr="00C95307">
        <w:rPr>
          <w:rFonts w:cs="Arial"/>
        </w:rPr>
        <w:t xml:space="preserve"> will be strengthened by an AusAID funded Procurement Review in early 2013, the outcomes of which will be applied to </w:t>
      </w:r>
      <w:r w:rsidR="00C3327D" w:rsidRPr="00C95307">
        <w:rPr>
          <w:rFonts w:cs="Arial"/>
        </w:rPr>
        <w:t>TESP2</w:t>
      </w:r>
      <w:r w:rsidRPr="00C95307">
        <w:rPr>
          <w:rFonts w:cs="Arial"/>
        </w:rPr>
        <w:t xml:space="preserve"> in due course. Any fr</w:t>
      </w:r>
      <w:r w:rsidR="007F2946" w:rsidRPr="00C95307">
        <w:rPr>
          <w:rFonts w:cs="Arial"/>
        </w:rPr>
        <w:t>aud</w:t>
      </w:r>
      <w:r w:rsidRPr="00C95307">
        <w:rPr>
          <w:rFonts w:cs="Arial"/>
        </w:rPr>
        <w:t xml:space="preserve"> or misuse of funds is unlikely to have a significant im</w:t>
      </w:r>
      <w:r w:rsidR="0004179D" w:rsidRPr="00C95307">
        <w:rPr>
          <w:rFonts w:cs="Arial"/>
        </w:rPr>
        <w:t>pact on AusAID’s reputation or o</w:t>
      </w:r>
      <w:r w:rsidRPr="00C95307">
        <w:rPr>
          <w:rFonts w:cs="Arial"/>
        </w:rPr>
        <w:t xml:space="preserve">n achieving the </w:t>
      </w:r>
      <w:r w:rsidR="00C3327D" w:rsidRPr="00C95307">
        <w:rPr>
          <w:rFonts w:cs="Arial"/>
        </w:rPr>
        <w:t xml:space="preserve">TESP2 </w:t>
      </w:r>
      <w:r w:rsidRPr="00C95307">
        <w:rPr>
          <w:rFonts w:cs="Arial"/>
        </w:rPr>
        <w:t>objectives.</w:t>
      </w:r>
      <w:r w:rsidR="00834B8C" w:rsidRPr="00C95307">
        <w:rPr>
          <w:rFonts w:cs="Arial"/>
        </w:rPr>
        <w:t xml:space="preserve"> </w:t>
      </w:r>
      <w:r w:rsidR="00F81B66" w:rsidRPr="00C95307">
        <w:rPr>
          <w:rFonts w:cs="Arial"/>
          <w:szCs w:val="22"/>
        </w:rPr>
        <w:t>T</w:t>
      </w:r>
      <w:r w:rsidR="00561CE5" w:rsidRPr="00C95307">
        <w:rPr>
          <w:rFonts w:cs="Arial"/>
          <w:szCs w:val="22"/>
        </w:rPr>
        <w:t xml:space="preserve">he financial risks </w:t>
      </w:r>
      <w:r w:rsidR="00F81B66" w:rsidRPr="00C95307">
        <w:rPr>
          <w:rFonts w:cs="Arial"/>
          <w:szCs w:val="22"/>
        </w:rPr>
        <w:t xml:space="preserve">around school grants </w:t>
      </w:r>
      <w:r w:rsidR="00561CE5" w:rsidRPr="00C95307">
        <w:rPr>
          <w:rFonts w:cs="Arial"/>
          <w:szCs w:val="22"/>
        </w:rPr>
        <w:t>are assessed as relatively minor</w:t>
      </w:r>
      <w:r w:rsidR="00834B8C" w:rsidRPr="00C95307">
        <w:rPr>
          <w:rFonts w:cs="Arial"/>
        </w:rPr>
        <w:t xml:space="preserve"> and will be reduced further by </w:t>
      </w:r>
      <w:r w:rsidRPr="00C95307">
        <w:rPr>
          <w:rFonts w:cs="Arial"/>
        </w:rPr>
        <w:t xml:space="preserve">MET </w:t>
      </w:r>
      <w:r w:rsidR="00834B8C" w:rsidRPr="00C95307">
        <w:rPr>
          <w:rFonts w:cs="Arial"/>
        </w:rPr>
        <w:t xml:space="preserve">grant </w:t>
      </w:r>
      <w:r w:rsidRPr="00C95307">
        <w:rPr>
          <w:rFonts w:cs="Arial"/>
        </w:rPr>
        <w:t xml:space="preserve">guidelines and </w:t>
      </w:r>
      <w:r w:rsidR="00F81B66" w:rsidRPr="00C95307">
        <w:rPr>
          <w:rFonts w:cs="Arial"/>
        </w:rPr>
        <w:t xml:space="preserve">the </w:t>
      </w:r>
      <w:r w:rsidRPr="00C95307">
        <w:rPr>
          <w:rFonts w:cs="Arial"/>
        </w:rPr>
        <w:t xml:space="preserve">annual </w:t>
      </w:r>
      <w:r w:rsidR="0024267F" w:rsidRPr="00C95307">
        <w:rPr>
          <w:rFonts w:cs="Arial"/>
        </w:rPr>
        <w:t>audit</w:t>
      </w:r>
      <w:r w:rsidR="00F81B66" w:rsidRPr="00C95307">
        <w:rPr>
          <w:rFonts w:cs="Arial"/>
        </w:rPr>
        <w:t xml:space="preserve"> of</w:t>
      </w:r>
      <w:r w:rsidR="00834B8C" w:rsidRPr="00C95307">
        <w:rPr>
          <w:rFonts w:cs="Arial"/>
        </w:rPr>
        <w:t xml:space="preserve"> grant </w:t>
      </w:r>
      <w:r w:rsidRPr="00C95307">
        <w:rPr>
          <w:rFonts w:cs="Arial"/>
        </w:rPr>
        <w:t>expenditure. Equipment purchased through the investment will be</w:t>
      </w:r>
      <w:r w:rsidR="00561CE5" w:rsidRPr="00C95307">
        <w:rPr>
          <w:rFonts w:cs="Arial"/>
        </w:rPr>
        <w:t xml:space="preserve"> </w:t>
      </w:r>
      <w:r w:rsidR="0004179D" w:rsidRPr="00C95307">
        <w:rPr>
          <w:rFonts w:cs="Arial"/>
        </w:rPr>
        <w:t>brand</w:t>
      </w:r>
      <w:r w:rsidR="00561CE5" w:rsidRPr="00C95307">
        <w:rPr>
          <w:rFonts w:cs="Arial"/>
        </w:rPr>
        <w:t>ed</w:t>
      </w:r>
      <w:r w:rsidR="001F0097" w:rsidRPr="00C95307">
        <w:rPr>
          <w:rFonts w:cs="Arial"/>
        </w:rPr>
        <w:t xml:space="preserve"> </w:t>
      </w:r>
      <w:r w:rsidRPr="00C95307">
        <w:rPr>
          <w:rFonts w:cs="Arial"/>
        </w:rPr>
        <w:t xml:space="preserve">to minimise potential misuse. </w:t>
      </w:r>
      <w:r w:rsidRPr="00C95307">
        <w:rPr>
          <w:rFonts w:cs="Arial"/>
          <w:szCs w:val="22"/>
        </w:rPr>
        <w:t xml:space="preserve">Prior to construction, the </w:t>
      </w:r>
      <w:r w:rsidR="00F81B66" w:rsidRPr="00C95307">
        <w:rPr>
          <w:rFonts w:cs="Arial"/>
          <w:szCs w:val="22"/>
        </w:rPr>
        <w:t xml:space="preserve">TIOE facility upgrade </w:t>
      </w:r>
      <w:r w:rsidRPr="00C95307">
        <w:rPr>
          <w:rFonts w:cs="Arial"/>
          <w:szCs w:val="22"/>
        </w:rPr>
        <w:t xml:space="preserve">plans will be </w:t>
      </w:r>
      <w:r w:rsidR="0024267F" w:rsidRPr="00C95307">
        <w:rPr>
          <w:rFonts w:cs="Arial"/>
          <w:szCs w:val="22"/>
        </w:rPr>
        <w:t>aud</w:t>
      </w:r>
      <w:r w:rsidRPr="00C95307">
        <w:rPr>
          <w:rFonts w:cs="Arial"/>
          <w:szCs w:val="22"/>
        </w:rPr>
        <w:t>ited by AusAID to ensure that they are fit for purpose</w:t>
      </w:r>
      <w:r w:rsidR="00735E1B" w:rsidRPr="00C95307">
        <w:rPr>
          <w:rFonts w:cs="Arial"/>
          <w:szCs w:val="22"/>
        </w:rPr>
        <w:t xml:space="preserve">, with an </w:t>
      </w:r>
      <w:r w:rsidRPr="00C95307">
        <w:rPr>
          <w:rFonts w:cs="Arial"/>
          <w:szCs w:val="22"/>
        </w:rPr>
        <w:t xml:space="preserve">external </w:t>
      </w:r>
      <w:r w:rsidR="00735E1B" w:rsidRPr="00C95307">
        <w:rPr>
          <w:rFonts w:cs="Arial"/>
          <w:szCs w:val="22"/>
        </w:rPr>
        <w:t xml:space="preserve">expenditure </w:t>
      </w:r>
      <w:r w:rsidR="0024267F" w:rsidRPr="00C95307">
        <w:rPr>
          <w:rFonts w:cs="Arial"/>
          <w:szCs w:val="22"/>
        </w:rPr>
        <w:t>aud</w:t>
      </w:r>
      <w:r w:rsidRPr="00C95307">
        <w:rPr>
          <w:rFonts w:cs="Arial"/>
          <w:szCs w:val="22"/>
        </w:rPr>
        <w:t>it on completion.</w:t>
      </w:r>
    </w:p>
    <w:p w:rsidR="0004376B" w:rsidRPr="00C95307" w:rsidRDefault="0024267F" w:rsidP="00724AA1">
      <w:pPr>
        <w:pStyle w:val="ListParagraph"/>
      </w:pPr>
      <w:r w:rsidRPr="00C95307">
        <w:rPr>
          <w:rFonts w:cs="Arial"/>
          <w:szCs w:val="22"/>
        </w:rPr>
        <w:t>Key r</w:t>
      </w:r>
      <w:r w:rsidR="00DB0F87" w:rsidRPr="00C95307">
        <w:rPr>
          <w:rFonts w:cs="Arial"/>
          <w:szCs w:val="22"/>
        </w:rPr>
        <w:t xml:space="preserve">isks to the achievement of learning outcomes </w:t>
      </w:r>
      <w:r w:rsidR="00FE0EAA" w:rsidRPr="00C95307">
        <w:rPr>
          <w:rFonts w:cs="Arial"/>
          <w:szCs w:val="22"/>
        </w:rPr>
        <w:t>include</w:t>
      </w:r>
      <w:r w:rsidR="00DB0F87" w:rsidRPr="00C95307">
        <w:rPr>
          <w:rFonts w:cs="Arial"/>
          <w:szCs w:val="22"/>
        </w:rPr>
        <w:t xml:space="preserve">: </w:t>
      </w:r>
      <w:r w:rsidR="00DB0F87" w:rsidRPr="00C95307">
        <w:t>Principals and teachers overloaded with change management;</w:t>
      </w:r>
      <w:r w:rsidR="00FE0EAA" w:rsidRPr="00C95307">
        <w:t xml:space="preserve"> </w:t>
      </w:r>
      <w:r w:rsidR="00DB0F87" w:rsidRPr="00C95307">
        <w:t xml:space="preserve">an insufficient professional development </w:t>
      </w:r>
      <w:r w:rsidR="00665177" w:rsidRPr="00C95307">
        <w:t>program</w:t>
      </w:r>
      <w:r w:rsidR="00DB0F87" w:rsidRPr="00C95307">
        <w:t xml:space="preserve"> to familiarise teachers with the new curriculum and</w:t>
      </w:r>
      <w:r w:rsidR="00DB0F87" w:rsidRPr="00C95307">
        <w:rPr>
          <w:b/>
        </w:rPr>
        <w:t xml:space="preserve"> </w:t>
      </w:r>
      <w:r w:rsidR="00DB0F87" w:rsidRPr="00C95307">
        <w:t xml:space="preserve">support them to change their teaching practice; </w:t>
      </w:r>
      <w:r w:rsidR="0089248E" w:rsidRPr="00C95307">
        <w:rPr>
          <w:lang w:val="en-AU"/>
        </w:rPr>
        <w:t>lack of integration of TESP2 activities with MET’s other routine and developmental activities;</w:t>
      </w:r>
      <w:r w:rsidR="0089248E" w:rsidRPr="00C95307">
        <w:t xml:space="preserve"> </w:t>
      </w:r>
      <w:r w:rsidR="00DB0F87" w:rsidRPr="00C95307">
        <w:t xml:space="preserve">constraints </w:t>
      </w:r>
      <w:r w:rsidR="00AF1CB8" w:rsidRPr="00C95307">
        <w:t>to</w:t>
      </w:r>
      <w:r w:rsidR="00DB0F87" w:rsidRPr="00C95307">
        <w:t xml:space="preserve"> the training provided for uncertified secondary teachers at TIOE; inappropriate use of the primary/secondary/ECE grants; </w:t>
      </w:r>
      <w:r w:rsidR="005A0B35" w:rsidRPr="00C95307">
        <w:t>insufficient expenditure on classroom facilities; weak MET planning</w:t>
      </w:r>
      <w:r w:rsidR="00BA5CC7" w:rsidRPr="00C95307">
        <w:t xml:space="preserve">, </w:t>
      </w:r>
      <w:r w:rsidR="005A0B35" w:rsidRPr="00C95307">
        <w:t xml:space="preserve">management </w:t>
      </w:r>
      <w:r w:rsidR="00BA5CC7" w:rsidRPr="00C95307">
        <w:t xml:space="preserve">and procurement </w:t>
      </w:r>
      <w:r w:rsidR="005A0B35" w:rsidRPr="00C95307">
        <w:t xml:space="preserve">capacity; </w:t>
      </w:r>
      <w:r w:rsidR="00AF1CB8" w:rsidRPr="00C95307">
        <w:t xml:space="preserve">and </w:t>
      </w:r>
      <w:r w:rsidR="005A0B35" w:rsidRPr="00C95307">
        <w:t xml:space="preserve">potential </w:t>
      </w:r>
      <w:r w:rsidR="00DB0F87" w:rsidRPr="00C95307">
        <w:t xml:space="preserve">lack of support for the </w:t>
      </w:r>
      <w:r w:rsidR="005A0B35" w:rsidRPr="00C95307">
        <w:t>TESP</w:t>
      </w:r>
      <w:r w:rsidR="00BA5CC7" w:rsidRPr="00C95307">
        <w:t>2</w:t>
      </w:r>
      <w:r w:rsidR="005A0B35" w:rsidRPr="00C95307">
        <w:t xml:space="preserve"> activities</w:t>
      </w:r>
      <w:r w:rsidR="00DB0F87" w:rsidRPr="00C95307">
        <w:t xml:space="preserve"> by non-government schools.</w:t>
      </w:r>
      <w:r w:rsidR="00CC0EC8" w:rsidRPr="00C95307">
        <w:t xml:space="preserve"> </w:t>
      </w:r>
      <w:r w:rsidR="0004376B" w:rsidRPr="00C95307">
        <w:rPr>
          <w:rFonts w:cs="Arial"/>
        </w:rPr>
        <w:t xml:space="preserve">It is also noted that the </w:t>
      </w:r>
      <w:r w:rsidR="0004179D" w:rsidRPr="00C95307">
        <w:rPr>
          <w:rFonts w:cs="Arial"/>
        </w:rPr>
        <w:t>revised Education Act</w:t>
      </w:r>
      <w:r w:rsidR="00CC0EC8" w:rsidRPr="00C95307">
        <w:rPr>
          <w:rFonts w:cs="Arial"/>
        </w:rPr>
        <w:t xml:space="preserve"> </w:t>
      </w:r>
      <w:r w:rsidR="0004376B" w:rsidRPr="00C95307">
        <w:rPr>
          <w:rFonts w:cs="Arial"/>
        </w:rPr>
        <w:t>has not yet been passed by the Parliament, and i</w:t>
      </w:r>
      <w:r w:rsidR="00CC0EC8" w:rsidRPr="00C95307">
        <w:rPr>
          <w:rFonts w:cs="Arial"/>
        </w:rPr>
        <w:t xml:space="preserve">f not passed or delayed </w:t>
      </w:r>
      <w:r w:rsidR="000F72F1" w:rsidRPr="00C95307">
        <w:rPr>
          <w:rFonts w:cs="Arial"/>
        </w:rPr>
        <w:t>significantly</w:t>
      </w:r>
      <w:r w:rsidR="00834B8C" w:rsidRPr="00C95307">
        <w:rPr>
          <w:rFonts w:cs="Arial"/>
        </w:rPr>
        <w:t>,</w:t>
      </w:r>
      <w:r w:rsidR="000F72F1" w:rsidRPr="00C95307">
        <w:rPr>
          <w:rFonts w:cs="Arial"/>
        </w:rPr>
        <w:t xml:space="preserve"> </w:t>
      </w:r>
      <w:r w:rsidR="0004376B" w:rsidRPr="00C95307">
        <w:rPr>
          <w:rFonts w:cs="Arial"/>
        </w:rPr>
        <w:t xml:space="preserve">may impact </w:t>
      </w:r>
      <w:r w:rsidR="000F72F1" w:rsidRPr="00C95307">
        <w:rPr>
          <w:rFonts w:cs="Arial"/>
        </w:rPr>
        <w:t xml:space="preserve">on </w:t>
      </w:r>
      <w:r w:rsidR="00834B8C" w:rsidRPr="00C95307">
        <w:rPr>
          <w:rFonts w:cs="Arial"/>
        </w:rPr>
        <w:t xml:space="preserve">TESP2 implementation, particularly those activities relating to </w:t>
      </w:r>
      <w:r w:rsidR="0004376B" w:rsidRPr="00C95307">
        <w:rPr>
          <w:rFonts w:cs="Arial"/>
        </w:rPr>
        <w:t xml:space="preserve">ECE, </w:t>
      </w:r>
      <w:r w:rsidR="00834B8C" w:rsidRPr="00C95307">
        <w:rPr>
          <w:rFonts w:cs="Arial"/>
        </w:rPr>
        <w:t>teacher registration</w:t>
      </w:r>
      <w:r w:rsidR="0004376B" w:rsidRPr="00C95307">
        <w:rPr>
          <w:rFonts w:cs="Arial"/>
        </w:rPr>
        <w:t xml:space="preserve"> </w:t>
      </w:r>
      <w:r w:rsidR="0004179D" w:rsidRPr="00C95307">
        <w:rPr>
          <w:rFonts w:cs="Arial"/>
        </w:rPr>
        <w:t xml:space="preserve">and </w:t>
      </w:r>
      <w:r w:rsidR="00834B8C" w:rsidRPr="00C95307">
        <w:rPr>
          <w:rFonts w:cs="Arial"/>
        </w:rPr>
        <w:t>inclusive education</w:t>
      </w:r>
      <w:r w:rsidR="0004376B" w:rsidRPr="00C95307">
        <w:rPr>
          <w:rFonts w:cs="Arial"/>
        </w:rPr>
        <w:t xml:space="preserve">. </w:t>
      </w:r>
    </w:p>
    <w:p w:rsidR="00DB0F87" w:rsidRPr="00C95307" w:rsidRDefault="00DB0F87" w:rsidP="00724AA1">
      <w:pPr>
        <w:spacing w:after="120"/>
        <w:jc w:val="both"/>
      </w:pPr>
      <w:r w:rsidRPr="00C95307">
        <w:rPr>
          <w:rFonts w:cs="Arial"/>
          <w:szCs w:val="20"/>
        </w:rPr>
        <w:t xml:space="preserve">Financial sustainability is a significant risk to the ongoing achievement of learning outcomes given </w:t>
      </w:r>
      <w:r w:rsidR="00215050" w:rsidRPr="00C95307">
        <w:rPr>
          <w:rFonts w:cs="Arial"/>
          <w:szCs w:val="20"/>
        </w:rPr>
        <w:t>Tonga’s</w:t>
      </w:r>
      <w:r w:rsidR="001F0097" w:rsidRPr="00C95307">
        <w:rPr>
          <w:rFonts w:cs="Arial"/>
          <w:szCs w:val="20"/>
        </w:rPr>
        <w:t xml:space="preserve"> </w:t>
      </w:r>
      <w:r w:rsidRPr="00C95307">
        <w:rPr>
          <w:rFonts w:cs="Arial"/>
          <w:szCs w:val="20"/>
        </w:rPr>
        <w:t xml:space="preserve">fiscal </w:t>
      </w:r>
      <w:r w:rsidRPr="00C95307">
        <w:t>deficit situation</w:t>
      </w:r>
      <w:r w:rsidR="008965AC" w:rsidRPr="00C95307">
        <w:t xml:space="preserve">. </w:t>
      </w:r>
      <w:r w:rsidRPr="00C95307">
        <w:t xml:space="preserve">The </w:t>
      </w:r>
      <w:r w:rsidRPr="00C95307">
        <w:rPr>
          <w:i/>
        </w:rPr>
        <w:t>Review of Public Expenditure on Education</w:t>
      </w:r>
      <w:r w:rsidR="00AF1CB8" w:rsidRPr="00C95307">
        <w:rPr>
          <w:rStyle w:val="EndnoteReference"/>
        </w:rPr>
        <w:endnoteReference w:id="13"/>
      </w:r>
      <w:r w:rsidRPr="00C95307">
        <w:t xml:space="preserve"> highlights the challenges faced by the GoT in increasing expenditure on the education sector</w:t>
      </w:r>
      <w:r w:rsidR="008965AC" w:rsidRPr="00C95307">
        <w:t xml:space="preserve">. </w:t>
      </w:r>
      <w:r w:rsidRPr="00C95307">
        <w:t>Under the proposed investment, the DPs will fund 100% of the</w:t>
      </w:r>
      <w:r w:rsidR="008965AC" w:rsidRPr="00C95307">
        <w:t xml:space="preserve"> </w:t>
      </w:r>
      <w:r w:rsidRPr="00C95307">
        <w:t xml:space="preserve">Primary School and ECE grants and 50% of the secondary school grants. It will also fund over 18 local contractors who would otherwise </w:t>
      </w:r>
      <w:r w:rsidR="00F81B66" w:rsidRPr="00C95307">
        <w:t xml:space="preserve">need to </w:t>
      </w:r>
      <w:r w:rsidRPr="00C95307">
        <w:t>be funded through a recurrent salaries budget</w:t>
      </w:r>
      <w:r w:rsidR="008965AC" w:rsidRPr="00C95307">
        <w:t xml:space="preserve">. </w:t>
      </w:r>
      <w:r w:rsidRPr="00C95307">
        <w:t xml:space="preserve">The production of learning materials to promote literacy in the early grades also represents a significant share of the DPs investment. Significant expansion of access to ECE and to students with disability </w:t>
      </w:r>
      <w:r w:rsidR="000B5B45" w:rsidRPr="00C95307">
        <w:t>is</w:t>
      </w:r>
      <w:r w:rsidRPr="00C95307">
        <w:t xml:space="preserve"> also likely to </w:t>
      </w:r>
      <w:r w:rsidR="00D811F9" w:rsidRPr="00C95307">
        <w:t>be beyond available (GoT and DP) funding</w:t>
      </w:r>
      <w:r w:rsidRPr="00C95307">
        <w:t xml:space="preserve">. </w:t>
      </w:r>
    </w:p>
    <w:p w:rsidR="00DB0F87" w:rsidRPr="00C95307" w:rsidRDefault="00DB0F87" w:rsidP="00873468">
      <w:pPr>
        <w:spacing w:after="120"/>
        <w:outlineLvl w:val="0"/>
        <w:rPr>
          <w:b/>
          <w:sz w:val="22"/>
        </w:rPr>
      </w:pPr>
      <w:r w:rsidRPr="00C95307">
        <w:rPr>
          <w:b/>
          <w:sz w:val="22"/>
        </w:rPr>
        <w:t>Quality assurance</w:t>
      </w:r>
    </w:p>
    <w:p w:rsidR="00C3327D" w:rsidRPr="00C95307" w:rsidRDefault="00284F53" w:rsidP="00834B8C">
      <w:pPr>
        <w:jc w:val="both"/>
      </w:pPr>
      <w:r w:rsidRPr="00C95307">
        <w:t xml:space="preserve">AusAID has undertaken a range of </w:t>
      </w:r>
      <w:r w:rsidR="00F57683" w:rsidRPr="00C95307">
        <w:t xml:space="preserve">measures </w:t>
      </w:r>
      <w:r w:rsidRPr="00C95307">
        <w:t>to ensure that the proposed investment, although part of a broader development program designed by MET, meets AusAID’s quality assurance requirements.</w:t>
      </w:r>
      <w:r w:rsidR="00834B8C" w:rsidRPr="00C95307">
        <w:t xml:space="preserve"> </w:t>
      </w:r>
      <w:r w:rsidR="00C3327D" w:rsidRPr="00C95307">
        <w:t xml:space="preserve">MET’s strategic planning documents, including the </w:t>
      </w:r>
      <w:r w:rsidR="00C3327D" w:rsidRPr="00C95307">
        <w:rPr>
          <w:i/>
        </w:rPr>
        <w:t>Lakalaka Framework</w:t>
      </w:r>
      <w:r w:rsidR="00724AA1" w:rsidRPr="00C95307">
        <w:rPr>
          <w:i/>
        </w:rPr>
        <w:t>,</w:t>
      </w:r>
      <w:r w:rsidR="00C3327D" w:rsidRPr="00C95307">
        <w:t xml:space="preserve"> form the foundation for the proposed investment</w:t>
      </w:r>
      <w:r w:rsidR="008965AC" w:rsidRPr="00C95307">
        <w:t xml:space="preserve">. </w:t>
      </w:r>
      <w:r w:rsidR="00C3327D" w:rsidRPr="00C95307">
        <w:t xml:space="preserve">In developing the </w:t>
      </w:r>
      <w:r w:rsidR="00C3327D" w:rsidRPr="00C95307">
        <w:rPr>
          <w:i/>
        </w:rPr>
        <w:t>Lakalaka Framework</w:t>
      </w:r>
      <w:r w:rsidR="00C3327D" w:rsidRPr="00C95307">
        <w:t>, MET held nation-wide consultations throughout Tonga on sectoral issues and with all education systems at various levels</w:t>
      </w:r>
      <w:r w:rsidR="008965AC" w:rsidRPr="00C95307">
        <w:t xml:space="preserve">. </w:t>
      </w:r>
      <w:r w:rsidR="00C3327D" w:rsidRPr="00C95307">
        <w:t xml:space="preserve">The proposed revisions to the </w:t>
      </w:r>
      <w:r w:rsidR="00C3327D" w:rsidRPr="00C95307">
        <w:rPr>
          <w:i/>
        </w:rPr>
        <w:t>Education Act</w:t>
      </w:r>
      <w:r w:rsidR="00C3327D" w:rsidRPr="00C95307">
        <w:t xml:space="preserve"> are expected to be passed in the 2013 sitting of the Tongan Parliament.</w:t>
      </w:r>
    </w:p>
    <w:p w:rsidR="00C3327D" w:rsidRPr="00C95307" w:rsidRDefault="00C3327D" w:rsidP="00724AA1">
      <w:pPr>
        <w:tabs>
          <w:tab w:val="left" w:pos="7513"/>
        </w:tabs>
        <w:jc w:val="both"/>
      </w:pPr>
    </w:p>
    <w:p w:rsidR="00DB0F87" w:rsidRPr="00C95307" w:rsidRDefault="00987AE9" w:rsidP="00834B8C">
      <w:pPr>
        <w:tabs>
          <w:tab w:val="left" w:pos="7513"/>
        </w:tabs>
        <w:jc w:val="both"/>
      </w:pPr>
      <w:r w:rsidRPr="00C95307">
        <w:t xml:space="preserve">Following situational analysis and discussions with MET and MFAT, </w:t>
      </w:r>
      <w:r w:rsidR="009D5B45" w:rsidRPr="00C95307">
        <w:t xml:space="preserve">a </w:t>
      </w:r>
      <w:r w:rsidR="009D5B45" w:rsidRPr="00C95307">
        <w:rPr>
          <w:i/>
        </w:rPr>
        <w:t>Tonga Education</w:t>
      </w:r>
      <w:r w:rsidRPr="00C95307">
        <w:t xml:space="preserve"> </w:t>
      </w:r>
      <w:r w:rsidRPr="00C95307">
        <w:rPr>
          <w:i/>
        </w:rPr>
        <w:t>Concept Note</w:t>
      </w:r>
      <w:r w:rsidR="009D5B45" w:rsidRPr="00C95307">
        <w:rPr>
          <w:rStyle w:val="EndnoteReference"/>
        </w:rPr>
        <w:t xml:space="preserve"> </w:t>
      </w:r>
      <w:r w:rsidRPr="00C95307">
        <w:t>was peer reviewed</w:t>
      </w:r>
      <w:r w:rsidR="00284F53" w:rsidRPr="00C95307">
        <w:t xml:space="preserve"> and </w:t>
      </w:r>
      <w:r w:rsidR="00DE7C42" w:rsidRPr="00C95307">
        <w:t xml:space="preserve">then </w:t>
      </w:r>
      <w:r w:rsidR="00284F53" w:rsidRPr="00C95307">
        <w:t>finalised</w:t>
      </w:r>
      <w:r w:rsidR="00724AA1" w:rsidRPr="00C95307">
        <w:t xml:space="preserve"> (July 2010</w:t>
      </w:r>
      <w:r w:rsidR="000F72F1" w:rsidRPr="00C95307">
        <w:t>) by</w:t>
      </w:r>
      <w:r w:rsidR="00DE7C42" w:rsidRPr="00C95307">
        <w:t xml:space="preserve"> AusAID</w:t>
      </w:r>
      <w:r w:rsidRPr="00C95307">
        <w:t>. Since then AusAID and MFAT have he</w:t>
      </w:r>
      <w:r w:rsidR="00284F53" w:rsidRPr="00C95307">
        <w:t xml:space="preserve">ld ongoing discussions with </w:t>
      </w:r>
      <w:r w:rsidRPr="00C95307">
        <w:t>MET</w:t>
      </w:r>
      <w:r w:rsidR="00284F53" w:rsidRPr="00C95307">
        <w:t xml:space="preserve"> to better define mutual </w:t>
      </w:r>
      <w:r w:rsidRPr="00C95307">
        <w:t xml:space="preserve">priorities for support of the education sector and </w:t>
      </w:r>
      <w:r w:rsidR="00284F53" w:rsidRPr="00C95307">
        <w:t xml:space="preserve">with respect to </w:t>
      </w:r>
      <w:r w:rsidRPr="00C95307">
        <w:t xml:space="preserve">the need for MET to develop a program </w:t>
      </w:r>
      <w:r w:rsidR="00284F53" w:rsidRPr="00C95307">
        <w:t xml:space="preserve">of activities </w:t>
      </w:r>
      <w:r w:rsidRPr="00C95307">
        <w:t xml:space="preserve">that is well articulated and well-understood, which has achievable targets and where successes are measurable. </w:t>
      </w:r>
      <w:r w:rsidR="0053669A" w:rsidRPr="00C95307">
        <w:t>A</w:t>
      </w:r>
      <w:r w:rsidR="0004179D" w:rsidRPr="00C95307">
        <w:t>n</w:t>
      </w:r>
      <w:r w:rsidR="00284F53" w:rsidRPr="00C95307">
        <w:t xml:space="preserve"> MFAT </w:t>
      </w:r>
      <w:r w:rsidR="00DB0F87" w:rsidRPr="00C95307">
        <w:t xml:space="preserve">technical assessment of the </w:t>
      </w:r>
      <w:r w:rsidR="007A0E2B" w:rsidRPr="00C95307">
        <w:rPr>
          <w:i/>
        </w:rPr>
        <w:t>Implementation P</w:t>
      </w:r>
      <w:r w:rsidR="00DB0F87" w:rsidRPr="00C95307">
        <w:rPr>
          <w:i/>
        </w:rPr>
        <w:t>lan</w:t>
      </w:r>
      <w:r w:rsidR="0053669A" w:rsidRPr="00C95307">
        <w:rPr>
          <w:rStyle w:val="EndnoteReference"/>
        </w:rPr>
        <w:t xml:space="preserve"> </w:t>
      </w:r>
      <w:r w:rsidR="00DB0F87" w:rsidRPr="00C95307">
        <w:t xml:space="preserve">indicated that the plan is highly aligned with the </w:t>
      </w:r>
      <w:r w:rsidR="00DB0F87" w:rsidRPr="00C95307">
        <w:rPr>
          <w:i/>
        </w:rPr>
        <w:t>Lakalaka Framework</w:t>
      </w:r>
      <w:r w:rsidR="00DB0F87" w:rsidRPr="00C95307">
        <w:t xml:space="preserve"> and covers a comprehensive </w:t>
      </w:r>
      <w:r w:rsidR="00665177" w:rsidRPr="00C95307">
        <w:t>program</w:t>
      </w:r>
      <w:r w:rsidR="00DB0F87" w:rsidRPr="00C95307">
        <w:t xml:space="preserve"> of work that is quite strategic in its intention to address all parts of the education </w:t>
      </w:r>
      <w:r w:rsidR="003D1F5F" w:rsidRPr="00C95307">
        <w:t>sector</w:t>
      </w:r>
      <w:r w:rsidR="00DB0F87" w:rsidRPr="00C95307">
        <w:t>. Successful implementation of the new curriculum, with its focus on student-centred teaching and learning, has the potential to lift literacy and numeracy rates at all levels</w:t>
      </w:r>
      <w:r w:rsidR="008965AC" w:rsidRPr="00C95307">
        <w:t xml:space="preserve">. </w:t>
      </w:r>
      <w:r w:rsidR="004609B9" w:rsidRPr="00C95307">
        <w:t>However</w:t>
      </w:r>
      <w:r w:rsidR="0004179D" w:rsidRPr="00C95307">
        <w:t>,</w:t>
      </w:r>
      <w:r w:rsidR="004609B9" w:rsidRPr="00C95307">
        <w:t xml:space="preserve"> the plan was considered to be too extensive, putting at risk the reforms, particularly in teaching, learning and assessment that are already underway.</w:t>
      </w:r>
      <w:r w:rsidR="00834B8C" w:rsidRPr="00C95307">
        <w:t xml:space="preserve"> </w:t>
      </w:r>
      <w:r w:rsidR="00DB0F87" w:rsidRPr="00C95307">
        <w:t xml:space="preserve">To facilitate finalisation of the </w:t>
      </w:r>
      <w:r w:rsidR="00F90267" w:rsidRPr="00C95307">
        <w:t>investment proposal</w:t>
      </w:r>
      <w:r w:rsidR="00DB0F87" w:rsidRPr="00C95307">
        <w:t>, the DPs conducted a Program Definition Mission in November 2012 t</w:t>
      </w:r>
      <w:r w:rsidR="00F81B66" w:rsidRPr="00C95307">
        <w:t xml:space="preserve">o work with MET in developing </w:t>
      </w:r>
      <w:r w:rsidR="00284F53" w:rsidRPr="00C95307">
        <w:t>an</w:t>
      </w:r>
      <w:r w:rsidR="00DB0F87" w:rsidRPr="00C95307">
        <w:t xml:space="preserve"> agreed set of prioritised activities</w:t>
      </w:r>
      <w:r w:rsidR="00573C2D" w:rsidRPr="00C95307">
        <w:t xml:space="preserve"> for Phase One</w:t>
      </w:r>
      <w:r w:rsidR="00284F53" w:rsidRPr="00C95307">
        <w:t>.</w:t>
      </w:r>
      <w:r w:rsidR="001F0097" w:rsidRPr="00C95307">
        <w:t xml:space="preserve"> </w:t>
      </w:r>
      <w:r w:rsidR="00284F53" w:rsidRPr="00C95307">
        <w:t>This Investment Design Summary reflects the outcomes of these discussions.</w:t>
      </w:r>
    </w:p>
    <w:p w:rsidR="00DB0F87" w:rsidRPr="00C95307" w:rsidRDefault="00DB0F87" w:rsidP="0018358B"/>
    <w:p w:rsidR="00013114" w:rsidRPr="00C95307" w:rsidRDefault="00DB0F87" w:rsidP="00AA4F5B">
      <w:pPr>
        <w:jc w:val="both"/>
      </w:pPr>
      <w:r w:rsidRPr="00C95307">
        <w:t xml:space="preserve">Tonga has undertaken Public Expenditure and Financial Accountability (PEFA) assessments </w:t>
      </w:r>
      <w:r w:rsidR="001F499A" w:rsidRPr="00C95307">
        <w:t xml:space="preserve">in </w:t>
      </w:r>
      <w:r w:rsidRPr="00C95307">
        <w:t xml:space="preserve">2007 and 2010 which both confirmed </w:t>
      </w:r>
      <w:r w:rsidR="001F499A" w:rsidRPr="00C95307">
        <w:t>an</w:t>
      </w:r>
      <w:r w:rsidRPr="00C95307">
        <w:t xml:space="preserve"> overall sound </w:t>
      </w:r>
      <w:r w:rsidR="001F499A" w:rsidRPr="00C95307">
        <w:t xml:space="preserve">GoT </w:t>
      </w:r>
      <w:r w:rsidRPr="00C95307">
        <w:t xml:space="preserve">system in place for managing </w:t>
      </w:r>
      <w:r w:rsidR="001F499A" w:rsidRPr="00C95307">
        <w:t>DP</w:t>
      </w:r>
      <w:r w:rsidRPr="00C95307">
        <w:t xml:space="preserve"> funds. </w:t>
      </w:r>
      <w:r w:rsidR="001F499A" w:rsidRPr="00C95307">
        <w:t xml:space="preserve">An AusAID review </w:t>
      </w:r>
      <w:r w:rsidR="00F81B66" w:rsidRPr="00C95307">
        <w:t>concluded that</w:t>
      </w:r>
      <w:r w:rsidR="001F499A" w:rsidRPr="00C95307">
        <w:t xml:space="preserve"> </w:t>
      </w:r>
      <w:r w:rsidRPr="00C95307">
        <w:t>Tonga’s public financial management system</w:t>
      </w:r>
      <w:r w:rsidR="00F81B66" w:rsidRPr="00C95307">
        <w:t xml:space="preserve"> </w:t>
      </w:r>
      <w:r w:rsidR="0024267F" w:rsidRPr="00C95307">
        <w:t>‘</w:t>
      </w:r>
      <w:r w:rsidRPr="00C95307">
        <w:t xml:space="preserve">is generally sound, and there is no evidence of any significant mismanagement of education sector funds. </w:t>
      </w:r>
      <w:r w:rsidR="00C848D3" w:rsidRPr="00C95307">
        <w:t xml:space="preserve">This was updated in 2012 (refer annex O). </w:t>
      </w:r>
      <w:r w:rsidR="00E671FB" w:rsidRPr="00C95307">
        <w:t>Fraud</w:t>
      </w:r>
      <w:r w:rsidRPr="00C95307">
        <w:t xml:space="preserve"> and fund misappropriation appears to have been minimal in the past, and is not considered a material risk in the sector</w:t>
      </w:r>
      <w:r w:rsidR="0024267F" w:rsidRPr="00C95307">
        <w:t>’</w:t>
      </w:r>
      <w:r w:rsidRPr="00C95307">
        <w:t xml:space="preserve">. It recommended that </w:t>
      </w:r>
      <w:r w:rsidR="0024267F" w:rsidRPr="00C95307">
        <w:t>‘</w:t>
      </w:r>
      <w:r w:rsidRPr="00C95307">
        <w:t>given manageable fiduciary risks and the likely development benefits, AusAID proceed with a program of sector support with continued use of GoT systems</w:t>
      </w:r>
      <w:r w:rsidR="0024267F" w:rsidRPr="00C95307">
        <w:t>’</w:t>
      </w:r>
      <w:r w:rsidR="008965AC" w:rsidRPr="00C95307">
        <w:t>.</w:t>
      </w:r>
      <w:r w:rsidR="00AA4F5B" w:rsidRPr="00C95307">
        <w:t xml:space="preserve"> </w:t>
      </w:r>
      <w:r w:rsidR="00C32AE6" w:rsidRPr="00C95307">
        <w:t xml:space="preserve">Given changes to the Ministry, this report </w:t>
      </w:r>
      <w:r w:rsidR="00E671FB" w:rsidRPr="00C95307">
        <w:t>is currently being</w:t>
      </w:r>
      <w:r w:rsidR="00C32AE6" w:rsidRPr="00C95307">
        <w:t xml:space="preserve"> </w:t>
      </w:r>
      <w:r w:rsidR="00A23792" w:rsidRPr="00C95307">
        <w:t>updated</w:t>
      </w:r>
      <w:r w:rsidR="00C32AE6" w:rsidRPr="00C95307">
        <w:t xml:space="preserve"> by AusAID</w:t>
      </w:r>
      <w:r w:rsidR="00A23792" w:rsidRPr="00C95307">
        <w:t>, but is not expected to raise any new concerns</w:t>
      </w:r>
      <w:r w:rsidR="00C32AE6" w:rsidRPr="00C95307">
        <w:t xml:space="preserve">. </w:t>
      </w:r>
      <w:r w:rsidR="00781DA2" w:rsidRPr="00C95307">
        <w:t>AusAID</w:t>
      </w:r>
      <w:r w:rsidRPr="00C95307">
        <w:t xml:space="preserve"> has also undertaken assessments of operational capacity in MET as the implementing agency</w:t>
      </w:r>
      <w:r w:rsidRPr="00C95307">
        <w:rPr>
          <w:rStyle w:val="EndnoteReference"/>
        </w:rPr>
        <w:endnoteReference w:id="14"/>
      </w:r>
      <w:r w:rsidRPr="00C95307">
        <w:t>,</w:t>
      </w:r>
      <w:r w:rsidR="00013114" w:rsidRPr="00C95307">
        <w:t xml:space="preserve"> the findings of which have been taken into consideration in the </w:t>
      </w:r>
      <w:r w:rsidR="00F81B66" w:rsidRPr="00C95307">
        <w:t xml:space="preserve">proposed mode </w:t>
      </w:r>
      <w:r w:rsidR="00013114" w:rsidRPr="00C95307">
        <w:t>of support for TESP</w:t>
      </w:r>
      <w:r w:rsidR="00E671FB" w:rsidRPr="00C95307">
        <w:t>2</w:t>
      </w:r>
      <w:r w:rsidR="00013114" w:rsidRPr="00C95307">
        <w:t xml:space="preserve">, in particular reflecting the </w:t>
      </w:r>
      <w:r w:rsidR="00666B93" w:rsidRPr="00C95307">
        <w:t>absorptive</w:t>
      </w:r>
      <w:r w:rsidR="00013114" w:rsidRPr="00C95307">
        <w:t xml:space="preserve"> capacity of MET systems and the resultant implementation challenges.</w:t>
      </w:r>
    </w:p>
    <w:p w:rsidR="00AA4F5B" w:rsidRPr="00C95307" w:rsidRDefault="00AA4F5B" w:rsidP="00A77DCB"/>
    <w:p w:rsidR="00007D1D" w:rsidRPr="00C95307" w:rsidRDefault="00AA4F5B" w:rsidP="00F81B66">
      <w:pPr>
        <w:jc w:val="both"/>
        <w:rPr>
          <w:lang w:val="en-GB"/>
        </w:rPr>
      </w:pPr>
      <w:r w:rsidRPr="00C95307">
        <w:t xml:space="preserve">This draft </w:t>
      </w:r>
      <w:r w:rsidR="00BE39B1" w:rsidRPr="00C95307">
        <w:t xml:space="preserve">Investment Design Summary </w:t>
      </w:r>
      <w:r w:rsidR="00996790" w:rsidRPr="00C95307">
        <w:t>was</w:t>
      </w:r>
      <w:r w:rsidR="00BE39B1" w:rsidRPr="00C95307">
        <w:t xml:space="preserve"> </w:t>
      </w:r>
      <w:r w:rsidR="000F72F1" w:rsidRPr="00C95307">
        <w:t>peer reviewed</w:t>
      </w:r>
      <w:r w:rsidR="00013114" w:rsidRPr="00C95307">
        <w:t xml:space="preserve"> </w:t>
      </w:r>
      <w:r w:rsidR="00BE39B1" w:rsidRPr="00C95307">
        <w:t>in December 2012</w:t>
      </w:r>
      <w:r w:rsidR="00996790" w:rsidRPr="00C95307">
        <w:t>, and updated to reflect peer review input in early January 2013</w:t>
      </w:r>
      <w:r w:rsidR="008965AC" w:rsidRPr="00C95307">
        <w:t xml:space="preserve">. </w:t>
      </w:r>
      <w:r w:rsidR="00996790" w:rsidRPr="00C95307">
        <w:t xml:space="preserve"> A joint MET, AusAID and MFAT peer review will take place in mid-January 2013</w:t>
      </w:r>
      <w:r w:rsidR="00013114" w:rsidRPr="00C95307">
        <w:t>.</w:t>
      </w:r>
      <w:r w:rsidR="007F2F0D" w:rsidRPr="00C95307">
        <w:t xml:space="preserve"> </w:t>
      </w:r>
      <w:r w:rsidR="00007D1D" w:rsidRPr="00C95307">
        <w:rPr>
          <w:lang w:val="en-GB"/>
        </w:rPr>
        <w:br w:type="page"/>
      </w:r>
    </w:p>
    <w:p w:rsidR="00007D1D" w:rsidRPr="00007D1D" w:rsidRDefault="00007D1D" w:rsidP="00873468">
      <w:pPr>
        <w:outlineLvl w:val="0"/>
        <w:rPr>
          <w:b/>
          <w:i/>
          <w:lang w:val="en-GB"/>
        </w:rPr>
      </w:pPr>
      <w:r w:rsidRPr="00C95307">
        <w:rPr>
          <w:b/>
          <w:i/>
          <w:lang w:val="en-GB"/>
        </w:rPr>
        <w:t>Notes:</w:t>
      </w:r>
    </w:p>
    <w:sectPr w:rsidR="00007D1D" w:rsidRPr="00007D1D" w:rsidSect="00B85459">
      <w:headerReference w:type="even" r:id="rId9"/>
      <w:headerReference w:type="default" r:id="rId10"/>
      <w:footerReference w:type="even" r:id="rId11"/>
      <w:footerReference w:type="default" r:id="rId12"/>
      <w:headerReference w:type="first" r:id="rId13"/>
      <w:footerReference w:type="first" r:id="rId14"/>
      <w:pgSz w:w="11906" w:h="16838"/>
      <w:pgMar w:top="709" w:right="1080" w:bottom="709" w:left="1080" w:header="284" w:footer="3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08C" w:rsidRDefault="00B5608C" w:rsidP="00976F8A">
      <w:r>
        <w:separator/>
      </w:r>
    </w:p>
  </w:endnote>
  <w:endnote w:type="continuationSeparator" w:id="0">
    <w:p w:rsidR="00B5608C" w:rsidRDefault="00B5608C" w:rsidP="00976F8A">
      <w:r>
        <w:continuationSeparator/>
      </w:r>
    </w:p>
  </w:endnote>
  <w:endnote w:id="1">
    <w:p w:rsidR="00163E97" w:rsidRPr="00260AD8" w:rsidRDefault="00163E97">
      <w:pPr>
        <w:pStyle w:val="EndnoteText"/>
        <w:rPr>
          <w:sz w:val="16"/>
        </w:rPr>
      </w:pPr>
      <w:r w:rsidRPr="00260AD8">
        <w:rPr>
          <w:rStyle w:val="EndnoteReference"/>
          <w:sz w:val="16"/>
        </w:rPr>
        <w:endnoteRef/>
      </w:r>
      <w:r w:rsidRPr="00260AD8">
        <w:rPr>
          <w:sz w:val="16"/>
        </w:rPr>
        <w:t xml:space="preserve"> The name TESP2 is used for the purpose of this document but has still to be confirmed by MET.</w:t>
      </w:r>
    </w:p>
  </w:endnote>
  <w:endnote w:id="2">
    <w:p w:rsidR="00724AA1" w:rsidRPr="00724AA1" w:rsidRDefault="00724AA1">
      <w:pPr>
        <w:pStyle w:val="EndnoteText"/>
        <w:rPr>
          <w:lang w:val="en-NZ"/>
        </w:rPr>
      </w:pPr>
      <w:r>
        <w:rPr>
          <w:rStyle w:val="EndnoteReference"/>
        </w:rPr>
        <w:endnoteRef/>
      </w:r>
      <w:r>
        <w:t xml:space="preserve"> </w:t>
      </w:r>
      <w:r w:rsidRPr="004836BD">
        <w:rPr>
          <w:sz w:val="16"/>
          <w:szCs w:val="16"/>
          <w:lang w:val="en-NZ"/>
        </w:rPr>
        <w:t>See</w:t>
      </w:r>
      <w:r w:rsidR="004836BD">
        <w:rPr>
          <w:lang w:val="en-NZ"/>
        </w:rPr>
        <w:t xml:space="preserve"> </w:t>
      </w:r>
      <w:r w:rsidR="004836BD" w:rsidRPr="004836BD">
        <w:rPr>
          <w:i/>
          <w:sz w:val="16"/>
          <w:szCs w:val="16"/>
          <w:lang w:val="en-NZ"/>
        </w:rPr>
        <w:t>Tonga Education Concept Note</w:t>
      </w:r>
      <w:r w:rsidR="004836BD">
        <w:rPr>
          <w:i/>
          <w:sz w:val="16"/>
          <w:szCs w:val="16"/>
          <w:lang w:val="en-NZ"/>
        </w:rPr>
        <w:t xml:space="preserve">, </w:t>
      </w:r>
      <w:r w:rsidR="004836BD" w:rsidRPr="004836BD">
        <w:rPr>
          <w:sz w:val="16"/>
          <w:szCs w:val="16"/>
          <w:lang w:val="en-NZ"/>
        </w:rPr>
        <w:t>p. 3.</w:t>
      </w:r>
    </w:p>
  </w:endnote>
  <w:endnote w:id="3">
    <w:p w:rsidR="00163E97" w:rsidRPr="00E12415" w:rsidRDefault="00163E97" w:rsidP="003E6D85">
      <w:pPr>
        <w:pStyle w:val="EndnoteText"/>
        <w:rPr>
          <w:sz w:val="16"/>
          <w:szCs w:val="16"/>
        </w:rPr>
      </w:pPr>
      <w:r w:rsidRPr="00E12415">
        <w:rPr>
          <w:rStyle w:val="EndnoteReference"/>
          <w:sz w:val="16"/>
          <w:szCs w:val="16"/>
        </w:rPr>
        <w:endnoteRef/>
      </w:r>
      <w:r w:rsidRPr="00E12415">
        <w:rPr>
          <w:sz w:val="16"/>
          <w:szCs w:val="16"/>
        </w:rPr>
        <w:t xml:space="preserve"> 71% and 45% of students were critically underachieving in English liter</w:t>
      </w:r>
      <w:r>
        <w:rPr>
          <w:sz w:val="16"/>
          <w:szCs w:val="16"/>
        </w:rPr>
        <w:t xml:space="preserve">acy and numeracy, respectively </w:t>
      </w:r>
      <w:r w:rsidRPr="00E12415">
        <w:rPr>
          <w:sz w:val="16"/>
          <w:szCs w:val="16"/>
        </w:rPr>
        <w:t xml:space="preserve">at the end of </w:t>
      </w:r>
      <w:r>
        <w:rPr>
          <w:sz w:val="16"/>
          <w:szCs w:val="16"/>
        </w:rPr>
        <w:t xml:space="preserve">Class </w:t>
      </w:r>
      <w:r w:rsidRPr="00E12415">
        <w:rPr>
          <w:sz w:val="16"/>
          <w:szCs w:val="16"/>
        </w:rPr>
        <w:t>4.</w:t>
      </w:r>
    </w:p>
  </w:endnote>
  <w:endnote w:id="4">
    <w:p w:rsidR="00163E97" w:rsidRPr="00E12415" w:rsidRDefault="00163E97" w:rsidP="003E6D85">
      <w:pPr>
        <w:pStyle w:val="EndnoteText"/>
        <w:rPr>
          <w:sz w:val="16"/>
          <w:szCs w:val="16"/>
        </w:rPr>
      </w:pPr>
      <w:r w:rsidRPr="00E12415">
        <w:rPr>
          <w:rStyle w:val="EndnoteReference"/>
          <w:sz w:val="16"/>
          <w:szCs w:val="16"/>
        </w:rPr>
        <w:endnoteRef/>
      </w:r>
      <w:r w:rsidRPr="00E12415">
        <w:rPr>
          <w:sz w:val="16"/>
          <w:szCs w:val="16"/>
        </w:rPr>
        <w:t xml:space="preserve"> </w:t>
      </w:r>
      <w:r>
        <w:rPr>
          <w:sz w:val="16"/>
          <w:szCs w:val="16"/>
        </w:rPr>
        <w:t>G</w:t>
      </w:r>
      <w:r w:rsidRPr="00E12415">
        <w:rPr>
          <w:sz w:val="16"/>
          <w:szCs w:val="16"/>
        </w:rPr>
        <w:t>irls are significantly outperforming boys: 19% of girls were achieving at the upper end in English literacy at the end of Year 4, compared to 10% of boys</w:t>
      </w:r>
      <w:r>
        <w:rPr>
          <w:sz w:val="16"/>
          <w:szCs w:val="16"/>
        </w:rPr>
        <w:t xml:space="preserve">. </w:t>
      </w:r>
      <w:r w:rsidRPr="00E12415">
        <w:rPr>
          <w:sz w:val="16"/>
          <w:szCs w:val="16"/>
        </w:rPr>
        <w:t>41% of girls were achieving at the upper end in numeracy at the end of Year 4, compared to 33% of boys.</w:t>
      </w:r>
    </w:p>
  </w:endnote>
  <w:endnote w:id="5">
    <w:p w:rsidR="00163E97" w:rsidRPr="00E12415" w:rsidRDefault="00163E97">
      <w:pPr>
        <w:pStyle w:val="EndnoteText"/>
        <w:rPr>
          <w:sz w:val="16"/>
          <w:szCs w:val="16"/>
        </w:rPr>
      </w:pPr>
      <w:r w:rsidRPr="00E12415">
        <w:rPr>
          <w:rStyle w:val="EndnoteReference"/>
          <w:sz w:val="16"/>
          <w:szCs w:val="16"/>
        </w:rPr>
        <w:endnoteRef/>
      </w:r>
      <w:r w:rsidRPr="00E12415">
        <w:rPr>
          <w:sz w:val="16"/>
          <w:szCs w:val="16"/>
        </w:rPr>
        <w:t xml:space="preserve"> Both the Minist</w:t>
      </w:r>
      <w:r>
        <w:rPr>
          <w:sz w:val="16"/>
          <w:szCs w:val="16"/>
        </w:rPr>
        <w:t xml:space="preserve">er and Chief Executive Officer </w:t>
      </w:r>
      <w:r w:rsidRPr="00E12415">
        <w:rPr>
          <w:sz w:val="16"/>
          <w:szCs w:val="16"/>
        </w:rPr>
        <w:t>are female and most of those in the top positions are female.</w:t>
      </w:r>
    </w:p>
  </w:endnote>
  <w:endnote w:id="6">
    <w:p w:rsidR="00420E64" w:rsidRPr="00420E64" w:rsidRDefault="00420E64">
      <w:pPr>
        <w:pStyle w:val="EndnoteText"/>
        <w:rPr>
          <w:i/>
          <w:sz w:val="16"/>
          <w:szCs w:val="16"/>
          <w:lang w:val="en-NZ"/>
        </w:rPr>
      </w:pPr>
      <w:r>
        <w:rPr>
          <w:rStyle w:val="EndnoteReference"/>
        </w:rPr>
        <w:endnoteRef/>
      </w:r>
      <w:r>
        <w:rPr>
          <w:sz w:val="16"/>
          <w:szCs w:val="16"/>
          <w:lang w:val="en-NZ"/>
        </w:rPr>
        <w:t xml:space="preserve"> See </w:t>
      </w:r>
      <w:r w:rsidR="00724AA1" w:rsidRPr="00724AA1">
        <w:rPr>
          <w:i/>
          <w:sz w:val="16"/>
          <w:szCs w:val="16"/>
          <w:lang w:val="en-NZ"/>
        </w:rPr>
        <w:t>Tonga Education</w:t>
      </w:r>
      <w:r>
        <w:rPr>
          <w:i/>
          <w:sz w:val="16"/>
          <w:szCs w:val="16"/>
          <w:lang w:val="en-NZ"/>
        </w:rPr>
        <w:t xml:space="preserve"> Concept Note</w:t>
      </w:r>
      <w:r w:rsidRPr="00420E64">
        <w:rPr>
          <w:sz w:val="16"/>
          <w:szCs w:val="16"/>
          <w:lang w:val="en-NZ"/>
        </w:rPr>
        <w:t>, p.</w:t>
      </w:r>
      <w:r w:rsidR="00677ECD">
        <w:rPr>
          <w:sz w:val="16"/>
          <w:szCs w:val="16"/>
          <w:lang w:val="en-NZ"/>
        </w:rPr>
        <w:t xml:space="preserve"> 5.</w:t>
      </w:r>
    </w:p>
  </w:endnote>
  <w:endnote w:id="7">
    <w:p w:rsidR="00163E97" w:rsidRPr="00E12415" w:rsidRDefault="00163E97">
      <w:pPr>
        <w:pStyle w:val="EndnoteText"/>
        <w:rPr>
          <w:sz w:val="16"/>
          <w:szCs w:val="16"/>
        </w:rPr>
      </w:pPr>
      <w:r w:rsidRPr="00E12415">
        <w:rPr>
          <w:rStyle w:val="EndnoteReference"/>
          <w:sz w:val="16"/>
          <w:szCs w:val="16"/>
        </w:rPr>
        <w:endnoteRef/>
      </w:r>
      <w:r w:rsidRPr="00E12415">
        <w:rPr>
          <w:sz w:val="16"/>
          <w:szCs w:val="16"/>
        </w:rPr>
        <w:t xml:space="preserve"> It is noted that the World Bank and the Government of Tonga have agreed to the Bank’s continued role in an advisory capacity, in keeping with the Bank’s role as a global knowledge agency. The Bank considers that New Zealand and Australia provide ample grant funding for Tonga’s education sector in relation to Tonga’s capacity to implement donor funding.</w:t>
      </w:r>
    </w:p>
  </w:endnote>
  <w:endnote w:id="8">
    <w:p w:rsidR="00163E97" w:rsidRPr="00C15026" w:rsidRDefault="00163E97" w:rsidP="00C15026">
      <w:pPr>
        <w:pStyle w:val="EndnoteText"/>
        <w:rPr>
          <w:sz w:val="16"/>
          <w:szCs w:val="16"/>
        </w:rPr>
      </w:pPr>
      <w:r w:rsidRPr="00C15026">
        <w:rPr>
          <w:rStyle w:val="EndnoteReference"/>
          <w:sz w:val="16"/>
          <w:szCs w:val="16"/>
        </w:rPr>
        <w:endnoteRef/>
      </w:r>
      <w:r w:rsidRPr="00C15026">
        <w:rPr>
          <w:sz w:val="16"/>
          <w:szCs w:val="16"/>
        </w:rPr>
        <w:t xml:space="preserve"> Uniservices (2010).</w:t>
      </w:r>
      <w:r w:rsidR="001F0097">
        <w:rPr>
          <w:sz w:val="16"/>
          <w:szCs w:val="16"/>
        </w:rPr>
        <w:t xml:space="preserve"> </w:t>
      </w:r>
      <w:r w:rsidRPr="00C15026">
        <w:rPr>
          <w:i/>
          <w:sz w:val="16"/>
          <w:szCs w:val="16"/>
        </w:rPr>
        <w:t>TESP Final Report</w:t>
      </w:r>
      <w:r>
        <w:rPr>
          <w:sz w:val="16"/>
          <w:szCs w:val="16"/>
        </w:rPr>
        <w:t>. September 1, 2010</w:t>
      </w:r>
    </w:p>
  </w:endnote>
  <w:endnote w:id="9">
    <w:p w:rsidR="00163E97" w:rsidRPr="00E12415" w:rsidRDefault="00163E97">
      <w:pPr>
        <w:pStyle w:val="EndnoteText"/>
        <w:rPr>
          <w:sz w:val="16"/>
          <w:szCs w:val="16"/>
        </w:rPr>
      </w:pPr>
      <w:r w:rsidRPr="00E12415">
        <w:rPr>
          <w:rStyle w:val="EndnoteReference"/>
          <w:sz w:val="16"/>
          <w:szCs w:val="16"/>
        </w:rPr>
        <w:endnoteRef/>
      </w:r>
      <w:r w:rsidRPr="00E12415">
        <w:rPr>
          <w:sz w:val="16"/>
          <w:szCs w:val="16"/>
        </w:rPr>
        <w:t xml:space="preserve"> The Ministry is now responsible for training (previously under the</w:t>
      </w:r>
      <w:r w:rsidR="001F0097">
        <w:rPr>
          <w:sz w:val="16"/>
          <w:szCs w:val="16"/>
        </w:rPr>
        <w:t xml:space="preserve"> </w:t>
      </w:r>
      <w:r w:rsidRPr="00E12415">
        <w:rPr>
          <w:sz w:val="16"/>
          <w:szCs w:val="16"/>
        </w:rPr>
        <w:t>Ministry of Training, Employment Youth and Sports) but is no longer responsible for Women’s Affairs and Culture.</w:t>
      </w:r>
    </w:p>
  </w:endnote>
  <w:endnote w:id="10">
    <w:p w:rsidR="00163E97" w:rsidRPr="00E12415" w:rsidRDefault="00163E97">
      <w:pPr>
        <w:pStyle w:val="EndnoteText"/>
        <w:rPr>
          <w:sz w:val="16"/>
          <w:szCs w:val="16"/>
        </w:rPr>
      </w:pPr>
      <w:r w:rsidRPr="00E12415">
        <w:rPr>
          <w:rStyle w:val="EndnoteReference"/>
          <w:sz w:val="16"/>
          <w:szCs w:val="16"/>
        </w:rPr>
        <w:endnoteRef/>
      </w:r>
      <w:r w:rsidRPr="00E12415">
        <w:rPr>
          <w:sz w:val="16"/>
          <w:szCs w:val="16"/>
        </w:rPr>
        <w:t xml:space="preserve"> AusAID (2012). </w:t>
      </w:r>
      <w:r w:rsidRPr="00E12415">
        <w:rPr>
          <w:i/>
          <w:sz w:val="16"/>
          <w:szCs w:val="16"/>
        </w:rPr>
        <w:t>2011 Tonga A</w:t>
      </w:r>
      <w:r>
        <w:rPr>
          <w:i/>
          <w:sz w:val="16"/>
          <w:szCs w:val="16"/>
        </w:rPr>
        <w:t xml:space="preserve">nnual Program </w:t>
      </w:r>
      <w:r w:rsidRPr="00E12415">
        <w:rPr>
          <w:i/>
          <w:sz w:val="16"/>
          <w:szCs w:val="16"/>
        </w:rPr>
        <w:t>P</w:t>
      </w:r>
      <w:r>
        <w:rPr>
          <w:i/>
          <w:sz w:val="16"/>
          <w:szCs w:val="16"/>
        </w:rPr>
        <w:t xml:space="preserve">erformance </w:t>
      </w:r>
      <w:r w:rsidRPr="00E12415">
        <w:rPr>
          <w:i/>
          <w:sz w:val="16"/>
          <w:szCs w:val="16"/>
        </w:rPr>
        <w:t>R</w:t>
      </w:r>
      <w:r>
        <w:rPr>
          <w:i/>
          <w:sz w:val="16"/>
          <w:szCs w:val="16"/>
        </w:rPr>
        <w:t>eport.</w:t>
      </w:r>
      <w:r w:rsidRPr="00E12415">
        <w:rPr>
          <w:sz w:val="16"/>
          <w:szCs w:val="16"/>
        </w:rPr>
        <w:t xml:space="preserve"> </w:t>
      </w:r>
    </w:p>
  </w:endnote>
  <w:endnote w:id="11">
    <w:p w:rsidR="00163E97" w:rsidRPr="00746FEC" w:rsidRDefault="00163E97">
      <w:pPr>
        <w:pStyle w:val="EndnoteText"/>
        <w:rPr>
          <w:sz w:val="16"/>
        </w:rPr>
      </w:pPr>
      <w:r w:rsidRPr="00746FEC">
        <w:rPr>
          <w:rStyle w:val="EndnoteReference"/>
          <w:sz w:val="16"/>
        </w:rPr>
        <w:endnoteRef/>
      </w:r>
      <w:r w:rsidRPr="00746FEC">
        <w:rPr>
          <w:sz w:val="16"/>
        </w:rPr>
        <w:t xml:space="preserve"> </w:t>
      </w:r>
      <w:r w:rsidR="009026DD">
        <w:rPr>
          <w:sz w:val="16"/>
        </w:rPr>
        <w:t>Budget, Australia’s International Development Assistance Program 2012-13, 8 May 2012</w:t>
      </w:r>
    </w:p>
  </w:endnote>
  <w:endnote w:id="12">
    <w:p w:rsidR="00163E97" w:rsidRPr="00E12415" w:rsidRDefault="00163E97">
      <w:pPr>
        <w:pStyle w:val="EndnoteText"/>
        <w:rPr>
          <w:sz w:val="16"/>
          <w:szCs w:val="16"/>
        </w:rPr>
      </w:pPr>
      <w:r w:rsidRPr="00E12415">
        <w:rPr>
          <w:rStyle w:val="EndnoteReference"/>
          <w:sz w:val="16"/>
          <w:szCs w:val="16"/>
        </w:rPr>
        <w:endnoteRef/>
      </w:r>
      <w:r w:rsidRPr="00E12415">
        <w:rPr>
          <w:sz w:val="16"/>
          <w:szCs w:val="16"/>
        </w:rPr>
        <w:t xml:space="preserve"> To provide funding for essential ongoing activities, MFAT has already made provision for a further temporary Grant Funding Agreement of TOPS 3.6m for FY12/13 with payments up to December 2012.</w:t>
      </w:r>
    </w:p>
  </w:endnote>
  <w:endnote w:id="13">
    <w:p w:rsidR="00163E97" w:rsidRPr="00240FC9" w:rsidRDefault="00163E97">
      <w:pPr>
        <w:pStyle w:val="EndnoteText"/>
        <w:rPr>
          <w:sz w:val="16"/>
          <w:szCs w:val="16"/>
        </w:rPr>
      </w:pPr>
      <w:r w:rsidRPr="00240FC9">
        <w:rPr>
          <w:rStyle w:val="EndnoteReference"/>
          <w:sz w:val="16"/>
          <w:szCs w:val="16"/>
        </w:rPr>
        <w:endnoteRef/>
      </w:r>
      <w:r w:rsidRPr="00240FC9">
        <w:rPr>
          <w:sz w:val="16"/>
          <w:szCs w:val="16"/>
        </w:rPr>
        <w:t xml:space="preserve"> Minford (2010). </w:t>
      </w:r>
      <w:r w:rsidRPr="00240FC9">
        <w:rPr>
          <w:i/>
          <w:sz w:val="16"/>
          <w:szCs w:val="16"/>
        </w:rPr>
        <w:t>Review of Public Expenditure on Education. Kingdom of Tonga</w:t>
      </w:r>
      <w:r w:rsidRPr="00240FC9">
        <w:rPr>
          <w:sz w:val="16"/>
          <w:szCs w:val="16"/>
        </w:rPr>
        <w:t>.</w:t>
      </w:r>
      <w:r w:rsidR="001F0097">
        <w:rPr>
          <w:sz w:val="16"/>
          <w:szCs w:val="16"/>
        </w:rPr>
        <w:t xml:space="preserve"> </w:t>
      </w:r>
      <w:r w:rsidRPr="00240FC9">
        <w:rPr>
          <w:sz w:val="16"/>
          <w:szCs w:val="16"/>
        </w:rPr>
        <w:t>‘Atiola, ‘Esau, Lavemaau, Minford. June 2010.</w:t>
      </w:r>
    </w:p>
  </w:endnote>
  <w:endnote w:id="14">
    <w:p w:rsidR="00163E97" w:rsidRPr="00E12415" w:rsidRDefault="00163E97" w:rsidP="00CA12D2">
      <w:pPr>
        <w:rPr>
          <w:color w:val="FF0000"/>
          <w:sz w:val="16"/>
          <w:szCs w:val="16"/>
        </w:rPr>
      </w:pPr>
      <w:r w:rsidRPr="00E12415">
        <w:rPr>
          <w:rStyle w:val="EndnoteReference"/>
          <w:sz w:val="16"/>
          <w:szCs w:val="16"/>
        </w:rPr>
        <w:endnoteRef/>
      </w:r>
      <w:r w:rsidRPr="00E12415">
        <w:rPr>
          <w:sz w:val="16"/>
          <w:szCs w:val="16"/>
        </w:rPr>
        <w:t xml:space="preserve"> Renneberg (2011). </w:t>
      </w:r>
      <w:r w:rsidRPr="00E12415">
        <w:rPr>
          <w:i/>
          <w:sz w:val="16"/>
          <w:szCs w:val="16"/>
        </w:rPr>
        <w:t xml:space="preserve">Aide Memoire. Institutional Capacity Assessment of the Ministry of Education, Women’s Affairs and </w:t>
      </w:r>
      <w:r w:rsidR="000F72F1" w:rsidRPr="00E12415">
        <w:rPr>
          <w:i/>
          <w:sz w:val="16"/>
          <w:szCs w:val="16"/>
        </w:rPr>
        <w:t>Culture</w:t>
      </w:r>
      <w:r w:rsidR="000F72F1">
        <w:rPr>
          <w:sz w:val="16"/>
          <w:szCs w:val="16"/>
        </w:rPr>
        <w:t xml:space="preserve">. </w:t>
      </w:r>
      <w:r w:rsidRPr="00E12415">
        <w:rPr>
          <w:sz w:val="16"/>
          <w:szCs w:val="16"/>
        </w:rPr>
        <w:t xml:space="preserve">4 February 2011.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42" w:rsidRDefault="00B122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E97" w:rsidRPr="00207800" w:rsidRDefault="00C30CDA" w:rsidP="00272B9F">
    <w:pPr>
      <w:pStyle w:val="Footer"/>
      <w:pBdr>
        <w:top w:val="single" w:sz="4" w:space="1" w:color="auto"/>
      </w:pBdr>
      <w:rPr>
        <w:i/>
        <w:sz w:val="18"/>
        <w:szCs w:val="18"/>
      </w:rPr>
    </w:pPr>
    <w:r>
      <w:rPr>
        <w:i/>
        <w:sz w:val="18"/>
        <w:szCs w:val="18"/>
      </w:rPr>
      <w:t>TESP2 Investment Design Summary</w:t>
    </w:r>
    <w:r w:rsidR="00163E97" w:rsidRPr="00207800">
      <w:rPr>
        <w:i/>
        <w:sz w:val="18"/>
        <w:szCs w:val="18"/>
      </w:rPr>
      <w:tab/>
      <w:t xml:space="preserve"> </w:t>
    </w:r>
    <w:r>
      <w:rPr>
        <w:i/>
        <w:sz w:val="18"/>
        <w:szCs w:val="18"/>
      </w:rPr>
      <w:t>8</w:t>
    </w:r>
    <w:r w:rsidR="003B1CC1">
      <w:rPr>
        <w:i/>
        <w:sz w:val="18"/>
        <w:szCs w:val="18"/>
      </w:rPr>
      <w:t xml:space="preserve"> January</w:t>
    </w:r>
    <w:r w:rsidR="00163E97">
      <w:rPr>
        <w:i/>
        <w:sz w:val="18"/>
        <w:szCs w:val="18"/>
      </w:rPr>
      <w:t xml:space="preserve"> </w:t>
    </w:r>
    <w:r w:rsidR="003B1CC1">
      <w:rPr>
        <w:i/>
        <w:sz w:val="18"/>
        <w:szCs w:val="18"/>
      </w:rPr>
      <w:t>2013</w:t>
    </w:r>
    <w:r w:rsidR="00163E97" w:rsidRPr="00207800">
      <w:rPr>
        <w:i/>
        <w:sz w:val="18"/>
        <w:szCs w:val="18"/>
      </w:rPr>
      <w:tab/>
    </w:r>
    <w:r w:rsidR="00D75A74" w:rsidRPr="00207800">
      <w:rPr>
        <w:i/>
        <w:sz w:val="18"/>
        <w:szCs w:val="18"/>
      </w:rPr>
      <w:fldChar w:fldCharType="begin"/>
    </w:r>
    <w:r w:rsidR="00163E97" w:rsidRPr="00207800">
      <w:rPr>
        <w:i/>
        <w:sz w:val="18"/>
        <w:szCs w:val="18"/>
      </w:rPr>
      <w:instrText xml:space="preserve"> PAGE   \* MERGEFORMAT </w:instrText>
    </w:r>
    <w:r w:rsidR="00D75A74" w:rsidRPr="00207800">
      <w:rPr>
        <w:i/>
        <w:sz w:val="18"/>
        <w:szCs w:val="18"/>
      </w:rPr>
      <w:fldChar w:fldCharType="separate"/>
    </w:r>
    <w:r w:rsidR="00B12242">
      <w:rPr>
        <w:i/>
        <w:noProof/>
        <w:sz w:val="18"/>
        <w:szCs w:val="18"/>
      </w:rPr>
      <w:t>1</w:t>
    </w:r>
    <w:r w:rsidR="00D75A74" w:rsidRPr="00207800">
      <w:rPr>
        <w:i/>
        <w:sz w:val="18"/>
        <w:szCs w:val="18"/>
      </w:rPr>
      <w:fldChar w:fldCharType="end"/>
    </w:r>
  </w:p>
  <w:p w:rsidR="00163E97" w:rsidRDefault="00163E97" w:rsidP="00976F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42" w:rsidRDefault="00B12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08C" w:rsidRDefault="00B5608C" w:rsidP="00976F8A">
      <w:r>
        <w:separator/>
      </w:r>
    </w:p>
  </w:footnote>
  <w:footnote w:type="continuationSeparator" w:id="0">
    <w:p w:rsidR="00B5608C" w:rsidRDefault="00B5608C" w:rsidP="00976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42" w:rsidRDefault="00B122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E97" w:rsidRDefault="00163E97" w:rsidP="00A95A5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42" w:rsidRDefault="00B12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742B904"/>
    <w:lvl w:ilvl="0">
      <w:start w:val="1"/>
      <w:numFmt w:val="decimal"/>
      <w:pStyle w:val="ListNumber"/>
      <w:lvlText w:val="%1."/>
      <w:lvlJc w:val="left"/>
      <w:pPr>
        <w:tabs>
          <w:tab w:val="num" w:pos="644"/>
        </w:tabs>
        <w:ind w:left="644" w:hanging="360"/>
      </w:pPr>
      <w:rPr>
        <w:rFonts w:cs="Times New Roman"/>
      </w:rPr>
    </w:lvl>
  </w:abstractNum>
  <w:abstractNum w:abstractNumId="1">
    <w:nsid w:val="FFFFFF88"/>
    <w:multiLevelType w:val="singleLevel"/>
    <w:tmpl w:val="C57CAEF2"/>
    <w:lvl w:ilvl="0">
      <w:start w:val="1"/>
      <w:numFmt w:val="decimal"/>
      <w:pStyle w:val="ListBullet2"/>
      <w:lvlText w:val="%1."/>
      <w:lvlJc w:val="left"/>
      <w:pPr>
        <w:tabs>
          <w:tab w:val="num" w:pos="360"/>
        </w:tabs>
        <w:ind w:left="360" w:hanging="360"/>
      </w:pPr>
      <w:rPr>
        <w:rFonts w:cs="Times New Roman"/>
      </w:rPr>
    </w:lvl>
  </w:abstractNum>
  <w:abstractNum w:abstractNumId="2">
    <w:nsid w:val="FFFFFF89"/>
    <w:multiLevelType w:val="singleLevel"/>
    <w:tmpl w:val="769E2CC6"/>
    <w:lvl w:ilvl="0">
      <w:start w:val="1"/>
      <w:numFmt w:val="bullet"/>
      <w:pStyle w:val="ListNumber2"/>
      <w:lvlText w:val=""/>
      <w:lvlJc w:val="left"/>
      <w:pPr>
        <w:tabs>
          <w:tab w:val="num" w:pos="360"/>
        </w:tabs>
        <w:ind w:left="360" w:hanging="360"/>
      </w:pPr>
      <w:rPr>
        <w:rFonts w:ascii="Symbol" w:hAnsi="Symbol" w:hint="default"/>
      </w:rPr>
    </w:lvl>
  </w:abstractNum>
  <w:abstractNum w:abstractNumId="3">
    <w:nsid w:val="1ADA5404"/>
    <w:multiLevelType w:val="singleLevel"/>
    <w:tmpl w:val="E0884A38"/>
    <w:lvl w:ilvl="0">
      <w:start w:val="1"/>
      <w:numFmt w:val="bullet"/>
      <w:pStyle w:val="BodyTextIndent3"/>
      <w:lvlText w:val=""/>
      <w:lvlJc w:val="left"/>
      <w:pPr>
        <w:tabs>
          <w:tab w:val="num" w:pos="397"/>
        </w:tabs>
        <w:ind w:left="397" w:hanging="397"/>
      </w:pPr>
      <w:rPr>
        <w:rFonts w:ascii="Symbol" w:hAnsi="Symbol" w:hint="default"/>
      </w:rPr>
    </w:lvl>
  </w:abstractNum>
  <w:abstractNum w:abstractNumId="4">
    <w:nsid w:val="24B871F8"/>
    <w:multiLevelType w:val="hybridMultilevel"/>
    <w:tmpl w:val="18EEC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5264A5A"/>
    <w:multiLevelType w:val="hybridMultilevel"/>
    <w:tmpl w:val="0D2C9A66"/>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255A156F"/>
    <w:multiLevelType w:val="hybridMultilevel"/>
    <w:tmpl w:val="228A48F8"/>
    <w:lvl w:ilvl="0" w:tplc="FFFFFFFF">
      <w:start w:val="1"/>
      <w:numFmt w:val="decimal"/>
      <w:lvlText w:val="%1."/>
      <w:lvlJc w:val="left"/>
      <w:pPr>
        <w:tabs>
          <w:tab w:val="num" w:pos="360"/>
        </w:tabs>
        <w:ind w:left="360" w:hanging="360"/>
      </w:pPr>
      <w:rPr>
        <w:rFonts w:hint="default"/>
        <w:b/>
        <w:i w:val="0"/>
      </w:rPr>
    </w:lvl>
    <w:lvl w:ilvl="1" w:tplc="0C090015">
      <w:start w:val="1"/>
      <w:numFmt w:val="upperLetter"/>
      <w:lvlText w:val="%2."/>
      <w:lvlJc w:val="left"/>
      <w:pPr>
        <w:tabs>
          <w:tab w:val="num" w:pos="1211"/>
        </w:tabs>
        <w:ind w:left="1211"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2FA923B0"/>
    <w:multiLevelType w:val="hybridMultilevel"/>
    <w:tmpl w:val="A5902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D11B4"/>
    <w:multiLevelType w:val="multilevel"/>
    <w:tmpl w:val="B9B0373C"/>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EA6171A"/>
    <w:multiLevelType w:val="multilevel"/>
    <w:tmpl w:val="7486A212"/>
    <w:lvl w:ilvl="0">
      <w:start w:val="1"/>
      <w:numFmt w:val="decimal"/>
      <w:pStyle w:val="Heading1"/>
      <w:lvlText w:val="%1."/>
      <w:lvlJc w:val="left"/>
      <w:pPr>
        <w:tabs>
          <w:tab w:val="num" w:pos="284"/>
        </w:tabs>
        <w:ind w:left="851" w:hanging="567"/>
      </w:pPr>
      <w:rPr>
        <w:rFonts w:cs="Times New Roman" w:hint="default"/>
        <w:sz w:val="24"/>
      </w:rPr>
    </w:lvl>
    <w:lvl w:ilvl="1">
      <w:start w:val="1"/>
      <w:numFmt w:val="decimal"/>
      <w:pStyle w:val="Heading2"/>
      <w:lvlText w:val="%1.%2"/>
      <w:lvlJc w:val="left"/>
      <w:pPr>
        <w:tabs>
          <w:tab w:val="num" w:pos="993"/>
        </w:tabs>
        <w:ind w:left="993" w:hanging="567"/>
      </w:pPr>
      <w:rPr>
        <w:rFonts w:cs="Times New Roman" w:hint="default"/>
      </w:rPr>
    </w:lvl>
    <w:lvl w:ilvl="2">
      <w:start w:val="1"/>
      <w:numFmt w:val="decimal"/>
      <w:pStyle w:val="Heading3"/>
      <w:lvlText w:val="%1.%2.%3"/>
      <w:lvlJc w:val="left"/>
      <w:pPr>
        <w:tabs>
          <w:tab w:val="num" w:pos="567"/>
        </w:tabs>
        <w:ind w:left="567" w:hanging="567"/>
      </w:pPr>
      <w:rPr>
        <w:rFonts w:cs="Times New Roman" w:hint="default"/>
      </w:rPr>
    </w:lvl>
    <w:lvl w:ilvl="3">
      <w:start w:val="1"/>
      <w:numFmt w:val="decimal"/>
      <w:lvlText w:val="%1.%2.%3.%4"/>
      <w:lvlJc w:val="left"/>
      <w:pPr>
        <w:tabs>
          <w:tab w:val="num" w:pos="0"/>
        </w:tabs>
        <w:ind w:left="0" w:firstLine="0"/>
      </w:pPr>
      <w:rPr>
        <w:rFonts w:cs="Times New Roman" w:hint="default"/>
      </w:rPr>
    </w:lvl>
    <w:lvl w:ilvl="4">
      <w:start w:val="1"/>
      <w:numFmt w:val="decimal"/>
      <w:lvlText w:val="%1.%2.%3.%4.%5"/>
      <w:lvlJc w:val="left"/>
      <w:pPr>
        <w:tabs>
          <w:tab w:val="num" w:pos="0"/>
        </w:tabs>
        <w:ind w:left="0" w:firstLine="0"/>
      </w:pPr>
      <w:rPr>
        <w:rFonts w:cs="Times New Roman" w:hint="default"/>
      </w:rPr>
    </w:lvl>
    <w:lvl w:ilvl="5">
      <w:start w:val="1"/>
      <w:numFmt w:val="decimal"/>
      <w:lvlText w:val="%1.%2.%3.%4.%5.%6"/>
      <w:lvlJc w:val="left"/>
      <w:pPr>
        <w:tabs>
          <w:tab w:val="num" w:pos="0"/>
        </w:tabs>
        <w:ind w:left="0" w:firstLine="0"/>
      </w:pPr>
      <w:rPr>
        <w:rFonts w:cs="Times New Roman" w:hint="default"/>
      </w:rPr>
    </w:lvl>
    <w:lvl w:ilvl="6">
      <w:start w:val="1"/>
      <w:numFmt w:val="decimal"/>
      <w:lvlText w:val="%1.%2.%3.%4.%5.%6.%7"/>
      <w:lvlJc w:val="left"/>
      <w:pPr>
        <w:tabs>
          <w:tab w:val="num" w:pos="0"/>
        </w:tabs>
        <w:ind w:left="0" w:firstLine="0"/>
      </w:pPr>
      <w:rPr>
        <w:rFonts w:cs="Times New Roman" w:hint="default"/>
      </w:rPr>
    </w:lvl>
    <w:lvl w:ilvl="7">
      <w:start w:val="1"/>
      <w:numFmt w:val="decimal"/>
      <w:lvlText w:val="%1.%2.%3.%4.%5.%6.%7.%8"/>
      <w:lvlJc w:val="left"/>
      <w:pPr>
        <w:tabs>
          <w:tab w:val="num" w:pos="0"/>
        </w:tabs>
        <w:ind w:left="0" w:firstLine="0"/>
      </w:pPr>
      <w:rPr>
        <w:rFonts w:cs="Times New Roman" w:hint="default"/>
      </w:rPr>
    </w:lvl>
    <w:lvl w:ilvl="8">
      <w:start w:val="1"/>
      <w:numFmt w:val="decimal"/>
      <w:lvlText w:val="%1.%2.%3.%4.%5.%6.%7.%8.%9"/>
      <w:lvlJc w:val="left"/>
      <w:pPr>
        <w:tabs>
          <w:tab w:val="num" w:pos="0"/>
        </w:tabs>
        <w:ind w:left="0" w:firstLine="0"/>
      </w:pPr>
      <w:rPr>
        <w:rFonts w:cs="Times New Roman" w:hint="default"/>
      </w:rPr>
    </w:lvl>
  </w:abstractNum>
  <w:abstractNum w:abstractNumId="1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4E83588"/>
    <w:multiLevelType w:val="singleLevel"/>
    <w:tmpl w:val="E11235A2"/>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12"/>
  </w:num>
  <w:num w:numId="5">
    <w:abstractNumId w:val="9"/>
  </w:num>
  <w:num w:numId="6">
    <w:abstractNumId w:val="3"/>
  </w:num>
  <w:num w:numId="7">
    <w:abstractNumId w:val="8"/>
  </w:num>
  <w:num w:numId="8">
    <w:abstractNumId w:val="10"/>
  </w:num>
  <w:num w:numId="9">
    <w:abstractNumId w:val="5"/>
  </w:num>
  <w:num w:numId="10">
    <w:abstractNumId w:val="11"/>
  </w:num>
  <w:num w:numId="11">
    <w:abstractNumId w:val="4"/>
  </w:num>
  <w:num w:numId="12">
    <w:abstractNumId w:val="6"/>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drawingGridHorizontalSpacing w:val="10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5C"/>
    <w:rsid w:val="000005ED"/>
    <w:rsid w:val="000012DF"/>
    <w:rsid w:val="00002099"/>
    <w:rsid w:val="000029C2"/>
    <w:rsid w:val="00003506"/>
    <w:rsid w:val="00003B72"/>
    <w:rsid w:val="00004394"/>
    <w:rsid w:val="0000509C"/>
    <w:rsid w:val="0000550C"/>
    <w:rsid w:val="00006068"/>
    <w:rsid w:val="000070EB"/>
    <w:rsid w:val="000074E7"/>
    <w:rsid w:val="00007D1D"/>
    <w:rsid w:val="0001031D"/>
    <w:rsid w:val="00010EA3"/>
    <w:rsid w:val="000117C3"/>
    <w:rsid w:val="00013114"/>
    <w:rsid w:val="00014D82"/>
    <w:rsid w:val="00014FAB"/>
    <w:rsid w:val="000156DE"/>
    <w:rsid w:val="0001571D"/>
    <w:rsid w:val="000162DF"/>
    <w:rsid w:val="000162EA"/>
    <w:rsid w:val="00017DF8"/>
    <w:rsid w:val="0002019D"/>
    <w:rsid w:val="0002153B"/>
    <w:rsid w:val="00021D12"/>
    <w:rsid w:val="0002497C"/>
    <w:rsid w:val="00024C2E"/>
    <w:rsid w:val="000264BF"/>
    <w:rsid w:val="00026D6C"/>
    <w:rsid w:val="000270B5"/>
    <w:rsid w:val="00027A23"/>
    <w:rsid w:val="00030805"/>
    <w:rsid w:val="00030DE3"/>
    <w:rsid w:val="00031252"/>
    <w:rsid w:val="00033EC5"/>
    <w:rsid w:val="00033F54"/>
    <w:rsid w:val="00034596"/>
    <w:rsid w:val="000346C4"/>
    <w:rsid w:val="0003564A"/>
    <w:rsid w:val="00035974"/>
    <w:rsid w:val="00035A04"/>
    <w:rsid w:val="00035CA0"/>
    <w:rsid w:val="00036579"/>
    <w:rsid w:val="000369A1"/>
    <w:rsid w:val="00036E8F"/>
    <w:rsid w:val="00040710"/>
    <w:rsid w:val="0004179D"/>
    <w:rsid w:val="000428CC"/>
    <w:rsid w:val="0004376B"/>
    <w:rsid w:val="0004519F"/>
    <w:rsid w:val="000466CB"/>
    <w:rsid w:val="00046C3A"/>
    <w:rsid w:val="000473DD"/>
    <w:rsid w:val="000509A6"/>
    <w:rsid w:val="00051315"/>
    <w:rsid w:val="00051427"/>
    <w:rsid w:val="00052016"/>
    <w:rsid w:val="00056F82"/>
    <w:rsid w:val="00060563"/>
    <w:rsid w:val="0006084A"/>
    <w:rsid w:val="000622A5"/>
    <w:rsid w:val="00062986"/>
    <w:rsid w:val="000643E6"/>
    <w:rsid w:val="0006640B"/>
    <w:rsid w:val="0006755B"/>
    <w:rsid w:val="00070790"/>
    <w:rsid w:val="000720AC"/>
    <w:rsid w:val="00072757"/>
    <w:rsid w:val="00072DBD"/>
    <w:rsid w:val="00074035"/>
    <w:rsid w:val="000745FA"/>
    <w:rsid w:val="00075006"/>
    <w:rsid w:val="00075131"/>
    <w:rsid w:val="00075195"/>
    <w:rsid w:val="0007568D"/>
    <w:rsid w:val="00075DFC"/>
    <w:rsid w:val="000771DC"/>
    <w:rsid w:val="000809F8"/>
    <w:rsid w:val="00081755"/>
    <w:rsid w:val="00081D94"/>
    <w:rsid w:val="000821FF"/>
    <w:rsid w:val="00082F32"/>
    <w:rsid w:val="00083D03"/>
    <w:rsid w:val="00085247"/>
    <w:rsid w:val="000858D0"/>
    <w:rsid w:val="00085E9A"/>
    <w:rsid w:val="0008767C"/>
    <w:rsid w:val="000930C5"/>
    <w:rsid w:val="00093D52"/>
    <w:rsid w:val="00095535"/>
    <w:rsid w:val="000968FD"/>
    <w:rsid w:val="000A0957"/>
    <w:rsid w:val="000A195B"/>
    <w:rsid w:val="000A19BC"/>
    <w:rsid w:val="000A1BD5"/>
    <w:rsid w:val="000A2B73"/>
    <w:rsid w:val="000A4FFA"/>
    <w:rsid w:val="000A70D1"/>
    <w:rsid w:val="000A72C6"/>
    <w:rsid w:val="000A7FBB"/>
    <w:rsid w:val="000B0777"/>
    <w:rsid w:val="000B0C67"/>
    <w:rsid w:val="000B0E21"/>
    <w:rsid w:val="000B26B8"/>
    <w:rsid w:val="000B2F61"/>
    <w:rsid w:val="000B30A8"/>
    <w:rsid w:val="000B360A"/>
    <w:rsid w:val="000B3D87"/>
    <w:rsid w:val="000B4BF8"/>
    <w:rsid w:val="000B5B45"/>
    <w:rsid w:val="000B71D4"/>
    <w:rsid w:val="000B7FED"/>
    <w:rsid w:val="000C399C"/>
    <w:rsid w:val="000C3C84"/>
    <w:rsid w:val="000C54C2"/>
    <w:rsid w:val="000D2161"/>
    <w:rsid w:val="000D465C"/>
    <w:rsid w:val="000E2D29"/>
    <w:rsid w:val="000E49B2"/>
    <w:rsid w:val="000E6587"/>
    <w:rsid w:val="000E6B6F"/>
    <w:rsid w:val="000E6F28"/>
    <w:rsid w:val="000E7129"/>
    <w:rsid w:val="000F00B2"/>
    <w:rsid w:val="000F0673"/>
    <w:rsid w:val="000F2611"/>
    <w:rsid w:val="000F3979"/>
    <w:rsid w:val="000F59B7"/>
    <w:rsid w:val="000F62BA"/>
    <w:rsid w:val="000F6A3E"/>
    <w:rsid w:val="000F6CFF"/>
    <w:rsid w:val="000F6FCF"/>
    <w:rsid w:val="000F7029"/>
    <w:rsid w:val="000F72F1"/>
    <w:rsid w:val="000F75BC"/>
    <w:rsid w:val="00101568"/>
    <w:rsid w:val="00101D08"/>
    <w:rsid w:val="001034D2"/>
    <w:rsid w:val="0010355E"/>
    <w:rsid w:val="00103F71"/>
    <w:rsid w:val="00104714"/>
    <w:rsid w:val="00104893"/>
    <w:rsid w:val="001059F0"/>
    <w:rsid w:val="00105F4D"/>
    <w:rsid w:val="00110B10"/>
    <w:rsid w:val="001111A9"/>
    <w:rsid w:val="0011269B"/>
    <w:rsid w:val="00112AFD"/>
    <w:rsid w:val="001131B9"/>
    <w:rsid w:val="00113658"/>
    <w:rsid w:val="00114A54"/>
    <w:rsid w:val="00116B01"/>
    <w:rsid w:val="00121034"/>
    <w:rsid w:val="00122818"/>
    <w:rsid w:val="0012340B"/>
    <w:rsid w:val="00123E8D"/>
    <w:rsid w:val="00126D6D"/>
    <w:rsid w:val="0012725F"/>
    <w:rsid w:val="00127A8B"/>
    <w:rsid w:val="0013160E"/>
    <w:rsid w:val="001323A3"/>
    <w:rsid w:val="00132C24"/>
    <w:rsid w:val="001336BD"/>
    <w:rsid w:val="0013438D"/>
    <w:rsid w:val="001354E4"/>
    <w:rsid w:val="00137070"/>
    <w:rsid w:val="00140AD5"/>
    <w:rsid w:val="0014219C"/>
    <w:rsid w:val="00143AB1"/>
    <w:rsid w:val="0014486D"/>
    <w:rsid w:val="00146C62"/>
    <w:rsid w:val="00147F51"/>
    <w:rsid w:val="00150AAF"/>
    <w:rsid w:val="00150E24"/>
    <w:rsid w:val="00151382"/>
    <w:rsid w:val="00152B2A"/>
    <w:rsid w:val="00153BA1"/>
    <w:rsid w:val="00154DCC"/>
    <w:rsid w:val="00154E06"/>
    <w:rsid w:val="00155124"/>
    <w:rsid w:val="001576B6"/>
    <w:rsid w:val="00160CDA"/>
    <w:rsid w:val="00162532"/>
    <w:rsid w:val="00162694"/>
    <w:rsid w:val="00163E97"/>
    <w:rsid w:val="0016456B"/>
    <w:rsid w:val="001648BF"/>
    <w:rsid w:val="00164A86"/>
    <w:rsid w:val="0016566F"/>
    <w:rsid w:val="00173777"/>
    <w:rsid w:val="00176076"/>
    <w:rsid w:val="00176815"/>
    <w:rsid w:val="00176860"/>
    <w:rsid w:val="001774DE"/>
    <w:rsid w:val="00180B9A"/>
    <w:rsid w:val="001814A4"/>
    <w:rsid w:val="00181BA1"/>
    <w:rsid w:val="0018212E"/>
    <w:rsid w:val="0018358B"/>
    <w:rsid w:val="00184EBA"/>
    <w:rsid w:val="0018502B"/>
    <w:rsid w:val="00185483"/>
    <w:rsid w:val="00185710"/>
    <w:rsid w:val="00185A62"/>
    <w:rsid w:val="00186BBA"/>
    <w:rsid w:val="00186E69"/>
    <w:rsid w:val="00186F70"/>
    <w:rsid w:val="00187920"/>
    <w:rsid w:val="0019063C"/>
    <w:rsid w:val="00190B06"/>
    <w:rsid w:val="0019105C"/>
    <w:rsid w:val="00191AC5"/>
    <w:rsid w:val="00192696"/>
    <w:rsid w:val="001934E7"/>
    <w:rsid w:val="00193B1A"/>
    <w:rsid w:val="00193F79"/>
    <w:rsid w:val="0019434C"/>
    <w:rsid w:val="0019436A"/>
    <w:rsid w:val="0019551A"/>
    <w:rsid w:val="00196A74"/>
    <w:rsid w:val="00196EB8"/>
    <w:rsid w:val="001A128C"/>
    <w:rsid w:val="001A4310"/>
    <w:rsid w:val="001A5FE8"/>
    <w:rsid w:val="001A671D"/>
    <w:rsid w:val="001B07EB"/>
    <w:rsid w:val="001B18B9"/>
    <w:rsid w:val="001B1FE1"/>
    <w:rsid w:val="001B3D42"/>
    <w:rsid w:val="001B41AF"/>
    <w:rsid w:val="001B52B8"/>
    <w:rsid w:val="001B53F0"/>
    <w:rsid w:val="001B65C9"/>
    <w:rsid w:val="001B6F9A"/>
    <w:rsid w:val="001B717D"/>
    <w:rsid w:val="001B77A6"/>
    <w:rsid w:val="001C13BA"/>
    <w:rsid w:val="001C21FA"/>
    <w:rsid w:val="001C295F"/>
    <w:rsid w:val="001C3F7B"/>
    <w:rsid w:val="001C456C"/>
    <w:rsid w:val="001C457B"/>
    <w:rsid w:val="001D072B"/>
    <w:rsid w:val="001D248F"/>
    <w:rsid w:val="001D373E"/>
    <w:rsid w:val="001D3DF2"/>
    <w:rsid w:val="001D5193"/>
    <w:rsid w:val="001D65E3"/>
    <w:rsid w:val="001E0172"/>
    <w:rsid w:val="001E0DC1"/>
    <w:rsid w:val="001E20E0"/>
    <w:rsid w:val="001E4D24"/>
    <w:rsid w:val="001E7128"/>
    <w:rsid w:val="001E7939"/>
    <w:rsid w:val="001E7C44"/>
    <w:rsid w:val="001F0097"/>
    <w:rsid w:val="001F1A07"/>
    <w:rsid w:val="001F2F39"/>
    <w:rsid w:val="001F4451"/>
    <w:rsid w:val="001F499A"/>
    <w:rsid w:val="001F64CB"/>
    <w:rsid w:val="001F714C"/>
    <w:rsid w:val="001F76A4"/>
    <w:rsid w:val="001F77E9"/>
    <w:rsid w:val="0020063B"/>
    <w:rsid w:val="00201565"/>
    <w:rsid w:val="00201705"/>
    <w:rsid w:val="002041B8"/>
    <w:rsid w:val="0020495F"/>
    <w:rsid w:val="0020572A"/>
    <w:rsid w:val="00205C30"/>
    <w:rsid w:val="00205DAC"/>
    <w:rsid w:val="002075E3"/>
    <w:rsid w:val="00207800"/>
    <w:rsid w:val="00210B32"/>
    <w:rsid w:val="00210E94"/>
    <w:rsid w:val="002110C8"/>
    <w:rsid w:val="00211249"/>
    <w:rsid w:val="0021204E"/>
    <w:rsid w:val="0021317E"/>
    <w:rsid w:val="002137AB"/>
    <w:rsid w:val="002145A0"/>
    <w:rsid w:val="00215050"/>
    <w:rsid w:val="002151C0"/>
    <w:rsid w:val="00215461"/>
    <w:rsid w:val="0021579D"/>
    <w:rsid w:val="002161CB"/>
    <w:rsid w:val="0021760C"/>
    <w:rsid w:val="002177D2"/>
    <w:rsid w:val="002178C3"/>
    <w:rsid w:val="00220835"/>
    <w:rsid w:val="0022324C"/>
    <w:rsid w:val="002233AC"/>
    <w:rsid w:val="002241C7"/>
    <w:rsid w:val="002263F5"/>
    <w:rsid w:val="00226507"/>
    <w:rsid w:val="00226551"/>
    <w:rsid w:val="0022685C"/>
    <w:rsid w:val="0022782A"/>
    <w:rsid w:val="00227DDA"/>
    <w:rsid w:val="00230049"/>
    <w:rsid w:val="002330F8"/>
    <w:rsid w:val="00233687"/>
    <w:rsid w:val="00233BBB"/>
    <w:rsid w:val="002346EB"/>
    <w:rsid w:val="00235056"/>
    <w:rsid w:val="00235FC4"/>
    <w:rsid w:val="0023620E"/>
    <w:rsid w:val="00240197"/>
    <w:rsid w:val="00240FC9"/>
    <w:rsid w:val="0024108F"/>
    <w:rsid w:val="00242498"/>
    <w:rsid w:val="0024267F"/>
    <w:rsid w:val="00243CD2"/>
    <w:rsid w:val="0024489C"/>
    <w:rsid w:val="002449D1"/>
    <w:rsid w:val="0024504F"/>
    <w:rsid w:val="002457B8"/>
    <w:rsid w:val="00245DDA"/>
    <w:rsid w:val="0024794E"/>
    <w:rsid w:val="00247F2D"/>
    <w:rsid w:val="0025068A"/>
    <w:rsid w:val="00250A5F"/>
    <w:rsid w:val="00250C08"/>
    <w:rsid w:val="0025198F"/>
    <w:rsid w:val="00251AC3"/>
    <w:rsid w:val="00251B1C"/>
    <w:rsid w:val="002553F0"/>
    <w:rsid w:val="00257150"/>
    <w:rsid w:val="00260AD8"/>
    <w:rsid w:val="00260C74"/>
    <w:rsid w:val="002617DD"/>
    <w:rsid w:val="0026252D"/>
    <w:rsid w:val="0026349B"/>
    <w:rsid w:val="00265718"/>
    <w:rsid w:val="00266260"/>
    <w:rsid w:val="002678C5"/>
    <w:rsid w:val="00267BE2"/>
    <w:rsid w:val="002703AD"/>
    <w:rsid w:val="00272B9F"/>
    <w:rsid w:val="00273A24"/>
    <w:rsid w:val="00275643"/>
    <w:rsid w:val="00275BB2"/>
    <w:rsid w:val="00282D0D"/>
    <w:rsid w:val="002834B2"/>
    <w:rsid w:val="00283EBC"/>
    <w:rsid w:val="00284F53"/>
    <w:rsid w:val="0028655A"/>
    <w:rsid w:val="00286E6F"/>
    <w:rsid w:val="00287409"/>
    <w:rsid w:val="00287B10"/>
    <w:rsid w:val="002912A7"/>
    <w:rsid w:val="00291567"/>
    <w:rsid w:val="0029193A"/>
    <w:rsid w:val="00291E2E"/>
    <w:rsid w:val="00291E6B"/>
    <w:rsid w:val="00295E41"/>
    <w:rsid w:val="002A1AEA"/>
    <w:rsid w:val="002A5EE6"/>
    <w:rsid w:val="002A65F9"/>
    <w:rsid w:val="002A66BD"/>
    <w:rsid w:val="002A77C7"/>
    <w:rsid w:val="002B013F"/>
    <w:rsid w:val="002B0C3B"/>
    <w:rsid w:val="002B0F43"/>
    <w:rsid w:val="002B17D2"/>
    <w:rsid w:val="002B23D7"/>
    <w:rsid w:val="002B3450"/>
    <w:rsid w:val="002B34C4"/>
    <w:rsid w:val="002B5131"/>
    <w:rsid w:val="002B53A6"/>
    <w:rsid w:val="002B60F3"/>
    <w:rsid w:val="002B76AE"/>
    <w:rsid w:val="002B7F9C"/>
    <w:rsid w:val="002C0C23"/>
    <w:rsid w:val="002C1D2B"/>
    <w:rsid w:val="002C20A3"/>
    <w:rsid w:val="002C424E"/>
    <w:rsid w:val="002C48C4"/>
    <w:rsid w:val="002C4A5A"/>
    <w:rsid w:val="002C5C51"/>
    <w:rsid w:val="002C69B4"/>
    <w:rsid w:val="002C6D78"/>
    <w:rsid w:val="002C6ECB"/>
    <w:rsid w:val="002C7407"/>
    <w:rsid w:val="002D0D0A"/>
    <w:rsid w:val="002D1D68"/>
    <w:rsid w:val="002D24C9"/>
    <w:rsid w:val="002D337E"/>
    <w:rsid w:val="002D4D36"/>
    <w:rsid w:val="002D7D5B"/>
    <w:rsid w:val="002E1BF1"/>
    <w:rsid w:val="002E21A4"/>
    <w:rsid w:val="002E21DC"/>
    <w:rsid w:val="002E2A2E"/>
    <w:rsid w:val="002E32D1"/>
    <w:rsid w:val="002E340F"/>
    <w:rsid w:val="002E5A12"/>
    <w:rsid w:val="002E6918"/>
    <w:rsid w:val="002E6EC7"/>
    <w:rsid w:val="002F01D0"/>
    <w:rsid w:val="002F0442"/>
    <w:rsid w:val="002F2325"/>
    <w:rsid w:val="002F233B"/>
    <w:rsid w:val="002F259B"/>
    <w:rsid w:val="002F47C9"/>
    <w:rsid w:val="002F6400"/>
    <w:rsid w:val="002F7620"/>
    <w:rsid w:val="0030065E"/>
    <w:rsid w:val="00301AB0"/>
    <w:rsid w:val="00302740"/>
    <w:rsid w:val="003033D7"/>
    <w:rsid w:val="00303AD6"/>
    <w:rsid w:val="003042D3"/>
    <w:rsid w:val="00304688"/>
    <w:rsid w:val="00304BF8"/>
    <w:rsid w:val="00305BB7"/>
    <w:rsid w:val="00307585"/>
    <w:rsid w:val="0031228C"/>
    <w:rsid w:val="00312403"/>
    <w:rsid w:val="00315941"/>
    <w:rsid w:val="00316BA9"/>
    <w:rsid w:val="00316DF6"/>
    <w:rsid w:val="003171C4"/>
    <w:rsid w:val="00317799"/>
    <w:rsid w:val="003225B4"/>
    <w:rsid w:val="0032305B"/>
    <w:rsid w:val="003243CB"/>
    <w:rsid w:val="00325005"/>
    <w:rsid w:val="003258DB"/>
    <w:rsid w:val="00325B67"/>
    <w:rsid w:val="003273FE"/>
    <w:rsid w:val="00330CDA"/>
    <w:rsid w:val="00330DBF"/>
    <w:rsid w:val="00331965"/>
    <w:rsid w:val="00331FEC"/>
    <w:rsid w:val="00332D5E"/>
    <w:rsid w:val="003334F3"/>
    <w:rsid w:val="00334870"/>
    <w:rsid w:val="00335E3C"/>
    <w:rsid w:val="00335F06"/>
    <w:rsid w:val="00336FCB"/>
    <w:rsid w:val="0033743E"/>
    <w:rsid w:val="003403F6"/>
    <w:rsid w:val="00340BD8"/>
    <w:rsid w:val="003437B5"/>
    <w:rsid w:val="00344122"/>
    <w:rsid w:val="00345E02"/>
    <w:rsid w:val="003506C0"/>
    <w:rsid w:val="003515A1"/>
    <w:rsid w:val="003528AE"/>
    <w:rsid w:val="00352D3A"/>
    <w:rsid w:val="00354998"/>
    <w:rsid w:val="00354DF7"/>
    <w:rsid w:val="00355D3A"/>
    <w:rsid w:val="00360CEB"/>
    <w:rsid w:val="00363018"/>
    <w:rsid w:val="00363EC4"/>
    <w:rsid w:val="00364F9C"/>
    <w:rsid w:val="003670A1"/>
    <w:rsid w:val="00367D13"/>
    <w:rsid w:val="00370BC6"/>
    <w:rsid w:val="00371DAE"/>
    <w:rsid w:val="003725F9"/>
    <w:rsid w:val="00373992"/>
    <w:rsid w:val="00375752"/>
    <w:rsid w:val="00375F84"/>
    <w:rsid w:val="003762C5"/>
    <w:rsid w:val="003770DC"/>
    <w:rsid w:val="00381A50"/>
    <w:rsid w:val="003822D7"/>
    <w:rsid w:val="00383349"/>
    <w:rsid w:val="0038412F"/>
    <w:rsid w:val="0038451A"/>
    <w:rsid w:val="003857F7"/>
    <w:rsid w:val="00390022"/>
    <w:rsid w:val="0039076B"/>
    <w:rsid w:val="00391033"/>
    <w:rsid w:val="00391BA8"/>
    <w:rsid w:val="003933E8"/>
    <w:rsid w:val="0039494F"/>
    <w:rsid w:val="003950AD"/>
    <w:rsid w:val="00395D9F"/>
    <w:rsid w:val="00396ED5"/>
    <w:rsid w:val="003974A3"/>
    <w:rsid w:val="00397906"/>
    <w:rsid w:val="003A2F96"/>
    <w:rsid w:val="003A3A20"/>
    <w:rsid w:val="003A4B1D"/>
    <w:rsid w:val="003A6205"/>
    <w:rsid w:val="003A68ED"/>
    <w:rsid w:val="003A6D80"/>
    <w:rsid w:val="003A75F1"/>
    <w:rsid w:val="003B1B6C"/>
    <w:rsid w:val="003B1CC1"/>
    <w:rsid w:val="003B2866"/>
    <w:rsid w:val="003B4246"/>
    <w:rsid w:val="003B53D9"/>
    <w:rsid w:val="003B5CBD"/>
    <w:rsid w:val="003B6639"/>
    <w:rsid w:val="003C01D2"/>
    <w:rsid w:val="003C11F5"/>
    <w:rsid w:val="003C13E8"/>
    <w:rsid w:val="003C4346"/>
    <w:rsid w:val="003C4F29"/>
    <w:rsid w:val="003C5113"/>
    <w:rsid w:val="003C5BB4"/>
    <w:rsid w:val="003C670E"/>
    <w:rsid w:val="003C6B1A"/>
    <w:rsid w:val="003C7C28"/>
    <w:rsid w:val="003D1DD9"/>
    <w:rsid w:val="003D1F5F"/>
    <w:rsid w:val="003D6339"/>
    <w:rsid w:val="003D68DE"/>
    <w:rsid w:val="003D6C36"/>
    <w:rsid w:val="003D70B4"/>
    <w:rsid w:val="003D71DA"/>
    <w:rsid w:val="003D7557"/>
    <w:rsid w:val="003E0184"/>
    <w:rsid w:val="003E099C"/>
    <w:rsid w:val="003E0D54"/>
    <w:rsid w:val="003E145A"/>
    <w:rsid w:val="003E1990"/>
    <w:rsid w:val="003E41E1"/>
    <w:rsid w:val="003E48ED"/>
    <w:rsid w:val="003E6076"/>
    <w:rsid w:val="003E6D85"/>
    <w:rsid w:val="003F2359"/>
    <w:rsid w:val="003F36E3"/>
    <w:rsid w:val="003F45AF"/>
    <w:rsid w:val="003F4868"/>
    <w:rsid w:val="003F5387"/>
    <w:rsid w:val="003F6732"/>
    <w:rsid w:val="003F6B26"/>
    <w:rsid w:val="0040008A"/>
    <w:rsid w:val="00400B27"/>
    <w:rsid w:val="00400F4C"/>
    <w:rsid w:val="004022FE"/>
    <w:rsid w:val="004028E0"/>
    <w:rsid w:val="00403317"/>
    <w:rsid w:val="00403784"/>
    <w:rsid w:val="00410C87"/>
    <w:rsid w:val="00411C80"/>
    <w:rsid w:val="00412685"/>
    <w:rsid w:val="00413E3C"/>
    <w:rsid w:val="00414DDD"/>
    <w:rsid w:val="0041505F"/>
    <w:rsid w:val="0041574E"/>
    <w:rsid w:val="004159F3"/>
    <w:rsid w:val="004178A1"/>
    <w:rsid w:val="004204FA"/>
    <w:rsid w:val="00420CD8"/>
    <w:rsid w:val="00420E64"/>
    <w:rsid w:val="00420F5D"/>
    <w:rsid w:val="00421BD9"/>
    <w:rsid w:val="004222C4"/>
    <w:rsid w:val="0042294B"/>
    <w:rsid w:val="004231CB"/>
    <w:rsid w:val="00423338"/>
    <w:rsid w:val="00423532"/>
    <w:rsid w:val="00423747"/>
    <w:rsid w:val="0042386B"/>
    <w:rsid w:val="00426949"/>
    <w:rsid w:val="0043063E"/>
    <w:rsid w:val="00435C9C"/>
    <w:rsid w:val="00436D4C"/>
    <w:rsid w:val="00441068"/>
    <w:rsid w:val="004423A3"/>
    <w:rsid w:val="004426AC"/>
    <w:rsid w:val="00443D3C"/>
    <w:rsid w:val="00444C49"/>
    <w:rsid w:val="00445ABA"/>
    <w:rsid w:val="004471A2"/>
    <w:rsid w:val="00447C33"/>
    <w:rsid w:val="0045195C"/>
    <w:rsid w:val="00453098"/>
    <w:rsid w:val="00453362"/>
    <w:rsid w:val="00454220"/>
    <w:rsid w:val="004543B0"/>
    <w:rsid w:val="004561E1"/>
    <w:rsid w:val="00456C4C"/>
    <w:rsid w:val="0045743B"/>
    <w:rsid w:val="00460700"/>
    <w:rsid w:val="004609B9"/>
    <w:rsid w:val="004611CD"/>
    <w:rsid w:val="00461628"/>
    <w:rsid w:val="00463749"/>
    <w:rsid w:val="00463916"/>
    <w:rsid w:val="00463F15"/>
    <w:rsid w:val="00464554"/>
    <w:rsid w:val="00465654"/>
    <w:rsid w:val="00470344"/>
    <w:rsid w:val="00471049"/>
    <w:rsid w:val="0047259B"/>
    <w:rsid w:val="00473A78"/>
    <w:rsid w:val="00473AA1"/>
    <w:rsid w:val="00474905"/>
    <w:rsid w:val="00475DE1"/>
    <w:rsid w:val="004777F9"/>
    <w:rsid w:val="00481534"/>
    <w:rsid w:val="0048209C"/>
    <w:rsid w:val="004836BD"/>
    <w:rsid w:val="004854D2"/>
    <w:rsid w:val="00486392"/>
    <w:rsid w:val="00486A7F"/>
    <w:rsid w:val="004870F0"/>
    <w:rsid w:val="00487A45"/>
    <w:rsid w:val="00487E4A"/>
    <w:rsid w:val="00490D33"/>
    <w:rsid w:val="00493520"/>
    <w:rsid w:val="004936F1"/>
    <w:rsid w:val="00493A8B"/>
    <w:rsid w:val="004942B1"/>
    <w:rsid w:val="00494D80"/>
    <w:rsid w:val="00494EEC"/>
    <w:rsid w:val="00495089"/>
    <w:rsid w:val="00496BED"/>
    <w:rsid w:val="00497CD1"/>
    <w:rsid w:val="004A04D8"/>
    <w:rsid w:val="004A04E2"/>
    <w:rsid w:val="004A134F"/>
    <w:rsid w:val="004A1C93"/>
    <w:rsid w:val="004A2475"/>
    <w:rsid w:val="004A25F7"/>
    <w:rsid w:val="004A3142"/>
    <w:rsid w:val="004A5B9D"/>
    <w:rsid w:val="004A6E73"/>
    <w:rsid w:val="004A6FE9"/>
    <w:rsid w:val="004A72F3"/>
    <w:rsid w:val="004A7493"/>
    <w:rsid w:val="004A758D"/>
    <w:rsid w:val="004B09E6"/>
    <w:rsid w:val="004B109D"/>
    <w:rsid w:val="004B12CC"/>
    <w:rsid w:val="004B1AFB"/>
    <w:rsid w:val="004B1EB1"/>
    <w:rsid w:val="004B23A9"/>
    <w:rsid w:val="004B44E1"/>
    <w:rsid w:val="004B4981"/>
    <w:rsid w:val="004B4F21"/>
    <w:rsid w:val="004B54C4"/>
    <w:rsid w:val="004B6D1F"/>
    <w:rsid w:val="004B719B"/>
    <w:rsid w:val="004C03DB"/>
    <w:rsid w:val="004C03F2"/>
    <w:rsid w:val="004C0ED3"/>
    <w:rsid w:val="004C2614"/>
    <w:rsid w:val="004C2DAA"/>
    <w:rsid w:val="004C4F1C"/>
    <w:rsid w:val="004C5717"/>
    <w:rsid w:val="004C6CD0"/>
    <w:rsid w:val="004C7296"/>
    <w:rsid w:val="004D23F3"/>
    <w:rsid w:val="004D3375"/>
    <w:rsid w:val="004D343B"/>
    <w:rsid w:val="004D365B"/>
    <w:rsid w:val="004D4499"/>
    <w:rsid w:val="004D4A1A"/>
    <w:rsid w:val="004D4BE8"/>
    <w:rsid w:val="004D6785"/>
    <w:rsid w:val="004D70D2"/>
    <w:rsid w:val="004D7271"/>
    <w:rsid w:val="004D7C9F"/>
    <w:rsid w:val="004E10D8"/>
    <w:rsid w:val="004E3B24"/>
    <w:rsid w:val="004E5C6B"/>
    <w:rsid w:val="004E6584"/>
    <w:rsid w:val="004E7047"/>
    <w:rsid w:val="004F0DDE"/>
    <w:rsid w:val="004F1F87"/>
    <w:rsid w:val="004F2DC0"/>
    <w:rsid w:val="004F3DD4"/>
    <w:rsid w:val="004F410F"/>
    <w:rsid w:val="004F42C0"/>
    <w:rsid w:val="004F4BE9"/>
    <w:rsid w:val="004F5CF0"/>
    <w:rsid w:val="004F7408"/>
    <w:rsid w:val="004F7EAF"/>
    <w:rsid w:val="004F7FE0"/>
    <w:rsid w:val="0050021B"/>
    <w:rsid w:val="0050170F"/>
    <w:rsid w:val="0050315B"/>
    <w:rsid w:val="00503EC2"/>
    <w:rsid w:val="00507277"/>
    <w:rsid w:val="0050731D"/>
    <w:rsid w:val="00507C45"/>
    <w:rsid w:val="0051105C"/>
    <w:rsid w:val="005110F6"/>
    <w:rsid w:val="005124A7"/>
    <w:rsid w:val="00512A14"/>
    <w:rsid w:val="00512A44"/>
    <w:rsid w:val="0051320C"/>
    <w:rsid w:val="00513C6D"/>
    <w:rsid w:val="00515932"/>
    <w:rsid w:val="005160DE"/>
    <w:rsid w:val="005175A8"/>
    <w:rsid w:val="00517F33"/>
    <w:rsid w:val="0052010F"/>
    <w:rsid w:val="00520720"/>
    <w:rsid w:val="00520BD0"/>
    <w:rsid w:val="00521D07"/>
    <w:rsid w:val="00521DB3"/>
    <w:rsid w:val="00524B92"/>
    <w:rsid w:val="005260D5"/>
    <w:rsid w:val="005267CE"/>
    <w:rsid w:val="005272A2"/>
    <w:rsid w:val="00527966"/>
    <w:rsid w:val="00527A20"/>
    <w:rsid w:val="00527B13"/>
    <w:rsid w:val="0053105A"/>
    <w:rsid w:val="00531D04"/>
    <w:rsid w:val="00532BA4"/>
    <w:rsid w:val="005331FC"/>
    <w:rsid w:val="005352BD"/>
    <w:rsid w:val="005359C5"/>
    <w:rsid w:val="00535F25"/>
    <w:rsid w:val="0053669A"/>
    <w:rsid w:val="0053676C"/>
    <w:rsid w:val="00536E71"/>
    <w:rsid w:val="00537652"/>
    <w:rsid w:val="005378C3"/>
    <w:rsid w:val="00537E50"/>
    <w:rsid w:val="00540A35"/>
    <w:rsid w:val="00540E9A"/>
    <w:rsid w:val="0054112B"/>
    <w:rsid w:val="005417F0"/>
    <w:rsid w:val="00541CEB"/>
    <w:rsid w:val="00541E2E"/>
    <w:rsid w:val="005433ED"/>
    <w:rsid w:val="0054385E"/>
    <w:rsid w:val="00544837"/>
    <w:rsid w:val="00544A0E"/>
    <w:rsid w:val="00545259"/>
    <w:rsid w:val="0054570E"/>
    <w:rsid w:val="0054756B"/>
    <w:rsid w:val="0055060D"/>
    <w:rsid w:val="00551C76"/>
    <w:rsid w:val="0055375D"/>
    <w:rsid w:val="00554BFA"/>
    <w:rsid w:val="00556918"/>
    <w:rsid w:val="005572D2"/>
    <w:rsid w:val="00561B34"/>
    <w:rsid w:val="00561CE5"/>
    <w:rsid w:val="00564ABA"/>
    <w:rsid w:val="00565C92"/>
    <w:rsid w:val="00566F07"/>
    <w:rsid w:val="0056779F"/>
    <w:rsid w:val="0057073C"/>
    <w:rsid w:val="00571BC6"/>
    <w:rsid w:val="00572BD3"/>
    <w:rsid w:val="0057337E"/>
    <w:rsid w:val="0057371D"/>
    <w:rsid w:val="00573C2D"/>
    <w:rsid w:val="00573E61"/>
    <w:rsid w:val="00574F15"/>
    <w:rsid w:val="005760C7"/>
    <w:rsid w:val="00576486"/>
    <w:rsid w:val="005765B7"/>
    <w:rsid w:val="00580DDE"/>
    <w:rsid w:val="00581B91"/>
    <w:rsid w:val="00582615"/>
    <w:rsid w:val="005834D8"/>
    <w:rsid w:val="00584EAC"/>
    <w:rsid w:val="00585544"/>
    <w:rsid w:val="00585FCC"/>
    <w:rsid w:val="0059278E"/>
    <w:rsid w:val="0059365A"/>
    <w:rsid w:val="00594E00"/>
    <w:rsid w:val="00595DFB"/>
    <w:rsid w:val="00596B3F"/>
    <w:rsid w:val="00596D32"/>
    <w:rsid w:val="005A0470"/>
    <w:rsid w:val="005A0B35"/>
    <w:rsid w:val="005A2FBD"/>
    <w:rsid w:val="005A391A"/>
    <w:rsid w:val="005A57F8"/>
    <w:rsid w:val="005A66DE"/>
    <w:rsid w:val="005A6B67"/>
    <w:rsid w:val="005A7816"/>
    <w:rsid w:val="005B11F0"/>
    <w:rsid w:val="005B12E2"/>
    <w:rsid w:val="005B2E00"/>
    <w:rsid w:val="005B3103"/>
    <w:rsid w:val="005B3EBD"/>
    <w:rsid w:val="005B6503"/>
    <w:rsid w:val="005C234C"/>
    <w:rsid w:val="005C3E52"/>
    <w:rsid w:val="005C51D4"/>
    <w:rsid w:val="005C573F"/>
    <w:rsid w:val="005C5951"/>
    <w:rsid w:val="005C70B1"/>
    <w:rsid w:val="005C7BB7"/>
    <w:rsid w:val="005D08B5"/>
    <w:rsid w:val="005D1769"/>
    <w:rsid w:val="005D1F4D"/>
    <w:rsid w:val="005D1F4E"/>
    <w:rsid w:val="005D24A9"/>
    <w:rsid w:val="005D4CF0"/>
    <w:rsid w:val="005D5474"/>
    <w:rsid w:val="005D73E6"/>
    <w:rsid w:val="005D7747"/>
    <w:rsid w:val="005D7F7D"/>
    <w:rsid w:val="005E03D9"/>
    <w:rsid w:val="005E3DEC"/>
    <w:rsid w:val="005E47EF"/>
    <w:rsid w:val="005E5C3D"/>
    <w:rsid w:val="005E6F6E"/>
    <w:rsid w:val="005E7133"/>
    <w:rsid w:val="005F13B9"/>
    <w:rsid w:val="005F1516"/>
    <w:rsid w:val="005F1B39"/>
    <w:rsid w:val="005F1C2A"/>
    <w:rsid w:val="005F2107"/>
    <w:rsid w:val="005F4A25"/>
    <w:rsid w:val="005F5006"/>
    <w:rsid w:val="005F60C9"/>
    <w:rsid w:val="006028A7"/>
    <w:rsid w:val="00603DDB"/>
    <w:rsid w:val="00610C26"/>
    <w:rsid w:val="006110A5"/>
    <w:rsid w:val="00611CFE"/>
    <w:rsid w:val="0061414D"/>
    <w:rsid w:val="006153EC"/>
    <w:rsid w:val="0061571A"/>
    <w:rsid w:val="0062216B"/>
    <w:rsid w:val="00623F51"/>
    <w:rsid w:val="0062436F"/>
    <w:rsid w:val="00624525"/>
    <w:rsid w:val="00624CDF"/>
    <w:rsid w:val="006259D6"/>
    <w:rsid w:val="00626FF3"/>
    <w:rsid w:val="00632504"/>
    <w:rsid w:val="00633794"/>
    <w:rsid w:val="006362BC"/>
    <w:rsid w:val="006363BB"/>
    <w:rsid w:val="00637867"/>
    <w:rsid w:val="00640907"/>
    <w:rsid w:val="00640DA0"/>
    <w:rsid w:val="00640DAC"/>
    <w:rsid w:val="00643267"/>
    <w:rsid w:val="00644B7A"/>
    <w:rsid w:val="00645A1F"/>
    <w:rsid w:val="00652FCC"/>
    <w:rsid w:val="0065354E"/>
    <w:rsid w:val="00653F2D"/>
    <w:rsid w:val="006540CB"/>
    <w:rsid w:val="006569F5"/>
    <w:rsid w:val="00657930"/>
    <w:rsid w:val="00657D70"/>
    <w:rsid w:val="006625C3"/>
    <w:rsid w:val="00665177"/>
    <w:rsid w:val="00666B93"/>
    <w:rsid w:val="006670B3"/>
    <w:rsid w:val="00670813"/>
    <w:rsid w:val="00671D7E"/>
    <w:rsid w:val="00673684"/>
    <w:rsid w:val="00673DF1"/>
    <w:rsid w:val="00677ECD"/>
    <w:rsid w:val="0068052B"/>
    <w:rsid w:val="0068055D"/>
    <w:rsid w:val="006805C8"/>
    <w:rsid w:val="00680817"/>
    <w:rsid w:val="00683911"/>
    <w:rsid w:val="00683C60"/>
    <w:rsid w:val="00684DC4"/>
    <w:rsid w:val="0068658A"/>
    <w:rsid w:val="00687093"/>
    <w:rsid w:val="00687EF6"/>
    <w:rsid w:val="00691599"/>
    <w:rsid w:val="00692A46"/>
    <w:rsid w:val="00692F9E"/>
    <w:rsid w:val="00696C6B"/>
    <w:rsid w:val="0069778E"/>
    <w:rsid w:val="006A01B7"/>
    <w:rsid w:val="006A0AE8"/>
    <w:rsid w:val="006A0DCA"/>
    <w:rsid w:val="006A4AFE"/>
    <w:rsid w:val="006A4F95"/>
    <w:rsid w:val="006A55FF"/>
    <w:rsid w:val="006A66A4"/>
    <w:rsid w:val="006B0831"/>
    <w:rsid w:val="006B1192"/>
    <w:rsid w:val="006B145F"/>
    <w:rsid w:val="006B17C6"/>
    <w:rsid w:val="006B1D2B"/>
    <w:rsid w:val="006B1F3E"/>
    <w:rsid w:val="006B1F72"/>
    <w:rsid w:val="006B2103"/>
    <w:rsid w:val="006B3055"/>
    <w:rsid w:val="006B30FA"/>
    <w:rsid w:val="006B448A"/>
    <w:rsid w:val="006B4FA0"/>
    <w:rsid w:val="006B5904"/>
    <w:rsid w:val="006B596F"/>
    <w:rsid w:val="006B5D8B"/>
    <w:rsid w:val="006B7AA5"/>
    <w:rsid w:val="006C2653"/>
    <w:rsid w:val="006C2CE7"/>
    <w:rsid w:val="006C3A2C"/>
    <w:rsid w:val="006C5131"/>
    <w:rsid w:val="006C5926"/>
    <w:rsid w:val="006C61A0"/>
    <w:rsid w:val="006D031F"/>
    <w:rsid w:val="006D0558"/>
    <w:rsid w:val="006D228A"/>
    <w:rsid w:val="006D3C07"/>
    <w:rsid w:val="006D3E20"/>
    <w:rsid w:val="006D3E4C"/>
    <w:rsid w:val="006D46AD"/>
    <w:rsid w:val="006D49BE"/>
    <w:rsid w:val="006D4BAC"/>
    <w:rsid w:val="006D5315"/>
    <w:rsid w:val="006D727A"/>
    <w:rsid w:val="006E096A"/>
    <w:rsid w:val="006E27B8"/>
    <w:rsid w:val="006E293D"/>
    <w:rsid w:val="006E29F9"/>
    <w:rsid w:val="006E3129"/>
    <w:rsid w:val="006E40E0"/>
    <w:rsid w:val="006E5E81"/>
    <w:rsid w:val="006F0674"/>
    <w:rsid w:val="006F0B0A"/>
    <w:rsid w:val="006F57AA"/>
    <w:rsid w:val="006F621F"/>
    <w:rsid w:val="006F6ABB"/>
    <w:rsid w:val="006F78EE"/>
    <w:rsid w:val="00700595"/>
    <w:rsid w:val="00700BB9"/>
    <w:rsid w:val="007030C1"/>
    <w:rsid w:val="00703A2E"/>
    <w:rsid w:val="0070530B"/>
    <w:rsid w:val="00705A2C"/>
    <w:rsid w:val="00705D1B"/>
    <w:rsid w:val="00707E14"/>
    <w:rsid w:val="00711499"/>
    <w:rsid w:val="00715B5F"/>
    <w:rsid w:val="00715EFD"/>
    <w:rsid w:val="00717066"/>
    <w:rsid w:val="00720680"/>
    <w:rsid w:val="007207F6"/>
    <w:rsid w:val="00722BDC"/>
    <w:rsid w:val="0072398E"/>
    <w:rsid w:val="00724AA1"/>
    <w:rsid w:val="00726964"/>
    <w:rsid w:val="007277A1"/>
    <w:rsid w:val="00730A49"/>
    <w:rsid w:val="00730B7A"/>
    <w:rsid w:val="00732F85"/>
    <w:rsid w:val="007331F5"/>
    <w:rsid w:val="007331FF"/>
    <w:rsid w:val="0073444F"/>
    <w:rsid w:val="007347CB"/>
    <w:rsid w:val="007354AA"/>
    <w:rsid w:val="00735D44"/>
    <w:rsid w:val="00735E1B"/>
    <w:rsid w:val="00740044"/>
    <w:rsid w:val="00740549"/>
    <w:rsid w:val="00740672"/>
    <w:rsid w:val="0074087B"/>
    <w:rsid w:val="00742FAF"/>
    <w:rsid w:val="00743200"/>
    <w:rsid w:val="00745301"/>
    <w:rsid w:val="00745AF2"/>
    <w:rsid w:val="007461CF"/>
    <w:rsid w:val="0074694D"/>
    <w:rsid w:val="00746F8A"/>
    <w:rsid w:val="00746FEC"/>
    <w:rsid w:val="00747B03"/>
    <w:rsid w:val="00750E9C"/>
    <w:rsid w:val="00753F94"/>
    <w:rsid w:val="007557BF"/>
    <w:rsid w:val="00755BDE"/>
    <w:rsid w:val="00756212"/>
    <w:rsid w:val="00756818"/>
    <w:rsid w:val="00756C7E"/>
    <w:rsid w:val="00760B62"/>
    <w:rsid w:val="00762488"/>
    <w:rsid w:val="007627FA"/>
    <w:rsid w:val="007637BC"/>
    <w:rsid w:val="00765F1A"/>
    <w:rsid w:val="00766C80"/>
    <w:rsid w:val="0076787C"/>
    <w:rsid w:val="00767A49"/>
    <w:rsid w:val="00770389"/>
    <w:rsid w:val="00770570"/>
    <w:rsid w:val="00770959"/>
    <w:rsid w:val="00770C5C"/>
    <w:rsid w:val="0077110E"/>
    <w:rsid w:val="00771EEF"/>
    <w:rsid w:val="007729F4"/>
    <w:rsid w:val="00773D9B"/>
    <w:rsid w:val="0077472A"/>
    <w:rsid w:val="00774B36"/>
    <w:rsid w:val="00776083"/>
    <w:rsid w:val="007774CE"/>
    <w:rsid w:val="00780913"/>
    <w:rsid w:val="00781DA2"/>
    <w:rsid w:val="007838A0"/>
    <w:rsid w:val="007858C2"/>
    <w:rsid w:val="00785CC3"/>
    <w:rsid w:val="00786308"/>
    <w:rsid w:val="00786D59"/>
    <w:rsid w:val="00787A87"/>
    <w:rsid w:val="007909A9"/>
    <w:rsid w:val="00791A46"/>
    <w:rsid w:val="0079359D"/>
    <w:rsid w:val="007935A5"/>
    <w:rsid w:val="00794CD8"/>
    <w:rsid w:val="00795B01"/>
    <w:rsid w:val="00795B46"/>
    <w:rsid w:val="0079756E"/>
    <w:rsid w:val="00797820"/>
    <w:rsid w:val="007A0E2B"/>
    <w:rsid w:val="007A2220"/>
    <w:rsid w:val="007A24CC"/>
    <w:rsid w:val="007A3E92"/>
    <w:rsid w:val="007A3ED2"/>
    <w:rsid w:val="007A4571"/>
    <w:rsid w:val="007A7583"/>
    <w:rsid w:val="007A7AEF"/>
    <w:rsid w:val="007B0C60"/>
    <w:rsid w:val="007B3076"/>
    <w:rsid w:val="007B30C7"/>
    <w:rsid w:val="007B5308"/>
    <w:rsid w:val="007B6BD4"/>
    <w:rsid w:val="007B7E16"/>
    <w:rsid w:val="007C02C7"/>
    <w:rsid w:val="007C07B7"/>
    <w:rsid w:val="007C0EEA"/>
    <w:rsid w:val="007C12C8"/>
    <w:rsid w:val="007C1445"/>
    <w:rsid w:val="007C25FE"/>
    <w:rsid w:val="007C370A"/>
    <w:rsid w:val="007C4524"/>
    <w:rsid w:val="007C4652"/>
    <w:rsid w:val="007C4EA1"/>
    <w:rsid w:val="007C5098"/>
    <w:rsid w:val="007C54A6"/>
    <w:rsid w:val="007C5B8F"/>
    <w:rsid w:val="007C5FEB"/>
    <w:rsid w:val="007C61EF"/>
    <w:rsid w:val="007C6204"/>
    <w:rsid w:val="007C656F"/>
    <w:rsid w:val="007C73A3"/>
    <w:rsid w:val="007C75D0"/>
    <w:rsid w:val="007D1037"/>
    <w:rsid w:val="007D1164"/>
    <w:rsid w:val="007D17BE"/>
    <w:rsid w:val="007D1EF3"/>
    <w:rsid w:val="007D24C4"/>
    <w:rsid w:val="007D272F"/>
    <w:rsid w:val="007D4229"/>
    <w:rsid w:val="007D5D1A"/>
    <w:rsid w:val="007D62D0"/>
    <w:rsid w:val="007D6CAE"/>
    <w:rsid w:val="007E1384"/>
    <w:rsid w:val="007E220F"/>
    <w:rsid w:val="007E2C0D"/>
    <w:rsid w:val="007E3564"/>
    <w:rsid w:val="007E3BF5"/>
    <w:rsid w:val="007E4E24"/>
    <w:rsid w:val="007E5D59"/>
    <w:rsid w:val="007E6E29"/>
    <w:rsid w:val="007E7E53"/>
    <w:rsid w:val="007F002E"/>
    <w:rsid w:val="007F0DE3"/>
    <w:rsid w:val="007F1DB3"/>
    <w:rsid w:val="007F2946"/>
    <w:rsid w:val="007F2F0D"/>
    <w:rsid w:val="007F49A9"/>
    <w:rsid w:val="00800ADF"/>
    <w:rsid w:val="008019EF"/>
    <w:rsid w:val="00804B88"/>
    <w:rsid w:val="0080528C"/>
    <w:rsid w:val="00807BC4"/>
    <w:rsid w:val="008103EB"/>
    <w:rsid w:val="00810B36"/>
    <w:rsid w:val="00811602"/>
    <w:rsid w:val="008131B3"/>
    <w:rsid w:val="008135E0"/>
    <w:rsid w:val="0081396E"/>
    <w:rsid w:val="00813CD3"/>
    <w:rsid w:val="0081450D"/>
    <w:rsid w:val="00814B8D"/>
    <w:rsid w:val="00815B16"/>
    <w:rsid w:val="008220B6"/>
    <w:rsid w:val="008231C0"/>
    <w:rsid w:val="008237D6"/>
    <w:rsid w:val="00825F8D"/>
    <w:rsid w:val="00826A3E"/>
    <w:rsid w:val="008277D6"/>
    <w:rsid w:val="00827E94"/>
    <w:rsid w:val="00831DA1"/>
    <w:rsid w:val="00832015"/>
    <w:rsid w:val="008323B0"/>
    <w:rsid w:val="0083305B"/>
    <w:rsid w:val="00834593"/>
    <w:rsid w:val="00834B8C"/>
    <w:rsid w:val="00835BE7"/>
    <w:rsid w:val="0083776C"/>
    <w:rsid w:val="00840651"/>
    <w:rsid w:val="00841670"/>
    <w:rsid w:val="00843C78"/>
    <w:rsid w:val="00844772"/>
    <w:rsid w:val="0084502F"/>
    <w:rsid w:val="00850056"/>
    <w:rsid w:val="008515DB"/>
    <w:rsid w:val="008547C9"/>
    <w:rsid w:val="00854A33"/>
    <w:rsid w:val="008553F3"/>
    <w:rsid w:val="00855759"/>
    <w:rsid w:val="00855831"/>
    <w:rsid w:val="00855E07"/>
    <w:rsid w:val="00856841"/>
    <w:rsid w:val="008577B1"/>
    <w:rsid w:val="008606FD"/>
    <w:rsid w:val="00860C56"/>
    <w:rsid w:val="008618B1"/>
    <w:rsid w:val="008642DD"/>
    <w:rsid w:val="00867DAC"/>
    <w:rsid w:val="00871514"/>
    <w:rsid w:val="0087197D"/>
    <w:rsid w:val="00873468"/>
    <w:rsid w:val="00873D17"/>
    <w:rsid w:val="0087421B"/>
    <w:rsid w:val="0087529B"/>
    <w:rsid w:val="00880850"/>
    <w:rsid w:val="00881F43"/>
    <w:rsid w:val="0088208C"/>
    <w:rsid w:val="0088258D"/>
    <w:rsid w:val="00882782"/>
    <w:rsid w:val="00882C30"/>
    <w:rsid w:val="00882F21"/>
    <w:rsid w:val="008832A5"/>
    <w:rsid w:val="00884A9E"/>
    <w:rsid w:val="00885567"/>
    <w:rsid w:val="00885B5B"/>
    <w:rsid w:val="00886359"/>
    <w:rsid w:val="00887035"/>
    <w:rsid w:val="008875FA"/>
    <w:rsid w:val="00891254"/>
    <w:rsid w:val="008918C4"/>
    <w:rsid w:val="0089248E"/>
    <w:rsid w:val="00892F62"/>
    <w:rsid w:val="00892FAD"/>
    <w:rsid w:val="00893090"/>
    <w:rsid w:val="008959FE"/>
    <w:rsid w:val="008965AC"/>
    <w:rsid w:val="00897365"/>
    <w:rsid w:val="00897593"/>
    <w:rsid w:val="008A0679"/>
    <w:rsid w:val="008A16F8"/>
    <w:rsid w:val="008A2918"/>
    <w:rsid w:val="008A3731"/>
    <w:rsid w:val="008A5789"/>
    <w:rsid w:val="008A5BFF"/>
    <w:rsid w:val="008A6382"/>
    <w:rsid w:val="008A69D8"/>
    <w:rsid w:val="008B00A9"/>
    <w:rsid w:val="008B1138"/>
    <w:rsid w:val="008B264F"/>
    <w:rsid w:val="008B4512"/>
    <w:rsid w:val="008B6176"/>
    <w:rsid w:val="008B662A"/>
    <w:rsid w:val="008B66D6"/>
    <w:rsid w:val="008C1477"/>
    <w:rsid w:val="008C2167"/>
    <w:rsid w:val="008C289E"/>
    <w:rsid w:val="008C483C"/>
    <w:rsid w:val="008C70DC"/>
    <w:rsid w:val="008C7EAD"/>
    <w:rsid w:val="008D0C37"/>
    <w:rsid w:val="008D1FE9"/>
    <w:rsid w:val="008D28CD"/>
    <w:rsid w:val="008D2B9A"/>
    <w:rsid w:val="008D311B"/>
    <w:rsid w:val="008D4326"/>
    <w:rsid w:val="008D65F8"/>
    <w:rsid w:val="008D694C"/>
    <w:rsid w:val="008D72BA"/>
    <w:rsid w:val="008D7960"/>
    <w:rsid w:val="008E085A"/>
    <w:rsid w:val="008E2A5A"/>
    <w:rsid w:val="008E3184"/>
    <w:rsid w:val="008E42D0"/>
    <w:rsid w:val="008E619D"/>
    <w:rsid w:val="008E7621"/>
    <w:rsid w:val="008F0F6D"/>
    <w:rsid w:val="008F229C"/>
    <w:rsid w:val="008F2A5D"/>
    <w:rsid w:val="008F2B73"/>
    <w:rsid w:val="008F4EA4"/>
    <w:rsid w:val="008F75B8"/>
    <w:rsid w:val="009013DD"/>
    <w:rsid w:val="00902692"/>
    <w:rsid w:val="009026DD"/>
    <w:rsid w:val="00902F42"/>
    <w:rsid w:val="00905244"/>
    <w:rsid w:val="00907C14"/>
    <w:rsid w:val="00911284"/>
    <w:rsid w:val="00911D47"/>
    <w:rsid w:val="00911D7F"/>
    <w:rsid w:val="00912ADC"/>
    <w:rsid w:val="00912E74"/>
    <w:rsid w:val="00914CEA"/>
    <w:rsid w:val="009163A7"/>
    <w:rsid w:val="009173A3"/>
    <w:rsid w:val="00917BFF"/>
    <w:rsid w:val="009222C6"/>
    <w:rsid w:val="0092235E"/>
    <w:rsid w:val="009238F3"/>
    <w:rsid w:val="00923BE4"/>
    <w:rsid w:val="00923D43"/>
    <w:rsid w:val="0092414C"/>
    <w:rsid w:val="009250F0"/>
    <w:rsid w:val="009267BD"/>
    <w:rsid w:val="00926B0B"/>
    <w:rsid w:val="009279CE"/>
    <w:rsid w:val="00930162"/>
    <w:rsid w:val="00930CB4"/>
    <w:rsid w:val="00932C8D"/>
    <w:rsid w:val="00934B2E"/>
    <w:rsid w:val="00935104"/>
    <w:rsid w:val="00937257"/>
    <w:rsid w:val="009403C3"/>
    <w:rsid w:val="00940989"/>
    <w:rsid w:val="009410A7"/>
    <w:rsid w:val="009412B0"/>
    <w:rsid w:val="009420E3"/>
    <w:rsid w:val="009431DA"/>
    <w:rsid w:val="00944A14"/>
    <w:rsid w:val="00947108"/>
    <w:rsid w:val="0094743C"/>
    <w:rsid w:val="00947886"/>
    <w:rsid w:val="00950EA1"/>
    <w:rsid w:val="00951067"/>
    <w:rsid w:val="009518D6"/>
    <w:rsid w:val="0095310B"/>
    <w:rsid w:val="0095750A"/>
    <w:rsid w:val="00960DB3"/>
    <w:rsid w:val="00961A35"/>
    <w:rsid w:val="00961DF5"/>
    <w:rsid w:val="00961EAB"/>
    <w:rsid w:val="00962A92"/>
    <w:rsid w:val="00962F93"/>
    <w:rsid w:val="0096382F"/>
    <w:rsid w:val="00965D31"/>
    <w:rsid w:val="0096682F"/>
    <w:rsid w:val="00966B0A"/>
    <w:rsid w:val="009674DF"/>
    <w:rsid w:val="00967A38"/>
    <w:rsid w:val="00967E09"/>
    <w:rsid w:val="00970DC4"/>
    <w:rsid w:val="00972959"/>
    <w:rsid w:val="009734CB"/>
    <w:rsid w:val="00974873"/>
    <w:rsid w:val="00975034"/>
    <w:rsid w:val="00976F8A"/>
    <w:rsid w:val="0097708D"/>
    <w:rsid w:val="009810CB"/>
    <w:rsid w:val="00982B5E"/>
    <w:rsid w:val="00984098"/>
    <w:rsid w:val="00985154"/>
    <w:rsid w:val="00987AE9"/>
    <w:rsid w:val="00987DA3"/>
    <w:rsid w:val="00990C9F"/>
    <w:rsid w:val="00991689"/>
    <w:rsid w:val="0099188A"/>
    <w:rsid w:val="00993A6E"/>
    <w:rsid w:val="00993A6F"/>
    <w:rsid w:val="00995680"/>
    <w:rsid w:val="00996790"/>
    <w:rsid w:val="009979C0"/>
    <w:rsid w:val="00997D31"/>
    <w:rsid w:val="009A0CEF"/>
    <w:rsid w:val="009A144A"/>
    <w:rsid w:val="009A1F85"/>
    <w:rsid w:val="009A448C"/>
    <w:rsid w:val="009A4628"/>
    <w:rsid w:val="009A4B98"/>
    <w:rsid w:val="009A6E73"/>
    <w:rsid w:val="009A7C40"/>
    <w:rsid w:val="009B344E"/>
    <w:rsid w:val="009B3BB7"/>
    <w:rsid w:val="009B4978"/>
    <w:rsid w:val="009B4FDF"/>
    <w:rsid w:val="009B5B5E"/>
    <w:rsid w:val="009C0809"/>
    <w:rsid w:val="009C1BF6"/>
    <w:rsid w:val="009C2498"/>
    <w:rsid w:val="009C2DF6"/>
    <w:rsid w:val="009C3BBD"/>
    <w:rsid w:val="009C505B"/>
    <w:rsid w:val="009C569E"/>
    <w:rsid w:val="009C5C23"/>
    <w:rsid w:val="009C696C"/>
    <w:rsid w:val="009D08DE"/>
    <w:rsid w:val="009D08EA"/>
    <w:rsid w:val="009D20CB"/>
    <w:rsid w:val="009D33A7"/>
    <w:rsid w:val="009D445D"/>
    <w:rsid w:val="009D5B45"/>
    <w:rsid w:val="009D5BF9"/>
    <w:rsid w:val="009D6D9D"/>
    <w:rsid w:val="009D7061"/>
    <w:rsid w:val="009D7D14"/>
    <w:rsid w:val="009E0826"/>
    <w:rsid w:val="009E0B82"/>
    <w:rsid w:val="009E21F0"/>
    <w:rsid w:val="009E2362"/>
    <w:rsid w:val="009E2CBB"/>
    <w:rsid w:val="009E3778"/>
    <w:rsid w:val="009E38DD"/>
    <w:rsid w:val="009E54B5"/>
    <w:rsid w:val="009E5953"/>
    <w:rsid w:val="009E62B5"/>
    <w:rsid w:val="009E6369"/>
    <w:rsid w:val="009E68B5"/>
    <w:rsid w:val="009E7AF9"/>
    <w:rsid w:val="009E7CC3"/>
    <w:rsid w:val="009F1DF4"/>
    <w:rsid w:val="009F2092"/>
    <w:rsid w:val="009F3E68"/>
    <w:rsid w:val="009F453D"/>
    <w:rsid w:val="009F6D7C"/>
    <w:rsid w:val="00A00FC6"/>
    <w:rsid w:val="00A05CA6"/>
    <w:rsid w:val="00A05FCB"/>
    <w:rsid w:val="00A0681B"/>
    <w:rsid w:val="00A0776C"/>
    <w:rsid w:val="00A10506"/>
    <w:rsid w:val="00A11DD3"/>
    <w:rsid w:val="00A11F3D"/>
    <w:rsid w:val="00A133A6"/>
    <w:rsid w:val="00A13CDE"/>
    <w:rsid w:val="00A14299"/>
    <w:rsid w:val="00A14409"/>
    <w:rsid w:val="00A16F88"/>
    <w:rsid w:val="00A17074"/>
    <w:rsid w:val="00A17FF0"/>
    <w:rsid w:val="00A21B22"/>
    <w:rsid w:val="00A21FC5"/>
    <w:rsid w:val="00A228C2"/>
    <w:rsid w:val="00A22FCF"/>
    <w:rsid w:val="00A23792"/>
    <w:rsid w:val="00A2439E"/>
    <w:rsid w:val="00A24AAE"/>
    <w:rsid w:val="00A24AD4"/>
    <w:rsid w:val="00A264C2"/>
    <w:rsid w:val="00A26C15"/>
    <w:rsid w:val="00A26E29"/>
    <w:rsid w:val="00A31F0B"/>
    <w:rsid w:val="00A3427B"/>
    <w:rsid w:val="00A35C44"/>
    <w:rsid w:val="00A36E47"/>
    <w:rsid w:val="00A40B8D"/>
    <w:rsid w:val="00A40FC4"/>
    <w:rsid w:val="00A41163"/>
    <w:rsid w:val="00A4353E"/>
    <w:rsid w:val="00A44973"/>
    <w:rsid w:val="00A4713D"/>
    <w:rsid w:val="00A53273"/>
    <w:rsid w:val="00A534FA"/>
    <w:rsid w:val="00A53886"/>
    <w:rsid w:val="00A54FDF"/>
    <w:rsid w:val="00A55312"/>
    <w:rsid w:val="00A56B25"/>
    <w:rsid w:val="00A56C1D"/>
    <w:rsid w:val="00A60070"/>
    <w:rsid w:val="00A60670"/>
    <w:rsid w:val="00A612B5"/>
    <w:rsid w:val="00A612BC"/>
    <w:rsid w:val="00A62D39"/>
    <w:rsid w:val="00A630AA"/>
    <w:rsid w:val="00A63810"/>
    <w:rsid w:val="00A67539"/>
    <w:rsid w:val="00A67A58"/>
    <w:rsid w:val="00A701A8"/>
    <w:rsid w:val="00A7049D"/>
    <w:rsid w:val="00A70ADA"/>
    <w:rsid w:val="00A715CB"/>
    <w:rsid w:val="00A734AF"/>
    <w:rsid w:val="00A736BA"/>
    <w:rsid w:val="00A765F5"/>
    <w:rsid w:val="00A768FD"/>
    <w:rsid w:val="00A76940"/>
    <w:rsid w:val="00A77DCB"/>
    <w:rsid w:val="00A8065F"/>
    <w:rsid w:val="00A809AB"/>
    <w:rsid w:val="00A82343"/>
    <w:rsid w:val="00A851CE"/>
    <w:rsid w:val="00A8791B"/>
    <w:rsid w:val="00A87965"/>
    <w:rsid w:val="00A926BB"/>
    <w:rsid w:val="00A95A54"/>
    <w:rsid w:val="00A96133"/>
    <w:rsid w:val="00A96AC2"/>
    <w:rsid w:val="00A97290"/>
    <w:rsid w:val="00A97DE3"/>
    <w:rsid w:val="00AA19BB"/>
    <w:rsid w:val="00AA496C"/>
    <w:rsid w:val="00AA4F5B"/>
    <w:rsid w:val="00AA5F57"/>
    <w:rsid w:val="00AA6548"/>
    <w:rsid w:val="00AA703C"/>
    <w:rsid w:val="00AA7A25"/>
    <w:rsid w:val="00AA7C92"/>
    <w:rsid w:val="00AB122C"/>
    <w:rsid w:val="00AB1698"/>
    <w:rsid w:val="00AB1A07"/>
    <w:rsid w:val="00AB1DCD"/>
    <w:rsid w:val="00AB2C75"/>
    <w:rsid w:val="00AB52E4"/>
    <w:rsid w:val="00AB7E5C"/>
    <w:rsid w:val="00AC0515"/>
    <w:rsid w:val="00AC0CD2"/>
    <w:rsid w:val="00AC2766"/>
    <w:rsid w:val="00AC4EAB"/>
    <w:rsid w:val="00AC5683"/>
    <w:rsid w:val="00AC5E32"/>
    <w:rsid w:val="00AC5F6E"/>
    <w:rsid w:val="00AC6153"/>
    <w:rsid w:val="00AC743C"/>
    <w:rsid w:val="00AD0C64"/>
    <w:rsid w:val="00AD25FE"/>
    <w:rsid w:val="00AD2850"/>
    <w:rsid w:val="00AD403E"/>
    <w:rsid w:val="00AD4955"/>
    <w:rsid w:val="00AD5185"/>
    <w:rsid w:val="00AD5B7F"/>
    <w:rsid w:val="00AD6BE1"/>
    <w:rsid w:val="00AD702F"/>
    <w:rsid w:val="00AD7446"/>
    <w:rsid w:val="00AE18E0"/>
    <w:rsid w:val="00AE1CDE"/>
    <w:rsid w:val="00AE4AF8"/>
    <w:rsid w:val="00AE503A"/>
    <w:rsid w:val="00AE5A14"/>
    <w:rsid w:val="00AE5ECB"/>
    <w:rsid w:val="00AE7022"/>
    <w:rsid w:val="00AE705C"/>
    <w:rsid w:val="00AE75F7"/>
    <w:rsid w:val="00AF0049"/>
    <w:rsid w:val="00AF079F"/>
    <w:rsid w:val="00AF1CB8"/>
    <w:rsid w:val="00AF4D7C"/>
    <w:rsid w:val="00AF586C"/>
    <w:rsid w:val="00B01B62"/>
    <w:rsid w:val="00B01F57"/>
    <w:rsid w:val="00B04606"/>
    <w:rsid w:val="00B05020"/>
    <w:rsid w:val="00B0563F"/>
    <w:rsid w:val="00B07BD4"/>
    <w:rsid w:val="00B11284"/>
    <w:rsid w:val="00B11C90"/>
    <w:rsid w:val="00B12242"/>
    <w:rsid w:val="00B12B32"/>
    <w:rsid w:val="00B13E80"/>
    <w:rsid w:val="00B14467"/>
    <w:rsid w:val="00B206A5"/>
    <w:rsid w:val="00B20925"/>
    <w:rsid w:val="00B21B81"/>
    <w:rsid w:val="00B22DE6"/>
    <w:rsid w:val="00B22FF4"/>
    <w:rsid w:val="00B24714"/>
    <w:rsid w:val="00B25CD9"/>
    <w:rsid w:val="00B26C00"/>
    <w:rsid w:val="00B26F93"/>
    <w:rsid w:val="00B272B0"/>
    <w:rsid w:val="00B2788D"/>
    <w:rsid w:val="00B3286F"/>
    <w:rsid w:val="00B33DF6"/>
    <w:rsid w:val="00B367FA"/>
    <w:rsid w:val="00B37CD9"/>
    <w:rsid w:val="00B41029"/>
    <w:rsid w:val="00B42450"/>
    <w:rsid w:val="00B4280B"/>
    <w:rsid w:val="00B4487C"/>
    <w:rsid w:val="00B50FBB"/>
    <w:rsid w:val="00B515C9"/>
    <w:rsid w:val="00B51808"/>
    <w:rsid w:val="00B521D9"/>
    <w:rsid w:val="00B52B0C"/>
    <w:rsid w:val="00B5371D"/>
    <w:rsid w:val="00B53C7E"/>
    <w:rsid w:val="00B55C45"/>
    <w:rsid w:val="00B55F92"/>
    <w:rsid w:val="00B5608C"/>
    <w:rsid w:val="00B6082A"/>
    <w:rsid w:val="00B60984"/>
    <w:rsid w:val="00B62DF8"/>
    <w:rsid w:val="00B62FCA"/>
    <w:rsid w:val="00B636BF"/>
    <w:rsid w:val="00B65936"/>
    <w:rsid w:val="00B660D1"/>
    <w:rsid w:val="00B6632A"/>
    <w:rsid w:val="00B701B2"/>
    <w:rsid w:val="00B7078C"/>
    <w:rsid w:val="00B711F4"/>
    <w:rsid w:val="00B71B09"/>
    <w:rsid w:val="00B730C6"/>
    <w:rsid w:val="00B73911"/>
    <w:rsid w:val="00B73DF5"/>
    <w:rsid w:val="00B75115"/>
    <w:rsid w:val="00B76968"/>
    <w:rsid w:val="00B801C7"/>
    <w:rsid w:val="00B8106C"/>
    <w:rsid w:val="00B81778"/>
    <w:rsid w:val="00B817C3"/>
    <w:rsid w:val="00B8287E"/>
    <w:rsid w:val="00B83DD1"/>
    <w:rsid w:val="00B84006"/>
    <w:rsid w:val="00B8475D"/>
    <w:rsid w:val="00B84C34"/>
    <w:rsid w:val="00B8517E"/>
    <w:rsid w:val="00B85459"/>
    <w:rsid w:val="00B87592"/>
    <w:rsid w:val="00B877B8"/>
    <w:rsid w:val="00B901B5"/>
    <w:rsid w:val="00B916FC"/>
    <w:rsid w:val="00B924A8"/>
    <w:rsid w:val="00B92815"/>
    <w:rsid w:val="00B941CE"/>
    <w:rsid w:val="00B94814"/>
    <w:rsid w:val="00B94EC1"/>
    <w:rsid w:val="00B9565A"/>
    <w:rsid w:val="00B95DCC"/>
    <w:rsid w:val="00B95ECA"/>
    <w:rsid w:val="00B964C2"/>
    <w:rsid w:val="00B96728"/>
    <w:rsid w:val="00B97933"/>
    <w:rsid w:val="00BA0002"/>
    <w:rsid w:val="00BA0B16"/>
    <w:rsid w:val="00BA16A8"/>
    <w:rsid w:val="00BA1A49"/>
    <w:rsid w:val="00BA23DC"/>
    <w:rsid w:val="00BA3E99"/>
    <w:rsid w:val="00BA567D"/>
    <w:rsid w:val="00BA5CC7"/>
    <w:rsid w:val="00BA6074"/>
    <w:rsid w:val="00BA6C8E"/>
    <w:rsid w:val="00BB0368"/>
    <w:rsid w:val="00BB0A12"/>
    <w:rsid w:val="00BB1053"/>
    <w:rsid w:val="00BB1D2E"/>
    <w:rsid w:val="00BB1EA6"/>
    <w:rsid w:val="00BB21FE"/>
    <w:rsid w:val="00BB2411"/>
    <w:rsid w:val="00BB3017"/>
    <w:rsid w:val="00BB3229"/>
    <w:rsid w:val="00BB47CF"/>
    <w:rsid w:val="00BB737A"/>
    <w:rsid w:val="00BB7EC4"/>
    <w:rsid w:val="00BC1939"/>
    <w:rsid w:val="00BC1AB3"/>
    <w:rsid w:val="00BC1FF4"/>
    <w:rsid w:val="00BC247E"/>
    <w:rsid w:val="00BC2639"/>
    <w:rsid w:val="00BC493F"/>
    <w:rsid w:val="00BC4DBD"/>
    <w:rsid w:val="00BC6273"/>
    <w:rsid w:val="00BC6630"/>
    <w:rsid w:val="00BC7E3F"/>
    <w:rsid w:val="00BD102B"/>
    <w:rsid w:val="00BD1353"/>
    <w:rsid w:val="00BD30EB"/>
    <w:rsid w:val="00BD4E5E"/>
    <w:rsid w:val="00BD57B3"/>
    <w:rsid w:val="00BD5FBE"/>
    <w:rsid w:val="00BE02D5"/>
    <w:rsid w:val="00BE070E"/>
    <w:rsid w:val="00BE20AB"/>
    <w:rsid w:val="00BE2CCD"/>
    <w:rsid w:val="00BE39B1"/>
    <w:rsid w:val="00BE3BF5"/>
    <w:rsid w:val="00BE6430"/>
    <w:rsid w:val="00BE7E9C"/>
    <w:rsid w:val="00BF0A1E"/>
    <w:rsid w:val="00BF1327"/>
    <w:rsid w:val="00BF1A85"/>
    <w:rsid w:val="00BF1B09"/>
    <w:rsid w:val="00BF1CED"/>
    <w:rsid w:val="00BF2374"/>
    <w:rsid w:val="00BF34BA"/>
    <w:rsid w:val="00BF4294"/>
    <w:rsid w:val="00BF436F"/>
    <w:rsid w:val="00BF45F0"/>
    <w:rsid w:val="00BF6012"/>
    <w:rsid w:val="00BF6071"/>
    <w:rsid w:val="00BF6234"/>
    <w:rsid w:val="00BF7A00"/>
    <w:rsid w:val="00C00559"/>
    <w:rsid w:val="00C01217"/>
    <w:rsid w:val="00C02D2F"/>
    <w:rsid w:val="00C03105"/>
    <w:rsid w:val="00C03C15"/>
    <w:rsid w:val="00C05041"/>
    <w:rsid w:val="00C05316"/>
    <w:rsid w:val="00C054B9"/>
    <w:rsid w:val="00C0592A"/>
    <w:rsid w:val="00C07795"/>
    <w:rsid w:val="00C13AD9"/>
    <w:rsid w:val="00C13B3C"/>
    <w:rsid w:val="00C148F1"/>
    <w:rsid w:val="00C14EBD"/>
    <w:rsid w:val="00C15026"/>
    <w:rsid w:val="00C15FF4"/>
    <w:rsid w:val="00C17B60"/>
    <w:rsid w:val="00C17C71"/>
    <w:rsid w:val="00C2036C"/>
    <w:rsid w:val="00C21088"/>
    <w:rsid w:val="00C210F5"/>
    <w:rsid w:val="00C217FE"/>
    <w:rsid w:val="00C24DDB"/>
    <w:rsid w:val="00C25F8C"/>
    <w:rsid w:val="00C26F43"/>
    <w:rsid w:val="00C30CDA"/>
    <w:rsid w:val="00C31089"/>
    <w:rsid w:val="00C31EC5"/>
    <w:rsid w:val="00C32AE6"/>
    <w:rsid w:val="00C3327D"/>
    <w:rsid w:val="00C33451"/>
    <w:rsid w:val="00C33AE1"/>
    <w:rsid w:val="00C369C9"/>
    <w:rsid w:val="00C36C2B"/>
    <w:rsid w:val="00C37012"/>
    <w:rsid w:val="00C37426"/>
    <w:rsid w:val="00C37753"/>
    <w:rsid w:val="00C40B77"/>
    <w:rsid w:val="00C4150E"/>
    <w:rsid w:val="00C456D9"/>
    <w:rsid w:val="00C46A1F"/>
    <w:rsid w:val="00C46E5E"/>
    <w:rsid w:val="00C4784E"/>
    <w:rsid w:val="00C478CE"/>
    <w:rsid w:val="00C50926"/>
    <w:rsid w:val="00C5165F"/>
    <w:rsid w:val="00C51B84"/>
    <w:rsid w:val="00C534BB"/>
    <w:rsid w:val="00C53704"/>
    <w:rsid w:val="00C53A8D"/>
    <w:rsid w:val="00C545F3"/>
    <w:rsid w:val="00C56094"/>
    <w:rsid w:val="00C56548"/>
    <w:rsid w:val="00C56E4B"/>
    <w:rsid w:val="00C6063C"/>
    <w:rsid w:val="00C61911"/>
    <w:rsid w:val="00C620E1"/>
    <w:rsid w:val="00C6255F"/>
    <w:rsid w:val="00C63161"/>
    <w:rsid w:val="00C63D51"/>
    <w:rsid w:val="00C64CC0"/>
    <w:rsid w:val="00C65245"/>
    <w:rsid w:val="00C66672"/>
    <w:rsid w:val="00C675EB"/>
    <w:rsid w:val="00C71459"/>
    <w:rsid w:val="00C72299"/>
    <w:rsid w:val="00C72AA9"/>
    <w:rsid w:val="00C7306B"/>
    <w:rsid w:val="00C740AB"/>
    <w:rsid w:val="00C76D31"/>
    <w:rsid w:val="00C76D70"/>
    <w:rsid w:val="00C807E5"/>
    <w:rsid w:val="00C80964"/>
    <w:rsid w:val="00C81D35"/>
    <w:rsid w:val="00C823E0"/>
    <w:rsid w:val="00C835DF"/>
    <w:rsid w:val="00C8428F"/>
    <w:rsid w:val="00C848D3"/>
    <w:rsid w:val="00C8519F"/>
    <w:rsid w:val="00C8585A"/>
    <w:rsid w:val="00C86E53"/>
    <w:rsid w:val="00C875E0"/>
    <w:rsid w:val="00C87862"/>
    <w:rsid w:val="00C9166A"/>
    <w:rsid w:val="00C94324"/>
    <w:rsid w:val="00C9445C"/>
    <w:rsid w:val="00C95307"/>
    <w:rsid w:val="00C95DE9"/>
    <w:rsid w:val="00C9614C"/>
    <w:rsid w:val="00C96A6E"/>
    <w:rsid w:val="00C978CC"/>
    <w:rsid w:val="00C97B98"/>
    <w:rsid w:val="00CA032B"/>
    <w:rsid w:val="00CA12D2"/>
    <w:rsid w:val="00CA2793"/>
    <w:rsid w:val="00CA2C56"/>
    <w:rsid w:val="00CA3FA7"/>
    <w:rsid w:val="00CA62B7"/>
    <w:rsid w:val="00CA69EA"/>
    <w:rsid w:val="00CA6DDB"/>
    <w:rsid w:val="00CB1B3E"/>
    <w:rsid w:val="00CB2E31"/>
    <w:rsid w:val="00CB5CD1"/>
    <w:rsid w:val="00CB6293"/>
    <w:rsid w:val="00CB6AA5"/>
    <w:rsid w:val="00CB724B"/>
    <w:rsid w:val="00CC0EC8"/>
    <w:rsid w:val="00CC1122"/>
    <w:rsid w:val="00CC11B8"/>
    <w:rsid w:val="00CC32F5"/>
    <w:rsid w:val="00CC3A6F"/>
    <w:rsid w:val="00CC3DAF"/>
    <w:rsid w:val="00CC7847"/>
    <w:rsid w:val="00CC7CF0"/>
    <w:rsid w:val="00CC7F1E"/>
    <w:rsid w:val="00CD01CA"/>
    <w:rsid w:val="00CD0544"/>
    <w:rsid w:val="00CD28BD"/>
    <w:rsid w:val="00CD41EC"/>
    <w:rsid w:val="00CD5550"/>
    <w:rsid w:val="00CD5714"/>
    <w:rsid w:val="00CD5B85"/>
    <w:rsid w:val="00CD5DBA"/>
    <w:rsid w:val="00CD72E5"/>
    <w:rsid w:val="00CD79E3"/>
    <w:rsid w:val="00CE020F"/>
    <w:rsid w:val="00CE0DB6"/>
    <w:rsid w:val="00CE100C"/>
    <w:rsid w:val="00CF02E5"/>
    <w:rsid w:val="00CF3A9D"/>
    <w:rsid w:val="00CF3B81"/>
    <w:rsid w:val="00CF558B"/>
    <w:rsid w:val="00CF5C9D"/>
    <w:rsid w:val="00CF731D"/>
    <w:rsid w:val="00D00818"/>
    <w:rsid w:val="00D01705"/>
    <w:rsid w:val="00D04762"/>
    <w:rsid w:val="00D04E18"/>
    <w:rsid w:val="00D050A3"/>
    <w:rsid w:val="00D05164"/>
    <w:rsid w:val="00D06B0B"/>
    <w:rsid w:val="00D07690"/>
    <w:rsid w:val="00D077EB"/>
    <w:rsid w:val="00D10DBB"/>
    <w:rsid w:val="00D10EA4"/>
    <w:rsid w:val="00D11123"/>
    <w:rsid w:val="00D112A3"/>
    <w:rsid w:val="00D11EFC"/>
    <w:rsid w:val="00D121D9"/>
    <w:rsid w:val="00D1308B"/>
    <w:rsid w:val="00D134C6"/>
    <w:rsid w:val="00D13B62"/>
    <w:rsid w:val="00D14F27"/>
    <w:rsid w:val="00D155BA"/>
    <w:rsid w:val="00D167C2"/>
    <w:rsid w:val="00D16ED9"/>
    <w:rsid w:val="00D23D26"/>
    <w:rsid w:val="00D240A9"/>
    <w:rsid w:val="00D24E4F"/>
    <w:rsid w:val="00D25584"/>
    <w:rsid w:val="00D25CFC"/>
    <w:rsid w:val="00D274A2"/>
    <w:rsid w:val="00D27F49"/>
    <w:rsid w:val="00D30A67"/>
    <w:rsid w:val="00D30BE8"/>
    <w:rsid w:val="00D328B7"/>
    <w:rsid w:val="00D3360D"/>
    <w:rsid w:val="00D3416F"/>
    <w:rsid w:val="00D35223"/>
    <w:rsid w:val="00D35CBD"/>
    <w:rsid w:val="00D371A4"/>
    <w:rsid w:val="00D41EB1"/>
    <w:rsid w:val="00D47CFB"/>
    <w:rsid w:val="00D47D0A"/>
    <w:rsid w:val="00D47FDD"/>
    <w:rsid w:val="00D520BE"/>
    <w:rsid w:val="00D52445"/>
    <w:rsid w:val="00D541C4"/>
    <w:rsid w:val="00D542AF"/>
    <w:rsid w:val="00D54D87"/>
    <w:rsid w:val="00D563AE"/>
    <w:rsid w:val="00D56ED9"/>
    <w:rsid w:val="00D57BB4"/>
    <w:rsid w:val="00D57EDC"/>
    <w:rsid w:val="00D6105F"/>
    <w:rsid w:val="00D6128E"/>
    <w:rsid w:val="00D62752"/>
    <w:rsid w:val="00D6284F"/>
    <w:rsid w:val="00D64B71"/>
    <w:rsid w:val="00D64C4B"/>
    <w:rsid w:val="00D65267"/>
    <w:rsid w:val="00D66178"/>
    <w:rsid w:val="00D6623B"/>
    <w:rsid w:val="00D66617"/>
    <w:rsid w:val="00D6715B"/>
    <w:rsid w:val="00D67EF2"/>
    <w:rsid w:val="00D70AD7"/>
    <w:rsid w:val="00D720DC"/>
    <w:rsid w:val="00D733C1"/>
    <w:rsid w:val="00D74289"/>
    <w:rsid w:val="00D75A74"/>
    <w:rsid w:val="00D765E0"/>
    <w:rsid w:val="00D76CD6"/>
    <w:rsid w:val="00D76E42"/>
    <w:rsid w:val="00D80974"/>
    <w:rsid w:val="00D811F9"/>
    <w:rsid w:val="00D8358E"/>
    <w:rsid w:val="00D83729"/>
    <w:rsid w:val="00D83C6D"/>
    <w:rsid w:val="00D86CED"/>
    <w:rsid w:val="00D873AD"/>
    <w:rsid w:val="00D8765A"/>
    <w:rsid w:val="00D87FB1"/>
    <w:rsid w:val="00D90AF9"/>
    <w:rsid w:val="00D9178E"/>
    <w:rsid w:val="00D92CB8"/>
    <w:rsid w:val="00D93177"/>
    <w:rsid w:val="00D93AC5"/>
    <w:rsid w:val="00D9497D"/>
    <w:rsid w:val="00D94E86"/>
    <w:rsid w:val="00D95867"/>
    <w:rsid w:val="00D95F6B"/>
    <w:rsid w:val="00D96E17"/>
    <w:rsid w:val="00DA0132"/>
    <w:rsid w:val="00DA0B6C"/>
    <w:rsid w:val="00DA0F6A"/>
    <w:rsid w:val="00DA330C"/>
    <w:rsid w:val="00DA3EB9"/>
    <w:rsid w:val="00DA4128"/>
    <w:rsid w:val="00DA4257"/>
    <w:rsid w:val="00DA4555"/>
    <w:rsid w:val="00DA54D2"/>
    <w:rsid w:val="00DA7A93"/>
    <w:rsid w:val="00DB0847"/>
    <w:rsid w:val="00DB0F87"/>
    <w:rsid w:val="00DB137F"/>
    <w:rsid w:val="00DB2B4D"/>
    <w:rsid w:val="00DB37CA"/>
    <w:rsid w:val="00DB50B3"/>
    <w:rsid w:val="00DB565B"/>
    <w:rsid w:val="00DB7D61"/>
    <w:rsid w:val="00DC0917"/>
    <w:rsid w:val="00DC0C0A"/>
    <w:rsid w:val="00DC0ED9"/>
    <w:rsid w:val="00DC134B"/>
    <w:rsid w:val="00DC19DD"/>
    <w:rsid w:val="00DC4D0A"/>
    <w:rsid w:val="00DC565F"/>
    <w:rsid w:val="00DC6480"/>
    <w:rsid w:val="00DC6A15"/>
    <w:rsid w:val="00DC6DAF"/>
    <w:rsid w:val="00DC6E7F"/>
    <w:rsid w:val="00DC7775"/>
    <w:rsid w:val="00DD0774"/>
    <w:rsid w:val="00DD0DD5"/>
    <w:rsid w:val="00DD0E73"/>
    <w:rsid w:val="00DD1E49"/>
    <w:rsid w:val="00DD1EC7"/>
    <w:rsid w:val="00DD2951"/>
    <w:rsid w:val="00DD32D4"/>
    <w:rsid w:val="00DD4F2F"/>
    <w:rsid w:val="00DD5E39"/>
    <w:rsid w:val="00DD6344"/>
    <w:rsid w:val="00DD6504"/>
    <w:rsid w:val="00DE20EB"/>
    <w:rsid w:val="00DE491E"/>
    <w:rsid w:val="00DE5998"/>
    <w:rsid w:val="00DE5A2E"/>
    <w:rsid w:val="00DE5FF1"/>
    <w:rsid w:val="00DE6775"/>
    <w:rsid w:val="00DE7139"/>
    <w:rsid w:val="00DE7C42"/>
    <w:rsid w:val="00DF180D"/>
    <w:rsid w:val="00DF6186"/>
    <w:rsid w:val="00E01F29"/>
    <w:rsid w:val="00E01F86"/>
    <w:rsid w:val="00E04264"/>
    <w:rsid w:val="00E0456A"/>
    <w:rsid w:val="00E10514"/>
    <w:rsid w:val="00E106A3"/>
    <w:rsid w:val="00E10E82"/>
    <w:rsid w:val="00E11217"/>
    <w:rsid w:val="00E12415"/>
    <w:rsid w:val="00E134AA"/>
    <w:rsid w:val="00E14432"/>
    <w:rsid w:val="00E144B4"/>
    <w:rsid w:val="00E14CC5"/>
    <w:rsid w:val="00E16114"/>
    <w:rsid w:val="00E17B3B"/>
    <w:rsid w:val="00E17F59"/>
    <w:rsid w:val="00E205EF"/>
    <w:rsid w:val="00E2096E"/>
    <w:rsid w:val="00E20DD9"/>
    <w:rsid w:val="00E229FD"/>
    <w:rsid w:val="00E24050"/>
    <w:rsid w:val="00E25477"/>
    <w:rsid w:val="00E26B57"/>
    <w:rsid w:val="00E2762D"/>
    <w:rsid w:val="00E31063"/>
    <w:rsid w:val="00E31832"/>
    <w:rsid w:val="00E31BBA"/>
    <w:rsid w:val="00E3309F"/>
    <w:rsid w:val="00E34EA0"/>
    <w:rsid w:val="00E3589C"/>
    <w:rsid w:val="00E36416"/>
    <w:rsid w:val="00E3712C"/>
    <w:rsid w:val="00E3773D"/>
    <w:rsid w:val="00E37A1C"/>
    <w:rsid w:val="00E40DA4"/>
    <w:rsid w:val="00E4146F"/>
    <w:rsid w:val="00E418AD"/>
    <w:rsid w:val="00E43525"/>
    <w:rsid w:val="00E4388E"/>
    <w:rsid w:val="00E45B9A"/>
    <w:rsid w:val="00E46164"/>
    <w:rsid w:val="00E462A2"/>
    <w:rsid w:val="00E4746B"/>
    <w:rsid w:val="00E47E1C"/>
    <w:rsid w:val="00E47E6A"/>
    <w:rsid w:val="00E5134A"/>
    <w:rsid w:val="00E60157"/>
    <w:rsid w:val="00E604FA"/>
    <w:rsid w:val="00E60FCD"/>
    <w:rsid w:val="00E62243"/>
    <w:rsid w:val="00E626FA"/>
    <w:rsid w:val="00E64551"/>
    <w:rsid w:val="00E65A6B"/>
    <w:rsid w:val="00E66256"/>
    <w:rsid w:val="00E66F66"/>
    <w:rsid w:val="00E671FB"/>
    <w:rsid w:val="00E72DCA"/>
    <w:rsid w:val="00E75764"/>
    <w:rsid w:val="00E776B0"/>
    <w:rsid w:val="00E77831"/>
    <w:rsid w:val="00E838A2"/>
    <w:rsid w:val="00E862F8"/>
    <w:rsid w:val="00E8648E"/>
    <w:rsid w:val="00E8653B"/>
    <w:rsid w:val="00E87154"/>
    <w:rsid w:val="00E900CD"/>
    <w:rsid w:val="00E906C6"/>
    <w:rsid w:val="00E90710"/>
    <w:rsid w:val="00E911CB"/>
    <w:rsid w:val="00E9122F"/>
    <w:rsid w:val="00E9153F"/>
    <w:rsid w:val="00E93E86"/>
    <w:rsid w:val="00E94B12"/>
    <w:rsid w:val="00E9509F"/>
    <w:rsid w:val="00E952CE"/>
    <w:rsid w:val="00E97A7D"/>
    <w:rsid w:val="00EA1249"/>
    <w:rsid w:val="00EA19F4"/>
    <w:rsid w:val="00EA1D4E"/>
    <w:rsid w:val="00EA1EF0"/>
    <w:rsid w:val="00EA2AA2"/>
    <w:rsid w:val="00EA49E4"/>
    <w:rsid w:val="00EA737A"/>
    <w:rsid w:val="00EA7F6D"/>
    <w:rsid w:val="00EB015C"/>
    <w:rsid w:val="00EB0736"/>
    <w:rsid w:val="00EB147C"/>
    <w:rsid w:val="00EB16E0"/>
    <w:rsid w:val="00EB3BE5"/>
    <w:rsid w:val="00EB63BF"/>
    <w:rsid w:val="00EB6D3E"/>
    <w:rsid w:val="00EC024E"/>
    <w:rsid w:val="00EC06CA"/>
    <w:rsid w:val="00EC0A06"/>
    <w:rsid w:val="00EC2329"/>
    <w:rsid w:val="00EC3CC6"/>
    <w:rsid w:val="00EC4EB4"/>
    <w:rsid w:val="00EC5E52"/>
    <w:rsid w:val="00EC6318"/>
    <w:rsid w:val="00ED0A3D"/>
    <w:rsid w:val="00ED561F"/>
    <w:rsid w:val="00ED62CD"/>
    <w:rsid w:val="00ED711B"/>
    <w:rsid w:val="00ED7989"/>
    <w:rsid w:val="00EE0348"/>
    <w:rsid w:val="00EE070E"/>
    <w:rsid w:val="00EE2FEC"/>
    <w:rsid w:val="00EE3CC1"/>
    <w:rsid w:val="00EE50F0"/>
    <w:rsid w:val="00EE53FE"/>
    <w:rsid w:val="00EE5427"/>
    <w:rsid w:val="00EE5B19"/>
    <w:rsid w:val="00EE603F"/>
    <w:rsid w:val="00EE650C"/>
    <w:rsid w:val="00EF241E"/>
    <w:rsid w:val="00EF2786"/>
    <w:rsid w:val="00EF548D"/>
    <w:rsid w:val="00EF5C48"/>
    <w:rsid w:val="00F00033"/>
    <w:rsid w:val="00F006E5"/>
    <w:rsid w:val="00F00A9E"/>
    <w:rsid w:val="00F01064"/>
    <w:rsid w:val="00F01386"/>
    <w:rsid w:val="00F0296C"/>
    <w:rsid w:val="00F04DF0"/>
    <w:rsid w:val="00F05960"/>
    <w:rsid w:val="00F05CEA"/>
    <w:rsid w:val="00F05E4B"/>
    <w:rsid w:val="00F05FB8"/>
    <w:rsid w:val="00F10FCA"/>
    <w:rsid w:val="00F118A4"/>
    <w:rsid w:val="00F11DE3"/>
    <w:rsid w:val="00F12D54"/>
    <w:rsid w:val="00F13562"/>
    <w:rsid w:val="00F15344"/>
    <w:rsid w:val="00F168D9"/>
    <w:rsid w:val="00F17BE5"/>
    <w:rsid w:val="00F20F6B"/>
    <w:rsid w:val="00F21500"/>
    <w:rsid w:val="00F2452D"/>
    <w:rsid w:val="00F256A9"/>
    <w:rsid w:val="00F26E0D"/>
    <w:rsid w:val="00F30682"/>
    <w:rsid w:val="00F30EFF"/>
    <w:rsid w:val="00F31F71"/>
    <w:rsid w:val="00F3336A"/>
    <w:rsid w:val="00F33E66"/>
    <w:rsid w:val="00F345A7"/>
    <w:rsid w:val="00F36A14"/>
    <w:rsid w:val="00F3746D"/>
    <w:rsid w:val="00F37951"/>
    <w:rsid w:val="00F40BC4"/>
    <w:rsid w:val="00F40C78"/>
    <w:rsid w:val="00F4448F"/>
    <w:rsid w:val="00F4536D"/>
    <w:rsid w:val="00F46BB6"/>
    <w:rsid w:val="00F47E2A"/>
    <w:rsid w:val="00F5096C"/>
    <w:rsid w:val="00F520D2"/>
    <w:rsid w:val="00F57683"/>
    <w:rsid w:val="00F600FA"/>
    <w:rsid w:val="00F60E83"/>
    <w:rsid w:val="00F61C8A"/>
    <w:rsid w:val="00F62013"/>
    <w:rsid w:val="00F6231C"/>
    <w:rsid w:val="00F62A25"/>
    <w:rsid w:val="00F62A6D"/>
    <w:rsid w:val="00F62E4A"/>
    <w:rsid w:val="00F62F38"/>
    <w:rsid w:val="00F64869"/>
    <w:rsid w:val="00F65DBD"/>
    <w:rsid w:val="00F7049F"/>
    <w:rsid w:val="00F70C7B"/>
    <w:rsid w:val="00F711B2"/>
    <w:rsid w:val="00F71678"/>
    <w:rsid w:val="00F71F36"/>
    <w:rsid w:val="00F734A4"/>
    <w:rsid w:val="00F74AF3"/>
    <w:rsid w:val="00F75A74"/>
    <w:rsid w:val="00F7671F"/>
    <w:rsid w:val="00F80364"/>
    <w:rsid w:val="00F819FB"/>
    <w:rsid w:val="00F81B66"/>
    <w:rsid w:val="00F82A42"/>
    <w:rsid w:val="00F83CE5"/>
    <w:rsid w:val="00F90267"/>
    <w:rsid w:val="00F91183"/>
    <w:rsid w:val="00F924B4"/>
    <w:rsid w:val="00F9433E"/>
    <w:rsid w:val="00F947F6"/>
    <w:rsid w:val="00F95B7F"/>
    <w:rsid w:val="00F97971"/>
    <w:rsid w:val="00FA1D3A"/>
    <w:rsid w:val="00FA36B2"/>
    <w:rsid w:val="00FA4492"/>
    <w:rsid w:val="00FA59A8"/>
    <w:rsid w:val="00FA6792"/>
    <w:rsid w:val="00FA68E3"/>
    <w:rsid w:val="00FB07C8"/>
    <w:rsid w:val="00FB0DD4"/>
    <w:rsid w:val="00FB11DA"/>
    <w:rsid w:val="00FB1366"/>
    <w:rsid w:val="00FB3BD8"/>
    <w:rsid w:val="00FB46D5"/>
    <w:rsid w:val="00FB55F1"/>
    <w:rsid w:val="00FB78AF"/>
    <w:rsid w:val="00FB7EE1"/>
    <w:rsid w:val="00FC0638"/>
    <w:rsid w:val="00FC1AD0"/>
    <w:rsid w:val="00FC33D5"/>
    <w:rsid w:val="00FC4B27"/>
    <w:rsid w:val="00FC4CBD"/>
    <w:rsid w:val="00FC4E39"/>
    <w:rsid w:val="00FC662F"/>
    <w:rsid w:val="00FD31AE"/>
    <w:rsid w:val="00FD3C42"/>
    <w:rsid w:val="00FD484A"/>
    <w:rsid w:val="00FD6D45"/>
    <w:rsid w:val="00FE01C4"/>
    <w:rsid w:val="00FE09E6"/>
    <w:rsid w:val="00FE0EAA"/>
    <w:rsid w:val="00FE29D4"/>
    <w:rsid w:val="00FE4F53"/>
    <w:rsid w:val="00FE5B38"/>
    <w:rsid w:val="00FE5CEE"/>
    <w:rsid w:val="00FE6888"/>
    <w:rsid w:val="00FE7D5F"/>
    <w:rsid w:val="00FF04B5"/>
    <w:rsid w:val="00FF0D7E"/>
    <w:rsid w:val="00FF248B"/>
    <w:rsid w:val="00FF3D7E"/>
    <w:rsid w:val="00FF4E54"/>
    <w:rsid w:val="00FF5164"/>
    <w:rsid w:val="00FF5A79"/>
    <w:rsid w:val="00FF5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locked="1" w:semiHidden="0" w:uiPriority="0" w:unhideWhenUsed="0"/>
    <w:lsdException w:name="List Bullet" w:locked="1" w:semiHidden="0" w:unhideWhenUsed="0" w:qFormat="1"/>
    <w:lsdException w:name="List Number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90"/>
    <w:rPr>
      <w:rFonts w:ascii="Arial" w:hAnsi="Arial"/>
      <w:szCs w:val="22"/>
      <w:lang w:eastAsia="en-US"/>
    </w:rPr>
  </w:style>
  <w:style w:type="paragraph" w:styleId="Heading1">
    <w:name w:val="heading 1"/>
    <w:basedOn w:val="Normal"/>
    <w:next w:val="Normal"/>
    <w:link w:val="Heading1Char"/>
    <w:uiPriority w:val="99"/>
    <w:qFormat/>
    <w:rsid w:val="0057337E"/>
    <w:pPr>
      <w:keepNext/>
      <w:numPr>
        <w:numId w:val="5"/>
      </w:numPr>
      <w:spacing w:before="180" w:after="120"/>
      <w:jc w:val="both"/>
      <w:outlineLvl w:val="0"/>
    </w:pPr>
    <w:rPr>
      <w:rFonts w:eastAsia="Times New Roman" w:cs="Arial"/>
      <w:b/>
      <w:bCs/>
      <w:kern w:val="28"/>
      <w:sz w:val="28"/>
      <w:szCs w:val="24"/>
    </w:rPr>
  </w:style>
  <w:style w:type="paragraph" w:styleId="Heading2">
    <w:name w:val="heading 2"/>
    <w:basedOn w:val="Normal"/>
    <w:next w:val="Normal"/>
    <w:link w:val="Heading2Char"/>
    <w:uiPriority w:val="99"/>
    <w:qFormat/>
    <w:rsid w:val="00BA567D"/>
    <w:pPr>
      <w:keepNext/>
      <w:numPr>
        <w:ilvl w:val="1"/>
        <w:numId w:val="5"/>
      </w:numPr>
      <w:spacing w:after="120"/>
      <w:jc w:val="both"/>
      <w:outlineLvl w:val="1"/>
    </w:pPr>
    <w:rPr>
      <w:rFonts w:eastAsia="Times New Roman" w:cs="Arial"/>
      <w:b/>
      <w:sz w:val="24"/>
      <w:szCs w:val="24"/>
      <w:lang w:val="en-GB"/>
    </w:rPr>
  </w:style>
  <w:style w:type="paragraph" w:styleId="Heading3">
    <w:name w:val="heading 3"/>
    <w:basedOn w:val="Normal"/>
    <w:next w:val="Normal"/>
    <w:link w:val="Heading3Char"/>
    <w:uiPriority w:val="99"/>
    <w:qFormat/>
    <w:rsid w:val="00BB21FE"/>
    <w:pPr>
      <w:keepNext/>
      <w:numPr>
        <w:ilvl w:val="2"/>
        <w:numId w:val="5"/>
      </w:numPr>
      <w:spacing w:before="180" w:after="120"/>
      <w:jc w:val="both"/>
      <w:outlineLvl w:val="2"/>
    </w:pPr>
    <w:rPr>
      <w:rFonts w:eastAsia="Times New Roman"/>
      <w:b/>
      <w:i/>
      <w:iCs/>
      <w:szCs w:val="23"/>
      <w:lang w:val="en-GB"/>
    </w:rPr>
  </w:style>
  <w:style w:type="paragraph" w:styleId="Heading6">
    <w:name w:val="heading 6"/>
    <w:basedOn w:val="Normal"/>
    <w:next w:val="Normal"/>
    <w:link w:val="Heading6Char"/>
    <w:uiPriority w:val="99"/>
    <w:qFormat/>
    <w:rsid w:val="00911284"/>
    <w:pPr>
      <w:spacing w:before="240" w:after="60"/>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337E"/>
    <w:rPr>
      <w:rFonts w:ascii="Arial" w:eastAsia="Times New Roman" w:hAnsi="Arial" w:cs="Arial"/>
      <w:b/>
      <w:bCs/>
      <w:kern w:val="28"/>
      <w:sz w:val="28"/>
      <w:szCs w:val="24"/>
      <w:lang w:eastAsia="en-US"/>
    </w:rPr>
  </w:style>
  <w:style w:type="character" w:customStyle="1" w:styleId="Heading2Char">
    <w:name w:val="Heading 2 Char"/>
    <w:basedOn w:val="DefaultParagraphFont"/>
    <w:link w:val="Heading2"/>
    <w:uiPriority w:val="99"/>
    <w:locked/>
    <w:rsid w:val="00BA567D"/>
    <w:rPr>
      <w:rFonts w:ascii="Arial" w:eastAsia="Times New Roman" w:hAnsi="Arial" w:cs="Arial"/>
      <w:b/>
      <w:sz w:val="24"/>
      <w:szCs w:val="24"/>
      <w:lang w:val="en-GB" w:eastAsia="en-US"/>
    </w:rPr>
  </w:style>
  <w:style w:type="character" w:customStyle="1" w:styleId="Heading3Char">
    <w:name w:val="Heading 3 Char"/>
    <w:basedOn w:val="DefaultParagraphFont"/>
    <w:link w:val="Heading3"/>
    <w:uiPriority w:val="99"/>
    <w:locked/>
    <w:rsid w:val="00BB21FE"/>
    <w:rPr>
      <w:rFonts w:ascii="Arial" w:eastAsia="Times New Roman" w:hAnsi="Arial"/>
      <w:b/>
      <w:i/>
      <w:iCs/>
      <w:szCs w:val="23"/>
      <w:lang w:val="en-GB" w:eastAsia="en-US"/>
    </w:rPr>
  </w:style>
  <w:style w:type="character" w:customStyle="1" w:styleId="Heading6Char">
    <w:name w:val="Heading 6 Char"/>
    <w:basedOn w:val="DefaultParagraphFont"/>
    <w:link w:val="Heading6"/>
    <w:uiPriority w:val="99"/>
    <w:locked/>
    <w:rsid w:val="00911284"/>
    <w:rPr>
      <w:rFonts w:ascii="Times New Roman" w:hAnsi="Times New Roman" w:cs="Times New Roman"/>
      <w:b/>
      <w:bCs/>
      <w:lang w:val="en-AU"/>
    </w:r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ft,single space"/>
    <w:basedOn w:val="Normal"/>
    <w:link w:val="FootnoteTextChar"/>
    <w:uiPriority w:val="99"/>
    <w:rsid w:val="0051105C"/>
    <w:rPr>
      <w:szCs w:val="20"/>
    </w:rPr>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ft Char"/>
    <w:basedOn w:val="DefaultParagraphFont"/>
    <w:link w:val="FootnoteText"/>
    <w:uiPriority w:val="99"/>
    <w:locked/>
    <w:rsid w:val="0051105C"/>
    <w:rPr>
      <w:rFonts w:cs="Times New Roman"/>
      <w:sz w:val="20"/>
      <w:szCs w:val="20"/>
    </w:rPr>
  </w:style>
  <w:style w:type="character" w:styleId="FootnoteReference">
    <w:name w:val="footnote reference"/>
    <w:aliases w:val="ftref,(NECG) Footnote Reference,Ref,de nota al pie,Normal + Font:9 Point,Superscript 3 Point Times"/>
    <w:basedOn w:val="DefaultParagraphFont"/>
    <w:uiPriority w:val="99"/>
    <w:rsid w:val="0051105C"/>
    <w:rPr>
      <w:rFonts w:cs="Times New Roman"/>
      <w:vertAlign w:val="superscript"/>
    </w:rPr>
  </w:style>
  <w:style w:type="table" w:styleId="TableGrid">
    <w:name w:val="Table Grid"/>
    <w:basedOn w:val="TableNormal"/>
    <w:rsid w:val="0051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770570"/>
    <w:pPr>
      <w:tabs>
        <w:tab w:val="center" w:pos="4513"/>
        <w:tab w:val="right" w:pos="9026"/>
      </w:tabs>
    </w:pPr>
  </w:style>
  <w:style w:type="character" w:customStyle="1" w:styleId="HeaderChar">
    <w:name w:val="Header Char"/>
    <w:basedOn w:val="DefaultParagraphFont"/>
    <w:link w:val="Header"/>
    <w:uiPriority w:val="99"/>
    <w:semiHidden/>
    <w:locked/>
    <w:rsid w:val="00770570"/>
    <w:rPr>
      <w:rFonts w:cs="Times New Roman"/>
    </w:rPr>
  </w:style>
  <w:style w:type="paragraph" w:styleId="Footer">
    <w:name w:val="footer"/>
    <w:basedOn w:val="Normal"/>
    <w:link w:val="FooterChar"/>
    <w:uiPriority w:val="99"/>
    <w:rsid w:val="00770570"/>
    <w:pPr>
      <w:tabs>
        <w:tab w:val="center" w:pos="4513"/>
        <w:tab w:val="right" w:pos="9026"/>
      </w:tabs>
    </w:pPr>
  </w:style>
  <w:style w:type="character" w:customStyle="1" w:styleId="FooterChar">
    <w:name w:val="Footer Char"/>
    <w:basedOn w:val="DefaultParagraphFont"/>
    <w:link w:val="Footer"/>
    <w:uiPriority w:val="99"/>
    <w:locked/>
    <w:rsid w:val="00770570"/>
    <w:rPr>
      <w:rFonts w:cs="Times New Roman"/>
    </w:rPr>
  </w:style>
  <w:style w:type="character" w:styleId="Hyperlink">
    <w:name w:val="Hyperlink"/>
    <w:basedOn w:val="DefaultParagraphFont"/>
    <w:uiPriority w:val="99"/>
    <w:rsid w:val="00FE5CEE"/>
    <w:rPr>
      <w:rFonts w:cs="Times New Roman"/>
      <w:color w:val="0000FF"/>
      <w:u w:val="single"/>
    </w:rPr>
  </w:style>
  <w:style w:type="paragraph" w:styleId="ListParagraph">
    <w:name w:val="List Paragraph"/>
    <w:basedOn w:val="ListBullet"/>
    <w:uiPriority w:val="34"/>
    <w:qFormat/>
    <w:rsid w:val="006D228A"/>
    <w:pPr>
      <w:numPr>
        <w:numId w:val="0"/>
      </w:numPr>
      <w:spacing w:after="120"/>
    </w:pPr>
  </w:style>
  <w:style w:type="paragraph" w:styleId="Bibliography">
    <w:name w:val="Bibliography"/>
    <w:basedOn w:val="Normal"/>
    <w:next w:val="Normal"/>
    <w:uiPriority w:val="99"/>
    <w:rsid w:val="00DB2B4D"/>
  </w:style>
  <w:style w:type="character" w:styleId="Strong">
    <w:name w:val="Strong"/>
    <w:basedOn w:val="DefaultParagraphFont"/>
    <w:uiPriority w:val="99"/>
    <w:qFormat/>
    <w:rsid w:val="00BB21FE"/>
    <w:rPr>
      <w:rFonts w:cs="Times New Roman"/>
      <w:b/>
      <w:bCs/>
    </w:rPr>
  </w:style>
  <w:style w:type="paragraph" w:styleId="ListBullet">
    <w:name w:val="List Bullet"/>
    <w:basedOn w:val="Normal"/>
    <w:uiPriority w:val="99"/>
    <w:qFormat/>
    <w:rsid w:val="00610C26"/>
    <w:pPr>
      <w:numPr>
        <w:numId w:val="4"/>
      </w:numPr>
      <w:ind w:left="357" w:hanging="357"/>
      <w:jc w:val="both"/>
    </w:pPr>
    <w:rPr>
      <w:rFonts w:eastAsia="Times New Roman"/>
      <w:szCs w:val="20"/>
      <w:lang w:val="en-GB"/>
    </w:rPr>
  </w:style>
  <w:style w:type="paragraph" w:customStyle="1" w:styleId="ListBulletLAST">
    <w:name w:val="List Bullet LAST"/>
    <w:basedOn w:val="ListBullet"/>
    <w:uiPriority w:val="99"/>
    <w:rsid w:val="00BB21FE"/>
    <w:pPr>
      <w:tabs>
        <w:tab w:val="clear" w:pos="360"/>
      </w:tabs>
      <w:spacing w:after="180"/>
    </w:pPr>
  </w:style>
  <w:style w:type="character" w:styleId="Emphasis">
    <w:name w:val="Emphasis"/>
    <w:basedOn w:val="DefaultParagraphFont"/>
    <w:uiPriority w:val="99"/>
    <w:qFormat/>
    <w:rsid w:val="00BB21FE"/>
    <w:rPr>
      <w:rFonts w:cs="Times New Roman"/>
      <w:i/>
      <w:iCs/>
    </w:rPr>
  </w:style>
  <w:style w:type="paragraph" w:customStyle="1" w:styleId="SectionLabel">
    <w:name w:val="Section Label"/>
    <w:basedOn w:val="Normal"/>
    <w:next w:val="Normal"/>
    <w:uiPriority w:val="99"/>
    <w:rsid w:val="00BB21FE"/>
    <w:pPr>
      <w:keepNext/>
      <w:keepLines/>
      <w:pageBreakBefore/>
      <w:pBdr>
        <w:bottom w:val="single" w:sz="6" w:space="2" w:color="auto"/>
      </w:pBdr>
      <w:spacing w:before="240" w:after="360" w:line="220" w:lineRule="atLeast"/>
    </w:pPr>
    <w:rPr>
      <w:rFonts w:eastAsia="Times New Roman"/>
      <w:kern w:val="28"/>
      <w:sz w:val="32"/>
      <w:szCs w:val="28"/>
      <w:lang w:val="en-GB"/>
    </w:rPr>
  </w:style>
  <w:style w:type="paragraph" w:styleId="ListBullet2">
    <w:name w:val="List Bullet 2"/>
    <w:basedOn w:val="Normal"/>
    <w:uiPriority w:val="99"/>
    <w:semiHidden/>
    <w:rsid w:val="00BB21FE"/>
    <w:pPr>
      <w:numPr>
        <w:numId w:val="1"/>
      </w:numPr>
      <w:tabs>
        <w:tab w:val="clear" w:pos="360"/>
        <w:tab w:val="num" w:pos="643"/>
      </w:tabs>
      <w:ind w:left="643"/>
      <w:contextualSpacing/>
    </w:pPr>
  </w:style>
  <w:style w:type="paragraph" w:styleId="List">
    <w:name w:val="List"/>
    <w:basedOn w:val="Normal"/>
    <w:uiPriority w:val="99"/>
    <w:rsid w:val="009D5BF9"/>
    <w:pPr>
      <w:spacing w:before="40" w:after="40"/>
      <w:ind w:left="426" w:hanging="426"/>
      <w:jc w:val="both"/>
    </w:pPr>
    <w:rPr>
      <w:rFonts w:ascii="Times New Roman" w:eastAsia="Times New Roman" w:hAnsi="Times New Roman"/>
      <w:sz w:val="23"/>
      <w:szCs w:val="20"/>
      <w:lang w:val="en-US"/>
    </w:rPr>
  </w:style>
  <w:style w:type="paragraph" w:styleId="DocumentMap">
    <w:name w:val="Document Map"/>
    <w:basedOn w:val="Normal"/>
    <w:link w:val="DocumentMapChar"/>
    <w:uiPriority w:val="99"/>
    <w:semiHidden/>
    <w:rsid w:val="00A9729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97290"/>
    <w:rPr>
      <w:rFonts w:ascii="Tahoma" w:hAnsi="Tahoma" w:cs="Tahoma"/>
      <w:sz w:val="16"/>
      <w:szCs w:val="16"/>
    </w:rPr>
  </w:style>
  <w:style w:type="paragraph" w:styleId="BalloonText">
    <w:name w:val="Balloon Text"/>
    <w:basedOn w:val="Normal"/>
    <w:link w:val="BalloonTextChar"/>
    <w:uiPriority w:val="99"/>
    <w:semiHidden/>
    <w:rsid w:val="000930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0C5"/>
    <w:rPr>
      <w:rFonts w:ascii="Tahoma" w:hAnsi="Tahoma" w:cs="Tahoma"/>
      <w:sz w:val="16"/>
      <w:szCs w:val="16"/>
    </w:rPr>
  </w:style>
  <w:style w:type="paragraph" w:styleId="ListNumber">
    <w:name w:val="List Number"/>
    <w:basedOn w:val="Normal"/>
    <w:uiPriority w:val="99"/>
    <w:semiHidden/>
    <w:rsid w:val="00911284"/>
    <w:pPr>
      <w:numPr>
        <w:numId w:val="2"/>
      </w:numPr>
      <w:tabs>
        <w:tab w:val="clear" w:pos="644"/>
        <w:tab w:val="num" w:pos="360"/>
      </w:tabs>
      <w:ind w:left="360"/>
      <w:contextualSpacing/>
    </w:pPr>
  </w:style>
  <w:style w:type="paragraph" w:styleId="ListNumber2">
    <w:name w:val="List Number 2"/>
    <w:basedOn w:val="Normal"/>
    <w:uiPriority w:val="99"/>
    <w:rsid w:val="00911284"/>
    <w:pPr>
      <w:numPr>
        <w:numId w:val="3"/>
      </w:numPr>
      <w:tabs>
        <w:tab w:val="clear" w:pos="360"/>
        <w:tab w:val="num" w:pos="644"/>
      </w:tabs>
      <w:ind w:left="644"/>
      <w:contextualSpacing/>
    </w:pPr>
  </w:style>
  <w:style w:type="paragraph" w:styleId="ListContinue">
    <w:name w:val="List Continue"/>
    <w:basedOn w:val="Normal"/>
    <w:uiPriority w:val="99"/>
    <w:semiHidden/>
    <w:rsid w:val="00911284"/>
    <w:pPr>
      <w:spacing w:after="120"/>
      <w:ind w:left="283"/>
      <w:contextualSpacing/>
    </w:pPr>
  </w:style>
  <w:style w:type="character" w:styleId="CommentReference">
    <w:name w:val="annotation reference"/>
    <w:basedOn w:val="DefaultParagraphFont"/>
    <w:semiHidden/>
    <w:rsid w:val="00010EA3"/>
    <w:rPr>
      <w:rFonts w:cs="Times New Roman"/>
      <w:sz w:val="16"/>
      <w:szCs w:val="16"/>
    </w:rPr>
  </w:style>
  <w:style w:type="paragraph" w:styleId="CommentText">
    <w:name w:val="annotation text"/>
    <w:basedOn w:val="Normal"/>
    <w:link w:val="CommentTextChar"/>
    <w:rsid w:val="00010EA3"/>
    <w:rPr>
      <w:szCs w:val="20"/>
    </w:rPr>
  </w:style>
  <w:style w:type="character" w:customStyle="1" w:styleId="CommentTextChar">
    <w:name w:val="Comment Text Char"/>
    <w:basedOn w:val="DefaultParagraphFont"/>
    <w:link w:val="CommentText"/>
    <w:locked/>
    <w:rsid w:val="00010EA3"/>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010EA3"/>
    <w:rPr>
      <w:b/>
      <w:bCs/>
    </w:rPr>
  </w:style>
  <w:style w:type="character" w:customStyle="1" w:styleId="CommentSubjectChar">
    <w:name w:val="Comment Subject Char"/>
    <w:basedOn w:val="CommentTextChar"/>
    <w:link w:val="CommentSubject"/>
    <w:uiPriority w:val="99"/>
    <w:semiHidden/>
    <w:locked/>
    <w:rsid w:val="00010EA3"/>
    <w:rPr>
      <w:rFonts w:ascii="Arial Narrow" w:hAnsi="Arial Narrow" w:cs="Times New Roman"/>
      <w:b/>
      <w:bCs/>
      <w:sz w:val="20"/>
      <w:szCs w:val="20"/>
    </w:rPr>
  </w:style>
  <w:style w:type="paragraph" w:styleId="Revision">
    <w:name w:val="Revision"/>
    <w:hidden/>
    <w:uiPriority w:val="99"/>
    <w:semiHidden/>
    <w:rsid w:val="00010EA3"/>
    <w:rPr>
      <w:rFonts w:ascii="Arial Narrow" w:hAnsi="Arial Narrow"/>
      <w:sz w:val="22"/>
      <w:szCs w:val="22"/>
      <w:lang w:val="en-NZ" w:eastAsia="en-US"/>
    </w:rPr>
  </w:style>
  <w:style w:type="paragraph" w:customStyle="1" w:styleId="Default">
    <w:name w:val="Default"/>
    <w:rsid w:val="00950EA1"/>
    <w:pPr>
      <w:autoSpaceDE w:val="0"/>
      <w:autoSpaceDN w:val="0"/>
      <w:adjustRightInd w:val="0"/>
    </w:pPr>
    <w:rPr>
      <w:rFonts w:cs="Calibri"/>
      <w:color w:val="000000"/>
      <w:sz w:val="24"/>
      <w:szCs w:val="24"/>
      <w:lang w:eastAsia="en-US"/>
    </w:rPr>
  </w:style>
  <w:style w:type="paragraph" w:styleId="Title">
    <w:name w:val="Title"/>
    <w:basedOn w:val="Normal"/>
    <w:next w:val="Normal"/>
    <w:link w:val="TitleChar"/>
    <w:uiPriority w:val="99"/>
    <w:qFormat/>
    <w:rsid w:val="00F30EF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F30EFF"/>
    <w:rPr>
      <w:rFonts w:ascii="Cambria" w:hAnsi="Cambria" w:cs="Times New Roman"/>
      <w:color w:val="17365D"/>
      <w:spacing w:val="5"/>
      <w:kern w:val="28"/>
      <w:sz w:val="52"/>
      <w:szCs w:val="52"/>
    </w:rPr>
  </w:style>
  <w:style w:type="paragraph" w:customStyle="1" w:styleId="CONLevel1">
    <w:name w:val=".CON  Level   1."/>
    <w:basedOn w:val="Normal"/>
    <w:next w:val="Normal"/>
    <w:rsid w:val="00960DB3"/>
    <w:pPr>
      <w:keepNext/>
      <w:tabs>
        <w:tab w:val="num" w:pos="720"/>
      </w:tabs>
      <w:spacing w:before="240"/>
      <w:ind w:left="720" w:hanging="720"/>
      <w:outlineLvl w:val="1"/>
    </w:pPr>
    <w:rPr>
      <w:rFonts w:ascii="Times New Roman" w:eastAsia="Times New Roman" w:hAnsi="Times New Roman"/>
      <w:b/>
      <w:sz w:val="24"/>
    </w:rPr>
  </w:style>
  <w:style w:type="paragraph" w:customStyle="1" w:styleId="CONLevel11">
    <w:name w:val=".CON  Level   1.1"/>
    <w:basedOn w:val="Normal"/>
    <w:next w:val="Normal"/>
    <w:link w:val="CONLevel11Char"/>
    <w:rsid w:val="00960DB3"/>
    <w:pPr>
      <w:tabs>
        <w:tab w:val="num" w:pos="720"/>
      </w:tabs>
      <w:spacing w:before="240"/>
      <w:ind w:left="720" w:hanging="706"/>
      <w:outlineLvl w:val="2"/>
    </w:pPr>
    <w:rPr>
      <w:rFonts w:ascii="Times New Roman" w:hAnsi="Times New Roman"/>
      <w:szCs w:val="20"/>
    </w:rPr>
  </w:style>
  <w:style w:type="paragraph" w:customStyle="1" w:styleId="CONLevela">
    <w:name w:val=".CON  Level  (a)"/>
    <w:basedOn w:val="Normal"/>
    <w:next w:val="Normal"/>
    <w:link w:val="CONLevelaChar"/>
    <w:rsid w:val="00960DB3"/>
    <w:pPr>
      <w:tabs>
        <w:tab w:val="num" w:pos="1440"/>
      </w:tabs>
      <w:spacing w:before="240"/>
      <w:ind w:left="1440" w:hanging="720"/>
      <w:outlineLvl w:val="3"/>
    </w:pPr>
    <w:rPr>
      <w:rFonts w:ascii="Times New Roman" w:hAnsi="Times New Roman"/>
      <w:szCs w:val="20"/>
    </w:rPr>
  </w:style>
  <w:style w:type="paragraph" w:customStyle="1" w:styleId="CONLeveli">
    <w:name w:val=".CON  Level  (i)"/>
    <w:basedOn w:val="Normal"/>
    <w:next w:val="Normal"/>
    <w:rsid w:val="00960DB3"/>
    <w:pPr>
      <w:tabs>
        <w:tab w:val="num" w:pos="2160"/>
      </w:tabs>
      <w:spacing w:before="240"/>
      <w:ind w:left="2160" w:hanging="720"/>
      <w:outlineLvl w:val="4"/>
    </w:pPr>
    <w:rPr>
      <w:rFonts w:ascii="Times New Roman" w:eastAsia="Times New Roman" w:hAnsi="Times New Roman"/>
      <w:sz w:val="24"/>
    </w:rPr>
  </w:style>
  <w:style w:type="paragraph" w:customStyle="1" w:styleId="CONLevelA0">
    <w:name w:val=".CON  Level (A)"/>
    <w:basedOn w:val="Normal"/>
    <w:next w:val="Normal"/>
    <w:rsid w:val="00960DB3"/>
    <w:pPr>
      <w:tabs>
        <w:tab w:val="num" w:pos="2880"/>
      </w:tabs>
      <w:spacing w:before="240"/>
      <w:ind w:left="2880" w:hanging="720"/>
      <w:outlineLvl w:val="5"/>
    </w:pPr>
    <w:rPr>
      <w:rFonts w:ascii="Times New Roman" w:eastAsia="Times New Roman" w:hAnsi="Times New Roman"/>
      <w:sz w:val="24"/>
    </w:rPr>
  </w:style>
  <w:style w:type="paragraph" w:customStyle="1" w:styleId="CONLevelI0">
    <w:name w:val=".CON  Level (I)"/>
    <w:basedOn w:val="Normal"/>
    <w:next w:val="Normal"/>
    <w:rsid w:val="00960DB3"/>
    <w:pPr>
      <w:tabs>
        <w:tab w:val="num" w:pos="3600"/>
      </w:tabs>
      <w:spacing w:before="240"/>
      <w:ind w:left="3600" w:hanging="720"/>
      <w:outlineLvl w:val="6"/>
    </w:pPr>
    <w:rPr>
      <w:rFonts w:ascii="Times New Roman" w:eastAsia="Times New Roman" w:hAnsi="Times New Roman"/>
      <w:sz w:val="24"/>
    </w:rPr>
  </w:style>
  <w:style w:type="character" w:customStyle="1" w:styleId="CONLevel11Char">
    <w:name w:val=".CON  Level   1.1 Char"/>
    <w:link w:val="CONLevel11"/>
    <w:uiPriority w:val="99"/>
    <w:locked/>
    <w:rsid w:val="00960DB3"/>
    <w:rPr>
      <w:rFonts w:ascii="Times New Roman" w:hAnsi="Times New Roman"/>
      <w:sz w:val="20"/>
    </w:rPr>
  </w:style>
  <w:style w:type="character" w:customStyle="1" w:styleId="CONLevelaChar">
    <w:name w:val=".CON  Level  (a) Char"/>
    <w:link w:val="CONLevela"/>
    <w:uiPriority w:val="99"/>
    <w:locked/>
    <w:rsid w:val="00960DB3"/>
    <w:rPr>
      <w:rFonts w:ascii="Times New Roman" w:hAnsi="Times New Roman"/>
      <w:sz w:val="20"/>
    </w:rPr>
  </w:style>
  <w:style w:type="paragraph" w:customStyle="1" w:styleId="CUNumber2">
    <w:name w:val="CU_Number2"/>
    <w:basedOn w:val="Normal"/>
    <w:uiPriority w:val="99"/>
    <w:rsid w:val="0024794E"/>
    <w:pPr>
      <w:tabs>
        <w:tab w:val="num" w:pos="2880"/>
      </w:tabs>
      <w:spacing w:after="220"/>
      <w:ind w:left="2880" w:hanging="720"/>
      <w:outlineLvl w:val="1"/>
    </w:pPr>
    <w:rPr>
      <w:rFonts w:ascii="Times New Roman" w:eastAsia="Times New Roman" w:hAnsi="Times New Roman"/>
      <w:szCs w:val="24"/>
    </w:rPr>
  </w:style>
  <w:style w:type="paragraph" w:customStyle="1" w:styleId="CUNumber3">
    <w:name w:val="CU_Number3"/>
    <w:basedOn w:val="Normal"/>
    <w:uiPriority w:val="99"/>
    <w:rsid w:val="0024794E"/>
    <w:pPr>
      <w:tabs>
        <w:tab w:val="num" w:pos="3600"/>
      </w:tabs>
      <w:spacing w:after="220"/>
      <w:ind w:left="3600" w:hanging="720"/>
      <w:outlineLvl w:val="2"/>
    </w:pPr>
    <w:rPr>
      <w:rFonts w:ascii="Times New Roman" w:eastAsia="Times New Roman" w:hAnsi="Times New Roman"/>
      <w:szCs w:val="24"/>
    </w:rPr>
  </w:style>
  <w:style w:type="paragraph" w:customStyle="1" w:styleId="Leveli">
    <w:name w:val="Level (i)"/>
    <w:basedOn w:val="Normal"/>
    <w:uiPriority w:val="99"/>
    <w:rsid w:val="0024794E"/>
    <w:pPr>
      <w:tabs>
        <w:tab w:val="num" w:pos="2160"/>
      </w:tabs>
      <w:spacing w:before="240"/>
      <w:ind w:left="2160" w:hanging="720"/>
    </w:pPr>
    <w:rPr>
      <w:rFonts w:ascii="Times New Roman" w:eastAsia="Times New Roman" w:hAnsi="Times New Roman"/>
      <w:sz w:val="24"/>
    </w:rPr>
  </w:style>
  <w:style w:type="paragraph" w:styleId="EndnoteText">
    <w:name w:val="endnote text"/>
    <w:basedOn w:val="Normal"/>
    <w:link w:val="EndnoteTextChar"/>
    <w:uiPriority w:val="99"/>
    <w:semiHidden/>
    <w:rsid w:val="00745301"/>
    <w:rPr>
      <w:szCs w:val="20"/>
    </w:rPr>
  </w:style>
  <w:style w:type="character" w:customStyle="1" w:styleId="EndnoteTextChar">
    <w:name w:val="Endnote Text Char"/>
    <w:basedOn w:val="DefaultParagraphFont"/>
    <w:link w:val="EndnoteText"/>
    <w:uiPriority w:val="99"/>
    <w:semiHidden/>
    <w:locked/>
    <w:rsid w:val="00745301"/>
    <w:rPr>
      <w:rFonts w:ascii="Arial Narrow" w:hAnsi="Arial Narrow" w:cs="Times New Roman"/>
      <w:sz w:val="20"/>
      <w:szCs w:val="20"/>
    </w:rPr>
  </w:style>
  <w:style w:type="character" w:styleId="EndnoteReference">
    <w:name w:val="endnote reference"/>
    <w:basedOn w:val="DefaultParagraphFont"/>
    <w:uiPriority w:val="99"/>
    <w:semiHidden/>
    <w:rsid w:val="00745301"/>
    <w:rPr>
      <w:rFonts w:cs="Times New Roman"/>
      <w:vertAlign w:val="superscript"/>
    </w:rPr>
  </w:style>
  <w:style w:type="paragraph" w:styleId="BodyText">
    <w:name w:val="Body Text"/>
    <w:basedOn w:val="Normal"/>
    <w:link w:val="BodyTextChar"/>
    <w:uiPriority w:val="99"/>
    <w:rsid w:val="00B0563F"/>
    <w:pPr>
      <w:spacing w:before="60" w:after="60"/>
    </w:pPr>
    <w:rPr>
      <w:rFonts w:ascii="Tahoma" w:eastAsia="Times New Roman" w:hAnsi="Tahoma" w:cs="Tahoma"/>
      <w:szCs w:val="20"/>
    </w:rPr>
  </w:style>
  <w:style w:type="character" w:customStyle="1" w:styleId="BodyTextChar">
    <w:name w:val="Body Text Char"/>
    <w:basedOn w:val="DefaultParagraphFont"/>
    <w:link w:val="BodyText"/>
    <w:uiPriority w:val="99"/>
    <w:locked/>
    <w:rsid w:val="00B0563F"/>
    <w:rPr>
      <w:rFonts w:ascii="Tahoma" w:hAnsi="Tahoma" w:cs="Tahoma"/>
      <w:sz w:val="20"/>
      <w:szCs w:val="20"/>
    </w:rPr>
  </w:style>
  <w:style w:type="character" w:styleId="IntenseReference">
    <w:name w:val="Intense Reference"/>
    <w:basedOn w:val="DefaultParagraphFont"/>
    <w:uiPriority w:val="99"/>
    <w:qFormat/>
    <w:rsid w:val="00056F82"/>
    <w:rPr>
      <w:rFonts w:cs="Times New Roman"/>
      <w:b/>
      <w:bCs/>
      <w:smallCaps/>
      <w:color w:val="C0504D"/>
      <w:spacing w:val="5"/>
      <w:u w:val="single"/>
    </w:rPr>
  </w:style>
  <w:style w:type="paragraph" w:styleId="BodyTextIndent3">
    <w:name w:val="Body Text Indent 3"/>
    <w:basedOn w:val="Normal"/>
    <w:link w:val="BodyTextIndent3Char"/>
    <w:uiPriority w:val="99"/>
    <w:semiHidden/>
    <w:rsid w:val="00B50FBB"/>
    <w:pPr>
      <w:widowControl w:val="0"/>
      <w:numPr>
        <w:numId w:val="6"/>
      </w:numPr>
      <w:tabs>
        <w:tab w:val="clear" w:pos="397"/>
      </w:tabs>
      <w:spacing w:before="120"/>
      <w:ind w:left="1440" w:hanging="22"/>
      <w:jc w:val="both"/>
    </w:pPr>
    <w:rPr>
      <w:rFonts w:ascii="Times New Roman" w:hAnsi="Times New Roman"/>
      <w:sz w:val="24"/>
      <w:szCs w:val="20"/>
      <w:lang w:val="en-US" w:eastAsia="en-AU"/>
    </w:rPr>
  </w:style>
  <w:style w:type="character" w:customStyle="1" w:styleId="BodyTextIndent3Char">
    <w:name w:val="Body Text Indent 3 Char"/>
    <w:basedOn w:val="DefaultParagraphFont"/>
    <w:link w:val="BodyTextIndent3"/>
    <w:uiPriority w:val="99"/>
    <w:semiHidden/>
    <w:locked/>
    <w:rsid w:val="00B50FBB"/>
    <w:rPr>
      <w:rFonts w:ascii="Times New Roman" w:hAnsi="Times New Roman"/>
      <w:sz w:val="24"/>
      <w:lang w:val="en-US"/>
    </w:rPr>
  </w:style>
  <w:style w:type="paragraph" w:styleId="NoSpacing">
    <w:name w:val="No Spacing"/>
    <w:uiPriority w:val="99"/>
    <w:qFormat/>
    <w:rsid w:val="003437B5"/>
    <w:rPr>
      <w:rFonts w:ascii="Arial Narrow" w:hAnsi="Arial Narrow"/>
      <w:sz w:val="22"/>
      <w:szCs w:val="22"/>
      <w:lang w:val="en-NZ" w:eastAsia="en-US"/>
    </w:rPr>
  </w:style>
  <w:style w:type="character" w:styleId="SubtleEmphasis">
    <w:name w:val="Subtle Emphasis"/>
    <w:basedOn w:val="DefaultParagraphFont"/>
    <w:uiPriority w:val="19"/>
    <w:qFormat/>
    <w:rsid w:val="00EC3CC6"/>
    <w:rPr>
      <w:i/>
      <w:iCs/>
      <w:color w:val="808080" w:themeColor="text1" w:themeTint="7F"/>
    </w:rPr>
  </w:style>
  <w:style w:type="paragraph" w:customStyle="1" w:styleId="List-number-1">
    <w:name w:val="List-number-1"/>
    <w:basedOn w:val="Normal"/>
    <w:link w:val="List-number-1Char"/>
    <w:rsid w:val="00CA69EA"/>
    <w:pPr>
      <w:numPr>
        <w:numId w:val="7"/>
      </w:numPr>
      <w:spacing w:before="120"/>
    </w:pPr>
    <w:rPr>
      <w:rFonts w:eastAsia="Times New Roman"/>
      <w:szCs w:val="24"/>
    </w:rPr>
  </w:style>
  <w:style w:type="paragraph" w:customStyle="1" w:styleId="List-number-2">
    <w:name w:val="List-number-2"/>
    <w:basedOn w:val="Normal"/>
    <w:rsid w:val="00CA69EA"/>
    <w:pPr>
      <w:numPr>
        <w:ilvl w:val="1"/>
        <w:numId w:val="7"/>
      </w:numPr>
      <w:spacing w:before="120"/>
    </w:pPr>
    <w:rPr>
      <w:rFonts w:eastAsia="Times New Roman"/>
      <w:szCs w:val="24"/>
    </w:rPr>
  </w:style>
  <w:style w:type="paragraph" w:customStyle="1" w:styleId="List-bullet-2">
    <w:name w:val="List-bullet-2"/>
    <w:basedOn w:val="Normal"/>
    <w:link w:val="List-bullet-2Char"/>
    <w:rsid w:val="002E2A2E"/>
    <w:pPr>
      <w:numPr>
        <w:numId w:val="8"/>
      </w:numPr>
      <w:spacing w:before="80"/>
    </w:pPr>
    <w:rPr>
      <w:rFonts w:eastAsia="Times New Roman" w:cs="Arial"/>
      <w:lang w:val="en-US"/>
    </w:rPr>
  </w:style>
  <w:style w:type="paragraph" w:customStyle="1" w:styleId="Table-normal-text">
    <w:name w:val="Table-normal-text"/>
    <w:basedOn w:val="Normal"/>
    <w:rsid w:val="002E2A2E"/>
    <w:pPr>
      <w:spacing w:before="60"/>
    </w:pPr>
    <w:rPr>
      <w:rFonts w:eastAsia="Times New Roman"/>
      <w:szCs w:val="24"/>
    </w:rPr>
  </w:style>
  <w:style w:type="character" w:customStyle="1" w:styleId="List-bullet-2Char">
    <w:name w:val="List-bullet-2 Char"/>
    <w:link w:val="List-bullet-2"/>
    <w:locked/>
    <w:rsid w:val="002E2A2E"/>
    <w:rPr>
      <w:rFonts w:ascii="Arial" w:eastAsia="Times New Roman" w:hAnsi="Arial" w:cs="Arial"/>
      <w:szCs w:val="22"/>
      <w:lang w:val="en-US" w:eastAsia="en-US"/>
    </w:rPr>
  </w:style>
  <w:style w:type="paragraph" w:customStyle="1" w:styleId="List-bullet-1">
    <w:name w:val="List-bullet-1"/>
    <w:basedOn w:val="Normal"/>
    <w:rsid w:val="00F00A9E"/>
    <w:pPr>
      <w:numPr>
        <w:numId w:val="9"/>
      </w:numPr>
      <w:spacing w:before="120"/>
    </w:pPr>
    <w:rPr>
      <w:rFonts w:eastAsia="Times New Roman" w:cs="Arial"/>
    </w:rPr>
  </w:style>
  <w:style w:type="character" w:customStyle="1" w:styleId="List-number-1Char">
    <w:name w:val="List-number-1 Char"/>
    <w:link w:val="List-number-1"/>
    <w:rsid w:val="00CA62B7"/>
    <w:rPr>
      <w:rFonts w:ascii="Arial" w:eastAsia="Times New Roman" w:hAnsi="Arial"/>
      <w:szCs w:val="24"/>
      <w:lang w:eastAsia="en-US"/>
    </w:rPr>
  </w:style>
  <w:style w:type="paragraph" w:styleId="Caption">
    <w:name w:val="caption"/>
    <w:basedOn w:val="Normal"/>
    <w:next w:val="BodyText"/>
    <w:qFormat/>
    <w:locked/>
    <w:rsid w:val="00E900CD"/>
    <w:pPr>
      <w:keepNext/>
      <w:spacing w:before="320" w:after="80" w:line="230" w:lineRule="exact"/>
    </w:pPr>
    <w:rPr>
      <w:rFonts w:ascii="Franklin Gothic Demi" w:eastAsia="Times New Roman" w:hAnsi="Franklin Gothic Demi"/>
      <w:color w:val="7E6D5F"/>
      <w:sz w:val="19"/>
      <w:szCs w:val="19"/>
      <w:lang w:eastAsia="en-AU"/>
    </w:rPr>
  </w:style>
  <w:style w:type="paragraph" w:customStyle="1" w:styleId="Note">
    <w:name w:val="Note"/>
    <w:basedOn w:val="Normal"/>
    <w:next w:val="Normal"/>
    <w:link w:val="NoteCharChar"/>
    <w:rsid w:val="00E900CD"/>
    <w:pPr>
      <w:keepLines/>
      <w:spacing w:before="40" w:line="180" w:lineRule="atLeast"/>
    </w:pPr>
    <w:rPr>
      <w:rFonts w:ascii="Franklin Gothic Book" w:eastAsia="Times New Roman" w:hAnsi="Franklin Gothic Book"/>
      <w:sz w:val="14"/>
      <w:szCs w:val="14"/>
    </w:rPr>
  </w:style>
  <w:style w:type="paragraph" w:customStyle="1" w:styleId="TableListBullet">
    <w:name w:val="Table List Bullet"/>
    <w:basedOn w:val="Normal"/>
    <w:rsid w:val="00E900CD"/>
    <w:pPr>
      <w:keepLines/>
      <w:numPr>
        <w:numId w:val="10"/>
      </w:numPr>
      <w:spacing w:before="40" w:after="40" w:line="200" w:lineRule="atLeast"/>
    </w:pPr>
    <w:rPr>
      <w:rFonts w:ascii="Franklin Gothic Book" w:eastAsia="Times New Roman" w:hAnsi="Franklin Gothic Book"/>
      <w:sz w:val="17"/>
      <w:szCs w:val="17"/>
    </w:rPr>
  </w:style>
  <w:style w:type="paragraph" w:customStyle="1" w:styleId="TableDataEntries">
    <w:name w:val="Table Data Entries"/>
    <w:basedOn w:val="Normal"/>
    <w:rsid w:val="00E900CD"/>
    <w:pPr>
      <w:keepLines/>
      <w:spacing w:before="40" w:after="40" w:line="200" w:lineRule="atLeast"/>
      <w:jc w:val="right"/>
    </w:pPr>
    <w:rPr>
      <w:rFonts w:ascii="Franklin Gothic Book" w:eastAsia="Times New Roman" w:hAnsi="Franklin Gothic Book"/>
      <w:sz w:val="17"/>
      <w:szCs w:val="17"/>
    </w:rPr>
  </w:style>
  <w:style w:type="paragraph" w:customStyle="1" w:styleId="TableDataColumnHeading">
    <w:name w:val="Table Data Column Heading"/>
    <w:basedOn w:val="TableDataEntries"/>
    <w:rsid w:val="00E900CD"/>
    <w:pPr>
      <w:spacing w:before="80" w:after="80"/>
    </w:pPr>
    <w:rPr>
      <w:rFonts w:ascii="Franklin Gothic Medium" w:hAnsi="Franklin Gothic Medium"/>
    </w:rPr>
  </w:style>
  <w:style w:type="character" w:customStyle="1" w:styleId="NoteCharChar">
    <w:name w:val="Note Char Char"/>
    <w:link w:val="Note"/>
    <w:rsid w:val="00E900CD"/>
    <w:rPr>
      <w:rFonts w:ascii="Franklin Gothic Book" w:eastAsia="Times New Roman" w:hAnsi="Franklin Gothic Book"/>
      <w:sz w:val="14"/>
      <w:szCs w:val="1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locked="1" w:semiHidden="0" w:uiPriority="0" w:unhideWhenUsed="0"/>
    <w:lsdException w:name="List Bullet" w:locked="1" w:semiHidden="0" w:unhideWhenUsed="0" w:qFormat="1"/>
    <w:lsdException w:name="List Number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90"/>
    <w:rPr>
      <w:rFonts w:ascii="Arial" w:hAnsi="Arial"/>
      <w:szCs w:val="22"/>
      <w:lang w:eastAsia="en-US"/>
    </w:rPr>
  </w:style>
  <w:style w:type="paragraph" w:styleId="Heading1">
    <w:name w:val="heading 1"/>
    <w:basedOn w:val="Normal"/>
    <w:next w:val="Normal"/>
    <w:link w:val="Heading1Char"/>
    <w:uiPriority w:val="99"/>
    <w:qFormat/>
    <w:rsid w:val="0057337E"/>
    <w:pPr>
      <w:keepNext/>
      <w:numPr>
        <w:numId w:val="5"/>
      </w:numPr>
      <w:spacing w:before="180" w:after="120"/>
      <w:jc w:val="both"/>
      <w:outlineLvl w:val="0"/>
    </w:pPr>
    <w:rPr>
      <w:rFonts w:eastAsia="Times New Roman" w:cs="Arial"/>
      <w:b/>
      <w:bCs/>
      <w:kern w:val="28"/>
      <w:sz w:val="28"/>
      <w:szCs w:val="24"/>
    </w:rPr>
  </w:style>
  <w:style w:type="paragraph" w:styleId="Heading2">
    <w:name w:val="heading 2"/>
    <w:basedOn w:val="Normal"/>
    <w:next w:val="Normal"/>
    <w:link w:val="Heading2Char"/>
    <w:uiPriority w:val="99"/>
    <w:qFormat/>
    <w:rsid w:val="00BA567D"/>
    <w:pPr>
      <w:keepNext/>
      <w:numPr>
        <w:ilvl w:val="1"/>
        <w:numId w:val="5"/>
      </w:numPr>
      <w:spacing w:after="120"/>
      <w:jc w:val="both"/>
      <w:outlineLvl w:val="1"/>
    </w:pPr>
    <w:rPr>
      <w:rFonts w:eastAsia="Times New Roman" w:cs="Arial"/>
      <w:b/>
      <w:sz w:val="24"/>
      <w:szCs w:val="24"/>
      <w:lang w:val="en-GB"/>
    </w:rPr>
  </w:style>
  <w:style w:type="paragraph" w:styleId="Heading3">
    <w:name w:val="heading 3"/>
    <w:basedOn w:val="Normal"/>
    <w:next w:val="Normal"/>
    <w:link w:val="Heading3Char"/>
    <w:uiPriority w:val="99"/>
    <w:qFormat/>
    <w:rsid w:val="00BB21FE"/>
    <w:pPr>
      <w:keepNext/>
      <w:numPr>
        <w:ilvl w:val="2"/>
        <w:numId w:val="5"/>
      </w:numPr>
      <w:spacing w:before="180" w:after="120"/>
      <w:jc w:val="both"/>
      <w:outlineLvl w:val="2"/>
    </w:pPr>
    <w:rPr>
      <w:rFonts w:eastAsia="Times New Roman"/>
      <w:b/>
      <w:i/>
      <w:iCs/>
      <w:szCs w:val="23"/>
      <w:lang w:val="en-GB"/>
    </w:rPr>
  </w:style>
  <w:style w:type="paragraph" w:styleId="Heading6">
    <w:name w:val="heading 6"/>
    <w:basedOn w:val="Normal"/>
    <w:next w:val="Normal"/>
    <w:link w:val="Heading6Char"/>
    <w:uiPriority w:val="99"/>
    <w:qFormat/>
    <w:rsid w:val="00911284"/>
    <w:pPr>
      <w:spacing w:before="240" w:after="60"/>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337E"/>
    <w:rPr>
      <w:rFonts w:ascii="Arial" w:eastAsia="Times New Roman" w:hAnsi="Arial" w:cs="Arial"/>
      <w:b/>
      <w:bCs/>
      <w:kern w:val="28"/>
      <w:sz w:val="28"/>
      <w:szCs w:val="24"/>
      <w:lang w:eastAsia="en-US"/>
    </w:rPr>
  </w:style>
  <w:style w:type="character" w:customStyle="1" w:styleId="Heading2Char">
    <w:name w:val="Heading 2 Char"/>
    <w:basedOn w:val="DefaultParagraphFont"/>
    <w:link w:val="Heading2"/>
    <w:uiPriority w:val="99"/>
    <w:locked/>
    <w:rsid w:val="00BA567D"/>
    <w:rPr>
      <w:rFonts w:ascii="Arial" w:eastAsia="Times New Roman" w:hAnsi="Arial" w:cs="Arial"/>
      <w:b/>
      <w:sz w:val="24"/>
      <w:szCs w:val="24"/>
      <w:lang w:val="en-GB" w:eastAsia="en-US"/>
    </w:rPr>
  </w:style>
  <w:style w:type="character" w:customStyle="1" w:styleId="Heading3Char">
    <w:name w:val="Heading 3 Char"/>
    <w:basedOn w:val="DefaultParagraphFont"/>
    <w:link w:val="Heading3"/>
    <w:uiPriority w:val="99"/>
    <w:locked/>
    <w:rsid w:val="00BB21FE"/>
    <w:rPr>
      <w:rFonts w:ascii="Arial" w:eastAsia="Times New Roman" w:hAnsi="Arial"/>
      <w:b/>
      <w:i/>
      <w:iCs/>
      <w:szCs w:val="23"/>
      <w:lang w:val="en-GB" w:eastAsia="en-US"/>
    </w:rPr>
  </w:style>
  <w:style w:type="character" w:customStyle="1" w:styleId="Heading6Char">
    <w:name w:val="Heading 6 Char"/>
    <w:basedOn w:val="DefaultParagraphFont"/>
    <w:link w:val="Heading6"/>
    <w:uiPriority w:val="99"/>
    <w:locked/>
    <w:rsid w:val="00911284"/>
    <w:rPr>
      <w:rFonts w:ascii="Times New Roman" w:hAnsi="Times New Roman" w:cs="Times New Roman"/>
      <w:b/>
      <w:bCs/>
      <w:lang w:val="en-AU"/>
    </w:r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ft,single space"/>
    <w:basedOn w:val="Normal"/>
    <w:link w:val="FootnoteTextChar"/>
    <w:uiPriority w:val="99"/>
    <w:rsid w:val="0051105C"/>
    <w:rPr>
      <w:szCs w:val="20"/>
    </w:rPr>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ft Char"/>
    <w:basedOn w:val="DefaultParagraphFont"/>
    <w:link w:val="FootnoteText"/>
    <w:uiPriority w:val="99"/>
    <w:locked/>
    <w:rsid w:val="0051105C"/>
    <w:rPr>
      <w:rFonts w:cs="Times New Roman"/>
      <w:sz w:val="20"/>
      <w:szCs w:val="20"/>
    </w:rPr>
  </w:style>
  <w:style w:type="character" w:styleId="FootnoteReference">
    <w:name w:val="footnote reference"/>
    <w:aliases w:val="ftref,(NECG) Footnote Reference,Ref,de nota al pie,Normal + Font:9 Point,Superscript 3 Point Times"/>
    <w:basedOn w:val="DefaultParagraphFont"/>
    <w:uiPriority w:val="99"/>
    <w:rsid w:val="0051105C"/>
    <w:rPr>
      <w:rFonts w:cs="Times New Roman"/>
      <w:vertAlign w:val="superscript"/>
    </w:rPr>
  </w:style>
  <w:style w:type="table" w:styleId="TableGrid">
    <w:name w:val="Table Grid"/>
    <w:basedOn w:val="TableNormal"/>
    <w:rsid w:val="0051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770570"/>
    <w:pPr>
      <w:tabs>
        <w:tab w:val="center" w:pos="4513"/>
        <w:tab w:val="right" w:pos="9026"/>
      </w:tabs>
    </w:pPr>
  </w:style>
  <w:style w:type="character" w:customStyle="1" w:styleId="HeaderChar">
    <w:name w:val="Header Char"/>
    <w:basedOn w:val="DefaultParagraphFont"/>
    <w:link w:val="Header"/>
    <w:uiPriority w:val="99"/>
    <w:semiHidden/>
    <w:locked/>
    <w:rsid w:val="00770570"/>
    <w:rPr>
      <w:rFonts w:cs="Times New Roman"/>
    </w:rPr>
  </w:style>
  <w:style w:type="paragraph" w:styleId="Footer">
    <w:name w:val="footer"/>
    <w:basedOn w:val="Normal"/>
    <w:link w:val="FooterChar"/>
    <w:uiPriority w:val="99"/>
    <w:rsid w:val="00770570"/>
    <w:pPr>
      <w:tabs>
        <w:tab w:val="center" w:pos="4513"/>
        <w:tab w:val="right" w:pos="9026"/>
      </w:tabs>
    </w:pPr>
  </w:style>
  <w:style w:type="character" w:customStyle="1" w:styleId="FooterChar">
    <w:name w:val="Footer Char"/>
    <w:basedOn w:val="DefaultParagraphFont"/>
    <w:link w:val="Footer"/>
    <w:uiPriority w:val="99"/>
    <w:locked/>
    <w:rsid w:val="00770570"/>
    <w:rPr>
      <w:rFonts w:cs="Times New Roman"/>
    </w:rPr>
  </w:style>
  <w:style w:type="character" w:styleId="Hyperlink">
    <w:name w:val="Hyperlink"/>
    <w:basedOn w:val="DefaultParagraphFont"/>
    <w:uiPriority w:val="99"/>
    <w:rsid w:val="00FE5CEE"/>
    <w:rPr>
      <w:rFonts w:cs="Times New Roman"/>
      <w:color w:val="0000FF"/>
      <w:u w:val="single"/>
    </w:rPr>
  </w:style>
  <w:style w:type="paragraph" w:styleId="ListParagraph">
    <w:name w:val="List Paragraph"/>
    <w:basedOn w:val="ListBullet"/>
    <w:uiPriority w:val="34"/>
    <w:qFormat/>
    <w:rsid w:val="006D228A"/>
    <w:pPr>
      <w:numPr>
        <w:numId w:val="0"/>
      </w:numPr>
      <w:spacing w:after="120"/>
    </w:pPr>
  </w:style>
  <w:style w:type="paragraph" w:styleId="Bibliography">
    <w:name w:val="Bibliography"/>
    <w:basedOn w:val="Normal"/>
    <w:next w:val="Normal"/>
    <w:uiPriority w:val="99"/>
    <w:rsid w:val="00DB2B4D"/>
  </w:style>
  <w:style w:type="character" w:styleId="Strong">
    <w:name w:val="Strong"/>
    <w:basedOn w:val="DefaultParagraphFont"/>
    <w:uiPriority w:val="99"/>
    <w:qFormat/>
    <w:rsid w:val="00BB21FE"/>
    <w:rPr>
      <w:rFonts w:cs="Times New Roman"/>
      <w:b/>
      <w:bCs/>
    </w:rPr>
  </w:style>
  <w:style w:type="paragraph" w:styleId="ListBullet">
    <w:name w:val="List Bullet"/>
    <w:basedOn w:val="Normal"/>
    <w:uiPriority w:val="99"/>
    <w:qFormat/>
    <w:rsid w:val="00610C26"/>
    <w:pPr>
      <w:numPr>
        <w:numId w:val="4"/>
      </w:numPr>
      <w:ind w:left="357" w:hanging="357"/>
      <w:jc w:val="both"/>
    </w:pPr>
    <w:rPr>
      <w:rFonts w:eastAsia="Times New Roman"/>
      <w:szCs w:val="20"/>
      <w:lang w:val="en-GB"/>
    </w:rPr>
  </w:style>
  <w:style w:type="paragraph" w:customStyle="1" w:styleId="ListBulletLAST">
    <w:name w:val="List Bullet LAST"/>
    <w:basedOn w:val="ListBullet"/>
    <w:uiPriority w:val="99"/>
    <w:rsid w:val="00BB21FE"/>
    <w:pPr>
      <w:tabs>
        <w:tab w:val="clear" w:pos="360"/>
      </w:tabs>
      <w:spacing w:after="180"/>
    </w:pPr>
  </w:style>
  <w:style w:type="character" w:styleId="Emphasis">
    <w:name w:val="Emphasis"/>
    <w:basedOn w:val="DefaultParagraphFont"/>
    <w:uiPriority w:val="99"/>
    <w:qFormat/>
    <w:rsid w:val="00BB21FE"/>
    <w:rPr>
      <w:rFonts w:cs="Times New Roman"/>
      <w:i/>
      <w:iCs/>
    </w:rPr>
  </w:style>
  <w:style w:type="paragraph" w:customStyle="1" w:styleId="SectionLabel">
    <w:name w:val="Section Label"/>
    <w:basedOn w:val="Normal"/>
    <w:next w:val="Normal"/>
    <w:uiPriority w:val="99"/>
    <w:rsid w:val="00BB21FE"/>
    <w:pPr>
      <w:keepNext/>
      <w:keepLines/>
      <w:pageBreakBefore/>
      <w:pBdr>
        <w:bottom w:val="single" w:sz="6" w:space="2" w:color="auto"/>
      </w:pBdr>
      <w:spacing w:before="240" w:after="360" w:line="220" w:lineRule="atLeast"/>
    </w:pPr>
    <w:rPr>
      <w:rFonts w:eastAsia="Times New Roman"/>
      <w:kern w:val="28"/>
      <w:sz w:val="32"/>
      <w:szCs w:val="28"/>
      <w:lang w:val="en-GB"/>
    </w:rPr>
  </w:style>
  <w:style w:type="paragraph" w:styleId="ListBullet2">
    <w:name w:val="List Bullet 2"/>
    <w:basedOn w:val="Normal"/>
    <w:uiPriority w:val="99"/>
    <w:semiHidden/>
    <w:rsid w:val="00BB21FE"/>
    <w:pPr>
      <w:numPr>
        <w:numId w:val="1"/>
      </w:numPr>
      <w:tabs>
        <w:tab w:val="clear" w:pos="360"/>
        <w:tab w:val="num" w:pos="643"/>
      </w:tabs>
      <w:ind w:left="643"/>
      <w:contextualSpacing/>
    </w:pPr>
  </w:style>
  <w:style w:type="paragraph" w:styleId="List">
    <w:name w:val="List"/>
    <w:basedOn w:val="Normal"/>
    <w:uiPriority w:val="99"/>
    <w:rsid w:val="009D5BF9"/>
    <w:pPr>
      <w:spacing w:before="40" w:after="40"/>
      <w:ind w:left="426" w:hanging="426"/>
      <w:jc w:val="both"/>
    </w:pPr>
    <w:rPr>
      <w:rFonts w:ascii="Times New Roman" w:eastAsia="Times New Roman" w:hAnsi="Times New Roman"/>
      <w:sz w:val="23"/>
      <w:szCs w:val="20"/>
      <w:lang w:val="en-US"/>
    </w:rPr>
  </w:style>
  <w:style w:type="paragraph" w:styleId="DocumentMap">
    <w:name w:val="Document Map"/>
    <w:basedOn w:val="Normal"/>
    <w:link w:val="DocumentMapChar"/>
    <w:uiPriority w:val="99"/>
    <w:semiHidden/>
    <w:rsid w:val="00A9729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97290"/>
    <w:rPr>
      <w:rFonts w:ascii="Tahoma" w:hAnsi="Tahoma" w:cs="Tahoma"/>
      <w:sz w:val="16"/>
      <w:szCs w:val="16"/>
    </w:rPr>
  </w:style>
  <w:style w:type="paragraph" w:styleId="BalloonText">
    <w:name w:val="Balloon Text"/>
    <w:basedOn w:val="Normal"/>
    <w:link w:val="BalloonTextChar"/>
    <w:uiPriority w:val="99"/>
    <w:semiHidden/>
    <w:rsid w:val="000930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0C5"/>
    <w:rPr>
      <w:rFonts w:ascii="Tahoma" w:hAnsi="Tahoma" w:cs="Tahoma"/>
      <w:sz w:val="16"/>
      <w:szCs w:val="16"/>
    </w:rPr>
  </w:style>
  <w:style w:type="paragraph" w:styleId="ListNumber">
    <w:name w:val="List Number"/>
    <w:basedOn w:val="Normal"/>
    <w:uiPriority w:val="99"/>
    <w:semiHidden/>
    <w:rsid w:val="00911284"/>
    <w:pPr>
      <w:numPr>
        <w:numId w:val="2"/>
      </w:numPr>
      <w:tabs>
        <w:tab w:val="clear" w:pos="644"/>
        <w:tab w:val="num" w:pos="360"/>
      </w:tabs>
      <w:ind w:left="360"/>
      <w:contextualSpacing/>
    </w:pPr>
  </w:style>
  <w:style w:type="paragraph" w:styleId="ListNumber2">
    <w:name w:val="List Number 2"/>
    <w:basedOn w:val="Normal"/>
    <w:uiPriority w:val="99"/>
    <w:rsid w:val="00911284"/>
    <w:pPr>
      <w:numPr>
        <w:numId w:val="3"/>
      </w:numPr>
      <w:tabs>
        <w:tab w:val="clear" w:pos="360"/>
        <w:tab w:val="num" w:pos="644"/>
      </w:tabs>
      <w:ind w:left="644"/>
      <w:contextualSpacing/>
    </w:pPr>
  </w:style>
  <w:style w:type="paragraph" w:styleId="ListContinue">
    <w:name w:val="List Continue"/>
    <w:basedOn w:val="Normal"/>
    <w:uiPriority w:val="99"/>
    <w:semiHidden/>
    <w:rsid w:val="00911284"/>
    <w:pPr>
      <w:spacing w:after="120"/>
      <w:ind w:left="283"/>
      <w:contextualSpacing/>
    </w:pPr>
  </w:style>
  <w:style w:type="character" w:styleId="CommentReference">
    <w:name w:val="annotation reference"/>
    <w:basedOn w:val="DefaultParagraphFont"/>
    <w:semiHidden/>
    <w:rsid w:val="00010EA3"/>
    <w:rPr>
      <w:rFonts w:cs="Times New Roman"/>
      <w:sz w:val="16"/>
      <w:szCs w:val="16"/>
    </w:rPr>
  </w:style>
  <w:style w:type="paragraph" w:styleId="CommentText">
    <w:name w:val="annotation text"/>
    <w:basedOn w:val="Normal"/>
    <w:link w:val="CommentTextChar"/>
    <w:rsid w:val="00010EA3"/>
    <w:rPr>
      <w:szCs w:val="20"/>
    </w:rPr>
  </w:style>
  <w:style w:type="character" w:customStyle="1" w:styleId="CommentTextChar">
    <w:name w:val="Comment Text Char"/>
    <w:basedOn w:val="DefaultParagraphFont"/>
    <w:link w:val="CommentText"/>
    <w:locked/>
    <w:rsid w:val="00010EA3"/>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010EA3"/>
    <w:rPr>
      <w:b/>
      <w:bCs/>
    </w:rPr>
  </w:style>
  <w:style w:type="character" w:customStyle="1" w:styleId="CommentSubjectChar">
    <w:name w:val="Comment Subject Char"/>
    <w:basedOn w:val="CommentTextChar"/>
    <w:link w:val="CommentSubject"/>
    <w:uiPriority w:val="99"/>
    <w:semiHidden/>
    <w:locked/>
    <w:rsid w:val="00010EA3"/>
    <w:rPr>
      <w:rFonts w:ascii="Arial Narrow" w:hAnsi="Arial Narrow" w:cs="Times New Roman"/>
      <w:b/>
      <w:bCs/>
      <w:sz w:val="20"/>
      <w:szCs w:val="20"/>
    </w:rPr>
  </w:style>
  <w:style w:type="paragraph" w:styleId="Revision">
    <w:name w:val="Revision"/>
    <w:hidden/>
    <w:uiPriority w:val="99"/>
    <w:semiHidden/>
    <w:rsid w:val="00010EA3"/>
    <w:rPr>
      <w:rFonts w:ascii="Arial Narrow" w:hAnsi="Arial Narrow"/>
      <w:sz w:val="22"/>
      <w:szCs w:val="22"/>
      <w:lang w:val="en-NZ" w:eastAsia="en-US"/>
    </w:rPr>
  </w:style>
  <w:style w:type="paragraph" w:customStyle="1" w:styleId="Default">
    <w:name w:val="Default"/>
    <w:rsid w:val="00950EA1"/>
    <w:pPr>
      <w:autoSpaceDE w:val="0"/>
      <w:autoSpaceDN w:val="0"/>
      <w:adjustRightInd w:val="0"/>
    </w:pPr>
    <w:rPr>
      <w:rFonts w:cs="Calibri"/>
      <w:color w:val="000000"/>
      <w:sz w:val="24"/>
      <w:szCs w:val="24"/>
      <w:lang w:eastAsia="en-US"/>
    </w:rPr>
  </w:style>
  <w:style w:type="paragraph" w:styleId="Title">
    <w:name w:val="Title"/>
    <w:basedOn w:val="Normal"/>
    <w:next w:val="Normal"/>
    <w:link w:val="TitleChar"/>
    <w:uiPriority w:val="99"/>
    <w:qFormat/>
    <w:rsid w:val="00F30EF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F30EFF"/>
    <w:rPr>
      <w:rFonts w:ascii="Cambria" w:hAnsi="Cambria" w:cs="Times New Roman"/>
      <w:color w:val="17365D"/>
      <w:spacing w:val="5"/>
      <w:kern w:val="28"/>
      <w:sz w:val="52"/>
      <w:szCs w:val="52"/>
    </w:rPr>
  </w:style>
  <w:style w:type="paragraph" w:customStyle="1" w:styleId="CONLevel1">
    <w:name w:val=".CON  Level   1."/>
    <w:basedOn w:val="Normal"/>
    <w:next w:val="Normal"/>
    <w:rsid w:val="00960DB3"/>
    <w:pPr>
      <w:keepNext/>
      <w:tabs>
        <w:tab w:val="num" w:pos="720"/>
      </w:tabs>
      <w:spacing w:before="240"/>
      <w:ind w:left="720" w:hanging="720"/>
      <w:outlineLvl w:val="1"/>
    </w:pPr>
    <w:rPr>
      <w:rFonts w:ascii="Times New Roman" w:eastAsia="Times New Roman" w:hAnsi="Times New Roman"/>
      <w:b/>
      <w:sz w:val="24"/>
    </w:rPr>
  </w:style>
  <w:style w:type="paragraph" w:customStyle="1" w:styleId="CONLevel11">
    <w:name w:val=".CON  Level   1.1"/>
    <w:basedOn w:val="Normal"/>
    <w:next w:val="Normal"/>
    <w:link w:val="CONLevel11Char"/>
    <w:rsid w:val="00960DB3"/>
    <w:pPr>
      <w:tabs>
        <w:tab w:val="num" w:pos="720"/>
      </w:tabs>
      <w:spacing w:before="240"/>
      <w:ind w:left="720" w:hanging="706"/>
      <w:outlineLvl w:val="2"/>
    </w:pPr>
    <w:rPr>
      <w:rFonts w:ascii="Times New Roman" w:hAnsi="Times New Roman"/>
      <w:szCs w:val="20"/>
    </w:rPr>
  </w:style>
  <w:style w:type="paragraph" w:customStyle="1" w:styleId="CONLevela">
    <w:name w:val=".CON  Level  (a)"/>
    <w:basedOn w:val="Normal"/>
    <w:next w:val="Normal"/>
    <w:link w:val="CONLevelaChar"/>
    <w:rsid w:val="00960DB3"/>
    <w:pPr>
      <w:tabs>
        <w:tab w:val="num" w:pos="1440"/>
      </w:tabs>
      <w:spacing w:before="240"/>
      <w:ind w:left="1440" w:hanging="720"/>
      <w:outlineLvl w:val="3"/>
    </w:pPr>
    <w:rPr>
      <w:rFonts w:ascii="Times New Roman" w:hAnsi="Times New Roman"/>
      <w:szCs w:val="20"/>
    </w:rPr>
  </w:style>
  <w:style w:type="paragraph" w:customStyle="1" w:styleId="CONLeveli">
    <w:name w:val=".CON  Level  (i)"/>
    <w:basedOn w:val="Normal"/>
    <w:next w:val="Normal"/>
    <w:rsid w:val="00960DB3"/>
    <w:pPr>
      <w:tabs>
        <w:tab w:val="num" w:pos="2160"/>
      </w:tabs>
      <w:spacing w:before="240"/>
      <w:ind w:left="2160" w:hanging="720"/>
      <w:outlineLvl w:val="4"/>
    </w:pPr>
    <w:rPr>
      <w:rFonts w:ascii="Times New Roman" w:eastAsia="Times New Roman" w:hAnsi="Times New Roman"/>
      <w:sz w:val="24"/>
    </w:rPr>
  </w:style>
  <w:style w:type="paragraph" w:customStyle="1" w:styleId="CONLevelA0">
    <w:name w:val=".CON  Level (A)"/>
    <w:basedOn w:val="Normal"/>
    <w:next w:val="Normal"/>
    <w:rsid w:val="00960DB3"/>
    <w:pPr>
      <w:tabs>
        <w:tab w:val="num" w:pos="2880"/>
      </w:tabs>
      <w:spacing w:before="240"/>
      <w:ind w:left="2880" w:hanging="720"/>
      <w:outlineLvl w:val="5"/>
    </w:pPr>
    <w:rPr>
      <w:rFonts w:ascii="Times New Roman" w:eastAsia="Times New Roman" w:hAnsi="Times New Roman"/>
      <w:sz w:val="24"/>
    </w:rPr>
  </w:style>
  <w:style w:type="paragraph" w:customStyle="1" w:styleId="CONLevelI0">
    <w:name w:val=".CON  Level (I)"/>
    <w:basedOn w:val="Normal"/>
    <w:next w:val="Normal"/>
    <w:rsid w:val="00960DB3"/>
    <w:pPr>
      <w:tabs>
        <w:tab w:val="num" w:pos="3600"/>
      </w:tabs>
      <w:spacing w:before="240"/>
      <w:ind w:left="3600" w:hanging="720"/>
      <w:outlineLvl w:val="6"/>
    </w:pPr>
    <w:rPr>
      <w:rFonts w:ascii="Times New Roman" w:eastAsia="Times New Roman" w:hAnsi="Times New Roman"/>
      <w:sz w:val="24"/>
    </w:rPr>
  </w:style>
  <w:style w:type="character" w:customStyle="1" w:styleId="CONLevel11Char">
    <w:name w:val=".CON  Level   1.1 Char"/>
    <w:link w:val="CONLevel11"/>
    <w:uiPriority w:val="99"/>
    <w:locked/>
    <w:rsid w:val="00960DB3"/>
    <w:rPr>
      <w:rFonts w:ascii="Times New Roman" w:hAnsi="Times New Roman"/>
      <w:sz w:val="20"/>
    </w:rPr>
  </w:style>
  <w:style w:type="character" w:customStyle="1" w:styleId="CONLevelaChar">
    <w:name w:val=".CON  Level  (a) Char"/>
    <w:link w:val="CONLevela"/>
    <w:uiPriority w:val="99"/>
    <w:locked/>
    <w:rsid w:val="00960DB3"/>
    <w:rPr>
      <w:rFonts w:ascii="Times New Roman" w:hAnsi="Times New Roman"/>
      <w:sz w:val="20"/>
    </w:rPr>
  </w:style>
  <w:style w:type="paragraph" w:customStyle="1" w:styleId="CUNumber2">
    <w:name w:val="CU_Number2"/>
    <w:basedOn w:val="Normal"/>
    <w:uiPriority w:val="99"/>
    <w:rsid w:val="0024794E"/>
    <w:pPr>
      <w:tabs>
        <w:tab w:val="num" w:pos="2880"/>
      </w:tabs>
      <w:spacing w:after="220"/>
      <w:ind w:left="2880" w:hanging="720"/>
      <w:outlineLvl w:val="1"/>
    </w:pPr>
    <w:rPr>
      <w:rFonts w:ascii="Times New Roman" w:eastAsia="Times New Roman" w:hAnsi="Times New Roman"/>
      <w:szCs w:val="24"/>
    </w:rPr>
  </w:style>
  <w:style w:type="paragraph" w:customStyle="1" w:styleId="CUNumber3">
    <w:name w:val="CU_Number3"/>
    <w:basedOn w:val="Normal"/>
    <w:uiPriority w:val="99"/>
    <w:rsid w:val="0024794E"/>
    <w:pPr>
      <w:tabs>
        <w:tab w:val="num" w:pos="3600"/>
      </w:tabs>
      <w:spacing w:after="220"/>
      <w:ind w:left="3600" w:hanging="720"/>
      <w:outlineLvl w:val="2"/>
    </w:pPr>
    <w:rPr>
      <w:rFonts w:ascii="Times New Roman" w:eastAsia="Times New Roman" w:hAnsi="Times New Roman"/>
      <w:szCs w:val="24"/>
    </w:rPr>
  </w:style>
  <w:style w:type="paragraph" w:customStyle="1" w:styleId="Leveli">
    <w:name w:val="Level (i)"/>
    <w:basedOn w:val="Normal"/>
    <w:uiPriority w:val="99"/>
    <w:rsid w:val="0024794E"/>
    <w:pPr>
      <w:tabs>
        <w:tab w:val="num" w:pos="2160"/>
      </w:tabs>
      <w:spacing w:before="240"/>
      <w:ind w:left="2160" w:hanging="720"/>
    </w:pPr>
    <w:rPr>
      <w:rFonts w:ascii="Times New Roman" w:eastAsia="Times New Roman" w:hAnsi="Times New Roman"/>
      <w:sz w:val="24"/>
    </w:rPr>
  </w:style>
  <w:style w:type="paragraph" w:styleId="EndnoteText">
    <w:name w:val="endnote text"/>
    <w:basedOn w:val="Normal"/>
    <w:link w:val="EndnoteTextChar"/>
    <w:uiPriority w:val="99"/>
    <w:semiHidden/>
    <w:rsid w:val="00745301"/>
    <w:rPr>
      <w:szCs w:val="20"/>
    </w:rPr>
  </w:style>
  <w:style w:type="character" w:customStyle="1" w:styleId="EndnoteTextChar">
    <w:name w:val="Endnote Text Char"/>
    <w:basedOn w:val="DefaultParagraphFont"/>
    <w:link w:val="EndnoteText"/>
    <w:uiPriority w:val="99"/>
    <w:semiHidden/>
    <w:locked/>
    <w:rsid w:val="00745301"/>
    <w:rPr>
      <w:rFonts w:ascii="Arial Narrow" w:hAnsi="Arial Narrow" w:cs="Times New Roman"/>
      <w:sz w:val="20"/>
      <w:szCs w:val="20"/>
    </w:rPr>
  </w:style>
  <w:style w:type="character" w:styleId="EndnoteReference">
    <w:name w:val="endnote reference"/>
    <w:basedOn w:val="DefaultParagraphFont"/>
    <w:uiPriority w:val="99"/>
    <w:semiHidden/>
    <w:rsid w:val="00745301"/>
    <w:rPr>
      <w:rFonts w:cs="Times New Roman"/>
      <w:vertAlign w:val="superscript"/>
    </w:rPr>
  </w:style>
  <w:style w:type="paragraph" w:styleId="BodyText">
    <w:name w:val="Body Text"/>
    <w:basedOn w:val="Normal"/>
    <w:link w:val="BodyTextChar"/>
    <w:uiPriority w:val="99"/>
    <w:rsid w:val="00B0563F"/>
    <w:pPr>
      <w:spacing w:before="60" w:after="60"/>
    </w:pPr>
    <w:rPr>
      <w:rFonts w:ascii="Tahoma" w:eastAsia="Times New Roman" w:hAnsi="Tahoma" w:cs="Tahoma"/>
      <w:szCs w:val="20"/>
    </w:rPr>
  </w:style>
  <w:style w:type="character" w:customStyle="1" w:styleId="BodyTextChar">
    <w:name w:val="Body Text Char"/>
    <w:basedOn w:val="DefaultParagraphFont"/>
    <w:link w:val="BodyText"/>
    <w:uiPriority w:val="99"/>
    <w:locked/>
    <w:rsid w:val="00B0563F"/>
    <w:rPr>
      <w:rFonts w:ascii="Tahoma" w:hAnsi="Tahoma" w:cs="Tahoma"/>
      <w:sz w:val="20"/>
      <w:szCs w:val="20"/>
    </w:rPr>
  </w:style>
  <w:style w:type="character" w:styleId="IntenseReference">
    <w:name w:val="Intense Reference"/>
    <w:basedOn w:val="DefaultParagraphFont"/>
    <w:uiPriority w:val="99"/>
    <w:qFormat/>
    <w:rsid w:val="00056F82"/>
    <w:rPr>
      <w:rFonts w:cs="Times New Roman"/>
      <w:b/>
      <w:bCs/>
      <w:smallCaps/>
      <w:color w:val="C0504D"/>
      <w:spacing w:val="5"/>
      <w:u w:val="single"/>
    </w:rPr>
  </w:style>
  <w:style w:type="paragraph" w:styleId="BodyTextIndent3">
    <w:name w:val="Body Text Indent 3"/>
    <w:basedOn w:val="Normal"/>
    <w:link w:val="BodyTextIndent3Char"/>
    <w:uiPriority w:val="99"/>
    <w:semiHidden/>
    <w:rsid w:val="00B50FBB"/>
    <w:pPr>
      <w:widowControl w:val="0"/>
      <w:numPr>
        <w:numId w:val="6"/>
      </w:numPr>
      <w:tabs>
        <w:tab w:val="clear" w:pos="397"/>
      </w:tabs>
      <w:spacing w:before="120"/>
      <w:ind w:left="1440" w:hanging="22"/>
      <w:jc w:val="both"/>
    </w:pPr>
    <w:rPr>
      <w:rFonts w:ascii="Times New Roman" w:hAnsi="Times New Roman"/>
      <w:sz w:val="24"/>
      <w:szCs w:val="20"/>
      <w:lang w:val="en-US" w:eastAsia="en-AU"/>
    </w:rPr>
  </w:style>
  <w:style w:type="character" w:customStyle="1" w:styleId="BodyTextIndent3Char">
    <w:name w:val="Body Text Indent 3 Char"/>
    <w:basedOn w:val="DefaultParagraphFont"/>
    <w:link w:val="BodyTextIndent3"/>
    <w:uiPriority w:val="99"/>
    <w:semiHidden/>
    <w:locked/>
    <w:rsid w:val="00B50FBB"/>
    <w:rPr>
      <w:rFonts w:ascii="Times New Roman" w:hAnsi="Times New Roman"/>
      <w:sz w:val="24"/>
      <w:lang w:val="en-US"/>
    </w:rPr>
  </w:style>
  <w:style w:type="paragraph" w:styleId="NoSpacing">
    <w:name w:val="No Spacing"/>
    <w:uiPriority w:val="99"/>
    <w:qFormat/>
    <w:rsid w:val="003437B5"/>
    <w:rPr>
      <w:rFonts w:ascii="Arial Narrow" w:hAnsi="Arial Narrow"/>
      <w:sz w:val="22"/>
      <w:szCs w:val="22"/>
      <w:lang w:val="en-NZ" w:eastAsia="en-US"/>
    </w:rPr>
  </w:style>
  <w:style w:type="character" w:styleId="SubtleEmphasis">
    <w:name w:val="Subtle Emphasis"/>
    <w:basedOn w:val="DefaultParagraphFont"/>
    <w:uiPriority w:val="19"/>
    <w:qFormat/>
    <w:rsid w:val="00EC3CC6"/>
    <w:rPr>
      <w:i/>
      <w:iCs/>
      <w:color w:val="808080" w:themeColor="text1" w:themeTint="7F"/>
    </w:rPr>
  </w:style>
  <w:style w:type="paragraph" w:customStyle="1" w:styleId="List-number-1">
    <w:name w:val="List-number-1"/>
    <w:basedOn w:val="Normal"/>
    <w:link w:val="List-number-1Char"/>
    <w:rsid w:val="00CA69EA"/>
    <w:pPr>
      <w:numPr>
        <w:numId w:val="7"/>
      </w:numPr>
      <w:spacing w:before="120"/>
    </w:pPr>
    <w:rPr>
      <w:rFonts w:eastAsia="Times New Roman"/>
      <w:szCs w:val="24"/>
    </w:rPr>
  </w:style>
  <w:style w:type="paragraph" w:customStyle="1" w:styleId="List-number-2">
    <w:name w:val="List-number-2"/>
    <w:basedOn w:val="Normal"/>
    <w:rsid w:val="00CA69EA"/>
    <w:pPr>
      <w:numPr>
        <w:ilvl w:val="1"/>
        <w:numId w:val="7"/>
      </w:numPr>
      <w:spacing w:before="120"/>
    </w:pPr>
    <w:rPr>
      <w:rFonts w:eastAsia="Times New Roman"/>
      <w:szCs w:val="24"/>
    </w:rPr>
  </w:style>
  <w:style w:type="paragraph" w:customStyle="1" w:styleId="List-bullet-2">
    <w:name w:val="List-bullet-2"/>
    <w:basedOn w:val="Normal"/>
    <w:link w:val="List-bullet-2Char"/>
    <w:rsid w:val="002E2A2E"/>
    <w:pPr>
      <w:numPr>
        <w:numId w:val="8"/>
      </w:numPr>
      <w:spacing w:before="80"/>
    </w:pPr>
    <w:rPr>
      <w:rFonts w:eastAsia="Times New Roman" w:cs="Arial"/>
      <w:lang w:val="en-US"/>
    </w:rPr>
  </w:style>
  <w:style w:type="paragraph" w:customStyle="1" w:styleId="Table-normal-text">
    <w:name w:val="Table-normal-text"/>
    <w:basedOn w:val="Normal"/>
    <w:rsid w:val="002E2A2E"/>
    <w:pPr>
      <w:spacing w:before="60"/>
    </w:pPr>
    <w:rPr>
      <w:rFonts w:eastAsia="Times New Roman"/>
      <w:szCs w:val="24"/>
    </w:rPr>
  </w:style>
  <w:style w:type="character" w:customStyle="1" w:styleId="List-bullet-2Char">
    <w:name w:val="List-bullet-2 Char"/>
    <w:link w:val="List-bullet-2"/>
    <w:locked/>
    <w:rsid w:val="002E2A2E"/>
    <w:rPr>
      <w:rFonts w:ascii="Arial" w:eastAsia="Times New Roman" w:hAnsi="Arial" w:cs="Arial"/>
      <w:szCs w:val="22"/>
      <w:lang w:val="en-US" w:eastAsia="en-US"/>
    </w:rPr>
  </w:style>
  <w:style w:type="paragraph" w:customStyle="1" w:styleId="List-bullet-1">
    <w:name w:val="List-bullet-1"/>
    <w:basedOn w:val="Normal"/>
    <w:rsid w:val="00F00A9E"/>
    <w:pPr>
      <w:numPr>
        <w:numId w:val="9"/>
      </w:numPr>
      <w:spacing w:before="120"/>
    </w:pPr>
    <w:rPr>
      <w:rFonts w:eastAsia="Times New Roman" w:cs="Arial"/>
    </w:rPr>
  </w:style>
  <w:style w:type="character" w:customStyle="1" w:styleId="List-number-1Char">
    <w:name w:val="List-number-1 Char"/>
    <w:link w:val="List-number-1"/>
    <w:rsid w:val="00CA62B7"/>
    <w:rPr>
      <w:rFonts w:ascii="Arial" w:eastAsia="Times New Roman" w:hAnsi="Arial"/>
      <w:szCs w:val="24"/>
      <w:lang w:eastAsia="en-US"/>
    </w:rPr>
  </w:style>
  <w:style w:type="paragraph" w:styleId="Caption">
    <w:name w:val="caption"/>
    <w:basedOn w:val="Normal"/>
    <w:next w:val="BodyText"/>
    <w:qFormat/>
    <w:locked/>
    <w:rsid w:val="00E900CD"/>
    <w:pPr>
      <w:keepNext/>
      <w:spacing w:before="320" w:after="80" w:line="230" w:lineRule="exact"/>
    </w:pPr>
    <w:rPr>
      <w:rFonts w:ascii="Franklin Gothic Demi" w:eastAsia="Times New Roman" w:hAnsi="Franklin Gothic Demi"/>
      <w:color w:val="7E6D5F"/>
      <w:sz w:val="19"/>
      <w:szCs w:val="19"/>
      <w:lang w:eastAsia="en-AU"/>
    </w:rPr>
  </w:style>
  <w:style w:type="paragraph" w:customStyle="1" w:styleId="Note">
    <w:name w:val="Note"/>
    <w:basedOn w:val="Normal"/>
    <w:next w:val="Normal"/>
    <w:link w:val="NoteCharChar"/>
    <w:rsid w:val="00E900CD"/>
    <w:pPr>
      <w:keepLines/>
      <w:spacing w:before="40" w:line="180" w:lineRule="atLeast"/>
    </w:pPr>
    <w:rPr>
      <w:rFonts w:ascii="Franklin Gothic Book" w:eastAsia="Times New Roman" w:hAnsi="Franklin Gothic Book"/>
      <w:sz w:val="14"/>
      <w:szCs w:val="14"/>
    </w:rPr>
  </w:style>
  <w:style w:type="paragraph" w:customStyle="1" w:styleId="TableListBullet">
    <w:name w:val="Table List Bullet"/>
    <w:basedOn w:val="Normal"/>
    <w:rsid w:val="00E900CD"/>
    <w:pPr>
      <w:keepLines/>
      <w:numPr>
        <w:numId w:val="10"/>
      </w:numPr>
      <w:spacing w:before="40" w:after="40" w:line="200" w:lineRule="atLeast"/>
    </w:pPr>
    <w:rPr>
      <w:rFonts w:ascii="Franklin Gothic Book" w:eastAsia="Times New Roman" w:hAnsi="Franklin Gothic Book"/>
      <w:sz w:val="17"/>
      <w:szCs w:val="17"/>
    </w:rPr>
  </w:style>
  <w:style w:type="paragraph" w:customStyle="1" w:styleId="TableDataEntries">
    <w:name w:val="Table Data Entries"/>
    <w:basedOn w:val="Normal"/>
    <w:rsid w:val="00E900CD"/>
    <w:pPr>
      <w:keepLines/>
      <w:spacing w:before="40" w:after="40" w:line="200" w:lineRule="atLeast"/>
      <w:jc w:val="right"/>
    </w:pPr>
    <w:rPr>
      <w:rFonts w:ascii="Franklin Gothic Book" w:eastAsia="Times New Roman" w:hAnsi="Franklin Gothic Book"/>
      <w:sz w:val="17"/>
      <w:szCs w:val="17"/>
    </w:rPr>
  </w:style>
  <w:style w:type="paragraph" w:customStyle="1" w:styleId="TableDataColumnHeading">
    <w:name w:val="Table Data Column Heading"/>
    <w:basedOn w:val="TableDataEntries"/>
    <w:rsid w:val="00E900CD"/>
    <w:pPr>
      <w:spacing w:before="80" w:after="80"/>
    </w:pPr>
    <w:rPr>
      <w:rFonts w:ascii="Franklin Gothic Medium" w:hAnsi="Franklin Gothic Medium"/>
    </w:rPr>
  </w:style>
  <w:style w:type="character" w:customStyle="1" w:styleId="NoteCharChar">
    <w:name w:val="Note Char Char"/>
    <w:link w:val="Note"/>
    <w:rsid w:val="00E900CD"/>
    <w:rPr>
      <w:rFonts w:ascii="Franklin Gothic Book" w:eastAsia="Times New Roman" w:hAnsi="Franklin Gothic Book"/>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3567">
      <w:marLeft w:val="0"/>
      <w:marRight w:val="0"/>
      <w:marTop w:val="0"/>
      <w:marBottom w:val="0"/>
      <w:divBdr>
        <w:top w:val="none" w:sz="0" w:space="0" w:color="auto"/>
        <w:left w:val="none" w:sz="0" w:space="0" w:color="auto"/>
        <w:bottom w:val="none" w:sz="0" w:space="0" w:color="auto"/>
        <w:right w:val="none" w:sz="0" w:space="0" w:color="auto"/>
      </w:divBdr>
    </w:div>
    <w:div w:id="41103568">
      <w:marLeft w:val="0"/>
      <w:marRight w:val="0"/>
      <w:marTop w:val="0"/>
      <w:marBottom w:val="0"/>
      <w:divBdr>
        <w:top w:val="none" w:sz="0" w:space="0" w:color="auto"/>
        <w:left w:val="none" w:sz="0" w:space="0" w:color="auto"/>
        <w:bottom w:val="none" w:sz="0" w:space="0" w:color="auto"/>
        <w:right w:val="none" w:sz="0" w:space="0" w:color="auto"/>
      </w:divBdr>
    </w:div>
    <w:div w:id="41103569">
      <w:marLeft w:val="0"/>
      <w:marRight w:val="0"/>
      <w:marTop w:val="0"/>
      <w:marBottom w:val="0"/>
      <w:divBdr>
        <w:top w:val="none" w:sz="0" w:space="0" w:color="auto"/>
        <w:left w:val="none" w:sz="0" w:space="0" w:color="auto"/>
        <w:bottom w:val="none" w:sz="0" w:space="0" w:color="auto"/>
        <w:right w:val="none" w:sz="0" w:space="0" w:color="auto"/>
      </w:divBdr>
    </w:div>
    <w:div w:id="41103570">
      <w:marLeft w:val="0"/>
      <w:marRight w:val="0"/>
      <w:marTop w:val="0"/>
      <w:marBottom w:val="0"/>
      <w:divBdr>
        <w:top w:val="none" w:sz="0" w:space="0" w:color="auto"/>
        <w:left w:val="none" w:sz="0" w:space="0" w:color="auto"/>
        <w:bottom w:val="none" w:sz="0" w:space="0" w:color="auto"/>
        <w:right w:val="none" w:sz="0" w:space="0" w:color="auto"/>
      </w:divBdr>
    </w:div>
    <w:div w:id="41103571">
      <w:marLeft w:val="0"/>
      <w:marRight w:val="0"/>
      <w:marTop w:val="0"/>
      <w:marBottom w:val="0"/>
      <w:divBdr>
        <w:top w:val="none" w:sz="0" w:space="0" w:color="auto"/>
        <w:left w:val="none" w:sz="0" w:space="0" w:color="auto"/>
        <w:bottom w:val="none" w:sz="0" w:space="0" w:color="auto"/>
        <w:right w:val="none" w:sz="0" w:space="0" w:color="auto"/>
      </w:divBdr>
    </w:div>
    <w:div w:id="41103572">
      <w:marLeft w:val="0"/>
      <w:marRight w:val="0"/>
      <w:marTop w:val="0"/>
      <w:marBottom w:val="0"/>
      <w:divBdr>
        <w:top w:val="none" w:sz="0" w:space="0" w:color="auto"/>
        <w:left w:val="none" w:sz="0" w:space="0" w:color="auto"/>
        <w:bottom w:val="none" w:sz="0" w:space="0" w:color="auto"/>
        <w:right w:val="none" w:sz="0" w:space="0" w:color="auto"/>
      </w:divBdr>
    </w:div>
    <w:div w:id="41103573">
      <w:marLeft w:val="0"/>
      <w:marRight w:val="0"/>
      <w:marTop w:val="0"/>
      <w:marBottom w:val="0"/>
      <w:divBdr>
        <w:top w:val="none" w:sz="0" w:space="0" w:color="auto"/>
        <w:left w:val="none" w:sz="0" w:space="0" w:color="auto"/>
        <w:bottom w:val="none" w:sz="0" w:space="0" w:color="auto"/>
        <w:right w:val="none" w:sz="0" w:space="0" w:color="auto"/>
      </w:divBdr>
    </w:div>
    <w:div w:id="41103574">
      <w:marLeft w:val="0"/>
      <w:marRight w:val="0"/>
      <w:marTop w:val="0"/>
      <w:marBottom w:val="0"/>
      <w:divBdr>
        <w:top w:val="none" w:sz="0" w:space="0" w:color="auto"/>
        <w:left w:val="none" w:sz="0" w:space="0" w:color="auto"/>
        <w:bottom w:val="none" w:sz="0" w:space="0" w:color="auto"/>
        <w:right w:val="none" w:sz="0" w:space="0" w:color="auto"/>
      </w:divBdr>
    </w:div>
    <w:div w:id="41103575">
      <w:marLeft w:val="0"/>
      <w:marRight w:val="0"/>
      <w:marTop w:val="0"/>
      <w:marBottom w:val="0"/>
      <w:divBdr>
        <w:top w:val="none" w:sz="0" w:space="0" w:color="auto"/>
        <w:left w:val="none" w:sz="0" w:space="0" w:color="auto"/>
        <w:bottom w:val="none" w:sz="0" w:space="0" w:color="auto"/>
        <w:right w:val="none" w:sz="0" w:space="0" w:color="auto"/>
      </w:divBdr>
    </w:div>
    <w:div w:id="41103576">
      <w:marLeft w:val="0"/>
      <w:marRight w:val="0"/>
      <w:marTop w:val="0"/>
      <w:marBottom w:val="0"/>
      <w:divBdr>
        <w:top w:val="none" w:sz="0" w:space="0" w:color="auto"/>
        <w:left w:val="none" w:sz="0" w:space="0" w:color="auto"/>
        <w:bottom w:val="none" w:sz="0" w:space="0" w:color="auto"/>
        <w:right w:val="none" w:sz="0" w:space="0" w:color="auto"/>
      </w:divBdr>
    </w:div>
    <w:div w:id="41103577">
      <w:marLeft w:val="0"/>
      <w:marRight w:val="0"/>
      <w:marTop w:val="0"/>
      <w:marBottom w:val="0"/>
      <w:divBdr>
        <w:top w:val="none" w:sz="0" w:space="0" w:color="auto"/>
        <w:left w:val="none" w:sz="0" w:space="0" w:color="auto"/>
        <w:bottom w:val="none" w:sz="0" w:space="0" w:color="auto"/>
        <w:right w:val="none" w:sz="0" w:space="0" w:color="auto"/>
      </w:divBdr>
    </w:div>
    <w:div w:id="41103578">
      <w:marLeft w:val="0"/>
      <w:marRight w:val="0"/>
      <w:marTop w:val="0"/>
      <w:marBottom w:val="0"/>
      <w:divBdr>
        <w:top w:val="none" w:sz="0" w:space="0" w:color="auto"/>
        <w:left w:val="none" w:sz="0" w:space="0" w:color="auto"/>
        <w:bottom w:val="none" w:sz="0" w:space="0" w:color="auto"/>
        <w:right w:val="none" w:sz="0" w:space="0" w:color="auto"/>
      </w:divBdr>
    </w:div>
    <w:div w:id="41103579">
      <w:marLeft w:val="0"/>
      <w:marRight w:val="0"/>
      <w:marTop w:val="0"/>
      <w:marBottom w:val="0"/>
      <w:divBdr>
        <w:top w:val="none" w:sz="0" w:space="0" w:color="auto"/>
        <w:left w:val="none" w:sz="0" w:space="0" w:color="auto"/>
        <w:bottom w:val="none" w:sz="0" w:space="0" w:color="auto"/>
        <w:right w:val="none" w:sz="0" w:space="0" w:color="auto"/>
      </w:divBdr>
    </w:div>
    <w:div w:id="41103580">
      <w:marLeft w:val="0"/>
      <w:marRight w:val="0"/>
      <w:marTop w:val="0"/>
      <w:marBottom w:val="0"/>
      <w:divBdr>
        <w:top w:val="none" w:sz="0" w:space="0" w:color="auto"/>
        <w:left w:val="none" w:sz="0" w:space="0" w:color="auto"/>
        <w:bottom w:val="none" w:sz="0" w:space="0" w:color="auto"/>
        <w:right w:val="none" w:sz="0" w:space="0" w:color="auto"/>
      </w:divBdr>
    </w:div>
    <w:div w:id="41103581">
      <w:marLeft w:val="0"/>
      <w:marRight w:val="0"/>
      <w:marTop w:val="0"/>
      <w:marBottom w:val="0"/>
      <w:divBdr>
        <w:top w:val="none" w:sz="0" w:space="0" w:color="auto"/>
        <w:left w:val="none" w:sz="0" w:space="0" w:color="auto"/>
        <w:bottom w:val="none" w:sz="0" w:space="0" w:color="auto"/>
        <w:right w:val="none" w:sz="0" w:space="0" w:color="auto"/>
      </w:divBdr>
    </w:div>
    <w:div w:id="41103582">
      <w:marLeft w:val="0"/>
      <w:marRight w:val="0"/>
      <w:marTop w:val="0"/>
      <w:marBottom w:val="0"/>
      <w:divBdr>
        <w:top w:val="none" w:sz="0" w:space="0" w:color="auto"/>
        <w:left w:val="none" w:sz="0" w:space="0" w:color="auto"/>
        <w:bottom w:val="none" w:sz="0" w:space="0" w:color="auto"/>
        <w:right w:val="none" w:sz="0" w:space="0" w:color="auto"/>
      </w:divBdr>
    </w:div>
    <w:div w:id="41103583">
      <w:marLeft w:val="0"/>
      <w:marRight w:val="0"/>
      <w:marTop w:val="0"/>
      <w:marBottom w:val="0"/>
      <w:divBdr>
        <w:top w:val="none" w:sz="0" w:space="0" w:color="auto"/>
        <w:left w:val="none" w:sz="0" w:space="0" w:color="auto"/>
        <w:bottom w:val="none" w:sz="0" w:space="0" w:color="auto"/>
        <w:right w:val="none" w:sz="0" w:space="0" w:color="auto"/>
      </w:divBdr>
    </w:div>
    <w:div w:id="41103584">
      <w:marLeft w:val="0"/>
      <w:marRight w:val="0"/>
      <w:marTop w:val="0"/>
      <w:marBottom w:val="0"/>
      <w:divBdr>
        <w:top w:val="none" w:sz="0" w:space="0" w:color="auto"/>
        <w:left w:val="none" w:sz="0" w:space="0" w:color="auto"/>
        <w:bottom w:val="none" w:sz="0" w:space="0" w:color="auto"/>
        <w:right w:val="none" w:sz="0" w:space="0" w:color="auto"/>
      </w:divBdr>
    </w:div>
    <w:div w:id="41103585">
      <w:marLeft w:val="0"/>
      <w:marRight w:val="0"/>
      <w:marTop w:val="0"/>
      <w:marBottom w:val="0"/>
      <w:divBdr>
        <w:top w:val="none" w:sz="0" w:space="0" w:color="auto"/>
        <w:left w:val="none" w:sz="0" w:space="0" w:color="auto"/>
        <w:bottom w:val="none" w:sz="0" w:space="0" w:color="auto"/>
        <w:right w:val="none" w:sz="0" w:space="0" w:color="auto"/>
      </w:divBdr>
    </w:div>
    <w:div w:id="41103586">
      <w:marLeft w:val="0"/>
      <w:marRight w:val="0"/>
      <w:marTop w:val="0"/>
      <w:marBottom w:val="0"/>
      <w:divBdr>
        <w:top w:val="none" w:sz="0" w:space="0" w:color="auto"/>
        <w:left w:val="none" w:sz="0" w:space="0" w:color="auto"/>
        <w:bottom w:val="none" w:sz="0" w:space="0" w:color="auto"/>
        <w:right w:val="none" w:sz="0" w:space="0" w:color="auto"/>
      </w:divBdr>
    </w:div>
    <w:div w:id="226841331">
      <w:bodyDiv w:val="1"/>
      <w:marLeft w:val="0"/>
      <w:marRight w:val="0"/>
      <w:marTop w:val="0"/>
      <w:marBottom w:val="0"/>
      <w:divBdr>
        <w:top w:val="none" w:sz="0" w:space="0" w:color="auto"/>
        <w:left w:val="none" w:sz="0" w:space="0" w:color="auto"/>
        <w:bottom w:val="none" w:sz="0" w:space="0" w:color="auto"/>
        <w:right w:val="none" w:sz="0" w:space="0" w:color="auto"/>
      </w:divBdr>
    </w:div>
    <w:div w:id="377552907">
      <w:bodyDiv w:val="1"/>
      <w:marLeft w:val="0"/>
      <w:marRight w:val="0"/>
      <w:marTop w:val="0"/>
      <w:marBottom w:val="0"/>
      <w:divBdr>
        <w:top w:val="none" w:sz="0" w:space="0" w:color="auto"/>
        <w:left w:val="none" w:sz="0" w:space="0" w:color="auto"/>
        <w:bottom w:val="none" w:sz="0" w:space="0" w:color="auto"/>
        <w:right w:val="none" w:sz="0" w:space="0" w:color="auto"/>
      </w:divBdr>
    </w:div>
    <w:div w:id="390427328">
      <w:bodyDiv w:val="1"/>
      <w:marLeft w:val="0"/>
      <w:marRight w:val="0"/>
      <w:marTop w:val="0"/>
      <w:marBottom w:val="0"/>
      <w:divBdr>
        <w:top w:val="none" w:sz="0" w:space="0" w:color="auto"/>
        <w:left w:val="none" w:sz="0" w:space="0" w:color="auto"/>
        <w:bottom w:val="none" w:sz="0" w:space="0" w:color="auto"/>
        <w:right w:val="none" w:sz="0" w:space="0" w:color="auto"/>
      </w:divBdr>
    </w:div>
    <w:div w:id="409931182">
      <w:bodyDiv w:val="1"/>
      <w:marLeft w:val="0"/>
      <w:marRight w:val="0"/>
      <w:marTop w:val="0"/>
      <w:marBottom w:val="0"/>
      <w:divBdr>
        <w:top w:val="none" w:sz="0" w:space="0" w:color="auto"/>
        <w:left w:val="none" w:sz="0" w:space="0" w:color="auto"/>
        <w:bottom w:val="none" w:sz="0" w:space="0" w:color="auto"/>
        <w:right w:val="none" w:sz="0" w:space="0" w:color="auto"/>
      </w:divBdr>
    </w:div>
    <w:div w:id="555554170">
      <w:bodyDiv w:val="1"/>
      <w:marLeft w:val="0"/>
      <w:marRight w:val="0"/>
      <w:marTop w:val="0"/>
      <w:marBottom w:val="0"/>
      <w:divBdr>
        <w:top w:val="none" w:sz="0" w:space="0" w:color="auto"/>
        <w:left w:val="none" w:sz="0" w:space="0" w:color="auto"/>
        <w:bottom w:val="none" w:sz="0" w:space="0" w:color="auto"/>
        <w:right w:val="none" w:sz="0" w:space="0" w:color="auto"/>
      </w:divBdr>
    </w:div>
    <w:div w:id="737173078">
      <w:bodyDiv w:val="1"/>
      <w:marLeft w:val="0"/>
      <w:marRight w:val="0"/>
      <w:marTop w:val="0"/>
      <w:marBottom w:val="0"/>
      <w:divBdr>
        <w:top w:val="none" w:sz="0" w:space="0" w:color="auto"/>
        <w:left w:val="none" w:sz="0" w:space="0" w:color="auto"/>
        <w:bottom w:val="none" w:sz="0" w:space="0" w:color="auto"/>
        <w:right w:val="none" w:sz="0" w:space="0" w:color="auto"/>
      </w:divBdr>
    </w:div>
    <w:div w:id="944533550">
      <w:bodyDiv w:val="1"/>
      <w:marLeft w:val="0"/>
      <w:marRight w:val="0"/>
      <w:marTop w:val="0"/>
      <w:marBottom w:val="0"/>
      <w:divBdr>
        <w:top w:val="none" w:sz="0" w:space="0" w:color="auto"/>
        <w:left w:val="none" w:sz="0" w:space="0" w:color="auto"/>
        <w:bottom w:val="none" w:sz="0" w:space="0" w:color="auto"/>
        <w:right w:val="none" w:sz="0" w:space="0" w:color="auto"/>
      </w:divBdr>
    </w:div>
    <w:div w:id="1080562091">
      <w:bodyDiv w:val="1"/>
      <w:marLeft w:val="0"/>
      <w:marRight w:val="0"/>
      <w:marTop w:val="0"/>
      <w:marBottom w:val="0"/>
      <w:divBdr>
        <w:top w:val="none" w:sz="0" w:space="0" w:color="auto"/>
        <w:left w:val="none" w:sz="0" w:space="0" w:color="auto"/>
        <w:bottom w:val="none" w:sz="0" w:space="0" w:color="auto"/>
        <w:right w:val="none" w:sz="0" w:space="0" w:color="auto"/>
      </w:divBdr>
    </w:div>
    <w:div w:id="1319725857">
      <w:bodyDiv w:val="1"/>
      <w:marLeft w:val="0"/>
      <w:marRight w:val="0"/>
      <w:marTop w:val="0"/>
      <w:marBottom w:val="0"/>
      <w:divBdr>
        <w:top w:val="none" w:sz="0" w:space="0" w:color="auto"/>
        <w:left w:val="none" w:sz="0" w:space="0" w:color="auto"/>
        <w:bottom w:val="none" w:sz="0" w:space="0" w:color="auto"/>
        <w:right w:val="none" w:sz="0" w:space="0" w:color="auto"/>
      </w:divBdr>
    </w:div>
    <w:div w:id="1496533277">
      <w:bodyDiv w:val="1"/>
      <w:marLeft w:val="0"/>
      <w:marRight w:val="0"/>
      <w:marTop w:val="0"/>
      <w:marBottom w:val="0"/>
      <w:divBdr>
        <w:top w:val="none" w:sz="0" w:space="0" w:color="auto"/>
        <w:left w:val="none" w:sz="0" w:space="0" w:color="auto"/>
        <w:bottom w:val="none" w:sz="0" w:space="0" w:color="auto"/>
        <w:right w:val="none" w:sz="0" w:space="0" w:color="auto"/>
      </w:divBdr>
    </w:div>
    <w:div w:id="1680307443">
      <w:bodyDiv w:val="1"/>
      <w:marLeft w:val="0"/>
      <w:marRight w:val="0"/>
      <w:marTop w:val="0"/>
      <w:marBottom w:val="0"/>
      <w:divBdr>
        <w:top w:val="none" w:sz="0" w:space="0" w:color="auto"/>
        <w:left w:val="none" w:sz="0" w:space="0" w:color="auto"/>
        <w:bottom w:val="none" w:sz="0" w:space="0" w:color="auto"/>
        <w:right w:val="none" w:sz="0" w:space="0" w:color="auto"/>
      </w:divBdr>
    </w:div>
    <w:div w:id="1696492910">
      <w:bodyDiv w:val="1"/>
      <w:marLeft w:val="0"/>
      <w:marRight w:val="0"/>
      <w:marTop w:val="0"/>
      <w:marBottom w:val="0"/>
      <w:divBdr>
        <w:top w:val="none" w:sz="0" w:space="0" w:color="auto"/>
        <w:left w:val="none" w:sz="0" w:space="0" w:color="auto"/>
        <w:bottom w:val="none" w:sz="0" w:space="0" w:color="auto"/>
        <w:right w:val="none" w:sz="0" w:space="0" w:color="auto"/>
      </w:divBdr>
    </w:div>
    <w:div w:id="1720855893">
      <w:bodyDiv w:val="1"/>
      <w:marLeft w:val="0"/>
      <w:marRight w:val="0"/>
      <w:marTop w:val="0"/>
      <w:marBottom w:val="0"/>
      <w:divBdr>
        <w:top w:val="none" w:sz="0" w:space="0" w:color="auto"/>
        <w:left w:val="none" w:sz="0" w:space="0" w:color="auto"/>
        <w:bottom w:val="none" w:sz="0" w:space="0" w:color="auto"/>
        <w:right w:val="none" w:sz="0" w:space="0" w:color="auto"/>
      </w:divBdr>
    </w:div>
    <w:div w:id="1859849806">
      <w:bodyDiv w:val="1"/>
      <w:marLeft w:val="0"/>
      <w:marRight w:val="0"/>
      <w:marTop w:val="0"/>
      <w:marBottom w:val="0"/>
      <w:divBdr>
        <w:top w:val="none" w:sz="0" w:space="0" w:color="auto"/>
        <w:left w:val="none" w:sz="0" w:space="0" w:color="auto"/>
        <w:bottom w:val="none" w:sz="0" w:space="0" w:color="auto"/>
        <w:right w:val="none" w:sz="0" w:space="0" w:color="auto"/>
      </w:divBdr>
    </w:div>
    <w:div w:id="19843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BF199-E906-4E20-8D66-9B1CA250F7FF}"/>
</file>

<file path=customXml/itemProps2.xml><?xml version="1.0" encoding="utf-8"?>
<ds:datastoreItem xmlns:ds="http://schemas.openxmlformats.org/officeDocument/2006/customXml" ds:itemID="{90B7E7E5-E565-4210-9C4B-643248775B66}"/>
</file>

<file path=customXml/itemProps3.xml><?xml version="1.0" encoding="utf-8"?>
<ds:datastoreItem xmlns:ds="http://schemas.openxmlformats.org/officeDocument/2006/customXml" ds:itemID="{23D41C83-4ED4-4F47-A080-6F4D7C2156FF}"/>
</file>

<file path=customXml/itemProps4.xml><?xml version="1.0" encoding="utf-8"?>
<ds:datastoreItem xmlns:ds="http://schemas.openxmlformats.org/officeDocument/2006/customXml" ds:itemID="{AD68D8D6-EBD3-4611-85E4-75E4926B687C}"/>
</file>

<file path=docProps/app.xml><?xml version="1.0" encoding="utf-8"?>
<Properties xmlns="http://schemas.openxmlformats.org/officeDocument/2006/extended-properties" xmlns:vt="http://schemas.openxmlformats.org/officeDocument/2006/docPropsVTypes">
  <Template>49248CA2</Template>
  <TotalTime>0</TotalTime>
  <Pages>6</Pages>
  <Words>4098</Words>
  <Characters>23267</Characters>
  <Application>Microsoft Office Word</Application>
  <DocSecurity>0</DocSecurity>
  <Lines>193</Lines>
  <Paragraphs>54</Paragraphs>
  <ScaleCrop>false</ScaleCrop>
  <Company/>
  <LinksUpToDate>false</LinksUpToDate>
  <CharactersWithSpaces>27311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2016-01-12T05:31:00Z</dcterms:created>
  <dcterms:modified xsi:type="dcterms:W3CDTF">2016-01-12T05:31:00Z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1003700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