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363" w:rsidRDefault="00512363" w:rsidP="00512363">
      <w:pPr>
        <w:jc w:val="center"/>
        <w:rPr>
          <w:b/>
          <w:sz w:val="40"/>
          <w:szCs w:val="40"/>
        </w:rPr>
      </w:pPr>
      <w:bookmarkStart w:id="0" w:name="_GoBack"/>
      <w:bookmarkEnd w:id="0"/>
    </w:p>
    <w:p w:rsidR="00512363" w:rsidRDefault="00512363" w:rsidP="00512363">
      <w:pPr>
        <w:jc w:val="center"/>
        <w:rPr>
          <w:b/>
          <w:sz w:val="40"/>
          <w:szCs w:val="40"/>
        </w:rPr>
      </w:pPr>
    </w:p>
    <w:p w:rsidR="00512363" w:rsidRDefault="00512363" w:rsidP="00512363">
      <w:pPr>
        <w:jc w:val="center"/>
        <w:rPr>
          <w:b/>
          <w:sz w:val="40"/>
          <w:szCs w:val="40"/>
        </w:rPr>
      </w:pPr>
    </w:p>
    <w:p w:rsidR="00512363" w:rsidRDefault="00512363" w:rsidP="00512363">
      <w:pPr>
        <w:jc w:val="center"/>
        <w:rPr>
          <w:b/>
          <w:sz w:val="40"/>
          <w:szCs w:val="40"/>
        </w:rPr>
      </w:pPr>
    </w:p>
    <w:p w:rsidR="00512363" w:rsidRDefault="00512363" w:rsidP="00512363">
      <w:pPr>
        <w:jc w:val="center"/>
        <w:rPr>
          <w:b/>
          <w:sz w:val="40"/>
          <w:szCs w:val="40"/>
        </w:rPr>
      </w:pPr>
    </w:p>
    <w:p w:rsidR="00512363" w:rsidRDefault="00512363" w:rsidP="00512363">
      <w:pPr>
        <w:jc w:val="center"/>
        <w:rPr>
          <w:b/>
          <w:sz w:val="40"/>
          <w:szCs w:val="40"/>
        </w:rPr>
      </w:pPr>
    </w:p>
    <w:p w:rsidR="00512363" w:rsidRDefault="00512363" w:rsidP="00512363">
      <w:pPr>
        <w:jc w:val="center"/>
        <w:rPr>
          <w:b/>
          <w:sz w:val="40"/>
          <w:szCs w:val="40"/>
        </w:rPr>
      </w:pPr>
    </w:p>
    <w:p w:rsidR="00512363" w:rsidRDefault="00512363" w:rsidP="00512363">
      <w:pPr>
        <w:jc w:val="center"/>
        <w:rPr>
          <w:b/>
          <w:sz w:val="40"/>
          <w:szCs w:val="40"/>
        </w:rPr>
      </w:pPr>
    </w:p>
    <w:p w:rsidR="00512363" w:rsidRPr="00694D75" w:rsidRDefault="00512363" w:rsidP="00512363">
      <w:pPr>
        <w:jc w:val="center"/>
        <w:rPr>
          <w:b/>
          <w:sz w:val="40"/>
          <w:szCs w:val="40"/>
        </w:rPr>
      </w:pPr>
      <w:r w:rsidRPr="00694D75">
        <w:rPr>
          <w:b/>
          <w:sz w:val="40"/>
          <w:szCs w:val="40"/>
        </w:rPr>
        <w:t xml:space="preserve">AusAID </w:t>
      </w:r>
      <w:r w:rsidR="006E1D20">
        <w:rPr>
          <w:b/>
          <w:sz w:val="40"/>
          <w:szCs w:val="40"/>
        </w:rPr>
        <w:t>Delivery Strategy</w:t>
      </w:r>
      <w:r w:rsidRPr="00694D75">
        <w:rPr>
          <w:b/>
          <w:sz w:val="40"/>
          <w:szCs w:val="40"/>
        </w:rPr>
        <w:t xml:space="preserve"> for </w:t>
      </w:r>
      <w:r>
        <w:rPr>
          <w:b/>
          <w:sz w:val="40"/>
          <w:szCs w:val="40"/>
        </w:rPr>
        <w:t>Economic and Public Sector Governance in Tonga</w:t>
      </w:r>
    </w:p>
    <w:p w:rsidR="00512363" w:rsidRDefault="00512363" w:rsidP="00512363">
      <w:pPr>
        <w:jc w:val="center"/>
        <w:rPr>
          <w:b/>
          <w:sz w:val="40"/>
          <w:szCs w:val="40"/>
        </w:rPr>
      </w:pPr>
    </w:p>
    <w:p w:rsidR="00512363" w:rsidRDefault="00512363" w:rsidP="00512363">
      <w:pPr>
        <w:jc w:val="center"/>
        <w:rPr>
          <w:b/>
          <w:sz w:val="40"/>
          <w:szCs w:val="40"/>
        </w:rPr>
      </w:pPr>
      <w:r w:rsidRPr="00694D75">
        <w:rPr>
          <w:b/>
          <w:sz w:val="40"/>
          <w:szCs w:val="40"/>
        </w:rPr>
        <w:t>201</w:t>
      </w:r>
      <w:r>
        <w:rPr>
          <w:b/>
          <w:sz w:val="40"/>
          <w:szCs w:val="40"/>
        </w:rPr>
        <w:t xml:space="preserve">3/14 – </w:t>
      </w:r>
      <w:r w:rsidRPr="00694D75">
        <w:rPr>
          <w:b/>
          <w:sz w:val="40"/>
          <w:szCs w:val="40"/>
        </w:rPr>
        <w:t>201</w:t>
      </w:r>
      <w:r w:rsidR="00FA39E3">
        <w:rPr>
          <w:b/>
          <w:sz w:val="40"/>
          <w:szCs w:val="40"/>
        </w:rPr>
        <w:t>6</w:t>
      </w:r>
      <w:r>
        <w:rPr>
          <w:b/>
          <w:sz w:val="40"/>
          <w:szCs w:val="40"/>
        </w:rPr>
        <w:t>/1</w:t>
      </w:r>
      <w:r w:rsidR="00FA39E3">
        <w:rPr>
          <w:b/>
          <w:sz w:val="40"/>
          <w:szCs w:val="40"/>
        </w:rPr>
        <w:t>7</w:t>
      </w:r>
    </w:p>
    <w:p w:rsidR="00512363" w:rsidRDefault="00512363" w:rsidP="00512363">
      <w:pPr>
        <w:jc w:val="center"/>
        <w:rPr>
          <w:b/>
          <w:sz w:val="40"/>
          <w:szCs w:val="40"/>
        </w:rPr>
      </w:pPr>
    </w:p>
    <w:p w:rsidR="008710DE" w:rsidRDefault="008710DE" w:rsidP="00512363">
      <w:pPr>
        <w:jc w:val="center"/>
        <w:rPr>
          <w:b/>
          <w:sz w:val="40"/>
          <w:szCs w:val="40"/>
        </w:rPr>
      </w:pPr>
    </w:p>
    <w:p w:rsidR="008710DE" w:rsidRDefault="008710DE" w:rsidP="00512363">
      <w:pPr>
        <w:jc w:val="center"/>
        <w:rPr>
          <w:b/>
          <w:sz w:val="40"/>
          <w:szCs w:val="40"/>
        </w:rPr>
      </w:pPr>
    </w:p>
    <w:p w:rsidR="008710DE" w:rsidRDefault="008710DE" w:rsidP="00512363">
      <w:pPr>
        <w:jc w:val="center"/>
        <w:rPr>
          <w:b/>
          <w:sz w:val="40"/>
          <w:szCs w:val="40"/>
        </w:rPr>
      </w:pPr>
    </w:p>
    <w:p w:rsidR="008710DE" w:rsidRDefault="008710DE" w:rsidP="00512363">
      <w:pPr>
        <w:jc w:val="center"/>
        <w:rPr>
          <w:b/>
          <w:sz w:val="40"/>
          <w:szCs w:val="40"/>
        </w:rPr>
      </w:pPr>
    </w:p>
    <w:p w:rsidR="00512363" w:rsidRPr="00694D75" w:rsidRDefault="00512363" w:rsidP="008710DE">
      <w:pPr>
        <w:rPr>
          <w:b/>
          <w:sz w:val="40"/>
          <w:szCs w:val="40"/>
        </w:rPr>
      </w:pPr>
    </w:p>
    <w:p w:rsidR="00512363" w:rsidRDefault="00512363" w:rsidP="00512363"/>
    <w:p w:rsidR="002C3670" w:rsidRDefault="00294709">
      <w:r>
        <w:br w:type="column"/>
      </w:r>
    </w:p>
    <w:bookmarkStart w:id="1" w:name="_Toc347997005" w:displacedByCustomXml="next"/>
    <w:bookmarkStart w:id="2" w:name="_Toc347406534" w:displacedByCustomXml="next"/>
    <w:bookmarkStart w:id="3" w:name="_Toc346550593" w:displacedByCustomXml="next"/>
    <w:bookmarkStart w:id="4" w:name="_Toc356389359" w:displacedByCustomXml="next"/>
    <w:sdt>
      <w:sdtPr>
        <w:rPr>
          <w:rFonts w:ascii="Arial" w:eastAsia="Times New Roman" w:hAnsi="Arial" w:cs="Times New Roman"/>
          <w:b w:val="0"/>
          <w:bCs w:val="0"/>
          <w:noProof/>
          <w:color w:val="auto"/>
          <w:sz w:val="24"/>
          <w:szCs w:val="24"/>
          <w:lang w:val="en-AU" w:eastAsia="en-AU"/>
        </w:rPr>
        <w:id w:val="2006158976"/>
        <w:docPartObj>
          <w:docPartGallery w:val="Table of Contents"/>
          <w:docPartUnique/>
        </w:docPartObj>
      </w:sdtPr>
      <w:sdtEndPr>
        <w:rPr>
          <w:noProof w:val="0"/>
        </w:rPr>
      </w:sdtEndPr>
      <w:sdtContent>
        <w:p w:rsidR="00BE642B" w:rsidRDefault="00BE642B" w:rsidP="008648C8">
          <w:pPr>
            <w:pStyle w:val="TOCHeading"/>
            <w:spacing w:after="240"/>
            <w:outlineLvl w:val="0"/>
            <w:rPr>
              <w:rFonts w:ascii="Arial" w:eastAsia="Times New Roman" w:hAnsi="Arial" w:cs="Times New Roman"/>
              <w:bCs w:val="0"/>
              <w:color w:val="auto"/>
              <w:szCs w:val="24"/>
              <w:lang w:val="en-AU" w:eastAsia="en-AU"/>
            </w:rPr>
          </w:pPr>
          <w:r w:rsidRPr="00BE642B">
            <w:rPr>
              <w:rFonts w:ascii="Arial" w:eastAsia="Times New Roman" w:hAnsi="Arial" w:cs="Times New Roman"/>
              <w:bCs w:val="0"/>
              <w:color w:val="auto"/>
              <w:szCs w:val="24"/>
              <w:lang w:val="en-AU" w:eastAsia="en-AU"/>
            </w:rPr>
            <w:t>Table of contents</w:t>
          </w:r>
          <w:bookmarkEnd w:id="4"/>
          <w:bookmarkEnd w:id="3"/>
          <w:bookmarkEnd w:id="2"/>
          <w:bookmarkEnd w:id="1"/>
        </w:p>
        <w:p w:rsidR="00682340" w:rsidRDefault="001A70EC">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356389361" w:history="1">
            <w:r w:rsidR="00682340" w:rsidRPr="00B46854">
              <w:rPr>
                <w:rStyle w:val="Hyperlink"/>
              </w:rPr>
              <w:t>1.</w:t>
            </w:r>
            <w:r w:rsidR="00682340">
              <w:rPr>
                <w:rFonts w:asciiTheme="minorHAnsi" w:eastAsiaTheme="minorEastAsia" w:hAnsiTheme="minorHAnsi" w:cstheme="minorBidi"/>
                <w:sz w:val="22"/>
                <w:szCs w:val="22"/>
              </w:rPr>
              <w:tab/>
            </w:r>
            <w:r w:rsidR="00682340" w:rsidRPr="00B46854">
              <w:rPr>
                <w:rStyle w:val="Hyperlink"/>
              </w:rPr>
              <w:t>Executive summary</w:t>
            </w:r>
            <w:r w:rsidR="00682340">
              <w:rPr>
                <w:webHidden/>
              </w:rPr>
              <w:tab/>
            </w:r>
            <w:r w:rsidR="00682340">
              <w:rPr>
                <w:webHidden/>
              </w:rPr>
              <w:fldChar w:fldCharType="begin"/>
            </w:r>
            <w:r w:rsidR="00682340">
              <w:rPr>
                <w:webHidden/>
              </w:rPr>
              <w:instrText xml:space="preserve"> PAGEREF _Toc356389361 \h </w:instrText>
            </w:r>
            <w:r w:rsidR="00682340">
              <w:rPr>
                <w:webHidden/>
              </w:rPr>
            </w:r>
            <w:r w:rsidR="00682340">
              <w:rPr>
                <w:webHidden/>
              </w:rPr>
              <w:fldChar w:fldCharType="separate"/>
            </w:r>
            <w:r w:rsidR="00F33341">
              <w:rPr>
                <w:webHidden/>
              </w:rPr>
              <w:t>5</w:t>
            </w:r>
            <w:r w:rsidR="00682340">
              <w:rPr>
                <w:webHidden/>
              </w:rPr>
              <w:fldChar w:fldCharType="end"/>
            </w:r>
          </w:hyperlink>
        </w:p>
        <w:p w:rsidR="00682340" w:rsidRDefault="005E7C68">
          <w:pPr>
            <w:pStyle w:val="TOC1"/>
            <w:rPr>
              <w:rFonts w:asciiTheme="minorHAnsi" w:eastAsiaTheme="minorEastAsia" w:hAnsiTheme="minorHAnsi" w:cstheme="minorBidi"/>
              <w:sz w:val="22"/>
              <w:szCs w:val="22"/>
            </w:rPr>
          </w:pPr>
          <w:hyperlink w:anchor="_Toc356389362" w:history="1">
            <w:r w:rsidR="00682340" w:rsidRPr="00B46854">
              <w:rPr>
                <w:rStyle w:val="Hyperlink"/>
              </w:rPr>
              <w:t>2.</w:t>
            </w:r>
            <w:r w:rsidR="00682340">
              <w:rPr>
                <w:rFonts w:asciiTheme="minorHAnsi" w:eastAsiaTheme="minorEastAsia" w:hAnsiTheme="minorHAnsi" w:cstheme="minorBidi"/>
                <w:sz w:val="22"/>
                <w:szCs w:val="22"/>
              </w:rPr>
              <w:tab/>
            </w:r>
            <w:r w:rsidR="00682340" w:rsidRPr="00B46854">
              <w:rPr>
                <w:rStyle w:val="Hyperlink"/>
              </w:rPr>
              <w:t>Tonga’s economic and public sector governance development context</w:t>
            </w:r>
            <w:r w:rsidR="00682340">
              <w:rPr>
                <w:webHidden/>
              </w:rPr>
              <w:tab/>
            </w:r>
            <w:r w:rsidR="00682340">
              <w:rPr>
                <w:webHidden/>
              </w:rPr>
              <w:fldChar w:fldCharType="begin"/>
            </w:r>
            <w:r w:rsidR="00682340">
              <w:rPr>
                <w:webHidden/>
              </w:rPr>
              <w:instrText xml:space="preserve"> PAGEREF _Toc356389362 \h </w:instrText>
            </w:r>
            <w:r w:rsidR="00682340">
              <w:rPr>
                <w:webHidden/>
              </w:rPr>
            </w:r>
            <w:r w:rsidR="00682340">
              <w:rPr>
                <w:webHidden/>
              </w:rPr>
              <w:fldChar w:fldCharType="separate"/>
            </w:r>
            <w:r w:rsidR="00F33341">
              <w:rPr>
                <w:webHidden/>
              </w:rPr>
              <w:t>8</w:t>
            </w:r>
            <w:r w:rsidR="00682340">
              <w:rPr>
                <w:webHidden/>
              </w:rPr>
              <w:fldChar w:fldCharType="end"/>
            </w:r>
          </w:hyperlink>
        </w:p>
        <w:p w:rsidR="00682340" w:rsidRDefault="005E7C68">
          <w:pPr>
            <w:pStyle w:val="TOC1"/>
            <w:rPr>
              <w:rFonts w:asciiTheme="minorHAnsi" w:eastAsiaTheme="minorEastAsia" w:hAnsiTheme="minorHAnsi" w:cstheme="minorBidi"/>
              <w:sz w:val="22"/>
              <w:szCs w:val="22"/>
            </w:rPr>
          </w:pPr>
          <w:hyperlink w:anchor="_Toc356389363" w:history="1">
            <w:r w:rsidR="00682340" w:rsidRPr="00B46854">
              <w:rPr>
                <w:rStyle w:val="Hyperlink"/>
              </w:rPr>
              <w:t>3.</w:t>
            </w:r>
            <w:r w:rsidR="00682340">
              <w:rPr>
                <w:rFonts w:asciiTheme="minorHAnsi" w:eastAsiaTheme="minorEastAsia" w:hAnsiTheme="minorHAnsi" w:cstheme="minorBidi"/>
                <w:sz w:val="22"/>
                <w:szCs w:val="22"/>
              </w:rPr>
              <w:tab/>
            </w:r>
            <w:r w:rsidR="00682340" w:rsidRPr="00B46854">
              <w:rPr>
                <w:rStyle w:val="Hyperlink"/>
              </w:rPr>
              <w:t>Australia’s current support for economic and public sector governance</w:t>
            </w:r>
            <w:r w:rsidR="00682340">
              <w:rPr>
                <w:webHidden/>
              </w:rPr>
              <w:tab/>
            </w:r>
            <w:r w:rsidR="00682340">
              <w:rPr>
                <w:webHidden/>
              </w:rPr>
              <w:fldChar w:fldCharType="begin"/>
            </w:r>
            <w:r w:rsidR="00682340">
              <w:rPr>
                <w:webHidden/>
              </w:rPr>
              <w:instrText xml:space="preserve"> PAGEREF _Toc356389363 \h </w:instrText>
            </w:r>
            <w:r w:rsidR="00682340">
              <w:rPr>
                <w:webHidden/>
              </w:rPr>
            </w:r>
            <w:r w:rsidR="00682340">
              <w:rPr>
                <w:webHidden/>
              </w:rPr>
              <w:fldChar w:fldCharType="separate"/>
            </w:r>
            <w:r w:rsidR="00F33341">
              <w:rPr>
                <w:webHidden/>
              </w:rPr>
              <w:t>10</w:t>
            </w:r>
            <w:r w:rsidR="00682340">
              <w:rPr>
                <w:webHidden/>
              </w:rPr>
              <w:fldChar w:fldCharType="end"/>
            </w:r>
          </w:hyperlink>
        </w:p>
        <w:p w:rsidR="00682340" w:rsidRDefault="005E7C68">
          <w:pPr>
            <w:pStyle w:val="TOC1"/>
            <w:rPr>
              <w:rFonts w:asciiTheme="minorHAnsi" w:eastAsiaTheme="minorEastAsia" w:hAnsiTheme="minorHAnsi" w:cstheme="minorBidi"/>
              <w:sz w:val="22"/>
              <w:szCs w:val="22"/>
            </w:rPr>
          </w:pPr>
          <w:hyperlink w:anchor="_Toc356389364" w:history="1">
            <w:r w:rsidR="00682340" w:rsidRPr="00B46854">
              <w:rPr>
                <w:rStyle w:val="Hyperlink"/>
              </w:rPr>
              <w:t>4.</w:t>
            </w:r>
            <w:r w:rsidR="00682340">
              <w:rPr>
                <w:rFonts w:asciiTheme="minorHAnsi" w:eastAsiaTheme="minorEastAsia" w:hAnsiTheme="minorHAnsi" w:cstheme="minorBidi"/>
                <w:sz w:val="22"/>
                <w:szCs w:val="22"/>
              </w:rPr>
              <w:tab/>
            </w:r>
            <w:r w:rsidR="00682340" w:rsidRPr="00B46854">
              <w:rPr>
                <w:rStyle w:val="Hyperlink"/>
              </w:rPr>
              <w:t>Theory of change</w:t>
            </w:r>
            <w:r w:rsidR="00682340">
              <w:rPr>
                <w:webHidden/>
              </w:rPr>
              <w:tab/>
            </w:r>
            <w:r w:rsidR="00682340">
              <w:rPr>
                <w:webHidden/>
              </w:rPr>
              <w:fldChar w:fldCharType="begin"/>
            </w:r>
            <w:r w:rsidR="00682340">
              <w:rPr>
                <w:webHidden/>
              </w:rPr>
              <w:instrText xml:space="preserve"> PAGEREF _Toc356389364 \h </w:instrText>
            </w:r>
            <w:r w:rsidR="00682340">
              <w:rPr>
                <w:webHidden/>
              </w:rPr>
            </w:r>
            <w:r w:rsidR="00682340">
              <w:rPr>
                <w:webHidden/>
              </w:rPr>
              <w:fldChar w:fldCharType="separate"/>
            </w:r>
            <w:r w:rsidR="00F33341">
              <w:rPr>
                <w:webHidden/>
              </w:rPr>
              <w:t>15</w:t>
            </w:r>
            <w:r w:rsidR="00682340">
              <w:rPr>
                <w:webHidden/>
              </w:rPr>
              <w:fldChar w:fldCharType="end"/>
            </w:r>
          </w:hyperlink>
        </w:p>
        <w:p w:rsidR="00682340" w:rsidRDefault="005E7C68">
          <w:pPr>
            <w:pStyle w:val="TOC2"/>
            <w:rPr>
              <w:rFonts w:asciiTheme="minorHAnsi" w:eastAsiaTheme="minorEastAsia" w:hAnsiTheme="minorHAnsi" w:cstheme="minorBidi"/>
              <w:noProof/>
              <w:sz w:val="22"/>
              <w:szCs w:val="22"/>
            </w:rPr>
          </w:pPr>
          <w:hyperlink w:anchor="_Toc356389365" w:history="1">
            <w:r w:rsidR="00682340" w:rsidRPr="00B46854">
              <w:rPr>
                <w:rStyle w:val="Hyperlink"/>
                <w:noProof/>
              </w:rPr>
              <w:t>a.</w:t>
            </w:r>
            <w:r w:rsidR="00682340">
              <w:rPr>
                <w:rFonts w:asciiTheme="minorHAnsi" w:eastAsiaTheme="minorEastAsia" w:hAnsiTheme="minorHAnsi" w:cstheme="minorBidi"/>
                <w:noProof/>
                <w:sz w:val="22"/>
                <w:szCs w:val="22"/>
              </w:rPr>
              <w:tab/>
            </w:r>
            <w:r w:rsidR="00682340" w:rsidRPr="00B46854">
              <w:rPr>
                <w:rStyle w:val="Hyperlink"/>
                <w:noProof/>
              </w:rPr>
              <w:t>Theory of change workshop</w:t>
            </w:r>
            <w:r w:rsidR="00682340">
              <w:rPr>
                <w:noProof/>
                <w:webHidden/>
              </w:rPr>
              <w:tab/>
            </w:r>
            <w:r w:rsidR="00682340">
              <w:rPr>
                <w:noProof/>
                <w:webHidden/>
              </w:rPr>
              <w:fldChar w:fldCharType="begin"/>
            </w:r>
            <w:r w:rsidR="00682340">
              <w:rPr>
                <w:noProof/>
                <w:webHidden/>
              </w:rPr>
              <w:instrText xml:space="preserve"> PAGEREF _Toc356389365 \h </w:instrText>
            </w:r>
            <w:r w:rsidR="00682340">
              <w:rPr>
                <w:noProof/>
                <w:webHidden/>
              </w:rPr>
            </w:r>
            <w:r w:rsidR="00682340">
              <w:rPr>
                <w:noProof/>
                <w:webHidden/>
              </w:rPr>
              <w:fldChar w:fldCharType="separate"/>
            </w:r>
            <w:r w:rsidR="00F33341">
              <w:rPr>
                <w:noProof/>
                <w:webHidden/>
              </w:rPr>
              <w:t>15</w:t>
            </w:r>
            <w:r w:rsidR="00682340">
              <w:rPr>
                <w:noProof/>
                <w:webHidden/>
              </w:rPr>
              <w:fldChar w:fldCharType="end"/>
            </w:r>
          </w:hyperlink>
        </w:p>
        <w:p w:rsidR="00682340" w:rsidRDefault="005E7C68">
          <w:pPr>
            <w:pStyle w:val="TOC2"/>
            <w:rPr>
              <w:rFonts w:asciiTheme="minorHAnsi" w:eastAsiaTheme="minorEastAsia" w:hAnsiTheme="minorHAnsi" w:cstheme="minorBidi"/>
              <w:noProof/>
              <w:sz w:val="22"/>
              <w:szCs w:val="22"/>
            </w:rPr>
          </w:pPr>
          <w:hyperlink w:anchor="_Toc356389366" w:history="1">
            <w:r w:rsidR="00682340" w:rsidRPr="00B46854">
              <w:rPr>
                <w:rStyle w:val="Hyperlink"/>
                <w:noProof/>
              </w:rPr>
              <w:t>b.</w:t>
            </w:r>
            <w:r w:rsidR="00682340">
              <w:rPr>
                <w:rFonts w:asciiTheme="minorHAnsi" w:eastAsiaTheme="minorEastAsia" w:hAnsiTheme="minorHAnsi" w:cstheme="minorBidi"/>
                <w:noProof/>
                <w:sz w:val="22"/>
                <w:szCs w:val="22"/>
              </w:rPr>
              <w:tab/>
            </w:r>
            <w:r w:rsidR="00682340" w:rsidRPr="00B46854">
              <w:rPr>
                <w:rStyle w:val="Hyperlink"/>
                <w:noProof/>
              </w:rPr>
              <w:t>End-of-strategy outcomes</w:t>
            </w:r>
            <w:r w:rsidR="00682340">
              <w:rPr>
                <w:noProof/>
                <w:webHidden/>
              </w:rPr>
              <w:tab/>
            </w:r>
            <w:r w:rsidR="00682340">
              <w:rPr>
                <w:noProof/>
                <w:webHidden/>
              </w:rPr>
              <w:fldChar w:fldCharType="begin"/>
            </w:r>
            <w:r w:rsidR="00682340">
              <w:rPr>
                <w:noProof/>
                <w:webHidden/>
              </w:rPr>
              <w:instrText xml:space="preserve"> PAGEREF _Toc356389366 \h </w:instrText>
            </w:r>
            <w:r w:rsidR="00682340">
              <w:rPr>
                <w:noProof/>
                <w:webHidden/>
              </w:rPr>
            </w:r>
            <w:r w:rsidR="00682340">
              <w:rPr>
                <w:noProof/>
                <w:webHidden/>
              </w:rPr>
              <w:fldChar w:fldCharType="separate"/>
            </w:r>
            <w:r w:rsidR="00F33341">
              <w:rPr>
                <w:noProof/>
                <w:webHidden/>
              </w:rPr>
              <w:t>16</w:t>
            </w:r>
            <w:r w:rsidR="00682340">
              <w:rPr>
                <w:noProof/>
                <w:webHidden/>
              </w:rPr>
              <w:fldChar w:fldCharType="end"/>
            </w:r>
          </w:hyperlink>
        </w:p>
        <w:p w:rsidR="00682340" w:rsidRDefault="005E7C68">
          <w:pPr>
            <w:pStyle w:val="TOC2"/>
            <w:rPr>
              <w:rFonts w:asciiTheme="minorHAnsi" w:eastAsiaTheme="minorEastAsia" w:hAnsiTheme="minorHAnsi" w:cstheme="minorBidi"/>
              <w:noProof/>
              <w:sz w:val="22"/>
              <w:szCs w:val="22"/>
            </w:rPr>
          </w:pPr>
          <w:hyperlink w:anchor="_Toc356389367" w:history="1">
            <w:r w:rsidR="00682340" w:rsidRPr="00B46854">
              <w:rPr>
                <w:rStyle w:val="Hyperlink"/>
                <w:noProof/>
              </w:rPr>
              <w:t>c.</w:t>
            </w:r>
            <w:r w:rsidR="00682340">
              <w:rPr>
                <w:rFonts w:asciiTheme="minorHAnsi" w:eastAsiaTheme="minorEastAsia" w:hAnsiTheme="minorHAnsi" w:cstheme="minorBidi"/>
                <w:noProof/>
                <w:sz w:val="22"/>
                <w:szCs w:val="22"/>
              </w:rPr>
              <w:tab/>
            </w:r>
            <w:r w:rsidR="00682340" w:rsidRPr="00B46854">
              <w:rPr>
                <w:rStyle w:val="Hyperlink"/>
                <w:noProof/>
              </w:rPr>
              <w:t>Principles to guide future EPSG investments</w:t>
            </w:r>
            <w:r w:rsidR="00682340">
              <w:rPr>
                <w:noProof/>
                <w:webHidden/>
              </w:rPr>
              <w:tab/>
            </w:r>
            <w:r w:rsidR="00682340">
              <w:rPr>
                <w:noProof/>
                <w:webHidden/>
              </w:rPr>
              <w:fldChar w:fldCharType="begin"/>
            </w:r>
            <w:r w:rsidR="00682340">
              <w:rPr>
                <w:noProof/>
                <w:webHidden/>
              </w:rPr>
              <w:instrText xml:space="preserve"> PAGEREF _Toc356389367 \h </w:instrText>
            </w:r>
            <w:r w:rsidR="00682340">
              <w:rPr>
                <w:noProof/>
                <w:webHidden/>
              </w:rPr>
            </w:r>
            <w:r w:rsidR="00682340">
              <w:rPr>
                <w:noProof/>
                <w:webHidden/>
              </w:rPr>
              <w:fldChar w:fldCharType="separate"/>
            </w:r>
            <w:r w:rsidR="00F33341">
              <w:rPr>
                <w:noProof/>
                <w:webHidden/>
              </w:rPr>
              <w:t>18</w:t>
            </w:r>
            <w:r w:rsidR="00682340">
              <w:rPr>
                <w:noProof/>
                <w:webHidden/>
              </w:rPr>
              <w:fldChar w:fldCharType="end"/>
            </w:r>
          </w:hyperlink>
        </w:p>
        <w:p w:rsidR="00682340" w:rsidRDefault="005E7C68">
          <w:pPr>
            <w:pStyle w:val="TOC2"/>
            <w:rPr>
              <w:rFonts w:asciiTheme="minorHAnsi" w:eastAsiaTheme="minorEastAsia" w:hAnsiTheme="minorHAnsi" w:cstheme="minorBidi"/>
              <w:noProof/>
              <w:sz w:val="22"/>
              <w:szCs w:val="22"/>
            </w:rPr>
          </w:pPr>
          <w:hyperlink w:anchor="_Toc356389368" w:history="1">
            <w:r w:rsidR="00682340" w:rsidRPr="00B46854">
              <w:rPr>
                <w:rStyle w:val="Hyperlink"/>
                <w:noProof/>
              </w:rPr>
              <w:t>d.</w:t>
            </w:r>
            <w:r w:rsidR="00682340">
              <w:rPr>
                <w:rFonts w:asciiTheme="minorHAnsi" w:eastAsiaTheme="minorEastAsia" w:hAnsiTheme="minorHAnsi" w:cstheme="minorBidi"/>
                <w:noProof/>
                <w:sz w:val="22"/>
                <w:szCs w:val="22"/>
              </w:rPr>
              <w:tab/>
            </w:r>
            <w:r w:rsidR="00682340" w:rsidRPr="00B46854">
              <w:rPr>
                <w:rStyle w:val="Hyperlink"/>
                <w:noProof/>
              </w:rPr>
              <w:t>The role Tonga’s development partners are playing in the change process</w:t>
            </w:r>
            <w:r w:rsidR="00682340">
              <w:rPr>
                <w:noProof/>
                <w:webHidden/>
              </w:rPr>
              <w:tab/>
            </w:r>
            <w:r w:rsidR="00682340">
              <w:rPr>
                <w:noProof/>
                <w:webHidden/>
              </w:rPr>
              <w:fldChar w:fldCharType="begin"/>
            </w:r>
            <w:r w:rsidR="00682340">
              <w:rPr>
                <w:noProof/>
                <w:webHidden/>
              </w:rPr>
              <w:instrText xml:space="preserve"> PAGEREF _Toc356389368 \h </w:instrText>
            </w:r>
            <w:r w:rsidR="00682340">
              <w:rPr>
                <w:noProof/>
                <w:webHidden/>
              </w:rPr>
            </w:r>
            <w:r w:rsidR="00682340">
              <w:rPr>
                <w:noProof/>
                <w:webHidden/>
              </w:rPr>
              <w:fldChar w:fldCharType="separate"/>
            </w:r>
            <w:r w:rsidR="00F33341">
              <w:rPr>
                <w:noProof/>
                <w:webHidden/>
              </w:rPr>
              <w:t>19</w:t>
            </w:r>
            <w:r w:rsidR="00682340">
              <w:rPr>
                <w:noProof/>
                <w:webHidden/>
              </w:rPr>
              <w:fldChar w:fldCharType="end"/>
            </w:r>
          </w:hyperlink>
        </w:p>
        <w:p w:rsidR="00682340" w:rsidRDefault="005E7C68">
          <w:pPr>
            <w:pStyle w:val="TOC2"/>
            <w:rPr>
              <w:rFonts w:asciiTheme="minorHAnsi" w:eastAsiaTheme="minorEastAsia" w:hAnsiTheme="minorHAnsi" w:cstheme="minorBidi"/>
              <w:noProof/>
              <w:sz w:val="22"/>
              <w:szCs w:val="22"/>
            </w:rPr>
          </w:pPr>
          <w:hyperlink w:anchor="_Toc356389369" w:history="1">
            <w:r w:rsidR="00682340" w:rsidRPr="00B46854">
              <w:rPr>
                <w:rStyle w:val="Hyperlink"/>
                <w:noProof/>
              </w:rPr>
              <w:t>e.</w:t>
            </w:r>
            <w:r w:rsidR="00682340">
              <w:rPr>
                <w:rFonts w:asciiTheme="minorHAnsi" w:eastAsiaTheme="minorEastAsia" w:hAnsiTheme="minorHAnsi" w:cstheme="minorBidi"/>
                <w:noProof/>
                <w:sz w:val="22"/>
                <w:szCs w:val="22"/>
              </w:rPr>
              <w:tab/>
            </w:r>
            <w:r w:rsidR="00682340" w:rsidRPr="00B46854">
              <w:rPr>
                <w:rStyle w:val="Hyperlink"/>
                <w:noProof/>
              </w:rPr>
              <w:t>Policy dialogue</w:t>
            </w:r>
            <w:r w:rsidR="00682340">
              <w:rPr>
                <w:noProof/>
                <w:webHidden/>
              </w:rPr>
              <w:tab/>
            </w:r>
            <w:r w:rsidR="00682340">
              <w:rPr>
                <w:noProof/>
                <w:webHidden/>
              </w:rPr>
              <w:fldChar w:fldCharType="begin"/>
            </w:r>
            <w:r w:rsidR="00682340">
              <w:rPr>
                <w:noProof/>
                <w:webHidden/>
              </w:rPr>
              <w:instrText xml:space="preserve"> PAGEREF _Toc356389369 \h </w:instrText>
            </w:r>
            <w:r w:rsidR="00682340">
              <w:rPr>
                <w:noProof/>
                <w:webHidden/>
              </w:rPr>
            </w:r>
            <w:r w:rsidR="00682340">
              <w:rPr>
                <w:noProof/>
                <w:webHidden/>
              </w:rPr>
              <w:fldChar w:fldCharType="separate"/>
            </w:r>
            <w:r w:rsidR="00F33341">
              <w:rPr>
                <w:noProof/>
                <w:webHidden/>
              </w:rPr>
              <w:t>20</w:t>
            </w:r>
            <w:r w:rsidR="00682340">
              <w:rPr>
                <w:noProof/>
                <w:webHidden/>
              </w:rPr>
              <w:fldChar w:fldCharType="end"/>
            </w:r>
          </w:hyperlink>
        </w:p>
        <w:p w:rsidR="00682340" w:rsidRDefault="005E7C68">
          <w:pPr>
            <w:pStyle w:val="TOC2"/>
            <w:rPr>
              <w:rFonts w:asciiTheme="minorHAnsi" w:eastAsiaTheme="minorEastAsia" w:hAnsiTheme="minorHAnsi" w:cstheme="minorBidi"/>
              <w:noProof/>
              <w:sz w:val="22"/>
              <w:szCs w:val="22"/>
            </w:rPr>
          </w:pPr>
          <w:hyperlink w:anchor="_Toc356389370" w:history="1">
            <w:r w:rsidR="00682340" w:rsidRPr="00B46854">
              <w:rPr>
                <w:rStyle w:val="Hyperlink"/>
                <w:noProof/>
              </w:rPr>
              <w:t>f.</w:t>
            </w:r>
            <w:r w:rsidR="00682340">
              <w:rPr>
                <w:rFonts w:asciiTheme="minorHAnsi" w:eastAsiaTheme="minorEastAsia" w:hAnsiTheme="minorHAnsi" w:cstheme="minorBidi"/>
                <w:noProof/>
                <w:sz w:val="22"/>
                <w:szCs w:val="22"/>
              </w:rPr>
              <w:tab/>
            </w:r>
            <w:r w:rsidR="00682340" w:rsidRPr="00B46854">
              <w:rPr>
                <w:rStyle w:val="Hyperlink"/>
                <w:noProof/>
              </w:rPr>
              <w:t>Supporting cross-cutting aid issues</w:t>
            </w:r>
            <w:r w:rsidR="00682340">
              <w:rPr>
                <w:noProof/>
                <w:webHidden/>
              </w:rPr>
              <w:tab/>
            </w:r>
            <w:r w:rsidR="00682340">
              <w:rPr>
                <w:noProof/>
                <w:webHidden/>
              </w:rPr>
              <w:fldChar w:fldCharType="begin"/>
            </w:r>
            <w:r w:rsidR="00682340">
              <w:rPr>
                <w:noProof/>
                <w:webHidden/>
              </w:rPr>
              <w:instrText xml:space="preserve"> PAGEREF _Toc356389370 \h </w:instrText>
            </w:r>
            <w:r w:rsidR="00682340">
              <w:rPr>
                <w:noProof/>
                <w:webHidden/>
              </w:rPr>
            </w:r>
            <w:r w:rsidR="00682340">
              <w:rPr>
                <w:noProof/>
                <w:webHidden/>
              </w:rPr>
              <w:fldChar w:fldCharType="separate"/>
            </w:r>
            <w:r w:rsidR="00F33341">
              <w:rPr>
                <w:noProof/>
                <w:webHidden/>
              </w:rPr>
              <w:t>21</w:t>
            </w:r>
            <w:r w:rsidR="00682340">
              <w:rPr>
                <w:noProof/>
                <w:webHidden/>
              </w:rPr>
              <w:fldChar w:fldCharType="end"/>
            </w:r>
          </w:hyperlink>
        </w:p>
        <w:p w:rsidR="00682340" w:rsidRDefault="005E7C68">
          <w:pPr>
            <w:pStyle w:val="TOC1"/>
            <w:rPr>
              <w:rFonts w:asciiTheme="minorHAnsi" w:eastAsiaTheme="minorEastAsia" w:hAnsiTheme="minorHAnsi" w:cstheme="minorBidi"/>
              <w:sz w:val="22"/>
              <w:szCs w:val="22"/>
            </w:rPr>
          </w:pPr>
          <w:hyperlink w:anchor="_Toc356389371" w:history="1">
            <w:r w:rsidR="00682340" w:rsidRPr="00B46854">
              <w:rPr>
                <w:rStyle w:val="Hyperlink"/>
              </w:rPr>
              <w:t>5.</w:t>
            </w:r>
            <w:r w:rsidR="00682340">
              <w:rPr>
                <w:rFonts w:asciiTheme="minorHAnsi" w:eastAsiaTheme="minorEastAsia" w:hAnsiTheme="minorHAnsi" w:cstheme="minorBidi"/>
                <w:sz w:val="22"/>
                <w:szCs w:val="22"/>
              </w:rPr>
              <w:tab/>
            </w:r>
            <w:r w:rsidR="00682340" w:rsidRPr="00B46854">
              <w:rPr>
                <w:rStyle w:val="Hyperlink"/>
              </w:rPr>
              <w:t>How Australia will deliver its support</w:t>
            </w:r>
            <w:r w:rsidR="00682340">
              <w:rPr>
                <w:webHidden/>
              </w:rPr>
              <w:tab/>
            </w:r>
            <w:r w:rsidR="00682340">
              <w:rPr>
                <w:webHidden/>
              </w:rPr>
              <w:fldChar w:fldCharType="begin"/>
            </w:r>
            <w:r w:rsidR="00682340">
              <w:rPr>
                <w:webHidden/>
              </w:rPr>
              <w:instrText xml:space="preserve"> PAGEREF _Toc356389371 \h </w:instrText>
            </w:r>
            <w:r w:rsidR="00682340">
              <w:rPr>
                <w:webHidden/>
              </w:rPr>
            </w:r>
            <w:r w:rsidR="00682340">
              <w:rPr>
                <w:webHidden/>
              </w:rPr>
              <w:fldChar w:fldCharType="separate"/>
            </w:r>
            <w:r w:rsidR="00F33341">
              <w:rPr>
                <w:webHidden/>
              </w:rPr>
              <w:t>22</w:t>
            </w:r>
            <w:r w:rsidR="00682340">
              <w:rPr>
                <w:webHidden/>
              </w:rPr>
              <w:fldChar w:fldCharType="end"/>
            </w:r>
          </w:hyperlink>
        </w:p>
        <w:p w:rsidR="00682340" w:rsidRDefault="005E7C68">
          <w:pPr>
            <w:pStyle w:val="TOC3"/>
            <w:rPr>
              <w:rFonts w:asciiTheme="minorHAnsi" w:eastAsiaTheme="minorEastAsia" w:hAnsiTheme="minorHAnsi" w:cstheme="minorBidi"/>
              <w:noProof/>
              <w:sz w:val="22"/>
              <w:szCs w:val="22"/>
            </w:rPr>
          </w:pPr>
          <w:hyperlink w:anchor="_Toc356389372" w:history="1">
            <w:r w:rsidR="00682340" w:rsidRPr="00B46854">
              <w:rPr>
                <w:rStyle w:val="Hyperlink"/>
                <w:noProof/>
              </w:rPr>
              <w:t>Outcome 1: Public sector governance</w:t>
            </w:r>
            <w:r w:rsidR="00682340">
              <w:rPr>
                <w:noProof/>
                <w:webHidden/>
              </w:rPr>
              <w:tab/>
            </w:r>
            <w:r w:rsidR="00682340">
              <w:rPr>
                <w:noProof/>
                <w:webHidden/>
              </w:rPr>
              <w:fldChar w:fldCharType="begin"/>
            </w:r>
            <w:r w:rsidR="00682340">
              <w:rPr>
                <w:noProof/>
                <w:webHidden/>
              </w:rPr>
              <w:instrText xml:space="preserve"> PAGEREF _Toc356389372 \h </w:instrText>
            </w:r>
            <w:r w:rsidR="00682340">
              <w:rPr>
                <w:noProof/>
                <w:webHidden/>
              </w:rPr>
            </w:r>
            <w:r w:rsidR="00682340">
              <w:rPr>
                <w:noProof/>
                <w:webHidden/>
              </w:rPr>
              <w:fldChar w:fldCharType="separate"/>
            </w:r>
            <w:r w:rsidR="00F33341">
              <w:rPr>
                <w:noProof/>
                <w:webHidden/>
              </w:rPr>
              <w:t>23</w:t>
            </w:r>
            <w:r w:rsidR="00682340">
              <w:rPr>
                <w:noProof/>
                <w:webHidden/>
              </w:rPr>
              <w:fldChar w:fldCharType="end"/>
            </w:r>
          </w:hyperlink>
        </w:p>
        <w:p w:rsidR="00682340" w:rsidRDefault="005E7C68">
          <w:pPr>
            <w:pStyle w:val="TOC3"/>
            <w:rPr>
              <w:rFonts w:asciiTheme="minorHAnsi" w:eastAsiaTheme="minorEastAsia" w:hAnsiTheme="minorHAnsi" w:cstheme="minorBidi"/>
              <w:noProof/>
              <w:sz w:val="22"/>
              <w:szCs w:val="22"/>
            </w:rPr>
          </w:pPr>
          <w:hyperlink w:anchor="_Toc356389373" w:history="1">
            <w:r w:rsidR="00682340" w:rsidRPr="00B46854">
              <w:rPr>
                <w:rStyle w:val="Hyperlink"/>
                <w:noProof/>
              </w:rPr>
              <w:t>Outcome 2: Economic and financial governance</w:t>
            </w:r>
            <w:r w:rsidR="00682340">
              <w:rPr>
                <w:noProof/>
                <w:webHidden/>
              </w:rPr>
              <w:tab/>
            </w:r>
            <w:r w:rsidR="00682340">
              <w:rPr>
                <w:noProof/>
                <w:webHidden/>
              </w:rPr>
              <w:fldChar w:fldCharType="begin"/>
            </w:r>
            <w:r w:rsidR="00682340">
              <w:rPr>
                <w:noProof/>
                <w:webHidden/>
              </w:rPr>
              <w:instrText xml:space="preserve"> PAGEREF _Toc356389373 \h </w:instrText>
            </w:r>
            <w:r w:rsidR="00682340">
              <w:rPr>
                <w:noProof/>
                <w:webHidden/>
              </w:rPr>
            </w:r>
            <w:r w:rsidR="00682340">
              <w:rPr>
                <w:noProof/>
                <w:webHidden/>
              </w:rPr>
              <w:fldChar w:fldCharType="separate"/>
            </w:r>
            <w:r w:rsidR="00F33341">
              <w:rPr>
                <w:noProof/>
                <w:webHidden/>
              </w:rPr>
              <w:t>24</w:t>
            </w:r>
            <w:r w:rsidR="00682340">
              <w:rPr>
                <w:noProof/>
                <w:webHidden/>
              </w:rPr>
              <w:fldChar w:fldCharType="end"/>
            </w:r>
          </w:hyperlink>
        </w:p>
        <w:p w:rsidR="00682340" w:rsidRDefault="005E7C68">
          <w:pPr>
            <w:pStyle w:val="TOC3"/>
            <w:rPr>
              <w:rFonts w:asciiTheme="minorHAnsi" w:eastAsiaTheme="minorEastAsia" w:hAnsiTheme="minorHAnsi" w:cstheme="minorBidi"/>
              <w:noProof/>
              <w:sz w:val="22"/>
              <w:szCs w:val="22"/>
            </w:rPr>
          </w:pPr>
          <w:hyperlink w:anchor="_Toc356389374" w:history="1">
            <w:r w:rsidR="00682340" w:rsidRPr="00B46854">
              <w:rPr>
                <w:rStyle w:val="Hyperlink"/>
                <w:noProof/>
              </w:rPr>
              <w:t>Outcome 3: Business enabling environment</w:t>
            </w:r>
            <w:r w:rsidR="00682340">
              <w:rPr>
                <w:noProof/>
                <w:webHidden/>
              </w:rPr>
              <w:tab/>
            </w:r>
            <w:r w:rsidR="00682340">
              <w:rPr>
                <w:noProof/>
                <w:webHidden/>
              </w:rPr>
              <w:fldChar w:fldCharType="begin"/>
            </w:r>
            <w:r w:rsidR="00682340">
              <w:rPr>
                <w:noProof/>
                <w:webHidden/>
              </w:rPr>
              <w:instrText xml:space="preserve"> PAGEREF _Toc356389374 \h </w:instrText>
            </w:r>
            <w:r w:rsidR="00682340">
              <w:rPr>
                <w:noProof/>
                <w:webHidden/>
              </w:rPr>
            </w:r>
            <w:r w:rsidR="00682340">
              <w:rPr>
                <w:noProof/>
                <w:webHidden/>
              </w:rPr>
              <w:fldChar w:fldCharType="separate"/>
            </w:r>
            <w:r w:rsidR="00F33341">
              <w:rPr>
                <w:noProof/>
                <w:webHidden/>
              </w:rPr>
              <w:t>27</w:t>
            </w:r>
            <w:r w:rsidR="00682340">
              <w:rPr>
                <w:noProof/>
                <w:webHidden/>
              </w:rPr>
              <w:fldChar w:fldCharType="end"/>
            </w:r>
          </w:hyperlink>
        </w:p>
        <w:p w:rsidR="00682340" w:rsidRDefault="005E7C68">
          <w:pPr>
            <w:pStyle w:val="TOC3"/>
            <w:rPr>
              <w:rFonts w:asciiTheme="minorHAnsi" w:eastAsiaTheme="minorEastAsia" w:hAnsiTheme="minorHAnsi" w:cstheme="minorBidi"/>
              <w:noProof/>
              <w:sz w:val="22"/>
              <w:szCs w:val="22"/>
            </w:rPr>
          </w:pPr>
          <w:hyperlink w:anchor="_Toc356389375" w:history="1">
            <w:r w:rsidR="00682340" w:rsidRPr="00B46854">
              <w:rPr>
                <w:rStyle w:val="Hyperlink"/>
                <w:noProof/>
              </w:rPr>
              <w:t>Outcome 4: Effective aid through alignment, harmonisation and mutual accountability</w:t>
            </w:r>
            <w:r w:rsidR="00682340">
              <w:rPr>
                <w:noProof/>
                <w:webHidden/>
              </w:rPr>
              <w:tab/>
            </w:r>
            <w:r w:rsidR="00682340">
              <w:rPr>
                <w:noProof/>
                <w:webHidden/>
              </w:rPr>
              <w:fldChar w:fldCharType="begin"/>
            </w:r>
            <w:r w:rsidR="00682340">
              <w:rPr>
                <w:noProof/>
                <w:webHidden/>
              </w:rPr>
              <w:instrText xml:space="preserve"> PAGEREF _Toc356389375 \h </w:instrText>
            </w:r>
            <w:r w:rsidR="00682340">
              <w:rPr>
                <w:noProof/>
                <w:webHidden/>
              </w:rPr>
            </w:r>
            <w:r w:rsidR="00682340">
              <w:rPr>
                <w:noProof/>
                <w:webHidden/>
              </w:rPr>
              <w:fldChar w:fldCharType="separate"/>
            </w:r>
            <w:r w:rsidR="00F33341">
              <w:rPr>
                <w:noProof/>
                <w:webHidden/>
              </w:rPr>
              <w:t>27</w:t>
            </w:r>
            <w:r w:rsidR="00682340">
              <w:rPr>
                <w:noProof/>
                <w:webHidden/>
              </w:rPr>
              <w:fldChar w:fldCharType="end"/>
            </w:r>
          </w:hyperlink>
        </w:p>
        <w:p w:rsidR="00682340" w:rsidRDefault="005E7C68">
          <w:pPr>
            <w:pStyle w:val="TOC3"/>
            <w:rPr>
              <w:rFonts w:asciiTheme="minorHAnsi" w:eastAsiaTheme="minorEastAsia" w:hAnsiTheme="minorHAnsi" w:cstheme="minorBidi"/>
              <w:noProof/>
              <w:sz w:val="22"/>
              <w:szCs w:val="22"/>
            </w:rPr>
          </w:pPr>
          <w:hyperlink w:anchor="_Toc356389376" w:history="1">
            <w:r w:rsidR="00682340" w:rsidRPr="00B46854">
              <w:rPr>
                <w:rStyle w:val="Hyperlink"/>
                <w:noProof/>
              </w:rPr>
              <w:t>Political governance</w:t>
            </w:r>
            <w:r w:rsidR="00682340">
              <w:rPr>
                <w:noProof/>
                <w:webHidden/>
              </w:rPr>
              <w:tab/>
            </w:r>
            <w:r w:rsidR="00682340">
              <w:rPr>
                <w:noProof/>
                <w:webHidden/>
              </w:rPr>
              <w:fldChar w:fldCharType="begin"/>
            </w:r>
            <w:r w:rsidR="00682340">
              <w:rPr>
                <w:noProof/>
                <w:webHidden/>
              </w:rPr>
              <w:instrText xml:space="preserve"> PAGEREF _Toc356389376 \h </w:instrText>
            </w:r>
            <w:r w:rsidR="00682340">
              <w:rPr>
                <w:noProof/>
                <w:webHidden/>
              </w:rPr>
            </w:r>
            <w:r w:rsidR="00682340">
              <w:rPr>
                <w:noProof/>
                <w:webHidden/>
              </w:rPr>
              <w:fldChar w:fldCharType="separate"/>
            </w:r>
            <w:r w:rsidR="00F33341">
              <w:rPr>
                <w:noProof/>
                <w:webHidden/>
              </w:rPr>
              <w:t>28</w:t>
            </w:r>
            <w:r w:rsidR="00682340">
              <w:rPr>
                <w:noProof/>
                <w:webHidden/>
              </w:rPr>
              <w:fldChar w:fldCharType="end"/>
            </w:r>
          </w:hyperlink>
        </w:p>
        <w:p w:rsidR="00682340" w:rsidRDefault="005E7C68">
          <w:pPr>
            <w:pStyle w:val="TOC1"/>
            <w:rPr>
              <w:rFonts w:asciiTheme="minorHAnsi" w:eastAsiaTheme="minorEastAsia" w:hAnsiTheme="minorHAnsi" w:cstheme="minorBidi"/>
              <w:sz w:val="22"/>
              <w:szCs w:val="22"/>
            </w:rPr>
          </w:pPr>
          <w:hyperlink w:anchor="_Toc356389377" w:history="1">
            <w:r w:rsidR="00682340" w:rsidRPr="00B46854">
              <w:rPr>
                <w:rStyle w:val="Hyperlink"/>
              </w:rPr>
              <w:t>6.</w:t>
            </w:r>
            <w:r w:rsidR="00682340">
              <w:rPr>
                <w:rFonts w:asciiTheme="minorHAnsi" w:eastAsiaTheme="minorEastAsia" w:hAnsiTheme="minorHAnsi" w:cstheme="minorBidi"/>
                <w:sz w:val="22"/>
                <w:szCs w:val="22"/>
              </w:rPr>
              <w:tab/>
            </w:r>
            <w:r w:rsidR="00682340" w:rsidRPr="00B46854">
              <w:rPr>
                <w:rStyle w:val="Hyperlink"/>
              </w:rPr>
              <w:t>Strategy management</w:t>
            </w:r>
            <w:r w:rsidR="00682340">
              <w:rPr>
                <w:webHidden/>
              </w:rPr>
              <w:tab/>
            </w:r>
            <w:r w:rsidR="00682340">
              <w:rPr>
                <w:webHidden/>
              </w:rPr>
              <w:fldChar w:fldCharType="begin"/>
            </w:r>
            <w:r w:rsidR="00682340">
              <w:rPr>
                <w:webHidden/>
              </w:rPr>
              <w:instrText xml:space="preserve"> PAGEREF _Toc356389377 \h </w:instrText>
            </w:r>
            <w:r w:rsidR="00682340">
              <w:rPr>
                <w:webHidden/>
              </w:rPr>
            </w:r>
            <w:r w:rsidR="00682340">
              <w:rPr>
                <w:webHidden/>
              </w:rPr>
              <w:fldChar w:fldCharType="separate"/>
            </w:r>
            <w:r w:rsidR="00F33341">
              <w:rPr>
                <w:webHidden/>
              </w:rPr>
              <w:t>28</w:t>
            </w:r>
            <w:r w:rsidR="00682340">
              <w:rPr>
                <w:webHidden/>
              </w:rPr>
              <w:fldChar w:fldCharType="end"/>
            </w:r>
          </w:hyperlink>
        </w:p>
        <w:p w:rsidR="00682340" w:rsidRDefault="005E7C68">
          <w:pPr>
            <w:pStyle w:val="TOC2"/>
            <w:rPr>
              <w:rFonts w:asciiTheme="minorHAnsi" w:eastAsiaTheme="minorEastAsia" w:hAnsiTheme="minorHAnsi" w:cstheme="minorBidi"/>
              <w:noProof/>
              <w:sz w:val="22"/>
              <w:szCs w:val="22"/>
            </w:rPr>
          </w:pPr>
          <w:hyperlink w:anchor="_Toc356389378" w:history="1">
            <w:r w:rsidR="00682340" w:rsidRPr="00B46854">
              <w:rPr>
                <w:rStyle w:val="Hyperlink"/>
                <w:noProof/>
              </w:rPr>
              <w:t>a.</w:t>
            </w:r>
            <w:r w:rsidR="00682340">
              <w:rPr>
                <w:rFonts w:asciiTheme="minorHAnsi" w:eastAsiaTheme="minorEastAsia" w:hAnsiTheme="minorHAnsi" w:cstheme="minorBidi"/>
                <w:noProof/>
                <w:sz w:val="22"/>
                <w:szCs w:val="22"/>
              </w:rPr>
              <w:tab/>
            </w:r>
            <w:r w:rsidR="00682340" w:rsidRPr="00B46854">
              <w:rPr>
                <w:rStyle w:val="Hyperlink"/>
                <w:noProof/>
              </w:rPr>
              <w:t>Managing and coordinating the strategy and portfolio</w:t>
            </w:r>
            <w:r w:rsidR="00682340">
              <w:rPr>
                <w:noProof/>
                <w:webHidden/>
              </w:rPr>
              <w:tab/>
            </w:r>
            <w:r w:rsidR="00682340">
              <w:rPr>
                <w:noProof/>
                <w:webHidden/>
              </w:rPr>
              <w:fldChar w:fldCharType="begin"/>
            </w:r>
            <w:r w:rsidR="00682340">
              <w:rPr>
                <w:noProof/>
                <w:webHidden/>
              </w:rPr>
              <w:instrText xml:space="preserve"> PAGEREF _Toc356389378 \h </w:instrText>
            </w:r>
            <w:r w:rsidR="00682340">
              <w:rPr>
                <w:noProof/>
                <w:webHidden/>
              </w:rPr>
            </w:r>
            <w:r w:rsidR="00682340">
              <w:rPr>
                <w:noProof/>
                <w:webHidden/>
              </w:rPr>
              <w:fldChar w:fldCharType="separate"/>
            </w:r>
            <w:r w:rsidR="00F33341">
              <w:rPr>
                <w:noProof/>
                <w:webHidden/>
              </w:rPr>
              <w:t>28</w:t>
            </w:r>
            <w:r w:rsidR="00682340">
              <w:rPr>
                <w:noProof/>
                <w:webHidden/>
              </w:rPr>
              <w:fldChar w:fldCharType="end"/>
            </w:r>
          </w:hyperlink>
        </w:p>
        <w:p w:rsidR="00682340" w:rsidRDefault="005E7C68">
          <w:pPr>
            <w:pStyle w:val="TOC2"/>
            <w:rPr>
              <w:rFonts w:asciiTheme="minorHAnsi" w:eastAsiaTheme="minorEastAsia" w:hAnsiTheme="minorHAnsi" w:cstheme="minorBidi"/>
              <w:noProof/>
              <w:sz w:val="22"/>
              <w:szCs w:val="22"/>
            </w:rPr>
          </w:pPr>
          <w:hyperlink w:anchor="_Toc356389379" w:history="1">
            <w:r w:rsidR="00682340" w:rsidRPr="00B46854">
              <w:rPr>
                <w:rStyle w:val="Hyperlink"/>
                <w:noProof/>
              </w:rPr>
              <w:t>b.</w:t>
            </w:r>
            <w:r w:rsidR="00682340">
              <w:rPr>
                <w:rFonts w:asciiTheme="minorHAnsi" w:eastAsiaTheme="minorEastAsia" w:hAnsiTheme="minorHAnsi" w:cstheme="minorBidi"/>
                <w:noProof/>
                <w:sz w:val="22"/>
                <w:szCs w:val="22"/>
              </w:rPr>
              <w:tab/>
            </w:r>
            <w:r w:rsidR="00682340" w:rsidRPr="00B46854">
              <w:rPr>
                <w:rStyle w:val="Hyperlink"/>
                <w:noProof/>
              </w:rPr>
              <w:t>Transition planning from the existing program to the new program</w:t>
            </w:r>
            <w:r w:rsidR="00682340">
              <w:rPr>
                <w:noProof/>
                <w:webHidden/>
              </w:rPr>
              <w:tab/>
            </w:r>
            <w:r w:rsidR="00682340">
              <w:rPr>
                <w:noProof/>
                <w:webHidden/>
              </w:rPr>
              <w:fldChar w:fldCharType="begin"/>
            </w:r>
            <w:r w:rsidR="00682340">
              <w:rPr>
                <w:noProof/>
                <w:webHidden/>
              </w:rPr>
              <w:instrText xml:space="preserve"> PAGEREF _Toc356389379 \h </w:instrText>
            </w:r>
            <w:r w:rsidR="00682340">
              <w:rPr>
                <w:noProof/>
                <w:webHidden/>
              </w:rPr>
            </w:r>
            <w:r w:rsidR="00682340">
              <w:rPr>
                <w:noProof/>
                <w:webHidden/>
              </w:rPr>
              <w:fldChar w:fldCharType="separate"/>
            </w:r>
            <w:r w:rsidR="00F33341">
              <w:rPr>
                <w:noProof/>
                <w:webHidden/>
              </w:rPr>
              <w:t>28</w:t>
            </w:r>
            <w:r w:rsidR="00682340">
              <w:rPr>
                <w:noProof/>
                <w:webHidden/>
              </w:rPr>
              <w:fldChar w:fldCharType="end"/>
            </w:r>
          </w:hyperlink>
        </w:p>
        <w:p w:rsidR="00682340" w:rsidRDefault="005E7C68">
          <w:pPr>
            <w:pStyle w:val="TOC2"/>
            <w:rPr>
              <w:rFonts w:asciiTheme="minorHAnsi" w:eastAsiaTheme="minorEastAsia" w:hAnsiTheme="minorHAnsi" w:cstheme="minorBidi"/>
              <w:noProof/>
              <w:sz w:val="22"/>
              <w:szCs w:val="22"/>
            </w:rPr>
          </w:pPr>
          <w:hyperlink w:anchor="_Toc356389380" w:history="1">
            <w:r w:rsidR="00682340" w:rsidRPr="00B46854">
              <w:rPr>
                <w:rStyle w:val="Hyperlink"/>
                <w:noProof/>
              </w:rPr>
              <w:t>c.</w:t>
            </w:r>
            <w:r w:rsidR="00682340">
              <w:rPr>
                <w:rFonts w:asciiTheme="minorHAnsi" w:eastAsiaTheme="minorEastAsia" w:hAnsiTheme="minorHAnsi" w:cstheme="minorBidi"/>
                <w:noProof/>
                <w:sz w:val="22"/>
                <w:szCs w:val="22"/>
              </w:rPr>
              <w:tab/>
            </w:r>
            <w:r w:rsidR="00682340" w:rsidRPr="00B46854">
              <w:rPr>
                <w:rStyle w:val="Hyperlink"/>
                <w:noProof/>
              </w:rPr>
              <w:t>Resource implications</w:t>
            </w:r>
            <w:r w:rsidR="00682340">
              <w:rPr>
                <w:noProof/>
                <w:webHidden/>
              </w:rPr>
              <w:tab/>
            </w:r>
            <w:r w:rsidR="00682340">
              <w:rPr>
                <w:noProof/>
                <w:webHidden/>
              </w:rPr>
              <w:fldChar w:fldCharType="begin"/>
            </w:r>
            <w:r w:rsidR="00682340">
              <w:rPr>
                <w:noProof/>
                <w:webHidden/>
              </w:rPr>
              <w:instrText xml:space="preserve"> PAGEREF _Toc356389380 \h </w:instrText>
            </w:r>
            <w:r w:rsidR="00682340">
              <w:rPr>
                <w:noProof/>
                <w:webHidden/>
              </w:rPr>
            </w:r>
            <w:r w:rsidR="00682340">
              <w:rPr>
                <w:noProof/>
                <w:webHidden/>
              </w:rPr>
              <w:fldChar w:fldCharType="separate"/>
            </w:r>
            <w:r w:rsidR="00F33341">
              <w:rPr>
                <w:noProof/>
                <w:webHidden/>
              </w:rPr>
              <w:t>29</w:t>
            </w:r>
            <w:r w:rsidR="00682340">
              <w:rPr>
                <w:noProof/>
                <w:webHidden/>
              </w:rPr>
              <w:fldChar w:fldCharType="end"/>
            </w:r>
          </w:hyperlink>
        </w:p>
        <w:p w:rsidR="00682340" w:rsidRDefault="005E7C68">
          <w:pPr>
            <w:pStyle w:val="TOC2"/>
            <w:rPr>
              <w:rFonts w:asciiTheme="minorHAnsi" w:eastAsiaTheme="minorEastAsia" w:hAnsiTheme="minorHAnsi" w:cstheme="minorBidi"/>
              <w:noProof/>
              <w:sz w:val="22"/>
              <w:szCs w:val="22"/>
            </w:rPr>
          </w:pPr>
          <w:hyperlink w:anchor="_Toc356389381" w:history="1">
            <w:r w:rsidR="00682340" w:rsidRPr="00B46854">
              <w:rPr>
                <w:rStyle w:val="Hyperlink"/>
                <w:noProof/>
              </w:rPr>
              <w:t>d.</w:t>
            </w:r>
            <w:r w:rsidR="00682340">
              <w:rPr>
                <w:rFonts w:asciiTheme="minorHAnsi" w:eastAsiaTheme="minorEastAsia" w:hAnsiTheme="minorHAnsi" w:cstheme="minorBidi"/>
                <w:noProof/>
                <w:sz w:val="22"/>
                <w:szCs w:val="22"/>
              </w:rPr>
              <w:tab/>
            </w:r>
            <w:r w:rsidR="00682340" w:rsidRPr="00B46854">
              <w:rPr>
                <w:rStyle w:val="Hyperlink"/>
                <w:noProof/>
              </w:rPr>
              <w:t>Monitoring and evaluation</w:t>
            </w:r>
            <w:r w:rsidR="00682340">
              <w:rPr>
                <w:noProof/>
                <w:webHidden/>
              </w:rPr>
              <w:tab/>
            </w:r>
            <w:r w:rsidR="00682340">
              <w:rPr>
                <w:noProof/>
                <w:webHidden/>
              </w:rPr>
              <w:fldChar w:fldCharType="begin"/>
            </w:r>
            <w:r w:rsidR="00682340">
              <w:rPr>
                <w:noProof/>
                <w:webHidden/>
              </w:rPr>
              <w:instrText xml:space="preserve"> PAGEREF _Toc356389381 \h </w:instrText>
            </w:r>
            <w:r w:rsidR="00682340">
              <w:rPr>
                <w:noProof/>
                <w:webHidden/>
              </w:rPr>
            </w:r>
            <w:r w:rsidR="00682340">
              <w:rPr>
                <w:noProof/>
                <w:webHidden/>
              </w:rPr>
              <w:fldChar w:fldCharType="separate"/>
            </w:r>
            <w:r w:rsidR="00F33341">
              <w:rPr>
                <w:noProof/>
                <w:webHidden/>
              </w:rPr>
              <w:t>30</w:t>
            </w:r>
            <w:r w:rsidR="00682340">
              <w:rPr>
                <w:noProof/>
                <w:webHidden/>
              </w:rPr>
              <w:fldChar w:fldCharType="end"/>
            </w:r>
          </w:hyperlink>
        </w:p>
        <w:p w:rsidR="00682340" w:rsidRDefault="005E7C68">
          <w:pPr>
            <w:pStyle w:val="TOC2"/>
            <w:rPr>
              <w:rFonts w:asciiTheme="minorHAnsi" w:eastAsiaTheme="minorEastAsia" w:hAnsiTheme="minorHAnsi" w:cstheme="minorBidi"/>
              <w:noProof/>
              <w:sz w:val="22"/>
              <w:szCs w:val="22"/>
            </w:rPr>
          </w:pPr>
          <w:hyperlink w:anchor="_Toc356389382" w:history="1">
            <w:r w:rsidR="00682340" w:rsidRPr="00B46854">
              <w:rPr>
                <w:rStyle w:val="Hyperlink"/>
                <w:noProof/>
              </w:rPr>
              <w:t>e.</w:t>
            </w:r>
            <w:r w:rsidR="00682340">
              <w:rPr>
                <w:rFonts w:asciiTheme="minorHAnsi" w:eastAsiaTheme="minorEastAsia" w:hAnsiTheme="minorHAnsi" w:cstheme="minorBidi"/>
                <w:noProof/>
                <w:sz w:val="22"/>
                <w:szCs w:val="22"/>
              </w:rPr>
              <w:tab/>
            </w:r>
            <w:r w:rsidR="00682340" w:rsidRPr="00B46854">
              <w:rPr>
                <w:rStyle w:val="Hyperlink"/>
                <w:noProof/>
              </w:rPr>
              <w:t>Risk management</w:t>
            </w:r>
            <w:r w:rsidR="00682340">
              <w:rPr>
                <w:noProof/>
                <w:webHidden/>
              </w:rPr>
              <w:tab/>
            </w:r>
            <w:r w:rsidR="00682340">
              <w:rPr>
                <w:noProof/>
                <w:webHidden/>
              </w:rPr>
              <w:fldChar w:fldCharType="begin"/>
            </w:r>
            <w:r w:rsidR="00682340">
              <w:rPr>
                <w:noProof/>
                <w:webHidden/>
              </w:rPr>
              <w:instrText xml:space="preserve"> PAGEREF _Toc356389382 \h </w:instrText>
            </w:r>
            <w:r w:rsidR="00682340">
              <w:rPr>
                <w:noProof/>
                <w:webHidden/>
              </w:rPr>
            </w:r>
            <w:r w:rsidR="00682340">
              <w:rPr>
                <w:noProof/>
                <w:webHidden/>
              </w:rPr>
              <w:fldChar w:fldCharType="separate"/>
            </w:r>
            <w:r w:rsidR="00F33341">
              <w:rPr>
                <w:noProof/>
                <w:webHidden/>
              </w:rPr>
              <w:t>32</w:t>
            </w:r>
            <w:r w:rsidR="00682340">
              <w:rPr>
                <w:noProof/>
                <w:webHidden/>
              </w:rPr>
              <w:fldChar w:fldCharType="end"/>
            </w:r>
          </w:hyperlink>
        </w:p>
        <w:p w:rsidR="00682340" w:rsidRPr="00682340" w:rsidRDefault="005E7C68">
          <w:pPr>
            <w:pStyle w:val="TOC1"/>
            <w:rPr>
              <w:rFonts w:asciiTheme="minorHAnsi" w:eastAsiaTheme="minorEastAsia" w:hAnsiTheme="minorHAnsi" w:cstheme="minorBidi"/>
              <w:b/>
              <w:szCs w:val="22"/>
            </w:rPr>
          </w:pPr>
          <w:hyperlink w:anchor="_Toc356389383" w:history="1">
            <w:r w:rsidR="00682340" w:rsidRPr="00682340">
              <w:rPr>
                <w:rStyle w:val="Hyperlink"/>
                <w:b/>
                <w:sz w:val="28"/>
              </w:rPr>
              <w:t>Annexes</w:t>
            </w:r>
          </w:hyperlink>
        </w:p>
        <w:p w:rsidR="00682340" w:rsidRDefault="005E7C68">
          <w:pPr>
            <w:pStyle w:val="TOC1"/>
            <w:rPr>
              <w:rFonts w:asciiTheme="minorHAnsi" w:eastAsiaTheme="minorEastAsia" w:hAnsiTheme="minorHAnsi" w:cstheme="minorBidi"/>
              <w:sz w:val="22"/>
              <w:szCs w:val="22"/>
            </w:rPr>
          </w:pPr>
          <w:hyperlink w:anchor="_Toc356389384" w:history="1">
            <w:r w:rsidR="00682340" w:rsidRPr="00B46854">
              <w:rPr>
                <w:rStyle w:val="Hyperlink"/>
              </w:rPr>
              <w:t>Annex 1: Tonga Economic and Public Sector Governance Performance Assessment Framework</w:t>
            </w:r>
            <w:r w:rsidR="00682340">
              <w:rPr>
                <w:webHidden/>
              </w:rPr>
              <w:tab/>
            </w:r>
            <w:r w:rsidR="00682340">
              <w:rPr>
                <w:webHidden/>
              </w:rPr>
              <w:fldChar w:fldCharType="begin"/>
            </w:r>
            <w:r w:rsidR="00682340">
              <w:rPr>
                <w:webHidden/>
              </w:rPr>
              <w:instrText xml:space="preserve"> PAGEREF _Toc356389384 \h </w:instrText>
            </w:r>
            <w:r w:rsidR="00682340">
              <w:rPr>
                <w:webHidden/>
              </w:rPr>
            </w:r>
            <w:r w:rsidR="00682340">
              <w:rPr>
                <w:webHidden/>
              </w:rPr>
              <w:fldChar w:fldCharType="separate"/>
            </w:r>
            <w:r w:rsidR="00F33341">
              <w:rPr>
                <w:webHidden/>
              </w:rPr>
              <w:t>34</w:t>
            </w:r>
            <w:r w:rsidR="00682340">
              <w:rPr>
                <w:webHidden/>
              </w:rPr>
              <w:fldChar w:fldCharType="end"/>
            </w:r>
          </w:hyperlink>
        </w:p>
        <w:p w:rsidR="00682340" w:rsidRDefault="005E7C68">
          <w:pPr>
            <w:pStyle w:val="TOC2"/>
            <w:rPr>
              <w:rFonts w:asciiTheme="minorHAnsi" w:eastAsiaTheme="minorEastAsia" w:hAnsiTheme="minorHAnsi" w:cstheme="minorBidi"/>
              <w:noProof/>
              <w:sz w:val="22"/>
              <w:szCs w:val="22"/>
            </w:rPr>
          </w:pPr>
          <w:hyperlink w:anchor="_Toc356389385" w:history="1">
            <w:r w:rsidR="00682340" w:rsidRPr="00B46854">
              <w:rPr>
                <w:rStyle w:val="Hyperlink"/>
                <w:noProof/>
                <w:lang w:val="en-GB"/>
              </w:rPr>
              <w:t>1.1</w:t>
            </w:r>
            <w:r w:rsidR="00682340">
              <w:rPr>
                <w:rFonts w:asciiTheme="minorHAnsi" w:eastAsiaTheme="minorEastAsia" w:hAnsiTheme="minorHAnsi" w:cstheme="minorBidi"/>
                <w:noProof/>
                <w:sz w:val="22"/>
                <w:szCs w:val="22"/>
              </w:rPr>
              <w:tab/>
            </w:r>
            <w:r w:rsidR="00682340" w:rsidRPr="00B46854">
              <w:rPr>
                <w:rStyle w:val="Hyperlink"/>
                <w:noProof/>
                <w:lang w:val="en-GB"/>
              </w:rPr>
              <w:t>Objectives and outcomes</w:t>
            </w:r>
            <w:r w:rsidR="00682340">
              <w:rPr>
                <w:noProof/>
                <w:webHidden/>
              </w:rPr>
              <w:tab/>
            </w:r>
            <w:r w:rsidR="00682340">
              <w:rPr>
                <w:noProof/>
                <w:webHidden/>
              </w:rPr>
              <w:fldChar w:fldCharType="begin"/>
            </w:r>
            <w:r w:rsidR="00682340">
              <w:rPr>
                <w:noProof/>
                <w:webHidden/>
              </w:rPr>
              <w:instrText xml:space="preserve"> PAGEREF _Toc356389385 \h </w:instrText>
            </w:r>
            <w:r w:rsidR="00682340">
              <w:rPr>
                <w:noProof/>
                <w:webHidden/>
              </w:rPr>
            </w:r>
            <w:r w:rsidR="00682340">
              <w:rPr>
                <w:noProof/>
                <w:webHidden/>
              </w:rPr>
              <w:fldChar w:fldCharType="separate"/>
            </w:r>
            <w:r w:rsidR="00F33341">
              <w:rPr>
                <w:noProof/>
                <w:webHidden/>
              </w:rPr>
              <w:t>34</w:t>
            </w:r>
            <w:r w:rsidR="00682340">
              <w:rPr>
                <w:noProof/>
                <w:webHidden/>
              </w:rPr>
              <w:fldChar w:fldCharType="end"/>
            </w:r>
          </w:hyperlink>
        </w:p>
        <w:p w:rsidR="00682340" w:rsidRDefault="005E7C68">
          <w:pPr>
            <w:pStyle w:val="TOC2"/>
            <w:rPr>
              <w:rFonts w:asciiTheme="minorHAnsi" w:eastAsiaTheme="minorEastAsia" w:hAnsiTheme="minorHAnsi" w:cstheme="minorBidi"/>
              <w:noProof/>
              <w:sz w:val="22"/>
              <w:szCs w:val="22"/>
            </w:rPr>
          </w:pPr>
          <w:hyperlink w:anchor="_Toc356389386" w:history="1">
            <w:r w:rsidR="00682340" w:rsidRPr="00B46854">
              <w:rPr>
                <w:rStyle w:val="Hyperlink"/>
                <w:noProof/>
                <w:lang w:val="en-GB"/>
              </w:rPr>
              <w:t>1.2</w:t>
            </w:r>
            <w:r w:rsidR="00682340">
              <w:rPr>
                <w:rFonts w:asciiTheme="minorHAnsi" w:eastAsiaTheme="minorEastAsia" w:hAnsiTheme="minorHAnsi" w:cstheme="minorBidi"/>
                <w:noProof/>
                <w:sz w:val="22"/>
                <w:szCs w:val="22"/>
              </w:rPr>
              <w:tab/>
            </w:r>
            <w:r w:rsidR="00682340" w:rsidRPr="00B46854">
              <w:rPr>
                <w:rStyle w:val="Hyperlink"/>
                <w:noProof/>
                <w:lang w:val="en-GB"/>
              </w:rPr>
              <w:t>Monitoring</w:t>
            </w:r>
            <w:r w:rsidR="00682340">
              <w:rPr>
                <w:noProof/>
                <w:webHidden/>
              </w:rPr>
              <w:tab/>
            </w:r>
            <w:r w:rsidR="00682340">
              <w:rPr>
                <w:noProof/>
                <w:webHidden/>
              </w:rPr>
              <w:fldChar w:fldCharType="begin"/>
            </w:r>
            <w:r w:rsidR="00682340">
              <w:rPr>
                <w:noProof/>
                <w:webHidden/>
              </w:rPr>
              <w:instrText xml:space="preserve"> PAGEREF _Toc356389386 \h </w:instrText>
            </w:r>
            <w:r w:rsidR="00682340">
              <w:rPr>
                <w:noProof/>
                <w:webHidden/>
              </w:rPr>
            </w:r>
            <w:r w:rsidR="00682340">
              <w:rPr>
                <w:noProof/>
                <w:webHidden/>
              </w:rPr>
              <w:fldChar w:fldCharType="separate"/>
            </w:r>
            <w:r w:rsidR="00F33341">
              <w:rPr>
                <w:noProof/>
                <w:webHidden/>
              </w:rPr>
              <w:t>40</w:t>
            </w:r>
            <w:r w:rsidR="00682340">
              <w:rPr>
                <w:noProof/>
                <w:webHidden/>
              </w:rPr>
              <w:fldChar w:fldCharType="end"/>
            </w:r>
          </w:hyperlink>
        </w:p>
        <w:p w:rsidR="00682340" w:rsidRDefault="005E7C68">
          <w:pPr>
            <w:pStyle w:val="TOC2"/>
            <w:rPr>
              <w:rFonts w:asciiTheme="minorHAnsi" w:eastAsiaTheme="minorEastAsia" w:hAnsiTheme="minorHAnsi" w:cstheme="minorBidi"/>
              <w:noProof/>
              <w:sz w:val="22"/>
              <w:szCs w:val="22"/>
            </w:rPr>
          </w:pPr>
          <w:hyperlink w:anchor="_Toc356389387" w:history="1">
            <w:r w:rsidR="00682340" w:rsidRPr="00B46854">
              <w:rPr>
                <w:rStyle w:val="Hyperlink"/>
                <w:rFonts w:cstheme="minorHAnsi"/>
                <w:noProof/>
                <w:lang w:val="en-GB"/>
              </w:rPr>
              <w:t>1.3</w:t>
            </w:r>
            <w:r w:rsidR="00682340">
              <w:rPr>
                <w:rFonts w:asciiTheme="minorHAnsi" w:eastAsiaTheme="minorEastAsia" w:hAnsiTheme="minorHAnsi" w:cstheme="minorBidi"/>
                <w:noProof/>
                <w:sz w:val="22"/>
                <w:szCs w:val="22"/>
              </w:rPr>
              <w:tab/>
            </w:r>
            <w:r w:rsidR="00682340" w:rsidRPr="00B46854">
              <w:rPr>
                <w:rStyle w:val="Hyperlink"/>
                <w:rFonts w:cstheme="minorHAnsi"/>
                <w:noProof/>
                <w:lang w:val="en-GB"/>
              </w:rPr>
              <w:t>Program performance</w:t>
            </w:r>
            <w:r w:rsidR="00682340">
              <w:rPr>
                <w:noProof/>
                <w:webHidden/>
              </w:rPr>
              <w:tab/>
            </w:r>
            <w:r w:rsidR="00682340">
              <w:rPr>
                <w:noProof/>
                <w:webHidden/>
              </w:rPr>
              <w:fldChar w:fldCharType="begin"/>
            </w:r>
            <w:r w:rsidR="00682340">
              <w:rPr>
                <w:noProof/>
                <w:webHidden/>
              </w:rPr>
              <w:instrText xml:space="preserve"> PAGEREF _Toc356389387 \h </w:instrText>
            </w:r>
            <w:r w:rsidR="00682340">
              <w:rPr>
                <w:noProof/>
                <w:webHidden/>
              </w:rPr>
            </w:r>
            <w:r w:rsidR="00682340">
              <w:rPr>
                <w:noProof/>
                <w:webHidden/>
              </w:rPr>
              <w:fldChar w:fldCharType="separate"/>
            </w:r>
            <w:r w:rsidR="00F33341">
              <w:rPr>
                <w:noProof/>
                <w:webHidden/>
              </w:rPr>
              <w:t>46</w:t>
            </w:r>
            <w:r w:rsidR="00682340">
              <w:rPr>
                <w:noProof/>
                <w:webHidden/>
              </w:rPr>
              <w:fldChar w:fldCharType="end"/>
            </w:r>
          </w:hyperlink>
        </w:p>
        <w:p w:rsidR="00682340" w:rsidRDefault="005E7C68">
          <w:pPr>
            <w:pStyle w:val="TOC1"/>
            <w:rPr>
              <w:rFonts w:asciiTheme="minorHAnsi" w:eastAsiaTheme="minorEastAsia" w:hAnsiTheme="minorHAnsi" w:cstheme="minorBidi"/>
              <w:sz w:val="22"/>
              <w:szCs w:val="22"/>
            </w:rPr>
          </w:pPr>
          <w:hyperlink w:anchor="_Toc356389388" w:history="1">
            <w:r w:rsidR="00682340" w:rsidRPr="00B46854">
              <w:rPr>
                <w:rStyle w:val="Hyperlink"/>
              </w:rPr>
              <w:t>Annex 2: Risk Management Matrix</w:t>
            </w:r>
            <w:r w:rsidR="00682340">
              <w:rPr>
                <w:webHidden/>
              </w:rPr>
              <w:tab/>
            </w:r>
            <w:r w:rsidR="00682340">
              <w:rPr>
                <w:webHidden/>
              </w:rPr>
              <w:fldChar w:fldCharType="begin"/>
            </w:r>
            <w:r w:rsidR="00682340">
              <w:rPr>
                <w:webHidden/>
              </w:rPr>
              <w:instrText xml:space="preserve"> PAGEREF _Toc356389388 \h </w:instrText>
            </w:r>
            <w:r w:rsidR="00682340">
              <w:rPr>
                <w:webHidden/>
              </w:rPr>
            </w:r>
            <w:r w:rsidR="00682340">
              <w:rPr>
                <w:webHidden/>
              </w:rPr>
              <w:fldChar w:fldCharType="separate"/>
            </w:r>
            <w:r w:rsidR="00F33341">
              <w:rPr>
                <w:webHidden/>
              </w:rPr>
              <w:t>47</w:t>
            </w:r>
            <w:r w:rsidR="00682340">
              <w:rPr>
                <w:webHidden/>
              </w:rPr>
              <w:fldChar w:fldCharType="end"/>
            </w:r>
          </w:hyperlink>
        </w:p>
        <w:p w:rsidR="00682340" w:rsidRDefault="005E7C68">
          <w:pPr>
            <w:pStyle w:val="TOC1"/>
            <w:rPr>
              <w:rFonts w:asciiTheme="minorHAnsi" w:eastAsiaTheme="minorEastAsia" w:hAnsiTheme="minorHAnsi" w:cstheme="minorBidi"/>
              <w:sz w:val="22"/>
              <w:szCs w:val="22"/>
            </w:rPr>
          </w:pPr>
          <w:hyperlink w:anchor="_Toc356389389" w:history="1">
            <w:r w:rsidR="00682340" w:rsidRPr="00B46854">
              <w:rPr>
                <w:rStyle w:val="Hyperlink"/>
              </w:rPr>
              <w:t>Annex 3: Draft implementation schedule for pipeline programming</w:t>
            </w:r>
            <w:r w:rsidR="00682340">
              <w:rPr>
                <w:webHidden/>
              </w:rPr>
              <w:tab/>
            </w:r>
            <w:r w:rsidR="00682340">
              <w:rPr>
                <w:webHidden/>
              </w:rPr>
              <w:fldChar w:fldCharType="begin"/>
            </w:r>
            <w:r w:rsidR="00682340">
              <w:rPr>
                <w:webHidden/>
              </w:rPr>
              <w:instrText xml:space="preserve"> PAGEREF _Toc356389389 \h </w:instrText>
            </w:r>
            <w:r w:rsidR="00682340">
              <w:rPr>
                <w:webHidden/>
              </w:rPr>
            </w:r>
            <w:r w:rsidR="00682340">
              <w:rPr>
                <w:webHidden/>
              </w:rPr>
              <w:fldChar w:fldCharType="separate"/>
            </w:r>
            <w:r w:rsidR="00F33341">
              <w:rPr>
                <w:webHidden/>
              </w:rPr>
              <w:t>53</w:t>
            </w:r>
            <w:r w:rsidR="00682340">
              <w:rPr>
                <w:webHidden/>
              </w:rPr>
              <w:fldChar w:fldCharType="end"/>
            </w:r>
          </w:hyperlink>
        </w:p>
        <w:p w:rsidR="00682340" w:rsidRDefault="005E7C68">
          <w:pPr>
            <w:pStyle w:val="TOC1"/>
            <w:rPr>
              <w:rFonts w:asciiTheme="minorHAnsi" w:eastAsiaTheme="minorEastAsia" w:hAnsiTheme="minorHAnsi" w:cstheme="minorBidi"/>
              <w:sz w:val="22"/>
              <w:szCs w:val="22"/>
            </w:rPr>
          </w:pPr>
          <w:hyperlink w:anchor="_Toc356389390" w:history="1">
            <w:r w:rsidR="00682340" w:rsidRPr="00B46854">
              <w:rPr>
                <w:rStyle w:val="Hyperlink"/>
              </w:rPr>
              <w:t>Annex 4: Policy Reform Matrix</w:t>
            </w:r>
            <w:r w:rsidR="00682340">
              <w:rPr>
                <w:webHidden/>
              </w:rPr>
              <w:tab/>
            </w:r>
            <w:r w:rsidR="00682340">
              <w:rPr>
                <w:webHidden/>
              </w:rPr>
              <w:fldChar w:fldCharType="begin"/>
            </w:r>
            <w:r w:rsidR="00682340">
              <w:rPr>
                <w:webHidden/>
              </w:rPr>
              <w:instrText xml:space="preserve"> PAGEREF _Toc356389390 \h </w:instrText>
            </w:r>
            <w:r w:rsidR="00682340">
              <w:rPr>
                <w:webHidden/>
              </w:rPr>
            </w:r>
            <w:r w:rsidR="00682340">
              <w:rPr>
                <w:webHidden/>
              </w:rPr>
              <w:fldChar w:fldCharType="separate"/>
            </w:r>
            <w:r w:rsidR="00F33341">
              <w:rPr>
                <w:webHidden/>
              </w:rPr>
              <w:t>54</w:t>
            </w:r>
            <w:r w:rsidR="00682340">
              <w:rPr>
                <w:webHidden/>
              </w:rPr>
              <w:fldChar w:fldCharType="end"/>
            </w:r>
          </w:hyperlink>
        </w:p>
        <w:p w:rsidR="00682340" w:rsidRDefault="005E7C68">
          <w:pPr>
            <w:pStyle w:val="TOC1"/>
            <w:rPr>
              <w:rFonts w:asciiTheme="minorHAnsi" w:eastAsiaTheme="minorEastAsia" w:hAnsiTheme="minorHAnsi" w:cstheme="minorBidi"/>
              <w:sz w:val="22"/>
              <w:szCs w:val="22"/>
            </w:rPr>
          </w:pPr>
          <w:hyperlink w:anchor="_Toc356389391" w:history="1">
            <w:r w:rsidR="00682340" w:rsidRPr="00B46854">
              <w:rPr>
                <w:rStyle w:val="Hyperlink"/>
              </w:rPr>
              <w:t>Annex 5: Root cause analysis</w:t>
            </w:r>
            <w:r w:rsidR="00682340">
              <w:rPr>
                <w:webHidden/>
              </w:rPr>
              <w:tab/>
            </w:r>
            <w:r w:rsidR="00682340">
              <w:rPr>
                <w:webHidden/>
              </w:rPr>
              <w:fldChar w:fldCharType="begin"/>
            </w:r>
            <w:r w:rsidR="00682340">
              <w:rPr>
                <w:webHidden/>
              </w:rPr>
              <w:instrText xml:space="preserve"> PAGEREF _Toc356389391 \h </w:instrText>
            </w:r>
            <w:r w:rsidR="00682340">
              <w:rPr>
                <w:webHidden/>
              </w:rPr>
            </w:r>
            <w:r w:rsidR="00682340">
              <w:rPr>
                <w:webHidden/>
              </w:rPr>
              <w:fldChar w:fldCharType="separate"/>
            </w:r>
            <w:r w:rsidR="00F33341">
              <w:rPr>
                <w:webHidden/>
              </w:rPr>
              <w:t>60</w:t>
            </w:r>
            <w:r w:rsidR="00682340">
              <w:rPr>
                <w:webHidden/>
              </w:rPr>
              <w:fldChar w:fldCharType="end"/>
            </w:r>
          </w:hyperlink>
        </w:p>
        <w:p w:rsidR="00682340" w:rsidRDefault="005E7C68">
          <w:pPr>
            <w:pStyle w:val="TOC1"/>
            <w:rPr>
              <w:rFonts w:asciiTheme="minorHAnsi" w:eastAsiaTheme="minorEastAsia" w:hAnsiTheme="minorHAnsi" w:cstheme="minorBidi"/>
              <w:sz w:val="22"/>
              <w:szCs w:val="22"/>
            </w:rPr>
          </w:pPr>
          <w:hyperlink w:anchor="_Toc356389392" w:history="1">
            <w:r w:rsidR="00682340" w:rsidRPr="00B46854">
              <w:rPr>
                <w:rStyle w:val="Hyperlink"/>
              </w:rPr>
              <w:t>Annex 6: Results map (program logic)</w:t>
            </w:r>
            <w:r w:rsidR="00682340">
              <w:rPr>
                <w:webHidden/>
              </w:rPr>
              <w:tab/>
            </w:r>
            <w:r w:rsidR="00682340">
              <w:rPr>
                <w:webHidden/>
              </w:rPr>
              <w:fldChar w:fldCharType="begin"/>
            </w:r>
            <w:r w:rsidR="00682340">
              <w:rPr>
                <w:webHidden/>
              </w:rPr>
              <w:instrText xml:space="preserve"> PAGEREF _Toc356389392 \h </w:instrText>
            </w:r>
            <w:r w:rsidR="00682340">
              <w:rPr>
                <w:webHidden/>
              </w:rPr>
            </w:r>
            <w:r w:rsidR="00682340">
              <w:rPr>
                <w:webHidden/>
              </w:rPr>
              <w:fldChar w:fldCharType="separate"/>
            </w:r>
            <w:r w:rsidR="00F33341">
              <w:rPr>
                <w:webHidden/>
              </w:rPr>
              <w:t>61</w:t>
            </w:r>
            <w:r w:rsidR="00682340">
              <w:rPr>
                <w:webHidden/>
              </w:rPr>
              <w:fldChar w:fldCharType="end"/>
            </w:r>
          </w:hyperlink>
        </w:p>
        <w:p w:rsidR="00682340" w:rsidRDefault="005E7C68">
          <w:pPr>
            <w:pStyle w:val="TOC1"/>
            <w:rPr>
              <w:rFonts w:asciiTheme="minorHAnsi" w:eastAsiaTheme="minorEastAsia" w:hAnsiTheme="minorHAnsi" w:cstheme="minorBidi"/>
              <w:sz w:val="22"/>
              <w:szCs w:val="22"/>
            </w:rPr>
          </w:pPr>
          <w:hyperlink w:anchor="_Toc356389393" w:history="1">
            <w:r w:rsidR="00682340" w:rsidRPr="00B46854">
              <w:rPr>
                <w:rStyle w:val="Hyperlink"/>
              </w:rPr>
              <w:t>Annex 7: Key PFM reforms currently supported by GoT and donors</w:t>
            </w:r>
            <w:r w:rsidR="00682340">
              <w:rPr>
                <w:webHidden/>
              </w:rPr>
              <w:tab/>
            </w:r>
            <w:r w:rsidR="00682340">
              <w:rPr>
                <w:webHidden/>
              </w:rPr>
              <w:fldChar w:fldCharType="begin"/>
            </w:r>
            <w:r w:rsidR="00682340">
              <w:rPr>
                <w:webHidden/>
              </w:rPr>
              <w:instrText xml:space="preserve"> PAGEREF _Toc356389393 \h </w:instrText>
            </w:r>
            <w:r w:rsidR="00682340">
              <w:rPr>
                <w:webHidden/>
              </w:rPr>
            </w:r>
            <w:r w:rsidR="00682340">
              <w:rPr>
                <w:webHidden/>
              </w:rPr>
              <w:fldChar w:fldCharType="separate"/>
            </w:r>
            <w:r w:rsidR="00F33341">
              <w:rPr>
                <w:webHidden/>
              </w:rPr>
              <w:t>63</w:t>
            </w:r>
            <w:r w:rsidR="00682340">
              <w:rPr>
                <w:webHidden/>
              </w:rPr>
              <w:fldChar w:fldCharType="end"/>
            </w:r>
          </w:hyperlink>
        </w:p>
        <w:p w:rsidR="00682340" w:rsidRDefault="005E7C68">
          <w:pPr>
            <w:pStyle w:val="TOC1"/>
            <w:rPr>
              <w:rFonts w:asciiTheme="minorHAnsi" w:eastAsiaTheme="minorEastAsia" w:hAnsiTheme="minorHAnsi" w:cstheme="minorBidi"/>
              <w:sz w:val="22"/>
              <w:szCs w:val="22"/>
            </w:rPr>
          </w:pPr>
          <w:hyperlink w:anchor="_Toc356389395" w:history="1">
            <w:r w:rsidR="00682340" w:rsidRPr="00B46854">
              <w:rPr>
                <w:rStyle w:val="Hyperlink"/>
              </w:rPr>
              <w:t>Annex 8: Workshop agenda and participants</w:t>
            </w:r>
            <w:r w:rsidR="00682340">
              <w:rPr>
                <w:webHidden/>
              </w:rPr>
              <w:tab/>
            </w:r>
            <w:r w:rsidR="00682340">
              <w:rPr>
                <w:webHidden/>
              </w:rPr>
              <w:fldChar w:fldCharType="begin"/>
            </w:r>
            <w:r w:rsidR="00682340">
              <w:rPr>
                <w:webHidden/>
              </w:rPr>
              <w:instrText xml:space="preserve"> PAGEREF _Toc356389395 \h </w:instrText>
            </w:r>
            <w:r w:rsidR="00682340">
              <w:rPr>
                <w:webHidden/>
              </w:rPr>
            </w:r>
            <w:r w:rsidR="00682340">
              <w:rPr>
                <w:webHidden/>
              </w:rPr>
              <w:fldChar w:fldCharType="separate"/>
            </w:r>
            <w:r w:rsidR="00F33341">
              <w:rPr>
                <w:webHidden/>
              </w:rPr>
              <w:t>64</w:t>
            </w:r>
            <w:r w:rsidR="00682340">
              <w:rPr>
                <w:webHidden/>
              </w:rPr>
              <w:fldChar w:fldCharType="end"/>
            </w:r>
          </w:hyperlink>
        </w:p>
        <w:p w:rsidR="00682340" w:rsidRDefault="005E7C68">
          <w:pPr>
            <w:pStyle w:val="TOC1"/>
            <w:rPr>
              <w:rFonts w:asciiTheme="minorHAnsi" w:eastAsiaTheme="minorEastAsia" w:hAnsiTheme="minorHAnsi" w:cstheme="minorBidi"/>
              <w:sz w:val="22"/>
              <w:szCs w:val="22"/>
            </w:rPr>
          </w:pPr>
          <w:hyperlink w:anchor="_Toc356389396" w:history="1">
            <w:r w:rsidR="00682340" w:rsidRPr="00B46854">
              <w:rPr>
                <w:rStyle w:val="Hyperlink"/>
              </w:rPr>
              <w:t>Annex 9: Summary of current and future spending initiatives/ agreements</w:t>
            </w:r>
            <w:r w:rsidR="00682340">
              <w:rPr>
                <w:webHidden/>
              </w:rPr>
              <w:tab/>
            </w:r>
            <w:r w:rsidR="00682340">
              <w:rPr>
                <w:webHidden/>
              </w:rPr>
              <w:fldChar w:fldCharType="begin"/>
            </w:r>
            <w:r w:rsidR="00682340">
              <w:rPr>
                <w:webHidden/>
              </w:rPr>
              <w:instrText xml:space="preserve"> PAGEREF _Toc356389396 \h </w:instrText>
            </w:r>
            <w:r w:rsidR="00682340">
              <w:rPr>
                <w:webHidden/>
              </w:rPr>
            </w:r>
            <w:r w:rsidR="00682340">
              <w:rPr>
                <w:webHidden/>
              </w:rPr>
              <w:fldChar w:fldCharType="separate"/>
            </w:r>
            <w:r w:rsidR="00F33341">
              <w:rPr>
                <w:webHidden/>
              </w:rPr>
              <w:t>67</w:t>
            </w:r>
            <w:r w:rsidR="00682340">
              <w:rPr>
                <w:webHidden/>
              </w:rPr>
              <w:fldChar w:fldCharType="end"/>
            </w:r>
          </w:hyperlink>
        </w:p>
        <w:p w:rsidR="0068741D" w:rsidRDefault="001A70EC" w:rsidP="005D53AE">
          <w:pPr>
            <w:pStyle w:val="TOC1"/>
          </w:pPr>
          <w:r>
            <w:fldChar w:fldCharType="end"/>
          </w:r>
        </w:p>
        <w:p w:rsidR="0068741D" w:rsidRDefault="0068741D" w:rsidP="00A417A5">
          <w:pPr>
            <w:spacing w:after="240"/>
            <w:rPr>
              <w:b/>
            </w:rPr>
          </w:pPr>
          <w:r w:rsidRPr="0068741D">
            <w:rPr>
              <w:b/>
            </w:rPr>
            <w:t>Tables</w:t>
          </w:r>
        </w:p>
        <w:p w:rsidR="00972EFA" w:rsidRDefault="0068741D" w:rsidP="0068741D">
          <w:r w:rsidRPr="0068741D">
            <w:t>Table</w:t>
          </w:r>
          <w:r>
            <w:t xml:space="preserve"> 1: Australia’s 2012/13 bilateral program of support for economic and public </w:t>
          </w:r>
        </w:p>
        <w:p w:rsidR="0068741D" w:rsidRDefault="0068741D" w:rsidP="005D2B42">
          <w:pPr>
            <w:ind w:firstLine="993"/>
          </w:pPr>
          <w:r>
            <w:t>sector reform</w:t>
          </w:r>
        </w:p>
        <w:p w:rsidR="001A7602" w:rsidRPr="001A7602" w:rsidRDefault="0068741D" w:rsidP="001A7602">
          <w:r>
            <w:t xml:space="preserve">Table 2: </w:t>
          </w:r>
          <w:r w:rsidR="001A7602" w:rsidRPr="001A7602">
            <w:t>Proposed forward engagement for EPSG bilateral program</w:t>
          </w:r>
        </w:p>
        <w:p w:rsidR="009D0A1E" w:rsidRPr="0068741D" w:rsidRDefault="005E7C68" w:rsidP="0068741D"/>
      </w:sdtContent>
    </w:sdt>
    <w:p w:rsidR="00042284" w:rsidRPr="00356ACC" w:rsidRDefault="00356ACC" w:rsidP="00356ACC">
      <w:pPr>
        <w:pStyle w:val="Heading1"/>
        <w:spacing w:before="0" w:after="240" w:line="276" w:lineRule="auto"/>
        <w:jc w:val="left"/>
        <w:rPr>
          <w:sz w:val="24"/>
        </w:rPr>
      </w:pPr>
      <w:r>
        <w:br w:type="column"/>
      </w:r>
      <w:bookmarkStart w:id="5" w:name="_Toc356389360"/>
      <w:r w:rsidRPr="00356ACC">
        <w:rPr>
          <w:sz w:val="24"/>
        </w:rPr>
        <w:t>Acronyms</w:t>
      </w:r>
      <w:bookmarkEnd w:id="5"/>
    </w:p>
    <w:tbl>
      <w:tblPr>
        <w:tblW w:w="8931" w:type="dxa"/>
        <w:tblInd w:w="108" w:type="dxa"/>
        <w:tblLook w:val="0000" w:firstRow="0" w:lastRow="0" w:firstColumn="0" w:lastColumn="0" w:noHBand="0" w:noVBand="0"/>
      </w:tblPr>
      <w:tblGrid>
        <w:gridCol w:w="1701"/>
        <w:gridCol w:w="7230"/>
      </w:tblGrid>
      <w:tr w:rsidR="00D54F71" w:rsidRPr="00AF28B6" w:rsidTr="0015595E">
        <w:tc>
          <w:tcPr>
            <w:tcW w:w="1701" w:type="dxa"/>
          </w:tcPr>
          <w:p w:rsidR="00D54F71" w:rsidRDefault="00D54F71" w:rsidP="0015595E">
            <w:pPr>
              <w:pStyle w:val="BodyText"/>
              <w:spacing w:before="0" w:after="0"/>
              <w:rPr>
                <w:lang w:val="en-GB"/>
              </w:rPr>
            </w:pPr>
            <w:r>
              <w:rPr>
                <w:lang w:val="en-GB"/>
              </w:rPr>
              <w:t>AAS</w:t>
            </w:r>
          </w:p>
        </w:tc>
        <w:tc>
          <w:tcPr>
            <w:tcW w:w="7230" w:type="dxa"/>
          </w:tcPr>
          <w:p w:rsidR="00D54F71" w:rsidRDefault="00954DBD" w:rsidP="00954DBD">
            <w:pPr>
              <w:pStyle w:val="BodyText"/>
              <w:spacing w:before="0" w:after="0"/>
              <w:jc w:val="left"/>
              <w:rPr>
                <w:lang w:val="en-GB"/>
              </w:rPr>
            </w:pPr>
            <w:r>
              <w:rPr>
                <w:lang w:val="en-GB"/>
              </w:rPr>
              <w:t>Aid Advisory Service</w:t>
            </w:r>
          </w:p>
        </w:tc>
      </w:tr>
      <w:tr w:rsidR="00356ACC" w:rsidRPr="00AF28B6" w:rsidTr="0015595E">
        <w:tc>
          <w:tcPr>
            <w:tcW w:w="1701" w:type="dxa"/>
          </w:tcPr>
          <w:p w:rsidR="00356ACC" w:rsidRPr="00AF28B6" w:rsidRDefault="00356ACC" w:rsidP="0015595E">
            <w:pPr>
              <w:pStyle w:val="BodyText"/>
              <w:spacing w:before="0" w:after="0"/>
              <w:rPr>
                <w:lang w:val="en-GB"/>
              </w:rPr>
            </w:pPr>
            <w:r>
              <w:rPr>
                <w:lang w:val="en-GB"/>
              </w:rPr>
              <w:t>ADB</w:t>
            </w:r>
          </w:p>
        </w:tc>
        <w:tc>
          <w:tcPr>
            <w:tcW w:w="7230" w:type="dxa"/>
          </w:tcPr>
          <w:p w:rsidR="00356ACC" w:rsidRPr="00AF28B6" w:rsidRDefault="00356ACC" w:rsidP="0015595E">
            <w:pPr>
              <w:pStyle w:val="BodyText"/>
              <w:spacing w:before="0" w:after="0"/>
              <w:jc w:val="left"/>
              <w:rPr>
                <w:lang w:val="en-GB"/>
              </w:rPr>
            </w:pPr>
            <w:r>
              <w:rPr>
                <w:lang w:val="en-GB"/>
              </w:rPr>
              <w:t>Asian Development Bank</w:t>
            </w:r>
          </w:p>
        </w:tc>
      </w:tr>
      <w:tr w:rsidR="00CC42BB" w:rsidRPr="00AF28B6" w:rsidTr="0015595E">
        <w:tc>
          <w:tcPr>
            <w:tcW w:w="1701" w:type="dxa"/>
          </w:tcPr>
          <w:p w:rsidR="00CC42BB" w:rsidRDefault="00CC42BB" w:rsidP="0015595E">
            <w:pPr>
              <w:pStyle w:val="BodyText"/>
              <w:spacing w:before="0" w:after="0"/>
              <w:rPr>
                <w:lang w:val="en-GB"/>
              </w:rPr>
            </w:pPr>
            <w:r>
              <w:rPr>
                <w:lang w:val="en-GB"/>
              </w:rPr>
              <w:t>AEC</w:t>
            </w:r>
          </w:p>
        </w:tc>
        <w:tc>
          <w:tcPr>
            <w:tcW w:w="7230" w:type="dxa"/>
          </w:tcPr>
          <w:p w:rsidR="00CC42BB" w:rsidRDefault="00CC42BB" w:rsidP="0015595E">
            <w:pPr>
              <w:pStyle w:val="BodyText"/>
              <w:spacing w:before="0" w:after="0"/>
              <w:jc w:val="left"/>
              <w:rPr>
                <w:lang w:val="en-GB"/>
              </w:rPr>
            </w:pPr>
            <w:r>
              <w:rPr>
                <w:lang w:val="en-GB"/>
              </w:rPr>
              <w:t>Australian Electoral Commission</w:t>
            </w:r>
          </w:p>
        </w:tc>
      </w:tr>
      <w:tr w:rsidR="00356ACC" w:rsidRPr="00AF28B6" w:rsidTr="0015595E">
        <w:tc>
          <w:tcPr>
            <w:tcW w:w="1701" w:type="dxa"/>
          </w:tcPr>
          <w:p w:rsidR="00356ACC" w:rsidRPr="00AF28B6" w:rsidRDefault="00356ACC" w:rsidP="0015595E">
            <w:pPr>
              <w:pStyle w:val="BodyText"/>
              <w:spacing w:before="0" w:after="0"/>
              <w:rPr>
                <w:lang w:val="en-GB"/>
              </w:rPr>
            </w:pPr>
            <w:r>
              <w:rPr>
                <w:lang w:val="en-GB"/>
              </w:rPr>
              <w:t>APPR</w:t>
            </w:r>
          </w:p>
        </w:tc>
        <w:tc>
          <w:tcPr>
            <w:tcW w:w="7230" w:type="dxa"/>
          </w:tcPr>
          <w:p w:rsidR="00356ACC" w:rsidRPr="00AF28B6" w:rsidRDefault="00356ACC" w:rsidP="0015595E">
            <w:pPr>
              <w:pStyle w:val="BodyText"/>
              <w:spacing w:before="0" w:after="0"/>
              <w:jc w:val="left"/>
              <w:rPr>
                <w:lang w:val="en-GB"/>
              </w:rPr>
            </w:pPr>
            <w:r>
              <w:rPr>
                <w:lang w:val="en-GB"/>
              </w:rPr>
              <w:t>Annual Program Performance Report</w:t>
            </w:r>
          </w:p>
        </w:tc>
      </w:tr>
      <w:tr w:rsidR="00356ACC" w:rsidRPr="00AF28B6" w:rsidTr="0015595E">
        <w:tc>
          <w:tcPr>
            <w:tcW w:w="1701" w:type="dxa"/>
          </w:tcPr>
          <w:p w:rsidR="00356ACC" w:rsidRPr="00AF28B6" w:rsidRDefault="00356ACC" w:rsidP="0015595E">
            <w:pPr>
              <w:pStyle w:val="BodyText"/>
              <w:spacing w:before="0" w:after="0"/>
              <w:rPr>
                <w:lang w:val="en-GB"/>
              </w:rPr>
            </w:pPr>
            <w:r>
              <w:rPr>
                <w:lang w:val="en-GB"/>
              </w:rPr>
              <w:t>AusAID</w:t>
            </w:r>
          </w:p>
        </w:tc>
        <w:tc>
          <w:tcPr>
            <w:tcW w:w="7230" w:type="dxa"/>
          </w:tcPr>
          <w:p w:rsidR="00356ACC" w:rsidRPr="00AF28B6" w:rsidRDefault="00356ACC" w:rsidP="0015595E">
            <w:pPr>
              <w:pStyle w:val="BodyText"/>
              <w:spacing w:before="0" w:after="0"/>
              <w:jc w:val="left"/>
              <w:rPr>
                <w:lang w:val="en-GB"/>
              </w:rPr>
            </w:pPr>
            <w:r>
              <w:rPr>
                <w:lang w:val="en-GB"/>
              </w:rPr>
              <w:t>Australian Agency for International Development</w:t>
            </w:r>
          </w:p>
        </w:tc>
      </w:tr>
      <w:tr w:rsidR="00356ACC" w:rsidRPr="00AF28B6" w:rsidTr="0015595E">
        <w:tc>
          <w:tcPr>
            <w:tcW w:w="1701" w:type="dxa"/>
          </w:tcPr>
          <w:p w:rsidR="00356ACC" w:rsidRDefault="00356ACC" w:rsidP="0015595E">
            <w:pPr>
              <w:pStyle w:val="BodyText"/>
              <w:spacing w:before="0" w:after="0"/>
              <w:rPr>
                <w:lang w:val="en-GB"/>
              </w:rPr>
            </w:pPr>
            <w:r w:rsidRPr="00D55B07">
              <w:rPr>
                <w:lang w:val="en-GB"/>
              </w:rPr>
              <w:t>CMS</w:t>
            </w:r>
          </w:p>
        </w:tc>
        <w:tc>
          <w:tcPr>
            <w:tcW w:w="7230" w:type="dxa"/>
          </w:tcPr>
          <w:p w:rsidR="00356ACC" w:rsidRDefault="00356ACC" w:rsidP="0015595E">
            <w:pPr>
              <w:pStyle w:val="BodyText"/>
              <w:spacing w:before="0" w:after="0"/>
              <w:jc w:val="left"/>
              <w:rPr>
                <w:lang w:val="en-GB"/>
              </w:rPr>
            </w:pPr>
            <w:r>
              <w:rPr>
                <w:lang w:val="en-GB"/>
              </w:rPr>
              <w:t>Customs (Cargo) Management System</w:t>
            </w:r>
          </w:p>
        </w:tc>
      </w:tr>
      <w:tr w:rsidR="00356ACC" w:rsidRPr="00AF28B6" w:rsidTr="0015595E">
        <w:tc>
          <w:tcPr>
            <w:tcW w:w="1701" w:type="dxa"/>
          </w:tcPr>
          <w:p w:rsidR="00356ACC" w:rsidRPr="00AF28B6" w:rsidRDefault="00356ACC" w:rsidP="0015595E">
            <w:pPr>
              <w:pStyle w:val="BodyText"/>
              <w:spacing w:before="0" w:after="0"/>
              <w:rPr>
                <w:lang w:val="en-GB"/>
              </w:rPr>
            </w:pPr>
            <w:r>
              <w:rPr>
                <w:lang w:val="en-GB"/>
              </w:rPr>
              <w:t>EPSG</w:t>
            </w:r>
          </w:p>
        </w:tc>
        <w:tc>
          <w:tcPr>
            <w:tcW w:w="7230" w:type="dxa"/>
          </w:tcPr>
          <w:p w:rsidR="00356ACC" w:rsidRPr="00AF28B6" w:rsidRDefault="00356ACC" w:rsidP="0015595E">
            <w:pPr>
              <w:pStyle w:val="BodyText"/>
              <w:spacing w:before="0" w:after="0"/>
              <w:jc w:val="left"/>
              <w:rPr>
                <w:lang w:val="en-GB"/>
              </w:rPr>
            </w:pPr>
            <w:r>
              <w:rPr>
                <w:lang w:val="en-GB"/>
              </w:rPr>
              <w:t>Economic and Public Sector Governance</w:t>
            </w:r>
          </w:p>
        </w:tc>
      </w:tr>
      <w:tr w:rsidR="00954DBD" w:rsidRPr="00AF28B6" w:rsidTr="0015595E">
        <w:tc>
          <w:tcPr>
            <w:tcW w:w="1701" w:type="dxa"/>
          </w:tcPr>
          <w:p w:rsidR="00954DBD" w:rsidRPr="00D55B07" w:rsidRDefault="00954DBD" w:rsidP="0015595E">
            <w:pPr>
              <w:pStyle w:val="BodyText"/>
              <w:spacing w:before="0" w:after="0"/>
              <w:rPr>
                <w:lang w:val="en-GB"/>
              </w:rPr>
            </w:pPr>
            <w:r>
              <w:rPr>
                <w:lang w:val="en-GB"/>
              </w:rPr>
              <w:t>EPSR</w:t>
            </w:r>
          </w:p>
        </w:tc>
        <w:tc>
          <w:tcPr>
            <w:tcW w:w="7230" w:type="dxa"/>
          </w:tcPr>
          <w:p w:rsidR="00954DBD" w:rsidRDefault="00954DBD" w:rsidP="0015595E">
            <w:pPr>
              <w:pStyle w:val="BodyText"/>
              <w:spacing w:before="0" w:after="0"/>
              <w:jc w:val="left"/>
              <w:rPr>
                <w:lang w:val="en-GB"/>
              </w:rPr>
            </w:pPr>
            <w:r>
              <w:rPr>
                <w:lang w:val="en-GB"/>
              </w:rPr>
              <w:t>Economic and Public Sector Reform</w:t>
            </w:r>
          </w:p>
        </w:tc>
      </w:tr>
      <w:tr w:rsidR="00356ACC" w:rsidRPr="00AF28B6" w:rsidTr="0015595E">
        <w:tc>
          <w:tcPr>
            <w:tcW w:w="1701" w:type="dxa"/>
          </w:tcPr>
          <w:p w:rsidR="00356ACC" w:rsidRPr="00AF28B6" w:rsidRDefault="00356ACC" w:rsidP="0015595E">
            <w:pPr>
              <w:pStyle w:val="BodyText"/>
              <w:spacing w:before="0" w:after="0"/>
              <w:rPr>
                <w:lang w:val="en-GB"/>
              </w:rPr>
            </w:pPr>
            <w:r w:rsidRPr="00D55B07">
              <w:rPr>
                <w:lang w:val="en-GB"/>
              </w:rPr>
              <w:t>FMIS</w:t>
            </w:r>
          </w:p>
        </w:tc>
        <w:tc>
          <w:tcPr>
            <w:tcW w:w="7230" w:type="dxa"/>
          </w:tcPr>
          <w:p w:rsidR="00356ACC" w:rsidRPr="00AF28B6" w:rsidRDefault="00356ACC" w:rsidP="0015595E">
            <w:pPr>
              <w:pStyle w:val="BodyText"/>
              <w:spacing w:before="0" w:after="0"/>
              <w:jc w:val="left"/>
              <w:rPr>
                <w:lang w:val="en-GB"/>
              </w:rPr>
            </w:pPr>
            <w:r>
              <w:rPr>
                <w:lang w:val="en-GB"/>
              </w:rPr>
              <w:t>Financial Management Information System</w:t>
            </w:r>
          </w:p>
        </w:tc>
      </w:tr>
      <w:tr w:rsidR="00356ACC" w:rsidRPr="00AF28B6" w:rsidTr="0015595E">
        <w:tc>
          <w:tcPr>
            <w:tcW w:w="1701" w:type="dxa"/>
          </w:tcPr>
          <w:p w:rsidR="00356ACC" w:rsidRPr="00AF28B6" w:rsidRDefault="00356ACC" w:rsidP="0015595E">
            <w:pPr>
              <w:pStyle w:val="BodyText"/>
              <w:spacing w:before="0" w:after="0"/>
              <w:rPr>
                <w:lang w:val="en-GB"/>
              </w:rPr>
            </w:pPr>
            <w:r>
              <w:rPr>
                <w:lang w:val="en-GB"/>
              </w:rPr>
              <w:t>GoA</w:t>
            </w:r>
          </w:p>
        </w:tc>
        <w:tc>
          <w:tcPr>
            <w:tcW w:w="7230" w:type="dxa"/>
          </w:tcPr>
          <w:p w:rsidR="00356ACC" w:rsidRPr="00AF28B6" w:rsidRDefault="00356ACC" w:rsidP="0015595E">
            <w:pPr>
              <w:pStyle w:val="BodyText"/>
              <w:spacing w:before="0" w:after="0"/>
              <w:jc w:val="left"/>
              <w:rPr>
                <w:lang w:val="en-GB"/>
              </w:rPr>
            </w:pPr>
            <w:r>
              <w:rPr>
                <w:lang w:val="en-GB"/>
              </w:rPr>
              <w:t>Government of Australia</w:t>
            </w:r>
          </w:p>
        </w:tc>
      </w:tr>
      <w:tr w:rsidR="00356ACC" w:rsidRPr="00AF28B6" w:rsidTr="0015595E">
        <w:tc>
          <w:tcPr>
            <w:tcW w:w="1701" w:type="dxa"/>
          </w:tcPr>
          <w:p w:rsidR="00356ACC" w:rsidRPr="00AF28B6" w:rsidRDefault="00356ACC" w:rsidP="0015595E">
            <w:pPr>
              <w:pStyle w:val="BodyText"/>
              <w:spacing w:before="0" w:after="0"/>
              <w:rPr>
                <w:lang w:val="en-GB"/>
              </w:rPr>
            </w:pPr>
            <w:r>
              <w:rPr>
                <w:lang w:val="en-GB"/>
              </w:rPr>
              <w:t>GoT</w:t>
            </w:r>
          </w:p>
        </w:tc>
        <w:tc>
          <w:tcPr>
            <w:tcW w:w="7230" w:type="dxa"/>
          </w:tcPr>
          <w:p w:rsidR="00356ACC" w:rsidRPr="00AF28B6" w:rsidRDefault="00356ACC" w:rsidP="0015595E">
            <w:pPr>
              <w:pStyle w:val="BodyText"/>
              <w:spacing w:before="0" w:after="0"/>
              <w:jc w:val="left"/>
              <w:rPr>
                <w:lang w:val="en-GB"/>
              </w:rPr>
            </w:pPr>
            <w:r>
              <w:rPr>
                <w:lang w:val="en-GB"/>
              </w:rPr>
              <w:t>Government of Tonga</w:t>
            </w:r>
          </w:p>
        </w:tc>
      </w:tr>
      <w:tr w:rsidR="00356ACC" w:rsidRPr="00AF28B6" w:rsidTr="0015595E">
        <w:tc>
          <w:tcPr>
            <w:tcW w:w="1701" w:type="dxa"/>
          </w:tcPr>
          <w:p w:rsidR="00356ACC" w:rsidRDefault="00356ACC" w:rsidP="0015595E">
            <w:pPr>
              <w:pStyle w:val="BodyText"/>
              <w:spacing w:before="0" w:after="0"/>
              <w:rPr>
                <w:lang w:val="en-GB"/>
              </w:rPr>
            </w:pPr>
            <w:r>
              <w:rPr>
                <w:lang w:val="en-GB"/>
              </w:rPr>
              <w:t>MoCTL</w:t>
            </w:r>
          </w:p>
        </w:tc>
        <w:tc>
          <w:tcPr>
            <w:tcW w:w="7230" w:type="dxa"/>
          </w:tcPr>
          <w:p w:rsidR="00356ACC" w:rsidRDefault="00356ACC" w:rsidP="0015595E">
            <w:pPr>
              <w:pStyle w:val="BodyText"/>
              <w:spacing w:before="0" w:after="0"/>
              <w:jc w:val="left"/>
              <w:rPr>
                <w:lang w:val="en-GB"/>
              </w:rPr>
            </w:pPr>
            <w:r>
              <w:rPr>
                <w:lang w:val="en-GB"/>
              </w:rPr>
              <w:t>Ministry of Commerce, Tourism and Labour</w:t>
            </w:r>
          </w:p>
        </w:tc>
      </w:tr>
      <w:tr w:rsidR="00356ACC" w:rsidRPr="00AF28B6" w:rsidTr="0015595E">
        <w:tc>
          <w:tcPr>
            <w:tcW w:w="1701" w:type="dxa"/>
          </w:tcPr>
          <w:p w:rsidR="00356ACC" w:rsidRPr="00AF28B6" w:rsidRDefault="00356ACC" w:rsidP="0015595E">
            <w:pPr>
              <w:pStyle w:val="BodyText"/>
              <w:spacing w:before="0" w:after="0"/>
              <w:rPr>
                <w:lang w:val="en-GB"/>
              </w:rPr>
            </w:pPr>
            <w:r w:rsidRPr="00275DDA">
              <w:rPr>
                <w:lang w:val="en-GB"/>
              </w:rPr>
              <w:t>MoFNP</w:t>
            </w:r>
          </w:p>
        </w:tc>
        <w:tc>
          <w:tcPr>
            <w:tcW w:w="7230" w:type="dxa"/>
          </w:tcPr>
          <w:p w:rsidR="00356ACC" w:rsidRPr="00AF28B6" w:rsidRDefault="00356ACC" w:rsidP="0015595E">
            <w:pPr>
              <w:pStyle w:val="BodyText"/>
              <w:spacing w:before="0" w:after="0"/>
              <w:jc w:val="left"/>
              <w:rPr>
                <w:lang w:val="en-GB"/>
              </w:rPr>
            </w:pPr>
            <w:r w:rsidRPr="00275DDA">
              <w:rPr>
                <w:lang w:val="en-GB"/>
              </w:rPr>
              <w:t>Ministry of Finance and National Planning</w:t>
            </w:r>
          </w:p>
        </w:tc>
      </w:tr>
      <w:tr w:rsidR="00356ACC" w:rsidRPr="00AF28B6" w:rsidTr="0015595E">
        <w:tc>
          <w:tcPr>
            <w:tcW w:w="1701" w:type="dxa"/>
          </w:tcPr>
          <w:p w:rsidR="00356ACC" w:rsidRPr="00AF28B6" w:rsidRDefault="00356ACC" w:rsidP="0015595E">
            <w:pPr>
              <w:pStyle w:val="BodyText"/>
              <w:spacing w:before="0" w:after="0"/>
              <w:rPr>
                <w:lang w:val="en-GB"/>
              </w:rPr>
            </w:pPr>
            <w:r>
              <w:rPr>
                <w:lang w:val="en-GB"/>
              </w:rPr>
              <w:t>MoPE</w:t>
            </w:r>
          </w:p>
        </w:tc>
        <w:tc>
          <w:tcPr>
            <w:tcW w:w="7230" w:type="dxa"/>
          </w:tcPr>
          <w:p w:rsidR="00356ACC" w:rsidRPr="00AF28B6" w:rsidRDefault="00356ACC" w:rsidP="0015595E">
            <w:pPr>
              <w:pStyle w:val="BodyText"/>
              <w:spacing w:before="0" w:after="0"/>
              <w:jc w:val="left"/>
              <w:rPr>
                <w:lang w:val="en-GB"/>
              </w:rPr>
            </w:pPr>
            <w:r>
              <w:rPr>
                <w:lang w:val="en-GB"/>
              </w:rPr>
              <w:t>Ministry of Public Enterprises</w:t>
            </w:r>
          </w:p>
        </w:tc>
      </w:tr>
      <w:tr w:rsidR="00356ACC" w:rsidRPr="00AF28B6" w:rsidTr="0015595E">
        <w:tc>
          <w:tcPr>
            <w:tcW w:w="1701" w:type="dxa"/>
          </w:tcPr>
          <w:p w:rsidR="00356ACC" w:rsidRPr="00AF28B6" w:rsidRDefault="00356ACC" w:rsidP="0015595E">
            <w:pPr>
              <w:pStyle w:val="BodyText"/>
              <w:spacing w:before="0" w:after="0"/>
              <w:rPr>
                <w:lang w:val="en-GB"/>
              </w:rPr>
            </w:pPr>
            <w:r w:rsidRPr="00275DDA">
              <w:rPr>
                <w:lang w:val="en-GB"/>
              </w:rPr>
              <w:t>MoR</w:t>
            </w:r>
          </w:p>
        </w:tc>
        <w:tc>
          <w:tcPr>
            <w:tcW w:w="7230" w:type="dxa"/>
          </w:tcPr>
          <w:p w:rsidR="00356ACC" w:rsidRPr="00AF28B6" w:rsidRDefault="00356ACC" w:rsidP="0015595E">
            <w:pPr>
              <w:pStyle w:val="BodyText"/>
              <w:spacing w:before="0" w:after="0"/>
              <w:jc w:val="left"/>
              <w:rPr>
                <w:lang w:val="en-GB"/>
              </w:rPr>
            </w:pPr>
            <w:r w:rsidRPr="00275DDA">
              <w:rPr>
                <w:lang w:val="en-GB"/>
              </w:rPr>
              <w:t>Ministry of Revenue</w:t>
            </w:r>
          </w:p>
        </w:tc>
      </w:tr>
      <w:tr w:rsidR="00356ACC" w:rsidRPr="00AF28B6" w:rsidTr="0015595E">
        <w:tc>
          <w:tcPr>
            <w:tcW w:w="1701" w:type="dxa"/>
          </w:tcPr>
          <w:p w:rsidR="00356ACC" w:rsidRPr="00AF28B6" w:rsidRDefault="00356ACC" w:rsidP="0015595E">
            <w:pPr>
              <w:pStyle w:val="BodyText"/>
              <w:spacing w:before="0" w:after="0"/>
              <w:rPr>
                <w:lang w:val="en-GB"/>
              </w:rPr>
            </w:pPr>
            <w:r w:rsidRPr="0050648B">
              <w:rPr>
                <w:lang w:val="en-GB"/>
              </w:rPr>
              <w:t>MTBF</w:t>
            </w:r>
          </w:p>
        </w:tc>
        <w:tc>
          <w:tcPr>
            <w:tcW w:w="7230" w:type="dxa"/>
          </w:tcPr>
          <w:p w:rsidR="00356ACC" w:rsidRPr="00AF28B6" w:rsidRDefault="00954DBD" w:rsidP="0015595E">
            <w:pPr>
              <w:pStyle w:val="BodyText"/>
              <w:spacing w:before="0" w:after="0"/>
              <w:jc w:val="left"/>
              <w:rPr>
                <w:lang w:val="en-GB"/>
              </w:rPr>
            </w:pPr>
            <w:r>
              <w:rPr>
                <w:lang w:val="en-GB"/>
              </w:rPr>
              <w:t>Medium Term Budgetary Framework</w:t>
            </w:r>
          </w:p>
        </w:tc>
      </w:tr>
      <w:tr w:rsidR="00FE79C0" w:rsidRPr="00AF28B6" w:rsidTr="0015595E">
        <w:tc>
          <w:tcPr>
            <w:tcW w:w="1701" w:type="dxa"/>
          </w:tcPr>
          <w:p w:rsidR="00FE79C0" w:rsidRDefault="00FE79C0" w:rsidP="0015595E">
            <w:pPr>
              <w:pStyle w:val="BodyText"/>
              <w:spacing w:before="0" w:after="0"/>
              <w:rPr>
                <w:lang w:val="en-GB"/>
              </w:rPr>
            </w:pPr>
            <w:r>
              <w:rPr>
                <w:lang w:val="en-GB"/>
              </w:rPr>
              <w:t>NRBT</w:t>
            </w:r>
          </w:p>
        </w:tc>
        <w:tc>
          <w:tcPr>
            <w:tcW w:w="7230" w:type="dxa"/>
          </w:tcPr>
          <w:p w:rsidR="00FE79C0" w:rsidRDefault="00FE79C0" w:rsidP="0015595E">
            <w:pPr>
              <w:pStyle w:val="BodyText"/>
              <w:spacing w:before="0" w:after="0"/>
              <w:jc w:val="left"/>
              <w:rPr>
                <w:lang w:val="en-GB"/>
              </w:rPr>
            </w:pPr>
            <w:r>
              <w:rPr>
                <w:lang w:val="en-GB"/>
              </w:rPr>
              <w:t>National Reserve Bank of Tonga</w:t>
            </w:r>
          </w:p>
        </w:tc>
      </w:tr>
      <w:tr w:rsidR="007901B6" w:rsidRPr="00AF28B6" w:rsidTr="0015595E">
        <w:tc>
          <w:tcPr>
            <w:tcW w:w="1701" w:type="dxa"/>
          </w:tcPr>
          <w:p w:rsidR="007901B6" w:rsidRDefault="007901B6" w:rsidP="0015595E">
            <w:pPr>
              <w:pStyle w:val="BodyText"/>
              <w:spacing w:before="0" w:after="0"/>
              <w:rPr>
                <w:lang w:val="en-GB"/>
              </w:rPr>
            </w:pPr>
            <w:r>
              <w:rPr>
                <w:lang w:val="en-GB"/>
              </w:rPr>
              <w:t>NZ-IDG</w:t>
            </w:r>
          </w:p>
        </w:tc>
        <w:tc>
          <w:tcPr>
            <w:tcW w:w="7230" w:type="dxa"/>
          </w:tcPr>
          <w:p w:rsidR="007901B6" w:rsidRDefault="007901B6" w:rsidP="0015595E">
            <w:pPr>
              <w:pStyle w:val="BodyText"/>
              <w:spacing w:before="0" w:after="0"/>
              <w:jc w:val="left"/>
              <w:rPr>
                <w:lang w:val="en-GB"/>
              </w:rPr>
            </w:pPr>
            <w:r>
              <w:rPr>
                <w:lang w:val="en-GB"/>
              </w:rPr>
              <w:t>New Zealand International Development Group</w:t>
            </w:r>
          </w:p>
        </w:tc>
      </w:tr>
      <w:tr w:rsidR="006F5B7A" w:rsidRPr="00AF28B6" w:rsidTr="0015595E">
        <w:tc>
          <w:tcPr>
            <w:tcW w:w="1701" w:type="dxa"/>
          </w:tcPr>
          <w:p w:rsidR="006F5B7A" w:rsidRPr="005036D5" w:rsidRDefault="006F5B7A" w:rsidP="0015595E">
            <w:pPr>
              <w:pStyle w:val="BodyText"/>
              <w:spacing w:before="0" w:after="0"/>
              <w:rPr>
                <w:lang w:val="en-GB"/>
              </w:rPr>
            </w:pPr>
            <w:r>
              <w:rPr>
                <w:lang w:val="en-GB"/>
              </w:rPr>
              <w:t>PACC</w:t>
            </w:r>
          </w:p>
        </w:tc>
        <w:tc>
          <w:tcPr>
            <w:tcW w:w="7230" w:type="dxa"/>
          </w:tcPr>
          <w:p w:rsidR="006F5B7A" w:rsidRPr="005036D5" w:rsidRDefault="006F5B7A" w:rsidP="0015595E">
            <w:pPr>
              <w:pStyle w:val="BodyText"/>
              <w:spacing w:before="0" w:after="0"/>
              <w:jc w:val="left"/>
              <w:rPr>
                <w:lang w:val="en-GB"/>
              </w:rPr>
            </w:pPr>
            <w:r>
              <w:rPr>
                <w:lang w:val="en-GB"/>
              </w:rPr>
              <w:t>Project and Aid Coordination Committee</w:t>
            </w:r>
          </w:p>
        </w:tc>
      </w:tr>
      <w:tr w:rsidR="00356ACC" w:rsidRPr="00AF28B6" w:rsidTr="0015595E">
        <w:tc>
          <w:tcPr>
            <w:tcW w:w="1701" w:type="dxa"/>
          </w:tcPr>
          <w:p w:rsidR="00356ACC" w:rsidRPr="00AF28B6" w:rsidRDefault="00356ACC" w:rsidP="0015595E">
            <w:pPr>
              <w:pStyle w:val="BodyText"/>
              <w:spacing w:before="0" w:after="0"/>
              <w:rPr>
                <w:lang w:val="en-GB"/>
              </w:rPr>
            </w:pPr>
            <w:r w:rsidRPr="005726F1">
              <w:rPr>
                <w:lang w:val="en-GB"/>
              </w:rPr>
              <w:t>PEFA</w:t>
            </w:r>
          </w:p>
        </w:tc>
        <w:tc>
          <w:tcPr>
            <w:tcW w:w="7230" w:type="dxa"/>
          </w:tcPr>
          <w:p w:rsidR="00356ACC" w:rsidRPr="00AF28B6" w:rsidRDefault="00356ACC" w:rsidP="0015595E">
            <w:pPr>
              <w:pStyle w:val="BodyText"/>
              <w:spacing w:before="0" w:after="0"/>
              <w:jc w:val="left"/>
              <w:rPr>
                <w:lang w:val="en-GB"/>
              </w:rPr>
            </w:pPr>
            <w:r w:rsidRPr="005726F1">
              <w:rPr>
                <w:lang w:val="en-GB"/>
              </w:rPr>
              <w:t>Public Expenditure and Financial Accountability</w:t>
            </w:r>
          </w:p>
        </w:tc>
      </w:tr>
      <w:tr w:rsidR="00356ACC" w:rsidRPr="00AF28B6" w:rsidTr="0015595E">
        <w:tc>
          <w:tcPr>
            <w:tcW w:w="1701" w:type="dxa"/>
          </w:tcPr>
          <w:p w:rsidR="00356ACC" w:rsidRPr="00AF28B6" w:rsidRDefault="00356ACC" w:rsidP="0015595E">
            <w:pPr>
              <w:pStyle w:val="BodyText"/>
              <w:spacing w:before="0" w:after="0"/>
              <w:rPr>
                <w:lang w:val="en-GB"/>
              </w:rPr>
            </w:pPr>
            <w:r>
              <w:rPr>
                <w:lang w:val="en-GB"/>
              </w:rPr>
              <w:t>PFM</w:t>
            </w:r>
          </w:p>
        </w:tc>
        <w:tc>
          <w:tcPr>
            <w:tcW w:w="7230" w:type="dxa"/>
          </w:tcPr>
          <w:p w:rsidR="00356ACC" w:rsidRPr="00AF28B6" w:rsidRDefault="00954DBD" w:rsidP="0015595E">
            <w:pPr>
              <w:pStyle w:val="BodyText"/>
              <w:spacing w:before="0" w:after="0"/>
              <w:jc w:val="left"/>
              <w:rPr>
                <w:lang w:val="en-GB"/>
              </w:rPr>
            </w:pPr>
            <w:r>
              <w:rPr>
                <w:lang w:val="en-GB"/>
              </w:rPr>
              <w:t>Public Financial</w:t>
            </w:r>
            <w:r w:rsidR="00356ACC">
              <w:rPr>
                <w:lang w:val="en-GB"/>
              </w:rPr>
              <w:t xml:space="preserve"> Management</w:t>
            </w:r>
          </w:p>
        </w:tc>
      </w:tr>
      <w:tr w:rsidR="001B4E4E" w:rsidRPr="00AF28B6" w:rsidTr="0015595E">
        <w:tc>
          <w:tcPr>
            <w:tcW w:w="1701" w:type="dxa"/>
          </w:tcPr>
          <w:p w:rsidR="001B4E4E" w:rsidRPr="00275DDA" w:rsidRDefault="001B4E4E" w:rsidP="0015595E">
            <w:pPr>
              <w:pStyle w:val="BodyText"/>
              <w:spacing w:before="0" w:after="0"/>
              <w:rPr>
                <w:lang w:val="en-GB"/>
              </w:rPr>
            </w:pPr>
            <w:r>
              <w:rPr>
                <w:lang w:val="en-GB"/>
              </w:rPr>
              <w:t>PICPA</w:t>
            </w:r>
          </w:p>
        </w:tc>
        <w:tc>
          <w:tcPr>
            <w:tcW w:w="7230" w:type="dxa"/>
          </w:tcPr>
          <w:p w:rsidR="001B4E4E" w:rsidRPr="00275DDA" w:rsidRDefault="001B4E4E" w:rsidP="0015595E">
            <w:pPr>
              <w:pStyle w:val="BodyText"/>
              <w:spacing w:before="0" w:after="0"/>
              <w:jc w:val="left"/>
              <w:rPr>
                <w:lang w:val="en-GB"/>
              </w:rPr>
            </w:pPr>
            <w:r>
              <w:rPr>
                <w:lang w:val="en-GB"/>
              </w:rPr>
              <w:t>Pacific Islands Centre for Public Administration</w:t>
            </w:r>
          </w:p>
        </w:tc>
      </w:tr>
      <w:tr w:rsidR="00303D81" w:rsidRPr="00AF28B6" w:rsidTr="0015595E">
        <w:tc>
          <w:tcPr>
            <w:tcW w:w="1701" w:type="dxa"/>
          </w:tcPr>
          <w:p w:rsidR="00303D81" w:rsidRPr="00275DDA" w:rsidRDefault="00303D81" w:rsidP="0015595E">
            <w:pPr>
              <w:pStyle w:val="BodyText"/>
              <w:spacing w:before="0" w:after="0"/>
              <w:rPr>
                <w:lang w:val="en-GB"/>
              </w:rPr>
            </w:pPr>
            <w:r>
              <w:rPr>
                <w:lang w:val="en-GB"/>
              </w:rPr>
              <w:t>PRM</w:t>
            </w:r>
          </w:p>
        </w:tc>
        <w:tc>
          <w:tcPr>
            <w:tcW w:w="7230" w:type="dxa"/>
          </w:tcPr>
          <w:p w:rsidR="00303D81" w:rsidRPr="00275DDA" w:rsidRDefault="00303D81" w:rsidP="0015595E">
            <w:pPr>
              <w:pStyle w:val="BodyText"/>
              <w:spacing w:before="0" w:after="0"/>
              <w:jc w:val="left"/>
              <w:rPr>
                <w:lang w:val="en-GB"/>
              </w:rPr>
            </w:pPr>
            <w:r>
              <w:rPr>
                <w:lang w:val="en-GB"/>
              </w:rPr>
              <w:t>Policy Reform Matrix</w:t>
            </w:r>
          </w:p>
        </w:tc>
      </w:tr>
      <w:tr w:rsidR="00356ACC" w:rsidRPr="00AF28B6" w:rsidTr="0015595E">
        <w:tc>
          <w:tcPr>
            <w:tcW w:w="1701" w:type="dxa"/>
          </w:tcPr>
          <w:p w:rsidR="00356ACC" w:rsidRPr="00AF28B6" w:rsidRDefault="00356ACC" w:rsidP="0015595E">
            <w:pPr>
              <w:pStyle w:val="BodyText"/>
              <w:spacing w:before="0" w:after="0"/>
              <w:rPr>
                <w:lang w:val="en-GB"/>
              </w:rPr>
            </w:pPr>
            <w:r w:rsidRPr="00275DDA">
              <w:rPr>
                <w:lang w:val="en-GB"/>
              </w:rPr>
              <w:t>PSC</w:t>
            </w:r>
          </w:p>
        </w:tc>
        <w:tc>
          <w:tcPr>
            <w:tcW w:w="7230" w:type="dxa"/>
          </w:tcPr>
          <w:p w:rsidR="00356ACC" w:rsidRPr="00AF28B6" w:rsidRDefault="00356ACC" w:rsidP="0015595E">
            <w:pPr>
              <w:pStyle w:val="BodyText"/>
              <w:spacing w:before="0" w:after="0"/>
              <w:jc w:val="left"/>
              <w:rPr>
                <w:lang w:val="en-GB"/>
              </w:rPr>
            </w:pPr>
            <w:r w:rsidRPr="00275DDA">
              <w:rPr>
                <w:lang w:val="en-GB"/>
              </w:rPr>
              <w:t>Public Services Commission</w:t>
            </w:r>
          </w:p>
        </w:tc>
      </w:tr>
      <w:tr w:rsidR="00954DBD" w:rsidRPr="00AF28B6" w:rsidTr="0015595E">
        <w:tc>
          <w:tcPr>
            <w:tcW w:w="1701" w:type="dxa"/>
          </w:tcPr>
          <w:p w:rsidR="00954DBD" w:rsidRDefault="00954DBD" w:rsidP="0015595E">
            <w:pPr>
              <w:pStyle w:val="BodyText"/>
              <w:spacing w:before="0" w:after="0"/>
              <w:rPr>
                <w:lang w:val="en-GB"/>
              </w:rPr>
            </w:pPr>
            <w:r>
              <w:rPr>
                <w:lang w:val="en-GB"/>
              </w:rPr>
              <w:t>PSDI</w:t>
            </w:r>
          </w:p>
        </w:tc>
        <w:tc>
          <w:tcPr>
            <w:tcW w:w="7230" w:type="dxa"/>
          </w:tcPr>
          <w:p w:rsidR="00954DBD" w:rsidRDefault="00954DBD" w:rsidP="0015595E">
            <w:pPr>
              <w:pStyle w:val="BodyText"/>
              <w:spacing w:before="0" w:after="0"/>
              <w:jc w:val="left"/>
              <w:rPr>
                <w:lang w:val="en-GB"/>
              </w:rPr>
            </w:pPr>
            <w:r>
              <w:rPr>
                <w:lang w:val="en-GB"/>
              </w:rPr>
              <w:t>Private Sector Development Initiative</w:t>
            </w:r>
          </w:p>
        </w:tc>
      </w:tr>
      <w:tr w:rsidR="00356ACC" w:rsidRPr="00AF28B6" w:rsidTr="0015595E">
        <w:tc>
          <w:tcPr>
            <w:tcW w:w="1701" w:type="dxa"/>
          </w:tcPr>
          <w:p w:rsidR="00356ACC" w:rsidRPr="00275DDA" w:rsidRDefault="00356ACC" w:rsidP="0015595E">
            <w:pPr>
              <w:pStyle w:val="BodyText"/>
              <w:spacing w:before="0" w:after="0"/>
              <w:rPr>
                <w:lang w:val="en-GB"/>
              </w:rPr>
            </w:pPr>
            <w:r>
              <w:rPr>
                <w:lang w:val="en-GB"/>
              </w:rPr>
              <w:t>QAI</w:t>
            </w:r>
          </w:p>
        </w:tc>
        <w:tc>
          <w:tcPr>
            <w:tcW w:w="7230" w:type="dxa"/>
          </w:tcPr>
          <w:p w:rsidR="00356ACC" w:rsidRPr="00275DDA" w:rsidRDefault="00356ACC" w:rsidP="00954DBD">
            <w:pPr>
              <w:pStyle w:val="BodyText"/>
              <w:spacing w:before="0" w:after="0"/>
              <w:jc w:val="left"/>
              <w:rPr>
                <w:lang w:val="en-GB"/>
              </w:rPr>
            </w:pPr>
            <w:r>
              <w:rPr>
                <w:lang w:val="en-GB"/>
              </w:rPr>
              <w:t>Quality at Implementation Report</w:t>
            </w:r>
          </w:p>
        </w:tc>
      </w:tr>
      <w:tr w:rsidR="00356ACC" w:rsidRPr="00AF28B6" w:rsidTr="0015595E">
        <w:tc>
          <w:tcPr>
            <w:tcW w:w="1701" w:type="dxa"/>
          </w:tcPr>
          <w:p w:rsidR="00356ACC" w:rsidRPr="00AF28B6" w:rsidRDefault="00356ACC" w:rsidP="0015595E">
            <w:pPr>
              <w:pStyle w:val="BodyText"/>
              <w:spacing w:before="0" w:after="0"/>
              <w:rPr>
                <w:lang w:val="en-GB"/>
              </w:rPr>
            </w:pPr>
            <w:r>
              <w:rPr>
                <w:lang w:val="en-GB"/>
              </w:rPr>
              <w:t>RCA</w:t>
            </w:r>
          </w:p>
        </w:tc>
        <w:tc>
          <w:tcPr>
            <w:tcW w:w="7230" w:type="dxa"/>
          </w:tcPr>
          <w:p w:rsidR="00356ACC" w:rsidRPr="00AF28B6" w:rsidRDefault="00356ACC" w:rsidP="0015595E">
            <w:pPr>
              <w:pStyle w:val="BodyText"/>
              <w:spacing w:before="0" w:after="0"/>
              <w:jc w:val="left"/>
              <w:rPr>
                <w:lang w:val="en-GB"/>
              </w:rPr>
            </w:pPr>
            <w:r>
              <w:rPr>
                <w:lang w:val="en-GB"/>
              </w:rPr>
              <w:t>Root Cause Analysis</w:t>
            </w:r>
          </w:p>
        </w:tc>
      </w:tr>
      <w:tr w:rsidR="00356ACC" w:rsidRPr="00AF28B6" w:rsidTr="0015595E">
        <w:tc>
          <w:tcPr>
            <w:tcW w:w="1701" w:type="dxa"/>
          </w:tcPr>
          <w:p w:rsidR="00356ACC" w:rsidRDefault="00356ACC" w:rsidP="0015595E">
            <w:pPr>
              <w:pStyle w:val="BodyText"/>
              <w:spacing w:before="0" w:after="0"/>
              <w:rPr>
                <w:lang w:val="en-GB"/>
              </w:rPr>
            </w:pPr>
            <w:r w:rsidRPr="00D55B07">
              <w:rPr>
                <w:lang w:val="en-GB"/>
              </w:rPr>
              <w:t>RMS</w:t>
            </w:r>
          </w:p>
        </w:tc>
        <w:tc>
          <w:tcPr>
            <w:tcW w:w="7230" w:type="dxa"/>
          </w:tcPr>
          <w:p w:rsidR="00356ACC" w:rsidRDefault="00356ACC" w:rsidP="0015595E">
            <w:pPr>
              <w:pStyle w:val="BodyText"/>
              <w:spacing w:before="0" w:after="0"/>
              <w:jc w:val="left"/>
              <w:rPr>
                <w:lang w:val="en-GB"/>
              </w:rPr>
            </w:pPr>
            <w:r>
              <w:rPr>
                <w:lang w:val="en-GB"/>
              </w:rPr>
              <w:t>Revenue Management System</w:t>
            </w:r>
          </w:p>
        </w:tc>
      </w:tr>
      <w:tr w:rsidR="00356ACC" w:rsidRPr="00AF28B6" w:rsidTr="0015595E">
        <w:tc>
          <w:tcPr>
            <w:tcW w:w="1701" w:type="dxa"/>
          </w:tcPr>
          <w:p w:rsidR="00356ACC" w:rsidRPr="00D55B07" w:rsidRDefault="00356ACC" w:rsidP="0015595E">
            <w:pPr>
              <w:pStyle w:val="BodyText"/>
              <w:spacing w:before="0" w:after="0"/>
              <w:rPr>
                <w:lang w:val="en-GB"/>
              </w:rPr>
            </w:pPr>
            <w:r w:rsidRPr="00A70891">
              <w:rPr>
                <w:lang w:val="en-GB"/>
              </w:rPr>
              <w:t>SIDS</w:t>
            </w:r>
          </w:p>
        </w:tc>
        <w:tc>
          <w:tcPr>
            <w:tcW w:w="7230" w:type="dxa"/>
          </w:tcPr>
          <w:p w:rsidR="00356ACC" w:rsidRDefault="00356ACC" w:rsidP="0015595E">
            <w:pPr>
              <w:pStyle w:val="BodyText"/>
              <w:spacing w:before="0" w:after="0"/>
              <w:jc w:val="left"/>
              <w:rPr>
                <w:lang w:val="en-GB"/>
              </w:rPr>
            </w:pPr>
            <w:r>
              <w:rPr>
                <w:lang w:val="en-GB"/>
              </w:rPr>
              <w:t>S</w:t>
            </w:r>
            <w:r w:rsidRPr="00A70891">
              <w:rPr>
                <w:lang w:val="en-GB"/>
              </w:rPr>
              <w:t>mall-island developing states</w:t>
            </w:r>
          </w:p>
        </w:tc>
      </w:tr>
      <w:tr w:rsidR="00356ACC" w:rsidRPr="00AF28B6" w:rsidTr="0015595E">
        <w:tc>
          <w:tcPr>
            <w:tcW w:w="1701" w:type="dxa"/>
          </w:tcPr>
          <w:p w:rsidR="00356ACC" w:rsidRPr="00AF28B6" w:rsidRDefault="00356ACC" w:rsidP="0015595E">
            <w:pPr>
              <w:pStyle w:val="BodyText"/>
              <w:spacing w:before="0" w:after="0"/>
              <w:rPr>
                <w:lang w:val="en-GB"/>
              </w:rPr>
            </w:pPr>
            <w:r w:rsidRPr="0050648B">
              <w:rPr>
                <w:lang w:val="en-GB"/>
              </w:rPr>
              <w:t>TSDF</w:t>
            </w:r>
          </w:p>
        </w:tc>
        <w:tc>
          <w:tcPr>
            <w:tcW w:w="7230" w:type="dxa"/>
          </w:tcPr>
          <w:p w:rsidR="00356ACC" w:rsidRPr="00AF28B6" w:rsidRDefault="00356ACC" w:rsidP="0015595E">
            <w:pPr>
              <w:pStyle w:val="BodyText"/>
              <w:spacing w:before="0" w:after="0"/>
              <w:jc w:val="left"/>
              <w:rPr>
                <w:lang w:val="en-GB"/>
              </w:rPr>
            </w:pPr>
            <w:r w:rsidRPr="0050648B">
              <w:rPr>
                <w:lang w:val="en-GB"/>
              </w:rPr>
              <w:t>Tonga Strategic Development Framework</w:t>
            </w:r>
            <w:r>
              <w:rPr>
                <w:lang w:val="en-GB"/>
              </w:rPr>
              <w:t xml:space="preserve"> 2011 - 2014</w:t>
            </w:r>
          </w:p>
        </w:tc>
      </w:tr>
      <w:tr w:rsidR="00356ACC" w:rsidRPr="00AF28B6" w:rsidTr="0015595E">
        <w:tc>
          <w:tcPr>
            <w:tcW w:w="1701" w:type="dxa"/>
          </w:tcPr>
          <w:p w:rsidR="00356ACC" w:rsidRPr="00AF28B6" w:rsidRDefault="00356ACC" w:rsidP="0015595E">
            <w:pPr>
              <w:pStyle w:val="BodyText"/>
              <w:spacing w:before="0" w:after="0"/>
              <w:rPr>
                <w:lang w:val="en-GB"/>
              </w:rPr>
            </w:pPr>
            <w:r>
              <w:rPr>
                <w:lang w:val="en-GB"/>
              </w:rPr>
              <w:t>UN</w:t>
            </w:r>
          </w:p>
        </w:tc>
        <w:tc>
          <w:tcPr>
            <w:tcW w:w="7230" w:type="dxa"/>
          </w:tcPr>
          <w:p w:rsidR="00356ACC" w:rsidRPr="00AF28B6" w:rsidRDefault="00356ACC" w:rsidP="0015595E">
            <w:pPr>
              <w:pStyle w:val="BodyText"/>
              <w:spacing w:before="0" w:after="0"/>
              <w:jc w:val="left"/>
              <w:rPr>
                <w:lang w:val="en-GB"/>
              </w:rPr>
            </w:pPr>
            <w:r>
              <w:rPr>
                <w:lang w:val="en-GB"/>
              </w:rPr>
              <w:t>United Nations</w:t>
            </w:r>
          </w:p>
        </w:tc>
      </w:tr>
      <w:tr w:rsidR="00CC42BB" w:rsidRPr="00AF28B6" w:rsidTr="0015595E">
        <w:tc>
          <w:tcPr>
            <w:tcW w:w="1701" w:type="dxa"/>
          </w:tcPr>
          <w:p w:rsidR="00CC42BB" w:rsidRDefault="00CC42BB" w:rsidP="0015595E">
            <w:pPr>
              <w:pStyle w:val="BodyText"/>
              <w:spacing w:before="0" w:after="0"/>
              <w:rPr>
                <w:lang w:val="en-GB"/>
              </w:rPr>
            </w:pPr>
            <w:r>
              <w:rPr>
                <w:lang w:val="en-GB"/>
              </w:rPr>
              <w:t>UNDP</w:t>
            </w:r>
          </w:p>
        </w:tc>
        <w:tc>
          <w:tcPr>
            <w:tcW w:w="7230" w:type="dxa"/>
          </w:tcPr>
          <w:p w:rsidR="00CC42BB" w:rsidRDefault="00CC42BB" w:rsidP="0015595E">
            <w:pPr>
              <w:pStyle w:val="BodyText"/>
              <w:spacing w:before="0" w:after="0"/>
              <w:jc w:val="left"/>
              <w:rPr>
                <w:lang w:val="en-GB"/>
              </w:rPr>
            </w:pPr>
            <w:r>
              <w:rPr>
                <w:lang w:val="en-GB"/>
              </w:rPr>
              <w:t>United Nations Development Program</w:t>
            </w:r>
          </w:p>
        </w:tc>
      </w:tr>
      <w:tr w:rsidR="00356ACC" w:rsidRPr="00AF28B6" w:rsidTr="0015595E">
        <w:tc>
          <w:tcPr>
            <w:tcW w:w="1701" w:type="dxa"/>
          </w:tcPr>
          <w:p w:rsidR="00356ACC" w:rsidRPr="00AF28B6" w:rsidRDefault="00356ACC" w:rsidP="0015595E">
            <w:pPr>
              <w:pStyle w:val="BodyText"/>
              <w:spacing w:before="0" w:after="0"/>
              <w:rPr>
                <w:lang w:val="en-GB"/>
              </w:rPr>
            </w:pPr>
            <w:r>
              <w:rPr>
                <w:lang w:val="en-GB"/>
              </w:rPr>
              <w:t>WB</w:t>
            </w:r>
          </w:p>
        </w:tc>
        <w:tc>
          <w:tcPr>
            <w:tcW w:w="7230" w:type="dxa"/>
          </w:tcPr>
          <w:p w:rsidR="00356ACC" w:rsidRPr="00AF28B6" w:rsidRDefault="00356ACC" w:rsidP="0015595E">
            <w:pPr>
              <w:pStyle w:val="BodyText"/>
              <w:spacing w:before="0" w:after="0"/>
              <w:jc w:val="left"/>
              <w:rPr>
                <w:lang w:val="en-GB"/>
              </w:rPr>
            </w:pPr>
            <w:r>
              <w:rPr>
                <w:lang w:val="en-GB"/>
              </w:rPr>
              <w:t>World Bank</w:t>
            </w:r>
          </w:p>
        </w:tc>
      </w:tr>
    </w:tbl>
    <w:p w:rsidR="00356ACC" w:rsidRPr="00356ACC" w:rsidRDefault="00356ACC" w:rsidP="00356ACC">
      <w:pPr>
        <w:rPr>
          <w:rFonts w:asciiTheme="minorHAnsi" w:hAnsiTheme="minorHAnsi" w:cstheme="minorHAnsi"/>
        </w:rPr>
      </w:pPr>
      <w:r w:rsidRPr="00356ACC">
        <w:rPr>
          <w:rFonts w:asciiTheme="minorHAnsi" w:hAnsiTheme="minorHAnsi" w:cstheme="minorHAnsi"/>
        </w:rPr>
        <w:br w:type="page"/>
      </w:r>
    </w:p>
    <w:p w:rsidR="000D5DD2" w:rsidRPr="0008167A" w:rsidRDefault="000D5DD2" w:rsidP="00A11CCA">
      <w:pPr>
        <w:pStyle w:val="Heading1"/>
        <w:numPr>
          <w:ilvl w:val="0"/>
          <w:numId w:val="6"/>
        </w:numPr>
        <w:spacing w:before="0" w:after="240" w:line="276" w:lineRule="auto"/>
        <w:rPr>
          <w:sz w:val="24"/>
        </w:rPr>
      </w:pPr>
      <w:bookmarkStart w:id="6" w:name="_Toc356389361"/>
      <w:r w:rsidRPr="0008167A">
        <w:rPr>
          <w:sz w:val="24"/>
        </w:rPr>
        <w:t xml:space="preserve">Executive </w:t>
      </w:r>
      <w:r w:rsidR="00F645AD">
        <w:rPr>
          <w:sz w:val="24"/>
        </w:rPr>
        <w:t>s</w:t>
      </w:r>
      <w:r w:rsidRPr="0008167A">
        <w:rPr>
          <w:sz w:val="24"/>
        </w:rPr>
        <w:t>ummary</w:t>
      </w:r>
      <w:bookmarkEnd w:id="6"/>
    </w:p>
    <w:p w:rsidR="00041EA7" w:rsidRPr="00F77F7C" w:rsidRDefault="00F77F7C" w:rsidP="007450EE">
      <w:pPr>
        <w:rPr>
          <w:rFonts w:asciiTheme="minorHAnsi" w:hAnsiTheme="minorHAnsi" w:cstheme="minorHAnsi"/>
          <w:color w:val="000000"/>
        </w:rPr>
      </w:pPr>
      <w:r w:rsidRPr="00F77F7C">
        <w:rPr>
          <w:rFonts w:asciiTheme="minorHAnsi" w:hAnsiTheme="minorHAnsi" w:cstheme="minorHAnsi"/>
          <w:color w:val="000000"/>
        </w:rPr>
        <w:t>Since 2001, the Government of Tonga</w:t>
      </w:r>
      <w:r w:rsidR="00E1009E">
        <w:rPr>
          <w:rFonts w:asciiTheme="minorHAnsi" w:hAnsiTheme="minorHAnsi" w:cstheme="minorHAnsi"/>
          <w:color w:val="000000"/>
        </w:rPr>
        <w:t xml:space="preserve"> (GoT)</w:t>
      </w:r>
      <w:r w:rsidRPr="00F77F7C">
        <w:rPr>
          <w:rFonts w:asciiTheme="minorHAnsi" w:hAnsiTheme="minorHAnsi" w:cstheme="minorHAnsi"/>
          <w:color w:val="000000"/>
        </w:rPr>
        <w:t xml:space="preserve"> has been committed to </w:t>
      </w:r>
      <w:r w:rsidR="00CB5210">
        <w:rPr>
          <w:rFonts w:asciiTheme="minorHAnsi" w:hAnsiTheme="minorHAnsi" w:cstheme="minorHAnsi"/>
          <w:color w:val="000000"/>
        </w:rPr>
        <w:t xml:space="preserve">implementing </w:t>
      </w:r>
      <w:r w:rsidRPr="00F77F7C">
        <w:rPr>
          <w:rFonts w:asciiTheme="minorHAnsi" w:hAnsiTheme="minorHAnsi" w:cstheme="minorHAnsi"/>
          <w:color w:val="000000"/>
        </w:rPr>
        <w:t>a comprehensive economic and public sector reform program.</w:t>
      </w:r>
      <w:r w:rsidR="002C0B10">
        <w:rPr>
          <w:rFonts w:asciiTheme="minorHAnsi" w:hAnsiTheme="minorHAnsi" w:cstheme="minorHAnsi"/>
          <w:color w:val="000000"/>
        </w:rPr>
        <w:t xml:space="preserve"> The reform program</w:t>
      </w:r>
      <w:r w:rsidR="00CB5210">
        <w:rPr>
          <w:rFonts w:asciiTheme="minorHAnsi" w:hAnsiTheme="minorHAnsi" w:cstheme="minorHAnsi"/>
          <w:color w:val="000000"/>
        </w:rPr>
        <w:t xml:space="preserve"> </w:t>
      </w:r>
      <w:r w:rsidR="002C0B10">
        <w:rPr>
          <w:rFonts w:asciiTheme="minorHAnsi" w:hAnsiTheme="minorHAnsi" w:cstheme="minorHAnsi"/>
          <w:color w:val="000000"/>
        </w:rPr>
        <w:t xml:space="preserve">is supported by new rolling three-year Corporate Plans and a Public Financial Management (PFM) Roadmap </w:t>
      </w:r>
      <w:r w:rsidR="002C0B10" w:rsidRPr="00E13609">
        <w:rPr>
          <w:rFonts w:asciiTheme="minorHAnsi" w:hAnsiTheme="minorHAnsi" w:cstheme="minorHAnsi"/>
        </w:rPr>
        <w:t>focused on improvin</w:t>
      </w:r>
      <w:r w:rsidR="002C0B10">
        <w:rPr>
          <w:rFonts w:asciiTheme="minorHAnsi" w:hAnsiTheme="minorHAnsi" w:cstheme="minorHAnsi"/>
        </w:rPr>
        <w:t>g the performance of government and</w:t>
      </w:r>
      <w:r w:rsidR="002C0B10" w:rsidRPr="00E13609">
        <w:rPr>
          <w:rFonts w:asciiTheme="minorHAnsi" w:hAnsiTheme="minorHAnsi" w:cstheme="minorHAnsi"/>
        </w:rPr>
        <w:t xml:space="preserve"> public service delivery, and strengthening </w:t>
      </w:r>
      <w:r w:rsidR="002C0B10">
        <w:rPr>
          <w:rFonts w:asciiTheme="minorHAnsi" w:hAnsiTheme="minorHAnsi" w:cstheme="minorHAnsi"/>
        </w:rPr>
        <w:t xml:space="preserve">PFM </w:t>
      </w:r>
      <w:r w:rsidR="002C0B10" w:rsidRPr="00E13609">
        <w:rPr>
          <w:rFonts w:asciiTheme="minorHAnsi" w:hAnsiTheme="minorHAnsi" w:cstheme="minorHAnsi"/>
        </w:rPr>
        <w:t xml:space="preserve">systems </w:t>
      </w:r>
      <w:r w:rsidR="002C0B10">
        <w:rPr>
          <w:rFonts w:asciiTheme="minorHAnsi" w:hAnsiTheme="minorHAnsi" w:cstheme="minorHAnsi"/>
        </w:rPr>
        <w:t>to promote</w:t>
      </w:r>
      <w:r w:rsidR="002C0B10" w:rsidRPr="00E13609">
        <w:rPr>
          <w:rFonts w:asciiTheme="minorHAnsi" w:hAnsiTheme="minorHAnsi" w:cstheme="minorHAnsi"/>
        </w:rPr>
        <w:t xml:space="preserve"> the efficient use of resources</w:t>
      </w:r>
      <w:r w:rsidR="002C0B10" w:rsidRPr="002C7628">
        <w:rPr>
          <w:rFonts w:asciiTheme="minorHAnsi" w:hAnsiTheme="minorHAnsi" w:cstheme="minorHAnsi"/>
        </w:rPr>
        <w:t>.</w:t>
      </w:r>
      <w:r w:rsidR="002C7628" w:rsidRPr="002C7628">
        <w:rPr>
          <w:rFonts w:asciiTheme="minorHAnsi" w:hAnsiTheme="minorHAnsi" w:cstheme="minorHAnsi"/>
        </w:rPr>
        <w:t xml:space="preserve"> </w:t>
      </w:r>
    </w:p>
    <w:p w:rsidR="00041EA7" w:rsidRDefault="00041EA7" w:rsidP="007450EE">
      <w:pPr>
        <w:rPr>
          <w:rFonts w:asciiTheme="minorHAnsi" w:hAnsiTheme="minorHAnsi" w:cstheme="minorHAnsi"/>
          <w:color w:val="000000"/>
        </w:rPr>
      </w:pPr>
    </w:p>
    <w:p w:rsidR="008B1405" w:rsidRDefault="008B1405" w:rsidP="003E28D1">
      <w:pPr>
        <w:rPr>
          <w:rFonts w:asciiTheme="minorHAnsi" w:hAnsiTheme="minorHAnsi" w:cstheme="minorHAnsi"/>
          <w:color w:val="000000"/>
        </w:rPr>
      </w:pPr>
      <w:r>
        <w:rPr>
          <w:rFonts w:asciiTheme="minorHAnsi" w:hAnsiTheme="minorHAnsi" w:cstheme="minorHAnsi"/>
          <w:color w:val="000000"/>
        </w:rPr>
        <w:t>Australia has provided support for the government’s reform program under Partnership Outcome</w:t>
      </w:r>
      <w:r w:rsidR="00DC4E14">
        <w:rPr>
          <w:rFonts w:asciiTheme="minorHAnsi" w:hAnsiTheme="minorHAnsi" w:cstheme="minorHAnsi"/>
          <w:color w:val="000000"/>
        </w:rPr>
        <w:t xml:space="preserve"> One</w:t>
      </w:r>
      <w:r>
        <w:rPr>
          <w:rFonts w:asciiTheme="minorHAnsi" w:hAnsiTheme="minorHAnsi" w:cstheme="minorHAnsi"/>
          <w:color w:val="000000"/>
        </w:rPr>
        <w:t xml:space="preserve"> of the Tonga Australia Partnership for Development, and in line with commitments towards ‘</w:t>
      </w:r>
      <w:r w:rsidR="00E1009E">
        <w:rPr>
          <w:rFonts w:asciiTheme="minorHAnsi" w:hAnsiTheme="minorHAnsi" w:cstheme="minorHAnsi"/>
          <w:color w:val="000000"/>
        </w:rPr>
        <w:t>a</w:t>
      </w:r>
      <w:r w:rsidR="002C0B10">
        <w:rPr>
          <w:rFonts w:asciiTheme="minorHAnsi" w:hAnsiTheme="minorHAnsi" w:cstheme="minorHAnsi"/>
          <w:color w:val="000000"/>
        </w:rPr>
        <w:t xml:space="preserve">id </w:t>
      </w:r>
      <w:r w:rsidR="00E1009E">
        <w:rPr>
          <w:rFonts w:asciiTheme="minorHAnsi" w:hAnsiTheme="minorHAnsi" w:cstheme="minorHAnsi"/>
          <w:color w:val="000000"/>
        </w:rPr>
        <w:t>e</w:t>
      </w:r>
      <w:r w:rsidR="002C0B10">
        <w:rPr>
          <w:rFonts w:asciiTheme="minorHAnsi" w:hAnsiTheme="minorHAnsi" w:cstheme="minorHAnsi"/>
          <w:color w:val="000000"/>
        </w:rPr>
        <w:t>ffectiveness</w:t>
      </w:r>
      <w:r>
        <w:rPr>
          <w:rFonts w:asciiTheme="minorHAnsi" w:hAnsiTheme="minorHAnsi" w:cstheme="minorHAnsi"/>
          <w:color w:val="000000"/>
        </w:rPr>
        <w:t>’ made at Paris, Accra and Busan.</w:t>
      </w:r>
      <w:r w:rsidR="002C7628">
        <w:rPr>
          <w:rFonts w:asciiTheme="minorHAnsi" w:hAnsiTheme="minorHAnsi" w:cstheme="minorHAnsi"/>
          <w:color w:val="000000"/>
        </w:rPr>
        <w:t xml:space="preserve"> Australia’s aid program supports achievement of the GoT’s </w:t>
      </w:r>
      <w:r w:rsidR="002C7628">
        <w:rPr>
          <w:rFonts w:asciiTheme="minorHAnsi" w:hAnsiTheme="minorHAnsi" w:cstheme="minorHAnsi"/>
        </w:rPr>
        <w:t xml:space="preserve">Tonga Strategic Development Framework (TSDF) 2011-14, which provides the strategic direction to guide the work </w:t>
      </w:r>
      <w:r w:rsidR="002C7628" w:rsidRPr="00C21A9A">
        <w:rPr>
          <w:rFonts w:asciiTheme="minorHAnsi" w:hAnsiTheme="minorHAnsi" w:cstheme="minorHAnsi"/>
        </w:rPr>
        <w:t>of the GoT to achieve development outcomes over its four-year term.</w:t>
      </w:r>
      <w:r w:rsidRPr="00C21A9A">
        <w:rPr>
          <w:rFonts w:asciiTheme="minorHAnsi" w:hAnsiTheme="minorHAnsi" w:cstheme="minorHAnsi"/>
          <w:color w:val="000000"/>
        </w:rPr>
        <w:t xml:space="preserve"> It is envisaged that support for a more effective and efficient public sector</w:t>
      </w:r>
      <w:r w:rsidR="00C21A9A" w:rsidRPr="00C21A9A">
        <w:rPr>
          <w:rFonts w:asciiTheme="minorHAnsi" w:hAnsiTheme="minorHAnsi" w:cstheme="minorHAnsi"/>
          <w:color w:val="000000"/>
        </w:rPr>
        <w:t xml:space="preserve"> (</w:t>
      </w:r>
      <w:r w:rsidR="00C21A9A">
        <w:rPr>
          <w:rFonts w:asciiTheme="minorHAnsi" w:hAnsiTheme="minorHAnsi" w:cstheme="minorHAnsi"/>
          <w:color w:val="000000"/>
        </w:rPr>
        <w:t xml:space="preserve">the core objective of </w:t>
      </w:r>
      <w:r w:rsidR="00C21A9A" w:rsidRPr="00C21A9A">
        <w:rPr>
          <w:rFonts w:asciiTheme="minorHAnsi" w:hAnsiTheme="minorHAnsi" w:cstheme="minorHAnsi"/>
          <w:color w:val="000000"/>
        </w:rPr>
        <w:t>Partnership</w:t>
      </w:r>
      <w:r w:rsidR="00C21A9A">
        <w:rPr>
          <w:rFonts w:asciiTheme="minorHAnsi" w:hAnsiTheme="minorHAnsi" w:cstheme="minorHAnsi"/>
          <w:color w:val="000000"/>
        </w:rPr>
        <w:t xml:space="preserve"> Outcome One</w:t>
      </w:r>
      <w:r w:rsidR="00C21A9A" w:rsidRPr="00C21A9A">
        <w:rPr>
          <w:rFonts w:asciiTheme="minorHAnsi" w:hAnsiTheme="minorHAnsi" w:cstheme="minorHAnsi"/>
          <w:color w:val="000000"/>
        </w:rPr>
        <w:t>)</w:t>
      </w:r>
      <w:r w:rsidRPr="00C21A9A">
        <w:rPr>
          <w:rFonts w:asciiTheme="minorHAnsi" w:hAnsiTheme="minorHAnsi" w:cstheme="minorHAnsi"/>
          <w:color w:val="000000"/>
        </w:rPr>
        <w:t xml:space="preserve"> can provide the basis for </w:t>
      </w:r>
      <w:r w:rsidRPr="00C21A9A">
        <w:rPr>
          <w:rFonts w:asciiTheme="minorHAnsi" w:hAnsiTheme="minorHAnsi" w:cstheme="minorHAnsi"/>
        </w:rPr>
        <w:t>implementing policies and programs that promote sustainable improvements in living standards and ensure that service delivery reaches the poor.</w:t>
      </w:r>
    </w:p>
    <w:p w:rsidR="008B1405" w:rsidRDefault="008B1405" w:rsidP="003E28D1">
      <w:pPr>
        <w:rPr>
          <w:rFonts w:asciiTheme="minorHAnsi" w:hAnsiTheme="minorHAnsi" w:cstheme="minorHAnsi"/>
          <w:color w:val="000000"/>
        </w:rPr>
      </w:pPr>
    </w:p>
    <w:p w:rsidR="009774F7" w:rsidRDefault="00E1009E" w:rsidP="003E28D1">
      <w:pPr>
        <w:rPr>
          <w:rFonts w:asciiTheme="minorHAnsi" w:hAnsiTheme="minorHAnsi" w:cstheme="minorHAnsi"/>
          <w:color w:val="000000"/>
        </w:rPr>
      </w:pPr>
      <w:r>
        <w:rPr>
          <w:rFonts w:asciiTheme="minorHAnsi" w:hAnsiTheme="minorHAnsi" w:cstheme="minorHAnsi"/>
          <w:color w:val="000000"/>
        </w:rPr>
        <w:t xml:space="preserve">To date, Australia’s program of support to economic and public sector reforms </w:t>
      </w:r>
      <w:r w:rsidR="009774F7">
        <w:rPr>
          <w:rFonts w:asciiTheme="minorHAnsi" w:hAnsiTheme="minorHAnsi" w:cstheme="minorHAnsi"/>
          <w:color w:val="000000"/>
        </w:rPr>
        <w:t xml:space="preserve">(EPSR) </w:t>
      </w:r>
      <w:r>
        <w:rPr>
          <w:rFonts w:asciiTheme="minorHAnsi" w:hAnsiTheme="minorHAnsi" w:cstheme="minorHAnsi"/>
          <w:color w:val="000000"/>
        </w:rPr>
        <w:t xml:space="preserve">has been relatively ad hoc, largely </w:t>
      </w:r>
      <w:r w:rsidR="009774F7">
        <w:rPr>
          <w:rFonts w:asciiTheme="minorHAnsi" w:hAnsiTheme="minorHAnsi" w:cstheme="minorHAnsi"/>
          <w:color w:val="000000"/>
        </w:rPr>
        <w:t>as a result of Tonga’s political and economic environment and the need for the program to respond to the short-term needs of the GoT following a number of political and economic disruptions (civil unrest in 2006, lingering effects of the global financial crisis, a series of natural disaster</w:t>
      </w:r>
      <w:r w:rsidR="00F269A5">
        <w:rPr>
          <w:rFonts w:asciiTheme="minorHAnsi" w:hAnsiTheme="minorHAnsi" w:cstheme="minorHAnsi"/>
          <w:color w:val="000000"/>
        </w:rPr>
        <w:t>s</w:t>
      </w:r>
      <w:r w:rsidR="009774F7">
        <w:rPr>
          <w:rFonts w:asciiTheme="minorHAnsi" w:hAnsiTheme="minorHAnsi" w:cstheme="minorHAnsi"/>
          <w:color w:val="000000"/>
        </w:rPr>
        <w:t xml:space="preserve">, and an increasing debt burden). </w:t>
      </w:r>
      <w:r w:rsidR="003E28D1">
        <w:rPr>
          <w:rFonts w:asciiTheme="minorHAnsi" w:hAnsiTheme="minorHAnsi" w:cstheme="minorHAnsi"/>
          <w:color w:val="000000"/>
        </w:rPr>
        <w:t xml:space="preserve">Tonga has recently undergone a period of significant transition including a move to democratisation in 2010 and a civil service restructure in 2011. As Tonga’s new political and institutional system becomes more embedded, AusAID </w:t>
      </w:r>
      <w:r w:rsidR="00975A5C">
        <w:rPr>
          <w:rFonts w:asciiTheme="minorHAnsi" w:hAnsiTheme="minorHAnsi" w:cstheme="minorHAnsi"/>
          <w:color w:val="000000"/>
        </w:rPr>
        <w:t xml:space="preserve">is seeking to </w:t>
      </w:r>
      <w:r w:rsidR="003E28D1">
        <w:rPr>
          <w:rFonts w:asciiTheme="minorHAnsi" w:hAnsiTheme="minorHAnsi" w:cstheme="minorHAnsi"/>
          <w:color w:val="000000"/>
        </w:rPr>
        <w:t xml:space="preserve">adopt a strategic framework to reflect a renewed medium-term focus by the GoT and donors. </w:t>
      </w:r>
    </w:p>
    <w:p w:rsidR="00CB5210" w:rsidRDefault="00CB5210" w:rsidP="007450EE">
      <w:pPr>
        <w:rPr>
          <w:rFonts w:asciiTheme="minorHAnsi" w:hAnsiTheme="minorHAnsi" w:cstheme="minorHAnsi"/>
          <w:color w:val="000000"/>
        </w:rPr>
      </w:pPr>
    </w:p>
    <w:p w:rsidR="00391A9B" w:rsidRDefault="0096181D" w:rsidP="007450EE">
      <w:pPr>
        <w:rPr>
          <w:rFonts w:asciiTheme="minorHAnsi" w:hAnsiTheme="minorHAnsi" w:cstheme="minorHAnsi"/>
          <w:color w:val="000000"/>
        </w:rPr>
      </w:pPr>
      <w:r>
        <w:rPr>
          <w:rFonts w:asciiTheme="minorHAnsi" w:hAnsiTheme="minorHAnsi" w:cstheme="minorHAnsi"/>
          <w:color w:val="000000"/>
        </w:rPr>
        <w:t xml:space="preserve">This Delivery Strategy provides a strategic framework for AusAID to better prioritise areas of support for improved economic and public sector governance in Tonga. </w:t>
      </w:r>
      <w:r w:rsidR="00041EA7">
        <w:rPr>
          <w:rFonts w:asciiTheme="minorHAnsi" w:hAnsiTheme="minorHAnsi" w:cstheme="minorHAnsi"/>
          <w:color w:val="000000"/>
        </w:rPr>
        <w:t>The framework will allow AusAID to manage requests for assistance based on clear prioritisation criteria and, over time, will improve the coherence and effectiveness of Australian assistance in this area.</w:t>
      </w:r>
      <w:r w:rsidR="00DC4E14">
        <w:rPr>
          <w:rFonts w:asciiTheme="minorHAnsi" w:hAnsiTheme="minorHAnsi" w:cstheme="minorHAnsi"/>
          <w:color w:val="000000"/>
        </w:rPr>
        <w:t xml:space="preserve"> The </w:t>
      </w:r>
      <w:r w:rsidR="00847110">
        <w:rPr>
          <w:rFonts w:asciiTheme="minorHAnsi" w:hAnsiTheme="minorHAnsi" w:cstheme="minorHAnsi"/>
          <w:color w:val="000000"/>
        </w:rPr>
        <w:t>Delivery Strategy</w:t>
      </w:r>
      <w:r w:rsidR="00DC4E14">
        <w:rPr>
          <w:rFonts w:asciiTheme="minorHAnsi" w:hAnsiTheme="minorHAnsi" w:cstheme="minorHAnsi"/>
          <w:color w:val="000000"/>
        </w:rPr>
        <w:t xml:space="preserve"> builds on an established program of support to the GoT based on a credible GoT-led reform program. AusAID will continue to provide assistance to the GoT in areas where there is a demonstrated commitment to reform and where the operational environment exists to enable AusAID to contribute effectively to institutional change.</w:t>
      </w:r>
      <w:r w:rsidR="00391A9B">
        <w:rPr>
          <w:rFonts w:asciiTheme="minorHAnsi" w:hAnsiTheme="minorHAnsi" w:cstheme="minorHAnsi"/>
          <w:color w:val="000000"/>
        </w:rPr>
        <w:t xml:space="preserve"> In particular, AusAID will support activities where the following conditions can be met:</w:t>
      </w:r>
    </w:p>
    <w:p w:rsidR="00A47A5C" w:rsidRPr="00C415C7" w:rsidRDefault="00C740F5" w:rsidP="00A11CCA">
      <w:pPr>
        <w:pStyle w:val="ListParagraph"/>
        <w:numPr>
          <w:ilvl w:val="0"/>
          <w:numId w:val="19"/>
        </w:numPr>
        <w:spacing w:before="240" w:after="0"/>
        <w:ind w:left="357" w:hanging="357"/>
        <w:contextualSpacing w:val="0"/>
        <w:rPr>
          <w:rFonts w:cstheme="minorHAnsi"/>
          <w:sz w:val="24"/>
          <w:szCs w:val="24"/>
        </w:rPr>
      </w:pPr>
      <w:r w:rsidRPr="00C415C7">
        <w:rPr>
          <w:rFonts w:cstheme="minorHAnsi"/>
          <w:sz w:val="24"/>
          <w:szCs w:val="24"/>
        </w:rPr>
        <w:t>The activity support</w:t>
      </w:r>
      <w:r w:rsidR="00A47A5C" w:rsidRPr="00C415C7">
        <w:rPr>
          <w:rFonts w:cstheme="minorHAnsi"/>
          <w:sz w:val="24"/>
          <w:szCs w:val="24"/>
        </w:rPr>
        <w:t>s</w:t>
      </w:r>
      <w:r w:rsidRPr="00C415C7">
        <w:rPr>
          <w:rFonts w:cstheme="minorHAnsi"/>
          <w:sz w:val="24"/>
          <w:szCs w:val="24"/>
        </w:rPr>
        <w:t xml:space="preserve"> achievem</w:t>
      </w:r>
      <w:r w:rsidR="00A47A5C" w:rsidRPr="00C415C7">
        <w:rPr>
          <w:rFonts w:cstheme="minorHAnsi"/>
          <w:sz w:val="24"/>
          <w:szCs w:val="24"/>
        </w:rPr>
        <w:t>ent of the Policy Reform Matrix;</w:t>
      </w:r>
    </w:p>
    <w:p w:rsidR="007862A2" w:rsidRPr="00C740F5" w:rsidRDefault="007862A2" w:rsidP="00A11CCA">
      <w:pPr>
        <w:pStyle w:val="ListParagraph"/>
        <w:numPr>
          <w:ilvl w:val="0"/>
          <w:numId w:val="19"/>
        </w:numPr>
        <w:spacing w:before="240"/>
        <w:rPr>
          <w:rFonts w:cstheme="minorHAnsi"/>
        </w:rPr>
      </w:pPr>
      <w:r>
        <w:rPr>
          <w:rFonts w:cstheme="minorHAnsi"/>
          <w:sz w:val="24"/>
          <w:szCs w:val="24"/>
        </w:rPr>
        <w:t xml:space="preserve">The activity is </w:t>
      </w:r>
      <w:r w:rsidRPr="000A4412">
        <w:rPr>
          <w:rFonts w:cstheme="minorHAnsi"/>
          <w:sz w:val="24"/>
          <w:szCs w:val="24"/>
        </w:rPr>
        <w:t xml:space="preserve">identified within the GoT Corporate </w:t>
      </w:r>
      <w:r>
        <w:rPr>
          <w:rFonts w:cstheme="minorHAnsi"/>
          <w:sz w:val="24"/>
          <w:szCs w:val="24"/>
        </w:rPr>
        <w:t>Plans and PFM Roadmap as a key priority for developing a more efficient and effective public sector;</w:t>
      </w:r>
    </w:p>
    <w:p w:rsidR="00391A9B" w:rsidRPr="00746D98" w:rsidRDefault="00391A9B" w:rsidP="00A11CCA">
      <w:pPr>
        <w:pStyle w:val="ListParagraph"/>
        <w:numPr>
          <w:ilvl w:val="0"/>
          <w:numId w:val="19"/>
        </w:numPr>
        <w:rPr>
          <w:rFonts w:cstheme="minorHAnsi"/>
          <w:color w:val="000000"/>
          <w:sz w:val="24"/>
          <w:szCs w:val="24"/>
        </w:rPr>
      </w:pPr>
      <w:r w:rsidRPr="00746D98">
        <w:rPr>
          <w:rFonts w:cstheme="minorHAnsi"/>
          <w:sz w:val="24"/>
          <w:szCs w:val="24"/>
        </w:rPr>
        <w:t>A readiness assessment of the partner agency is conducted bef</w:t>
      </w:r>
      <w:r w:rsidR="00B12B46">
        <w:rPr>
          <w:rFonts w:cstheme="minorHAnsi"/>
          <w:sz w:val="24"/>
          <w:szCs w:val="24"/>
        </w:rPr>
        <w:t>ore assigning long-term advisory support</w:t>
      </w:r>
      <w:r w:rsidR="00F269A5">
        <w:rPr>
          <w:rFonts w:cstheme="minorHAnsi"/>
          <w:sz w:val="24"/>
          <w:szCs w:val="24"/>
        </w:rPr>
        <w:t>;</w:t>
      </w:r>
    </w:p>
    <w:p w:rsidR="00391A9B" w:rsidRPr="00391A9B" w:rsidRDefault="00391A9B" w:rsidP="00A11CCA">
      <w:pPr>
        <w:pStyle w:val="ListParagraph"/>
        <w:numPr>
          <w:ilvl w:val="0"/>
          <w:numId w:val="19"/>
        </w:numPr>
        <w:rPr>
          <w:rFonts w:cstheme="minorHAnsi"/>
          <w:sz w:val="24"/>
          <w:szCs w:val="24"/>
        </w:rPr>
      </w:pPr>
      <w:r w:rsidRPr="00391A9B">
        <w:rPr>
          <w:rFonts w:cstheme="minorHAnsi"/>
          <w:sz w:val="24"/>
          <w:szCs w:val="24"/>
        </w:rPr>
        <w:t xml:space="preserve">The activity displays mutual accountability between </w:t>
      </w:r>
      <w:r w:rsidR="00B12B46">
        <w:rPr>
          <w:rFonts w:cstheme="minorHAnsi"/>
          <w:sz w:val="24"/>
          <w:szCs w:val="24"/>
        </w:rPr>
        <w:t>the Government of Australia (GoA)</w:t>
      </w:r>
      <w:r w:rsidRPr="00391A9B">
        <w:rPr>
          <w:rFonts w:cstheme="minorHAnsi"/>
          <w:sz w:val="24"/>
          <w:szCs w:val="24"/>
        </w:rPr>
        <w:t xml:space="preserve"> and </w:t>
      </w:r>
      <w:r w:rsidR="00B12B46">
        <w:rPr>
          <w:rFonts w:cstheme="minorHAnsi"/>
          <w:sz w:val="24"/>
          <w:szCs w:val="24"/>
        </w:rPr>
        <w:t>the GoT</w:t>
      </w:r>
      <w:r w:rsidRPr="00391A9B">
        <w:rPr>
          <w:rFonts w:cstheme="minorHAnsi"/>
          <w:sz w:val="24"/>
          <w:szCs w:val="24"/>
        </w:rPr>
        <w:t xml:space="preserve"> and, where possible, the activity is underpinned by effective inter-ministerial coordination for policy, economic governance and human resource development for overall effective economic and public sector governance</w:t>
      </w:r>
      <w:r w:rsidR="00F269A5">
        <w:rPr>
          <w:rFonts w:cstheme="minorHAnsi"/>
          <w:sz w:val="24"/>
          <w:szCs w:val="24"/>
        </w:rPr>
        <w:t>;</w:t>
      </w:r>
    </w:p>
    <w:p w:rsidR="00391A9B" w:rsidRPr="00391A9B" w:rsidRDefault="00C740F5" w:rsidP="00A11CCA">
      <w:pPr>
        <w:pStyle w:val="ListParagraph"/>
        <w:numPr>
          <w:ilvl w:val="0"/>
          <w:numId w:val="19"/>
        </w:numPr>
        <w:rPr>
          <w:rFonts w:cstheme="minorHAnsi"/>
          <w:color w:val="000000"/>
          <w:sz w:val="24"/>
          <w:szCs w:val="24"/>
        </w:rPr>
      </w:pPr>
      <w:r w:rsidRPr="000A4412">
        <w:rPr>
          <w:rFonts w:cstheme="minorHAnsi"/>
          <w:sz w:val="24"/>
        </w:rPr>
        <w:t>The</w:t>
      </w:r>
      <w:r>
        <w:rPr>
          <w:rFonts w:cstheme="minorHAnsi"/>
          <w:b/>
          <w:sz w:val="24"/>
        </w:rPr>
        <w:t xml:space="preserve"> </w:t>
      </w:r>
      <w:r w:rsidRPr="0018033F">
        <w:rPr>
          <w:rFonts w:cstheme="minorHAnsi"/>
          <w:sz w:val="24"/>
        </w:rPr>
        <w:t>activity</w:t>
      </w:r>
      <w:r>
        <w:rPr>
          <w:rFonts w:cstheme="minorHAnsi"/>
          <w:b/>
          <w:sz w:val="24"/>
        </w:rPr>
        <w:t xml:space="preserve"> </w:t>
      </w:r>
      <w:r>
        <w:rPr>
          <w:rFonts w:eastAsia="Times New Roman" w:cstheme="minorHAnsi"/>
          <w:sz w:val="24"/>
          <w:szCs w:val="24"/>
          <w:lang w:eastAsia="en-AU"/>
        </w:rPr>
        <w:t>is</w:t>
      </w:r>
      <w:r w:rsidRPr="000A4412">
        <w:rPr>
          <w:rFonts w:eastAsia="Times New Roman" w:cstheme="minorHAnsi"/>
          <w:sz w:val="24"/>
          <w:szCs w:val="24"/>
          <w:lang w:eastAsia="en-AU"/>
        </w:rPr>
        <w:t xml:space="preserve"> able to provide clear results to ensure the delivery of Australia’s aid program is more efficient and effective, in line with the recommendations of AusAID’s Comprehensive Aid Policy Framework</w:t>
      </w:r>
      <w:r>
        <w:rPr>
          <w:rFonts w:eastAsia="Times New Roman" w:cstheme="minorHAnsi"/>
          <w:sz w:val="24"/>
          <w:szCs w:val="24"/>
          <w:lang w:eastAsia="en-AU"/>
        </w:rPr>
        <w:t>.</w:t>
      </w:r>
    </w:p>
    <w:p w:rsidR="005A0460" w:rsidRDefault="00F269A5" w:rsidP="005A0460">
      <w:pPr>
        <w:rPr>
          <w:rFonts w:asciiTheme="minorHAnsi" w:hAnsiTheme="minorHAnsi" w:cstheme="minorHAnsi"/>
          <w:color w:val="000000"/>
        </w:rPr>
      </w:pPr>
      <w:r>
        <w:rPr>
          <w:rFonts w:asciiTheme="minorHAnsi" w:hAnsiTheme="minorHAnsi" w:cstheme="minorHAnsi"/>
          <w:color w:val="000000"/>
        </w:rPr>
        <w:t>AusAID’s Economic and Public Sector Governance</w:t>
      </w:r>
      <w:r w:rsidR="005A0460" w:rsidRPr="005A0460">
        <w:rPr>
          <w:rFonts w:asciiTheme="minorHAnsi" w:hAnsiTheme="minorHAnsi" w:cstheme="minorHAnsi"/>
          <w:color w:val="000000"/>
        </w:rPr>
        <w:t xml:space="preserve"> </w:t>
      </w:r>
      <w:r w:rsidR="006E1D20">
        <w:rPr>
          <w:rFonts w:asciiTheme="minorHAnsi" w:hAnsiTheme="minorHAnsi" w:cstheme="minorHAnsi"/>
          <w:color w:val="000000"/>
        </w:rPr>
        <w:t>Delivery Strategy</w:t>
      </w:r>
      <w:r>
        <w:rPr>
          <w:rFonts w:asciiTheme="minorHAnsi" w:hAnsiTheme="minorHAnsi" w:cstheme="minorHAnsi"/>
          <w:color w:val="000000"/>
        </w:rPr>
        <w:t xml:space="preserve"> </w:t>
      </w:r>
      <w:r w:rsidR="005A0460" w:rsidRPr="005A0460">
        <w:rPr>
          <w:rFonts w:asciiTheme="minorHAnsi" w:hAnsiTheme="minorHAnsi" w:cstheme="minorHAnsi"/>
          <w:color w:val="000000"/>
        </w:rPr>
        <w:t xml:space="preserve">will focus primarily on </w:t>
      </w:r>
      <w:r w:rsidR="005A0460">
        <w:rPr>
          <w:rFonts w:asciiTheme="minorHAnsi" w:hAnsiTheme="minorHAnsi" w:cstheme="minorHAnsi"/>
          <w:color w:val="000000"/>
        </w:rPr>
        <w:t>end-of-strategy outcomes</w:t>
      </w:r>
      <w:r w:rsidR="0010261F">
        <w:rPr>
          <w:rFonts w:asciiTheme="minorHAnsi" w:hAnsiTheme="minorHAnsi" w:cstheme="minorHAnsi"/>
          <w:color w:val="000000"/>
        </w:rPr>
        <w:t xml:space="preserve"> identified under four pillars</w:t>
      </w:r>
      <w:r w:rsidR="00AC0683">
        <w:rPr>
          <w:rFonts w:asciiTheme="minorHAnsi" w:hAnsiTheme="minorHAnsi" w:cstheme="minorHAnsi"/>
          <w:color w:val="000000"/>
        </w:rPr>
        <w:t xml:space="preserve">. These have been developed in collaboration with </w:t>
      </w:r>
      <w:r w:rsidR="004B4551">
        <w:rPr>
          <w:rFonts w:asciiTheme="minorHAnsi" w:hAnsiTheme="minorHAnsi" w:cstheme="minorHAnsi"/>
          <w:color w:val="000000"/>
        </w:rPr>
        <w:t>senior management staff</w:t>
      </w:r>
      <w:r w:rsidR="00AC0683">
        <w:rPr>
          <w:rFonts w:asciiTheme="minorHAnsi" w:hAnsiTheme="minorHAnsi" w:cstheme="minorHAnsi"/>
          <w:color w:val="000000"/>
        </w:rPr>
        <w:t xml:space="preserve"> from the GoT during a Theory of Change workshop held in Tonga in March 2013</w:t>
      </w:r>
      <w:r w:rsidR="00EA486B">
        <w:rPr>
          <w:rFonts w:asciiTheme="minorHAnsi" w:hAnsiTheme="minorHAnsi" w:cstheme="minorHAnsi"/>
          <w:color w:val="000000"/>
        </w:rPr>
        <w:t xml:space="preserve"> and are loosely based on the four enabling themes of the TSDF</w:t>
      </w:r>
      <w:r w:rsidR="00AC0683">
        <w:rPr>
          <w:rFonts w:asciiTheme="minorHAnsi" w:hAnsiTheme="minorHAnsi" w:cstheme="minorHAnsi"/>
          <w:color w:val="000000"/>
        </w:rPr>
        <w:t xml:space="preserve">. </w:t>
      </w:r>
      <w:r w:rsidR="0010261F">
        <w:rPr>
          <w:rFonts w:asciiTheme="minorHAnsi" w:hAnsiTheme="minorHAnsi" w:cstheme="minorHAnsi"/>
          <w:color w:val="000000"/>
        </w:rPr>
        <w:t>The four pillars and e</w:t>
      </w:r>
      <w:r w:rsidR="00AC0683">
        <w:rPr>
          <w:rFonts w:asciiTheme="minorHAnsi" w:hAnsiTheme="minorHAnsi" w:cstheme="minorHAnsi"/>
          <w:color w:val="000000"/>
        </w:rPr>
        <w:t>nd-of-strategy outcomes are</w:t>
      </w:r>
      <w:r w:rsidR="005A0460" w:rsidRPr="005A0460">
        <w:rPr>
          <w:rFonts w:asciiTheme="minorHAnsi" w:hAnsiTheme="minorHAnsi" w:cstheme="minorHAnsi"/>
          <w:color w:val="000000"/>
        </w:rPr>
        <w:t xml:space="preserve">: </w:t>
      </w:r>
    </w:p>
    <w:p w:rsidR="004C5CF0" w:rsidRPr="00C415C7" w:rsidRDefault="005A0460" w:rsidP="00A11CCA">
      <w:pPr>
        <w:pStyle w:val="ListParagraph"/>
        <w:numPr>
          <w:ilvl w:val="0"/>
          <w:numId w:val="19"/>
        </w:numPr>
        <w:spacing w:before="240"/>
        <w:ind w:left="357" w:hanging="357"/>
        <w:contextualSpacing w:val="0"/>
        <w:rPr>
          <w:rFonts w:cstheme="minorHAnsi"/>
          <w:color w:val="000000"/>
          <w:sz w:val="24"/>
        </w:rPr>
      </w:pPr>
      <w:r w:rsidRPr="00537479">
        <w:rPr>
          <w:rFonts w:cstheme="minorHAnsi"/>
          <w:b/>
          <w:color w:val="000000"/>
          <w:sz w:val="24"/>
        </w:rPr>
        <w:t>Public sector governance</w:t>
      </w:r>
      <w:r w:rsidR="006E7BEF">
        <w:rPr>
          <w:rFonts w:cstheme="minorHAnsi"/>
          <w:b/>
          <w:color w:val="000000"/>
          <w:sz w:val="24"/>
        </w:rPr>
        <w:t xml:space="preserve"> – </w:t>
      </w:r>
      <w:r w:rsidR="002320FE" w:rsidRPr="00B93720">
        <w:rPr>
          <w:rFonts w:cstheme="minorHAnsi"/>
          <w:b/>
          <w:color w:val="000000"/>
          <w:sz w:val="24"/>
        </w:rPr>
        <w:t>GoT agencies demonstrate measureable improvement</w:t>
      </w:r>
      <w:r w:rsidR="002320FE" w:rsidRPr="00B93720">
        <w:rPr>
          <w:rFonts w:cstheme="minorHAnsi"/>
          <w:b/>
          <w:sz w:val="24"/>
        </w:rPr>
        <w:t xml:space="preserve"> in the efficiency of public service delivery.</w:t>
      </w:r>
      <w:r w:rsidR="00DB1666" w:rsidRPr="00DB1666">
        <w:rPr>
          <w:rFonts w:cstheme="minorHAnsi"/>
          <w:sz w:val="24"/>
        </w:rPr>
        <w:t xml:space="preserve"> </w:t>
      </w:r>
      <w:r w:rsidR="00EA486B">
        <w:rPr>
          <w:rFonts w:cstheme="minorHAnsi"/>
          <w:sz w:val="24"/>
        </w:rPr>
        <w:t xml:space="preserve">This </w:t>
      </w:r>
      <w:r w:rsidR="004B02CF">
        <w:rPr>
          <w:rFonts w:cstheme="minorHAnsi"/>
          <w:sz w:val="24"/>
        </w:rPr>
        <w:t>pillar</w:t>
      </w:r>
      <w:r w:rsidR="00EA486B">
        <w:rPr>
          <w:rFonts w:cstheme="minorHAnsi"/>
          <w:sz w:val="24"/>
        </w:rPr>
        <w:t xml:space="preserve"> </w:t>
      </w:r>
      <w:r w:rsidR="00B5322F">
        <w:rPr>
          <w:rFonts w:cstheme="minorHAnsi"/>
          <w:sz w:val="24"/>
        </w:rPr>
        <w:t xml:space="preserve">focuses on </w:t>
      </w:r>
      <w:r w:rsidR="00EE36E0">
        <w:rPr>
          <w:rFonts w:cstheme="minorHAnsi"/>
          <w:sz w:val="24"/>
        </w:rPr>
        <w:t>strengthening</w:t>
      </w:r>
      <w:r w:rsidR="00B5322F">
        <w:rPr>
          <w:rFonts w:cstheme="minorHAnsi"/>
          <w:sz w:val="24"/>
        </w:rPr>
        <w:t xml:space="preserve"> the capacity</w:t>
      </w:r>
      <w:r w:rsidR="00EE36E0">
        <w:rPr>
          <w:rFonts w:cstheme="minorHAnsi"/>
          <w:sz w:val="24"/>
        </w:rPr>
        <w:t xml:space="preserve"> and</w:t>
      </w:r>
      <w:r w:rsidR="00B5322F">
        <w:rPr>
          <w:rFonts w:cstheme="minorHAnsi"/>
          <w:sz w:val="24"/>
        </w:rPr>
        <w:t xml:space="preserve"> operating environment of the Tonga public service</w:t>
      </w:r>
      <w:r w:rsidR="00E217A9">
        <w:rPr>
          <w:rFonts w:cstheme="minorHAnsi"/>
          <w:sz w:val="24"/>
        </w:rPr>
        <w:t xml:space="preserve">. In particular, </w:t>
      </w:r>
      <w:r w:rsidR="00DB1666">
        <w:rPr>
          <w:rFonts w:cstheme="minorHAnsi"/>
          <w:sz w:val="24"/>
        </w:rPr>
        <w:t>AusAID will</w:t>
      </w:r>
      <w:r w:rsidR="006E7BEF">
        <w:rPr>
          <w:rFonts w:cstheme="minorHAnsi"/>
          <w:sz w:val="24"/>
        </w:rPr>
        <w:t xml:space="preserve"> provide support </w:t>
      </w:r>
      <w:r w:rsidR="00EE1265">
        <w:rPr>
          <w:rFonts w:cstheme="minorHAnsi"/>
          <w:sz w:val="24"/>
        </w:rPr>
        <w:t xml:space="preserve">for </w:t>
      </w:r>
      <w:r w:rsidR="006B009B">
        <w:rPr>
          <w:rFonts w:cstheme="minorHAnsi"/>
          <w:sz w:val="24"/>
        </w:rPr>
        <w:t xml:space="preserve">public sector reform programs </w:t>
      </w:r>
      <w:r w:rsidR="00E217A9">
        <w:rPr>
          <w:rFonts w:cstheme="minorHAnsi"/>
          <w:sz w:val="24"/>
        </w:rPr>
        <w:t xml:space="preserve">aimed at </w:t>
      </w:r>
      <w:r w:rsidR="00E13FC4">
        <w:rPr>
          <w:rFonts w:cstheme="minorHAnsi"/>
          <w:sz w:val="24"/>
        </w:rPr>
        <w:t>promoting</w:t>
      </w:r>
      <w:r w:rsidR="00E217A9">
        <w:rPr>
          <w:rFonts w:cstheme="minorHAnsi"/>
          <w:sz w:val="24"/>
        </w:rPr>
        <w:t xml:space="preserve"> capacity development (</w:t>
      </w:r>
      <w:r w:rsidR="007A3F2C">
        <w:rPr>
          <w:rFonts w:cstheme="minorHAnsi"/>
          <w:sz w:val="24"/>
        </w:rPr>
        <w:t xml:space="preserve">including </w:t>
      </w:r>
      <w:r w:rsidR="003B1D2E">
        <w:rPr>
          <w:rFonts w:cstheme="minorHAnsi"/>
          <w:sz w:val="24"/>
        </w:rPr>
        <w:t xml:space="preserve">engaging </w:t>
      </w:r>
      <w:r w:rsidR="006B009B">
        <w:rPr>
          <w:rFonts w:cstheme="minorHAnsi"/>
          <w:sz w:val="24"/>
        </w:rPr>
        <w:t>with regional agencies such as PICPA</w:t>
      </w:r>
      <w:r w:rsidR="00E217A9">
        <w:rPr>
          <w:rFonts w:cstheme="minorHAnsi"/>
          <w:sz w:val="24"/>
        </w:rPr>
        <w:t>)</w:t>
      </w:r>
      <w:r w:rsidR="00F27E36">
        <w:rPr>
          <w:rFonts w:cstheme="minorHAnsi"/>
          <w:sz w:val="24"/>
        </w:rPr>
        <w:t xml:space="preserve"> and ensuring better human resource planning</w:t>
      </w:r>
      <w:r w:rsidR="00E217A9">
        <w:rPr>
          <w:rFonts w:cstheme="minorHAnsi"/>
          <w:sz w:val="24"/>
        </w:rPr>
        <w:t xml:space="preserve">. AusAID will </w:t>
      </w:r>
      <w:r w:rsidR="00F27E36">
        <w:rPr>
          <w:rFonts w:cstheme="minorHAnsi"/>
          <w:sz w:val="24"/>
        </w:rPr>
        <w:t>work increasingly through</w:t>
      </w:r>
      <w:r w:rsidR="006B009B">
        <w:rPr>
          <w:rFonts w:cstheme="minorHAnsi"/>
          <w:sz w:val="24"/>
        </w:rPr>
        <w:t xml:space="preserve"> donor partners</w:t>
      </w:r>
      <w:r w:rsidR="00F27E36">
        <w:rPr>
          <w:rFonts w:cstheme="minorHAnsi"/>
          <w:sz w:val="24"/>
        </w:rPr>
        <w:t>,</w:t>
      </w:r>
      <w:r w:rsidR="006B009B">
        <w:rPr>
          <w:rFonts w:cstheme="minorHAnsi"/>
          <w:sz w:val="24"/>
        </w:rPr>
        <w:t xml:space="preserve"> such as the World Bank</w:t>
      </w:r>
      <w:r w:rsidR="007862A2">
        <w:rPr>
          <w:rFonts w:cstheme="minorHAnsi"/>
          <w:sz w:val="24"/>
        </w:rPr>
        <w:t xml:space="preserve"> and ADB</w:t>
      </w:r>
      <w:r w:rsidR="006B009B">
        <w:rPr>
          <w:rFonts w:cstheme="minorHAnsi"/>
          <w:sz w:val="24"/>
        </w:rPr>
        <w:t xml:space="preserve">, </w:t>
      </w:r>
      <w:r w:rsidR="007862A2">
        <w:rPr>
          <w:rFonts w:cstheme="minorHAnsi"/>
          <w:sz w:val="24"/>
        </w:rPr>
        <w:t>where AusAID funds are able to lever further results through expanding partner programs in Tonga</w:t>
      </w:r>
      <w:r w:rsidR="006B009B">
        <w:rPr>
          <w:rFonts w:cstheme="minorHAnsi"/>
          <w:sz w:val="24"/>
        </w:rPr>
        <w:t>.</w:t>
      </w:r>
      <w:r w:rsidR="006E7BEF">
        <w:rPr>
          <w:rFonts w:cstheme="minorHAnsi"/>
          <w:sz w:val="24"/>
        </w:rPr>
        <w:t xml:space="preserve"> </w:t>
      </w:r>
    </w:p>
    <w:p w:rsidR="00B5322F" w:rsidRDefault="00B5322F" w:rsidP="00A11CCA">
      <w:pPr>
        <w:pStyle w:val="ListParagraph"/>
        <w:numPr>
          <w:ilvl w:val="0"/>
          <w:numId w:val="19"/>
        </w:numPr>
        <w:spacing w:before="240" w:after="0"/>
        <w:ind w:left="357" w:hanging="357"/>
        <w:rPr>
          <w:rFonts w:cstheme="minorHAnsi"/>
          <w:color w:val="000000"/>
          <w:sz w:val="24"/>
        </w:rPr>
      </w:pPr>
      <w:r>
        <w:rPr>
          <w:rFonts w:cstheme="minorHAnsi"/>
          <w:b/>
          <w:color w:val="000000"/>
          <w:sz w:val="24"/>
        </w:rPr>
        <w:t>E</w:t>
      </w:r>
      <w:r w:rsidR="005A0460" w:rsidRPr="0080627A">
        <w:rPr>
          <w:rFonts w:cstheme="minorHAnsi"/>
          <w:b/>
          <w:color w:val="000000"/>
          <w:sz w:val="24"/>
        </w:rPr>
        <w:t>conomic</w:t>
      </w:r>
      <w:r w:rsidR="0032796B" w:rsidRPr="0080627A">
        <w:rPr>
          <w:rFonts w:cstheme="minorHAnsi"/>
          <w:b/>
          <w:color w:val="000000"/>
          <w:sz w:val="24"/>
        </w:rPr>
        <w:t xml:space="preserve"> and financial</w:t>
      </w:r>
      <w:r w:rsidR="005A0460" w:rsidRPr="0080627A">
        <w:rPr>
          <w:rFonts w:cstheme="minorHAnsi"/>
          <w:b/>
          <w:color w:val="000000"/>
          <w:sz w:val="24"/>
        </w:rPr>
        <w:t xml:space="preserve"> governance</w:t>
      </w:r>
      <w:r w:rsidR="006E7BEF" w:rsidRPr="0080627A">
        <w:rPr>
          <w:rFonts w:cstheme="minorHAnsi"/>
          <w:color w:val="000000"/>
          <w:sz w:val="24"/>
        </w:rPr>
        <w:t xml:space="preserve"> </w:t>
      </w:r>
      <w:r w:rsidR="006E7BEF" w:rsidRPr="0080627A">
        <w:rPr>
          <w:rFonts w:cstheme="minorHAnsi"/>
          <w:b/>
          <w:color w:val="000000"/>
          <w:sz w:val="24"/>
        </w:rPr>
        <w:t>–</w:t>
      </w:r>
      <w:r w:rsidR="002320FE" w:rsidRPr="0080627A">
        <w:rPr>
          <w:rFonts w:cstheme="minorHAnsi"/>
          <w:sz w:val="24"/>
        </w:rPr>
        <w:t xml:space="preserve"> </w:t>
      </w:r>
      <w:r w:rsidR="002320FE" w:rsidRPr="0080627A">
        <w:rPr>
          <w:rFonts w:cstheme="minorHAnsi"/>
          <w:b/>
          <w:sz w:val="24"/>
        </w:rPr>
        <w:t>GoT agencies demonstrate measureable improvement in the allocation and use of public expenditure for TSDF priorities as well as sustainable revenue collection.</w:t>
      </w:r>
      <w:r w:rsidR="00DB1666" w:rsidRPr="0080627A">
        <w:rPr>
          <w:rFonts w:cstheme="minorHAnsi"/>
          <w:sz w:val="24"/>
        </w:rPr>
        <w:t xml:space="preserve"> </w:t>
      </w:r>
      <w:r>
        <w:rPr>
          <w:rFonts w:cstheme="minorHAnsi"/>
          <w:sz w:val="24"/>
        </w:rPr>
        <w:t xml:space="preserve">This </w:t>
      </w:r>
      <w:r w:rsidR="004B02CF">
        <w:rPr>
          <w:rFonts w:cstheme="minorHAnsi"/>
          <w:sz w:val="24"/>
        </w:rPr>
        <w:t>pillar</w:t>
      </w:r>
      <w:r>
        <w:rPr>
          <w:rFonts w:cstheme="minorHAnsi"/>
          <w:sz w:val="24"/>
        </w:rPr>
        <w:t xml:space="preserve"> </w:t>
      </w:r>
      <w:r w:rsidRPr="00C415C7">
        <w:rPr>
          <w:rFonts w:cstheme="minorHAnsi"/>
          <w:sz w:val="24"/>
        </w:rPr>
        <w:t xml:space="preserve">seeks to </w:t>
      </w:r>
      <w:r w:rsidR="00370E30">
        <w:rPr>
          <w:rFonts w:cstheme="minorHAnsi"/>
          <w:sz w:val="24"/>
        </w:rPr>
        <w:t xml:space="preserve">ensure that </w:t>
      </w:r>
      <w:r w:rsidRPr="00C415C7">
        <w:rPr>
          <w:rFonts w:cstheme="minorHAnsi"/>
          <w:sz w:val="24"/>
        </w:rPr>
        <w:t xml:space="preserve">strengthened public financial management </w:t>
      </w:r>
      <w:r w:rsidR="00370E30">
        <w:rPr>
          <w:rFonts w:cstheme="minorHAnsi"/>
          <w:sz w:val="24"/>
        </w:rPr>
        <w:t>will</w:t>
      </w:r>
      <w:r w:rsidRPr="00C415C7">
        <w:rPr>
          <w:rFonts w:cstheme="minorHAnsi"/>
          <w:sz w:val="24"/>
        </w:rPr>
        <w:t xml:space="preserve"> contribute to improved service delivery. </w:t>
      </w:r>
      <w:r>
        <w:rPr>
          <w:rFonts w:cstheme="minorHAnsi"/>
          <w:sz w:val="24"/>
        </w:rPr>
        <w:t>It is envisaged that a</w:t>
      </w:r>
      <w:r w:rsidR="007E216F" w:rsidRPr="00C415C7">
        <w:rPr>
          <w:rFonts w:cstheme="minorHAnsi"/>
          <w:sz w:val="24"/>
        </w:rPr>
        <w:t xml:space="preserve"> joint Policy Reform Matrix</w:t>
      </w:r>
      <w:r>
        <w:rPr>
          <w:rFonts w:cstheme="minorHAnsi"/>
          <w:sz w:val="24"/>
        </w:rPr>
        <w:t>,</w:t>
      </w:r>
      <w:r w:rsidR="007E216F" w:rsidRPr="00C415C7">
        <w:rPr>
          <w:rFonts w:cstheme="minorHAnsi"/>
          <w:sz w:val="24"/>
        </w:rPr>
        <w:t xml:space="preserve"> agreed</w:t>
      </w:r>
      <w:r w:rsidR="00946964" w:rsidRPr="00C415C7">
        <w:rPr>
          <w:rFonts w:cstheme="minorHAnsi"/>
          <w:sz w:val="24"/>
        </w:rPr>
        <w:t xml:space="preserve"> to</w:t>
      </w:r>
      <w:r w:rsidR="007E216F" w:rsidRPr="00C415C7">
        <w:rPr>
          <w:rFonts w:cstheme="minorHAnsi"/>
          <w:sz w:val="24"/>
        </w:rPr>
        <w:t xml:space="preserve"> by the GoT and donors</w:t>
      </w:r>
      <w:r>
        <w:rPr>
          <w:rFonts w:cstheme="minorHAnsi"/>
          <w:sz w:val="24"/>
        </w:rPr>
        <w:t>,</w:t>
      </w:r>
      <w:r w:rsidR="007E216F" w:rsidRPr="00C415C7">
        <w:rPr>
          <w:rFonts w:cstheme="minorHAnsi"/>
          <w:sz w:val="24"/>
        </w:rPr>
        <w:t xml:space="preserve"> will continue to </w:t>
      </w:r>
      <w:r>
        <w:rPr>
          <w:rFonts w:cstheme="minorHAnsi"/>
          <w:sz w:val="24"/>
        </w:rPr>
        <w:t>provide</w:t>
      </w:r>
      <w:r w:rsidRPr="00C415C7">
        <w:rPr>
          <w:rFonts w:cstheme="minorHAnsi"/>
          <w:sz w:val="24"/>
        </w:rPr>
        <w:t xml:space="preserve"> </w:t>
      </w:r>
      <w:r>
        <w:rPr>
          <w:rFonts w:cstheme="minorHAnsi"/>
          <w:sz w:val="24"/>
        </w:rPr>
        <w:t>the</w:t>
      </w:r>
      <w:r w:rsidR="007E216F" w:rsidRPr="00C415C7">
        <w:rPr>
          <w:rFonts w:cstheme="minorHAnsi"/>
          <w:sz w:val="24"/>
        </w:rPr>
        <w:t xml:space="preserve"> cornerstone </w:t>
      </w:r>
      <w:r>
        <w:rPr>
          <w:rFonts w:cstheme="minorHAnsi"/>
          <w:sz w:val="24"/>
        </w:rPr>
        <w:t>for</w:t>
      </w:r>
      <w:r w:rsidR="007E216F" w:rsidRPr="00C415C7">
        <w:rPr>
          <w:rFonts w:cstheme="minorHAnsi"/>
          <w:sz w:val="24"/>
        </w:rPr>
        <w:t xml:space="preserve"> AusAID</w:t>
      </w:r>
      <w:r>
        <w:rPr>
          <w:rFonts w:cstheme="minorHAnsi"/>
          <w:sz w:val="24"/>
        </w:rPr>
        <w:t>’s program</w:t>
      </w:r>
      <w:r w:rsidR="007E216F" w:rsidRPr="00C415C7">
        <w:rPr>
          <w:rFonts w:cstheme="minorHAnsi"/>
          <w:sz w:val="24"/>
        </w:rPr>
        <w:t xml:space="preserve"> in support</w:t>
      </w:r>
      <w:r>
        <w:rPr>
          <w:rFonts w:cstheme="minorHAnsi"/>
          <w:sz w:val="24"/>
        </w:rPr>
        <w:t xml:space="preserve"> of</w:t>
      </w:r>
      <w:r w:rsidR="007E216F" w:rsidRPr="0080627A">
        <w:rPr>
          <w:rFonts w:cstheme="minorHAnsi"/>
          <w:color w:val="000000"/>
          <w:sz w:val="24"/>
        </w:rPr>
        <w:t xml:space="preserve"> economic and public sector reforms</w:t>
      </w:r>
      <w:r>
        <w:rPr>
          <w:rFonts w:cstheme="minorHAnsi"/>
          <w:color w:val="000000"/>
          <w:sz w:val="24"/>
        </w:rPr>
        <w:t xml:space="preserve"> in Tonga</w:t>
      </w:r>
      <w:r w:rsidR="007E216F" w:rsidRPr="0080627A">
        <w:rPr>
          <w:rFonts w:cstheme="minorHAnsi"/>
          <w:color w:val="000000"/>
          <w:sz w:val="24"/>
        </w:rPr>
        <w:t>.</w:t>
      </w:r>
      <w:r>
        <w:rPr>
          <w:rFonts w:cstheme="minorHAnsi"/>
          <w:color w:val="000000"/>
          <w:sz w:val="24"/>
        </w:rPr>
        <w:t xml:space="preserve"> AusAID’s support in this area will be targeted at </w:t>
      </w:r>
      <w:r w:rsidR="00503176">
        <w:rPr>
          <w:rFonts w:cstheme="minorHAnsi"/>
          <w:color w:val="000000"/>
          <w:sz w:val="24"/>
        </w:rPr>
        <w:t>four</w:t>
      </w:r>
      <w:r>
        <w:rPr>
          <w:rFonts w:cstheme="minorHAnsi"/>
          <w:color w:val="000000"/>
          <w:sz w:val="24"/>
        </w:rPr>
        <w:t xml:space="preserve"> core areas: </w:t>
      </w:r>
    </w:p>
    <w:p w:rsidR="00503176" w:rsidRPr="00C415C7" w:rsidRDefault="00503176" w:rsidP="00A11CCA">
      <w:pPr>
        <w:pStyle w:val="ListParagraph"/>
        <w:numPr>
          <w:ilvl w:val="1"/>
          <w:numId w:val="19"/>
        </w:numPr>
        <w:spacing w:after="0"/>
        <w:contextualSpacing w:val="0"/>
        <w:rPr>
          <w:rFonts w:cstheme="minorHAnsi"/>
          <w:color w:val="000000"/>
          <w:sz w:val="24"/>
        </w:rPr>
      </w:pPr>
      <w:r w:rsidRPr="00C415C7">
        <w:rPr>
          <w:rFonts w:cstheme="minorHAnsi"/>
          <w:color w:val="000000"/>
          <w:sz w:val="24"/>
        </w:rPr>
        <w:t>Supporting the GoT to improve the quality and management of expenditure</w:t>
      </w:r>
      <w:r w:rsidR="006F06FB">
        <w:rPr>
          <w:rFonts w:cstheme="minorHAnsi"/>
          <w:color w:val="000000"/>
          <w:sz w:val="24"/>
        </w:rPr>
        <w:t xml:space="preserve">, </w:t>
      </w:r>
      <w:r w:rsidR="00740803">
        <w:rPr>
          <w:rFonts w:cstheme="minorHAnsi"/>
          <w:color w:val="000000"/>
          <w:sz w:val="24"/>
        </w:rPr>
        <w:t>(</w:t>
      </w:r>
      <w:r w:rsidRPr="00C415C7">
        <w:rPr>
          <w:rFonts w:cstheme="minorHAnsi"/>
          <w:color w:val="000000"/>
          <w:sz w:val="24"/>
        </w:rPr>
        <w:t>including linking corporate plans, the TSDF and the medium-term budget framework</w:t>
      </w:r>
      <w:r w:rsidR="00740803">
        <w:rPr>
          <w:rFonts w:cstheme="minorHAnsi"/>
          <w:color w:val="000000"/>
          <w:sz w:val="24"/>
        </w:rPr>
        <w:t>) through technical assistance</w:t>
      </w:r>
      <w:r>
        <w:rPr>
          <w:rFonts w:cstheme="minorHAnsi"/>
          <w:color w:val="000000"/>
          <w:sz w:val="24"/>
        </w:rPr>
        <w:t>;</w:t>
      </w:r>
    </w:p>
    <w:p w:rsidR="00B5322F" w:rsidRDefault="00503176" w:rsidP="00A11CCA">
      <w:pPr>
        <w:pStyle w:val="ListParagraph"/>
        <w:numPr>
          <w:ilvl w:val="1"/>
          <w:numId w:val="19"/>
        </w:numPr>
        <w:spacing w:after="0"/>
        <w:contextualSpacing w:val="0"/>
        <w:rPr>
          <w:rFonts w:cstheme="minorHAnsi"/>
          <w:color w:val="000000"/>
          <w:sz w:val="24"/>
        </w:rPr>
      </w:pPr>
      <w:r>
        <w:rPr>
          <w:rFonts w:cstheme="minorHAnsi"/>
          <w:color w:val="000000"/>
          <w:sz w:val="24"/>
        </w:rPr>
        <w:t xml:space="preserve">Supporting GoT efforts to </w:t>
      </w:r>
      <w:r w:rsidR="00707801">
        <w:rPr>
          <w:rFonts w:cstheme="minorHAnsi"/>
          <w:color w:val="000000"/>
          <w:sz w:val="24"/>
        </w:rPr>
        <w:t>i</w:t>
      </w:r>
      <w:r>
        <w:rPr>
          <w:rFonts w:cstheme="minorHAnsi"/>
          <w:color w:val="000000"/>
          <w:sz w:val="24"/>
        </w:rPr>
        <w:t>mprove</w:t>
      </w:r>
      <w:r w:rsidR="00B5322F">
        <w:rPr>
          <w:rFonts w:cstheme="minorHAnsi"/>
          <w:color w:val="000000"/>
          <w:sz w:val="24"/>
        </w:rPr>
        <w:t xml:space="preserve"> revenue </w:t>
      </w:r>
      <w:r w:rsidR="00707801">
        <w:rPr>
          <w:rFonts w:cstheme="minorHAnsi"/>
          <w:color w:val="000000"/>
          <w:sz w:val="24"/>
        </w:rPr>
        <w:t>policy and administration</w:t>
      </w:r>
      <w:r w:rsidR="00B5322F">
        <w:rPr>
          <w:rFonts w:cstheme="minorHAnsi"/>
          <w:color w:val="000000"/>
          <w:sz w:val="24"/>
        </w:rPr>
        <w:t xml:space="preserve"> through</w:t>
      </w:r>
      <w:r w:rsidR="006F06FB">
        <w:rPr>
          <w:rFonts w:cstheme="minorHAnsi"/>
          <w:color w:val="000000"/>
          <w:sz w:val="24"/>
        </w:rPr>
        <w:t xml:space="preserve"> </w:t>
      </w:r>
      <w:r w:rsidR="00B5322F">
        <w:rPr>
          <w:rFonts w:cstheme="minorHAnsi"/>
          <w:color w:val="000000"/>
          <w:sz w:val="24"/>
        </w:rPr>
        <w:t xml:space="preserve"> technical assistance and </w:t>
      </w:r>
      <w:r w:rsidR="007862A2">
        <w:rPr>
          <w:rFonts w:cstheme="minorHAnsi"/>
          <w:color w:val="000000"/>
          <w:sz w:val="24"/>
        </w:rPr>
        <w:t>funding agreements to upgrade</w:t>
      </w:r>
      <w:r>
        <w:rPr>
          <w:rFonts w:cstheme="minorHAnsi"/>
          <w:color w:val="000000"/>
          <w:sz w:val="24"/>
        </w:rPr>
        <w:t xml:space="preserve"> to the GoT’s</w:t>
      </w:r>
      <w:r w:rsidR="00707801">
        <w:rPr>
          <w:rFonts w:cstheme="minorHAnsi"/>
          <w:color w:val="000000"/>
          <w:sz w:val="24"/>
        </w:rPr>
        <w:t xml:space="preserve"> management information systems;</w:t>
      </w:r>
    </w:p>
    <w:p w:rsidR="00B5322F" w:rsidRPr="002E0E7C" w:rsidRDefault="00B5322F" w:rsidP="00A11CCA">
      <w:pPr>
        <w:pStyle w:val="ListParagraph"/>
        <w:numPr>
          <w:ilvl w:val="1"/>
          <w:numId w:val="19"/>
        </w:numPr>
        <w:spacing w:after="0"/>
        <w:contextualSpacing w:val="0"/>
        <w:rPr>
          <w:rFonts w:cstheme="minorHAnsi"/>
          <w:color w:val="000000"/>
          <w:sz w:val="24"/>
        </w:rPr>
      </w:pPr>
      <w:r w:rsidRPr="0080627A">
        <w:rPr>
          <w:rFonts w:cstheme="minorHAnsi"/>
          <w:color w:val="000000"/>
          <w:sz w:val="24"/>
        </w:rPr>
        <w:t>work</w:t>
      </w:r>
      <w:r>
        <w:rPr>
          <w:rFonts w:cstheme="minorHAnsi"/>
          <w:color w:val="000000"/>
          <w:sz w:val="24"/>
        </w:rPr>
        <w:t>ing</w:t>
      </w:r>
      <w:r w:rsidRPr="0080627A">
        <w:rPr>
          <w:rFonts w:cstheme="minorHAnsi"/>
          <w:color w:val="000000"/>
          <w:sz w:val="24"/>
        </w:rPr>
        <w:t xml:space="preserve"> with central agencies, including the M</w:t>
      </w:r>
      <w:r>
        <w:rPr>
          <w:rFonts w:cstheme="minorHAnsi"/>
          <w:color w:val="000000"/>
          <w:sz w:val="24"/>
        </w:rPr>
        <w:t xml:space="preserve">inistry </w:t>
      </w:r>
      <w:r w:rsidRPr="0080627A">
        <w:rPr>
          <w:rFonts w:cstheme="minorHAnsi"/>
          <w:color w:val="000000"/>
          <w:sz w:val="24"/>
        </w:rPr>
        <w:t>o</w:t>
      </w:r>
      <w:r>
        <w:rPr>
          <w:rFonts w:cstheme="minorHAnsi"/>
          <w:color w:val="000000"/>
          <w:sz w:val="24"/>
        </w:rPr>
        <w:t xml:space="preserve">f </w:t>
      </w:r>
      <w:r w:rsidRPr="0080627A">
        <w:rPr>
          <w:rFonts w:cstheme="minorHAnsi"/>
          <w:color w:val="000000"/>
          <w:sz w:val="24"/>
        </w:rPr>
        <w:t>F</w:t>
      </w:r>
      <w:r>
        <w:rPr>
          <w:rFonts w:cstheme="minorHAnsi"/>
          <w:color w:val="000000"/>
          <w:sz w:val="24"/>
        </w:rPr>
        <w:t xml:space="preserve">inance and </w:t>
      </w:r>
      <w:r w:rsidRPr="0080627A">
        <w:rPr>
          <w:rFonts w:cstheme="minorHAnsi"/>
          <w:color w:val="000000"/>
          <w:sz w:val="24"/>
        </w:rPr>
        <w:t>N</w:t>
      </w:r>
      <w:r>
        <w:rPr>
          <w:rFonts w:cstheme="minorHAnsi"/>
          <w:color w:val="000000"/>
          <w:sz w:val="24"/>
        </w:rPr>
        <w:t xml:space="preserve">ational </w:t>
      </w:r>
      <w:r w:rsidRPr="0080627A">
        <w:rPr>
          <w:rFonts w:cstheme="minorHAnsi"/>
          <w:color w:val="000000"/>
          <w:sz w:val="24"/>
        </w:rPr>
        <w:t>P</w:t>
      </w:r>
      <w:r>
        <w:rPr>
          <w:rFonts w:cstheme="minorHAnsi"/>
          <w:color w:val="000000"/>
          <w:sz w:val="24"/>
        </w:rPr>
        <w:t>lanning (MoFNP)</w:t>
      </w:r>
      <w:r w:rsidR="009E324C">
        <w:rPr>
          <w:rFonts w:cstheme="minorHAnsi"/>
          <w:color w:val="000000"/>
          <w:sz w:val="24"/>
        </w:rPr>
        <w:t xml:space="preserve">, </w:t>
      </w:r>
      <w:r w:rsidRPr="0080627A">
        <w:rPr>
          <w:rFonts w:cstheme="minorHAnsi"/>
          <w:color w:val="000000"/>
          <w:sz w:val="24"/>
        </w:rPr>
        <w:t>Public Service Commission (PSC)</w:t>
      </w:r>
      <w:r w:rsidR="009E324C">
        <w:rPr>
          <w:rFonts w:cstheme="minorHAnsi"/>
          <w:color w:val="000000"/>
          <w:sz w:val="24"/>
        </w:rPr>
        <w:t xml:space="preserve"> and Audit Office</w:t>
      </w:r>
      <w:r>
        <w:rPr>
          <w:rFonts w:cstheme="minorHAnsi"/>
          <w:color w:val="000000"/>
          <w:sz w:val="24"/>
        </w:rPr>
        <w:t>,</w:t>
      </w:r>
      <w:r w:rsidRPr="0080627A">
        <w:rPr>
          <w:rFonts w:cstheme="minorHAnsi"/>
          <w:color w:val="000000"/>
          <w:sz w:val="24"/>
        </w:rPr>
        <w:t xml:space="preserve"> to improve public sector procurement practices and strengthen audit capacity</w:t>
      </w:r>
      <w:r w:rsidR="007862A2">
        <w:rPr>
          <w:rFonts w:cstheme="minorHAnsi"/>
          <w:color w:val="000000"/>
          <w:sz w:val="24"/>
        </w:rPr>
        <w:t>. These two areas of Tonga’s public financial management system have been identified in a 2011 Assessment of National Systems as requiring further strengthening before AusAID would consider greater use of these systems</w:t>
      </w:r>
      <w:r>
        <w:rPr>
          <w:rFonts w:cstheme="minorHAnsi"/>
          <w:color w:val="000000"/>
          <w:sz w:val="24"/>
        </w:rPr>
        <w:t>;</w:t>
      </w:r>
    </w:p>
    <w:p w:rsidR="00B5322F" w:rsidRDefault="006F06FB" w:rsidP="00A11CCA">
      <w:pPr>
        <w:pStyle w:val="ListParagraph"/>
        <w:numPr>
          <w:ilvl w:val="1"/>
          <w:numId w:val="19"/>
        </w:numPr>
        <w:ind w:left="1077" w:hanging="357"/>
        <w:contextualSpacing w:val="0"/>
        <w:rPr>
          <w:rFonts w:cstheme="minorHAnsi"/>
          <w:color w:val="000000"/>
          <w:sz w:val="24"/>
        </w:rPr>
      </w:pPr>
      <w:r>
        <w:rPr>
          <w:rFonts w:cstheme="minorHAnsi"/>
          <w:color w:val="000000"/>
          <w:sz w:val="24"/>
        </w:rPr>
        <w:t>working with the Statistics Department to improve</w:t>
      </w:r>
      <w:r w:rsidR="00B5322F" w:rsidRPr="00C415C7">
        <w:rPr>
          <w:rFonts w:cstheme="minorHAnsi"/>
          <w:color w:val="000000"/>
          <w:sz w:val="24"/>
        </w:rPr>
        <w:t xml:space="preserve"> national statistics with a view to generating more timely and accurate information for economic planning and monitoring</w:t>
      </w:r>
      <w:r w:rsidR="00503176">
        <w:rPr>
          <w:rFonts w:cstheme="minorHAnsi"/>
          <w:color w:val="000000"/>
          <w:sz w:val="24"/>
        </w:rPr>
        <w:t>.</w:t>
      </w:r>
    </w:p>
    <w:p w:rsidR="00EC10C5" w:rsidRPr="00EC10C5" w:rsidRDefault="005A0460" w:rsidP="00A11CCA">
      <w:pPr>
        <w:pStyle w:val="ListParagraph"/>
        <w:numPr>
          <w:ilvl w:val="0"/>
          <w:numId w:val="19"/>
        </w:numPr>
        <w:ind w:left="357" w:hanging="357"/>
        <w:contextualSpacing w:val="0"/>
        <w:rPr>
          <w:rFonts w:cstheme="minorHAnsi"/>
          <w:sz w:val="24"/>
        </w:rPr>
      </w:pPr>
      <w:r w:rsidRPr="00EC10C5">
        <w:rPr>
          <w:rFonts w:cstheme="minorHAnsi"/>
          <w:b/>
          <w:color w:val="000000"/>
          <w:sz w:val="24"/>
        </w:rPr>
        <w:t>Business enabling environment</w:t>
      </w:r>
      <w:r w:rsidR="006E7BEF" w:rsidRPr="00EC10C5">
        <w:rPr>
          <w:rFonts w:cstheme="minorHAnsi"/>
          <w:color w:val="000000"/>
          <w:sz w:val="24"/>
        </w:rPr>
        <w:t xml:space="preserve"> </w:t>
      </w:r>
      <w:r w:rsidR="006E7BEF" w:rsidRPr="00EC10C5">
        <w:rPr>
          <w:rFonts w:cstheme="minorHAnsi"/>
          <w:b/>
          <w:color w:val="000000"/>
          <w:sz w:val="24"/>
        </w:rPr>
        <w:t>–</w:t>
      </w:r>
      <w:r w:rsidR="002320FE" w:rsidRPr="00EC10C5">
        <w:rPr>
          <w:rFonts w:cstheme="minorHAnsi"/>
          <w:color w:val="000000"/>
          <w:sz w:val="24"/>
        </w:rPr>
        <w:t xml:space="preserve"> </w:t>
      </w:r>
      <w:r w:rsidR="002320FE" w:rsidRPr="00EC10C5">
        <w:rPr>
          <w:rFonts w:cstheme="minorHAnsi"/>
          <w:b/>
          <w:sz w:val="24"/>
        </w:rPr>
        <w:t>The majority of public enterprises reform and G</w:t>
      </w:r>
      <w:r w:rsidR="00AC7AE2" w:rsidRPr="00EC10C5">
        <w:rPr>
          <w:rFonts w:cstheme="minorHAnsi"/>
          <w:b/>
          <w:sz w:val="24"/>
        </w:rPr>
        <w:t>o</w:t>
      </w:r>
      <w:r w:rsidR="002320FE" w:rsidRPr="00EC10C5">
        <w:rPr>
          <w:rFonts w:cstheme="minorHAnsi"/>
          <w:b/>
          <w:sz w:val="24"/>
        </w:rPr>
        <w:t>T agencies enable measureable development of the private sector.</w:t>
      </w:r>
      <w:r w:rsidR="00DB1666" w:rsidRPr="00EC10C5">
        <w:rPr>
          <w:rFonts w:cstheme="minorHAnsi"/>
          <w:sz w:val="24"/>
        </w:rPr>
        <w:t xml:space="preserve"> AusAID will </w:t>
      </w:r>
      <w:r w:rsidR="00446E1A" w:rsidRPr="00EC10C5">
        <w:rPr>
          <w:rFonts w:cstheme="minorHAnsi"/>
          <w:sz w:val="24"/>
        </w:rPr>
        <w:t xml:space="preserve">continue to support public enterprise reform </w:t>
      </w:r>
      <w:r w:rsidR="00276B4E" w:rsidRPr="00EC10C5">
        <w:rPr>
          <w:rFonts w:cstheme="minorHAnsi"/>
          <w:sz w:val="24"/>
        </w:rPr>
        <w:t xml:space="preserve">and </w:t>
      </w:r>
      <w:r w:rsidR="00210E26" w:rsidRPr="00EC10C5">
        <w:rPr>
          <w:rFonts w:cstheme="minorHAnsi"/>
          <w:sz w:val="24"/>
        </w:rPr>
        <w:t xml:space="preserve">promote </w:t>
      </w:r>
      <w:r w:rsidR="00276B4E" w:rsidRPr="00EC10C5">
        <w:rPr>
          <w:rFonts w:cstheme="minorHAnsi"/>
          <w:sz w:val="24"/>
        </w:rPr>
        <w:t xml:space="preserve">improvements in the business environment </w:t>
      </w:r>
      <w:r w:rsidR="00446E1A" w:rsidRPr="00EC10C5">
        <w:rPr>
          <w:rFonts w:cstheme="minorHAnsi"/>
          <w:sz w:val="24"/>
        </w:rPr>
        <w:t>through the provision of conditional and targeted budget support tied to</w:t>
      </w:r>
      <w:r w:rsidR="00AC7AE2" w:rsidRPr="00EC10C5">
        <w:rPr>
          <w:rFonts w:cstheme="minorHAnsi"/>
          <w:sz w:val="24"/>
        </w:rPr>
        <w:t xml:space="preserve"> achievement of reforms identified in</w:t>
      </w:r>
      <w:r w:rsidR="00446E1A" w:rsidRPr="00EC10C5">
        <w:rPr>
          <w:rFonts w:cstheme="minorHAnsi"/>
          <w:sz w:val="24"/>
        </w:rPr>
        <w:t xml:space="preserve"> the P</w:t>
      </w:r>
      <w:r w:rsidR="00F27ED2" w:rsidRPr="00EC10C5">
        <w:rPr>
          <w:rFonts w:cstheme="minorHAnsi"/>
          <w:sz w:val="24"/>
        </w:rPr>
        <w:t xml:space="preserve">olicy </w:t>
      </w:r>
      <w:r w:rsidR="00446E1A" w:rsidRPr="00EC10C5">
        <w:rPr>
          <w:rFonts w:cstheme="minorHAnsi"/>
          <w:sz w:val="24"/>
        </w:rPr>
        <w:t>R</w:t>
      </w:r>
      <w:r w:rsidR="00F27ED2" w:rsidRPr="00EC10C5">
        <w:rPr>
          <w:rFonts w:cstheme="minorHAnsi"/>
          <w:sz w:val="24"/>
        </w:rPr>
        <w:t xml:space="preserve">eform </w:t>
      </w:r>
      <w:r w:rsidR="00446E1A" w:rsidRPr="00EC10C5">
        <w:rPr>
          <w:rFonts w:cstheme="minorHAnsi"/>
          <w:sz w:val="24"/>
        </w:rPr>
        <w:t>M</w:t>
      </w:r>
      <w:r w:rsidR="00F27ED2" w:rsidRPr="00EC10C5">
        <w:rPr>
          <w:rFonts w:cstheme="minorHAnsi"/>
          <w:sz w:val="24"/>
        </w:rPr>
        <w:t>atrix</w:t>
      </w:r>
      <w:r w:rsidR="00446E1A" w:rsidRPr="00EC10C5">
        <w:rPr>
          <w:rFonts w:cstheme="minorHAnsi"/>
          <w:sz w:val="24"/>
        </w:rPr>
        <w:t>.</w:t>
      </w:r>
      <w:r w:rsidR="00EC10C5" w:rsidRPr="00EC10C5">
        <w:rPr>
          <w:rFonts w:cstheme="minorHAnsi"/>
          <w:sz w:val="24"/>
        </w:rPr>
        <w:t xml:space="preserve"> AusAID will continue to provide support for private sector development</w:t>
      </w:r>
      <w:r w:rsidR="00221089">
        <w:rPr>
          <w:rFonts w:cstheme="minorHAnsi"/>
          <w:sz w:val="24"/>
        </w:rPr>
        <w:t xml:space="preserve"> (including measures to strengthen competition and promote foreign investment)</w:t>
      </w:r>
      <w:r w:rsidR="00EC10C5" w:rsidRPr="00EC10C5">
        <w:rPr>
          <w:rFonts w:cstheme="minorHAnsi"/>
          <w:sz w:val="24"/>
        </w:rPr>
        <w:t xml:space="preserve"> through regional programs such as the ADB’s Private Sector Development Initiative (PSDI).</w:t>
      </w:r>
    </w:p>
    <w:p w:rsidR="00DB1666" w:rsidRPr="006D72B0" w:rsidRDefault="005A0460" w:rsidP="00A11CCA">
      <w:pPr>
        <w:pStyle w:val="ListParagraph"/>
        <w:numPr>
          <w:ilvl w:val="0"/>
          <w:numId w:val="19"/>
        </w:numPr>
        <w:ind w:left="357" w:hanging="357"/>
        <w:contextualSpacing w:val="0"/>
        <w:rPr>
          <w:rFonts w:cstheme="minorHAnsi"/>
          <w:color w:val="000000"/>
          <w:sz w:val="24"/>
        </w:rPr>
      </w:pPr>
      <w:r w:rsidRPr="006D72B0">
        <w:rPr>
          <w:rFonts w:cstheme="minorHAnsi"/>
          <w:b/>
          <w:color w:val="000000"/>
          <w:sz w:val="24"/>
        </w:rPr>
        <w:t>Effective aid through alignment, harmonisation and mutual accountability</w:t>
      </w:r>
      <w:r w:rsidR="006E7BEF" w:rsidRPr="006D72B0">
        <w:rPr>
          <w:rFonts w:cstheme="minorHAnsi"/>
          <w:b/>
          <w:color w:val="000000"/>
          <w:sz w:val="24"/>
        </w:rPr>
        <w:t xml:space="preserve"> –</w:t>
      </w:r>
      <w:r w:rsidR="002320FE" w:rsidRPr="006D72B0">
        <w:rPr>
          <w:rFonts w:cstheme="minorHAnsi"/>
          <w:color w:val="000000"/>
          <w:sz w:val="24"/>
        </w:rPr>
        <w:t xml:space="preserve"> </w:t>
      </w:r>
      <w:r w:rsidR="00AC7AE2" w:rsidRPr="006D72B0">
        <w:rPr>
          <w:rFonts w:cstheme="minorHAnsi"/>
          <w:b/>
          <w:sz w:val="24"/>
        </w:rPr>
        <w:t>Go</w:t>
      </w:r>
      <w:r w:rsidR="002320FE" w:rsidRPr="006D72B0">
        <w:rPr>
          <w:rFonts w:cstheme="minorHAnsi"/>
          <w:b/>
          <w:sz w:val="24"/>
        </w:rPr>
        <w:t>T agencies and development partners ensure a more coordinated whole of government approach to partnership for PFM reforms.</w:t>
      </w:r>
      <w:r w:rsidR="00DB1666" w:rsidRPr="006D72B0">
        <w:rPr>
          <w:rFonts w:cstheme="minorHAnsi"/>
          <w:b/>
          <w:sz w:val="24"/>
        </w:rPr>
        <w:t xml:space="preserve"> </w:t>
      </w:r>
      <w:r w:rsidR="004C1ED2" w:rsidRPr="006D72B0">
        <w:rPr>
          <w:rFonts w:cstheme="minorHAnsi"/>
          <w:sz w:val="24"/>
        </w:rPr>
        <w:t>The P</w:t>
      </w:r>
      <w:r w:rsidR="00F27ED2" w:rsidRPr="006D72B0">
        <w:rPr>
          <w:rFonts w:cstheme="minorHAnsi"/>
          <w:sz w:val="24"/>
        </w:rPr>
        <w:t xml:space="preserve">olicy </w:t>
      </w:r>
      <w:r w:rsidR="004C1ED2" w:rsidRPr="006D72B0">
        <w:rPr>
          <w:rFonts w:cstheme="minorHAnsi"/>
          <w:sz w:val="24"/>
        </w:rPr>
        <w:t>R</w:t>
      </w:r>
      <w:r w:rsidR="00F27ED2" w:rsidRPr="006D72B0">
        <w:rPr>
          <w:rFonts w:cstheme="minorHAnsi"/>
          <w:sz w:val="24"/>
        </w:rPr>
        <w:t xml:space="preserve">eform </w:t>
      </w:r>
      <w:r w:rsidR="004C1ED2" w:rsidRPr="006D72B0">
        <w:rPr>
          <w:rFonts w:cstheme="minorHAnsi"/>
          <w:sz w:val="24"/>
        </w:rPr>
        <w:t>M</w:t>
      </w:r>
      <w:r w:rsidR="00F27ED2" w:rsidRPr="006D72B0">
        <w:rPr>
          <w:rFonts w:cstheme="minorHAnsi"/>
          <w:sz w:val="24"/>
        </w:rPr>
        <w:t>atrix</w:t>
      </w:r>
      <w:r w:rsidR="004C1ED2" w:rsidRPr="006D72B0">
        <w:rPr>
          <w:rFonts w:cstheme="minorHAnsi"/>
          <w:sz w:val="24"/>
        </w:rPr>
        <w:t xml:space="preserve"> will provide an effective mechanism for a coordinated policy dialogue between the GoT and donor partners. This will be reinfor</w:t>
      </w:r>
      <w:r w:rsidR="00F969B2" w:rsidRPr="006D72B0">
        <w:rPr>
          <w:rFonts w:cstheme="minorHAnsi"/>
          <w:sz w:val="24"/>
        </w:rPr>
        <w:t>c</w:t>
      </w:r>
      <w:r w:rsidR="004C1ED2" w:rsidRPr="006D72B0">
        <w:rPr>
          <w:rFonts w:cstheme="minorHAnsi"/>
          <w:sz w:val="24"/>
        </w:rPr>
        <w:t>ed by regular communication and improved monitoring arrangements (including working to develop a shared body of evidence) between the GoA and GoT.</w:t>
      </w:r>
      <w:r w:rsidR="00F969B2" w:rsidRPr="006D72B0">
        <w:rPr>
          <w:rFonts w:cstheme="minorHAnsi"/>
          <w:sz w:val="24"/>
        </w:rPr>
        <w:t xml:space="preserve"> </w:t>
      </w:r>
    </w:p>
    <w:p w:rsidR="000B1762" w:rsidRDefault="00DD72CA" w:rsidP="00DD72CA">
      <w:pPr>
        <w:rPr>
          <w:rFonts w:asciiTheme="minorHAnsi" w:hAnsiTheme="minorHAnsi" w:cstheme="minorHAnsi"/>
          <w:color w:val="000000"/>
        </w:rPr>
      </w:pPr>
      <w:r w:rsidRPr="006D72B0">
        <w:rPr>
          <w:rFonts w:asciiTheme="minorHAnsi" w:hAnsiTheme="minorHAnsi" w:cstheme="minorHAnsi"/>
          <w:color w:val="000000"/>
        </w:rPr>
        <w:t>In addition to delivering support for economic and</w:t>
      </w:r>
      <w:r>
        <w:rPr>
          <w:rFonts w:asciiTheme="minorHAnsi" w:hAnsiTheme="minorHAnsi" w:cstheme="minorHAnsi"/>
          <w:color w:val="000000"/>
        </w:rPr>
        <w:t xml:space="preserve"> public sector reforms, Australia will provide assistance to improve Tonga’s political and institutional environment. In 2013, AusAID introduced </w:t>
      </w:r>
      <w:r w:rsidR="009B0B13">
        <w:rPr>
          <w:rFonts w:asciiTheme="minorHAnsi" w:hAnsiTheme="minorHAnsi" w:cstheme="minorHAnsi"/>
          <w:color w:val="000000"/>
        </w:rPr>
        <w:t xml:space="preserve">a </w:t>
      </w:r>
      <w:r>
        <w:rPr>
          <w:rFonts w:asciiTheme="minorHAnsi" w:hAnsiTheme="minorHAnsi" w:cstheme="minorHAnsi"/>
          <w:color w:val="000000"/>
        </w:rPr>
        <w:t xml:space="preserve">four-year </w:t>
      </w:r>
      <w:r w:rsidR="009B0B13">
        <w:rPr>
          <w:rFonts w:asciiTheme="minorHAnsi" w:hAnsiTheme="minorHAnsi" w:cstheme="minorHAnsi"/>
          <w:color w:val="000000"/>
        </w:rPr>
        <w:t xml:space="preserve">governance </w:t>
      </w:r>
      <w:r w:rsidR="007077E6" w:rsidRPr="007077E6">
        <w:rPr>
          <w:rFonts w:asciiTheme="minorHAnsi" w:hAnsiTheme="minorHAnsi" w:cstheme="minorHAnsi"/>
          <w:color w:val="000000"/>
        </w:rPr>
        <w:t xml:space="preserve">strengthening </w:t>
      </w:r>
      <w:r w:rsidR="009B0B13">
        <w:rPr>
          <w:rFonts w:asciiTheme="minorHAnsi" w:hAnsiTheme="minorHAnsi" w:cstheme="minorHAnsi"/>
          <w:color w:val="000000"/>
        </w:rPr>
        <w:t>program aimed at ensuring a more accountable, responsive and effective government.</w:t>
      </w:r>
      <w:r w:rsidR="005C214A">
        <w:rPr>
          <w:rFonts w:asciiTheme="minorHAnsi" w:hAnsiTheme="minorHAnsi" w:cstheme="minorHAnsi"/>
          <w:color w:val="000000"/>
        </w:rPr>
        <w:t xml:space="preserve"> This </w:t>
      </w:r>
      <w:r>
        <w:rPr>
          <w:rFonts w:asciiTheme="minorHAnsi" w:hAnsiTheme="minorHAnsi" w:cstheme="minorHAnsi"/>
          <w:color w:val="000000"/>
        </w:rPr>
        <w:t>is</w:t>
      </w:r>
      <w:r w:rsidR="005C214A">
        <w:rPr>
          <w:rFonts w:asciiTheme="minorHAnsi" w:hAnsiTheme="minorHAnsi" w:cstheme="minorHAnsi"/>
          <w:color w:val="000000"/>
        </w:rPr>
        <w:t xml:space="preserve"> provided in collaboration with the United Nations Development Programme (UNDP) and Australian Electoral Commission (AEC).</w:t>
      </w:r>
    </w:p>
    <w:p w:rsidR="003879D2" w:rsidRDefault="003879D2" w:rsidP="007077E6">
      <w:pPr>
        <w:rPr>
          <w:rFonts w:asciiTheme="minorHAnsi" w:hAnsiTheme="minorHAnsi" w:cstheme="minorHAnsi"/>
          <w:color w:val="000000"/>
        </w:rPr>
      </w:pPr>
    </w:p>
    <w:p w:rsidR="007E1121" w:rsidRDefault="003879D2" w:rsidP="007077E6">
      <w:pPr>
        <w:rPr>
          <w:rFonts w:asciiTheme="minorHAnsi" w:hAnsiTheme="minorHAnsi" w:cstheme="minorHAnsi"/>
        </w:rPr>
      </w:pPr>
      <w:r>
        <w:rPr>
          <w:rFonts w:asciiTheme="minorHAnsi" w:hAnsiTheme="minorHAnsi" w:cstheme="minorHAnsi"/>
          <w:color w:val="000000"/>
        </w:rPr>
        <w:t xml:space="preserve">It is envisaged that a total program budget of $30 million </w:t>
      </w:r>
      <w:r w:rsidR="00F95378">
        <w:rPr>
          <w:rFonts w:asciiTheme="minorHAnsi" w:hAnsiTheme="minorHAnsi" w:cstheme="minorHAnsi"/>
          <w:color w:val="000000"/>
        </w:rPr>
        <w:t xml:space="preserve">over four financial years </w:t>
      </w:r>
      <w:r>
        <w:rPr>
          <w:rFonts w:asciiTheme="minorHAnsi" w:hAnsiTheme="minorHAnsi" w:cstheme="minorHAnsi"/>
          <w:color w:val="000000"/>
        </w:rPr>
        <w:t xml:space="preserve">will be provided in accordance with this Delivery Strategy. </w:t>
      </w:r>
      <w:r w:rsidR="00F95378">
        <w:rPr>
          <w:rFonts w:asciiTheme="minorHAnsi" w:hAnsiTheme="minorHAnsi" w:cstheme="minorHAnsi"/>
          <w:color w:val="000000"/>
        </w:rPr>
        <w:t xml:space="preserve">This will include: </w:t>
      </w:r>
      <w:r w:rsidR="00F95378">
        <w:rPr>
          <w:rFonts w:asciiTheme="minorHAnsi" w:hAnsiTheme="minorHAnsi" w:cstheme="minorHAnsi"/>
        </w:rPr>
        <w:t>$6.5 million in TA and other capacity support programs, $3.5 million for a governance strengthening program; and $20 million in performance-linked aid</w:t>
      </w:r>
      <w:r w:rsidR="00947458">
        <w:rPr>
          <w:rFonts w:asciiTheme="minorHAnsi" w:hAnsiTheme="minorHAnsi" w:cstheme="minorHAnsi"/>
        </w:rPr>
        <w:t xml:space="preserve">. </w:t>
      </w:r>
      <w:r w:rsidR="00D64DC5">
        <w:rPr>
          <w:rFonts w:asciiTheme="minorHAnsi" w:hAnsiTheme="minorHAnsi" w:cstheme="minorHAnsi"/>
        </w:rPr>
        <w:t>AusAID’s E</w:t>
      </w:r>
      <w:r w:rsidR="00530D05">
        <w:rPr>
          <w:rFonts w:asciiTheme="minorHAnsi" w:hAnsiTheme="minorHAnsi" w:cstheme="minorHAnsi"/>
        </w:rPr>
        <w:t xml:space="preserve">conomic and </w:t>
      </w:r>
      <w:r w:rsidR="00D64DC5">
        <w:rPr>
          <w:rFonts w:asciiTheme="minorHAnsi" w:hAnsiTheme="minorHAnsi" w:cstheme="minorHAnsi"/>
        </w:rPr>
        <w:t>P</w:t>
      </w:r>
      <w:r w:rsidR="00530D05">
        <w:rPr>
          <w:rFonts w:asciiTheme="minorHAnsi" w:hAnsiTheme="minorHAnsi" w:cstheme="minorHAnsi"/>
        </w:rPr>
        <w:t xml:space="preserve">ublic </w:t>
      </w:r>
      <w:r w:rsidR="00D64DC5">
        <w:rPr>
          <w:rFonts w:asciiTheme="minorHAnsi" w:hAnsiTheme="minorHAnsi" w:cstheme="minorHAnsi"/>
        </w:rPr>
        <w:t>S</w:t>
      </w:r>
      <w:r w:rsidR="00530D05">
        <w:rPr>
          <w:rFonts w:asciiTheme="minorHAnsi" w:hAnsiTheme="minorHAnsi" w:cstheme="minorHAnsi"/>
        </w:rPr>
        <w:t xml:space="preserve">ector </w:t>
      </w:r>
      <w:r w:rsidR="00D64DC5">
        <w:rPr>
          <w:rFonts w:asciiTheme="minorHAnsi" w:hAnsiTheme="minorHAnsi" w:cstheme="minorHAnsi"/>
        </w:rPr>
        <w:t>G</w:t>
      </w:r>
      <w:r w:rsidR="00530D05">
        <w:rPr>
          <w:rFonts w:asciiTheme="minorHAnsi" w:hAnsiTheme="minorHAnsi" w:cstheme="minorHAnsi"/>
        </w:rPr>
        <w:t>overnance</w:t>
      </w:r>
      <w:r w:rsidR="00D64DC5">
        <w:rPr>
          <w:rFonts w:asciiTheme="minorHAnsi" w:hAnsiTheme="minorHAnsi" w:cstheme="minorHAnsi"/>
        </w:rPr>
        <w:t xml:space="preserve"> </w:t>
      </w:r>
      <w:r w:rsidR="00530D05">
        <w:rPr>
          <w:rFonts w:asciiTheme="minorHAnsi" w:hAnsiTheme="minorHAnsi" w:cstheme="minorHAnsi"/>
        </w:rPr>
        <w:t>P</w:t>
      </w:r>
      <w:r w:rsidR="00D64DC5">
        <w:rPr>
          <w:rFonts w:asciiTheme="minorHAnsi" w:hAnsiTheme="minorHAnsi" w:cstheme="minorHAnsi"/>
        </w:rPr>
        <w:t xml:space="preserve">rogram will be managed primarily </w:t>
      </w:r>
      <w:r w:rsidR="001369BF">
        <w:rPr>
          <w:rFonts w:asciiTheme="minorHAnsi" w:hAnsiTheme="minorHAnsi" w:cstheme="minorHAnsi"/>
        </w:rPr>
        <w:t>from Nuku’alofa</w:t>
      </w:r>
      <w:r w:rsidR="00D64DC5">
        <w:rPr>
          <w:rFonts w:asciiTheme="minorHAnsi" w:hAnsiTheme="minorHAnsi" w:cstheme="minorHAnsi"/>
        </w:rPr>
        <w:t xml:space="preserve"> P</w:t>
      </w:r>
      <w:r w:rsidR="001369BF">
        <w:rPr>
          <w:rFonts w:asciiTheme="minorHAnsi" w:hAnsiTheme="minorHAnsi" w:cstheme="minorHAnsi"/>
        </w:rPr>
        <w:t>ost by a Senior Program Manager and Program Manager and overseen</w:t>
      </w:r>
      <w:r w:rsidR="00CA40C8">
        <w:rPr>
          <w:rFonts w:asciiTheme="minorHAnsi" w:hAnsiTheme="minorHAnsi" w:cstheme="minorHAnsi"/>
        </w:rPr>
        <w:t xml:space="preserve"> by</w:t>
      </w:r>
      <w:r w:rsidR="001369BF">
        <w:rPr>
          <w:rFonts w:asciiTheme="minorHAnsi" w:hAnsiTheme="minorHAnsi" w:cstheme="minorHAnsi"/>
        </w:rPr>
        <w:t xml:space="preserve"> the First Secretary.</w:t>
      </w:r>
      <w:r w:rsidR="00CA40C8">
        <w:rPr>
          <w:rFonts w:asciiTheme="minorHAnsi" w:hAnsiTheme="minorHAnsi" w:cstheme="minorHAnsi"/>
        </w:rPr>
        <w:t xml:space="preserve"> </w:t>
      </w:r>
      <w:r w:rsidR="001369BF">
        <w:rPr>
          <w:rFonts w:asciiTheme="minorHAnsi" w:hAnsiTheme="minorHAnsi" w:cstheme="minorHAnsi"/>
        </w:rPr>
        <w:t xml:space="preserve">The Tonga Desk in Canberra will provide </w:t>
      </w:r>
      <w:r w:rsidR="00FE60CA">
        <w:rPr>
          <w:rFonts w:asciiTheme="minorHAnsi" w:hAnsiTheme="minorHAnsi" w:cstheme="minorHAnsi"/>
        </w:rPr>
        <w:t>a dedicated resource, expected to be the Desk-based economist, to assist with program management and monitoring</w:t>
      </w:r>
      <w:r w:rsidR="00CA40C8">
        <w:rPr>
          <w:rFonts w:asciiTheme="minorHAnsi" w:hAnsiTheme="minorHAnsi" w:cstheme="minorHAnsi"/>
        </w:rPr>
        <w:t>.</w:t>
      </w:r>
      <w:r w:rsidR="007E1121">
        <w:rPr>
          <w:rFonts w:asciiTheme="minorHAnsi" w:hAnsiTheme="minorHAnsi" w:cstheme="minorHAnsi"/>
        </w:rPr>
        <w:t xml:space="preserve"> </w:t>
      </w:r>
    </w:p>
    <w:p w:rsidR="007E1121" w:rsidRDefault="007E1121" w:rsidP="007077E6">
      <w:pPr>
        <w:rPr>
          <w:rFonts w:asciiTheme="minorHAnsi" w:hAnsiTheme="minorHAnsi" w:cstheme="minorHAnsi"/>
        </w:rPr>
      </w:pPr>
    </w:p>
    <w:p w:rsidR="007E1121" w:rsidRDefault="007E1121" w:rsidP="007077E6">
      <w:pPr>
        <w:rPr>
          <w:rFonts w:asciiTheme="minorHAnsi" w:hAnsiTheme="minorHAnsi" w:cstheme="minorHAnsi"/>
        </w:rPr>
      </w:pPr>
      <w:r>
        <w:rPr>
          <w:rFonts w:asciiTheme="minorHAnsi" w:hAnsiTheme="minorHAnsi" w:cstheme="minorHAnsi"/>
        </w:rPr>
        <w:t xml:space="preserve">Measures to mitigate key fiduciary risks for AusAID funds will include: </w:t>
      </w:r>
      <w:r w:rsidRPr="00C415C7">
        <w:rPr>
          <w:rFonts w:asciiTheme="minorHAnsi" w:hAnsiTheme="minorHAnsi" w:cstheme="minorHAnsi"/>
        </w:rPr>
        <w:t>short-term technical assistance to provide intensive and regular monitoring of AusAID funds</w:t>
      </w:r>
      <w:r>
        <w:rPr>
          <w:rFonts w:asciiTheme="minorHAnsi" w:hAnsiTheme="minorHAnsi" w:cstheme="minorHAnsi"/>
        </w:rPr>
        <w:t xml:space="preserve"> (</w:t>
      </w:r>
      <w:r w:rsidRPr="00C415C7">
        <w:rPr>
          <w:rFonts w:asciiTheme="minorHAnsi" w:hAnsiTheme="minorHAnsi" w:cstheme="minorHAnsi"/>
        </w:rPr>
        <w:t>including an annual sample audit of procurement transactions below TOP 3,000</w:t>
      </w:r>
      <w:r>
        <w:rPr>
          <w:rFonts w:asciiTheme="minorHAnsi" w:hAnsiTheme="minorHAnsi" w:cstheme="minorHAnsi"/>
        </w:rPr>
        <w:t>)</w:t>
      </w:r>
      <w:r w:rsidRPr="00C415C7">
        <w:rPr>
          <w:rFonts w:asciiTheme="minorHAnsi" w:hAnsiTheme="minorHAnsi" w:cstheme="minorHAnsi"/>
        </w:rPr>
        <w:t>;</w:t>
      </w:r>
      <w:r w:rsidR="004A5C03">
        <w:rPr>
          <w:rFonts w:asciiTheme="minorHAnsi" w:hAnsiTheme="minorHAnsi" w:cstheme="minorHAnsi"/>
        </w:rPr>
        <w:t xml:space="preserve"> </w:t>
      </w:r>
      <w:r>
        <w:rPr>
          <w:rFonts w:asciiTheme="minorHAnsi" w:hAnsiTheme="minorHAnsi" w:cstheme="minorHAnsi"/>
        </w:rPr>
        <w:t xml:space="preserve">participation in World Bank-led biannual </w:t>
      </w:r>
      <w:r w:rsidR="004A5C03">
        <w:rPr>
          <w:rFonts w:asciiTheme="minorHAnsi" w:hAnsiTheme="minorHAnsi" w:cstheme="minorHAnsi"/>
        </w:rPr>
        <w:t xml:space="preserve">Policy Reform Matrix </w:t>
      </w:r>
      <w:r>
        <w:rPr>
          <w:rFonts w:asciiTheme="minorHAnsi" w:hAnsiTheme="minorHAnsi" w:cstheme="minorHAnsi"/>
        </w:rPr>
        <w:t>monitoring missions, and</w:t>
      </w:r>
      <w:r w:rsidR="004A5C03">
        <w:rPr>
          <w:rFonts w:asciiTheme="minorHAnsi" w:hAnsiTheme="minorHAnsi" w:cstheme="minorHAnsi"/>
        </w:rPr>
        <w:t xml:space="preserve">: a requirement for </w:t>
      </w:r>
      <w:r w:rsidR="001A2171">
        <w:rPr>
          <w:rFonts w:asciiTheme="minorHAnsi" w:hAnsiTheme="minorHAnsi" w:cstheme="minorHAnsi"/>
        </w:rPr>
        <w:t xml:space="preserve">the GoT to produce </w:t>
      </w:r>
      <w:r w:rsidR="004A5C03">
        <w:rPr>
          <w:rFonts w:asciiTheme="minorHAnsi" w:hAnsiTheme="minorHAnsi" w:cstheme="minorHAnsi"/>
        </w:rPr>
        <w:t xml:space="preserve">timely acquittals </w:t>
      </w:r>
      <w:r w:rsidR="001A2171">
        <w:rPr>
          <w:rFonts w:asciiTheme="minorHAnsi" w:hAnsiTheme="minorHAnsi" w:cstheme="minorHAnsi"/>
        </w:rPr>
        <w:t>of AusAID budget support funds</w:t>
      </w:r>
      <w:r w:rsidR="004A5C03">
        <w:rPr>
          <w:rFonts w:asciiTheme="minorHAnsi" w:hAnsiTheme="minorHAnsi" w:cstheme="minorHAnsi"/>
        </w:rPr>
        <w:t>.</w:t>
      </w:r>
    </w:p>
    <w:p w:rsidR="007E1121" w:rsidRDefault="007E1121" w:rsidP="007077E6">
      <w:pPr>
        <w:rPr>
          <w:rFonts w:asciiTheme="minorHAnsi" w:hAnsiTheme="minorHAnsi" w:cstheme="minorHAnsi"/>
        </w:rPr>
      </w:pPr>
    </w:p>
    <w:p w:rsidR="000B1762" w:rsidRDefault="000B1762" w:rsidP="000B1762">
      <w:pPr>
        <w:rPr>
          <w:rFonts w:asciiTheme="minorHAnsi" w:hAnsiTheme="minorHAnsi" w:cstheme="minorHAnsi"/>
        </w:rPr>
      </w:pPr>
      <w:r>
        <w:rPr>
          <w:rFonts w:asciiTheme="minorHAnsi" w:hAnsiTheme="minorHAnsi" w:cstheme="minorHAnsi"/>
        </w:rPr>
        <w:t>A key aspect of AusAID’s activities in this sector will be increased cooperation and coordination with development partners. AusAID will seek to ensure that the E</w:t>
      </w:r>
      <w:r w:rsidR="00144E93">
        <w:rPr>
          <w:rFonts w:asciiTheme="minorHAnsi" w:hAnsiTheme="minorHAnsi" w:cstheme="minorHAnsi"/>
        </w:rPr>
        <w:t xml:space="preserve">conomic and </w:t>
      </w:r>
      <w:r>
        <w:rPr>
          <w:rFonts w:asciiTheme="minorHAnsi" w:hAnsiTheme="minorHAnsi" w:cstheme="minorHAnsi"/>
        </w:rPr>
        <w:t>P</w:t>
      </w:r>
      <w:r w:rsidR="00144E93">
        <w:rPr>
          <w:rFonts w:asciiTheme="minorHAnsi" w:hAnsiTheme="minorHAnsi" w:cstheme="minorHAnsi"/>
        </w:rPr>
        <w:t xml:space="preserve">ublic </w:t>
      </w:r>
      <w:r>
        <w:rPr>
          <w:rFonts w:asciiTheme="minorHAnsi" w:hAnsiTheme="minorHAnsi" w:cstheme="minorHAnsi"/>
        </w:rPr>
        <w:t>S</w:t>
      </w:r>
      <w:r w:rsidR="00144E93">
        <w:rPr>
          <w:rFonts w:asciiTheme="minorHAnsi" w:hAnsiTheme="minorHAnsi" w:cstheme="minorHAnsi"/>
        </w:rPr>
        <w:t xml:space="preserve">ector </w:t>
      </w:r>
      <w:r>
        <w:rPr>
          <w:rFonts w:asciiTheme="minorHAnsi" w:hAnsiTheme="minorHAnsi" w:cstheme="minorHAnsi"/>
        </w:rPr>
        <w:t>G</w:t>
      </w:r>
      <w:r w:rsidR="00144E93">
        <w:rPr>
          <w:rFonts w:asciiTheme="minorHAnsi" w:hAnsiTheme="minorHAnsi" w:cstheme="minorHAnsi"/>
        </w:rPr>
        <w:t xml:space="preserve">overnance </w:t>
      </w:r>
      <w:r w:rsidR="00530D05">
        <w:rPr>
          <w:rFonts w:asciiTheme="minorHAnsi" w:hAnsiTheme="minorHAnsi" w:cstheme="minorHAnsi"/>
        </w:rPr>
        <w:t>P</w:t>
      </w:r>
      <w:r>
        <w:rPr>
          <w:rFonts w:asciiTheme="minorHAnsi" w:hAnsiTheme="minorHAnsi" w:cstheme="minorHAnsi"/>
        </w:rPr>
        <w:t xml:space="preserve">rogram is provided in the most effective </w:t>
      </w:r>
      <w:r w:rsidR="00851794">
        <w:rPr>
          <w:rFonts w:asciiTheme="minorHAnsi" w:hAnsiTheme="minorHAnsi" w:cstheme="minorHAnsi"/>
        </w:rPr>
        <w:t>and efficient way possible</w:t>
      </w:r>
      <w:r>
        <w:rPr>
          <w:rFonts w:asciiTheme="minorHAnsi" w:hAnsiTheme="minorHAnsi" w:cstheme="minorHAnsi"/>
        </w:rPr>
        <w:t xml:space="preserve"> by drawing from a sound evidence-base and the lessons learnt from </w:t>
      </w:r>
      <w:r w:rsidR="00851794">
        <w:rPr>
          <w:rFonts w:asciiTheme="minorHAnsi" w:hAnsiTheme="minorHAnsi" w:cstheme="minorHAnsi"/>
        </w:rPr>
        <w:t>a series of</w:t>
      </w:r>
      <w:r>
        <w:rPr>
          <w:rFonts w:asciiTheme="minorHAnsi" w:hAnsiTheme="minorHAnsi" w:cstheme="minorHAnsi"/>
        </w:rPr>
        <w:t xml:space="preserve"> </w:t>
      </w:r>
      <w:r w:rsidR="00851794">
        <w:rPr>
          <w:rFonts w:asciiTheme="minorHAnsi" w:hAnsiTheme="minorHAnsi" w:cstheme="minorHAnsi"/>
        </w:rPr>
        <w:t>reviews conducted in this sector</w:t>
      </w:r>
      <w:r>
        <w:rPr>
          <w:rFonts w:asciiTheme="minorHAnsi" w:hAnsiTheme="minorHAnsi" w:cstheme="minorHAnsi"/>
        </w:rPr>
        <w:t>.</w:t>
      </w:r>
    </w:p>
    <w:p w:rsidR="007077E6" w:rsidRDefault="007077E6" w:rsidP="007077E6">
      <w:pPr>
        <w:rPr>
          <w:rFonts w:asciiTheme="minorHAnsi" w:hAnsiTheme="minorHAnsi" w:cstheme="minorHAnsi"/>
          <w:color w:val="000000"/>
        </w:rPr>
      </w:pPr>
    </w:p>
    <w:p w:rsidR="00420E52" w:rsidRDefault="00420E52" w:rsidP="007450EE">
      <w:pPr>
        <w:rPr>
          <w:rFonts w:asciiTheme="minorHAnsi" w:hAnsiTheme="minorHAnsi" w:cstheme="minorHAnsi"/>
          <w:color w:val="000000"/>
        </w:rPr>
      </w:pPr>
    </w:p>
    <w:p w:rsidR="00831641" w:rsidRPr="000D5DD2" w:rsidRDefault="000D5DD2" w:rsidP="00A11CCA">
      <w:pPr>
        <w:pStyle w:val="Heading1"/>
        <w:numPr>
          <w:ilvl w:val="0"/>
          <w:numId w:val="6"/>
        </w:numPr>
        <w:spacing w:before="0" w:after="240" w:line="276" w:lineRule="auto"/>
        <w:rPr>
          <w:sz w:val="24"/>
          <w:szCs w:val="24"/>
        </w:rPr>
      </w:pPr>
      <w:r>
        <w:br w:type="column"/>
      </w:r>
      <w:bookmarkStart w:id="7" w:name="_Toc356389362"/>
      <w:r w:rsidR="008648C8" w:rsidRPr="000D5DD2">
        <w:rPr>
          <w:sz w:val="24"/>
          <w:szCs w:val="24"/>
        </w:rPr>
        <w:t>T</w:t>
      </w:r>
      <w:r w:rsidR="00831641" w:rsidRPr="000D5DD2">
        <w:rPr>
          <w:sz w:val="24"/>
          <w:szCs w:val="24"/>
        </w:rPr>
        <w:t>onga’s economic and public sector governance development context</w:t>
      </w:r>
      <w:bookmarkEnd w:id="7"/>
      <w:r w:rsidR="00831641" w:rsidRPr="000D5DD2">
        <w:rPr>
          <w:sz w:val="24"/>
          <w:szCs w:val="24"/>
        </w:rPr>
        <w:t xml:space="preserve"> </w:t>
      </w:r>
    </w:p>
    <w:p w:rsidR="00B360DA" w:rsidRPr="007273C5" w:rsidRDefault="008A60A7" w:rsidP="008A60A7">
      <w:pPr>
        <w:rPr>
          <w:rFonts w:asciiTheme="minorHAnsi" w:hAnsiTheme="minorHAnsi" w:cstheme="minorHAnsi"/>
          <w:color w:val="FF0000"/>
        </w:rPr>
      </w:pPr>
      <w:r w:rsidRPr="00A53CC8">
        <w:rPr>
          <w:rFonts w:asciiTheme="minorHAnsi" w:hAnsiTheme="minorHAnsi" w:cstheme="minorHAnsi"/>
        </w:rPr>
        <w:t>A key priority area of the Tonga</w:t>
      </w:r>
      <w:r w:rsidR="00AD20A3">
        <w:rPr>
          <w:rFonts w:asciiTheme="minorHAnsi" w:hAnsiTheme="minorHAnsi" w:cstheme="minorHAnsi"/>
        </w:rPr>
        <w:t xml:space="preserve"> </w:t>
      </w:r>
      <w:r w:rsidRPr="00A53CC8">
        <w:rPr>
          <w:rFonts w:asciiTheme="minorHAnsi" w:hAnsiTheme="minorHAnsi" w:cstheme="minorHAnsi"/>
        </w:rPr>
        <w:t>Australia Partnership for Development is economic and public sector governance</w:t>
      </w:r>
      <w:r w:rsidR="007273C5">
        <w:rPr>
          <w:rFonts w:asciiTheme="minorHAnsi" w:hAnsiTheme="minorHAnsi" w:cstheme="minorHAnsi"/>
        </w:rPr>
        <w:t xml:space="preserve">. Priority Outcome </w:t>
      </w:r>
      <w:r w:rsidR="00954DBD">
        <w:rPr>
          <w:rFonts w:asciiTheme="minorHAnsi" w:hAnsiTheme="minorHAnsi" w:cstheme="minorHAnsi"/>
        </w:rPr>
        <w:t>One</w:t>
      </w:r>
      <w:r w:rsidR="007273C5">
        <w:rPr>
          <w:rFonts w:asciiTheme="minorHAnsi" w:hAnsiTheme="minorHAnsi" w:cstheme="minorHAnsi"/>
        </w:rPr>
        <w:t xml:space="preserve"> of the Partnership identifies </w:t>
      </w:r>
      <w:r w:rsidR="00744D07">
        <w:rPr>
          <w:rFonts w:asciiTheme="minorHAnsi" w:hAnsiTheme="minorHAnsi" w:cstheme="minorHAnsi"/>
        </w:rPr>
        <w:t>‘a more efficient and effective public sector’</w:t>
      </w:r>
      <w:r w:rsidR="007273C5">
        <w:rPr>
          <w:rFonts w:asciiTheme="minorHAnsi" w:hAnsiTheme="minorHAnsi" w:cstheme="minorHAnsi"/>
        </w:rPr>
        <w:t xml:space="preserve"> as a basis for implementing </w:t>
      </w:r>
      <w:r w:rsidR="0079077F" w:rsidRPr="00A53CC8">
        <w:rPr>
          <w:rFonts w:asciiTheme="minorHAnsi" w:hAnsiTheme="minorHAnsi" w:cstheme="minorHAnsi"/>
        </w:rPr>
        <w:t xml:space="preserve">policies and programs </w:t>
      </w:r>
      <w:r w:rsidR="0079077F" w:rsidRPr="007273C5">
        <w:rPr>
          <w:rFonts w:asciiTheme="minorHAnsi" w:hAnsiTheme="minorHAnsi" w:cstheme="minorHAnsi"/>
        </w:rPr>
        <w:t>that promote sustainable improvements in living standards</w:t>
      </w:r>
      <w:r w:rsidR="003373D0">
        <w:rPr>
          <w:rFonts w:asciiTheme="minorHAnsi" w:hAnsiTheme="minorHAnsi" w:cstheme="minorHAnsi"/>
        </w:rPr>
        <w:t xml:space="preserve"> and that ensure that service delivery reaches the poor</w:t>
      </w:r>
      <w:r w:rsidR="006B7AF3" w:rsidRPr="007273C5">
        <w:rPr>
          <w:rFonts w:asciiTheme="minorHAnsi" w:hAnsiTheme="minorHAnsi" w:cstheme="minorHAnsi"/>
        </w:rPr>
        <w:t>.</w:t>
      </w:r>
      <w:r w:rsidR="003373D0">
        <w:rPr>
          <w:rFonts w:asciiTheme="minorHAnsi" w:hAnsiTheme="minorHAnsi" w:cstheme="minorHAnsi"/>
        </w:rPr>
        <w:t xml:space="preserve"> </w:t>
      </w:r>
      <w:r w:rsidR="00DD6798" w:rsidRPr="007273C5">
        <w:rPr>
          <w:rFonts w:asciiTheme="minorHAnsi" w:hAnsiTheme="minorHAnsi" w:cstheme="minorHAnsi"/>
        </w:rPr>
        <w:t>I</w:t>
      </w:r>
      <w:r w:rsidR="0079077F" w:rsidRPr="007273C5">
        <w:rPr>
          <w:rFonts w:asciiTheme="minorHAnsi" w:hAnsiTheme="minorHAnsi" w:cstheme="minorHAnsi"/>
        </w:rPr>
        <w:t xml:space="preserve">t is the responsibility of government to ensure that policies and programs are fiscally sustainable, strategically targeted on the core development priorities, and implemented in the most cost-effective manner. </w:t>
      </w:r>
    </w:p>
    <w:p w:rsidR="00B360DA" w:rsidRPr="00A53CC8" w:rsidRDefault="00B360DA" w:rsidP="008A60A7">
      <w:pPr>
        <w:rPr>
          <w:rFonts w:asciiTheme="minorHAnsi" w:hAnsiTheme="minorHAnsi" w:cstheme="minorHAnsi"/>
        </w:rPr>
      </w:pPr>
    </w:p>
    <w:p w:rsidR="006A4EE7" w:rsidRDefault="006A4EE7" w:rsidP="008A60A7">
      <w:pPr>
        <w:rPr>
          <w:rFonts w:asciiTheme="minorHAnsi" w:hAnsiTheme="minorHAnsi" w:cstheme="minorHAnsi"/>
        </w:rPr>
      </w:pPr>
      <w:r w:rsidRPr="00A53CC8">
        <w:rPr>
          <w:rFonts w:asciiTheme="minorHAnsi" w:hAnsiTheme="minorHAnsi" w:cstheme="minorHAnsi"/>
        </w:rPr>
        <w:t xml:space="preserve">While Tonga has already achieved high standards against </w:t>
      </w:r>
      <w:r w:rsidR="007273C5">
        <w:rPr>
          <w:rFonts w:asciiTheme="minorHAnsi" w:hAnsiTheme="minorHAnsi" w:cstheme="minorHAnsi"/>
        </w:rPr>
        <w:t xml:space="preserve">most of the </w:t>
      </w:r>
      <w:r w:rsidRPr="00A53CC8">
        <w:rPr>
          <w:rFonts w:asciiTheme="minorHAnsi" w:hAnsiTheme="minorHAnsi" w:cstheme="minorHAnsi"/>
        </w:rPr>
        <w:t>Millennium Development Goals (MDGs), particularly in the areas of health, education and</w:t>
      </w:r>
      <w:r w:rsidR="00A53CC8" w:rsidRPr="00A53CC8">
        <w:rPr>
          <w:rFonts w:asciiTheme="minorHAnsi" w:hAnsiTheme="minorHAnsi" w:cstheme="minorHAnsi"/>
        </w:rPr>
        <w:t xml:space="preserve"> environmental sustainability</w:t>
      </w:r>
      <w:r w:rsidRPr="00A53CC8">
        <w:rPr>
          <w:rFonts w:asciiTheme="minorHAnsi" w:hAnsiTheme="minorHAnsi" w:cstheme="minorHAnsi"/>
        </w:rPr>
        <w:t>, the challenge confronting the Government is to ensure that those achievements are not only sustained, but that they are harnessed as a platform to further improve living standards.</w:t>
      </w:r>
    </w:p>
    <w:p w:rsidR="002F7EAE" w:rsidRDefault="002F7EAE" w:rsidP="008A60A7">
      <w:pPr>
        <w:rPr>
          <w:rFonts w:asciiTheme="minorHAnsi" w:hAnsiTheme="minorHAnsi" w:cstheme="minorHAnsi"/>
        </w:rPr>
      </w:pPr>
    </w:p>
    <w:p w:rsidR="00D55D8F" w:rsidRPr="00D55D8F" w:rsidRDefault="0073602B" w:rsidP="006A4EE7">
      <w:pPr>
        <w:rPr>
          <w:rFonts w:asciiTheme="minorHAnsi" w:hAnsiTheme="minorHAnsi" w:cstheme="minorHAnsi"/>
          <w:b/>
        </w:rPr>
      </w:pPr>
      <w:r>
        <w:rPr>
          <w:rFonts w:asciiTheme="minorHAnsi" w:hAnsiTheme="minorHAnsi" w:cstheme="minorHAnsi"/>
          <w:b/>
        </w:rPr>
        <w:t>Economic context</w:t>
      </w:r>
    </w:p>
    <w:p w:rsidR="006A4EE7" w:rsidRDefault="00D56930" w:rsidP="006A4EE7">
      <w:pPr>
        <w:rPr>
          <w:rFonts w:asciiTheme="minorHAnsi" w:hAnsiTheme="minorHAnsi" w:cstheme="minorHAnsi"/>
        </w:rPr>
      </w:pPr>
      <w:r>
        <w:rPr>
          <w:rFonts w:asciiTheme="minorHAnsi" w:hAnsiTheme="minorHAnsi" w:cstheme="minorHAnsi"/>
        </w:rPr>
        <w:t xml:space="preserve">Tonga has a highly centralised economy with administrative capacity constraints across the public and private sector that affect implementation and service delivery. A significant proportion of the national budget is allocated to wages and salaries, with little left for maintenance and development. The </w:t>
      </w:r>
      <w:r w:rsidR="002F7EAE" w:rsidRPr="00AB1DEE">
        <w:rPr>
          <w:rFonts w:asciiTheme="minorHAnsi" w:hAnsiTheme="minorHAnsi" w:cstheme="minorHAnsi"/>
        </w:rPr>
        <w:t xml:space="preserve">economy is highly vulnerable to external shocks and has been slow to recover from </w:t>
      </w:r>
      <w:r>
        <w:rPr>
          <w:rFonts w:asciiTheme="minorHAnsi" w:hAnsiTheme="minorHAnsi" w:cstheme="minorHAnsi"/>
        </w:rPr>
        <w:t xml:space="preserve">a series of crises in recent years, including civil unrest in 2006, </w:t>
      </w:r>
      <w:r w:rsidR="002F7EAE" w:rsidRPr="00AB1DEE">
        <w:rPr>
          <w:rFonts w:asciiTheme="minorHAnsi" w:hAnsiTheme="minorHAnsi" w:cstheme="minorHAnsi"/>
        </w:rPr>
        <w:t>the 2009 Global Financial Crisis (GFC)</w:t>
      </w:r>
      <w:r>
        <w:rPr>
          <w:rFonts w:asciiTheme="minorHAnsi" w:hAnsiTheme="minorHAnsi" w:cstheme="minorHAnsi"/>
        </w:rPr>
        <w:t xml:space="preserve"> and a series of natural disasters in 2009</w:t>
      </w:r>
      <w:r w:rsidR="002F7EAE" w:rsidRPr="00AB1DEE">
        <w:rPr>
          <w:rFonts w:asciiTheme="minorHAnsi" w:hAnsiTheme="minorHAnsi" w:cstheme="minorHAnsi"/>
        </w:rPr>
        <w:t>.</w:t>
      </w:r>
      <w:r>
        <w:rPr>
          <w:rFonts w:asciiTheme="minorHAnsi" w:hAnsiTheme="minorHAnsi" w:cstheme="minorHAnsi"/>
        </w:rPr>
        <w:t xml:space="preserve"> The private sector is small and unlikely to grow in the short to medium term and Tonga’s growth prospects as a result are limited.</w:t>
      </w:r>
      <w:r w:rsidR="002F7EAE" w:rsidRPr="00AB1DEE">
        <w:rPr>
          <w:rFonts w:asciiTheme="minorHAnsi" w:hAnsiTheme="minorHAnsi" w:cstheme="minorHAnsi"/>
        </w:rPr>
        <w:t xml:space="preserve"> </w:t>
      </w:r>
      <w:r w:rsidR="00723039">
        <w:rPr>
          <w:rFonts w:asciiTheme="minorHAnsi" w:hAnsiTheme="minorHAnsi" w:cstheme="minorHAnsi"/>
        </w:rPr>
        <w:t>In this environment,</w:t>
      </w:r>
      <w:r w:rsidR="006A4EE7" w:rsidRPr="00AB1DEE">
        <w:rPr>
          <w:rFonts w:asciiTheme="minorHAnsi" w:hAnsiTheme="minorHAnsi" w:cstheme="minorHAnsi"/>
        </w:rPr>
        <w:t xml:space="preserve"> the immediate fiscal outlook is </w:t>
      </w:r>
      <w:r w:rsidR="00B73446">
        <w:rPr>
          <w:rFonts w:asciiTheme="minorHAnsi" w:hAnsiTheme="minorHAnsi" w:cstheme="minorHAnsi"/>
        </w:rPr>
        <w:t xml:space="preserve">highly </w:t>
      </w:r>
      <w:r w:rsidR="006A4EE7" w:rsidRPr="00AB1DEE">
        <w:rPr>
          <w:rFonts w:asciiTheme="minorHAnsi" w:hAnsiTheme="minorHAnsi" w:cstheme="minorHAnsi"/>
        </w:rPr>
        <w:t>constrained and the Government of Tonga</w:t>
      </w:r>
      <w:r w:rsidR="00954DBD">
        <w:rPr>
          <w:rFonts w:asciiTheme="minorHAnsi" w:hAnsiTheme="minorHAnsi" w:cstheme="minorHAnsi"/>
        </w:rPr>
        <w:t xml:space="preserve"> (GoT)</w:t>
      </w:r>
      <w:r w:rsidR="006A4EE7" w:rsidRPr="00AB1DEE">
        <w:rPr>
          <w:rFonts w:asciiTheme="minorHAnsi" w:hAnsiTheme="minorHAnsi" w:cstheme="minorHAnsi"/>
        </w:rPr>
        <w:t xml:space="preserve"> may need to implement its </w:t>
      </w:r>
      <w:r w:rsidR="00185A3E">
        <w:rPr>
          <w:rFonts w:asciiTheme="minorHAnsi" w:hAnsiTheme="minorHAnsi" w:cstheme="minorHAnsi"/>
        </w:rPr>
        <w:t>policies</w:t>
      </w:r>
      <w:r w:rsidR="006A4EE7" w:rsidRPr="00AB1DEE">
        <w:rPr>
          <w:rFonts w:asciiTheme="minorHAnsi" w:hAnsiTheme="minorHAnsi" w:cstheme="minorHAnsi"/>
        </w:rPr>
        <w:t xml:space="preserve"> with less financial resources</w:t>
      </w:r>
      <w:r w:rsidR="003373D0">
        <w:rPr>
          <w:rFonts w:asciiTheme="minorHAnsi" w:hAnsiTheme="minorHAnsi" w:cstheme="minorHAnsi"/>
        </w:rPr>
        <w:t xml:space="preserve"> than planned</w:t>
      </w:r>
      <w:r w:rsidR="006A4EE7" w:rsidRPr="00AB1DEE">
        <w:rPr>
          <w:rFonts w:asciiTheme="minorHAnsi" w:hAnsiTheme="minorHAnsi" w:cstheme="minorHAnsi"/>
        </w:rPr>
        <w:t>. This underlines the fundamental importance of ensuring the Government’s expenditure program carefully ta</w:t>
      </w:r>
      <w:r w:rsidR="005C65F1">
        <w:rPr>
          <w:rFonts w:asciiTheme="minorHAnsi" w:hAnsiTheme="minorHAnsi" w:cstheme="minorHAnsi"/>
        </w:rPr>
        <w:t xml:space="preserve">rgets development priorities, </w:t>
      </w:r>
      <w:r w:rsidR="006A4EE7" w:rsidRPr="00AB1DEE">
        <w:rPr>
          <w:rFonts w:asciiTheme="minorHAnsi" w:hAnsiTheme="minorHAnsi" w:cstheme="minorHAnsi"/>
        </w:rPr>
        <w:t>that wastage and</w:t>
      </w:r>
      <w:r w:rsidR="00D70A69">
        <w:rPr>
          <w:rFonts w:asciiTheme="minorHAnsi" w:hAnsiTheme="minorHAnsi" w:cstheme="minorHAnsi"/>
        </w:rPr>
        <w:t xml:space="preserve"> inefficiencies are eliminated</w:t>
      </w:r>
      <w:r w:rsidR="005C65F1">
        <w:rPr>
          <w:rFonts w:asciiTheme="minorHAnsi" w:hAnsiTheme="minorHAnsi" w:cstheme="minorHAnsi"/>
        </w:rPr>
        <w:t xml:space="preserve">, and that revenue </w:t>
      </w:r>
      <w:r w:rsidR="00E34288">
        <w:rPr>
          <w:rFonts w:asciiTheme="minorHAnsi" w:hAnsiTheme="minorHAnsi" w:cstheme="minorHAnsi"/>
        </w:rPr>
        <w:t>services</w:t>
      </w:r>
      <w:r w:rsidR="005C65F1">
        <w:rPr>
          <w:rFonts w:asciiTheme="minorHAnsi" w:hAnsiTheme="minorHAnsi" w:cstheme="minorHAnsi"/>
        </w:rPr>
        <w:t xml:space="preserve"> </w:t>
      </w:r>
      <w:r w:rsidR="00E34288">
        <w:rPr>
          <w:rFonts w:asciiTheme="minorHAnsi" w:hAnsiTheme="minorHAnsi" w:cstheme="minorHAnsi"/>
        </w:rPr>
        <w:t>are</w:t>
      </w:r>
      <w:r w:rsidR="005C65F1">
        <w:rPr>
          <w:rFonts w:asciiTheme="minorHAnsi" w:hAnsiTheme="minorHAnsi" w:cstheme="minorHAnsi"/>
        </w:rPr>
        <w:t xml:space="preserve"> </w:t>
      </w:r>
      <w:r w:rsidR="00E34288">
        <w:rPr>
          <w:rFonts w:asciiTheme="minorHAnsi" w:hAnsiTheme="minorHAnsi" w:cstheme="minorHAnsi"/>
        </w:rPr>
        <w:t>as effective as possible</w:t>
      </w:r>
      <w:r w:rsidR="00D70A69">
        <w:rPr>
          <w:rFonts w:asciiTheme="minorHAnsi" w:hAnsiTheme="minorHAnsi" w:cstheme="minorHAnsi"/>
        </w:rPr>
        <w:t>.</w:t>
      </w:r>
      <w:r w:rsidR="006A4EE7" w:rsidRPr="00AB1DEE">
        <w:rPr>
          <w:rFonts w:asciiTheme="minorHAnsi" w:hAnsiTheme="minorHAnsi" w:cstheme="minorHAnsi"/>
        </w:rPr>
        <w:t xml:space="preserve"> It also requires a responsive and appropriately skilled and focused public sector.</w:t>
      </w:r>
      <w:r w:rsidR="00D70A69">
        <w:rPr>
          <w:rFonts w:asciiTheme="minorHAnsi" w:hAnsiTheme="minorHAnsi" w:cstheme="minorHAnsi"/>
        </w:rPr>
        <w:t xml:space="preserve"> The GoT has begun a fiscal consolidation program to ensure greater macroeconomic stability in the medium-term. However, this will require ongoing support from donor partners to reduce further pressure on cash resources.</w:t>
      </w:r>
    </w:p>
    <w:p w:rsidR="00D56930" w:rsidRDefault="00D56930" w:rsidP="006A4EE7">
      <w:pPr>
        <w:rPr>
          <w:rFonts w:asciiTheme="minorHAnsi" w:hAnsiTheme="minorHAnsi" w:cstheme="minorHAnsi"/>
        </w:rPr>
      </w:pPr>
    </w:p>
    <w:p w:rsidR="00AB1DEE" w:rsidRPr="00D2196D" w:rsidRDefault="00AB1DEE" w:rsidP="00AB1DEE">
      <w:pPr>
        <w:rPr>
          <w:rFonts w:asciiTheme="minorHAnsi" w:hAnsiTheme="minorHAnsi" w:cstheme="minorHAnsi"/>
        </w:rPr>
      </w:pPr>
      <w:r w:rsidRPr="002A0CAC">
        <w:rPr>
          <w:rFonts w:asciiTheme="minorHAnsi" w:hAnsiTheme="minorHAnsi" w:cstheme="minorHAnsi"/>
        </w:rPr>
        <w:t xml:space="preserve">The public sector is the main service provider and delivery agent in Tonga. It is also the </w:t>
      </w:r>
      <w:r w:rsidRPr="00D2196D">
        <w:rPr>
          <w:rFonts w:asciiTheme="minorHAnsi" w:hAnsiTheme="minorHAnsi" w:cstheme="minorHAnsi"/>
        </w:rPr>
        <w:t>primary employer in the country. The public sector in Tonga is relatively complicated with a</w:t>
      </w:r>
      <w:r w:rsidRPr="00D2196D">
        <w:rPr>
          <w:rFonts w:asciiTheme="minorHAnsi" w:hAnsiTheme="minorHAnsi" w:cstheme="minorHAnsi"/>
          <w:i/>
        </w:rPr>
        <w:t xml:space="preserve"> </w:t>
      </w:r>
      <w:r w:rsidRPr="00D2196D">
        <w:rPr>
          <w:rFonts w:asciiTheme="minorHAnsi" w:hAnsiTheme="minorHAnsi" w:cstheme="minorHAnsi"/>
        </w:rPr>
        <w:t xml:space="preserve">historically greater level of political interest in the type of assistance which should be provided. There has been a strong working relationship </w:t>
      </w:r>
      <w:r w:rsidR="00D2196D" w:rsidRPr="00D2196D">
        <w:rPr>
          <w:rFonts w:asciiTheme="minorHAnsi" w:hAnsiTheme="minorHAnsi" w:cstheme="minorHAnsi"/>
        </w:rPr>
        <w:t>between AusAID and</w:t>
      </w:r>
      <w:r w:rsidRPr="00D2196D">
        <w:rPr>
          <w:rFonts w:asciiTheme="minorHAnsi" w:hAnsiTheme="minorHAnsi" w:cstheme="minorHAnsi"/>
        </w:rPr>
        <w:t xml:space="preserve"> the Ministry of Finance and National Planning</w:t>
      </w:r>
      <w:r w:rsidR="00954DBD">
        <w:rPr>
          <w:rFonts w:asciiTheme="minorHAnsi" w:hAnsiTheme="minorHAnsi" w:cstheme="minorHAnsi"/>
        </w:rPr>
        <w:t xml:space="preserve"> (MoFNP)</w:t>
      </w:r>
      <w:r w:rsidRPr="00D2196D">
        <w:rPr>
          <w:rFonts w:asciiTheme="minorHAnsi" w:hAnsiTheme="minorHAnsi" w:cstheme="minorHAnsi"/>
        </w:rPr>
        <w:t>, including strengthening its role in coordinating assistance in the public sector area.</w:t>
      </w:r>
    </w:p>
    <w:p w:rsidR="00AB1DEE" w:rsidRDefault="00AB1DEE" w:rsidP="008A60A7">
      <w:pPr>
        <w:rPr>
          <w:rFonts w:asciiTheme="minorHAnsi" w:hAnsiTheme="minorHAnsi" w:cstheme="minorHAnsi"/>
          <w:color w:val="632423" w:themeColor="accent2" w:themeShade="80"/>
        </w:rPr>
      </w:pPr>
    </w:p>
    <w:p w:rsidR="00D55D8F" w:rsidRPr="00D55D8F" w:rsidRDefault="00D55D8F" w:rsidP="008A60A7">
      <w:pPr>
        <w:rPr>
          <w:rFonts w:asciiTheme="minorHAnsi" w:hAnsiTheme="minorHAnsi" w:cstheme="minorHAnsi"/>
          <w:b/>
        </w:rPr>
      </w:pPr>
      <w:r w:rsidRPr="00D55D8F">
        <w:rPr>
          <w:rFonts w:asciiTheme="minorHAnsi" w:hAnsiTheme="minorHAnsi" w:cstheme="minorHAnsi"/>
          <w:b/>
        </w:rPr>
        <w:t>Political</w:t>
      </w:r>
      <w:r w:rsidR="00DD6A15">
        <w:rPr>
          <w:rFonts w:asciiTheme="minorHAnsi" w:hAnsiTheme="minorHAnsi" w:cstheme="minorHAnsi"/>
          <w:b/>
        </w:rPr>
        <w:t xml:space="preserve"> and institutional</w:t>
      </w:r>
      <w:r w:rsidRPr="00D55D8F">
        <w:rPr>
          <w:rFonts w:asciiTheme="minorHAnsi" w:hAnsiTheme="minorHAnsi" w:cstheme="minorHAnsi"/>
          <w:b/>
        </w:rPr>
        <w:t xml:space="preserve"> environment</w:t>
      </w:r>
    </w:p>
    <w:p w:rsidR="005031EE" w:rsidRPr="006241B3" w:rsidRDefault="008A60A7" w:rsidP="008A60A7">
      <w:pPr>
        <w:rPr>
          <w:rFonts w:asciiTheme="minorHAnsi" w:hAnsiTheme="minorHAnsi" w:cstheme="minorHAnsi"/>
        </w:rPr>
      </w:pPr>
      <w:r w:rsidRPr="00CA5909">
        <w:rPr>
          <w:rFonts w:asciiTheme="minorHAnsi" w:hAnsiTheme="minorHAnsi" w:cstheme="minorHAnsi"/>
        </w:rPr>
        <w:t xml:space="preserve">Since the </w:t>
      </w:r>
      <w:r w:rsidR="00CA5909" w:rsidRPr="00CA5909">
        <w:rPr>
          <w:rFonts w:asciiTheme="minorHAnsi" w:hAnsiTheme="minorHAnsi" w:cstheme="minorHAnsi"/>
        </w:rPr>
        <w:t>Tonga</w:t>
      </w:r>
      <w:r w:rsidR="00714B44">
        <w:rPr>
          <w:rFonts w:asciiTheme="minorHAnsi" w:hAnsiTheme="minorHAnsi" w:cstheme="minorHAnsi"/>
        </w:rPr>
        <w:t xml:space="preserve"> </w:t>
      </w:r>
      <w:r w:rsidR="00CA5909" w:rsidRPr="00CA5909">
        <w:rPr>
          <w:rFonts w:asciiTheme="minorHAnsi" w:hAnsiTheme="minorHAnsi" w:cstheme="minorHAnsi"/>
        </w:rPr>
        <w:t xml:space="preserve">Australia </w:t>
      </w:r>
      <w:r w:rsidRPr="00CA5909">
        <w:rPr>
          <w:rFonts w:asciiTheme="minorHAnsi" w:hAnsiTheme="minorHAnsi" w:cstheme="minorHAnsi"/>
        </w:rPr>
        <w:t xml:space="preserve">Partnership for Development was </w:t>
      </w:r>
      <w:r w:rsidR="00CA5909" w:rsidRPr="00CA5909">
        <w:rPr>
          <w:rFonts w:asciiTheme="minorHAnsi" w:hAnsiTheme="minorHAnsi" w:cstheme="minorHAnsi"/>
        </w:rPr>
        <w:t xml:space="preserve">negotiated and </w:t>
      </w:r>
      <w:r w:rsidR="00954DBD">
        <w:rPr>
          <w:rFonts w:asciiTheme="minorHAnsi" w:hAnsiTheme="minorHAnsi" w:cstheme="minorHAnsi"/>
        </w:rPr>
        <w:t xml:space="preserve">signed in 2009, the political and </w:t>
      </w:r>
      <w:r w:rsidRPr="00CA5909">
        <w:rPr>
          <w:rFonts w:asciiTheme="minorHAnsi" w:hAnsiTheme="minorHAnsi" w:cstheme="minorHAnsi"/>
        </w:rPr>
        <w:t xml:space="preserve">economic environment in Tonga has </w:t>
      </w:r>
      <w:r w:rsidR="00CA5909" w:rsidRPr="00CA5909">
        <w:rPr>
          <w:rFonts w:asciiTheme="minorHAnsi" w:hAnsiTheme="minorHAnsi" w:cstheme="minorHAnsi"/>
        </w:rPr>
        <w:t>changed considerably.</w:t>
      </w:r>
      <w:r w:rsidR="009632E5">
        <w:rPr>
          <w:rFonts w:asciiTheme="minorHAnsi" w:hAnsiTheme="minorHAnsi" w:cstheme="minorHAnsi"/>
        </w:rPr>
        <w:t xml:space="preserve"> </w:t>
      </w:r>
      <w:r w:rsidR="00B360DA">
        <w:rPr>
          <w:rFonts w:asciiTheme="minorHAnsi" w:hAnsiTheme="minorHAnsi" w:cstheme="minorHAnsi"/>
        </w:rPr>
        <w:t xml:space="preserve">In late 2010, </w:t>
      </w:r>
      <w:r w:rsidR="001749D9">
        <w:rPr>
          <w:rFonts w:asciiTheme="minorHAnsi" w:hAnsiTheme="minorHAnsi" w:cstheme="minorHAnsi"/>
        </w:rPr>
        <w:t>Tonga</w:t>
      </w:r>
      <w:r w:rsidR="00B360DA">
        <w:rPr>
          <w:rFonts w:asciiTheme="minorHAnsi" w:hAnsiTheme="minorHAnsi" w:cstheme="minorHAnsi"/>
        </w:rPr>
        <w:t xml:space="preserve"> transitioned from an executive monarchy to a modern parliamentary democracy. </w:t>
      </w:r>
      <w:r w:rsidR="00A06B3A" w:rsidRPr="003A45F1">
        <w:rPr>
          <w:rFonts w:asciiTheme="minorHAnsi" w:hAnsiTheme="minorHAnsi" w:cstheme="minorHAnsi"/>
        </w:rPr>
        <w:t>The first democratically elected government was formed in early 2011</w:t>
      </w:r>
      <w:r w:rsidR="003A45F1" w:rsidRPr="003A45F1">
        <w:rPr>
          <w:rFonts w:asciiTheme="minorHAnsi" w:hAnsiTheme="minorHAnsi" w:cstheme="minorHAnsi"/>
        </w:rPr>
        <w:t>.</w:t>
      </w:r>
      <w:r w:rsidR="00E412EA">
        <w:rPr>
          <w:rFonts w:asciiTheme="minorHAnsi" w:hAnsiTheme="minorHAnsi" w:cstheme="minorHAnsi"/>
        </w:rPr>
        <w:t xml:space="preserve"> </w:t>
      </w:r>
      <w:r w:rsidR="003A45F1" w:rsidRPr="003A45F1">
        <w:rPr>
          <w:rFonts w:asciiTheme="minorHAnsi" w:hAnsiTheme="minorHAnsi" w:cstheme="minorHAnsi"/>
        </w:rPr>
        <w:t xml:space="preserve">Further significant political reform is unlikely in the immediate term, however a number of ministerial reshuffles and </w:t>
      </w:r>
      <w:r w:rsidR="00A06B3A">
        <w:rPr>
          <w:rFonts w:asciiTheme="minorHAnsi" w:hAnsiTheme="minorHAnsi" w:cstheme="minorHAnsi"/>
        </w:rPr>
        <w:t xml:space="preserve">a </w:t>
      </w:r>
      <w:r w:rsidR="003373D0">
        <w:rPr>
          <w:rFonts w:asciiTheme="minorHAnsi" w:hAnsiTheme="minorHAnsi" w:cstheme="minorHAnsi"/>
        </w:rPr>
        <w:t xml:space="preserve">vote of </w:t>
      </w:r>
      <w:r w:rsidR="003A45F1" w:rsidRPr="003A45F1">
        <w:rPr>
          <w:rFonts w:asciiTheme="minorHAnsi" w:hAnsiTheme="minorHAnsi" w:cstheme="minorHAnsi"/>
        </w:rPr>
        <w:t xml:space="preserve">no-confidence </w:t>
      </w:r>
      <w:r w:rsidR="003373D0">
        <w:rPr>
          <w:rFonts w:asciiTheme="minorHAnsi" w:hAnsiTheme="minorHAnsi" w:cstheme="minorHAnsi"/>
        </w:rPr>
        <w:t>(that did not pass)</w:t>
      </w:r>
      <w:r w:rsidR="003A45F1" w:rsidRPr="003A45F1">
        <w:rPr>
          <w:rFonts w:asciiTheme="minorHAnsi" w:hAnsiTheme="minorHAnsi" w:cstheme="minorHAnsi"/>
        </w:rPr>
        <w:t xml:space="preserve"> in mid-2012 indicate a level of fragility in the new </w:t>
      </w:r>
      <w:r w:rsidR="00954DBD">
        <w:rPr>
          <w:rFonts w:asciiTheme="minorHAnsi" w:hAnsiTheme="minorHAnsi" w:cstheme="minorHAnsi"/>
        </w:rPr>
        <w:t>G</w:t>
      </w:r>
      <w:r w:rsidR="003A45F1" w:rsidRPr="003A45F1">
        <w:rPr>
          <w:rFonts w:asciiTheme="minorHAnsi" w:hAnsiTheme="minorHAnsi" w:cstheme="minorHAnsi"/>
        </w:rPr>
        <w:t>overnment.</w:t>
      </w:r>
      <w:r w:rsidR="00C45436">
        <w:rPr>
          <w:rFonts w:asciiTheme="minorHAnsi" w:hAnsiTheme="minorHAnsi" w:cstheme="minorHAnsi"/>
        </w:rPr>
        <w:t xml:space="preserve"> </w:t>
      </w:r>
      <w:r w:rsidR="00714B44">
        <w:rPr>
          <w:rFonts w:asciiTheme="minorHAnsi" w:hAnsiTheme="minorHAnsi" w:cstheme="minorHAnsi"/>
        </w:rPr>
        <w:t xml:space="preserve">National elections, to be held in Tonga in 2014, </w:t>
      </w:r>
      <w:r w:rsidR="00A06B3A">
        <w:rPr>
          <w:rFonts w:asciiTheme="minorHAnsi" w:hAnsiTheme="minorHAnsi" w:cstheme="minorHAnsi"/>
        </w:rPr>
        <w:t>have als</w:t>
      </w:r>
      <w:r w:rsidR="00714B44">
        <w:rPr>
          <w:rFonts w:asciiTheme="minorHAnsi" w:hAnsiTheme="minorHAnsi" w:cstheme="minorHAnsi"/>
        </w:rPr>
        <w:t>o</w:t>
      </w:r>
      <w:r w:rsidR="00A06B3A">
        <w:rPr>
          <w:rFonts w:asciiTheme="minorHAnsi" w:hAnsiTheme="minorHAnsi" w:cstheme="minorHAnsi"/>
        </w:rPr>
        <w:t xml:space="preserve"> injected</w:t>
      </w:r>
      <w:r w:rsidR="00714B44">
        <w:rPr>
          <w:rFonts w:asciiTheme="minorHAnsi" w:hAnsiTheme="minorHAnsi" w:cstheme="minorHAnsi"/>
        </w:rPr>
        <w:t xml:space="preserve"> a level of uncertainty in the reform program and will require a renewed commitment to reforms by the new Government.</w:t>
      </w:r>
      <w:r w:rsidR="00714B44" w:rsidRPr="00714B44">
        <w:rPr>
          <w:rFonts w:asciiTheme="minorHAnsi" w:hAnsiTheme="minorHAnsi" w:cstheme="minorHAnsi"/>
        </w:rPr>
        <w:t xml:space="preserve"> </w:t>
      </w:r>
      <w:r w:rsidR="00A06B3A">
        <w:rPr>
          <w:rFonts w:asciiTheme="minorHAnsi" w:hAnsiTheme="minorHAnsi" w:cstheme="minorHAnsi"/>
        </w:rPr>
        <w:t xml:space="preserve">Despite the prospect of change, </w:t>
      </w:r>
      <w:r w:rsidR="00714B44">
        <w:rPr>
          <w:rFonts w:asciiTheme="minorHAnsi" w:hAnsiTheme="minorHAnsi" w:cstheme="minorHAnsi"/>
        </w:rPr>
        <w:t xml:space="preserve">it is envisaged that the foreseeable </w:t>
      </w:r>
      <w:r w:rsidR="00714B44" w:rsidRPr="003A45F1">
        <w:rPr>
          <w:rFonts w:asciiTheme="minorHAnsi" w:hAnsiTheme="minorHAnsi" w:cstheme="minorHAnsi"/>
        </w:rPr>
        <w:t xml:space="preserve">future </w:t>
      </w:r>
      <w:r w:rsidR="00714B44">
        <w:rPr>
          <w:rFonts w:asciiTheme="minorHAnsi" w:hAnsiTheme="minorHAnsi" w:cstheme="minorHAnsi"/>
        </w:rPr>
        <w:t>will see</w:t>
      </w:r>
      <w:r w:rsidR="00714B44" w:rsidRPr="003A45F1">
        <w:rPr>
          <w:rFonts w:asciiTheme="minorHAnsi" w:hAnsiTheme="minorHAnsi" w:cstheme="minorHAnsi"/>
        </w:rPr>
        <w:t xml:space="preserve"> Tonga establishing and building on the accountability, transparency and democratic measures undertaken to date</w:t>
      </w:r>
      <w:r w:rsidR="00A06B3A">
        <w:rPr>
          <w:rFonts w:asciiTheme="minorHAnsi" w:hAnsiTheme="minorHAnsi" w:cstheme="minorHAnsi"/>
        </w:rPr>
        <w:t>.</w:t>
      </w:r>
      <w:r w:rsidR="00714B44" w:rsidRPr="003A45F1">
        <w:rPr>
          <w:rFonts w:asciiTheme="minorHAnsi" w:hAnsiTheme="minorHAnsi" w:cstheme="minorHAnsi"/>
        </w:rPr>
        <w:t xml:space="preserve"> </w:t>
      </w:r>
      <w:r w:rsidR="000771F7" w:rsidRPr="003A45F1">
        <w:rPr>
          <w:rFonts w:asciiTheme="minorHAnsi" w:hAnsiTheme="minorHAnsi" w:cstheme="minorHAnsi"/>
        </w:rPr>
        <w:t xml:space="preserve">This is </w:t>
      </w:r>
      <w:r w:rsidR="000771F7">
        <w:rPr>
          <w:rFonts w:asciiTheme="minorHAnsi" w:hAnsiTheme="minorHAnsi" w:cstheme="minorHAnsi"/>
        </w:rPr>
        <w:t xml:space="preserve">still </w:t>
      </w:r>
      <w:r w:rsidR="000771F7" w:rsidRPr="003A45F1">
        <w:rPr>
          <w:rFonts w:asciiTheme="minorHAnsi" w:hAnsiTheme="minorHAnsi" w:cstheme="minorHAnsi"/>
        </w:rPr>
        <w:t xml:space="preserve">a new process and will take some time for both </w:t>
      </w:r>
      <w:r w:rsidR="000771F7">
        <w:rPr>
          <w:rFonts w:asciiTheme="minorHAnsi" w:hAnsiTheme="minorHAnsi" w:cstheme="minorHAnsi"/>
        </w:rPr>
        <w:t>G</w:t>
      </w:r>
      <w:r w:rsidR="000771F7" w:rsidRPr="003A45F1">
        <w:rPr>
          <w:rFonts w:asciiTheme="minorHAnsi" w:hAnsiTheme="minorHAnsi" w:cstheme="minorHAnsi"/>
        </w:rPr>
        <w:t>overnment and constituents to become accustomed to</w:t>
      </w:r>
      <w:r w:rsidR="000771F7" w:rsidRPr="006241B3">
        <w:rPr>
          <w:rFonts w:asciiTheme="minorHAnsi" w:hAnsiTheme="minorHAnsi" w:cstheme="minorHAnsi"/>
        </w:rPr>
        <w:t>.</w:t>
      </w:r>
      <w:r w:rsidR="00F209A3" w:rsidRPr="006241B3">
        <w:rPr>
          <w:rFonts w:asciiTheme="minorHAnsi" w:hAnsiTheme="minorHAnsi" w:cstheme="minorHAnsi"/>
        </w:rPr>
        <w:t xml:space="preserve"> </w:t>
      </w:r>
      <w:r w:rsidR="00231618" w:rsidRPr="006241B3">
        <w:rPr>
          <w:rFonts w:asciiTheme="minorHAnsi" w:hAnsiTheme="minorHAnsi" w:cstheme="minorHAnsi"/>
        </w:rPr>
        <w:t>AusAID will continue to monitor the political environment through participation in World Bank-led dialogue with Government and through annual Partnership for Development talks to ensure that the operational environment is in place for activities to contribute to institutional change.</w:t>
      </w:r>
    </w:p>
    <w:p w:rsidR="00231618" w:rsidRPr="006241B3" w:rsidRDefault="00231618" w:rsidP="008A60A7">
      <w:pPr>
        <w:rPr>
          <w:rFonts w:asciiTheme="minorHAnsi" w:hAnsiTheme="minorHAnsi" w:cstheme="minorHAnsi"/>
        </w:rPr>
      </w:pPr>
    </w:p>
    <w:p w:rsidR="00B73446" w:rsidRDefault="002A0CAC" w:rsidP="00AF18BB">
      <w:pPr>
        <w:rPr>
          <w:rFonts w:asciiTheme="minorHAnsi" w:hAnsiTheme="minorHAnsi" w:cstheme="minorHAnsi"/>
        </w:rPr>
      </w:pPr>
      <w:r w:rsidRPr="006241B3">
        <w:rPr>
          <w:rFonts w:asciiTheme="minorHAnsi" w:hAnsiTheme="minorHAnsi" w:cstheme="minorHAnsi"/>
        </w:rPr>
        <w:t xml:space="preserve">In 2011, the GoT initiated a major restructure </w:t>
      </w:r>
      <w:r>
        <w:rPr>
          <w:rFonts w:asciiTheme="minorHAnsi" w:hAnsiTheme="minorHAnsi" w:cstheme="minorHAnsi"/>
        </w:rPr>
        <w:t>of its civil service</w:t>
      </w:r>
      <w:r w:rsidR="00CA5909">
        <w:rPr>
          <w:rFonts w:asciiTheme="minorHAnsi" w:hAnsiTheme="minorHAnsi" w:cstheme="minorHAnsi"/>
        </w:rPr>
        <w:t xml:space="preserve"> aimed at rationalising the public service and ensuring that the structure of government was suitable to deliver the demands placed on the newly elected government. </w:t>
      </w:r>
      <w:r w:rsidR="00AF18BB">
        <w:rPr>
          <w:rFonts w:asciiTheme="minorHAnsi" w:hAnsiTheme="minorHAnsi" w:cstheme="minorHAnsi"/>
        </w:rPr>
        <w:t>The first phase of the restructure involved a whole-of-government restructuring process built on functional-based ministries (consolidated from 26 to 13) and separation of power. T</w:t>
      </w:r>
      <w:r w:rsidR="00D83AF3" w:rsidRPr="00D83AF3">
        <w:rPr>
          <w:rFonts w:asciiTheme="minorHAnsi" w:hAnsiTheme="minorHAnsi" w:cstheme="minorHAnsi"/>
        </w:rPr>
        <w:t>he restructure added a level of uncertainty</w:t>
      </w:r>
      <w:r w:rsidR="00AF18BB">
        <w:rPr>
          <w:rFonts w:asciiTheme="minorHAnsi" w:hAnsiTheme="minorHAnsi" w:cstheme="minorHAnsi"/>
        </w:rPr>
        <w:t>,</w:t>
      </w:r>
      <w:r w:rsidR="00D83AF3" w:rsidRPr="00D83AF3">
        <w:rPr>
          <w:rFonts w:asciiTheme="minorHAnsi" w:hAnsiTheme="minorHAnsi" w:cstheme="minorHAnsi"/>
        </w:rPr>
        <w:t xml:space="preserve"> in late 2011</w:t>
      </w:r>
      <w:r w:rsidR="00AF18BB">
        <w:rPr>
          <w:rFonts w:asciiTheme="minorHAnsi" w:hAnsiTheme="minorHAnsi" w:cstheme="minorHAnsi"/>
        </w:rPr>
        <w:t>,</w:t>
      </w:r>
      <w:r w:rsidR="00D83AF3" w:rsidRPr="00D83AF3">
        <w:rPr>
          <w:rFonts w:asciiTheme="minorHAnsi" w:hAnsiTheme="minorHAnsi" w:cstheme="minorHAnsi"/>
        </w:rPr>
        <w:t xml:space="preserve"> to the aid program </w:t>
      </w:r>
      <w:r w:rsidR="00B73446">
        <w:rPr>
          <w:rFonts w:asciiTheme="minorHAnsi" w:hAnsiTheme="minorHAnsi" w:cstheme="minorHAnsi"/>
        </w:rPr>
        <w:t xml:space="preserve">operating environment and has precipitated the need to reassess </w:t>
      </w:r>
      <w:r w:rsidR="00AF18BB">
        <w:rPr>
          <w:rFonts w:asciiTheme="minorHAnsi" w:hAnsiTheme="minorHAnsi" w:cstheme="minorHAnsi"/>
        </w:rPr>
        <w:t>Australia’s</w:t>
      </w:r>
      <w:r w:rsidR="00B73446">
        <w:rPr>
          <w:rFonts w:asciiTheme="minorHAnsi" w:hAnsiTheme="minorHAnsi" w:cstheme="minorHAnsi"/>
        </w:rPr>
        <w:t xml:space="preserve"> </w:t>
      </w:r>
      <w:r w:rsidR="00AF18BB">
        <w:rPr>
          <w:rFonts w:asciiTheme="minorHAnsi" w:hAnsiTheme="minorHAnsi" w:cstheme="minorHAnsi"/>
        </w:rPr>
        <w:t xml:space="preserve">program in the sector. In </w:t>
      </w:r>
      <w:r w:rsidR="00FA7AB1">
        <w:rPr>
          <w:rFonts w:asciiTheme="minorHAnsi" w:hAnsiTheme="minorHAnsi" w:cstheme="minorHAnsi"/>
        </w:rPr>
        <w:t xml:space="preserve">November </w:t>
      </w:r>
      <w:r w:rsidR="00AF18BB">
        <w:rPr>
          <w:rFonts w:asciiTheme="minorHAnsi" w:hAnsiTheme="minorHAnsi" w:cstheme="minorHAnsi"/>
        </w:rPr>
        <w:t>201</w:t>
      </w:r>
      <w:r w:rsidR="003E403F">
        <w:rPr>
          <w:rFonts w:asciiTheme="minorHAnsi" w:hAnsiTheme="minorHAnsi" w:cstheme="minorHAnsi"/>
        </w:rPr>
        <w:t>3</w:t>
      </w:r>
      <w:r w:rsidR="00AF18BB">
        <w:rPr>
          <w:rFonts w:asciiTheme="minorHAnsi" w:hAnsiTheme="minorHAnsi" w:cstheme="minorHAnsi"/>
        </w:rPr>
        <w:t xml:space="preserve">, the Governments of Australia and Tonga will be negotiating a new five-year Partnership for Development. It is envisaged that economic and public sector governance will remain a core priority of </w:t>
      </w:r>
      <w:r w:rsidR="00FA7AB1">
        <w:rPr>
          <w:rFonts w:asciiTheme="minorHAnsi" w:hAnsiTheme="minorHAnsi" w:cstheme="minorHAnsi"/>
        </w:rPr>
        <w:t>the Partnership</w:t>
      </w:r>
      <w:r w:rsidR="00AF18BB">
        <w:rPr>
          <w:rFonts w:asciiTheme="minorHAnsi" w:hAnsiTheme="minorHAnsi" w:cstheme="minorHAnsi"/>
        </w:rPr>
        <w:t>.</w:t>
      </w:r>
    </w:p>
    <w:p w:rsidR="00AF18BB" w:rsidRDefault="00AF18BB" w:rsidP="00AF18BB">
      <w:pPr>
        <w:rPr>
          <w:rFonts w:asciiTheme="minorHAnsi" w:hAnsiTheme="minorHAnsi" w:cstheme="minorHAnsi"/>
        </w:rPr>
      </w:pPr>
    </w:p>
    <w:p w:rsidR="004F744F" w:rsidRDefault="00344734" w:rsidP="00416D18">
      <w:pPr>
        <w:rPr>
          <w:rFonts w:asciiTheme="minorHAnsi" w:hAnsiTheme="minorHAnsi" w:cstheme="minorHAnsi"/>
        </w:rPr>
      </w:pPr>
      <w:r>
        <w:rPr>
          <w:rFonts w:asciiTheme="minorHAnsi" w:hAnsiTheme="minorHAnsi" w:cstheme="minorHAnsi"/>
        </w:rPr>
        <w:t>GoT has been pursuing a program of economic and public sector reform since 2001.</w:t>
      </w:r>
      <w:r w:rsidR="004F744F">
        <w:rPr>
          <w:rFonts w:asciiTheme="minorHAnsi" w:hAnsiTheme="minorHAnsi" w:cstheme="minorHAnsi"/>
        </w:rPr>
        <w:t xml:space="preserve"> This process has gained momentum since 2009 and there is sufficient evidence to support the view that GoT is taking its reform program seriously. This can be found in the fact that:</w:t>
      </w:r>
    </w:p>
    <w:p w:rsidR="0034083C" w:rsidRDefault="0034083C" w:rsidP="00A11CCA">
      <w:pPr>
        <w:pStyle w:val="ListParagraph"/>
        <w:numPr>
          <w:ilvl w:val="0"/>
          <w:numId w:val="3"/>
        </w:numPr>
        <w:spacing w:before="120" w:after="120" w:line="240" w:lineRule="auto"/>
        <w:rPr>
          <w:rFonts w:cstheme="minorHAnsi"/>
          <w:sz w:val="24"/>
        </w:rPr>
      </w:pPr>
      <w:r>
        <w:rPr>
          <w:rFonts w:cstheme="minorHAnsi"/>
          <w:sz w:val="24"/>
        </w:rPr>
        <w:t>Tonga has successfully transitioned from a constitutional monarchy to a democratically-elected governance system;</w:t>
      </w:r>
    </w:p>
    <w:p w:rsidR="0034083C" w:rsidRDefault="0034083C" w:rsidP="00A11CCA">
      <w:pPr>
        <w:pStyle w:val="ListParagraph"/>
        <w:numPr>
          <w:ilvl w:val="0"/>
          <w:numId w:val="3"/>
        </w:numPr>
        <w:spacing w:before="120" w:after="120" w:line="240" w:lineRule="auto"/>
        <w:rPr>
          <w:rFonts w:cstheme="minorHAnsi"/>
          <w:sz w:val="24"/>
        </w:rPr>
      </w:pPr>
      <w:r>
        <w:rPr>
          <w:rFonts w:cstheme="minorHAnsi"/>
          <w:sz w:val="24"/>
        </w:rPr>
        <w:t>GoT has successfully implemented the first phase of a whole-of-government restructuring process built on functional-based ministries and separation of power and aimed at rationalising the public service;</w:t>
      </w:r>
    </w:p>
    <w:p w:rsidR="004F744F" w:rsidRDefault="004F744F" w:rsidP="00A11CCA">
      <w:pPr>
        <w:pStyle w:val="ListParagraph"/>
        <w:numPr>
          <w:ilvl w:val="0"/>
          <w:numId w:val="3"/>
        </w:numPr>
        <w:spacing w:before="120" w:after="120" w:line="240" w:lineRule="auto"/>
        <w:rPr>
          <w:rFonts w:cstheme="minorHAnsi"/>
          <w:sz w:val="24"/>
        </w:rPr>
      </w:pPr>
      <w:r>
        <w:rPr>
          <w:rFonts w:cstheme="minorHAnsi"/>
          <w:sz w:val="24"/>
        </w:rPr>
        <w:t xml:space="preserve">GoT’s ratings </w:t>
      </w:r>
      <w:r w:rsidR="003373D0">
        <w:rPr>
          <w:rFonts w:cstheme="minorHAnsi"/>
          <w:sz w:val="24"/>
        </w:rPr>
        <w:t xml:space="preserve">for most indicators </w:t>
      </w:r>
      <w:r>
        <w:rPr>
          <w:rFonts w:cstheme="minorHAnsi"/>
          <w:sz w:val="24"/>
        </w:rPr>
        <w:t>on the World Bank’s PEFA assessment have improved since 2007</w:t>
      </w:r>
      <w:r w:rsidR="003E14A5">
        <w:rPr>
          <w:rStyle w:val="FootnoteReference"/>
          <w:rFonts w:cstheme="minorHAnsi"/>
          <w:sz w:val="24"/>
        </w:rPr>
        <w:footnoteReference w:id="1"/>
      </w:r>
      <w:r>
        <w:rPr>
          <w:rFonts w:cstheme="minorHAnsi"/>
          <w:sz w:val="24"/>
        </w:rPr>
        <w:t xml:space="preserve">; </w:t>
      </w:r>
    </w:p>
    <w:p w:rsidR="004F744F" w:rsidRPr="008409B4" w:rsidRDefault="004F744F" w:rsidP="00A11CCA">
      <w:pPr>
        <w:pStyle w:val="ListParagraph"/>
        <w:numPr>
          <w:ilvl w:val="0"/>
          <w:numId w:val="3"/>
        </w:numPr>
        <w:spacing w:before="120" w:after="120" w:line="240" w:lineRule="auto"/>
        <w:rPr>
          <w:rFonts w:cstheme="minorHAnsi"/>
          <w:sz w:val="24"/>
        </w:rPr>
      </w:pPr>
      <w:r>
        <w:rPr>
          <w:rFonts w:cstheme="minorHAnsi"/>
          <w:sz w:val="24"/>
        </w:rPr>
        <w:t xml:space="preserve">GoT has already </w:t>
      </w:r>
      <w:r w:rsidRPr="008409B4">
        <w:rPr>
          <w:rFonts w:cstheme="minorHAnsi"/>
          <w:sz w:val="24"/>
        </w:rPr>
        <w:t xml:space="preserve">undertaken a wide range of </w:t>
      </w:r>
      <w:r w:rsidR="004A28FB">
        <w:rPr>
          <w:rFonts w:cstheme="minorHAnsi"/>
          <w:sz w:val="24"/>
        </w:rPr>
        <w:t xml:space="preserve">public sector and economic </w:t>
      </w:r>
      <w:r w:rsidRPr="008409B4">
        <w:rPr>
          <w:rFonts w:cstheme="minorHAnsi"/>
          <w:sz w:val="24"/>
        </w:rPr>
        <w:t>reforms including</w:t>
      </w:r>
      <w:r w:rsidR="00954DBD">
        <w:rPr>
          <w:rFonts w:cstheme="minorHAnsi"/>
          <w:sz w:val="24"/>
        </w:rPr>
        <w:t>:</w:t>
      </w:r>
      <w:r w:rsidRPr="008409B4">
        <w:rPr>
          <w:rFonts w:cstheme="minorHAnsi"/>
          <w:sz w:val="24"/>
        </w:rPr>
        <w:t xml:space="preserve"> </w:t>
      </w:r>
      <w:r w:rsidR="008E1AB6">
        <w:rPr>
          <w:rFonts w:cstheme="minorHAnsi"/>
          <w:sz w:val="24"/>
        </w:rPr>
        <w:t>a comprehensive review of it</w:t>
      </w:r>
      <w:r w:rsidR="00954DBD">
        <w:rPr>
          <w:rFonts w:cstheme="minorHAnsi"/>
          <w:sz w:val="24"/>
        </w:rPr>
        <w:t>s tax policy and administration;</w:t>
      </w:r>
      <w:r w:rsidR="008E1AB6">
        <w:rPr>
          <w:rFonts w:cstheme="minorHAnsi"/>
          <w:sz w:val="24"/>
        </w:rPr>
        <w:t xml:space="preserve"> concrete steps to improve its business environment, and</w:t>
      </w:r>
      <w:r w:rsidR="00954DBD">
        <w:rPr>
          <w:rFonts w:cstheme="minorHAnsi"/>
          <w:sz w:val="24"/>
        </w:rPr>
        <w:t>;</w:t>
      </w:r>
      <w:r w:rsidR="008E1AB6">
        <w:rPr>
          <w:rFonts w:cstheme="minorHAnsi"/>
          <w:sz w:val="24"/>
        </w:rPr>
        <w:t xml:space="preserve"> significant work to move its public enterprises onto a more commercial footing</w:t>
      </w:r>
      <w:r w:rsidR="00954DBD">
        <w:rPr>
          <w:rFonts w:cstheme="minorHAnsi"/>
          <w:sz w:val="24"/>
        </w:rPr>
        <w:t>, and;</w:t>
      </w:r>
    </w:p>
    <w:p w:rsidR="004F744F" w:rsidRDefault="0034083C" w:rsidP="00A11CCA">
      <w:pPr>
        <w:pStyle w:val="ListParagraph"/>
        <w:numPr>
          <w:ilvl w:val="0"/>
          <w:numId w:val="3"/>
        </w:numPr>
        <w:spacing w:before="120" w:after="0" w:line="240" w:lineRule="auto"/>
        <w:rPr>
          <w:rFonts w:cstheme="minorHAnsi"/>
          <w:sz w:val="24"/>
        </w:rPr>
      </w:pPr>
      <w:r w:rsidRPr="008409B4">
        <w:rPr>
          <w:rFonts w:cstheme="minorHAnsi"/>
          <w:sz w:val="24"/>
        </w:rPr>
        <w:t>In 201</w:t>
      </w:r>
      <w:r w:rsidR="00E1769B">
        <w:rPr>
          <w:rFonts w:cstheme="minorHAnsi"/>
          <w:sz w:val="24"/>
        </w:rPr>
        <w:t>2</w:t>
      </w:r>
      <w:r w:rsidRPr="008409B4">
        <w:rPr>
          <w:rFonts w:cstheme="minorHAnsi"/>
          <w:sz w:val="24"/>
        </w:rPr>
        <w:t xml:space="preserve"> and 201</w:t>
      </w:r>
      <w:r w:rsidR="00E1769B">
        <w:rPr>
          <w:rFonts w:cstheme="minorHAnsi"/>
          <w:sz w:val="24"/>
        </w:rPr>
        <w:t>3</w:t>
      </w:r>
      <w:r w:rsidRPr="008409B4">
        <w:rPr>
          <w:rFonts w:cstheme="minorHAnsi"/>
          <w:sz w:val="24"/>
        </w:rPr>
        <w:t>,</w:t>
      </w:r>
      <w:r w:rsidR="008409B4" w:rsidRPr="008409B4">
        <w:rPr>
          <w:rFonts w:cstheme="minorHAnsi"/>
          <w:sz w:val="24"/>
        </w:rPr>
        <w:t xml:space="preserve"> the World Bank and AusAID provided budget support to the</w:t>
      </w:r>
      <w:r w:rsidRPr="008409B4">
        <w:rPr>
          <w:rFonts w:cstheme="minorHAnsi"/>
          <w:sz w:val="24"/>
        </w:rPr>
        <w:t xml:space="preserve"> </w:t>
      </w:r>
      <w:r w:rsidR="008409B4" w:rsidRPr="008409B4">
        <w:rPr>
          <w:rFonts w:cstheme="minorHAnsi"/>
          <w:sz w:val="24"/>
        </w:rPr>
        <w:t>GoT upon achievement of a</w:t>
      </w:r>
      <w:r w:rsidR="008E5016">
        <w:rPr>
          <w:rFonts w:cstheme="minorHAnsi"/>
          <w:sz w:val="24"/>
        </w:rPr>
        <w:t>ctions identified in the joint P</w:t>
      </w:r>
      <w:r w:rsidR="008409B4" w:rsidRPr="008409B4">
        <w:rPr>
          <w:rFonts w:cstheme="minorHAnsi"/>
          <w:sz w:val="24"/>
        </w:rPr>
        <w:t xml:space="preserve">olicy </w:t>
      </w:r>
      <w:r w:rsidR="008E5016">
        <w:rPr>
          <w:rFonts w:cstheme="minorHAnsi"/>
          <w:sz w:val="24"/>
        </w:rPr>
        <w:t>R</w:t>
      </w:r>
      <w:r w:rsidR="008409B4" w:rsidRPr="008409B4">
        <w:rPr>
          <w:rFonts w:cstheme="minorHAnsi"/>
          <w:sz w:val="24"/>
        </w:rPr>
        <w:t xml:space="preserve">eform </w:t>
      </w:r>
      <w:r w:rsidR="008E5016">
        <w:rPr>
          <w:rFonts w:cstheme="minorHAnsi"/>
          <w:sz w:val="24"/>
        </w:rPr>
        <w:t>M</w:t>
      </w:r>
      <w:r w:rsidR="008409B4" w:rsidRPr="008409B4">
        <w:rPr>
          <w:rFonts w:cstheme="minorHAnsi"/>
          <w:sz w:val="24"/>
        </w:rPr>
        <w:t>atrix</w:t>
      </w:r>
      <w:r w:rsidR="00C300DA">
        <w:rPr>
          <w:rFonts w:cstheme="minorHAnsi"/>
          <w:sz w:val="24"/>
        </w:rPr>
        <w:t xml:space="preserve"> (for financial years 2011/12 and 2012/13)</w:t>
      </w:r>
      <w:r w:rsidR="008409B4" w:rsidRPr="008409B4">
        <w:rPr>
          <w:rFonts w:cstheme="minorHAnsi"/>
          <w:sz w:val="24"/>
        </w:rPr>
        <w:t>.</w:t>
      </w:r>
    </w:p>
    <w:p w:rsidR="001A570E" w:rsidRDefault="001A570E" w:rsidP="001A570E">
      <w:pPr>
        <w:rPr>
          <w:rFonts w:asciiTheme="minorHAnsi" w:hAnsiTheme="minorHAnsi" w:cstheme="minorHAnsi"/>
        </w:rPr>
      </w:pPr>
    </w:p>
    <w:p w:rsidR="00561218" w:rsidRDefault="00561218" w:rsidP="001A570E">
      <w:pPr>
        <w:rPr>
          <w:rFonts w:asciiTheme="minorHAnsi" w:hAnsiTheme="minorHAnsi" w:cstheme="minorHAnsi"/>
        </w:rPr>
      </w:pPr>
      <w:r>
        <w:rPr>
          <w:rFonts w:asciiTheme="minorHAnsi" w:hAnsiTheme="minorHAnsi" w:cstheme="minorHAnsi"/>
        </w:rPr>
        <w:t>A 2011 Assessment of National Systems in Tonga found that reforms had been government-led (with assistance from donors), were relevant, effectively sequenced, and had succeeded in creating some internal demand for change. This provides a sound basis for Australia to continue providing assistance in this area. The ANS notes that the GoT’s PFM reform program is credibly placed to deliver further improvements. However, political will and leadership skills (particularly at Prime Minister, Ministry of Finance and CEO level) will be needed to sustain and build on the reforms that have commenced.</w:t>
      </w:r>
      <w:r w:rsidR="007B6C52">
        <w:rPr>
          <w:rFonts w:asciiTheme="minorHAnsi" w:hAnsiTheme="minorHAnsi" w:cstheme="minorHAnsi"/>
        </w:rPr>
        <w:t xml:space="preserve"> </w:t>
      </w:r>
      <w:r>
        <w:rPr>
          <w:rFonts w:asciiTheme="minorHAnsi" w:hAnsiTheme="minorHAnsi" w:cstheme="minorHAnsi"/>
        </w:rPr>
        <w:t>The implementation of further reform initiatives is unlikely to be swift and will need consistent commitment from GoT and realistically-paced support from donors.</w:t>
      </w:r>
      <w:r w:rsidR="00390D77">
        <w:rPr>
          <w:rFonts w:asciiTheme="minorHAnsi" w:hAnsiTheme="minorHAnsi" w:cstheme="minorHAnsi"/>
        </w:rPr>
        <w:t xml:space="preserve"> </w:t>
      </w:r>
    </w:p>
    <w:p w:rsidR="008E695D" w:rsidRDefault="008E695D" w:rsidP="008A60A7">
      <w:pPr>
        <w:rPr>
          <w:rFonts w:asciiTheme="minorHAnsi" w:hAnsiTheme="minorHAnsi" w:cstheme="minorHAnsi"/>
          <w:b/>
        </w:rPr>
      </w:pPr>
    </w:p>
    <w:p w:rsidR="00954DBD" w:rsidRPr="00D55D8F" w:rsidRDefault="00954DBD" w:rsidP="00954DBD">
      <w:pPr>
        <w:rPr>
          <w:rFonts w:asciiTheme="minorHAnsi" w:hAnsiTheme="minorHAnsi" w:cstheme="minorHAnsi"/>
          <w:b/>
        </w:rPr>
      </w:pPr>
      <w:r>
        <w:rPr>
          <w:rFonts w:asciiTheme="minorHAnsi" w:hAnsiTheme="minorHAnsi" w:cstheme="minorHAnsi"/>
          <w:b/>
        </w:rPr>
        <w:t>Strategic framework</w:t>
      </w:r>
    </w:p>
    <w:p w:rsidR="00530D05" w:rsidRDefault="00954DBD" w:rsidP="00954DBD">
      <w:pPr>
        <w:rPr>
          <w:rFonts w:asciiTheme="minorHAnsi" w:hAnsiTheme="minorHAnsi" w:cstheme="minorHAnsi"/>
        </w:rPr>
      </w:pPr>
      <w:r>
        <w:rPr>
          <w:rFonts w:asciiTheme="minorHAnsi" w:hAnsiTheme="minorHAnsi" w:cstheme="minorHAnsi"/>
        </w:rPr>
        <w:t xml:space="preserve">The Tonga Strategic Development Framework 2011-14 (TSDF) provides the strategic direction to guide the work of the GoT to achieve development outcomes over its four year term. AusAID’s engagement in economic and public sector governance (EPSG) aims to draw on the GoT’s TSDF, in line with Australia’s commitments towards aid effectiveness made at Paris, Accra and Busan. AusAID will continue to align its EPSG program with the strategies and targets identified in the TSDF. This includes support for the TSDF’s </w:t>
      </w:r>
      <w:r w:rsidR="00F623FC">
        <w:rPr>
          <w:rFonts w:asciiTheme="minorHAnsi" w:hAnsiTheme="minorHAnsi" w:cstheme="minorHAnsi"/>
        </w:rPr>
        <w:t xml:space="preserve">four </w:t>
      </w:r>
      <w:r>
        <w:rPr>
          <w:rFonts w:asciiTheme="minorHAnsi" w:hAnsiTheme="minorHAnsi" w:cstheme="minorHAnsi"/>
        </w:rPr>
        <w:t>enabling themes</w:t>
      </w:r>
      <w:r w:rsidR="00F623FC">
        <w:rPr>
          <w:rFonts w:asciiTheme="minorHAnsi" w:hAnsiTheme="minorHAnsi" w:cstheme="minorHAnsi"/>
        </w:rPr>
        <w:t>. These are</w:t>
      </w:r>
      <w:r>
        <w:rPr>
          <w:rFonts w:asciiTheme="minorHAnsi" w:hAnsiTheme="minorHAnsi" w:cstheme="minorHAnsi"/>
        </w:rPr>
        <w:t xml:space="preserve">: </w:t>
      </w:r>
    </w:p>
    <w:p w:rsidR="00530D05" w:rsidRDefault="00954DBD" w:rsidP="00A11CCA">
      <w:pPr>
        <w:pStyle w:val="ListParagraph"/>
        <w:numPr>
          <w:ilvl w:val="0"/>
          <w:numId w:val="29"/>
        </w:numPr>
        <w:spacing w:before="240"/>
        <w:rPr>
          <w:rFonts w:cstheme="minorHAnsi"/>
        </w:rPr>
      </w:pPr>
      <w:r w:rsidRPr="003364CF">
        <w:rPr>
          <w:rFonts w:cstheme="minorHAnsi"/>
        </w:rPr>
        <w:t>c</w:t>
      </w:r>
      <w:r w:rsidRPr="00C415C7">
        <w:rPr>
          <w:rFonts w:cstheme="minorHAnsi"/>
        </w:rPr>
        <w:t xml:space="preserve">ontinuing progress to a more efficient and effective government by focusing on its core functions; </w:t>
      </w:r>
    </w:p>
    <w:p w:rsidR="00530D05" w:rsidRDefault="00954DBD" w:rsidP="00A11CCA">
      <w:pPr>
        <w:pStyle w:val="ListParagraph"/>
        <w:numPr>
          <w:ilvl w:val="0"/>
          <w:numId w:val="29"/>
        </w:numPr>
        <w:rPr>
          <w:rFonts w:cstheme="minorHAnsi"/>
        </w:rPr>
      </w:pPr>
      <w:r w:rsidRPr="003364CF">
        <w:rPr>
          <w:rFonts w:cstheme="minorHAnsi"/>
        </w:rPr>
        <w:t>improving the macro-economic environment and fiscal management, including effective revenue services to ensure a level playing field and that services to th</w:t>
      </w:r>
      <w:r w:rsidRPr="00C415C7">
        <w:rPr>
          <w:rFonts w:cstheme="minorHAnsi"/>
        </w:rPr>
        <w:t xml:space="preserve">e people can be effectively funded; </w:t>
      </w:r>
    </w:p>
    <w:p w:rsidR="00530D05" w:rsidRDefault="00F623FC" w:rsidP="00A11CCA">
      <w:pPr>
        <w:pStyle w:val="ListParagraph"/>
        <w:numPr>
          <w:ilvl w:val="0"/>
          <w:numId w:val="29"/>
        </w:numPr>
        <w:rPr>
          <w:rFonts w:cstheme="minorHAnsi"/>
        </w:rPr>
      </w:pPr>
      <w:r w:rsidRPr="003364CF">
        <w:rPr>
          <w:rFonts w:cstheme="minorHAnsi"/>
        </w:rPr>
        <w:t>ensuring Public Enterprises are sustainable and accountable and, where appropriate, moved into the private sector</w:t>
      </w:r>
      <w:r w:rsidR="00530D05">
        <w:rPr>
          <w:rFonts w:cstheme="minorHAnsi"/>
        </w:rPr>
        <w:t>;</w:t>
      </w:r>
      <w:r w:rsidRPr="00C415C7">
        <w:rPr>
          <w:rFonts w:cstheme="minorHAnsi"/>
        </w:rPr>
        <w:t xml:space="preserve"> </w:t>
      </w:r>
      <w:r w:rsidR="00954DBD" w:rsidRPr="00C415C7">
        <w:rPr>
          <w:rFonts w:cstheme="minorHAnsi"/>
        </w:rPr>
        <w:t>and</w:t>
      </w:r>
    </w:p>
    <w:p w:rsidR="00954DBD" w:rsidRPr="00C415C7" w:rsidRDefault="00954DBD" w:rsidP="00A11CCA">
      <w:pPr>
        <w:pStyle w:val="ListParagraph"/>
        <w:numPr>
          <w:ilvl w:val="0"/>
          <w:numId w:val="29"/>
        </w:numPr>
        <w:rPr>
          <w:rFonts w:cstheme="minorHAnsi"/>
        </w:rPr>
      </w:pPr>
      <w:r w:rsidRPr="003364CF">
        <w:rPr>
          <w:rFonts w:cstheme="minorHAnsi"/>
        </w:rPr>
        <w:t>ensuring a more coordinated whole of government approach in Tonga’s partnership with development p</w:t>
      </w:r>
      <w:r w:rsidRPr="00C415C7">
        <w:rPr>
          <w:rFonts w:cstheme="minorHAnsi"/>
        </w:rPr>
        <w:t>artners.</w:t>
      </w:r>
    </w:p>
    <w:p w:rsidR="00954DBD" w:rsidRPr="00E13609" w:rsidRDefault="00954DBD" w:rsidP="00954DBD">
      <w:pPr>
        <w:rPr>
          <w:rFonts w:asciiTheme="minorHAnsi" w:hAnsiTheme="minorHAnsi" w:cstheme="minorHAnsi"/>
        </w:rPr>
      </w:pPr>
      <w:r w:rsidRPr="00E13609">
        <w:rPr>
          <w:rFonts w:asciiTheme="minorHAnsi" w:hAnsiTheme="minorHAnsi" w:cstheme="minorHAnsi"/>
        </w:rPr>
        <w:t>In 2013, with Pacific Financial Technical Assistance Centre (PFTAC) assistance, GoT released a PFM Roadmap focused on improvin</w:t>
      </w:r>
      <w:r>
        <w:rPr>
          <w:rFonts w:asciiTheme="minorHAnsi" w:hAnsiTheme="minorHAnsi" w:cstheme="minorHAnsi"/>
        </w:rPr>
        <w:t>g the performance of government and</w:t>
      </w:r>
      <w:r w:rsidRPr="00E13609">
        <w:rPr>
          <w:rFonts w:asciiTheme="minorHAnsi" w:hAnsiTheme="minorHAnsi" w:cstheme="minorHAnsi"/>
        </w:rPr>
        <w:t xml:space="preserve"> public service delivery, and strengthening public financial management </w:t>
      </w:r>
      <w:r>
        <w:rPr>
          <w:rFonts w:asciiTheme="minorHAnsi" w:hAnsiTheme="minorHAnsi" w:cstheme="minorHAnsi"/>
        </w:rPr>
        <w:t xml:space="preserve">(PFM) </w:t>
      </w:r>
      <w:r w:rsidRPr="00E13609">
        <w:rPr>
          <w:rFonts w:asciiTheme="minorHAnsi" w:hAnsiTheme="minorHAnsi" w:cstheme="minorHAnsi"/>
        </w:rPr>
        <w:t xml:space="preserve">systems </w:t>
      </w:r>
      <w:r>
        <w:rPr>
          <w:rFonts w:asciiTheme="minorHAnsi" w:hAnsiTheme="minorHAnsi" w:cstheme="minorHAnsi"/>
        </w:rPr>
        <w:t>to promote</w:t>
      </w:r>
      <w:r w:rsidRPr="00E13609">
        <w:rPr>
          <w:rFonts w:asciiTheme="minorHAnsi" w:hAnsiTheme="minorHAnsi" w:cstheme="minorHAnsi"/>
        </w:rPr>
        <w:t xml:space="preserve"> the efficient use of resources</w:t>
      </w:r>
      <w:r w:rsidRPr="00E13609">
        <w:rPr>
          <w:rFonts w:asciiTheme="minorHAnsi" w:hAnsiTheme="minorHAnsi" w:cstheme="minorHAnsi"/>
          <w:b/>
        </w:rPr>
        <w:t>.</w:t>
      </w:r>
      <w:r w:rsidRPr="00E13609">
        <w:rPr>
          <w:rFonts w:asciiTheme="minorHAnsi" w:hAnsiTheme="minorHAnsi" w:cstheme="minorHAnsi"/>
        </w:rPr>
        <w:t xml:space="preserve"> The Roadmap draws on key weaknesses identified in the 2010 P</w:t>
      </w:r>
      <w:r>
        <w:rPr>
          <w:rFonts w:asciiTheme="minorHAnsi" w:hAnsiTheme="minorHAnsi" w:cstheme="minorHAnsi"/>
        </w:rPr>
        <w:t xml:space="preserve">ublic </w:t>
      </w:r>
      <w:r w:rsidRPr="00E13609">
        <w:rPr>
          <w:rFonts w:asciiTheme="minorHAnsi" w:hAnsiTheme="minorHAnsi" w:cstheme="minorHAnsi"/>
        </w:rPr>
        <w:t>E</w:t>
      </w:r>
      <w:r>
        <w:rPr>
          <w:rFonts w:asciiTheme="minorHAnsi" w:hAnsiTheme="minorHAnsi" w:cstheme="minorHAnsi"/>
        </w:rPr>
        <w:t xml:space="preserve">xpenditure and </w:t>
      </w:r>
      <w:r w:rsidRPr="00E13609">
        <w:rPr>
          <w:rFonts w:asciiTheme="minorHAnsi" w:hAnsiTheme="minorHAnsi" w:cstheme="minorHAnsi"/>
        </w:rPr>
        <w:t>F</w:t>
      </w:r>
      <w:r>
        <w:rPr>
          <w:rFonts w:asciiTheme="minorHAnsi" w:hAnsiTheme="minorHAnsi" w:cstheme="minorHAnsi"/>
        </w:rPr>
        <w:t xml:space="preserve">inancial </w:t>
      </w:r>
      <w:r w:rsidRPr="00E13609">
        <w:rPr>
          <w:rFonts w:asciiTheme="minorHAnsi" w:hAnsiTheme="minorHAnsi" w:cstheme="minorHAnsi"/>
        </w:rPr>
        <w:t>A</w:t>
      </w:r>
      <w:r>
        <w:rPr>
          <w:rFonts w:asciiTheme="minorHAnsi" w:hAnsiTheme="minorHAnsi" w:cstheme="minorHAnsi"/>
        </w:rPr>
        <w:t>ccountability</w:t>
      </w:r>
      <w:r w:rsidRPr="00E13609">
        <w:rPr>
          <w:rFonts w:asciiTheme="minorHAnsi" w:hAnsiTheme="minorHAnsi" w:cstheme="minorHAnsi"/>
        </w:rPr>
        <w:t xml:space="preserve"> </w:t>
      </w:r>
      <w:r>
        <w:rPr>
          <w:rFonts w:asciiTheme="minorHAnsi" w:hAnsiTheme="minorHAnsi" w:cstheme="minorHAnsi"/>
        </w:rPr>
        <w:t>(PEFA) a</w:t>
      </w:r>
      <w:r w:rsidRPr="00E13609">
        <w:rPr>
          <w:rFonts w:asciiTheme="minorHAnsi" w:hAnsiTheme="minorHAnsi" w:cstheme="minorHAnsi"/>
        </w:rPr>
        <w:t xml:space="preserve">ssessment and proposes actions to address gaps and ensure that a comprehensive and integrated process of reform is underway. The Roadmap feeds into rolling three-year </w:t>
      </w:r>
      <w:r>
        <w:rPr>
          <w:rFonts w:asciiTheme="minorHAnsi" w:hAnsiTheme="minorHAnsi" w:cstheme="minorHAnsi"/>
        </w:rPr>
        <w:t>Corporate P</w:t>
      </w:r>
      <w:r w:rsidRPr="00E13609">
        <w:rPr>
          <w:rFonts w:asciiTheme="minorHAnsi" w:hAnsiTheme="minorHAnsi" w:cstheme="minorHAnsi"/>
        </w:rPr>
        <w:t xml:space="preserve">lans </w:t>
      </w:r>
      <w:r>
        <w:rPr>
          <w:rFonts w:asciiTheme="minorHAnsi" w:hAnsiTheme="minorHAnsi" w:cstheme="minorHAnsi"/>
        </w:rPr>
        <w:t xml:space="preserve">produced within each ministry. Both the </w:t>
      </w:r>
      <w:r w:rsidR="002A6DB9">
        <w:rPr>
          <w:rFonts w:asciiTheme="minorHAnsi" w:hAnsiTheme="minorHAnsi" w:cstheme="minorHAnsi"/>
        </w:rPr>
        <w:t xml:space="preserve">Roadmap </w:t>
      </w:r>
      <w:r>
        <w:rPr>
          <w:rFonts w:asciiTheme="minorHAnsi" w:hAnsiTheme="minorHAnsi" w:cstheme="minorHAnsi"/>
        </w:rPr>
        <w:t>and the Corporate Plans will be central to AusAID’s pipeline programming for this sector.</w:t>
      </w:r>
    </w:p>
    <w:p w:rsidR="00954DBD" w:rsidRDefault="00954DBD" w:rsidP="00954DBD">
      <w:pPr>
        <w:rPr>
          <w:rFonts w:asciiTheme="minorHAnsi" w:hAnsiTheme="minorHAnsi" w:cstheme="minorHAnsi"/>
        </w:rPr>
      </w:pPr>
    </w:p>
    <w:p w:rsidR="00561218" w:rsidRPr="007B16E9" w:rsidRDefault="00561218" w:rsidP="008A60A7">
      <w:pPr>
        <w:rPr>
          <w:rFonts w:asciiTheme="minorHAnsi" w:hAnsiTheme="minorHAnsi" w:cstheme="minorHAnsi"/>
          <w:b/>
        </w:rPr>
      </w:pPr>
    </w:p>
    <w:p w:rsidR="003307A1" w:rsidRDefault="008648C8" w:rsidP="00A11CCA">
      <w:pPr>
        <w:pStyle w:val="Heading1"/>
        <w:numPr>
          <w:ilvl w:val="0"/>
          <w:numId w:val="6"/>
        </w:numPr>
        <w:spacing w:before="0" w:after="240" w:line="276" w:lineRule="auto"/>
        <w:jc w:val="left"/>
        <w:rPr>
          <w:sz w:val="24"/>
        </w:rPr>
      </w:pPr>
      <w:bookmarkStart w:id="8" w:name="_Toc356389363"/>
      <w:r>
        <w:rPr>
          <w:sz w:val="24"/>
        </w:rPr>
        <w:t>A</w:t>
      </w:r>
      <w:r w:rsidR="003307A1" w:rsidRPr="006952E6">
        <w:rPr>
          <w:sz w:val="24"/>
        </w:rPr>
        <w:t>ustralia’s current support for economic and public sector governance</w:t>
      </w:r>
      <w:bookmarkEnd w:id="8"/>
      <w:r w:rsidR="003307A1">
        <w:rPr>
          <w:sz w:val="24"/>
        </w:rPr>
        <w:t xml:space="preserve"> </w:t>
      </w:r>
    </w:p>
    <w:p w:rsidR="00A961CB" w:rsidRDefault="00982011" w:rsidP="003307A1">
      <w:pPr>
        <w:rPr>
          <w:rFonts w:asciiTheme="minorHAnsi" w:hAnsiTheme="minorHAnsi" w:cstheme="minorHAnsi"/>
        </w:rPr>
      </w:pPr>
      <w:r>
        <w:rPr>
          <w:rFonts w:asciiTheme="minorHAnsi" w:hAnsiTheme="minorHAnsi" w:cstheme="minorHAnsi"/>
        </w:rPr>
        <w:t>AusAID</w:t>
      </w:r>
      <w:r w:rsidR="003307A1" w:rsidRPr="003307A1">
        <w:rPr>
          <w:rFonts w:asciiTheme="minorHAnsi" w:hAnsiTheme="minorHAnsi" w:cstheme="minorHAnsi"/>
        </w:rPr>
        <w:t xml:space="preserve"> support to economic and public sector governance in Tonga currently comprises</w:t>
      </w:r>
      <w:r w:rsidR="00100A8F" w:rsidRPr="00100A8F">
        <w:rPr>
          <w:rFonts w:asciiTheme="minorHAnsi" w:hAnsiTheme="minorHAnsi" w:cstheme="minorHAnsi"/>
        </w:rPr>
        <w:t xml:space="preserve"> </w:t>
      </w:r>
      <w:r w:rsidR="00100A8F" w:rsidRPr="003307A1">
        <w:rPr>
          <w:rFonts w:asciiTheme="minorHAnsi" w:hAnsiTheme="minorHAnsi" w:cstheme="minorHAnsi"/>
        </w:rPr>
        <w:t>performance-linked aid</w:t>
      </w:r>
      <w:r w:rsidR="00100A8F">
        <w:rPr>
          <w:rFonts w:asciiTheme="minorHAnsi" w:hAnsiTheme="minorHAnsi" w:cstheme="minorHAnsi"/>
        </w:rPr>
        <w:t>,</w:t>
      </w:r>
      <w:r w:rsidR="003307A1" w:rsidRPr="003307A1">
        <w:rPr>
          <w:rFonts w:asciiTheme="minorHAnsi" w:hAnsiTheme="minorHAnsi" w:cstheme="minorHAnsi"/>
        </w:rPr>
        <w:t xml:space="preserve"> long-</w:t>
      </w:r>
      <w:r w:rsidR="00100A8F">
        <w:rPr>
          <w:rFonts w:asciiTheme="minorHAnsi" w:hAnsiTheme="minorHAnsi" w:cstheme="minorHAnsi"/>
        </w:rPr>
        <w:t>term technical advisory support and</w:t>
      </w:r>
      <w:r w:rsidR="003307A1" w:rsidRPr="003307A1">
        <w:rPr>
          <w:rFonts w:asciiTheme="minorHAnsi" w:hAnsiTheme="minorHAnsi" w:cstheme="minorHAnsi"/>
        </w:rPr>
        <w:t xml:space="preserve"> direct funding to the G</w:t>
      </w:r>
      <w:r w:rsidR="003D142E">
        <w:rPr>
          <w:rFonts w:asciiTheme="minorHAnsi" w:hAnsiTheme="minorHAnsi" w:cstheme="minorHAnsi"/>
        </w:rPr>
        <w:t>o</w:t>
      </w:r>
      <w:r w:rsidR="003307A1" w:rsidRPr="003307A1">
        <w:rPr>
          <w:rFonts w:asciiTheme="minorHAnsi" w:hAnsiTheme="minorHAnsi" w:cstheme="minorHAnsi"/>
        </w:rPr>
        <w:t>T for specific public sector reform projects.</w:t>
      </w:r>
      <w:r w:rsidR="00A961CB">
        <w:rPr>
          <w:rFonts w:asciiTheme="minorHAnsi" w:hAnsiTheme="minorHAnsi" w:cstheme="minorHAnsi"/>
        </w:rPr>
        <w:t xml:space="preserve"> </w:t>
      </w:r>
    </w:p>
    <w:p w:rsidR="00E408A9" w:rsidRDefault="00E408A9" w:rsidP="003307A1">
      <w:pPr>
        <w:rPr>
          <w:rFonts w:asciiTheme="minorHAnsi" w:hAnsiTheme="minorHAnsi" w:cstheme="minorHAnsi"/>
          <w:color w:val="D9D9D9" w:themeColor="background1" w:themeShade="D9"/>
        </w:rPr>
      </w:pPr>
    </w:p>
    <w:p w:rsidR="004544E2" w:rsidRPr="001608C1" w:rsidRDefault="007737CF" w:rsidP="003307A1">
      <w:pPr>
        <w:rPr>
          <w:rFonts w:asciiTheme="minorHAnsi" w:hAnsiTheme="minorHAnsi" w:cstheme="minorHAnsi"/>
          <w:b/>
          <w:sz w:val="22"/>
        </w:rPr>
      </w:pPr>
      <w:r>
        <w:rPr>
          <w:rFonts w:asciiTheme="minorHAnsi" w:hAnsiTheme="minorHAnsi" w:cstheme="minorHAnsi"/>
          <w:b/>
          <w:sz w:val="22"/>
        </w:rPr>
        <w:t>Table 1:</w:t>
      </w:r>
      <w:r w:rsidR="004544E2" w:rsidRPr="001608C1">
        <w:rPr>
          <w:rFonts w:asciiTheme="minorHAnsi" w:hAnsiTheme="minorHAnsi" w:cstheme="minorHAnsi"/>
          <w:b/>
          <w:sz w:val="22"/>
        </w:rPr>
        <w:t xml:space="preserve"> Australia’s </w:t>
      </w:r>
      <w:r w:rsidR="00735378" w:rsidRPr="001608C1">
        <w:rPr>
          <w:rFonts w:asciiTheme="minorHAnsi" w:hAnsiTheme="minorHAnsi" w:cstheme="minorHAnsi"/>
          <w:b/>
          <w:sz w:val="22"/>
        </w:rPr>
        <w:t>2012/13</w:t>
      </w:r>
      <w:r w:rsidR="004544E2" w:rsidRPr="001608C1">
        <w:rPr>
          <w:rFonts w:asciiTheme="minorHAnsi" w:hAnsiTheme="minorHAnsi" w:cstheme="minorHAnsi"/>
          <w:b/>
          <w:sz w:val="22"/>
        </w:rPr>
        <w:t xml:space="preserve"> bilateral program of support for economic and public sector reform</w:t>
      </w:r>
    </w:p>
    <w:tbl>
      <w:tblPr>
        <w:tblStyle w:val="TableGrid"/>
        <w:tblW w:w="9782" w:type="dxa"/>
        <w:tblInd w:w="-318" w:type="dxa"/>
        <w:tblLook w:val="04A0" w:firstRow="1" w:lastRow="0" w:firstColumn="1" w:lastColumn="0" w:noHBand="0" w:noVBand="1"/>
      </w:tblPr>
      <w:tblGrid>
        <w:gridCol w:w="2553"/>
        <w:gridCol w:w="3260"/>
        <w:gridCol w:w="1701"/>
        <w:gridCol w:w="2268"/>
      </w:tblGrid>
      <w:tr w:rsidR="00464FBA" w:rsidRPr="00F540AA" w:rsidTr="007737CF">
        <w:tc>
          <w:tcPr>
            <w:tcW w:w="2553" w:type="dxa"/>
            <w:shd w:val="clear" w:color="auto" w:fill="D9D9D9" w:themeFill="background1" w:themeFillShade="D9"/>
          </w:tcPr>
          <w:p w:rsidR="00F540AA" w:rsidRPr="00F540AA" w:rsidRDefault="00F540AA" w:rsidP="003307A1">
            <w:pPr>
              <w:rPr>
                <w:rFonts w:asciiTheme="minorHAnsi" w:hAnsiTheme="minorHAnsi" w:cstheme="minorHAnsi"/>
                <w:sz w:val="22"/>
              </w:rPr>
            </w:pPr>
            <w:r w:rsidRPr="00F540AA">
              <w:rPr>
                <w:rFonts w:asciiTheme="minorHAnsi" w:hAnsiTheme="minorHAnsi" w:cstheme="minorHAnsi"/>
                <w:sz w:val="22"/>
              </w:rPr>
              <w:t>Objective</w:t>
            </w:r>
          </w:p>
        </w:tc>
        <w:tc>
          <w:tcPr>
            <w:tcW w:w="3260" w:type="dxa"/>
            <w:shd w:val="clear" w:color="auto" w:fill="D9D9D9" w:themeFill="background1" w:themeFillShade="D9"/>
          </w:tcPr>
          <w:p w:rsidR="00F540AA" w:rsidRPr="00F540AA" w:rsidRDefault="00F540AA" w:rsidP="003307A1">
            <w:pPr>
              <w:rPr>
                <w:rFonts w:asciiTheme="minorHAnsi" w:hAnsiTheme="minorHAnsi" w:cstheme="minorHAnsi"/>
                <w:sz w:val="22"/>
              </w:rPr>
            </w:pPr>
            <w:r w:rsidRPr="00F540AA">
              <w:rPr>
                <w:rFonts w:asciiTheme="minorHAnsi" w:hAnsiTheme="minorHAnsi" w:cstheme="minorHAnsi"/>
                <w:sz w:val="22"/>
              </w:rPr>
              <w:t>Activity</w:t>
            </w:r>
          </w:p>
        </w:tc>
        <w:tc>
          <w:tcPr>
            <w:tcW w:w="1701" w:type="dxa"/>
            <w:shd w:val="clear" w:color="auto" w:fill="D9D9D9" w:themeFill="background1" w:themeFillShade="D9"/>
          </w:tcPr>
          <w:p w:rsidR="00F540AA" w:rsidRPr="00F540AA" w:rsidRDefault="00F540AA" w:rsidP="003307A1">
            <w:pPr>
              <w:rPr>
                <w:rFonts w:asciiTheme="minorHAnsi" w:hAnsiTheme="minorHAnsi" w:cstheme="minorHAnsi"/>
                <w:sz w:val="22"/>
              </w:rPr>
            </w:pPr>
            <w:r w:rsidRPr="00F540AA">
              <w:rPr>
                <w:rFonts w:asciiTheme="minorHAnsi" w:hAnsiTheme="minorHAnsi" w:cstheme="minorHAnsi"/>
                <w:sz w:val="22"/>
              </w:rPr>
              <w:t>Modality</w:t>
            </w:r>
          </w:p>
        </w:tc>
        <w:tc>
          <w:tcPr>
            <w:tcW w:w="2268" w:type="dxa"/>
            <w:shd w:val="clear" w:color="auto" w:fill="D9D9D9" w:themeFill="background1" w:themeFillShade="D9"/>
          </w:tcPr>
          <w:p w:rsidR="00F540AA" w:rsidRPr="00F540AA" w:rsidRDefault="00F540AA" w:rsidP="003307A1">
            <w:pPr>
              <w:rPr>
                <w:rFonts w:asciiTheme="minorHAnsi" w:hAnsiTheme="minorHAnsi" w:cstheme="minorHAnsi"/>
                <w:sz w:val="22"/>
              </w:rPr>
            </w:pPr>
            <w:r w:rsidRPr="00F540AA">
              <w:rPr>
                <w:rFonts w:asciiTheme="minorHAnsi" w:hAnsiTheme="minorHAnsi" w:cstheme="minorHAnsi"/>
                <w:sz w:val="22"/>
              </w:rPr>
              <w:t xml:space="preserve">Partner </w:t>
            </w:r>
          </w:p>
        </w:tc>
      </w:tr>
      <w:tr w:rsidR="003B40F3" w:rsidRPr="00F540AA" w:rsidTr="0089048D">
        <w:tc>
          <w:tcPr>
            <w:tcW w:w="2553" w:type="dxa"/>
          </w:tcPr>
          <w:p w:rsidR="003B40F3" w:rsidRPr="00F540AA" w:rsidRDefault="003B40F3" w:rsidP="0089048D">
            <w:pPr>
              <w:jc w:val="left"/>
              <w:rPr>
                <w:rFonts w:asciiTheme="minorHAnsi" w:hAnsiTheme="minorHAnsi" w:cstheme="minorHAnsi"/>
                <w:sz w:val="22"/>
              </w:rPr>
            </w:pPr>
            <w:r>
              <w:rPr>
                <w:rFonts w:asciiTheme="minorHAnsi" w:hAnsiTheme="minorHAnsi" w:cstheme="minorHAnsi"/>
                <w:sz w:val="22"/>
              </w:rPr>
              <w:t>More efficient public service</w:t>
            </w:r>
          </w:p>
        </w:tc>
        <w:tc>
          <w:tcPr>
            <w:tcW w:w="3260" w:type="dxa"/>
          </w:tcPr>
          <w:p w:rsidR="003B40F3" w:rsidRPr="00F540AA" w:rsidRDefault="003B40F3" w:rsidP="0089048D">
            <w:pPr>
              <w:jc w:val="left"/>
              <w:rPr>
                <w:rFonts w:asciiTheme="minorHAnsi" w:hAnsiTheme="minorHAnsi" w:cstheme="minorHAnsi"/>
                <w:sz w:val="22"/>
              </w:rPr>
            </w:pPr>
            <w:r>
              <w:rPr>
                <w:rFonts w:asciiTheme="minorHAnsi" w:hAnsiTheme="minorHAnsi" w:cstheme="minorHAnsi"/>
                <w:sz w:val="22"/>
              </w:rPr>
              <w:t>Public service training and various public service reform projects; salary top-up for PSC Commissioner</w:t>
            </w:r>
          </w:p>
        </w:tc>
        <w:tc>
          <w:tcPr>
            <w:tcW w:w="1701" w:type="dxa"/>
          </w:tcPr>
          <w:p w:rsidR="003B40F3" w:rsidRPr="00F540AA" w:rsidRDefault="003B40F3" w:rsidP="0089048D">
            <w:pPr>
              <w:jc w:val="left"/>
              <w:rPr>
                <w:rFonts w:asciiTheme="minorHAnsi" w:hAnsiTheme="minorHAnsi" w:cstheme="minorHAnsi"/>
                <w:sz w:val="22"/>
              </w:rPr>
            </w:pPr>
            <w:r w:rsidRPr="00F540AA">
              <w:rPr>
                <w:rFonts w:asciiTheme="minorHAnsi" w:hAnsiTheme="minorHAnsi" w:cstheme="minorHAnsi"/>
                <w:sz w:val="22"/>
              </w:rPr>
              <w:t>Direct funding agreements (5 Accountable Cash Grants)</w:t>
            </w:r>
          </w:p>
        </w:tc>
        <w:tc>
          <w:tcPr>
            <w:tcW w:w="2268" w:type="dxa"/>
          </w:tcPr>
          <w:p w:rsidR="003B40F3" w:rsidRPr="00F540AA" w:rsidRDefault="003B40F3" w:rsidP="0089048D">
            <w:pPr>
              <w:jc w:val="left"/>
              <w:rPr>
                <w:rFonts w:asciiTheme="minorHAnsi" w:hAnsiTheme="minorHAnsi" w:cstheme="minorHAnsi"/>
                <w:sz w:val="22"/>
              </w:rPr>
            </w:pPr>
            <w:r>
              <w:rPr>
                <w:rFonts w:asciiTheme="minorHAnsi" w:hAnsiTheme="minorHAnsi" w:cstheme="minorHAnsi"/>
                <w:sz w:val="22"/>
              </w:rPr>
              <w:t>PSC</w:t>
            </w:r>
          </w:p>
        </w:tc>
      </w:tr>
      <w:tr w:rsidR="00464FBA" w:rsidRPr="00F540AA" w:rsidTr="007737CF">
        <w:tc>
          <w:tcPr>
            <w:tcW w:w="2553" w:type="dxa"/>
          </w:tcPr>
          <w:p w:rsidR="00F540AA" w:rsidRPr="00F540AA" w:rsidRDefault="00B345AB" w:rsidP="00FB2F49">
            <w:pPr>
              <w:jc w:val="left"/>
              <w:rPr>
                <w:rFonts w:asciiTheme="minorHAnsi" w:hAnsiTheme="minorHAnsi" w:cstheme="minorHAnsi"/>
                <w:sz w:val="22"/>
              </w:rPr>
            </w:pPr>
            <w:r>
              <w:rPr>
                <w:rFonts w:asciiTheme="minorHAnsi" w:hAnsiTheme="minorHAnsi" w:cstheme="minorHAnsi"/>
                <w:sz w:val="22"/>
              </w:rPr>
              <w:t>Improv</w:t>
            </w:r>
            <w:r w:rsidR="00FB2F49">
              <w:rPr>
                <w:rFonts w:asciiTheme="minorHAnsi" w:hAnsiTheme="minorHAnsi" w:cstheme="minorHAnsi"/>
                <w:sz w:val="22"/>
              </w:rPr>
              <w:t>ing</w:t>
            </w:r>
            <w:r>
              <w:rPr>
                <w:rFonts w:asciiTheme="minorHAnsi" w:hAnsiTheme="minorHAnsi" w:cstheme="minorHAnsi"/>
                <w:sz w:val="22"/>
              </w:rPr>
              <w:t xml:space="preserve"> procurement practices</w:t>
            </w:r>
          </w:p>
        </w:tc>
        <w:tc>
          <w:tcPr>
            <w:tcW w:w="3260" w:type="dxa"/>
          </w:tcPr>
          <w:p w:rsidR="003D6E82" w:rsidRPr="00F540AA" w:rsidRDefault="003D6E82" w:rsidP="003D6E82">
            <w:pPr>
              <w:jc w:val="left"/>
              <w:rPr>
                <w:rFonts w:asciiTheme="minorHAnsi" w:hAnsiTheme="minorHAnsi" w:cstheme="minorHAnsi"/>
                <w:sz w:val="22"/>
              </w:rPr>
            </w:pPr>
            <w:r>
              <w:rPr>
                <w:rFonts w:asciiTheme="minorHAnsi" w:hAnsiTheme="minorHAnsi" w:cstheme="minorHAnsi"/>
                <w:sz w:val="22"/>
              </w:rPr>
              <w:t xml:space="preserve">Procurement advisory support </w:t>
            </w:r>
          </w:p>
          <w:p w:rsidR="00F540AA" w:rsidRPr="00F540AA" w:rsidRDefault="00F540AA" w:rsidP="003D6E82">
            <w:pPr>
              <w:jc w:val="left"/>
              <w:rPr>
                <w:rFonts w:asciiTheme="minorHAnsi" w:hAnsiTheme="minorHAnsi" w:cstheme="minorHAnsi"/>
                <w:sz w:val="22"/>
              </w:rPr>
            </w:pPr>
          </w:p>
        </w:tc>
        <w:tc>
          <w:tcPr>
            <w:tcW w:w="1701" w:type="dxa"/>
          </w:tcPr>
          <w:p w:rsidR="00F540AA" w:rsidRPr="00F540AA" w:rsidRDefault="00F540AA" w:rsidP="003D6E82">
            <w:pPr>
              <w:jc w:val="left"/>
              <w:rPr>
                <w:rFonts w:asciiTheme="minorHAnsi" w:hAnsiTheme="minorHAnsi" w:cstheme="minorHAnsi"/>
                <w:sz w:val="22"/>
              </w:rPr>
            </w:pPr>
            <w:r w:rsidRPr="00F540AA">
              <w:rPr>
                <w:rFonts w:asciiTheme="minorHAnsi" w:hAnsiTheme="minorHAnsi" w:cstheme="minorHAnsi"/>
                <w:sz w:val="22"/>
              </w:rPr>
              <w:t>Technical assistance (PACTAM)</w:t>
            </w:r>
          </w:p>
        </w:tc>
        <w:tc>
          <w:tcPr>
            <w:tcW w:w="2268" w:type="dxa"/>
          </w:tcPr>
          <w:p w:rsidR="00F540AA" w:rsidRPr="00F540AA" w:rsidRDefault="00F540AA" w:rsidP="003D6E82">
            <w:pPr>
              <w:jc w:val="left"/>
              <w:rPr>
                <w:rFonts w:asciiTheme="minorHAnsi" w:hAnsiTheme="minorHAnsi" w:cstheme="minorHAnsi"/>
                <w:sz w:val="22"/>
              </w:rPr>
            </w:pPr>
            <w:r w:rsidRPr="00F540AA">
              <w:rPr>
                <w:rFonts w:asciiTheme="minorHAnsi" w:hAnsiTheme="minorHAnsi" w:cstheme="minorHAnsi"/>
                <w:sz w:val="22"/>
              </w:rPr>
              <w:t>MoFNP</w:t>
            </w:r>
          </w:p>
        </w:tc>
      </w:tr>
      <w:tr w:rsidR="00464FBA" w:rsidRPr="00F540AA" w:rsidTr="007737CF">
        <w:tc>
          <w:tcPr>
            <w:tcW w:w="2553" w:type="dxa"/>
          </w:tcPr>
          <w:p w:rsidR="003D6E82" w:rsidRPr="006E27EB" w:rsidRDefault="006E27EB" w:rsidP="00FB2F49">
            <w:pPr>
              <w:jc w:val="left"/>
              <w:rPr>
                <w:rFonts w:asciiTheme="minorHAnsi" w:hAnsiTheme="minorHAnsi" w:cstheme="minorHAnsi"/>
                <w:sz w:val="22"/>
              </w:rPr>
            </w:pPr>
            <w:r w:rsidRPr="006E27EB">
              <w:rPr>
                <w:rFonts w:asciiTheme="minorHAnsi" w:hAnsiTheme="minorHAnsi" w:cstheme="minorHAnsi"/>
                <w:sz w:val="22"/>
              </w:rPr>
              <w:t>Strengthen</w:t>
            </w:r>
            <w:r w:rsidR="00FB2F49">
              <w:rPr>
                <w:rFonts w:asciiTheme="minorHAnsi" w:hAnsiTheme="minorHAnsi" w:cstheme="minorHAnsi"/>
                <w:sz w:val="22"/>
              </w:rPr>
              <w:t>ing</w:t>
            </w:r>
            <w:r w:rsidRPr="006E27EB">
              <w:rPr>
                <w:rFonts w:asciiTheme="minorHAnsi" w:hAnsiTheme="minorHAnsi" w:cstheme="minorHAnsi"/>
                <w:sz w:val="22"/>
              </w:rPr>
              <w:t xml:space="preserve"> public financial management</w:t>
            </w:r>
          </w:p>
        </w:tc>
        <w:tc>
          <w:tcPr>
            <w:tcW w:w="3260" w:type="dxa"/>
          </w:tcPr>
          <w:p w:rsidR="003D6E82" w:rsidRDefault="003D6E82" w:rsidP="003D6E82">
            <w:pPr>
              <w:jc w:val="left"/>
              <w:rPr>
                <w:rFonts w:asciiTheme="minorHAnsi" w:hAnsiTheme="minorHAnsi" w:cstheme="minorHAnsi"/>
                <w:sz w:val="22"/>
              </w:rPr>
            </w:pPr>
            <w:r>
              <w:rPr>
                <w:rFonts w:asciiTheme="minorHAnsi" w:hAnsiTheme="minorHAnsi" w:cstheme="minorHAnsi"/>
                <w:sz w:val="22"/>
              </w:rPr>
              <w:t>Economic and planning advisory support</w:t>
            </w:r>
          </w:p>
        </w:tc>
        <w:tc>
          <w:tcPr>
            <w:tcW w:w="1701" w:type="dxa"/>
          </w:tcPr>
          <w:p w:rsidR="003D6E82" w:rsidRPr="00F540AA" w:rsidRDefault="006E27EB" w:rsidP="003D6E82">
            <w:pPr>
              <w:jc w:val="left"/>
              <w:rPr>
                <w:rFonts w:asciiTheme="minorHAnsi" w:hAnsiTheme="minorHAnsi" w:cstheme="minorHAnsi"/>
                <w:sz w:val="22"/>
              </w:rPr>
            </w:pPr>
            <w:r>
              <w:rPr>
                <w:rFonts w:asciiTheme="minorHAnsi" w:hAnsiTheme="minorHAnsi" w:cstheme="minorHAnsi"/>
                <w:sz w:val="22"/>
              </w:rPr>
              <w:t>Technical assistance (PACTAM)</w:t>
            </w:r>
          </w:p>
        </w:tc>
        <w:tc>
          <w:tcPr>
            <w:tcW w:w="2268" w:type="dxa"/>
          </w:tcPr>
          <w:p w:rsidR="003D6E82" w:rsidRPr="00F540AA" w:rsidRDefault="003D6E82" w:rsidP="003D6E82">
            <w:pPr>
              <w:jc w:val="left"/>
              <w:rPr>
                <w:rFonts w:asciiTheme="minorHAnsi" w:hAnsiTheme="minorHAnsi" w:cstheme="minorHAnsi"/>
                <w:sz w:val="22"/>
              </w:rPr>
            </w:pPr>
            <w:r>
              <w:rPr>
                <w:rFonts w:asciiTheme="minorHAnsi" w:hAnsiTheme="minorHAnsi" w:cstheme="minorHAnsi"/>
                <w:sz w:val="22"/>
              </w:rPr>
              <w:t>MoFNP</w:t>
            </w:r>
          </w:p>
        </w:tc>
      </w:tr>
      <w:tr w:rsidR="003B40F3" w:rsidRPr="00F540AA" w:rsidTr="0089048D">
        <w:tc>
          <w:tcPr>
            <w:tcW w:w="2553" w:type="dxa"/>
          </w:tcPr>
          <w:p w:rsidR="003B40F3" w:rsidRPr="00F540AA" w:rsidRDefault="003B40F3" w:rsidP="0089048D">
            <w:pPr>
              <w:jc w:val="left"/>
              <w:rPr>
                <w:rFonts w:asciiTheme="minorHAnsi" w:hAnsiTheme="minorHAnsi" w:cstheme="minorHAnsi"/>
                <w:sz w:val="22"/>
                <w:highlight w:val="yellow"/>
              </w:rPr>
            </w:pPr>
            <w:r>
              <w:rPr>
                <w:rFonts w:asciiTheme="minorHAnsi" w:hAnsiTheme="minorHAnsi" w:cstheme="minorHAnsi"/>
                <w:sz w:val="22"/>
              </w:rPr>
              <w:t xml:space="preserve">Strengthening public financial management; strengthening fiscal policy, and; promoting structural reforms relating to the business regulatory environment </w:t>
            </w:r>
          </w:p>
        </w:tc>
        <w:tc>
          <w:tcPr>
            <w:tcW w:w="3260" w:type="dxa"/>
          </w:tcPr>
          <w:p w:rsidR="003B40F3" w:rsidRPr="00F540AA" w:rsidRDefault="003B40F3" w:rsidP="0089048D">
            <w:pPr>
              <w:jc w:val="left"/>
              <w:rPr>
                <w:rFonts w:asciiTheme="minorHAnsi" w:hAnsiTheme="minorHAnsi" w:cstheme="minorHAnsi"/>
                <w:sz w:val="22"/>
              </w:rPr>
            </w:pPr>
            <w:r>
              <w:rPr>
                <w:rFonts w:asciiTheme="minorHAnsi" w:hAnsiTheme="minorHAnsi" w:cstheme="minorHAnsi"/>
                <w:sz w:val="22"/>
              </w:rPr>
              <w:t>Budget support tied to achievement of actions identified under a medium-term reform agenda (the joint Policy Reform Matrix</w:t>
            </w:r>
          </w:p>
        </w:tc>
        <w:tc>
          <w:tcPr>
            <w:tcW w:w="1701" w:type="dxa"/>
          </w:tcPr>
          <w:p w:rsidR="003B40F3" w:rsidRPr="00F540AA" w:rsidRDefault="003B40F3" w:rsidP="0089048D">
            <w:pPr>
              <w:jc w:val="left"/>
              <w:rPr>
                <w:rFonts w:asciiTheme="minorHAnsi" w:hAnsiTheme="minorHAnsi" w:cstheme="minorHAnsi"/>
                <w:sz w:val="22"/>
              </w:rPr>
            </w:pPr>
            <w:r>
              <w:rPr>
                <w:rFonts w:asciiTheme="minorHAnsi" w:hAnsiTheme="minorHAnsi" w:cstheme="minorHAnsi"/>
                <w:sz w:val="22"/>
              </w:rPr>
              <w:t>Budget support (</w:t>
            </w:r>
            <w:r w:rsidRPr="00F540AA">
              <w:rPr>
                <w:rFonts w:asciiTheme="minorHAnsi" w:hAnsiTheme="minorHAnsi" w:cstheme="minorHAnsi"/>
                <w:sz w:val="22"/>
              </w:rPr>
              <w:t>Performance-Linked Aid</w:t>
            </w:r>
            <w:r>
              <w:rPr>
                <w:rFonts w:asciiTheme="minorHAnsi" w:hAnsiTheme="minorHAnsi" w:cstheme="minorHAnsi"/>
                <w:sz w:val="22"/>
              </w:rPr>
              <w:t>)</w:t>
            </w:r>
          </w:p>
        </w:tc>
        <w:tc>
          <w:tcPr>
            <w:tcW w:w="2268" w:type="dxa"/>
          </w:tcPr>
          <w:p w:rsidR="003B40F3" w:rsidRPr="00F540AA" w:rsidRDefault="003B40F3" w:rsidP="0089048D">
            <w:pPr>
              <w:jc w:val="left"/>
              <w:rPr>
                <w:rFonts w:asciiTheme="minorHAnsi" w:hAnsiTheme="minorHAnsi" w:cstheme="minorHAnsi"/>
                <w:sz w:val="22"/>
              </w:rPr>
            </w:pPr>
            <w:r w:rsidRPr="00F540AA">
              <w:rPr>
                <w:rFonts w:asciiTheme="minorHAnsi" w:hAnsiTheme="minorHAnsi" w:cstheme="minorHAnsi"/>
                <w:sz w:val="22"/>
              </w:rPr>
              <w:t>GoT, World Bank, ADB, NZ-IDG</w:t>
            </w:r>
          </w:p>
        </w:tc>
      </w:tr>
      <w:tr w:rsidR="00464FBA" w:rsidRPr="00F540AA" w:rsidTr="007737CF">
        <w:tc>
          <w:tcPr>
            <w:tcW w:w="2553" w:type="dxa"/>
          </w:tcPr>
          <w:p w:rsidR="00F540AA" w:rsidRPr="00F540AA" w:rsidRDefault="00FB2F49" w:rsidP="003D6E82">
            <w:pPr>
              <w:jc w:val="left"/>
              <w:rPr>
                <w:rFonts w:asciiTheme="minorHAnsi" w:hAnsiTheme="minorHAnsi" w:cstheme="minorHAnsi"/>
                <w:sz w:val="22"/>
                <w:highlight w:val="yellow"/>
              </w:rPr>
            </w:pPr>
            <w:r>
              <w:rPr>
                <w:rFonts w:asciiTheme="minorHAnsi" w:hAnsiTheme="minorHAnsi" w:cstheme="minorHAnsi"/>
                <w:sz w:val="22"/>
              </w:rPr>
              <w:t>Improving</w:t>
            </w:r>
            <w:r w:rsidR="006E27EB" w:rsidRPr="006E27EB">
              <w:rPr>
                <w:rFonts w:asciiTheme="minorHAnsi" w:hAnsiTheme="minorHAnsi" w:cstheme="minorHAnsi"/>
                <w:sz w:val="22"/>
              </w:rPr>
              <w:t xml:space="preserve"> revenue efforts</w:t>
            </w:r>
          </w:p>
        </w:tc>
        <w:tc>
          <w:tcPr>
            <w:tcW w:w="3260" w:type="dxa"/>
          </w:tcPr>
          <w:p w:rsidR="00F540AA" w:rsidRPr="00F540AA" w:rsidRDefault="00F540AA" w:rsidP="000A6E48">
            <w:pPr>
              <w:jc w:val="left"/>
              <w:rPr>
                <w:rFonts w:asciiTheme="minorHAnsi" w:hAnsiTheme="minorHAnsi" w:cstheme="minorHAnsi"/>
                <w:sz w:val="22"/>
              </w:rPr>
            </w:pPr>
            <w:r>
              <w:rPr>
                <w:rFonts w:asciiTheme="minorHAnsi" w:hAnsiTheme="minorHAnsi" w:cstheme="minorHAnsi"/>
                <w:sz w:val="22"/>
              </w:rPr>
              <w:t xml:space="preserve">In-line support to Deputy Commissioner of Revenue (Head of Customs); Tax compliance and auditing </w:t>
            </w:r>
            <w:r w:rsidR="000A6E48">
              <w:rPr>
                <w:rFonts w:asciiTheme="minorHAnsi" w:hAnsiTheme="minorHAnsi" w:cstheme="minorHAnsi"/>
                <w:sz w:val="22"/>
              </w:rPr>
              <w:t>advisory support</w:t>
            </w:r>
            <w:r w:rsidR="00464FBA">
              <w:rPr>
                <w:rFonts w:asciiTheme="minorHAnsi" w:hAnsiTheme="minorHAnsi" w:cstheme="minorHAnsi"/>
                <w:sz w:val="22"/>
              </w:rPr>
              <w:t>; IT systems upgrade</w:t>
            </w:r>
            <w:r w:rsidR="00530D05">
              <w:rPr>
                <w:rFonts w:asciiTheme="minorHAnsi" w:hAnsiTheme="minorHAnsi" w:cstheme="minorHAnsi"/>
                <w:sz w:val="22"/>
              </w:rPr>
              <w:t>s</w:t>
            </w:r>
            <w:r w:rsidR="00464FBA">
              <w:rPr>
                <w:rFonts w:asciiTheme="minorHAnsi" w:hAnsiTheme="minorHAnsi" w:cstheme="minorHAnsi"/>
                <w:sz w:val="22"/>
              </w:rPr>
              <w:t xml:space="preserve"> (</w:t>
            </w:r>
            <w:r w:rsidR="00530D05">
              <w:rPr>
                <w:rFonts w:asciiTheme="minorHAnsi" w:hAnsiTheme="minorHAnsi" w:cstheme="minorHAnsi"/>
                <w:sz w:val="22"/>
              </w:rPr>
              <w:t xml:space="preserve">CMS, </w:t>
            </w:r>
            <w:r w:rsidR="00464FBA">
              <w:rPr>
                <w:rFonts w:asciiTheme="minorHAnsi" w:hAnsiTheme="minorHAnsi" w:cstheme="minorHAnsi"/>
                <w:sz w:val="22"/>
              </w:rPr>
              <w:t>RMS,FMIS)</w:t>
            </w:r>
          </w:p>
        </w:tc>
        <w:tc>
          <w:tcPr>
            <w:tcW w:w="1701" w:type="dxa"/>
          </w:tcPr>
          <w:p w:rsidR="00F540AA" w:rsidRPr="00F540AA" w:rsidRDefault="00F540AA" w:rsidP="003364CF">
            <w:pPr>
              <w:jc w:val="left"/>
              <w:rPr>
                <w:rFonts w:asciiTheme="minorHAnsi" w:hAnsiTheme="minorHAnsi" w:cstheme="minorHAnsi"/>
                <w:sz w:val="22"/>
                <w:highlight w:val="yellow"/>
              </w:rPr>
            </w:pPr>
            <w:r w:rsidRPr="00F540AA">
              <w:rPr>
                <w:rFonts w:asciiTheme="minorHAnsi" w:hAnsiTheme="minorHAnsi" w:cstheme="minorHAnsi"/>
                <w:sz w:val="22"/>
              </w:rPr>
              <w:t>Technical assistance (PACTAM/ GoT)</w:t>
            </w:r>
            <w:r w:rsidR="00464FBA">
              <w:rPr>
                <w:rFonts w:asciiTheme="minorHAnsi" w:hAnsiTheme="minorHAnsi" w:cstheme="minorHAnsi"/>
                <w:sz w:val="22"/>
              </w:rPr>
              <w:t>; direct funding agreement</w:t>
            </w:r>
            <w:r w:rsidR="00530D05">
              <w:rPr>
                <w:rFonts w:asciiTheme="minorHAnsi" w:hAnsiTheme="minorHAnsi" w:cstheme="minorHAnsi"/>
                <w:sz w:val="22"/>
              </w:rPr>
              <w:t>; funding agreement with ADB for IT systems upgrades</w:t>
            </w:r>
          </w:p>
        </w:tc>
        <w:tc>
          <w:tcPr>
            <w:tcW w:w="2268" w:type="dxa"/>
          </w:tcPr>
          <w:p w:rsidR="00F540AA" w:rsidRPr="00F540AA" w:rsidRDefault="003D6E82" w:rsidP="003D6E82">
            <w:pPr>
              <w:jc w:val="left"/>
              <w:rPr>
                <w:rFonts w:asciiTheme="minorHAnsi" w:hAnsiTheme="minorHAnsi" w:cstheme="minorHAnsi"/>
                <w:sz w:val="22"/>
              </w:rPr>
            </w:pPr>
            <w:r>
              <w:rPr>
                <w:rFonts w:asciiTheme="minorHAnsi" w:hAnsiTheme="minorHAnsi" w:cstheme="minorHAnsi"/>
                <w:sz w:val="22"/>
              </w:rPr>
              <w:t>MoR</w:t>
            </w:r>
            <w:r w:rsidR="00530D05">
              <w:rPr>
                <w:rFonts w:asciiTheme="minorHAnsi" w:hAnsiTheme="minorHAnsi" w:cstheme="minorHAnsi"/>
                <w:sz w:val="22"/>
              </w:rPr>
              <w:t>, ADB</w:t>
            </w:r>
          </w:p>
        </w:tc>
      </w:tr>
      <w:tr w:rsidR="00114D9E" w:rsidRPr="00F540AA" w:rsidTr="007737CF">
        <w:tc>
          <w:tcPr>
            <w:tcW w:w="2553" w:type="dxa"/>
          </w:tcPr>
          <w:p w:rsidR="00114D9E" w:rsidRPr="00F540AA" w:rsidRDefault="00464FBA" w:rsidP="00464FBA">
            <w:pPr>
              <w:jc w:val="left"/>
              <w:rPr>
                <w:rFonts w:asciiTheme="minorHAnsi" w:hAnsiTheme="minorHAnsi" w:cstheme="minorHAnsi"/>
                <w:sz w:val="22"/>
              </w:rPr>
            </w:pPr>
            <w:r>
              <w:rPr>
                <w:rFonts w:asciiTheme="minorHAnsi" w:hAnsiTheme="minorHAnsi" w:cstheme="minorHAnsi"/>
                <w:sz w:val="22"/>
              </w:rPr>
              <w:t>Good macro-fiscal management through i</w:t>
            </w:r>
            <w:r w:rsidR="00114D9E">
              <w:rPr>
                <w:rFonts w:asciiTheme="minorHAnsi" w:hAnsiTheme="minorHAnsi" w:cstheme="minorHAnsi"/>
                <w:sz w:val="22"/>
              </w:rPr>
              <w:t xml:space="preserve">mproved </w:t>
            </w:r>
            <w:r>
              <w:rPr>
                <w:rFonts w:asciiTheme="minorHAnsi" w:hAnsiTheme="minorHAnsi" w:cstheme="minorHAnsi"/>
                <w:sz w:val="22"/>
              </w:rPr>
              <w:t>economic forecasting</w:t>
            </w:r>
          </w:p>
        </w:tc>
        <w:tc>
          <w:tcPr>
            <w:tcW w:w="3260" w:type="dxa"/>
          </w:tcPr>
          <w:p w:rsidR="00114D9E" w:rsidRDefault="00114D9E" w:rsidP="003D6E82">
            <w:pPr>
              <w:jc w:val="left"/>
              <w:rPr>
                <w:rFonts w:asciiTheme="minorHAnsi" w:hAnsiTheme="minorHAnsi" w:cstheme="minorHAnsi"/>
                <w:sz w:val="22"/>
              </w:rPr>
            </w:pPr>
            <w:r>
              <w:rPr>
                <w:rFonts w:asciiTheme="minorHAnsi" w:hAnsiTheme="minorHAnsi" w:cstheme="minorHAnsi"/>
                <w:sz w:val="22"/>
              </w:rPr>
              <w:t xml:space="preserve">Advisory support for Statistics Department </w:t>
            </w:r>
            <w:r w:rsidR="00735378">
              <w:rPr>
                <w:rFonts w:asciiTheme="minorHAnsi" w:hAnsiTheme="minorHAnsi" w:cstheme="minorHAnsi"/>
                <w:sz w:val="22"/>
              </w:rPr>
              <w:t>(completed)</w:t>
            </w:r>
          </w:p>
        </w:tc>
        <w:tc>
          <w:tcPr>
            <w:tcW w:w="1701" w:type="dxa"/>
          </w:tcPr>
          <w:p w:rsidR="00114D9E" w:rsidRPr="00F540AA" w:rsidRDefault="00114D9E" w:rsidP="003D6E82">
            <w:pPr>
              <w:jc w:val="left"/>
              <w:rPr>
                <w:rFonts w:asciiTheme="minorHAnsi" w:hAnsiTheme="minorHAnsi" w:cstheme="minorHAnsi"/>
                <w:sz w:val="22"/>
              </w:rPr>
            </w:pPr>
            <w:r>
              <w:rPr>
                <w:rFonts w:asciiTheme="minorHAnsi" w:hAnsiTheme="minorHAnsi" w:cstheme="minorHAnsi"/>
                <w:sz w:val="22"/>
              </w:rPr>
              <w:t>Technical assistance (PACTAM)</w:t>
            </w:r>
          </w:p>
        </w:tc>
        <w:tc>
          <w:tcPr>
            <w:tcW w:w="2268" w:type="dxa"/>
          </w:tcPr>
          <w:p w:rsidR="00114D9E" w:rsidRDefault="00114D9E" w:rsidP="003D6E82">
            <w:pPr>
              <w:jc w:val="left"/>
              <w:rPr>
                <w:rFonts w:asciiTheme="minorHAnsi" w:hAnsiTheme="minorHAnsi" w:cstheme="minorHAnsi"/>
                <w:sz w:val="22"/>
              </w:rPr>
            </w:pPr>
            <w:r>
              <w:rPr>
                <w:rFonts w:asciiTheme="minorHAnsi" w:hAnsiTheme="minorHAnsi" w:cstheme="minorHAnsi"/>
                <w:sz w:val="22"/>
              </w:rPr>
              <w:t>Statistics Department</w:t>
            </w:r>
          </w:p>
        </w:tc>
      </w:tr>
    </w:tbl>
    <w:p w:rsidR="00E408A9" w:rsidRDefault="00E408A9" w:rsidP="003D6E82">
      <w:pPr>
        <w:jc w:val="left"/>
        <w:rPr>
          <w:rFonts w:asciiTheme="minorHAnsi" w:hAnsiTheme="minorHAnsi" w:cstheme="minorHAnsi"/>
        </w:rPr>
      </w:pPr>
    </w:p>
    <w:p w:rsidR="00532882" w:rsidRPr="003307A1" w:rsidRDefault="00532882" w:rsidP="00532882">
      <w:pPr>
        <w:rPr>
          <w:rFonts w:asciiTheme="minorHAnsi" w:hAnsiTheme="minorHAnsi" w:cstheme="minorHAnsi"/>
        </w:rPr>
      </w:pPr>
      <w:r w:rsidRPr="003307A1">
        <w:rPr>
          <w:rFonts w:asciiTheme="minorHAnsi" w:hAnsiTheme="minorHAnsi" w:cstheme="minorHAnsi"/>
        </w:rPr>
        <w:t>Without an overarching strategy to guide AusAID’s approach to supporting economic and public sector governance much of the assistance provided to Tonga has been ad hoc with Australia responding to individual re</w:t>
      </w:r>
      <w:r>
        <w:rPr>
          <w:rFonts w:asciiTheme="minorHAnsi" w:hAnsiTheme="minorHAnsi" w:cstheme="minorHAnsi"/>
        </w:rPr>
        <w:t>quests from the GoT. Australia ha</w:t>
      </w:r>
      <w:r w:rsidRPr="003307A1">
        <w:rPr>
          <w:rFonts w:asciiTheme="minorHAnsi" w:hAnsiTheme="minorHAnsi" w:cstheme="minorHAnsi"/>
        </w:rPr>
        <w:t xml:space="preserve">s </w:t>
      </w:r>
      <w:r>
        <w:rPr>
          <w:rFonts w:asciiTheme="minorHAnsi" w:hAnsiTheme="minorHAnsi" w:cstheme="minorHAnsi"/>
        </w:rPr>
        <w:t xml:space="preserve">been </w:t>
      </w:r>
      <w:r w:rsidRPr="003307A1">
        <w:rPr>
          <w:rFonts w:asciiTheme="minorHAnsi" w:hAnsiTheme="minorHAnsi" w:cstheme="minorHAnsi"/>
        </w:rPr>
        <w:t>the only donor willing and able to fund long-term advisory support</w:t>
      </w:r>
      <w:r>
        <w:rPr>
          <w:rStyle w:val="FootnoteReference"/>
          <w:rFonts w:asciiTheme="minorHAnsi" w:hAnsiTheme="minorHAnsi" w:cstheme="minorHAnsi"/>
        </w:rPr>
        <w:footnoteReference w:id="2"/>
      </w:r>
      <w:r w:rsidRPr="003307A1">
        <w:rPr>
          <w:rFonts w:asciiTheme="minorHAnsi" w:hAnsiTheme="minorHAnsi" w:cstheme="minorHAnsi"/>
        </w:rPr>
        <w:t>. Tonga also approaches Australia to pay the salary of in-line positions, particularly when the GoT recruits Australian citizens to fill those roles. On a number of occasions Australia has been approached to fund salaries only after recruitment has been undertaken.</w:t>
      </w:r>
      <w:r>
        <w:rPr>
          <w:rFonts w:asciiTheme="minorHAnsi" w:hAnsiTheme="minorHAnsi" w:cstheme="minorHAnsi"/>
        </w:rPr>
        <w:t xml:space="preserve"> A key aim of this </w:t>
      </w:r>
      <w:r w:rsidR="006E1D20">
        <w:rPr>
          <w:rFonts w:asciiTheme="minorHAnsi" w:hAnsiTheme="minorHAnsi" w:cstheme="minorHAnsi"/>
        </w:rPr>
        <w:t>Delivery Strategy</w:t>
      </w:r>
      <w:r>
        <w:rPr>
          <w:rFonts w:asciiTheme="minorHAnsi" w:hAnsiTheme="minorHAnsi" w:cstheme="minorHAnsi"/>
        </w:rPr>
        <w:t xml:space="preserve"> is to provide a strategic framework to guide AusAID’s engagement in economic and public sector governance.</w:t>
      </w:r>
    </w:p>
    <w:p w:rsidR="00532882" w:rsidRDefault="00532882" w:rsidP="00532882">
      <w:pPr>
        <w:rPr>
          <w:rFonts w:asciiTheme="minorHAnsi" w:hAnsiTheme="minorHAnsi" w:cstheme="minorHAnsi"/>
        </w:rPr>
      </w:pPr>
    </w:p>
    <w:p w:rsidR="008E695D" w:rsidRPr="008E695D" w:rsidRDefault="008E695D" w:rsidP="003307A1">
      <w:pPr>
        <w:rPr>
          <w:rFonts w:asciiTheme="minorHAnsi" w:hAnsiTheme="minorHAnsi" w:cstheme="minorHAnsi"/>
          <w:b/>
        </w:rPr>
      </w:pPr>
      <w:r w:rsidRPr="008E695D">
        <w:rPr>
          <w:rFonts w:asciiTheme="minorHAnsi" w:hAnsiTheme="minorHAnsi" w:cstheme="minorHAnsi"/>
          <w:b/>
        </w:rPr>
        <w:t>Performance linked-aid</w:t>
      </w:r>
    </w:p>
    <w:p w:rsidR="00A961CB" w:rsidRDefault="003307A1" w:rsidP="003307A1">
      <w:pPr>
        <w:rPr>
          <w:rFonts w:asciiTheme="minorHAnsi" w:hAnsiTheme="minorHAnsi" w:cstheme="minorHAnsi"/>
        </w:rPr>
      </w:pPr>
      <w:r w:rsidRPr="003307A1">
        <w:rPr>
          <w:rFonts w:asciiTheme="minorHAnsi" w:hAnsiTheme="minorHAnsi" w:cstheme="minorHAnsi"/>
        </w:rPr>
        <w:t xml:space="preserve">In 2011, development partners engaged in a coordinated economic policy dialogue with the GoT, led on behalf of development partners by the World Bank. This has involved working with the GoT to define and sequence a medium-term reform agenda focused on much needed economic and fiscal reforms to stimulate Tonga’s economic recovery. The resulting </w:t>
      </w:r>
      <w:r w:rsidR="008E5016">
        <w:rPr>
          <w:rFonts w:asciiTheme="minorHAnsi" w:hAnsiTheme="minorHAnsi" w:cstheme="minorHAnsi"/>
        </w:rPr>
        <w:t>P</w:t>
      </w:r>
      <w:r w:rsidRPr="003307A1">
        <w:rPr>
          <w:rFonts w:asciiTheme="minorHAnsi" w:hAnsiTheme="minorHAnsi" w:cstheme="minorHAnsi"/>
        </w:rPr>
        <w:t xml:space="preserve">olicy </w:t>
      </w:r>
      <w:r w:rsidR="008E5016">
        <w:rPr>
          <w:rFonts w:asciiTheme="minorHAnsi" w:hAnsiTheme="minorHAnsi" w:cstheme="minorHAnsi"/>
        </w:rPr>
        <w:t>R</w:t>
      </w:r>
      <w:r w:rsidRPr="003307A1">
        <w:rPr>
          <w:rFonts w:asciiTheme="minorHAnsi" w:hAnsiTheme="minorHAnsi" w:cstheme="minorHAnsi"/>
        </w:rPr>
        <w:t xml:space="preserve">eform </w:t>
      </w:r>
      <w:r w:rsidR="008E5016">
        <w:rPr>
          <w:rFonts w:asciiTheme="minorHAnsi" w:hAnsiTheme="minorHAnsi" w:cstheme="minorHAnsi"/>
        </w:rPr>
        <w:t>M</w:t>
      </w:r>
      <w:r w:rsidRPr="003307A1">
        <w:rPr>
          <w:rFonts w:asciiTheme="minorHAnsi" w:hAnsiTheme="minorHAnsi" w:cstheme="minorHAnsi"/>
        </w:rPr>
        <w:t xml:space="preserve">atrix has provided </w:t>
      </w:r>
      <w:r w:rsidR="009A6168">
        <w:rPr>
          <w:rFonts w:asciiTheme="minorHAnsi" w:hAnsiTheme="minorHAnsi" w:cstheme="minorHAnsi"/>
        </w:rPr>
        <w:t xml:space="preserve">a </w:t>
      </w:r>
      <w:r w:rsidRPr="003307A1">
        <w:rPr>
          <w:rFonts w:asciiTheme="minorHAnsi" w:hAnsiTheme="minorHAnsi" w:cstheme="minorHAnsi"/>
        </w:rPr>
        <w:t xml:space="preserve">focus for </w:t>
      </w:r>
      <w:r w:rsidR="009A6168">
        <w:rPr>
          <w:rFonts w:asciiTheme="minorHAnsi" w:hAnsiTheme="minorHAnsi" w:cstheme="minorHAnsi"/>
        </w:rPr>
        <w:t>GoT and donors on key priorities</w:t>
      </w:r>
      <w:r w:rsidRPr="003307A1">
        <w:rPr>
          <w:rFonts w:asciiTheme="minorHAnsi" w:hAnsiTheme="minorHAnsi" w:cstheme="minorHAnsi"/>
        </w:rPr>
        <w:t>. Linking</w:t>
      </w:r>
      <w:r w:rsidR="00530D05">
        <w:rPr>
          <w:rFonts w:asciiTheme="minorHAnsi" w:hAnsiTheme="minorHAnsi" w:cstheme="minorHAnsi"/>
        </w:rPr>
        <w:t xml:space="preserve"> budget support, in the form</w:t>
      </w:r>
      <w:r w:rsidRPr="003307A1">
        <w:rPr>
          <w:rFonts w:asciiTheme="minorHAnsi" w:hAnsiTheme="minorHAnsi" w:cstheme="minorHAnsi"/>
        </w:rPr>
        <w:t xml:space="preserve"> of performance linked aid </w:t>
      </w:r>
      <w:r w:rsidR="00530D05">
        <w:rPr>
          <w:rFonts w:asciiTheme="minorHAnsi" w:hAnsiTheme="minorHAnsi" w:cstheme="minorHAnsi"/>
        </w:rPr>
        <w:t xml:space="preserve">incentive grant payments, </w:t>
      </w:r>
      <w:r w:rsidRPr="003307A1">
        <w:rPr>
          <w:rFonts w:asciiTheme="minorHAnsi" w:hAnsiTheme="minorHAnsi" w:cstheme="minorHAnsi"/>
        </w:rPr>
        <w:t xml:space="preserve">to the achievement of policy reforms has become a cornerstone of </w:t>
      </w:r>
      <w:r w:rsidR="009A6168">
        <w:rPr>
          <w:rFonts w:asciiTheme="minorHAnsi" w:hAnsiTheme="minorHAnsi" w:cstheme="minorHAnsi"/>
        </w:rPr>
        <w:t>Australia’s</w:t>
      </w:r>
      <w:r w:rsidRPr="003307A1">
        <w:rPr>
          <w:rFonts w:asciiTheme="minorHAnsi" w:hAnsiTheme="minorHAnsi" w:cstheme="minorHAnsi"/>
        </w:rPr>
        <w:t xml:space="preserve"> approach to supporting Tonga’s economic and public sector governance reforms. </w:t>
      </w:r>
    </w:p>
    <w:p w:rsidR="009E61A5" w:rsidRDefault="009E61A5" w:rsidP="009E61A5">
      <w:pPr>
        <w:rPr>
          <w:rFonts w:asciiTheme="minorHAnsi" w:hAnsiTheme="minorHAnsi" w:cstheme="minorHAnsi"/>
        </w:rPr>
      </w:pPr>
    </w:p>
    <w:p w:rsidR="00C03824" w:rsidRPr="003D2A8E" w:rsidRDefault="009F780B" w:rsidP="00C03824">
      <w:pPr>
        <w:rPr>
          <w:rFonts w:asciiTheme="minorHAnsi" w:hAnsiTheme="minorHAnsi" w:cstheme="minorHAnsi"/>
          <w:color w:val="943634" w:themeColor="accent2" w:themeShade="BF"/>
        </w:rPr>
      </w:pPr>
      <w:r>
        <w:rPr>
          <w:rFonts w:asciiTheme="minorHAnsi" w:hAnsiTheme="minorHAnsi" w:cstheme="minorHAnsi"/>
        </w:rPr>
        <w:t>AusAID works closely with the World Bank</w:t>
      </w:r>
      <w:r w:rsidRPr="009F780B">
        <w:rPr>
          <w:rFonts w:asciiTheme="minorHAnsi" w:hAnsiTheme="minorHAnsi" w:cstheme="minorHAnsi"/>
        </w:rPr>
        <w:t xml:space="preserve"> in recognition of the bank’s comparative advantage to address economic and fiscal reform issues</w:t>
      </w:r>
      <w:r>
        <w:rPr>
          <w:rFonts w:asciiTheme="minorHAnsi" w:hAnsiTheme="minorHAnsi" w:cstheme="minorHAnsi"/>
        </w:rPr>
        <w:t xml:space="preserve">, </w:t>
      </w:r>
      <w:r w:rsidRPr="009F780B">
        <w:rPr>
          <w:rFonts w:asciiTheme="minorHAnsi" w:hAnsiTheme="minorHAnsi" w:cstheme="minorHAnsi"/>
        </w:rPr>
        <w:t>and in response to Tonga’s request for greater coordination among donors.</w:t>
      </w:r>
      <w:r>
        <w:rPr>
          <w:rFonts w:asciiTheme="minorHAnsi" w:hAnsiTheme="minorHAnsi" w:cstheme="minorHAnsi"/>
        </w:rPr>
        <w:t xml:space="preserve"> </w:t>
      </w:r>
      <w:r w:rsidRPr="009F780B">
        <w:rPr>
          <w:rFonts w:asciiTheme="minorHAnsi" w:hAnsiTheme="minorHAnsi" w:cstheme="minorHAnsi"/>
        </w:rPr>
        <w:t xml:space="preserve">Australia and the </w:t>
      </w:r>
      <w:r w:rsidR="00D95149">
        <w:rPr>
          <w:rFonts w:asciiTheme="minorHAnsi" w:hAnsiTheme="minorHAnsi" w:cstheme="minorHAnsi"/>
        </w:rPr>
        <w:t xml:space="preserve">World Bank </w:t>
      </w:r>
      <w:r w:rsidR="00361793">
        <w:rPr>
          <w:rFonts w:asciiTheme="minorHAnsi" w:hAnsiTheme="minorHAnsi" w:cstheme="minorHAnsi"/>
        </w:rPr>
        <w:t>have</w:t>
      </w:r>
      <w:r w:rsidRPr="009F780B">
        <w:rPr>
          <w:rFonts w:asciiTheme="minorHAnsi" w:hAnsiTheme="minorHAnsi" w:cstheme="minorHAnsi"/>
        </w:rPr>
        <w:t xml:space="preserve"> link</w:t>
      </w:r>
      <w:r w:rsidR="00361793">
        <w:rPr>
          <w:rFonts w:asciiTheme="minorHAnsi" w:hAnsiTheme="minorHAnsi" w:cstheme="minorHAnsi"/>
        </w:rPr>
        <w:t>ed</w:t>
      </w:r>
      <w:r w:rsidRPr="009F780B">
        <w:rPr>
          <w:rFonts w:asciiTheme="minorHAnsi" w:hAnsiTheme="minorHAnsi" w:cstheme="minorHAnsi"/>
        </w:rPr>
        <w:t xml:space="preserve"> the disbursal of separate budget support payments to the achievement of the </w:t>
      </w:r>
      <w:r w:rsidR="008E695D">
        <w:rPr>
          <w:rFonts w:asciiTheme="minorHAnsi" w:hAnsiTheme="minorHAnsi" w:cstheme="minorHAnsi"/>
        </w:rPr>
        <w:t>same set of government</w:t>
      </w:r>
      <w:r w:rsidRPr="009F780B">
        <w:rPr>
          <w:rFonts w:asciiTheme="minorHAnsi" w:hAnsiTheme="minorHAnsi" w:cstheme="minorHAnsi"/>
        </w:rPr>
        <w:t xml:space="preserve"> priority reforms.</w:t>
      </w:r>
      <w:r w:rsidR="00D95149">
        <w:rPr>
          <w:rFonts w:asciiTheme="minorHAnsi" w:hAnsiTheme="minorHAnsi" w:cstheme="minorHAnsi"/>
        </w:rPr>
        <w:t xml:space="preserve"> AusAID’s budget support program is </w:t>
      </w:r>
      <w:r w:rsidR="003D4F56">
        <w:rPr>
          <w:rFonts w:asciiTheme="minorHAnsi" w:hAnsiTheme="minorHAnsi" w:cstheme="minorHAnsi"/>
        </w:rPr>
        <w:t>provided in coordination</w:t>
      </w:r>
      <w:r w:rsidR="00D95149">
        <w:rPr>
          <w:rFonts w:asciiTheme="minorHAnsi" w:hAnsiTheme="minorHAnsi" w:cstheme="minorHAnsi"/>
        </w:rPr>
        <w:t xml:space="preserve"> </w:t>
      </w:r>
      <w:r w:rsidR="003D4F56">
        <w:rPr>
          <w:rFonts w:asciiTheme="minorHAnsi" w:hAnsiTheme="minorHAnsi" w:cstheme="minorHAnsi"/>
        </w:rPr>
        <w:t>with the</w:t>
      </w:r>
      <w:r w:rsidR="00D95149">
        <w:rPr>
          <w:rFonts w:asciiTheme="minorHAnsi" w:hAnsiTheme="minorHAnsi" w:cstheme="minorHAnsi"/>
        </w:rPr>
        <w:t xml:space="preserve"> World Bank’s Tonga Public Finance and Structural Reform Operation</w:t>
      </w:r>
      <w:r w:rsidR="00D95149">
        <w:rPr>
          <w:rStyle w:val="FootnoteReference"/>
          <w:rFonts w:asciiTheme="minorHAnsi" w:hAnsiTheme="minorHAnsi" w:cstheme="minorHAnsi"/>
        </w:rPr>
        <w:footnoteReference w:id="3"/>
      </w:r>
      <w:r w:rsidR="00D95149">
        <w:rPr>
          <w:rFonts w:asciiTheme="minorHAnsi" w:hAnsiTheme="minorHAnsi" w:cstheme="minorHAnsi"/>
        </w:rPr>
        <w:t xml:space="preserve">. </w:t>
      </w:r>
      <w:r w:rsidR="00361793">
        <w:rPr>
          <w:rFonts w:asciiTheme="minorHAnsi" w:hAnsiTheme="minorHAnsi" w:cstheme="minorHAnsi"/>
        </w:rPr>
        <w:t>As such,</w:t>
      </w:r>
      <w:r w:rsidR="003D2A8E">
        <w:rPr>
          <w:rFonts w:asciiTheme="minorHAnsi" w:hAnsiTheme="minorHAnsi" w:cstheme="minorHAnsi"/>
        </w:rPr>
        <w:t xml:space="preserve"> AusAID </w:t>
      </w:r>
      <w:r w:rsidR="00361793">
        <w:rPr>
          <w:rFonts w:asciiTheme="minorHAnsi" w:hAnsiTheme="minorHAnsi" w:cstheme="minorHAnsi"/>
        </w:rPr>
        <w:t xml:space="preserve">is able to </w:t>
      </w:r>
      <w:r w:rsidR="003D2A8E">
        <w:rPr>
          <w:rFonts w:asciiTheme="minorHAnsi" w:hAnsiTheme="minorHAnsi" w:cstheme="minorHAnsi"/>
        </w:rPr>
        <w:t>draw on the World Bank’s analysis of Tonga’s macro-economic circumstances</w:t>
      </w:r>
      <w:r w:rsidR="001C6BBB">
        <w:rPr>
          <w:rFonts w:asciiTheme="minorHAnsi" w:hAnsiTheme="minorHAnsi" w:cstheme="minorHAnsi"/>
        </w:rPr>
        <w:t>.</w:t>
      </w:r>
      <w:r w:rsidR="003D2A8E">
        <w:rPr>
          <w:rFonts w:asciiTheme="minorHAnsi" w:hAnsiTheme="minorHAnsi" w:cstheme="minorHAnsi"/>
        </w:rPr>
        <w:t xml:space="preserve"> </w:t>
      </w:r>
      <w:r w:rsidR="00530D05">
        <w:rPr>
          <w:rFonts w:asciiTheme="minorHAnsi" w:hAnsiTheme="minorHAnsi" w:cstheme="minorHAnsi"/>
        </w:rPr>
        <w:t xml:space="preserve">AusAID’s Pacific economists work closely </w:t>
      </w:r>
      <w:r w:rsidR="001C6BBB">
        <w:rPr>
          <w:rFonts w:asciiTheme="minorHAnsi" w:hAnsiTheme="minorHAnsi" w:cstheme="minorHAnsi"/>
        </w:rPr>
        <w:t xml:space="preserve">with the World Bank’s technical experts to </w:t>
      </w:r>
      <w:r w:rsidR="003D2A8E">
        <w:rPr>
          <w:rFonts w:asciiTheme="minorHAnsi" w:hAnsiTheme="minorHAnsi" w:cstheme="minorHAnsi"/>
        </w:rPr>
        <w:t>assess reform achievement.</w:t>
      </w:r>
      <w:r w:rsidRPr="009F780B">
        <w:rPr>
          <w:rFonts w:asciiTheme="minorHAnsi" w:hAnsiTheme="minorHAnsi" w:cstheme="minorHAnsi"/>
        </w:rPr>
        <w:t xml:space="preserve"> </w:t>
      </w:r>
      <w:r w:rsidR="00C03824" w:rsidRPr="00A961CB">
        <w:rPr>
          <w:rFonts w:asciiTheme="minorHAnsi" w:hAnsiTheme="minorHAnsi" w:cstheme="minorHAnsi"/>
        </w:rPr>
        <w:t>In 2012</w:t>
      </w:r>
      <w:r w:rsidR="001C6BBB">
        <w:rPr>
          <w:rFonts w:asciiTheme="minorHAnsi" w:hAnsiTheme="minorHAnsi" w:cstheme="minorHAnsi"/>
        </w:rPr>
        <w:t xml:space="preserve"> and 2013</w:t>
      </w:r>
      <w:r w:rsidR="00C03824" w:rsidRPr="00A961CB">
        <w:rPr>
          <w:rFonts w:asciiTheme="minorHAnsi" w:hAnsiTheme="minorHAnsi" w:cstheme="minorHAnsi"/>
        </w:rPr>
        <w:t>, based on Tonga achieving its reform benchmarks, Aus</w:t>
      </w:r>
      <w:r w:rsidR="001C6BBB">
        <w:rPr>
          <w:rFonts w:asciiTheme="minorHAnsi" w:hAnsiTheme="minorHAnsi" w:cstheme="minorHAnsi"/>
        </w:rPr>
        <w:t>AID</w:t>
      </w:r>
      <w:r w:rsidR="00C03824" w:rsidRPr="00A961CB">
        <w:rPr>
          <w:rFonts w:asciiTheme="minorHAnsi" w:hAnsiTheme="minorHAnsi" w:cstheme="minorHAnsi"/>
        </w:rPr>
        <w:t xml:space="preserve"> disbursed $5 million of performance</w:t>
      </w:r>
      <w:r w:rsidR="00163246">
        <w:rPr>
          <w:rFonts w:asciiTheme="minorHAnsi" w:hAnsiTheme="minorHAnsi" w:cstheme="minorHAnsi"/>
        </w:rPr>
        <w:t>-</w:t>
      </w:r>
      <w:r w:rsidR="00C03824" w:rsidRPr="00A961CB">
        <w:rPr>
          <w:rFonts w:asciiTheme="minorHAnsi" w:hAnsiTheme="minorHAnsi" w:cstheme="minorHAnsi"/>
        </w:rPr>
        <w:t>linked aid as sector budget support for health and education worker salaries.</w:t>
      </w:r>
      <w:r w:rsidR="003D2A8E">
        <w:rPr>
          <w:rFonts w:asciiTheme="minorHAnsi" w:hAnsiTheme="minorHAnsi" w:cstheme="minorHAnsi"/>
        </w:rPr>
        <w:t xml:space="preserve"> </w:t>
      </w:r>
    </w:p>
    <w:p w:rsidR="008E695D" w:rsidRDefault="008E695D" w:rsidP="003307A1">
      <w:pPr>
        <w:rPr>
          <w:rFonts w:asciiTheme="minorHAnsi" w:hAnsiTheme="minorHAnsi" w:cstheme="minorHAnsi"/>
        </w:rPr>
      </w:pPr>
    </w:p>
    <w:p w:rsidR="008E695D" w:rsidRPr="008E695D" w:rsidRDefault="008E695D" w:rsidP="003307A1">
      <w:pPr>
        <w:rPr>
          <w:rFonts w:asciiTheme="minorHAnsi" w:hAnsiTheme="minorHAnsi" w:cstheme="minorHAnsi"/>
          <w:b/>
        </w:rPr>
      </w:pPr>
      <w:r w:rsidRPr="008E695D">
        <w:rPr>
          <w:rFonts w:asciiTheme="minorHAnsi" w:hAnsiTheme="minorHAnsi" w:cstheme="minorHAnsi"/>
          <w:b/>
        </w:rPr>
        <w:t>Technical assistance</w:t>
      </w:r>
    </w:p>
    <w:p w:rsidR="003307A1" w:rsidRDefault="003307A1" w:rsidP="003307A1">
      <w:pPr>
        <w:rPr>
          <w:rFonts w:asciiTheme="minorHAnsi" w:hAnsiTheme="minorHAnsi" w:cstheme="minorHAnsi"/>
        </w:rPr>
      </w:pPr>
      <w:r w:rsidRPr="003307A1">
        <w:rPr>
          <w:rFonts w:asciiTheme="minorHAnsi" w:hAnsiTheme="minorHAnsi" w:cstheme="minorHAnsi"/>
        </w:rPr>
        <w:t xml:space="preserve">Australian technical assistance </w:t>
      </w:r>
      <w:r w:rsidR="00163246">
        <w:rPr>
          <w:rFonts w:asciiTheme="minorHAnsi" w:hAnsiTheme="minorHAnsi" w:cstheme="minorHAnsi"/>
        </w:rPr>
        <w:t xml:space="preserve">(TA) </w:t>
      </w:r>
      <w:r w:rsidRPr="003307A1">
        <w:rPr>
          <w:rFonts w:asciiTheme="minorHAnsi" w:hAnsiTheme="minorHAnsi" w:cstheme="minorHAnsi"/>
        </w:rPr>
        <w:t xml:space="preserve">for economic and public sector governance is </w:t>
      </w:r>
      <w:r w:rsidR="009F367A">
        <w:rPr>
          <w:rFonts w:asciiTheme="minorHAnsi" w:hAnsiTheme="minorHAnsi" w:cstheme="minorHAnsi"/>
        </w:rPr>
        <w:t xml:space="preserve">currently </w:t>
      </w:r>
      <w:r w:rsidRPr="003307A1">
        <w:rPr>
          <w:rFonts w:asciiTheme="minorHAnsi" w:hAnsiTheme="minorHAnsi" w:cstheme="minorHAnsi"/>
        </w:rPr>
        <w:t xml:space="preserve">provided to four core public sector line agencies: </w:t>
      </w:r>
      <w:r w:rsidR="00E45E5F">
        <w:rPr>
          <w:rFonts w:asciiTheme="minorHAnsi" w:hAnsiTheme="minorHAnsi" w:cstheme="minorHAnsi"/>
        </w:rPr>
        <w:t xml:space="preserve">the </w:t>
      </w:r>
      <w:r w:rsidRPr="003307A1">
        <w:rPr>
          <w:rFonts w:asciiTheme="minorHAnsi" w:hAnsiTheme="minorHAnsi" w:cstheme="minorHAnsi"/>
        </w:rPr>
        <w:t xml:space="preserve">MoFNP, Ministry of Revenue (MoR), Public Services Commission (PSC), and the Statistics Department. </w:t>
      </w:r>
      <w:r w:rsidR="00112DA7">
        <w:rPr>
          <w:rFonts w:asciiTheme="minorHAnsi" w:hAnsiTheme="minorHAnsi" w:cstheme="minorHAnsi"/>
        </w:rPr>
        <w:t xml:space="preserve">An </w:t>
      </w:r>
      <w:r w:rsidRPr="003307A1">
        <w:rPr>
          <w:rFonts w:asciiTheme="minorHAnsi" w:hAnsiTheme="minorHAnsi" w:cstheme="minorHAnsi"/>
        </w:rPr>
        <w:t>assess</w:t>
      </w:r>
      <w:r w:rsidR="00112DA7">
        <w:rPr>
          <w:rFonts w:asciiTheme="minorHAnsi" w:hAnsiTheme="minorHAnsi" w:cstheme="minorHAnsi"/>
        </w:rPr>
        <w:t>ment of</w:t>
      </w:r>
      <w:r w:rsidRPr="003307A1">
        <w:rPr>
          <w:rFonts w:asciiTheme="minorHAnsi" w:hAnsiTheme="minorHAnsi" w:cstheme="minorHAnsi"/>
        </w:rPr>
        <w:t xml:space="preserve"> whether this mix of </w:t>
      </w:r>
      <w:r w:rsidR="009F367A">
        <w:rPr>
          <w:rFonts w:asciiTheme="minorHAnsi" w:hAnsiTheme="minorHAnsi" w:cstheme="minorHAnsi"/>
        </w:rPr>
        <w:t>m</w:t>
      </w:r>
      <w:r w:rsidRPr="003307A1">
        <w:rPr>
          <w:rFonts w:asciiTheme="minorHAnsi" w:hAnsiTheme="minorHAnsi" w:cstheme="minorHAnsi"/>
        </w:rPr>
        <w:t xml:space="preserve">inistries and the type of assistance required to each </w:t>
      </w:r>
      <w:r w:rsidR="009F367A">
        <w:rPr>
          <w:rFonts w:asciiTheme="minorHAnsi" w:hAnsiTheme="minorHAnsi" w:cstheme="minorHAnsi"/>
        </w:rPr>
        <w:t>m</w:t>
      </w:r>
      <w:r w:rsidRPr="003307A1">
        <w:rPr>
          <w:rFonts w:asciiTheme="minorHAnsi" w:hAnsiTheme="minorHAnsi" w:cstheme="minorHAnsi"/>
        </w:rPr>
        <w:t>inistry i</w:t>
      </w:r>
      <w:r w:rsidR="00112DA7">
        <w:rPr>
          <w:rFonts w:asciiTheme="minorHAnsi" w:hAnsiTheme="minorHAnsi" w:cstheme="minorHAnsi"/>
        </w:rPr>
        <w:t>s</w:t>
      </w:r>
      <w:r w:rsidRPr="003307A1">
        <w:rPr>
          <w:rFonts w:asciiTheme="minorHAnsi" w:hAnsiTheme="minorHAnsi" w:cstheme="minorHAnsi"/>
        </w:rPr>
        <w:t xml:space="preserve"> the most effective and appropriate</w:t>
      </w:r>
      <w:r w:rsidR="00112DA7">
        <w:rPr>
          <w:rFonts w:asciiTheme="minorHAnsi" w:hAnsiTheme="minorHAnsi" w:cstheme="minorHAnsi"/>
        </w:rPr>
        <w:t xml:space="preserve"> has been undertaken as part</w:t>
      </w:r>
      <w:r w:rsidR="009F367A">
        <w:rPr>
          <w:rFonts w:asciiTheme="minorHAnsi" w:hAnsiTheme="minorHAnsi" w:cstheme="minorHAnsi"/>
        </w:rPr>
        <w:t xml:space="preserve"> of</w:t>
      </w:r>
      <w:r w:rsidR="00112DA7">
        <w:rPr>
          <w:rFonts w:asciiTheme="minorHAnsi" w:hAnsiTheme="minorHAnsi" w:cstheme="minorHAnsi"/>
        </w:rPr>
        <w:t xml:space="preserve"> </w:t>
      </w:r>
      <w:r w:rsidR="009F367A">
        <w:rPr>
          <w:rFonts w:asciiTheme="minorHAnsi" w:hAnsiTheme="minorHAnsi" w:cstheme="minorHAnsi"/>
        </w:rPr>
        <w:t>a</w:t>
      </w:r>
      <w:r w:rsidR="008B23AD">
        <w:rPr>
          <w:rFonts w:asciiTheme="minorHAnsi" w:hAnsiTheme="minorHAnsi" w:cstheme="minorHAnsi"/>
        </w:rPr>
        <w:t xml:space="preserve"> review</w:t>
      </w:r>
      <w:r w:rsidR="008C5868">
        <w:rPr>
          <w:rFonts w:asciiTheme="minorHAnsi" w:hAnsiTheme="minorHAnsi" w:cstheme="minorHAnsi"/>
        </w:rPr>
        <w:t xml:space="preserve"> </w:t>
      </w:r>
      <w:r w:rsidR="009F367A">
        <w:rPr>
          <w:rFonts w:asciiTheme="minorHAnsi" w:hAnsiTheme="minorHAnsi" w:cstheme="minorHAnsi"/>
        </w:rPr>
        <w:t xml:space="preserve">of the economic and public sector reform </w:t>
      </w:r>
      <w:r w:rsidR="008C5868">
        <w:rPr>
          <w:rFonts w:asciiTheme="minorHAnsi" w:hAnsiTheme="minorHAnsi" w:cstheme="minorHAnsi"/>
        </w:rPr>
        <w:t xml:space="preserve">(EPSR) </w:t>
      </w:r>
      <w:r w:rsidR="009F367A">
        <w:rPr>
          <w:rFonts w:asciiTheme="minorHAnsi" w:hAnsiTheme="minorHAnsi" w:cstheme="minorHAnsi"/>
        </w:rPr>
        <w:t>program</w:t>
      </w:r>
      <w:r w:rsidRPr="003307A1">
        <w:rPr>
          <w:rFonts w:asciiTheme="minorHAnsi" w:hAnsiTheme="minorHAnsi" w:cstheme="minorHAnsi"/>
        </w:rPr>
        <w:t xml:space="preserve">. </w:t>
      </w:r>
      <w:r w:rsidR="008C5868">
        <w:rPr>
          <w:rFonts w:asciiTheme="minorHAnsi" w:hAnsiTheme="minorHAnsi" w:cstheme="minorHAnsi"/>
        </w:rPr>
        <w:t xml:space="preserve">The </w:t>
      </w:r>
      <w:r w:rsidR="001C6BBB">
        <w:rPr>
          <w:rFonts w:asciiTheme="minorHAnsi" w:hAnsiTheme="minorHAnsi" w:cstheme="minorHAnsi"/>
        </w:rPr>
        <w:t xml:space="preserve">review </w:t>
      </w:r>
      <w:r w:rsidR="008C5868">
        <w:rPr>
          <w:rFonts w:asciiTheme="minorHAnsi" w:hAnsiTheme="minorHAnsi" w:cstheme="minorHAnsi"/>
        </w:rPr>
        <w:t xml:space="preserve">found that the mix of ministries was relevant to the objectives of the </w:t>
      </w:r>
      <w:r w:rsidR="000971E6">
        <w:rPr>
          <w:rFonts w:asciiTheme="minorHAnsi" w:hAnsiTheme="minorHAnsi" w:cstheme="minorHAnsi"/>
        </w:rPr>
        <w:t xml:space="preserve">Partnership for Development and the </w:t>
      </w:r>
      <w:r w:rsidR="006F4A58">
        <w:rPr>
          <w:rFonts w:asciiTheme="minorHAnsi" w:hAnsiTheme="minorHAnsi" w:cstheme="minorHAnsi"/>
        </w:rPr>
        <w:t>P</w:t>
      </w:r>
      <w:r w:rsidR="00F27ED2">
        <w:rPr>
          <w:rFonts w:asciiTheme="minorHAnsi" w:hAnsiTheme="minorHAnsi" w:cstheme="minorHAnsi"/>
        </w:rPr>
        <w:t xml:space="preserve">olicy </w:t>
      </w:r>
      <w:r w:rsidR="006F4A58">
        <w:rPr>
          <w:rFonts w:asciiTheme="minorHAnsi" w:hAnsiTheme="minorHAnsi" w:cstheme="minorHAnsi"/>
        </w:rPr>
        <w:t>R</w:t>
      </w:r>
      <w:r w:rsidR="00F27ED2">
        <w:rPr>
          <w:rFonts w:asciiTheme="minorHAnsi" w:hAnsiTheme="minorHAnsi" w:cstheme="minorHAnsi"/>
        </w:rPr>
        <w:t xml:space="preserve">eform </w:t>
      </w:r>
      <w:r w:rsidR="006F4A58">
        <w:rPr>
          <w:rFonts w:asciiTheme="minorHAnsi" w:hAnsiTheme="minorHAnsi" w:cstheme="minorHAnsi"/>
        </w:rPr>
        <w:t>M</w:t>
      </w:r>
      <w:r w:rsidR="00F27ED2">
        <w:rPr>
          <w:rFonts w:asciiTheme="minorHAnsi" w:hAnsiTheme="minorHAnsi" w:cstheme="minorHAnsi"/>
        </w:rPr>
        <w:t>atrix</w:t>
      </w:r>
      <w:r w:rsidR="008C5868">
        <w:rPr>
          <w:rFonts w:asciiTheme="minorHAnsi" w:hAnsiTheme="minorHAnsi" w:cstheme="minorHAnsi"/>
        </w:rPr>
        <w:t xml:space="preserve">. However, the </w:t>
      </w:r>
      <w:r w:rsidR="001C6BBB">
        <w:rPr>
          <w:rFonts w:asciiTheme="minorHAnsi" w:hAnsiTheme="minorHAnsi" w:cstheme="minorHAnsi"/>
        </w:rPr>
        <w:t xml:space="preserve">review </w:t>
      </w:r>
      <w:r w:rsidR="008C5868">
        <w:rPr>
          <w:rFonts w:asciiTheme="minorHAnsi" w:hAnsiTheme="minorHAnsi" w:cstheme="minorHAnsi"/>
        </w:rPr>
        <w:t xml:space="preserve">noted </w:t>
      </w:r>
      <w:r w:rsidR="006F4A58">
        <w:rPr>
          <w:rFonts w:asciiTheme="minorHAnsi" w:hAnsiTheme="minorHAnsi" w:cstheme="minorHAnsi"/>
        </w:rPr>
        <w:t xml:space="preserve">that, given significant capacity constraints in the department, </w:t>
      </w:r>
      <w:r w:rsidR="008C5868">
        <w:rPr>
          <w:rFonts w:asciiTheme="minorHAnsi" w:hAnsiTheme="minorHAnsi" w:cstheme="minorHAnsi"/>
        </w:rPr>
        <w:t>a more detailed assessment of the Statistics Department should be undertaken before any further assistance (in particular technical assistance) is provided</w:t>
      </w:r>
      <w:r w:rsidR="001C6BBB">
        <w:rPr>
          <w:rFonts w:asciiTheme="minorHAnsi" w:hAnsiTheme="minorHAnsi" w:cstheme="minorHAnsi"/>
        </w:rPr>
        <w:t xml:space="preserve"> to ensure that assistance will provide lasting results</w:t>
      </w:r>
      <w:r w:rsidR="008C5868">
        <w:rPr>
          <w:rFonts w:asciiTheme="minorHAnsi" w:hAnsiTheme="minorHAnsi" w:cstheme="minorHAnsi"/>
        </w:rPr>
        <w:t xml:space="preserve">. </w:t>
      </w:r>
    </w:p>
    <w:p w:rsidR="003307A1" w:rsidRDefault="003307A1" w:rsidP="003307A1">
      <w:pPr>
        <w:rPr>
          <w:rFonts w:asciiTheme="minorHAnsi" w:hAnsiTheme="minorHAnsi" w:cstheme="minorHAnsi"/>
        </w:rPr>
      </w:pPr>
    </w:p>
    <w:p w:rsidR="007575A9" w:rsidRDefault="003D21DD" w:rsidP="003307A1">
      <w:pPr>
        <w:rPr>
          <w:rFonts w:asciiTheme="minorHAnsi" w:hAnsiTheme="minorHAnsi" w:cstheme="minorHAnsi"/>
        </w:rPr>
      </w:pPr>
      <w:r>
        <w:rPr>
          <w:rFonts w:asciiTheme="minorHAnsi" w:hAnsiTheme="minorHAnsi" w:cstheme="minorHAnsi"/>
        </w:rPr>
        <w:t>T</w:t>
      </w:r>
      <w:r w:rsidR="003307A1" w:rsidRPr="003307A1">
        <w:rPr>
          <w:rFonts w:asciiTheme="minorHAnsi" w:hAnsiTheme="minorHAnsi" w:cstheme="minorHAnsi"/>
        </w:rPr>
        <w:t>echnical assistance in this sector has been supporting key areas of Tonga’s reform program</w:t>
      </w:r>
      <w:r>
        <w:rPr>
          <w:rFonts w:asciiTheme="minorHAnsi" w:hAnsiTheme="minorHAnsi" w:cstheme="minorHAnsi"/>
        </w:rPr>
        <w:t>. However</w:t>
      </w:r>
      <w:r w:rsidR="003307A1" w:rsidRPr="003307A1">
        <w:rPr>
          <w:rFonts w:asciiTheme="minorHAnsi" w:hAnsiTheme="minorHAnsi" w:cstheme="minorHAnsi"/>
        </w:rPr>
        <w:t xml:space="preserve">, its </w:t>
      </w:r>
      <w:r w:rsidR="009A04EB">
        <w:rPr>
          <w:rFonts w:asciiTheme="minorHAnsi" w:hAnsiTheme="minorHAnsi" w:cstheme="minorHAnsi"/>
        </w:rPr>
        <w:t>contribution to capacity development</w:t>
      </w:r>
      <w:r w:rsidR="003307A1" w:rsidRPr="003307A1">
        <w:rPr>
          <w:rFonts w:asciiTheme="minorHAnsi" w:hAnsiTheme="minorHAnsi" w:cstheme="minorHAnsi"/>
        </w:rPr>
        <w:t xml:space="preserve"> remains </w:t>
      </w:r>
      <w:r w:rsidR="00163246">
        <w:rPr>
          <w:rFonts w:asciiTheme="minorHAnsi" w:hAnsiTheme="minorHAnsi" w:cstheme="minorHAnsi"/>
        </w:rPr>
        <w:t>difficult to assess. Many advise</w:t>
      </w:r>
      <w:r w:rsidR="003307A1" w:rsidRPr="003307A1">
        <w:rPr>
          <w:rFonts w:asciiTheme="minorHAnsi" w:hAnsiTheme="minorHAnsi" w:cstheme="minorHAnsi"/>
        </w:rPr>
        <w:t>r positions operate in isolation with limited or no national counterparts</w:t>
      </w:r>
      <w:r w:rsidR="008B35B8">
        <w:rPr>
          <w:rFonts w:asciiTheme="minorHAnsi" w:hAnsiTheme="minorHAnsi" w:cstheme="minorHAnsi"/>
        </w:rPr>
        <w:t xml:space="preserve"> and, as such, have made limited progress in capacity building</w:t>
      </w:r>
      <w:r w:rsidR="003307A1" w:rsidRPr="003307A1">
        <w:rPr>
          <w:rFonts w:asciiTheme="minorHAnsi" w:hAnsiTheme="minorHAnsi" w:cstheme="minorHAnsi"/>
        </w:rPr>
        <w:t xml:space="preserve">. </w:t>
      </w:r>
      <w:r w:rsidR="00163246">
        <w:rPr>
          <w:rFonts w:asciiTheme="minorHAnsi" w:hAnsiTheme="minorHAnsi" w:cstheme="minorHAnsi"/>
        </w:rPr>
        <w:t>TA</w:t>
      </w:r>
      <w:r w:rsidR="003307A1" w:rsidRPr="003307A1">
        <w:rPr>
          <w:rFonts w:asciiTheme="minorHAnsi" w:hAnsiTheme="minorHAnsi" w:cstheme="minorHAnsi"/>
        </w:rPr>
        <w:t xml:space="preserve"> requests are still ad hoc and are not</w:t>
      </w:r>
      <w:r w:rsidR="000B4B4B">
        <w:rPr>
          <w:rFonts w:asciiTheme="minorHAnsi" w:hAnsiTheme="minorHAnsi" w:cstheme="minorHAnsi"/>
        </w:rPr>
        <w:t xml:space="preserve"> linked to a coherent PFM Roadm</w:t>
      </w:r>
      <w:r w:rsidR="003307A1" w:rsidRPr="003307A1">
        <w:rPr>
          <w:rFonts w:asciiTheme="minorHAnsi" w:hAnsiTheme="minorHAnsi" w:cstheme="minorHAnsi"/>
        </w:rPr>
        <w:t>ap.</w:t>
      </w:r>
      <w:r w:rsidR="00073D97">
        <w:rPr>
          <w:rFonts w:asciiTheme="minorHAnsi" w:hAnsiTheme="minorHAnsi" w:cstheme="minorHAnsi"/>
        </w:rPr>
        <w:t xml:space="preserve"> In order to better coordinate advisory support and avoid duplication, donors have develop</w:t>
      </w:r>
      <w:r w:rsidR="00163246">
        <w:rPr>
          <w:rFonts w:asciiTheme="minorHAnsi" w:hAnsiTheme="minorHAnsi" w:cstheme="minorHAnsi"/>
        </w:rPr>
        <w:t>ed</w:t>
      </w:r>
      <w:r w:rsidR="00073D97">
        <w:rPr>
          <w:rFonts w:asciiTheme="minorHAnsi" w:hAnsiTheme="minorHAnsi" w:cstheme="minorHAnsi"/>
        </w:rPr>
        <w:t xml:space="preserve"> a TA matrix in parallel with the </w:t>
      </w:r>
      <w:r w:rsidR="006872C1">
        <w:rPr>
          <w:rFonts w:asciiTheme="minorHAnsi" w:hAnsiTheme="minorHAnsi" w:cstheme="minorHAnsi"/>
        </w:rPr>
        <w:t>P</w:t>
      </w:r>
      <w:r w:rsidR="00F27ED2">
        <w:rPr>
          <w:rFonts w:asciiTheme="minorHAnsi" w:hAnsiTheme="minorHAnsi" w:cstheme="minorHAnsi"/>
        </w:rPr>
        <w:t xml:space="preserve">olicy </w:t>
      </w:r>
      <w:r w:rsidR="006872C1">
        <w:rPr>
          <w:rFonts w:asciiTheme="minorHAnsi" w:hAnsiTheme="minorHAnsi" w:cstheme="minorHAnsi"/>
        </w:rPr>
        <w:t>R</w:t>
      </w:r>
      <w:r w:rsidR="00F27ED2">
        <w:rPr>
          <w:rFonts w:asciiTheme="minorHAnsi" w:hAnsiTheme="minorHAnsi" w:cstheme="minorHAnsi"/>
        </w:rPr>
        <w:t xml:space="preserve">eform </w:t>
      </w:r>
      <w:r w:rsidR="006872C1">
        <w:rPr>
          <w:rFonts w:asciiTheme="minorHAnsi" w:hAnsiTheme="minorHAnsi" w:cstheme="minorHAnsi"/>
        </w:rPr>
        <w:t>M</w:t>
      </w:r>
      <w:r w:rsidR="00F27ED2">
        <w:rPr>
          <w:rFonts w:asciiTheme="minorHAnsi" w:hAnsiTheme="minorHAnsi" w:cstheme="minorHAnsi"/>
        </w:rPr>
        <w:t>atrix</w:t>
      </w:r>
      <w:r w:rsidR="00073D97">
        <w:rPr>
          <w:rFonts w:asciiTheme="minorHAnsi" w:hAnsiTheme="minorHAnsi" w:cstheme="minorHAnsi"/>
        </w:rPr>
        <w:t>. This draws a clearer alignment between the work being undertaken by advisers and the achievement of reforms identified in the Matrix.</w:t>
      </w:r>
    </w:p>
    <w:p w:rsidR="00466B05" w:rsidRDefault="00466B05" w:rsidP="00466B05">
      <w:pPr>
        <w:rPr>
          <w:rFonts w:asciiTheme="minorHAnsi" w:hAnsiTheme="minorHAnsi" w:cstheme="minorHAnsi"/>
        </w:rPr>
      </w:pPr>
    </w:p>
    <w:p w:rsidR="00B15428" w:rsidRDefault="00B15428" w:rsidP="00B15428">
      <w:pPr>
        <w:spacing w:after="240"/>
        <w:rPr>
          <w:rFonts w:asciiTheme="minorHAnsi" w:hAnsiTheme="minorHAnsi" w:cstheme="minorHAnsi"/>
          <w:lang w:val="en-GB"/>
        </w:rPr>
      </w:pPr>
      <w:r w:rsidRPr="006241B3">
        <w:rPr>
          <w:rFonts w:asciiTheme="minorHAnsi" w:hAnsiTheme="minorHAnsi" w:cstheme="minorHAnsi"/>
          <w:lang w:val="en-GB"/>
        </w:rPr>
        <w:t xml:space="preserve">The 2013 review of AusAID’s </w:t>
      </w:r>
      <w:r w:rsidRPr="006241B3">
        <w:rPr>
          <w:rFonts w:asciiTheme="minorHAnsi" w:hAnsiTheme="minorHAnsi" w:cstheme="minorHAnsi"/>
        </w:rPr>
        <w:t>economic and public sector reform program</w:t>
      </w:r>
      <w:r w:rsidRPr="006241B3">
        <w:rPr>
          <w:rFonts w:asciiTheme="minorHAnsi" w:hAnsiTheme="minorHAnsi" w:cstheme="minorHAnsi"/>
          <w:lang w:val="en-GB"/>
        </w:rPr>
        <w:t xml:space="preserve"> noted a high level of political interest in Tonga’s public service. Many adviser positions have been working in politically charged environments and, on a number of occasions, advisers have been drawn away from their ToRs to respond to requests from senior levels of Government. This has resulted in the sector requiring a high level of management attention at Post and in Canberra, as AusAID has been drawn directly into politically sensitive areas and is in regular dialogue with the Government concerning the development benefits advisors can provide when working in these circumstances. This remains a risk under this Delivery Strategy, which AusAID will seek to mitigate through </w:t>
      </w:r>
      <w:r w:rsidR="00431DDC">
        <w:rPr>
          <w:rFonts w:asciiTheme="minorHAnsi" w:hAnsiTheme="minorHAnsi" w:cstheme="minorHAnsi"/>
          <w:lang w:val="en-GB"/>
        </w:rPr>
        <w:t>clearly-defined</w:t>
      </w:r>
      <w:r w:rsidRPr="006241B3">
        <w:rPr>
          <w:rFonts w:asciiTheme="minorHAnsi" w:hAnsiTheme="minorHAnsi" w:cstheme="minorHAnsi"/>
          <w:lang w:val="en-GB"/>
        </w:rPr>
        <w:t xml:space="preserve"> ToRs and stronger performance management arrangements between Post and advisers (discussed in Section 6D). </w:t>
      </w:r>
    </w:p>
    <w:p w:rsidR="004D31C6" w:rsidRDefault="009A04EB" w:rsidP="00B15428">
      <w:pPr>
        <w:spacing w:after="240"/>
        <w:rPr>
          <w:rFonts w:asciiTheme="minorHAnsi" w:hAnsiTheme="minorHAnsi" w:cstheme="minorHAnsi"/>
        </w:rPr>
      </w:pPr>
      <w:r>
        <w:rPr>
          <w:rFonts w:asciiTheme="minorHAnsi" w:hAnsiTheme="minorHAnsi" w:cstheme="minorHAnsi"/>
        </w:rPr>
        <w:t xml:space="preserve">Despite the concerns raised above, the Tonga Program has assessed that, if managed correctly, technical advisory support will continue to provide a relevant </w:t>
      </w:r>
      <w:r w:rsidR="00A66C29">
        <w:rPr>
          <w:rFonts w:asciiTheme="minorHAnsi" w:hAnsiTheme="minorHAnsi" w:cstheme="minorHAnsi"/>
        </w:rPr>
        <w:t xml:space="preserve">and targeted </w:t>
      </w:r>
      <w:r>
        <w:rPr>
          <w:rFonts w:asciiTheme="minorHAnsi" w:hAnsiTheme="minorHAnsi" w:cstheme="minorHAnsi"/>
        </w:rPr>
        <w:t xml:space="preserve">approach to addressing Tonga’s ongoing capacity constraints. </w:t>
      </w:r>
      <w:r w:rsidR="0026449F">
        <w:rPr>
          <w:rFonts w:asciiTheme="minorHAnsi" w:hAnsiTheme="minorHAnsi" w:cstheme="minorHAnsi"/>
        </w:rPr>
        <w:t>As noted in the 2013 review, capacity development will take time and expectations will need to be realistic about what can be achieved through individual advisory support.</w:t>
      </w:r>
      <w:r w:rsidR="00927A01">
        <w:rPr>
          <w:rFonts w:asciiTheme="minorHAnsi" w:hAnsiTheme="minorHAnsi" w:cstheme="minorHAnsi"/>
        </w:rPr>
        <w:t xml:space="preserve"> </w:t>
      </w:r>
    </w:p>
    <w:p w:rsidR="006F69E4" w:rsidRDefault="00AC3832" w:rsidP="00A56F1A">
      <w:pPr>
        <w:rPr>
          <w:rFonts w:asciiTheme="minorHAnsi" w:hAnsiTheme="minorHAnsi" w:cstheme="minorHAnsi"/>
        </w:rPr>
      </w:pPr>
      <w:r>
        <w:rPr>
          <w:rFonts w:asciiTheme="minorHAnsi" w:hAnsiTheme="minorHAnsi" w:cstheme="minorHAnsi"/>
        </w:rPr>
        <w:t>To date, t</w:t>
      </w:r>
      <w:r w:rsidR="00A56F1A">
        <w:rPr>
          <w:rFonts w:asciiTheme="minorHAnsi" w:hAnsiTheme="minorHAnsi" w:cstheme="minorHAnsi"/>
        </w:rPr>
        <w:t>here has been</w:t>
      </w:r>
      <w:r w:rsidR="00A56F1A" w:rsidRPr="003307A1">
        <w:rPr>
          <w:rFonts w:asciiTheme="minorHAnsi" w:hAnsiTheme="minorHAnsi" w:cstheme="minorHAnsi"/>
        </w:rPr>
        <w:t xml:space="preserve"> limited consideration of other forms of assistance other than TA or funding of specific positions. </w:t>
      </w:r>
      <w:r w:rsidR="00A56F1A">
        <w:rPr>
          <w:rFonts w:asciiTheme="minorHAnsi" w:hAnsiTheme="minorHAnsi" w:cstheme="minorHAnsi"/>
        </w:rPr>
        <w:t>A Theory of Change Workshop conducted</w:t>
      </w:r>
      <w:r w:rsidR="00163246">
        <w:rPr>
          <w:rFonts w:asciiTheme="minorHAnsi" w:hAnsiTheme="minorHAnsi" w:cstheme="minorHAnsi"/>
        </w:rPr>
        <w:t xml:space="preserve"> for this </w:t>
      </w:r>
      <w:r w:rsidR="006E1D20">
        <w:rPr>
          <w:rFonts w:asciiTheme="minorHAnsi" w:hAnsiTheme="minorHAnsi" w:cstheme="minorHAnsi"/>
        </w:rPr>
        <w:t>Delivery Strategy</w:t>
      </w:r>
      <w:r w:rsidR="00A56F1A">
        <w:rPr>
          <w:rFonts w:asciiTheme="minorHAnsi" w:hAnsiTheme="minorHAnsi" w:cstheme="minorHAnsi"/>
        </w:rPr>
        <w:t xml:space="preserve"> in March 2013</w:t>
      </w:r>
      <w:r w:rsidR="00163246">
        <w:rPr>
          <w:rFonts w:asciiTheme="minorHAnsi" w:hAnsiTheme="minorHAnsi" w:cstheme="minorHAnsi"/>
        </w:rPr>
        <w:t>,</w:t>
      </w:r>
      <w:r w:rsidR="00A56F1A">
        <w:rPr>
          <w:rFonts w:asciiTheme="minorHAnsi" w:hAnsiTheme="minorHAnsi" w:cstheme="minorHAnsi"/>
        </w:rPr>
        <w:t xml:space="preserve"> with senior management staff from the GoT</w:t>
      </w:r>
      <w:r w:rsidR="00163246">
        <w:rPr>
          <w:rFonts w:asciiTheme="minorHAnsi" w:hAnsiTheme="minorHAnsi" w:cstheme="minorHAnsi"/>
        </w:rPr>
        <w:t>,</w:t>
      </w:r>
      <w:r w:rsidR="00A56F1A">
        <w:rPr>
          <w:rFonts w:asciiTheme="minorHAnsi" w:hAnsiTheme="minorHAnsi" w:cstheme="minorHAnsi"/>
        </w:rPr>
        <w:t xml:space="preserve"> identified alternative avenues for support in this area, including introducing training programs, </w:t>
      </w:r>
      <w:r w:rsidR="0026768D">
        <w:rPr>
          <w:rFonts w:asciiTheme="minorHAnsi" w:hAnsiTheme="minorHAnsi" w:cstheme="minorHAnsi"/>
        </w:rPr>
        <w:t xml:space="preserve">providing opportunities for </w:t>
      </w:r>
      <w:r w:rsidR="00EE713B">
        <w:rPr>
          <w:rFonts w:asciiTheme="minorHAnsi" w:hAnsiTheme="minorHAnsi" w:cstheme="minorHAnsi"/>
        </w:rPr>
        <w:t>work attachments</w:t>
      </w:r>
      <w:r w:rsidR="00A56F1A">
        <w:rPr>
          <w:rFonts w:asciiTheme="minorHAnsi" w:hAnsiTheme="minorHAnsi" w:cstheme="minorHAnsi"/>
        </w:rPr>
        <w:t xml:space="preserve">, and </w:t>
      </w:r>
      <w:r w:rsidR="0026768D">
        <w:rPr>
          <w:rFonts w:asciiTheme="minorHAnsi" w:hAnsiTheme="minorHAnsi" w:cstheme="minorHAnsi"/>
        </w:rPr>
        <w:t xml:space="preserve">offering </w:t>
      </w:r>
      <w:r w:rsidR="00A56F1A">
        <w:rPr>
          <w:rFonts w:asciiTheme="minorHAnsi" w:hAnsiTheme="minorHAnsi" w:cstheme="minorHAnsi"/>
        </w:rPr>
        <w:t xml:space="preserve">regional staff exchange opportunities. </w:t>
      </w:r>
      <w:r w:rsidR="00C41552">
        <w:rPr>
          <w:rFonts w:asciiTheme="minorHAnsi" w:hAnsiTheme="minorHAnsi" w:cstheme="minorHAnsi"/>
        </w:rPr>
        <w:t xml:space="preserve">Between 2008 and </w:t>
      </w:r>
      <w:r w:rsidR="00B62C77">
        <w:rPr>
          <w:rFonts w:asciiTheme="minorHAnsi" w:hAnsiTheme="minorHAnsi" w:cstheme="minorHAnsi"/>
        </w:rPr>
        <w:t>2012</w:t>
      </w:r>
      <w:r w:rsidR="00C41552">
        <w:rPr>
          <w:rFonts w:asciiTheme="minorHAnsi" w:hAnsiTheme="minorHAnsi" w:cstheme="minorHAnsi"/>
        </w:rPr>
        <w:t xml:space="preserve">, </w:t>
      </w:r>
      <w:r w:rsidR="0026768D">
        <w:rPr>
          <w:rFonts w:asciiTheme="minorHAnsi" w:hAnsiTheme="minorHAnsi" w:cstheme="minorHAnsi"/>
        </w:rPr>
        <w:t>AusAID provided opportunities</w:t>
      </w:r>
      <w:r w:rsidR="00C41552">
        <w:rPr>
          <w:rFonts w:asciiTheme="minorHAnsi" w:hAnsiTheme="minorHAnsi" w:cstheme="minorHAnsi"/>
        </w:rPr>
        <w:t xml:space="preserve"> </w:t>
      </w:r>
      <w:r w:rsidR="0026768D">
        <w:rPr>
          <w:rFonts w:asciiTheme="minorHAnsi" w:hAnsiTheme="minorHAnsi" w:cstheme="minorHAnsi"/>
        </w:rPr>
        <w:t>for work attachments</w:t>
      </w:r>
      <w:r w:rsidR="0044077B">
        <w:rPr>
          <w:rFonts w:asciiTheme="minorHAnsi" w:hAnsiTheme="minorHAnsi" w:cstheme="minorHAnsi"/>
        </w:rPr>
        <w:t xml:space="preserve"> for senior management staff from the Tongan public service</w:t>
      </w:r>
      <w:r w:rsidR="00C41552">
        <w:rPr>
          <w:rFonts w:asciiTheme="minorHAnsi" w:hAnsiTheme="minorHAnsi" w:cstheme="minorHAnsi"/>
        </w:rPr>
        <w:t xml:space="preserve"> </w:t>
      </w:r>
      <w:r w:rsidR="00B61B66">
        <w:rPr>
          <w:rFonts w:asciiTheme="minorHAnsi" w:hAnsiTheme="minorHAnsi" w:cstheme="minorHAnsi"/>
        </w:rPr>
        <w:t xml:space="preserve">(primarily PSC) </w:t>
      </w:r>
      <w:r w:rsidR="0026768D">
        <w:rPr>
          <w:rFonts w:asciiTheme="minorHAnsi" w:hAnsiTheme="minorHAnsi" w:cstheme="minorHAnsi"/>
        </w:rPr>
        <w:t xml:space="preserve">through </w:t>
      </w:r>
      <w:r w:rsidR="00C64B0F">
        <w:rPr>
          <w:rFonts w:asciiTheme="minorHAnsi" w:hAnsiTheme="minorHAnsi" w:cstheme="minorHAnsi"/>
        </w:rPr>
        <w:t>the</w:t>
      </w:r>
      <w:r w:rsidR="0026768D">
        <w:rPr>
          <w:rFonts w:asciiTheme="minorHAnsi" w:hAnsiTheme="minorHAnsi" w:cstheme="minorHAnsi"/>
        </w:rPr>
        <w:t xml:space="preserve"> Pacific Governance Partnership with the Australian Public Service Commission.</w:t>
      </w:r>
      <w:r w:rsidR="00B62C77">
        <w:rPr>
          <w:rFonts w:asciiTheme="minorHAnsi" w:hAnsiTheme="minorHAnsi" w:cstheme="minorHAnsi"/>
        </w:rPr>
        <w:t xml:space="preserve"> </w:t>
      </w:r>
      <w:r w:rsidR="009A2D61">
        <w:rPr>
          <w:rFonts w:asciiTheme="minorHAnsi" w:hAnsiTheme="minorHAnsi" w:cstheme="minorHAnsi"/>
        </w:rPr>
        <w:t>An i</w:t>
      </w:r>
      <w:r w:rsidR="00B62C77">
        <w:rPr>
          <w:rFonts w:asciiTheme="minorHAnsi" w:hAnsiTheme="minorHAnsi" w:cstheme="minorHAnsi"/>
        </w:rPr>
        <w:t>ndependent progress report</w:t>
      </w:r>
      <w:r w:rsidR="009A2D61">
        <w:rPr>
          <w:rFonts w:asciiTheme="minorHAnsi" w:hAnsiTheme="minorHAnsi" w:cstheme="minorHAnsi"/>
        </w:rPr>
        <w:t xml:space="preserve"> for the Partnership noted that</w:t>
      </w:r>
      <w:r w:rsidR="006F69E4">
        <w:rPr>
          <w:rFonts w:asciiTheme="minorHAnsi" w:hAnsiTheme="minorHAnsi" w:cstheme="minorHAnsi"/>
        </w:rPr>
        <w:t>,</w:t>
      </w:r>
      <w:r w:rsidR="009A2D61">
        <w:rPr>
          <w:rFonts w:asciiTheme="minorHAnsi" w:hAnsiTheme="minorHAnsi" w:cstheme="minorHAnsi"/>
        </w:rPr>
        <w:t xml:space="preserve"> whilst the program had strengthened individuals’ professional capabilities, there was limited evidence th</w:t>
      </w:r>
      <w:r w:rsidR="00B61B66">
        <w:rPr>
          <w:rFonts w:asciiTheme="minorHAnsi" w:hAnsiTheme="minorHAnsi" w:cstheme="minorHAnsi"/>
        </w:rPr>
        <w:t>at participation in the program</w:t>
      </w:r>
      <w:r w:rsidR="009A2D61">
        <w:rPr>
          <w:rFonts w:asciiTheme="minorHAnsi" w:hAnsiTheme="minorHAnsi" w:cstheme="minorHAnsi"/>
        </w:rPr>
        <w:t xml:space="preserve"> could be linked to wider positive impacts on public administration or reform.</w:t>
      </w:r>
      <w:r w:rsidR="00085167">
        <w:rPr>
          <w:rFonts w:asciiTheme="minorHAnsi" w:hAnsiTheme="minorHAnsi" w:cstheme="minorHAnsi"/>
        </w:rPr>
        <w:t xml:space="preserve"> </w:t>
      </w:r>
      <w:r w:rsidR="006F69E4">
        <w:rPr>
          <w:rFonts w:asciiTheme="minorHAnsi" w:hAnsiTheme="minorHAnsi" w:cstheme="minorHAnsi"/>
        </w:rPr>
        <w:t xml:space="preserve">AusAID will undertake a more detailed assessment of alternative modalities to assess where Australia’s aid </w:t>
      </w:r>
      <w:r w:rsidR="00B61B66">
        <w:rPr>
          <w:rFonts w:asciiTheme="minorHAnsi" w:hAnsiTheme="minorHAnsi" w:cstheme="minorHAnsi"/>
        </w:rPr>
        <w:t>has the capacity to</w:t>
      </w:r>
      <w:r w:rsidR="006F69E4">
        <w:rPr>
          <w:rFonts w:asciiTheme="minorHAnsi" w:hAnsiTheme="minorHAnsi" w:cstheme="minorHAnsi"/>
        </w:rPr>
        <w:t xml:space="preserve"> make </w:t>
      </w:r>
      <w:r w:rsidR="00B61B66">
        <w:rPr>
          <w:rFonts w:asciiTheme="minorHAnsi" w:hAnsiTheme="minorHAnsi" w:cstheme="minorHAnsi"/>
        </w:rPr>
        <w:t xml:space="preserve">the greatest </w:t>
      </w:r>
      <w:r w:rsidR="006F69E4">
        <w:rPr>
          <w:rFonts w:asciiTheme="minorHAnsi" w:hAnsiTheme="minorHAnsi" w:cstheme="minorHAnsi"/>
        </w:rPr>
        <w:t>difference. Should AusAID consider further use of work attachments, we will ensure that individual work projects are aligned with and support agency plans</w:t>
      </w:r>
      <w:r w:rsidR="003C52AF">
        <w:rPr>
          <w:rFonts w:asciiTheme="minorHAnsi" w:hAnsiTheme="minorHAnsi" w:cstheme="minorHAnsi"/>
        </w:rPr>
        <w:t>,</w:t>
      </w:r>
      <w:r w:rsidR="006F69E4">
        <w:rPr>
          <w:rFonts w:asciiTheme="minorHAnsi" w:hAnsiTheme="minorHAnsi" w:cstheme="minorHAnsi"/>
        </w:rPr>
        <w:t xml:space="preserve"> and there are mechanisms in place to enable participants to apply and share the knowledge and experience accrued</w:t>
      </w:r>
      <w:r w:rsidR="003C52AF">
        <w:rPr>
          <w:rFonts w:asciiTheme="minorHAnsi" w:hAnsiTheme="minorHAnsi" w:cstheme="minorHAnsi"/>
        </w:rPr>
        <w:t xml:space="preserve"> through the program</w:t>
      </w:r>
      <w:r w:rsidR="006F69E4">
        <w:rPr>
          <w:rFonts w:asciiTheme="minorHAnsi" w:hAnsiTheme="minorHAnsi" w:cstheme="minorHAnsi"/>
        </w:rPr>
        <w:t xml:space="preserve">. </w:t>
      </w:r>
    </w:p>
    <w:p w:rsidR="00A56F1A" w:rsidRDefault="00A56F1A" w:rsidP="003307A1">
      <w:pPr>
        <w:rPr>
          <w:rFonts w:asciiTheme="minorHAnsi" w:hAnsiTheme="minorHAnsi" w:cstheme="minorHAnsi"/>
        </w:rPr>
      </w:pPr>
    </w:p>
    <w:p w:rsidR="00D66040" w:rsidRDefault="00D66040" w:rsidP="003307A1">
      <w:pPr>
        <w:rPr>
          <w:rFonts w:asciiTheme="minorHAnsi" w:hAnsiTheme="minorHAnsi" w:cstheme="minorHAnsi"/>
          <w:b/>
        </w:rPr>
      </w:pPr>
      <w:r w:rsidRPr="00AB1171">
        <w:rPr>
          <w:rFonts w:asciiTheme="minorHAnsi" w:hAnsiTheme="minorHAnsi" w:cstheme="minorHAnsi"/>
          <w:b/>
        </w:rPr>
        <w:t>Direct funding agreements</w:t>
      </w:r>
    </w:p>
    <w:p w:rsidR="00AB1171" w:rsidRPr="00AB1171" w:rsidRDefault="00AB1171" w:rsidP="003307A1">
      <w:pPr>
        <w:rPr>
          <w:rFonts w:asciiTheme="minorHAnsi" w:hAnsiTheme="minorHAnsi" w:cstheme="minorHAnsi"/>
        </w:rPr>
      </w:pPr>
      <w:r w:rsidRPr="00AB1171">
        <w:rPr>
          <w:rFonts w:asciiTheme="minorHAnsi" w:hAnsiTheme="minorHAnsi" w:cstheme="minorHAnsi"/>
        </w:rPr>
        <w:t xml:space="preserve">AusAID </w:t>
      </w:r>
      <w:r w:rsidR="00433BB6">
        <w:rPr>
          <w:rFonts w:asciiTheme="minorHAnsi" w:hAnsiTheme="minorHAnsi" w:cstheme="minorHAnsi"/>
        </w:rPr>
        <w:t>has provided</w:t>
      </w:r>
      <w:r w:rsidR="00017726">
        <w:rPr>
          <w:rFonts w:asciiTheme="minorHAnsi" w:hAnsiTheme="minorHAnsi" w:cstheme="minorHAnsi"/>
        </w:rPr>
        <w:t xml:space="preserve"> support for </w:t>
      </w:r>
      <w:r w:rsidR="00433BB6">
        <w:rPr>
          <w:rFonts w:asciiTheme="minorHAnsi" w:hAnsiTheme="minorHAnsi" w:cstheme="minorHAnsi"/>
        </w:rPr>
        <w:t xml:space="preserve">public service training and </w:t>
      </w:r>
      <w:r w:rsidR="00017726">
        <w:rPr>
          <w:rFonts w:asciiTheme="minorHAnsi" w:hAnsiTheme="minorHAnsi" w:cstheme="minorHAnsi"/>
        </w:rPr>
        <w:t>various public sector reform projects primarily through Accountable Cash Grant</w:t>
      </w:r>
      <w:r w:rsidR="00170E94">
        <w:rPr>
          <w:rFonts w:asciiTheme="minorHAnsi" w:hAnsiTheme="minorHAnsi" w:cstheme="minorHAnsi"/>
        </w:rPr>
        <w:t xml:space="preserve"> (ACG)</w:t>
      </w:r>
      <w:r w:rsidR="00433BB6">
        <w:rPr>
          <w:rFonts w:asciiTheme="minorHAnsi" w:hAnsiTheme="minorHAnsi" w:cstheme="minorHAnsi"/>
        </w:rPr>
        <w:t xml:space="preserve"> agreement</w:t>
      </w:r>
      <w:r w:rsidR="00017726">
        <w:rPr>
          <w:rFonts w:asciiTheme="minorHAnsi" w:hAnsiTheme="minorHAnsi" w:cstheme="minorHAnsi"/>
        </w:rPr>
        <w:t>s</w:t>
      </w:r>
      <w:r w:rsidR="00433BB6">
        <w:rPr>
          <w:rFonts w:asciiTheme="minorHAnsi" w:hAnsiTheme="minorHAnsi" w:cstheme="minorHAnsi"/>
        </w:rPr>
        <w:t xml:space="preserve"> with</w:t>
      </w:r>
      <w:r w:rsidR="00017726">
        <w:rPr>
          <w:rFonts w:asciiTheme="minorHAnsi" w:hAnsiTheme="minorHAnsi" w:cstheme="minorHAnsi"/>
        </w:rPr>
        <w:t xml:space="preserve"> the PSC.</w:t>
      </w:r>
      <w:r w:rsidR="00433BB6">
        <w:rPr>
          <w:rFonts w:asciiTheme="minorHAnsi" w:hAnsiTheme="minorHAnsi" w:cstheme="minorHAnsi"/>
        </w:rPr>
        <w:t xml:space="preserve"> Th</w:t>
      </w:r>
      <w:r w:rsidR="00983FFD">
        <w:rPr>
          <w:rFonts w:asciiTheme="minorHAnsi" w:hAnsiTheme="minorHAnsi" w:cstheme="minorHAnsi"/>
        </w:rPr>
        <w:t xml:space="preserve">is support has </w:t>
      </w:r>
      <w:r w:rsidR="00983FFD" w:rsidRPr="00983FFD">
        <w:rPr>
          <w:rFonts w:asciiTheme="minorHAnsi" w:hAnsiTheme="minorHAnsi" w:cstheme="minorHAnsi"/>
        </w:rPr>
        <w:t xml:space="preserve">helped provide stability to the </w:t>
      </w:r>
      <w:r w:rsidR="00983FFD">
        <w:rPr>
          <w:rFonts w:asciiTheme="minorHAnsi" w:hAnsiTheme="minorHAnsi" w:cstheme="minorHAnsi"/>
        </w:rPr>
        <w:t>GoT</w:t>
      </w:r>
      <w:r w:rsidR="00983FFD" w:rsidRPr="00983FFD">
        <w:rPr>
          <w:rFonts w:asciiTheme="minorHAnsi" w:hAnsiTheme="minorHAnsi" w:cstheme="minorHAnsi"/>
        </w:rPr>
        <w:t xml:space="preserve"> during a critical period of transition and has been consistent with the long term goal of delivering aid through partner government systems.</w:t>
      </w:r>
      <w:r w:rsidR="00EE412C" w:rsidRPr="00EE412C">
        <w:t xml:space="preserve"> </w:t>
      </w:r>
      <w:r w:rsidR="00EE412C" w:rsidRPr="00EE412C">
        <w:rPr>
          <w:rFonts w:asciiTheme="minorHAnsi" w:hAnsiTheme="minorHAnsi" w:cstheme="minorHAnsi"/>
        </w:rPr>
        <w:t xml:space="preserve">However, a number of concerns </w:t>
      </w:r>
      <w:r w:rsidR="00EE412C">
        <w:rPr>
          <w:rFonts w:asciiTheme="minorHAnsi" w:hAnsiTheme="minorHAnsi" w:cstheme="minorHAnsi"/>
        </w:rPr>
        <w:t>were</w:t>
      </w:r>
      <w:r w:rsidR="00EE412C" w:rsidRPr="00EE412C">
        <w:rPr>
          <w:rFonts w:asciiTheme="minorHAnsi" w:hAnsiTheme="minorHAnsi" w:cstheme="minorHAnsi"/>
        </w:rPr>
        <w:t xml:space="preserve"> raised </w:t>
      </w:r>
      <w:r w:rsidR="00EE412C">
        <w:rPr>
          <w:rFonts w:asciiTheme="minorHAnsi" w:hAnsiTheme="minorHAnsi" w:cstheme="minorHAnsi"/>
        </w:rPr>
        <w:t xml:space="preserve">in AusAID’s 2013 </w:t>
      </w:r>
      <w:r w:rsidR="008B23AD">
        <w:rPr>
          <w:rFonts w:asciiTheme="minorHAnsi" w:hAnsiTheme="minorHAnsi" w:cstheme="minorHAnsi"/>
        </w:rPr>
        <w:t>review</w:t>
      </w:r>
      <w:r w:rsidR="00EE412C">
        <w:rPr>
          <w:rFonts w:asciiTheme="minorHAnsi" w:hAnsiTheme="minorHAnsi" w:cstheme="minorHAnsi"/>
        </w:rPr>
        <w:t xml:space="preserve"> of the economic and public sector reform program </w:t>
      </w:r>
      <w:r w:rsidR="00EE412C" w:rsidRPr="00EE412C">
        <w:rPr>
          <w:rFonts w:asciiTheme="minorHAnsi" w:hAnsiTheme="minorHAnsi" w:cstheme="minorHAnsi"/>
        </w:rPr>
        <w:t xml:space="preserve">with regard to the effectiveness and efficiency of the modality used. As funding </w:t>
      </w:r>
      <w:r w:rsidR="00EE412C">
        <w:rPr>
          <w:rFonts w:asciiTheme="minorHAnsi" w:hAnsiTheme="minorHAnsi" w:cstheme="minorHAnsi"/>
        </w:rPr>
        <w:t xml:space="preserve">agreements draw to a close, </w:t>
      </w:r>
      <w:r w:rsidR="001C6BBB">
        <w:rPr>
          <w:rFonts w:asciiTheme="minorHAnsi" w:hAnsiTheme="minorHAnsi" w:cstheme="minorHAnsi"/>
        </w:rPr>
        <w:t xml:space="preserve">AusAID’s review of the EPSR program </w:t>
      </w:r>
      <w:r w:rsidR="00EE412C" w:rsidRPr="00EE412C">
        <w:rPr>
          <w:rFonts w:asciiTheme="minorHAnsi" w:hAnsiTheme="minorHAnsi" w:cstheme="minorHAnsi"/>
        </w:rPr>
        <w:t xml:space="preserve">recommended AusAID </w:t>
      </w:r>
      <w:r w:rsidR="001C6BBB">
        <w:rPr>
          <w:rFonts w:asciiTheme="minorHAnsi" w:hAnsiTheme="minorHAnsi" w:cstheme="minorHAnsi"/>
        </w:rPr>
        <w:t>consider</w:t>
      </w:r>
      <w:r w:rsidR="001C6BBB" w:rsidRPr="00EE412C">
        <w:rPr>
          <w:rFonts w:asciiTheme="minorHAnsi" w:hAnsiTheme="minorHAnsi" w:cstheme="minorHAnsi"/>
        </w:rPr>
        <w:t xml:space="preserve"> </w:t>
      </w:r>
      <w:r w:rsidR="00EE412C" w:rsidRPr="00EE412C">
        <w:rPr>
          <w:rFonts w:asciiTheme="minorHAnsi" w:hAnsiTheme="minorHAnsi" w:cstheme="minorHAnsi"/>
        </w:rPr>
        <w:t xml:space="preserve">alternative </w:t>
      </w:r>
      <w:r w:rsidR="001C6BBB">
        <w:rPr>
          <w:rFonts w:asciiTheme="minorHAnsi" w:hAnsiTheme="minorHAnsi" w:cstheme="minorHAnsi"/>
        </w:rPr>
        <w:t>modalities</w:t>
      </w:r>
      <w:r w:rsidR="00EE412C" w:rsidRPr="00EE412C">
        <w:rPr>
          <w:rFonts w:asciiTheme="minorHAnsi" w:hAnsiTheme="minorHAnsi" w:cstheme="minorHAnsi"/>
        </w:rPr>
        <w:t>.</w:t>
      </w:r>
    </w:p>
    <w:p w:rsidR="00D66040" w:rsidRDefault="00D66040" w:rsidP="003307A1">
      <w:pPr>
        <w:rPr>
          <w:rFonts w:asciiTheme="minorHAnsi" w:hAnsiTheme="minorHAnsi" w:cstheme="minorHAnsi"/>
        </w:rPr>
      </w:pPr>
    </w:p>
    <w:p w:rsidR="00D66040" w:rsidRPr="00D66040" w:rsidRDefault="00D66040" w:rsidP="003307A1">
      <w:pPr>
        <w:rPr>
          <w:rFonts w:asciiTheme="minorHAnsi" w:hAnsiTheme="minorHAnsi" w:cstheme="minorHAnsi"/>
          <w:b/>
        </w:rPr>
      </w:pPr>
      <w:r>
        <w:rPr>
          <w:rFonts w:asciiTheme="minorHAnsi" w:hAnsiTheme="minorHAnsi" w:cstheme="minorHAnsi"/>
          <w:b/>
        </w:rPr>
        <w:t>Performance r</w:t>
      </w:r>
      <w:r w:rsidRPr="00D66040">
        <w:rPr>
          <w:rFonts w:asciiTheme="minorHAnsi" w:hAnsiTheme="minorHAnsi" w:cstheme="minorHAnsi"/>
          <w:b/>
        </w:rPr>
        <w:t>eview</w:t>
      </w:r>
    </w:p>
    <w:p w:rsidR="006D2C57" w:rsidRDefault="006D2C57" w:rsidP="003307A1">
      <w:pPr>
        <w:rPr>
          <w:rFonts w:asciiTheme="minorHAnsi" w:hAnsiTheme="minorHAnsi" w:cstheme="minorHAnsi"/>
        </w:rPr>
      </w:pPr>
      <w:r>
        <w:rPr>
          <w:rFonts w:asciiTheme="minorHAnsi" w:hAnsiTheme="minorHAnsi" w:cstheme="minorHAnsi"/>
        </w:rPr>
        <w:t xml:space="preserve">This </w:t>
      </w:r>
      <w:r w:rsidR="006E1D20">
        <w:rPr>
          <w:rFonts w:asciiTheme="minorHAnsi" w:hAnsiTheme="minorHAnsi" w:cstheme="minorHAnsi"/>
        </w:rPr>
        <w:t>Delivery Strategy</w:t>
      </w:r>
      <w:r>
        <w:rPr>
          <w:rFonts w:asciiTheme="minorHAnsi" w:hAnsiTheme="minorHAnsi" w:cstheme="minorHAnsi"/>
        </w:rPr>
        <w:t xml:space="preserve"> has been informed by the findings and recommendations of a number of recent reviews conducted of both the economic and public sector reform program and the GoT’s reform agenda. These include: 2010 and 2011 reviews of in-line and advisory support in Tonga, a 2011 PFTAC review of GoT revenue administration, the 2011 Tonga Assessment of National Systems, a 2013 </w:t>
      </w:r>
      <w:r w:rsidR="008B23AD">
        <w:rPr>
          <w:rFonts w:asciiTheme="minorHAnsi" w:hAnsiTheme="minorHAnsi" w:cstheme="minorHAnsi"/>
        </w:rPr>
        <w:t>review</w:t>
      </w:r>
      <w:r>
        <w:rPr>
          <w:rFonts w:asciiTheme="minorHAnsi" w:hAnsiTheme="minorHAnsi" w:cstheme="minorHAnsi"/>
        </w:rPr>
        <w:t xml:space="preserve"> of the economic and public sector reform program, and a 2013 AusAID-funded procurement review.</w:t>
      </w:r>
    </w:p>
    <w:p w:rsidR="00163246" w:rsidRDefault="00163246" w:rsidP="003307A1">
      <w:pPr>
        <w:rPr>
          <w:rFonts w:asciiTheme="minorHAnsi" w:hAnsiTheme="minorHAnsi" w:cstheme="minorHAnsi"/>
        </w:rPr>
      </w:pPr>
    </w:p>
    <w:p w:rsidR="00163246" w:rsidRPr="003307A1" w:rsidRDefault="00163246" w:rsidP="00163246">
      <w:pPr>
        <w:rPr>
          <w:rFonts w:asciiTheme="minorHAnsi" w:hAnsiTheme="minorHAnsi" w:cstheme="minorHAnsi"/>
        </w:rPr>
      </w:pPr>
      <w:r>
        <w:rPr>
          <w:rFonts w:asciiTheme="minorHAnsi" w:hAnsiTheme="minorHAnsi" w:cstheme="minorHAnsi"/>
        </w:rPr>
        <w:t xml:space="preserve">In 2010, a </w:t>
      </w:r>
      <w:r w:rsidR="00624C21">
        <w:rPr>
          <w:rFonts w:asciiTheme="minorHAnsi" w:hAnsiTheme="minorHAnsi" w:cstheme="minorHAnsi"/>
        </w:rPr>
        <w:t>r</w:t>
      </w:r>
      <w:r>
        <w:rPr>
          <w:rFonts w:asciiTheme="minorHAnsi" w:hAnsiTheme="minorHAnsi" w:cstheme="minorHAnsi"/>
        </w:rPr>
        <w:t xml:space="preserve">eview of </w:t>
      </w:r>
      <w:r w:rsidR="00624C21">
        <w:rPr>
          <w:rFonts w:asciiTheme="minorHAnsi" w:hAnsiTheme="minorHAnsi" w:cstheme="minorHAnsi"/>
        </w:rPr>
        <w:t>a</w:t>
      </w:r>
      <w:r>
        <w:rPr>
          <w:rFonts w:asciiTheme="minorHAnsi" w:hAnsiTheme="minorHAnsi" w:cstheme="minorHAnsi"/>
        </w:rPr>
        <w:t>dvise</w:t>
      </w:r>
      <w:r w:rsidRPr="003307A1">
        <w:rPr>
          <w:rFonts w:asciiTheme="minorHAnsi" w:hAnsiTheme="minorHAnsi" w:cstheme="minorHAnsi"/>
        </w:rPr>
        <w:t xml:space="preserve">r </w:t>
      </w:r>
      <w:r w:rsidR="00624C21">
        <w:rPr>
          <w:rFonts w:asciiTheme="minorHAnsi" w:hAnsiTheme="minorHAnsi" w:cstheme="minorHAnsi"/>
        </w:rPr>
        <w:t>p</w:t>
      </w:r>
      <w:r w:rsidRPr="003307A1">
        <w:rPr>
          <w:rFonts w:asciiTheme="minorHAnsi" w:hAnsiTheme="minorHAnsi" w:cstheme="minorHAnsi"/>
        </w:rPr>
        <w:t xml:space="preserve">ositions for Tonga, conducted as part of a broader </w:t>
      </w:r>
      <w:r>
        <w:rPr>
          <w:rFonts w:asciiTheme="minorHAnsi" w:hAnsiTheme="minorHAnsi" w:cstheme="minorHAnsi"/>
        </w:rPr>
        <w:t xml:space="preserve">review of </w:t>
      </w:r>
      <w:r w:rsidRPr="003307A1">
        <w:rPr>
          <w:rFonts w:asciiTheme="minorHAnsi" w:hAnsiTheme="minorHAnsi" w:cstheme="minorHAnsi"/>
        </w:rPr>
        <w:t xml:space="preserve">Pacific </w:t>
      </w:r>
      <w:r>
        <w:rPr>
          <w:rFonts w:asciiTheme="minorHAnsi" w:hAnsiTheme="minorHAnsi" w:cstheme="minorHAnsi"/>
        </w:rPr>
        <w:t>a</w:t>
      </w:r>
      <w:r w:rsidRPr="003307A1">
        <w:rPr>
          <w:rFonts w:asciiTheme="minorHAnsi" w:hAnsiTheme="minorHAnsi" w:cstheme="minorHAnsi"/>
        </w:rPr>
        <w:t>dvis</w:t>
      </w:r>
      <w:r>
        <w:rPr>
          <w:rFonts w:asciiTheme="minorHAnsi" w:hAnsiTheme="minorHAnsi" w:cstheme="minorHAnsi"/>
        </w:rPr>
        <w:t>e</w:t>
      </w:r>
      <w:r w:rsidRPr="003307A1">
        <w:rPr>
          <w:rFonts w:asciiTheme="minorHAnsi" w:hAnsiTheme="minorHAnsi" w:cstheme="minorHAnsi"/>
        </w:rPr>
        <w:t>rs, recommended capping the numbe</w:t>
      </w:r>
      <w:r>
        <w:rPr>
          <w:rFonts w:asciiTheme="minorHAnsi" w:hAnsiTheme="minorHAnsi" w:cstheme="minorHAnsi"/>
        </w:rPr>
        <w:t>r of advisers to ten</w:t>
      </w:r>
      <w:r w:rsidR="00C7089C">
        <w:rPr>
          <w:rFonts w:asciiTheme="minorHAnsi" w:hAnsiTheme="minorHAnsi" w:cstheme="minorHAnsi"/>
        </w:rPr>
        <w:t xml:space="preserve"> to ensure efficiency of the program</w:t>
      </w:r>
      <w:r>
        <w:rPr>
          <w:rFonts w:asciiTheme="minorHAnsi" w:hAnsiTheme="minorHAnsi" w:cstheme="minorHAnsi"/>
        </w:rPr>
        <w:t>. The 2010 r</w:t>
      </w:r>
      <w:r w:rsidRPr="003307A1">
        <w:rPr>
          <w:rFonts w:asciiTheme="minorHAnsi" w:hAnsiTheme="minorHAnsi" w:cstheme="minorHAnsi"/>
        </w:rPr>
        <w:t>eview confirms the need for clear guiding principles for engagement of advis</w:t>
      </w:r>
      <w:r>
        <w:rPr>
          <w:rFonts w:asciiTheme="minorHAnsi" w:hAnsiTheme="minorHAnsi" w:cstheme="minorHAnsi"/>
        </w:rPr>
        <w:t>e</w:t>
      </w:r>
      <w:r w:rsidRPr="003307A1">
        <w:rPr>
          <w:rFonts w:asciiTheme="minorHAnsi" w:hAnsiTheme="minorHAnsi" w:cstheme="minorHAnsi"/>
        </w:rPr>
        <w:t>rs in the future, including more strategic approaches to identifying and assessing where advisors will have the most impact, improved monitoring and evaluation systems and increased focus on capacity development and succession planning for in-line positions.</w:t>
      </w:r>
      <w:r>
        <w:rPr>
          <w:rFonts w:asciiTheme="minorHAnsi" w:hAnsiTheme="minorHAnsi" w:cstheme="minorHAnsi"/>
        </w:rPr>
        <w:t xml:space="preserve"> These recommendations are addressed as part of this </w:t>
      </w:r>
      <w:r w:rsidR="006E1D20">
        <w:rPr>
          <w:rFonts w:asciiTheme="minorHAnsi" w:hAnsiTheme="minorHAnsi" w:cstheme="minorHAnsi"/>
        </w:rPr>
        <w:t>Delivery Strategy</w:t>
      </w:r>
      <w:r>
        <w:rPr>
          <w:rFonts w:asciiTheme="minorHAnsi" w:hAnsiTheme="minorHAnsi" w:cstheme="minorHAnsi"/>
        </w:rPr>
        <w:t>.</w:t>
      </w:r>
      <w:r w:rsidR="00C7089C">
        <w:rPr>
          <w:rFonts w:asciiTheme="minorHAnsi" w:hAnsiTheme="minorHAnsi" w:cstheme="minorHAnsi"/>
        </w:rPr>
        <w:t xml:space="preserve"> </w:t>
      </w:r>
    </w:p>
    <w:p w:rsidR="006D2C57" w:rsidRDefault="006D2C57" w:rsidP="003307A1">
      <w:pPr>
        <w:rPr>
          <w:rFonts w:asciiTheme="minorHAnsi" w:hAnsiTheme="minorHAnsi" w:cstheme="minorHAnsi"/>
        </w:rPr>
      </w:pPr>
    </w:p>
    <w:p w:rsidR="003307A1" w:rsidRPr="007575A9" w:rsidRDefault="003307A1" w:rsidP="003307A1">
      <w:pPr>
        <w:rPr>
          <w:rFonts w:asciiTheme="minorHAnsi" w:hAnsiTheme="minorHAnsi" w:cstheme="minorHAnsi"/>
        </w:rPr>
      </w:pPr>
      <w:r w:rsidRPr="007575A9">
        <w:rPr>
          <w:rFonts w:asciiTheme="minorHAnsi" w:hAnsiTheme="minorHAnsi" w:cstheme="minorHAnsi"/>
        </w:rPr>
        <w:t xml:space="preserve">In 2011, </w:t>
      </w:r>
      <w:r w:rsidR="003107EF">
        <w:rPr>
          <w:rFonts w:asciiTheme="minorHAnsi" w:hAnsiTheme="minorHAnsi" w:cstheme="minorHAnsi"/>
        </w:rPr>
        <w:t xml:space="preserve">at </w:t>
      </w:r>
      <w:r w:rsidRPr="007575A9">
        <w:rPr>
          <w:rFonts w:asciiTheme="minorHAnsi" w:hAnsiTheme="minorHAnsi" w:cstheme="minorHAnsi"/>
        </w:rPr>
        <w:t>the Go</w:t>
      </w:r>
      <w:r w:rsidR="003107EF">
        <w:rPr>
          <w:rFonts w:asciiTheme="minorHAnsi" w:hAnsiTheme="minorHAnsi" w:cstheme="minorHAnsi"/>
        </w:rPr>
        <w:t xml:space="preserve">T’s request, the </w:t>
      </w:r>
      <w:r w:rsidRPr="007575A9">
        <w:rPr>
          <w:rFonts w:asciiTheme="minorHAnsi" w:hAnsiTheme="minorHAnsi" w:cstheme="minorHAnsi"/>
        </w:rPr>
        <w:t>P</w:t>
      </w:r>
      <w:r w:rsidR="003107EF">
        <w:rPr>
          <w:rFonts w:asciiTheme="minorHAnsi" w:hAnsiTheme="minorHAnsi" w:cstheme="minorHAnsi"/>
        </w:rPr>
        <w:t xml:space="preserve">acific </w:t>
      </w:r>
      <w:r w:rsidRPr="007575A9">
        <w:rPr>
          <w:rFonts w:asciiTheme="minorHAnsi" w:hAnsiTheme="minorHAnsi" w:cstheme="minorHAnsi"/>
        </w:rPr>
        <w:t>F</w:t>
      </w:r>
      <w:r w:rsidR="003107EF">
        <w:rPr>
          <w:rFonts w:asciiTheme="minorHAnsi" w:hAnsiTheme="minorHAnsi" w:cstheme="minorHAnsi"/>
        </w:rPr>
        <w:t xml:space="preserve">inancial </w:t>
      </w:r>
      <w:r w:rsidRPr="007575A9">
        <w:rPr>
          <w:rFonts w:asciiTheme="minorHAnsi" w:hAnsiTheme="minorHAnsi" w:cstheme="minorHAnsi"/>
        </w:rPr>
        <w:t>T</w:t>
      </w:r>
      <w:r w:rsidR="003107EF">
        <w:rPr>
          <w:rFonts w:asciiTheme="minorHAnsi" w:hAnsiTheme="minorHAnsi" w:cstheme="minorHAnsi"/>
        </w:rPr>
        <w:t xml:space="preserve">echnical </w:t>
      </w:r>
      <w:r w:rsidRPr="007575A9">
        <w:rPr>
          <w:rFonts w:asciiTheme="minorHAnsi" w:hAnsiTheme="minorHAnsi" w:cstheme="minorHAnsi"/>
        </w:rPr>
        <w:t>A</w:t>
      </w:r>
      <w:r w:rsidR="003107EF">
        <w:rPr>
          <w:rFonts w:asciiTheme="minorHAnsi" w:hAnsiTheme="minorHAnsi" w:cstheme="minorHAnsi"/>
        </w:rPr>
        <w:t xml:space="preserve">ssistance </w:t>
      </w:r>
      <w:r w:rsidRPr="007575A9">
        <w:rPr>
          <w:rFonts w:asciiTheme="minorHAnsi" w:hAnsiTheme="minorHAnsi" w:cstheme="minorHAnsi"/>
        </w:rPr>
        <w:t>C</w:t>
      </w:r>
      <w:r w:rsidR="003107EF">
        <w:rPr>
          <w:rFonts w:asciiTheme="minorHAnsi" w:hAnsiTheme="minorHAnsi" w:cstheme="minorHAnsi"/>
        </w:rPr>
        <w:t>entre (PFTAC)</w:t>
      </w:r>
      <w:r w:rsidRPr="007575A9">
        <w:rPr>
          <w:rFonts w:asciiTheme="minorHAnsi" w:hAnsiTheme="minorHAnsi" w:cstheme="minorHAnsi"/>
        </w:rPr>
        <w:t xml:space="preserve"> undertook a review of revenue administration. The review identified that ongoing advisory assistance </w:t>
      </w:r>
      <w:r w:rsidR="003107EF">
        <w:rPr>
          <w:rFonts w:asciiTheme="minorHAnsi" w:hAnsiTheme="minorHAnsi" w:cstheme="minorHAnsi"/>
        </w:rPr>
        <w:t>would</w:t>
      </w:r>
      <w:r w:rsidRPr="007575A9">
        <w:rPr>
          <w:rFonts w:asciiTheme="minorHAnsi" w:hAnsiTheme="minorHAnsi" w:cstheme="minorHAnsi"/>
        </w:rPr>
        <w:t xml:space="preserve"> be required to support the GoT’s restructure of this core area. This is likely to involve, but not be limited to, the areas of customs and tax administration. AusAID will continue to work with the </w:t>
      </w:r>
      <w:r w:rsidR="003107EF">
        <w:rPr>
          <w:rFonts w:asciiTheme="minorHAnsi" w:hAnsiTheme="minorHAnsi" w:cstheme="minorHAnsi"/>
        </w:rPr>
        <w:t>MoR</w:t>
      </w:r>
      <w:r w:rsidRPr="007575A9">
        <w:rPr>
          <w:rFonts w:asciiTheme="minorHAnsi" w:hAnsiTheme="minorHAnsi" w:cstheme="minorHAnsi"/>
        </w:rPr>
        <w:t xml:space="preserve"> and other development partners to ascertain how Australia can best assist Tonga to improve its revenue administration efforts. This will require us to consider options other than TA that may be more efficient or have a greater capacity to make a difference.</w:t>
      </w:r>
      <w:r w:rsidR="007575A9">
        <w:rPr>
          <w:rFonts w:asciiTheme="minorHAnsi" w:hAnsiTheme="minorHAnsi" w:cstheme="minorHAnsi"/>
        </w:rPr>
        <w:t xml:space="preserve"> This </w:t>
      </w:r>
      <w:r w:rsidR="00D24CE4">
        <w:rPr>
          <w:rFonts w:asciiTheme="minorHAnsi" w:hAnsiTheme="minorHAnsi" w:cstheme="minorHAnsi"/>
        </w:rPr>
        <w:t>will</w:t>
      </w:r>
      <w:r w:rsidR="007575A9">
        <w:rPr>
          <w:rFonts w:asciiTheme="minorHAnsi" w:hAnsiTheme="minorHAnsi" w:cstheme="minorHAnsi"/>
        </w:rPr>
        <w:t xml:space="preserve"> include</w:t>
      </w:r>
      <w:r w:rsidRPr="007575A9">
        <w:rPr>
          <w:rFonts w:asciiTheme="minorHAnsi" w:hAnsiTheme="minorHAnsi" w:cstheme="minorHAnsi"/>
        </w:rPr>
        <w:t xml:space="preserve"> </w:t>
      </w:r>
      <w:r w:rsidR="007575A9">
        <w:rPr>
          <w:rFonts w:asciiTheme="minorHAnsi" w:hAnsiTheme="minorHAnsi" w:cstheme="minorHAnsi"/>
        </w:rPr>
        <w:t>working to improve the information technology system</w:t>
      </w:r>
      <w:r w:rsidR="003107EF">
        <w:rPr>
          <w:rFonts w:asciiTheme="minorHAnsi" w:hAnsiTheme="minorHAnsi" w:cstheme="minorHAnsi"/>
        </w:rPr>
        <w:t>,</w:t>
      </w:r>
      <w:r w:rsidR="007575A9">
        <w:rPr>
          <w:rFonts w:asciiTheme="minorHAnsi" w:hAnsiTheme="minorHAnsi" w:cstheme="minorHAnsi"/>
        </w:rPr>
        <w:t xml:space="preserve"> which is identified in the </w:t>
      </w:r>
      <w:r w:rsidR="00E45E5F">
        <w:rPr>
          <w:rFonts w:asciiTheme="minorHAnsi" w:hAnsiTheme="minorHAnsi" w:cstheme="minorHAnsi"/>
        </w:rPr>
        <w:t>r</w:t>
      </w:r>
      <w:r w:rsidR="007575A9">
        <w:rPr>
          <w:rFonts w:asciiTheme="minorHAnsi" w:hAnsiTheme="minorHAnsi" w:cstheme="minorHAnsi"/>
        </w:rPr>
        <w:t xml:space="preserve">eview </w:t>
      </w:r>
      <w:r w:rsidR="00E45E5F">
        <w:rPr>
          <w:rFonts w:asciiTheme="minorHAnsi" w:hAnsiTheme="minorHAnsi" w:cstheme="minorHAnsi"/>
        </w:rPr>
        <w:t xml:space="preserve">of revenue administration </w:t>
      </w:r>
      <w:r w:rsidR="007575A9">
        <w:rPr>
          <w:rFonts w:asciiTheme="minorHAnsi" w:hAnsiTheme="minorHAnsi" w:cstheme="minorHAnsi"/>
        </w:rPr>
        <w:t xml:space="preserve">as a key strategic </w:t>
      </w:r>
      <w:r w:rsidR="00D24CE4">
        <w:rPr>
          <w:rFonts w:asciiTheme="minorHAnsi" w:hAnsiTheme="minorHAnsi" w:cstheme="minorHAnsi"/>
        </w:rPr>
        <w:t>priority</w:t>
      </w:r>
      <w:r w:rsidR="007575A9">
        <w:rPr>
          <w:rFonts w:asciiTheme="minorHAnsi" w:hAnsiTheme="minorHAnsi" w:cstheme="minorHAnsi"/>
        </w:rPr>
        <w:t>.</w:t>
      </w:r>
    </w:p>
    <w:p w:rsidR="003307A1" w:rsidRDefault="003307A1" w:rsidP="003307A1">
      <w:pPr>
        <w:rPr>
          <w:rFonts w:asciiTheme="minorHAnsi" w:hAnsiTheme="minorHAnsi" w:cstheme="minorHAnsi"/>
        </w:rPr>
      </w:pPr>
    </w:p>
    <w:p w:rsidR="003107EF" w:rsidRDefault="003107EF" w:rsidP="003107EF">
      <w:pPr>
        <w:rPr>
          <w:rFonts w:asciiTheme="minorHAnsi" w:hAnsiTheme="minorHAnsi" w:cstheme="minorHAnsi"/>
        </w:rPr>
      </w:pPr>
      <w:r w:rsidRPr="002B71E9">
        <w:rPr>
          <w:rFonts w:asciiTheme="minorHAnsi" w:hAnsiTheme="minorHAnsi" w:cstheme="minorHAnsi"/>
        </w:rPr>
        <w:t xml:space="preserve">A 2013 </w:t>
      </w:r>
      <w:r w:rsidR="008B23AD">
        <w:rPr>
          <w:rFonts w:asciiTheme="minorHAnsi" w:hAnsiTheme="minorHAnsi" w:cstheme="minorHAnsi"/>
        </w:rPr>
        <w:t>review</w:t>
      </w:r>
      <w:r w:rsidRPr="002B71E9">
        <w:rPr>
          <w:rFonts w:asciiTheme="minorHAnsi" w:hAnsiTheme="minorHAnsi" w:cstheme="minorHAnsi"/>
        </w:rPr>
        <w:t xml:space="preserve"> of AusAID’s </w:t>
      </w:r>
      <w:r>
        <w:rPr>
          <w:rFonts w:asciiTheme="minorHAnsi" w:hAnsiTheme="minorHAnsi" w:cstheme="minorHAnsi"/>
        </w:rPr>
        <w:t>EPSR p</w:t>
      </w:r>
      <w:r w:rsidRPr="002B71E9">
        <w:rPr>
          <w:rFonts w:asciiTheme="minorHAnsi" w:hAnsiTheme="minorHAnsi" w:cstheme="minorHAnsi"/>
        </w:rPr>
        <w:t>rogram</w:t>
      </w:r>
      <w:r>
        <w:rPr>
          <w:rFonts w:asciiTheme="minorHAnsi" w:hAnsiTheme="minorHAnsi" w:cstheme="minorHAnsi"/>
        </w:rPr>
        <w:t xml:space="preserve"> found that, in </w:t>
      </w:r>
      <w:r w:rsidRPr="004B25A0">
        <w:rPr>
          <w:rFonts w:asciiTheme="minorHAnsi" w:hAnsiTheme="minorHAnsi" w:cstheme="minorHAnsi"/>
        </w:rPr>
        <w:t xml:space="preserve">the absence of an overarching </w:t>
      </w:r>
      <w:r>
        <w:rPr>
          <w:rFonts w:asciiTheme="minorHAnsi" w:hAnsiTheme="minorHAnsi" w:cstheme="minorHAnsi"/>
        </w:rPr>
        <w:t>framework</w:t>
      </w:r>
      <w:r w:rsidRPr="004B25A0">
        <w:rPr>
          <w:rFonts w:asciiTheme="minorHAnsi" w:hAnsiTheme="minorHAnsi" w:cstheme="minorHAnsi"/>
        </w:rPr>
        <w:t xml:space="preserve"> to guide AusAID’s approach to economic and public sector reform</w:t>
      </w:r>
      <w:r>
        <w:rPr>
          <w:rFonts w:asciiTheme="minorHAnsi" w:hAnsiTheme="minorHAnsi" w:cstheme="minorHAnsi"/>
        </w:rPr>
        <w:t>,</w:t>
      </w:r>
      <w:r w:rsidRPr="004B25A0">
        <w:rPr>
          <w:rFonts w:asciiTheme="minorHAnsi" w:hAnsiTheme="minorHAnsi" w:cstheme="minorHAnsi"/>
        </w:rPr>
        <w:t xml:space="preserve"> much of the assistance provided to the GoT ha</w:t>
      </w:r>
      <w:r>
        <w:rPr>
          <w:rFonts w:asciiTheme="minorHAnsi" w:hAnsiTheme="minorHAnsi" w:cstheme="minorHAnsi"/>
        </w:rPr>
        <w:t>d</w:t>
      </w:r>
      <w:r w:rsidRPr="004B25A0">
        <w:rPr>
          <w:rFonts w:asciiTheme="minorHAnsi" w:hAnsiTheme="minorHAnsi" w:cstheme="minorHAnsi"/>
        </w:rPr>
        <w:t xml:space="preserve"> been ad hoc </w:t>
      </w:r>
      <w:r>
        <w:rPr>
          <w:rFonts w:asciiTheme="minorHAnsi" w:hAnsiTheme="minorHAnsi" w:cstheme="minorHAnsi"/>
        </w:rPr>
        <w:t>and lacked strategic direction</w:t>
      </w:r>
      <w:r w:rsidRPr="004B25A0">
        <w:rPr>
          <w:rFonts w:asciiTheme="minorHAnsi" w:hAnsiTheme="minorHAnsi" w:cstheme="minorHAnsi"/>
        </w:rPr>
        <w:t>.</w:t>
      </w:r>
      <w:r>
        <w:rPr>
          <w:rFonts w:asciiTheme="minorHAnsi" w:hAnsiTheme="minorHAnsi" w:cstheme="minorHAnsi"/>
        </w:rPr>
        <w:t xml:space="preserve"> </w:t>
      </w:r>
      <w:r w:rsidRPr="004B25A0">
        <w:rPr>
          <w:rFonts w:asciiTheme="minorHAnsi" w:hAnsiTheme="minorHAnsi" w:cstheme="minorHAnsi"/>
        </w:rPr>
        <w:t>This was considered largely the result of Tonga’s political and economic environment and the need for the program to respond to the short-term needs of the GoT</w:t>
      </w:r>
      <w:r>
        <w:rPr>
          <w:rFonts w:asciiTheme="minorHAnsi" w:hAnsiTheme="minorHAnsi" w:cstheme="minorHAnsi"/>
        </w:rPr>
        <w:t xml:space="preserve"> following a number of political and economic disruptions</w:t>
      </w:r>
      <w:r w:rsidRPr="004B25A0">
        <w:rPr>
          <w:rFonts w:asciiTheme="minorHAnsi" w:hAnsiTheme="minorHAnsi" w:cstheme="minorHAnsi"/>
        </w:rPr>
        <w:t xml:space="preserve">. As Tonga’s new political and institutional system becomes more embedded, the evaluation recommended that AusAID develop a strategic framework for the EPSR program to reflect a renewed medium-term focus by GoT and donors. This is a key aim of this </w:t>
      </w:r>
      <w:r w:rsidR="006E1D20">
        <w:rPr>
          <w:rFonts w:asciiTheme="minorHAnsi" w:hAnsiTheme="minorHAnsi" w:cstheme="minorHAnsi"/>
        </w:rPr>
        <w:t>Delivery Strategy</w:t>
      </w:r>
      <w:r w:rsidRPr="004B25A0">
        <w:rPr>
          <w:rFonts w:asciiTheme="minorHAnsi" w:hAnsiTheme="minorHAnsi" w:cstheme="minorHAnsi"/>
        </w:rPr>
        <w:t xml:space="preserve"> and will guide the </w:t>
      </w:r>
      <w:r>
        <w:rPr>
          <w:rFonts w:asciiTheme="minorHAnsi" w:hAnsiTheme="minorHAnsi" w:cstheme="minorHAnsi"/>
        </w:rPr>
        <w:t xml:space="preserve">future </w:t>
      </w:r>
      <w:r w:rsidRPr="004B25A0">
        <w:rPr>
          <w:rFonts w:asciiTheme="minorHAnsi" w:hAnsiTheme="minorHAnsi" w:cstheme="minorHAnsi"/>
        </w:rPr>
        <w:t>program pipeline in this area.</w:t>
      </w:r>
      <w:r>
        <w:rPr>
          <w:rFonts w:asciiTheme="minorHAnsi" w:hAnsiTheme="minorHAnsi" w:cstheme="minorHAnsi"/>
        </w:rPr>
        <w:t xml:space="preserve"> </w:t>
      </w:r>
      <w:r w:rsidR="00C7089C">
        <w:rPr>
          <w:rFonts w:asciiTheme="minorHAnsi" w:hAnsiTheme="minorHAnsi" w:cstheme="minorHAnsi"/>
        </w:rPr>
        <w:t xml:space="preserve">A key lesson learned from the </w:t>
      </w:r>
      <w:r w:rsidR="008B23AD">
        <w:rPr>
          <w:rFonts w:asciiTheme="minorHAnsi" w:hAnsiTheme="minorHAnsi" w:cstheme="minorHAnsi"/>
        </w:rPr>
        <w:t>review</w:t>
      </w:r>
      <w:r w:rsidR="00C7089C">
        <w:rPr>
          <w:rFonts w:asciiTheme="minorHAnsi" w:hAnsiTheme="minorHAnsi" w:cstheme="minorHAnsi"/>
        </w:rPr>
        <w:t xml:space="preserve"> was the need for effective performance management of advisers in order to reduce the burden of adviser issues on Post. This lesson has been addressed as part of this </w:t>
      </w:r>
      <w:r w:rsidR="006E1D20">
        <w:rPr>
          <w:rFonts w:asciiTheme="minorHAnsi" w:hAnsiTheme="minorHAnsi" w:cstheme="minorHAnsi"/>
        </w:rPr>
        <w:t>Delivery Strategy</w:t>
      </w:r>
      <w:r w:rsidR="00C7089C">
        <w:rPr>
          <w:rFonts w:asciiTheme="minorHAnsi" w:hAnsiTheme="minorHAnsi" w:cstheme="minorHAnsi"/>
        </w:rPr>
        <w:t>.</w:t>
      </w:r>
    </w:p>
    <w:p w:rsidR="003107EF" w:rsidRDefault="003107EF" w:rsidP="003107EF">
      <w:pPr>
        <w:rPr>
          <w:rFonts w:asciiTheme="minorHAnsi" w:hAnsiTheme="minorHAnsi" w:cstheme="minorHAnsi"/>
        </w:rPr>
      </w:pPr>
    </w:p>
    <w:p w:rsidR="00886A20" w:rsidRDefault="00886A20" w:rsidP="00237066">
      <w:pPr>
        <w:rPr>
          <w:rFonts w:asciiTheme="minorHAnsi" w:hAnsiTheme="minorHAnsi" w:cstheme="minorHAnsi"/>
        </w:rPr>
      </w:pPr>
      <w:r w:rsidRPr="00886A20">
        <w:rPr>
          <w:rFonts w:asciiTheme="minorHAnsi" w:hAnsiTheme="minorHAnsi" w:cstheme="minorHAnsi"/>
        </w:rPr>
        <w:t>In March 2013,</w:t>
      </w:r>
      <w:r>
        <w:rPr>
          <w:rFonts w:asciiTheme="minorHAnsi" w:hAnsiTheme="minorHAnsi" w:cstheme="minorHAnsi"/>
        </w:rPr>
        <w:t xml:space="preserve"> AusAID funded a review of the public procurement system in Tonga. </w:t>
      </w:r>
      <w:r w:rsidR="00735617">
        <w:rPr>
          <w:rFonts w:asciiTheme="minorHAnsi" w:hAnsiTheme="minorHAnsi" w:cstheme="minorHAnsi"/>
        </w:rPr>
        <w:t xml:space="preserve">The review </w:t>
      </w:r>
      <w:r w:rsidR="00237066">
        <w:rPr>
          <w:rFonts w:asciiTheme="minorHAnsi" w:hAnsiTheme="minorHAnsi" w:cstheme="minorHAnsi"/>
        </w:rPr>
        <w:t xml:space="preserve">team </w:t>
      </w:r>
      <w:r w:rsidR="00735617">
        <w:rPr>
          <w:rFonts w:asciiTheme="minorHAnsi" w:hAnsiTheme="minorHAnsi" w:cstheme="minorHAnsi"/>
        </w:rPr>
        <w:t xml:space="preserve">found that, with </w:t>
      </w:r>
      <w:r w:rsidR="00735617" w:rsidRPr="00735617">
        <w:rPr>
          <w:rFonts w:asciiTheme="minorHAnsi" w:hAnsiTheme="minorHAnsi" w:cstheme="minorHAnsi"/>
        </w:rPr>
        <w:t>the assistance of AusAID, Tonga has taken important steps in developing a modern public procurement system, in particular the enactment of regulations and establishment of institutional and organisational frameworks. However,</w:t>
      </w:r>
      <w:r w:rsidR="00F56C1E">
        <w:rPr>
          <w:rFonts w:asciiTheme="minorHAnsi" w:hAnsiTheme="minorHAnsi" w:cstheme="minorHAnsi"/>
        </w:rPr>
        <w:t xml:space="preserve"> the review team identified many remaining challenges that will require</w:t>
      </w:r>
      <w:r w:rsidR="00237066">
        <w:rPr>
          <w:rFonts w:asciiTheme="minorHAnsi" w:hAnsiTheme="minorHAnsi" w:cstheme="minorHAnsi"/>
        </w:rPr>
        <w:t xml:space="preserve"> both</w:t>
      </w:r>
      <w:r w:rsidR="00F56C1E">
        <w:rPr>
          <w:rFonts w:asciiTheme="minorHAnsi" w:hAnsiTheme="minorHAnsi" w:cstheme="minorHAnsi"/>
        </w:rPr>
        <w:t xml:space="preserve"> improved and sustained commitment by the GoT</w:t>
      </w:r>
      <w:r w:rsidR="00237066">
        <w:rPr>
          <w:rFonts w:asciiTheme="minorHAnsi" w:hAnsiTheme="minorHAnsi" w:cstheme="minorHAnsi"/>
        </w:rPr>
        <w:t>,</w:t>
      </w:r>
      <w:r w:rsidR="00F56C1E">
        <w:rPr>
          <w:rFonts w:asciiTheme="minorHAnsi" w:hAnsiTheme="minorHAnsi" w:cstheme="minorHAnsi"/>
        </w:rPr>
        <w:t xml:space="preserve"> </w:t>
      </w:r>
      <w:r w:rsidR="00237066">
        <w:rPr>
          <w:rFonts w:asciiTheme="minorHAnsi" w:hAnsiTheme="minorHAnsi" w:cstheme="minorHAnsi"/>
        </w:rPr>
        <w:t>and</w:t>
      </w:r>
      <w:r w:rsidR="00F56C1E">
        <w:rPr>
          <w:rFonts w:asciiTheme="minorHAnsi" w:hAnsiTheme="minorHAnsi" w:cstheme="minorHAnsi"/>
        </w:rPr>
        <w:t xml:space="preserve"> further technical assistance.</w:t>
      </w:r>
      <w:r w:rsidR="00237066">
        <w:rPr>
          <w:rFonts w:asciiTheme="minorHAnsi" w:hAnsiTheme="minorHAnsi" w:cstheme="minorHAnsi"/>
        </w:rPr>
        <w:t xml:space="preserve"> This included</w:t>
      </w:r>
      <w:r w:rsidR="00430DF4">
        <w:rPr>
          <w:rFonts w:asciiTheme="minorHAnsi" w:hAnsiTheme="minorHAnsi" w:cstheme="minorHAnsi"/>
        </w:rPr>
        <w:t xml:space="preserve"> a</w:t>
      </w:r>
      <w:r w:rsidR="00237066">
        <w:rPr>
          <w:rFonts w:asciiTheme="minorHAnsi" w:hAnsiTheme="minorHAnsi" w:cstheme="minorHAnsi"/>
        </w:rPr>
        <w:t xml:space="preserve"> lack of capacity and skills in the MoFNP’s Procurement Division and in the procurement units</w:t>
      </w:r>
      <w:r w:rsidR="00F56C1E">
        <w:rPr>
          <w:rFonts w:asciiTheme="minorHAnsi" w:hAnsiTheme="minorHAnsi" w:cstheme="minorHAnsi"/>
        </w:rPr>
        <w:t xml:space="preserve"> </w:t>
      </w:r>
      <w:r w:rsidR="00237066">
        <w:rPr>
          <w:rFonts w:asciiTheme="minorHAnsi" w:hAnsiTheme="minorHAnsi" w:cstheme="minorHAnsi"/>
        </w:rPr>
        <w:t>of line ministries</w:t>
      </w:r>
      <w:r w:rsidR="00430DF4">
        <w:rPr>
          <w:rFonts w:asciiTheme="minorHAnsi" w:hAnsiTheme="minorHAnsi" w:cstheme="minorHAnsi"/>
        </w:rPr>
        <w:t>, and</w:t>
      </w:r>
      <w:r w:rsidR="00237066">
        <w:rPr>
          <w:rFonts w:asciiTheme="minorHAnsi" w:hAnsiTheme="minorHAnsi" w:cstheme="minorHAnsi"/>
        </w:rPr>
        <w:t xml:space="preserve"> repeated cases of non-compliance with procurement regulations. T</w:t>
      </w:r>
      <w:r w:rsidR="00735617" w:rsidRPr="00735617">
        <w:rPr>
          <w:rFonts w:asciiTheme="minorHAnsi" w:hAnsiTheme="minorHAnsi" w:cstheme="minorHAnsi"/>
        </w:rPr>
        <w:t xml:space="preserve">he </w:t>
      </w:r>
      <w:r w:rsidR="00237066">
        <w:rPr>
          <w:rFonts w:asciiTheme="minorHAnsi" w:hAnsiTheme="minorHAnsi" w:cstheme="minorHAnsi"/>
        </w:rPr>
        <w:t>team</w:t>
      </w:r>
      <w:r w:rsidR="00735617" w:rsidRPr="00735617">
        <w:rPr>
          <w:rFonts w:asciiTheme="minorHAnsi" w:hAnsiTheme="minorHAnsi" w:cstheme="minorHAnsi"/>
        </w:rPr>
        <w:t xml:space="preserve"> recommended</w:t>
      </w:r>
      <w:r w:rsidR="00735617">
        <w:rPr>
          <w:rFonts w:asciiTheme="minorHAnsi" w:hAnsiTheme="minorHAnsi" w:cstheme="minorHAnsi"/>
        </w:rPr>
        <w:t xml:space="preserve"> that the GoT adopt</w:t>
      </w:r>
      <w:r w:rsidR="00735617" w:rsidRPr="00735617">
        <w:rPr>
          <w:rFonts w:asciiTheme="minorHAnsi" w:hAnsiTheme="minorHAnsi" w:cstheme="minorHAnsi"/>
        </w:rPr>
        <w:t xml:space="preserve"> a strategic and comprehensive </w:t>
      </w:r>
      <w:r w:rsidR="005869F9">
        <w:rPr>
          <w:rFonts w:asciiTheme="minorHAnsi" w:hAnsiTheme="minorHAnsi" w:cstheme="minorHAnsi"/>
        </w:rPr>
        <w:t xml:space="preserve">Procurement Reform </w:t>
      </w:r>
      <w:r w:rsidR="00735617" w:rsidRPr="00735617">
        <w:rPr>
          <w:rFonts w:asciiTheme="minorHAnsi" w:hAnsiTheme="minorHAnsi" w:cstheme="minorHAnsi"/>
        </w:rPr>
        <w:t>Action Plan</w:t>
      </w:r>
      <w:r w:rsidR="00735617">
        <w:rPr>
          <w:rFonts w:asciiTheme="minorHAnsi" w:hAnsiTheme="minorHAnsi" w:cstheme="minorHAnsi"/>
        </w:rPr>
        <w:t xml:space="preserve"> </w:t>
      </w:r>
      <w:r w:rsidR="00525217">
        <w:rPr>
          <w:rFonts w:asciiTheme="minorHAnsi" w:hAnsiTheme="minorHAnsi" w:cstheme="minorHAnsi"/>
        </w:rPr>
        <w:t xml:space="preserve">to address the principles currently limiting development and implementation of the public procurement system. </w:t>
      </w:r>
      <w:r w:rsidR="00430DF4">
        <w:rPr>
          <w:rFonts w:asciiTheme="minorHAnsi" w:hAnsiTheme="minorHAnsi" w:cstheme="minorHAnsi"/>
        </w:rPr>
        <w:t>The team also identified further risk mitigation measures around AusAID use of Tongan procurement systems, which will be actioned. T</w:t>
      </w:r>
      <w:r w:rsidR="00735617" w:rsidRPr="00735617">
        <w:rPr>
          <w:rFonts w:asciiTheme="minorHAnsi" w:hAnsiTheme="minorHAnsi" w:cstheme="minorHAnsi"/>
        </w:rPr>
        <w:t xml:space="preserve">he GoT </w:t>
      </w:r>
      <w:r w:rsidR="00430DF4">
        <w:rPr>
          <w:rFonts w:asciiTheme="minorHAnsi" w:hAnsiTheme="minorHAnsi" w:cstheme="minorHAnsi"/>
        </w:rPr>
        <w:t xml:space="preserve">has </w:t>
      </w:r>
      <w:r w:rsidR="00920769">
        <w:rPr>
          <w:rFonts w:asciiTheme="minorHAnsi" w:hAnsiTheme="minorHAnsi" w:cstheme="minorHAnsi"/>
        </w:rPr>
        <w:t>recognised</w:t>
      </w:r>
      <w:r w:rsidR="00430DF4">
        <w:rPr>
          <w:rFonts w:asciiTheme="minorHAnsi" w:hAnsiTheme="minorHAnsi" w:cstheme="minorHAnsi"/>
        </w:rPr>
        <w:t xml:space="preserve"> the need for</w:t>
      </w:r>
      <w:r w:rsidR="00735617" w:rsidRPr="00735617">
        <w:rPr>
          <w:rFonts w:asciiTheme="minorHAnsi" w:hAnsiTheme="minorHAnsi" w:cstheme="minorHAnsi"/>
        </w:rPr>
        <w:t xml:space="preserve"> an Action Plan </w:t>
      </w:r>
      <w:r w:rsidR="00430DF4">
        <w:rPr>
          <w:rFonts w:asciiTheme="minorHAnsi" w:hAnsiTheme="minorHAnsi" w:cstheme="minorHAnsi"/>
        </w:rPr>
        <w:t>to be</w:t>
      </w:r>
      <w:r w:rsidR="00735617" w:rsidRPr="00735617">
        <w:rPr>
          <w:rFonts w:asciiTheme="minorHAnsi" w:hAnsiTheme="minorHAnsi" w:cstheme="minorHAnsi"/>
        </w:rPr>
        <w:t xml:space="preserve"> adopted </w:t>
      </w:r>
      <w:r w:rsidR="00525217">
        <w:rPr>
          <w:rFonts w:asciiTheme="minorHAnsi" w:hAnsiTheme="minorHAnsi" w:cstheme="minorHAnsi"/>
        </w:rPr>
        <w:t xml:space="preserve">by </w:t>
      </w:r>
      <w:r w:rsidR="00735617" w:rsidRPr="00735617">
        <w:rPr>
          <w:rFonts w:asciiTheme="minorHAnsi" w:hAnsiTheme="minorHAnsi" w:cstheme="minorHAnsi"/>
        </w:rPr>
        <w:t xml:space="preserve">Cabinet </w:t>
      </w:r>
      <w:r w:rsidR="00525217">
        <w:rPr>
          <w:rFonts w:asciiTheme="minorHAnsi" w:hAnsiTheme="minorHAnsi" w:cstheme="minorHAnsi"/>
        </w:rPr>
        <w:t>resolution</w:t>
      </w:r>
      <w:r w:rsidR="00920769">
        <w:rPr>
          <w:rFonts w:asciiTheme="minorHAnsi" w:hAnsiTheme="minorHAnsi" w:cstheme="minorHAnsi"/>
        </w:rPr>
        <w:t xml:space="preserve">. This </w:t>
      </w:r>
      <w:r w:rsidR="00430DF4">
        <w:rPr>
          <w:rFonts w:asciiTheme="minorHAnsi" w:hAnsiTheme="minorHAnsi" w:cstheme="minorHAnsi"/>
        </w:rPr>
        <w:t xml:space="preserve">has been </w:t>
      </w:r>
      <w:r w:rsidR="00735617" w:rsidRPr="00735617">
        <w:rPr>
          <w:rFonts w:asciiTheme="minorHAnsi" w:hAnsiTheme="minorHAnsi" w:cstheme="minorHAnsi"/>
        </w:rPr>
        <w:t xml:space="preserve">included in the Policy Reform Matrix </w:t>
      </w:r>
      <w:r w:rsidR="00525217">
        <w:rPr>
          <w:rFonts w:asciiTheme="minorHAnsi" w:hAnsiTheme="minorHAnsi" w:cstheme="minorHAnsi"/>
        </w:rPr>
        <w:t xml:space="preserve">as a trigger for budget support in </w:t>
      </w:r>
      <w:r w:rsidR="00735617" w:rsidRPr="00735617">
        <w:rPr>
          <w:rFonts w:asciiTheme="minorHAnsi" w:hAnsiTheme="minorHAnsi" w:cstheme="minorHAnsi"/>
        </w:rPr>
        <w:t xml:space="preserve">2013. </w:t>
      </w:r>
      <w:r w:rsidR="00735617">
        <w:rPr>
          <w:rFonts w:asciiTheme="minorHAnsi" w:hAnsiTheme="minorHAnsi" w:cstheme="minorHAnsi"/>
        </w:rPr>
        <w:t xml:space="preserve">Support </w:t>
      </w:r>
      <w:r w:rsidR="00430DF4">
        <w:rPr>
          <w:rFonts w:asciiTheme="minorHAnsi" w:hAnsiTheme="minorHAnsi" w:cstheme="minorHAnsi"/>
        </w:rPr>
        <w:t>t</w:t>
      </w:r>
      <w:r w:rsidR="00735617">
        <w:rPr>
          <w:rFonts w:asciiTheme="minorHAnsi" w:hAnsiTheme="minorHAnsi" w:cstheme="minorHAnsi"/>
        </w:rPr>
        <w:t>o</w:t>
      </w:r>
      <w:r w:rsidR="00430DF4">
        <w:rPr>
          <w:rFonts w:asciiTheme="minorHAnsi" w:hAnsiTheme="minorHAnsi" w:cstheme="minorHAnsi"/>
        </w:rPr>
        <w:t xml:space="preserve"> assist</w:t>
      </w:r>
      <w:r w:rsidR="00735617">
        <w:rPr>
          <w:rFonts w:asciiTheme="minorHAnsi" w:hAnsiTheme="minorHAnsi" w:cstheme="minorHAnsi"/>
        </w:rPr>
        <w:t xml:space="preserve"> GoT</w:t>
      </w:r>
      <w:r w:rsidR="00430DF4">
        <w:rPr>
          <w:rFonts w:asciiTheme="minorHAnsi" w:hAnsiTheme="minorHAnsi" w:cstheme="minorHAnsi"/>
        </w:rPr>
        <w:t xml:space="preserve"> implement and deliver on its</w:t>
      </w:r>
      <w:r w:rsidR="00735617">
        <w:rPr>
          <w:rFonts w:asciiTheme="minorHAnsi" w:hAnsiTheme="minorHAnsi" w:cstheme="minorHAnsi"/>
        </w:rPr>
        <w:t xml:space="preserve"> Action Plan will</w:t>
      </w:r>
      <w:r w:rsidR="00D24CE4">
        <w:rPr>
          <w:rFonts w:asciiTheme="minorHAnsi" w:hAnsiTheme="minorHAnsi" w:cstheme="minorHAnsi"/>
        </w:rPr>
        <w:t xml:space="preserve"> be a critical element of this </w:t>
      </w:r>
      <w:r w:rsidR="006E1D20">
        <w:rPr>
          <w:rFonts w:asciiTheme="minorHAnsi" w:hAnsiTheme="minorHAnsi" w:cstheme="minorHAnsi"/>
        </w:rPr>
        <w:t>Delivery Strategy</w:t>
      </w:r>
      <w:r w:rsidR="00735617">
        <w:rPr>
          <w:rFonts w:asciiTheme="minorHAnsi" w:hAnsiTheme="minorHAnsi" w:cstheme="minorHAnsi"/>
        </w:rPr>
        <w:t xml:space="preserve">. </w:t>
      </w:r>
    </w:p>
    <w:p w:rsidR="00DD464F" w:rsidRDefault="00DD464F" w:rsidP="007450EE">
      <w:pPr>
        <w:rPr>
          <w:rFonts w:asciiTheme="minorHAnsi" w:hAnsiTheme="minorHAnsi" w:cstheme="minorHAnsi"/>
        </w:rPr>
      </w:pPr>
    </w:p>
    <w:p w:rsidR="003107EF" w:rsidRDefault="000C7304" w:rsidP="000C7304">
      <w:pPr>
        <w:rPr>
          <w:rFonts w:asciiTheme="minorHAnsi" w:hAnsiTheme="minorHAnsi" w:cstheme="minorHAnsi"/>
        </w:rPr>
      </w:pPr>
      <w:r>
        <w:rPr>
          <w:rFonts w:asciiTheme="minorHAnsi" w:hAnsiTheme="minorHAnsi" w:cstheme="minorHAnsi"/>
        </w:rPr>
        <w:t xml:space="preserve">Many of the activities proposed in this Delivery Strategy, including a series of policy actions in the area of public financial management, </w:t>
      </w:r>
      <w:r w:rsidR="00D31EC4">
        <w:rPr>
          <w:rFonts w:asciiTheme="minorHAnsi" w:hAnsiTheme="minorHAnsi" w:cstheme="minorHAnsi"/>
        </w:rPr>
        <w:t>directly address</w:t>
      </w:r>
      <w:r>
        <w:rPr>
          <w:rFonts w:asciiTheme="minorHAnsi" w:hAnsiTheme="minorHAnsi" w:cstheme="minorHAnsi"/>
        </w:rPr>
        <w:t xml:space="preserve"> the recommendations of a 2011 AusAID-sponsored Assessment of National (financial, procurement and audit) Systems (ANS).</w:t>
      </w:r>
      <w:r w:rsidR="00D31EC4">
        <w:rPr>
          <w:rFonts w:asciiTheme="minorHAnsi" w:hAnsiTheme="minorHAnsi" w:cstheme="minorHAnsi"/>
        </w:rPr>
        <w:t xml:space="preserve"> The ANS notes that there is moderate level of fiduciary and corruptions risks associated with using partner government systems in Tonga. </w:t>
      </w:r>
      <w:r w:rsidR="00B22D8D">
        <w:rPr>
          <w:rFonts w:asciiTheme="minorHAnsi" w:hAnsiTheme="minorHAnsi" w:cstheme="minorHAnsi"/>
        </w:rPr>
        <w:t>K</w:t>
      </w:r>
      <w:r w:rsidR="00D31EC4">
        <w:rPr>
          <w:rFonts w:asciiTheme="minorHAnsi" w:hAnsiTheme="minorHAnsi" w:cstheme="minorHAnsi"/>
        </w:rPr>
        <w:t xml:space="preserve">ey fiduciary risks </w:t>
      </w:r>
      <w:r w:rsidR="00B22D8D">
        <w:rPr>
          <w:rFonts w:asciiTheme="minorHAnsi" w:hAnsiTheme="minorHAnsi" w:cstheme="minorHAnsi"/>
        </w:rPr>
        <w:t xml:space="preserve">are identified </w:t>
      </w:r>
      <w:r w:rsidR="00D31EC4">
        <w:rPr>
          <w:rFonts w:asciiTheme="minorHAnsi" w:hAnsiTheme="minorHAnsi" w:cstheme="minorHAnsi"/>
        </w:rPr>
        <w:t>in relation to budget credibility, policy-based budgeting and audit</w:t>
      </w:r>
      <w:r w:rsidR="00B22D8D">
        <w:rPr>
          <w:rFonts w:asciiTheme="minorHAnsi" w:hAnsiTheme="minorHAnsi" w:cstheme="minorHAnsi"/>
        </w:rPr>
        <w:t xml:space="preserve">. </w:t>
      </w:r>
      <w:r w:rsidR="008D1CBD">
        <w:rPr>
          <w:rFonts w:asciiTheme="minorHAnsi" w:hAnsiTheme="minorHAnsi" w:cstheme="minorHAnsi"/>
        </w:rPr>
        <w:t xml:space="preserve">These risks will be addressed in the EPSG program </w:t>
      </w:r>
      <w:r w:rsidR="00D31EC4">
        <w:rPr>
          <w:rFonts w:asciiTheme="minorHAnsi" w:hAnsiTheme="minorHAnsi" w:cstheme="minorHAnsi"/>
        </w:rPr>
        <w:t>through direct risk mitigation measures</w:t>
      </w:r>
      <w:r w:rsidR="00B22D8D">
        <w:rPr>
          <w:rFonts w:asciiTheme="minorHAnsi" w:hAnsiTheme="minorHAnsi" w:cstheme="minorHAnsi"/>
        </w:rPr>
        <w:t xml:space="preserve"> including </w:t>
      </w:r>
      <w:r w:rsidR="00D31EC4">
        <w:rPr>
          <w:rFonts w:asciiTheme="minorHAnsi" w:hAnsiTheme="minorHAnsi" w:cstheme="minorHAnsi"/>
        </w:rPr>
        <w:t xml:space="preserve">measures to strengthen audit capacity and to promote a program of audit for GoT – particularly for AusAID-funded programs. </w:t>
      </w:r>
    </w:p>
    <w:p w:rsidR="007450EE" w:rsidRDefault="007450EE" w:rsidP="007450EE">
      <w:pPr>
        <w:rPr>
          <w:rFonts w:asciiTheme="minorHAnsi" w:hAnsiTheme="minorHAnsi" w:cstheme="minorHAnsi"/>
        </w:rPr>
      </w:pPr>
    </w:p>
    <w:p w:rsidR="002F5D22" w:rsidRPr="007450EE" w:rsidRDefault="002F5D22" w:rsidP="007450EE">
      <w:pPr>
        <w:rPr>
          <w:rFonts w:asciiTheme="minorHAnsi" w:hAnsiTheme="minorHAnsi" w:cstheme="minorHAnsi"/>
        </w:rPr>
      </w:pPr>
    </w:p>
    <w:p w:rsidR="00BE642B" w:rsidRPr="000F2971" w:rsidRDefault="00A22247" w:rsidP="00A11CCA">
      <w:pPr>
        <w:pStyle w:val="Heading1"/>
        <w:numPr>
          <w:ilvl w:val="0"/>
          <w:numId w:val="6"/>
        </w:numPr>
        <w:spacing w:before="0" w:after="240" w:line="276" w:lineRule="auto"/>
        <w:rPr>
          <w:sz w:val="24"/>
        </w:rPr>
      </w:pPr>
      <w:bookmarkStart w:id="9" w:name="_Toc356389364"/>
      <w:r w:rsidRPr="000F2971">
        <w:rPr>
          <w:sz w:val="24"/>
        </w:rPr>
        <w:t>T</w:t>
      </w:r>
      <w:r w:rsidR="002403F6" w:rsidRPr="000F2971">
        <w:rPr>
          <w:sz w:val="24"/>
        </w:rPr>
        <w:t>heory</w:t>
      </w:r>
      <w:r w:rsidRPr="000F2971">
        <w:rPr>
          <w:sz w:val="24"/>
        </w:rPr>
        <w:t xml:space="preserve"> of change</w:t>
      </w:r>
      <w:bookmarkEnd w:id="9"/>
    </w:p>
    <w:p w:rsidR="0024754E" w:rsidRDefault="007C4B18" w:rsidP="007450EE">
      <w:pPr>
        <w:rPr>
          <w:rFonts w:asciiTheme="minorHAnsi" w:hAnsiTheme="minorHAnsi" w:cstheme="minorHAnsi"/>
          <w:lang w:val="en-GB"/>
        </w:rPr>
      </w:pPr>
      <w:r>
        <w:rPr>
          <w:rFonts w:asciiTheme="minorHAnsi" w:hAnsiTheme="minorHAnsi" w:cstheme="minorHAnsi"/>
          <w:lang w:val="en-GB"/>
        </w:rPr>
        <w:t xml:space="preserve">The </w:t>
      </w:r>
      <w:r w:rsidR="009A0343">
        <w:rPr>
          <w:rFonts w:asciiTheme="minorHAnsi" w:hAnsiTheme="minorHAnsi" w:cstheme="minorHAnsi"/>
          <w:lang w:val="en-GB"/>
        </w:rPr>
        <w:t>objective</w:t>
      </w:r>
      <w:r w:rsidR="006A0040">
        <w:rPr>
          <w:rFonts w:asciiTheme="minorHAnsi" w:hAnsiTheme="minorHAnsi" w:cstheme="minorHAnsi"/>
          <w:lang w:val="en-GB"/>
        </w:rPr>
        <w:t xml:space="preserve"> of this</w:t>
      </w:r>
      <w:r w:rsidR="0015595E">
        <w:rPr>
          <w:rFonts w:asciiTheme="minorHAnsi" w:hAnsiTheme="minorHAnsi" w:cstheme="minorHAnsi"/>
          <w:lang w:val="en-GB"/>
        </w:rPr>
        <w:t xml:space="preserve"> </w:t>
      </w:r>
      <w:r w:rsidR="006E1D20">
        <w:rPr>
          <w:rFonts w:asciiTheme="minorHAnsi" w:hAnsiTheme="minorHAnsi" w:cstheme="minorHAnsi"/>
          <w:lang w:val="en-GB"/>
        </w:rPr>
        <w:t>Delivery Strategy</w:t>
      </w:r>
      <w:r w:rsidR="0015595E" w:rsidRPr="0015595E">
        <w:rPr>
          <w:rFonts w:asciiTheme="minorHAnsi" w:hAnsiTheme="minorHAnsi" w:cstheme="minorHAnsi"/>
          <w:lang w:val="en-GB"/>
        </w:rPr>
        <w:t xml:space="preserve"> </w:t>
      </w:r>
      <w:r w:rsidR="00D56930">
        <w:rPr>
          <w:rFonts w:asciiTheme="minorHAnsi" w:hAnsiTheme="minorHAnsi" w:cstheme="minorHAnsi"/>
          <w:lang w:val="en-GB"/>
        </w:rPr>
        <w:t>is to</w:t>
      </w:r>
      <w:r w:rsidR="0015595E" w:rsidRPr="0015595E">
        <w:rPr>
          <w:rFonts w:asciiTheme="minorHAnsi" w:hAnsiTheme="minorHAnsi" w:cstheme="minorHAnsi"/>
          <w:lang w:val="en-GB"/>
        </w:rPr>
        <w:t xml:space="preserve"> provide a </w:t>
      </w:r>
      <w:r w:rsidR="009A0343">
        <w:rPr>
          <w:rFonts w:asciiTheme="minorHAnsi" w:hAnsiTheme="minorHAnsi" w:cstheme="minorHAnsi"/>
          <w:lang w:val="en-GB"/>
        </w:rPr>
        <w:t xml:space="preserve">medium-term </w:t>
      </w:r>
      <w:r w:rsidR="0015595E" w:rsidRPr="0015595E">
        <w:rPr>
          <w:rFonts w:asciiTheme="minorHAnsi" w:hAnsiTheme="minorHAnsi" w:cstheme="minorHAnsi"/>
          <w:lang w:val="en-GB"/>
        </w:rPr>
        <w:t xml:space="preserve">framework to help strengthen </w:t>
      </w:r>
      <w:r w:rsidR="009A0343">
        <w:rPr>
          <w:rFonts w:asciiTheme="minorHAnsi" w:hAnsiTheme="minorHAnsi" w:cstheme="minorHAnsi"/>
          <w:lang w:val="en-GB"/>
        </w:rPr>
        <w:t>GoT</w:t>
      </w:r>
      <w:r w:rsidR="0015595E" w:rsidRPr="0015595E">
        <w:rPr>
          <w:rFonts w:asciiTheme="minorHAnsi" w:hAnsiTheme="minorHAnsi" w:cstheme="minorHAnsi"/>
          <w:lang w:val="en-GB"/>
        </w:rPr>
        <w:t xml:space="preserve"> systems to deliver development results</w:t>
      </w:r>
      <w:r w:rsidR="00104358">
        <w:rPr>
          <w:rFonts w:asciiTheme="minorHAnsi" w:hAnsiTheme="minorHAnsi" w:cstheme="minorHAnsi"/>
          <w:lang w:val="en-GB"/>
        </w:rPr>
        <w:t>.</w:t>
      </w:r>
      <w:r w:rsidR="009A0343">
        <w:rPr>
          <w:rFonts w:asciiTheme="minorHAnsi" w:hAnsiTheme="minorHAnsi" w:cstheme="minorHAnsi"/>
          <w:lang w:val="en-GB"/>
        </w:rPr>
        <w:t xml:space="preserve"> Th</w:t>
      </w:r>
      <w:r w:rsidR="00F9607A">
        <w:rPr>
          <w:rFonts w:asciiTheme="minorHAnsi" w:hAnsiTheme="minorHAnsi" w:cstheme="minorHAnsi"/>
          <w:lang w:val="en-GB"/>
        </w:rPr>
        <w:t>e</w:t>
      </w:r>
      <w:r w:rsidR="009A0343">
        <w:rPr>
          <w:rFonts w:asciiTheme="minorHAnsi" w:hAnsiTheme="minorHAnsi" w:cstheme="minorHAnsi"/>
          <w:lang w:val="en-GB"/>
        </w:rPr>
        <w:t xml:space="preserve"> </w:t>
      </w:r>
      <w:r w:rsidR="006E1D20">
        <w:rPr>
          <w:rFonts w:asciiTheme="minorHAnsi" w:hAnsiTheme="minorHAnsi" w:cstheme="minorHAnsi"/>
          <w:lang w:val="en-GB"/>
        </w:rPr>
        <w:t>Delivery Strategy</w:t>
      </w:r>
      <w:r w:rsidR="009A0343">
        <w:rPr>
          <w:rFonts w:asciiTheme="minorHAnsi" w:hAnsiTheme="minorHAnsi" w:cstheme="minorHAnsi"/>
          <w:lang w:val="en-GB"/>
        </w:rPr>
        <w:t xml:space="preserve"> encompasses all of </w:t>
      </w:r>
      <w:r w:rsidR="000F5A87">
        <w:rPr>
          <w:rFonts w:asciiTheme="minorHAnsi" w:hAnsiTheme="minorHAnsi" w:cstheme="minorHAnsi"/>
          <w:lang w:val="en-GB"/>
        </w:rPr>
        <w:t>AusAID</w:t>
      </w:r>
      <w:r w:rsidR="00CB29C9">
        <w:rPr>
          <w:rFonts w:asciiTheme="minorHAnsi" w:hAnsiTheme="minorHAnsi" w:cstheme="minorHAnsi"/>
          <w:lang w:val="en-GB"/>
        </w:rPr>
        <w:t>’s activities in</w:t>
      </w:r>
      <w:r w:rsidR="009A0343">
        <w:rPr>
          <w:rFonts w:asciiTheme="minorHAnsi" w:hAnsiTheme="minorHAnsi" w:cstheme="minorHAnsi"/>
          <w:lang w:val="en-GB"/>
        </w:rPr>
        <w:t xml:space="preserve"> support of Outcome One</w:t>
      </w:r>
      <w:r w:rsidR="003107EF">
        <w:rPr>
          <w:rFonts w:asciiTheme="minorHAnsi" w:hAnsiTheme="minorHAnsi" w:cstheme="minorHAnsi"/>
          <w:lang w:val="en-GB"/>
        </w:rPr>
        <w:t xml:space="preserve"> of the Tonga </w:t>
      </w:r>
      <w:r w:rsidR="00F9607A">
        <w:rPr>
          <w:rFonts w:asciiTheme="minorHAnsi" w:hAnsiTheme="minorHAnsi" w:cstheme="minorHAnsi"/>
          <w:lang w:val="en-GB"/>
        </w:rPr>
        <w:t>Australia Partnership for Development</w:t>
      </w:r>
      <w:r w:rsidR="009A0343">
        <w:rPr>
          <w:rFonts w:asciiTheme="minorHAnsi" w:hAnsiTheme="minorHAnsi" w:cstheme="minorHAnsi"/>
          <w:lang w:val="en-GB"/>
        </w:rPr>
        <w:t>.</w:t>
      </w:r>
      <w:r w:rsidR="00C40E37">
        <w:rPr>
          <w:rFonts w:asciiTheme="minorHAnsi" w:hAnsiTheme="minorHAnsi" w:cstheme="minorHAnsi"/>
          <w:lang w:val="en-GB"/>
        </w:rPr>
        <w:t xml:space="preserve"> </w:t>
      </w:r>
      <w:r w:rsidR="009A0343">
        <w:rPr>
          <w:rFonts w:asciiTheme="minorHAnsi" w:hAnsiTheme="minorHAnsi" w:cstheme="minorHAnsi"/>
          <w:lang w:val="en-GB"/>
        </w:rPr>
        <w:t xml:space="preserve"> </w:t>
      </w:r>
    </w:p>
    <w:p w:rsidR="0024754E" w:rsidRDefault="0024754E" w:rsidP="007450EE">
      <w:pPr>
        <w:rPr>
          <w:rFonts w:asciiTheme="minorHAnsi" w:hAnsiTheme="minorHAnsi" w:cstheme="minorHAnsi"/>
          <w:lang w:val="en-GB"/>
        </w:rPr>
      </w:pPr>
    </w:p>
    <w:p w:rsidR="001862CB" w:rsidRDefault="00C40E37" w:rsidP="007450EE">
      <w:pPr>
        <w:rPr>
          <w:rFonts w:asciiTheme="minorHAnsi" w:hAnsiTheme="minorHAnsi" w:cstheme="minorHAnsi"/>
          <w:lang w:val="en-GB"/>
        </w:rPr>
      </w:pPr>
      <w:r>
        <w:rPr>
          <w:rFonts w:asciiTheme="minorHAnsi" w:hAnsiTheme="minorHAnsi" w:cstheme="minorHAnsi"/>
          <w:lang w:val="en-GB"/>
        </w:rPr>
        <w:t>Au</w:t>
      </w:r>
      <w:r w:rsidR="00702199">
        <w:rPr>
          <w:rFonts w:asciiTheme="minorHAnsi" w:hAnsiTheme="minorHAnsi" w:cstheme="minorHAnsi"/>
          <w:lang w:val="en-GB"/>
        </w:rPr>
        <w:t>sAID recognises</w:t>
      </w:r>
      <w:r>
        <w:rPr>
          <w:rFonts w:asciiTheme="minorHAnsi" w:hAnsiTheme="minorHAnsi" w:cstheme="minorHAnsi"/>
          <w:lang w:val="en-GB"/>
        </w:rPr>
        <w:t xml:space="preserve"> the</w:t>
      </w:r>
      <w:r w:rsidR="009A0343">
        <w:rPr>
          <w:rFonts w:asciiTheme="minorHAnsi" w:hAnsiTheme="minorHAnsi" w:cstheme="minorHAnsi"/>
          <w:lang w:val="en-GB"/>
        </w:rPr>
        <w:t xml:space="preserve"> need to improve the current strategic focus of support in economic and public sector governance in Tonga so that support is clearly linked to measurable targets and results.</w:t>
      </w:r>
      <w:r w:rsidR="00D52CFA">
        <w:rPr>
          <w:rFonts w:asciiTheme="minorHAnsi" w:hAnsiTheme="minorHAnsi" w:cstheme="minorHAnsi"/>
          <w:lang w:val="en-GB"/>
        </w:rPr>
        <w:t xml:space="preserve"> The </w:t>
      </w:r>
      <w:r w:rsidR="006E1D20">
        <w:rPr>
          <w:rFonts w:asciiTheme="minorHAnsi" w:hAnsiTheme="minorHAnsi" w:cstheme="minorHAnsi"/>
          <w:lang w:val="en-GB"/>
        </w:rPr>
        <w:t>Delivery Strategy</w:t>
      </w:r>
      <w:r w:rsidR="00D52CFA">
        <w:rPr>
          <w:rFonts w:asciiTheme="minorHAnsi" w:hAnsiTheme="minorHAnsi" w:cstheme="minorHAnsi"/>
          <w:lang w:val="en-GB"/>
        </w:rPr>
        <w:t xml:space="preserve"> aims to focus Australia’s support and make it more coherent and</w:t>
      </w:r>
      <w:r w:rsidR="00CA3485">
        <w:rPr>
          <w:rFonts w:asciiTheme="minorHAnsi" w:hAnsiTheme="minorHAnsi" w:cstheme="minorHAnsi"/>
          <w:lang w:val="en-GB"/>
        </w:rPr>
        <w:t xml:space="preserve"> improve reporting of results being achieved through Australian support</w:t>
      </w:r>
      <w:r w:rsidR="00D52CFA">
        <w:rPr>
          <w:rFonts w:asciiTheme="minorHAnsi" w:hAnsiTheme="minorHAnsi" w:cstheme="minorHAnsi"/>
          <w:lang w:val="en-GB"/>
        </w:rPr>
        <w:t xml:space="preserve">. </w:t>
      </w:r>
    </w:p>
    <w:p w:rsidR="001862CB" w:rsidRDefault="001862CB" w:rsidP="007450EE">
      <w:pPr>
        <w:rPr>
          <w:rFonts w:asciiTheme="minorHAnsi" w:hAnsiTheme="minorHAnsi" w:cstheme="minorHAnsi"/>
          <w:lang w:val="en-GB"/>
        </w:rPr>
      </w:pPr>
    </w:p>
    <w:p w:rsidR="001862CB" w:rsidRPr="008E48EA" w:rsidRDefault="001862CB" w:rsidP="00A11CCA">
      <w:pPr>
        <w:pStyle w:val="Heading2"/>
        <w:numPr>
          <w:ilvl w:val="1"/>
          <w:numId w:val="2"/>
        </w:numPr>
        <w:spacing w:before="0" w:after="240"/>
        <w:rPr>
          <w:sz w:val="24"/>
        </w:rPr>
      </w:pPr>
      <w:bookmarkStart w:id="10" w:name="_Toc356389365"/>
      <w:r w:rsidRPr="008E48EA">
        <w:rPr>
          <w:sz w:val="24"/>
        </w:rPr>
        <w:t>Theory of change workshop</w:t>
      </w:r>
      <w:bookmarkEnd w:id="10"/>
    </w:p>
    <w:p w:rsidR="009A0343" w:rsidRDefault="003107EF" w:rsidP="007450EE">
      <w:pPr>
        <w:rPr>
          <w:rFonts w:asciiTheme="minorHAnsi" w:hAnsiTheme="minorHAnsi" w:cstheme="minorHAnsi"/>
          <w:lang w:val="en-GB"/>
        </w:rPr>
      </w:pPr>
      <w:r>
        <w:rPr>
          <w:rFonts w:asciiTheme="minorHAnsi" w:hAnsiTheme="minorHAnsi" w:cstheme="minorHAnsi"/>
          <w:lang w:val="en-GB"/>
        </w:rPr>
        <w:t>On March 26 and 27</w:t>
      </w:r>
      <w:r w:rsidR="00C40E37">
        <w:rPr>
          <w:rFonts w:asciiTheme="minorHAnsi" w:hAnsiTheme="minorHAnsi" w:cstheme="minorHAnsi"/>
          <w:lang w:val="en-GB"/>
        </w:rPr>
        <w:t xml:space="preserve"> 2013, AusAID staff, GoT ministry officials and other stakeholders participated in a workshop to develop a robust, clear and logical theory of change for the </w:t>
      </w:r>
      <w:r w:rsidR="006E1D20">
        <w:rPr>
          <w:rFonts w:asciiTheme="minorHAnsi" w:hAnsiTheme="minorHAnsi" w:cstheme="minorHAnsi"/>
          <w:lang w:val="en-GB"/>
        </w:rPr>
        <w:t>Delivery Strategy</w:t>
      </w:r>
      <w:r w:rsidR="00C40E37">
        <w:rPr>
          <w:rFonts w:asciiTheme="minorHAnsi" w:hAnsiTheme="minorHAnsi" w:cstheme="minorHAnsi"/>
          <w:lang w:val="en-GB"/>
        </w:rPr>
        <w:t>.</w:t>
      </w:r>
      <w:r w:rsidR="00C51313">
        <w:rPr>
          <w:rFonts w:asciiTheme="minorHAnsi" w:hAnsiTheme="minorHAnsi" w:cstheme="minorHAnsi"/>
          <w:lang w:val="en-GB"/>
        </w:rPr>
        <w:t xml:space="preserve"> </w:t>
      </w:r>
      <w:r w:rsidR="005E00C8">
        <w:rPr>
          <w:rFonts w:asciiTheme="minorHAnsi" w:hAnsiTheme="minorHAnsi" w:cstheme="minorHAnsi"/>
          <w:lang w:val="en-GB"/>
        </w:rPr>
        <w:t>The theory of change aims to identify where Australia’s aid interventions can best contribute to the development outcomes identified in the TSDF and Partnership for Development.</w:t>
      </w:r>
    </w:p>
    <w:p w:rsidR="00035EDD" w:rsidRPr="00035EDD" w:rsidRDefault="0066720F" w:rsidP="007450EE">
      <w:pPr>
        <w:spacing w:before="240"/>
        <w:rPr>
          <w:rFonts w:asciiTheme="minorHAnsi" w:hAnsiTheme="minorHAnsi" w:cstheme="minorHAnsi"/>
          <w:lang w:val="en-GB"/>
        </w:rPr>
      </w:pPr>
      <w:r w:rsidRPr="0066720F">
        <w:rPr>
          <w:rFonts w:asciiTheme="minorHAnsi" w:hAnsiTheme="minorHAnsi" w:cstheme="minorHAnsi"/>
          <w:lang w:val="en-GB"/>
        </w:rPr>
        <w:t xml:space="preserve">The workshop used </w:t>
      </w:r>
      <w:r>
        <w:rPr>
          <w:rFonts w:asciiTheme="minorHAnsi" w:hAnsiTheme="minorHAnsi" w:cstheme="minorHAnsi"/>
          <w:lang w:val="en-GB"/>
        </w:rPr>
        <w:t>root cause analysis (RCA)</w:t>
      </w:r>
      <w:r w:rsidRPr="0066720F">
        <w:rPr>
          <w:rFonts w:asciiTheme="minorHAnsi" w:hAnsiTheme="minorHAnsi" w:cstheme="minorHAnsi"/>
          <w:lang w:val="en-GB"/>
        </w:rPr>
        <w:t xml:space="preserve"> to test the consensus amongst the participants around the nature, scope, causes and consequences of the development challenges in </w:t>
      </w:r>
      <w:r w:rsidR="00C51313">
        <w:rPr>
          <w:rFonts w:asciiTheme="minorHAnsi" w:hAnsiTheme="minorHAnsi" w:cstheme="minorHAnsi"/>
          <w:lang w:val="en-GB"/>
        </w:rPr>
        <w:t xml:space="preserve">EPSG. </w:t>
      </w:r>
      <w:r w:rsidRPr="0066720F">
        <w:rPr>
          <w:rFonts w:asciiTheme="minorHAnsi" w:hAnsiTheme="minorHAnsi" w:cstheme="minorHAnsi"/>
          <w:lang w:val="en-GB"/>
        </w:rPr>
        <w:t>The consensus RCA is presented in Annex</w:t>
      </w:r>
      <w:r w:rsidR="00A51316">
        <w:rPr>
          <w:rFonts w:asciiTheme="minorHAnsi" w:hAnsiTheme="minorHAnsi" w:cstheme="minorHAnsi"/>
          <w:lang w:val="en-GB"/>
        </w:rPr>
        <w:t xml:space="preserve"> </w:t>
      </w:r>
      <w:r w:rsidR="005D53AE">
        <w:rPr>
          <w:rFonts w:asciiTheme="minorHAnsi" w:hAnsiTheme="minorHAnsi" w:cstheme="minorHAnsi"/>
          <w:lang w:val="en-GB"/>
        </w:rPr>
        <w:t>5</w:t>
      </w:r>
      <w:r w:rsidR="00035EDD">
        <w:rPr>
          <w:rFonts w:asciiTheme="minorHAnsi" w:hAnsiTheme="minorHAnsi" w:cstheme="minorHAnsi"/>
          <w:lang w:val="en-GB"/>
        </w:rPr>
        <w:t xml:space="preserve">. </w:t>
      </w:r>
      <w:r w:rsidR="00035EDD" w:rsidRPr="00035EDD">
        <w:rPr>
          <w:rFonts w:asciiTheme="minorHAnsi" w:hAnsiTheme="minorHAnsi" w:cstheme="minorHAnsi"/>
          <w:lang w:val="en-GB"/>
        </w:rPr>
        <w:t xml:space="preserve">This </w:t>
      </w:r>
      <w:r w:rsidR="001A082B">
        <w:rPr>
          <w:rFonts w:asciiTheme="minorHAnsi" w:hAnsiTheme="minorHAnsi" w:cstheme="minorHAnsi"/>
          <w:lang w:val="en-GB"/>
        </w:rPr>
        <w:t xml:space="preserve">RCA </w:t>
      </w:r>
      <w:r w:rsidR="00035EDD" w:rsidRPr="00035EDD">
        <w:rPr>
          <w:rFonts w:asciiTheme="minorHAnsi" w:hAnsiTheme="minorHAnsi" w:cstheme="minorHAnsi"/>
          <w:lang w:val="en-GB"/>
        </w:rPr>
        <w:t xml:space="preserve">was used to identify workshop participant perceptions of the capacity of Australian </w:t>
      </w:r>
      <w:r w:rsidR="00A51316">
        <w:rPr>
          <w:rFonts w:asciiTheme="minorHAnsi" w:hAnsiTheme="minorHAnsi" w:cstheme="minorHAnsi"/>
          <w:lang w:val="en-GB"/>
        </w:rPr>
        <w:t>a</w:t>
      </w:r>
      <w:r w:rsidR="00035EDD" w:rsidRPr="00035EDD">
        <w:rPr>
          <w:rFonts w:asciiTheme="minorHAnsi" w:hAnsiTheme="minorHAnsi" w:cstheme="minorHAnsi"/>
          <w:lang w:val="en-GB"/>
        </w:rPr>
        <w:t xml:space="preserve">id to contribute to EPSG reform through the </w:t>
      </w:r>
      <w:r w:rsidR="006E1D20">
        <w:rPr>
          <w:rFonts w:asciiTheme="minorHAnsi" w:hAnsiTheme="minorHAnsi" w:cstheme="minorHAnsi"/>
          <w:lang w:val="en-GB"/>
        </w:rPr>
        <w:t>Delivery Strategy</w:t>
      </w:r>
      <w:r w:rsidR="00035EDD" w:rsidRPr="00035EDD">
        <w:rPr>
          <w:rFonts w:asciiTheme="minorHAnsi" w:hAnsiTheme="minorHAnsi" w:cstheme="minorHAnsi"/>
          <w:lang w:val="en-GB"/>
        </w:rPr>
        <w:t>.  The consensus RCA:</w:t>
      </w:r>
    </w:p>
    <w:p w:rsidR="00035EDD" w:rsidRPr="00035EDD" w:rsidRDefault="00035EDD" w:rsidP="00A11CCA">
      <w:pPr>
        <w:numPr>
          <w:ilvl w:val="0"/>
          <w:numId w:val="9"/>
        </w:numPr>
        <w:ind w:left="284" w:hanging="284"/>
        <w:contextualSpacing/>
        <w:rPr>
          <w:rFonts w:asciiTheme="minorHAnsi" w:hAnsiTheme="minorHAnsi" w:cstheme="minorHAnsi"/>
          <w:lang w:val="en-GB"/>
        </w:rPr>
      </w:pPr>
      <w:r w:rsidRPr="00035EDD">
        <w:rPr>
          <w:rFonts w:asciiTheme="minorHAnsi" w:hAnsiTheme="minorHAnsi" w:cstheme="minorHAnsi"/>
          <w:lang w:val="en-GB"/>
        </w:rPr>
        <w:t xml:space="preserve">confirms the relevance of priorities identified in the PFM Roadmap and the </w:t>
      </w:r>
      <w:r w:rsidR="00A51316">
        <w:rPr>
          <w:rFonts w:asciiTheme="minorHAnsi" w:hAnsiTheme="minorHAnsi" w:cstheme="minorHAnsi"/>
          <w:lang w:val="en-GB"/>
        </w:rPr>
        <w:t>P</w:t>
      </w:r>
      <w:r w:rsidR="00F27ED2">
        <w:rPr>
          <w:rFonts w:asciiTheme="minorHAnsi" w:hAnsiTheme="minorHAnsi" w:cstheme="minorHAnsi"/>
          <w:lang w:val="en-GB"/>
        </w:rPr>
        <w:t xml:space="preserve">olicy </w:t>
      </w:r>
      <w:r w:rsidR="00A51316">
        <w:rPr>
          <w:rFonts w:asciiTheme="minorHAnsi" w:hAnsiTheme="minorHAnsi" w:cstheme="minorHAnsi"/>
          <w:lang w:val="en-GB"/>
        </w:rPr>
        <w:t>R</w:t>
      </w:r>
      <w:r w:rsidR="00F27ED2">
        <w:rPr>
          <w:rFonts w:asciiTheme="minorHAnsi" w:hAnsiTheme="minorHAnsi" w:cstheme="minorHAnsi"/>
          <w:lang w:val="en-GB"/>
        </w:rPr>
        <w:t xml:space="preserve">eform </w:t>
      </w:r>
      <w:r w:rsidR="00A51316">
        <w:rPr>
          <w:rFonts w:asciiTheme="minorHAnsi" w:hAnsiTheme="minorHAnsi" w:cstheme="minorHAnsi"/>
          <w:lang w:val="en-GB"/>
        </w:rPr>
        <w:t>M</w:t>
      </w:r>
      <w:r w:rsidR="00F27ED2">
        <w:rPr>
          <w:rFonts w:asciiTheme="minorHAnsi" w:hAnsiTheme="minorHAnsi" w:cstheme="minorHAnsi"/>
          <w:lang w:val="en-GB"/>
        </w:rPr>
        <w:t>atrix</w:t>
      </w:r>
      <w:r w:rsidRPr="00035EDD">
        <w:rPr>
          <w:rFonts w:asciiTheme="minorHAnsi" w:hAnsiTheme="minorHAnsi" w:cstheme="minorHAnsi"/>
          <w:lang w:val="en-GB"/>
        </w:rPr>
        <w:t>;</w:t>
      </w:r>
    </w:p>
    <w:p w:rsidR="00035EDD" w:rsidRPr="00035EDD" w:rsidRDefault="00035EDD" w:rsidP="00A11CCA">
      <w:pPr>
        <w:numPr>
          <w:ilvl w:val="0"/>
          <w:numId w:val="9"/>
        </w:numPr>
        <w:ind w:left="284" w:hanging="284"/>
        <w:contextualSpacing/>
        <w:rPr>
          <w:rFonts w:asciiTheme="minorHAnsi" w:hAnsiTheme="minorHAnsi" w:cstheme="minorHAnsi"/>
          <w:lang w:val="en-GB"/>
        </w:rPr>
      </w:pPr>
      <w:r w:rsidRPr="00035EDD">
        <w:rPr>
          <w:rFonts w:asciiTheme="minorHAnsi" w:hAnsiTheme="minorHAnsi" w:cstheme="minorHAnsi"/>
          <w:lang w:val="en-GB"/>
        </w:rPr>
        <w:t xml:space="preserve">confirms that there are causes of EPSG issues that can only be sensibly dealt with by Tongan stakeholders – for example </w:t>
      </w:r>
      <w:r w:rsidR="00A51316">
        <w:rPr>
          <w:rFonts w:asciiTheme="minorHAnsi" w:hAnsiTheme="minorHAnsi" w:cstheme="minorHAnsi"/>
          <w:lang w:val="en-GB"/>
        </w:rPr>
        <w:t>‘</w:t>
      </w:r>
      <w:r w:rsidR="005A27F3">
        <w:rPr>
          <w:rFonts w:asciiTheme="minorHAnsi" w:hAnsiTheme="minorHAnsi" w:cstheme="minorHAnsi"/>
          <w:lang w:val="en-GB"/>
        </w:rPr>
        <w:t>limited consequences for inconsistent use of Public Enterprises Act</w:t>
      </w:r>
      <w:r w:rsidR="00A51316">
        <w:rPr>
          <w:rFonts w:asciiTheme="minorHAnsi" w:hAnsiTheme="minorHAnsi" w:cstheme="minorHAnsi"/>
          <w:lang w:val="en-GB"/>
        </w:rPr>
        <w:t>’</w:t>
      </w:r>
      <w:r w:rsidRPr="00035EDD">
        <w:rPr>
          <w:rFonts w:asciiTheme="minorHAnsi" w:hAnsiTheme="minorHAnsi" w:cstheme="minorHAnsi"/>
          <w:lang w:val="en-GB"/>
        </w:rPr>
        <w:t>;</w:t>
      </w:r>
      <w:r w:rsidR="00722441">
        <w:rPr>
          <w:rFonts w:asciiTheme="minorHAnsi" w:hAnsiTheme="minorHAnsi" w:cstheme="minorHAnsi"/>
          <w:lang w:val="en-GB"/>
        </w:rPr>
        <w:t xml:space="preserve"> and</w:t>
      </w:r>
    </w:p>
    <w:p w:rsidR="00035EDD" w:rsidRDefault="00035EDD" w:rsidP="00A11CCA">
      <w:pPr>
        <w:numPr>
          <w:ilvl w:val="0"/>
          <w:numId w:val="9"/>
        </w:numPr>
        <w:ind w:left="284" w:hanging="284"/>
        <w:contextualSpacing/>
        <w:rPr>
          <w:rFonts w:asciiTheme="minorHAnsi" w:hAnsiTheme="minorHAnsi" w:cstheme="minorHAnsi"/>
          <w:lang w:val="en-GB"/>
        </w:rPr>
      </w:pPr>
      <w:r w:rsidRPr="00035EDD">
        <w:rPr>
          <w:rFonts w:asciiTheme="minorHAnsi" w:hAnsiTheme="minorHAnsi" w:cstheme="minorHAnsi"/>
          <w:lang w:val="en-GB"/>
        </w:rPr>
        <w:t>identifies some new areas where donors could make a contribution – for example supporting more effective communication of complex PFM and statistical information for senior decision makers in the Legislative Assembly and Cabinet, as well as supporting audit, statistical and procurement functions.</w:t>
      </w:r>
    </w:p>
    <w:p w:rsidR="001862CB" w:rsidRDefault="00835147" w:rsidP="007450EE">
      <w:pPr>
        <w:spacing w:before="240"/>
        <w:rPr>
          <w:rFonts w:asciiTheme="minorHAnsi" w:hAnsiTheme="minorHAnsi" w:cstheme="minorHAnsi"/>
          <w:lang w:val="en-GB"/>
        </w:rPr>
      </w:pPr>
      <w:r w:rsidRPr="00FD5654">
        <w:rPr>
          <w:rFonts w:asciiTheme="minorHAnsi" w:hAnsiTheme="minorHAnsi" w:cstheme="minorHAnsi"/>
          <w:lang w:val="en-GB"/>
        </w:rPr>
        <w:t xml:space="preserve">The workshop identified </w:t>
      </w:r>
      <w:r w:rsidR="000F2971">
        <w:rPr>
          <w:rFonts w:asciiTheme="minorHAnsi" w:hAnsiTheme="minorHAnsi" w:cstheme="minorHAnsi"/>
          <w:lang w:val="en-GB"/>
        </w:rPr>
        <w:t xml:space="preserve">four </w:t>
      </w:r>
      <w:r w:rsidRPr="00FD5654">
        <w:rPr>
          <w:rFonts w:asciiTheme="minorHAnsi" w:hAnsiTheme="minorHAnsi" w:cstheme="minorHAnsi"/>
          <w:lang w:val="en-GB"/>
        </w:rPr>
        <w:t xml:space="preserve">agreed end-of-strategy outcomes which help define success for this </w:t>
      </w:r>
      <w:r w:rsidR="006E1D20">
        <w:rPr>
          <w:rFonts w:asciiTheme="minorHAnsi" w:hAnsiTheme="minorHAnsi" w:cstheme="minorHAnsi"/>
          <w:lang w:val="en-GB"/>
        </w:rPr>
        <w:t>Delivery Strategy</w:t>
      </w:r>
      <w:r w:rsidR="00CA3485">
        <w:rPr>
          <w:rFonts w:asciiTheme="minorHAnsi" w:hAnsiTheme="minorHAnsi" w:cstheme="minorHAnsi"/>
          <w:lang w:val="en-GB"/>
        </w:rPr>
        <w:t>. A</w:t>
      </w:r>
      <w:r w:rsidRPr="00FD5654">
        <w:rPr>
          <w:rFonts w:asciiTheme="minorHAnsi" w:hAnsiTheme="minorHAnsi" w:cstheme="minorHAnsi"/>
          <w:lang w:val="en-GB"/>
        </w:rPr>
        <w:t xml:space="preserve"> series of intermediate outcomes </w:t>
      </w:r>
      <w:r w:rsidR="00CA3485">
        <w:rPr>
          <w:rFonts w:asciiTheme="minorHAnsi" w:hAnsiTheme="minorHAnsi" w:cstheme="minorHAnsi"/>
          <w:lang w:val="en-GB"/>
        </w:rPr>
        <w:t xml:space="preserve">have also been identified </w:t>
      </w:r>
      <w:r w:rsidRPr="00FD5654">
        <w:rPr>
          <w:rFonts w:asciiTheme="minorHAnsi" w:hAnsiTheme="minorHAnsi" w:cstheme="minorHAnsi"/>
          <w:lang w:val="en-GB"/>
        </w:rPr>
        <w:t>that can be reported on through program performance management and AusAID quality processes</w:t>
      </w:r>
      <w:r w:rsidR="00702199">
        <w:rPr>
          <w:rFonts w:asciiTheme="minorHAnsi" w:hAnsiTheme="minorHAnsi" w:cstheme="minorHAnsi"/>
          <w:lang w:val="en-GB"/>
        </w:rPr>
        <w:t xml:space="preserve"> (this is presented schematically </w:t>
      </w:r>
      <w:r w:rsidR="007A7D34">
        <w:rPr>
          <w:rFonts w:asciiTheme="minorHAnsi" w:hAnsiTheme="minorHAnsi" w:cstheme="minorHAnsi"/>
          <w:lang w:val="en-GB"/>
        </w:rPr>
        <w:t>in</w:t>
      </w:r>
      <w:r w:rsidR="00702199">
        <w:rPr>
          <w:rFonts w:asciiTheme="minorHAnsi" w:hAnsiTheme="minorHAnsi" w:cstheme="minorHAnsi"/>
          <w:lang w:val="en-GB"/>
        </w:rPr>
        <w:t xml:space="preserve"> Annex </w:t>
      </w:r>
      <w:r w:rsidR="005D53AE">
        <w:rPr>
          <w:rFonts w:asciiTheme="minorHAnsi" w:hAnsiTheme="minorHAnsi" w:cstheme="minorHAnsi"/>
          <w:lang w:val="en-GB"/>
        </w:rPr>
        <w:t>6</w:t>
      </w:r>
      <w:r w:rsidR="00702199">
        <w:rPr>
          <w:rFonts w:asciiTheme="minorHAnsi" w:hAnsiTheme="minorHAnsi" w:cstheme="minorHAnsi"/>
          <w:lang w:val="en-GB"/>
        </w:rPr>
        <w:t>)</w:t>
      </w:r>
      <w:r w:rsidRPr="00FD5654">
        <w:rPr>
          <w:rFonts w:asciiTheme="minorHAnsi" w:hAnsiTheme="minorHAnsi" w:cstheme="minorHAnsi"/>
          <w:lang w:val="en-GB"/>
        </w:rPr>
        <w:t>.</w:t>
      </w:r>
      <w:r w:rsidR="00AB70BA">
        <w:rPr>
          <w:rFonts w:asciiTheme="minorHAnsi" w:hAnsiTheme="minorHAnsi" w:cstheme="minorHAnsi"/>
          <w:lang w:val="en-GB"/>
        </w:rPr>
        <w:t xml:space="preserve"> </w:t>
      </w:r>
      <w:r w:rsidR="007A7D34">
        <w:rPr>
          <w:rFonts w:asciiTheme="minorHAnsi" w:hAnsiTheme="minorHAnsi" w:cstheme="minorHAnsi"/>
          <w:lang w:val="en-GB"/>
        </w:rPr>
        <w:t>These outcomes are not additional to, but rather contribute to</w:t>
      </w:r>
      <w:r w:rsidR="000B1DC1">
        <w:rPr>
          <w:rFonts w:asciiTheme="minorHAnsi" w:hAnsiTheme="minorHAnsi" w:cstheme="minorHAnsi"/>
          <w:lang w:val="en-GB"/>
        </w:rPr>
        <w:t>,</w:t>
      </w:r>
      <w:r w:rsidR="007A7D34">
        <w:rPr>
          <w:rFonts w:asciiTheme="minorHAnsi" w:hAnsiTheme="minorHAnsi" w:cstheme="minorHAnsi"/>
          <w:lang w:val="en-GB"/>
        </w:rPr>
        <w:t xml:space="preserve"> on-going efforts supported by othe</w:t>
      </w:r>
      <w:r w:rsidR="006E7E2E">
        <w:rPr>
          <w:rFonts w:asciiTheme="minorHAnsi" w:hAnsiTheme="minorHAnsi" w:cstheme="minorHAnsi"/>
          <w:lang w:val="en-GB"/>
        </w:rPr>
        <w:t xml:space="preserve">r donors and the GoT under the </w:t>
      </w:r>
      <w:r w:rsidR="00A51316">
        <w:rPr>
          <w:rFonts w:asciiTheme="minorHAnsi" w:hAnsiTheme="minorHAnsi" w:cstheme="minorHAnsi"/>
          <w:lang w:val="en-GB"/>
        </w:rPr>
        <w:t>P</w:t>
      </w:r>
      <w:r w:rsidR="00F27ED2">
        <w:rPr>
          <w:rFonts w:asciiTheme="minorHAnsi" w:hAnsiTheme="minorHAnsi" w:cstheme="minorHAnsi"/>
          <w:lang w:val="en-GB"/>
        </w:rPr>
        <w:t xml:space="preserve">olicy </w:t>
      </w:r>
      <w:r w:rsidR="00A51316">
        <w:rPr>
          <w:rFonts w:asciiTheme="minorHAnsi" w:hAnsiTheme="minorHAnsi" w:cstheme="minorHAnsi"/>
          <w:lang w:val="en-GB"/>
        </w:rPr>
        <w:t>R</w:t>
      </w:r>
      <w:r w:rsidR="00F27ED2">
        <w:rPr>
          <w:rFonts w:asciiTheme="minorHAnsi" w:hAnsiTheme="minorHAnsi" w:cstheme="minorHAnsi"/>
          <w:lang w:val="en-GB"/>
        </w:rPr>
        <w:t xml:space="preserve">eform </w:t>
      </w:r>
      <w:r w:rsidR="00A51316">
        <w:rPr>
          <w:rFonts w:asciiTheme="minorHAnsi" w:hAnsiTheme="minorHAnsi" w:cstheme="minorHAnsi"/>
          <w:lang w:val="en-GB"/>
        </w:rPr>
        <w:t>M</w:t>
      </w:r>
      <w:r w:rsidR="00F27ED2">
        <w:rPr>
          <w:rFonts w:asciiTheme="minorHAnsi" w:hAnsiTheme="minorHAnsi" w:cstheme="minorHAnsi"/>
          <w:lang w:val="en-GB"/>
        </w:rPr>
        <w:t>atrix</w:t>
      </w:r>
      <w:r w:rsidR="007A7D34">
        <w:rPr>
          <w:rFonts w:asciiTheme="minorHAnsi" w:hAnsiTheme="minorHAnsi" w:cstheme="minorHAnsi"/>
          <w:lang w:val="en-GB"/>
        </w:rPr>
        <w:t>.</w:t>
      </w:r>
      <w:r w:rsidR="000B1DC1">
        <w:rPr>
          <w:rFonts w:asciiTheme="minorHAnsi" w:hAnsiTheme="minorHAnsi" w:cstheme="minorHAnsi"/>
          <w:lang w:val="en-GB"/>
        </w:rPr>
        <w:t xml:space="preserve"> </w:t>
      </w:r>
    </w:p>
    <w:p w:rsidR="001862CB" w:rsidRPr="008E48EA" w:rsidRDefault="001862CB" w:rsidP="00A11CCA">
      <w:pPr>
        <w:pStyle w:val="Heading2"/>
        <w:numPr>
          <w:ilvl w:val="1"/>
          <w:numId w:val="2"/>
        </w:numPr>
        <w:spacing w:after="240"/>
        <w:rPr>
          <w:sz w:val="24"/>
        </w:rPr>
      </w:pPr>
      <w:bookmarkStart w:id="11" w:name="_Toc356389366"/>
      <w:r w:rsidRPr="008E48EA">
        <w:rPr>
          <w:sz w:val="24"/>
        </w:rPr>
        <w:t>End-of-strategy outcomes</w:t>
      </w:r>
      <w:bookmarkEnd w:id="11"/>
    </w:p>
    <w:p w:rsidR="007005E6" w:rsidRPr="006241B3" w:rsidRDefault="007005E6" w:rsidP="007005E6">
      <w:pPr>
        <w:rPr>
          <w:rFonts w:asciiTheme="minorHAnsi" w:hAnsiTheme="minorHAnsi" w:cstheme="minorHAnsi"/>
        </w:rPr>
      </w:pPr>
      <w:r w:rsidRPr="006241B3">
        <w:rPr>
          <w:rFonts w:asciiTheme="minorHAnsi" w:hAnsiTheme="minorHAnsi" w:cstheme="minorHAnsi"/>
        </w:rPr>
        <w:t xml:space="preserve">This Delivery Strategy builds on an established program of support to the GoT based on a credible GoT-led reform program. AusAID will continue to provide assistance to the GoT in areas where there is a demonstrated commitment to reform and where the operational environment </w:t>
      </w:r>
      <w:r w:rsidR="00372671" w:rsidRPr="006241B3">
        <w:rPr>
          <w:rFonts w:asciiTheme="minorHAnsi" w:hAnsiTheme="minorHAnsi" w:cstheme="minorHAnsi"/>
        </w:rPr>
        <w:t>exists to enable AusAID to contribute effectively to institutional change</w:t>
      </w:r>
      <w:r w:rsidRPr="006241B3">
        <w:rPr>
          <w:rFonts w:asciiTheme="minorHAnsi" w:hAnsiTheme="minorHAnsi" w:cstheme="minorHAnsi"/>
        </w:rPr>
        <w:t xml:space="preserve">. </w:t>
      </w:r>
    </w:p>
    <w:p w:rsidR="007005E6" w:rsidRPr="007005E6" w:rsidRDefault="007005E6" w:rsidP="007005E6">
      <w:pPr>
        <w:rPr>
          <w:rFonts w:asciiTheme="minorHAnsi" w:hAnsiTheme="minorHAnsi" w:cstheme="minorHAnsi"/>
          <w:color w:val="FF0000"/>
        </w:rPr>
      </w:pPr>
    </w:p>
    <w:p w:rsidR="007005E6" w:rsidRDefault="00C9745D" w:rsidP="001862CB">
      <w:pPr>
        <w:rPr>
          <w:rFonts w:asciiTheme="minorHAnsi" w:hAnsiTheme="minorHAnsi" w:cstheme="minorHAnsi"/>
          <w:lang w:val="en-GB"/>
        </w:rPr>
      </w:pPr>
      <w:r w:rsidRPr="00C415C7">
        <w:rPr>
          <w:rFonts w:asciiTheme="minorHAnsi" w:hAnsiTheme="minorHAnsi" w:cstheme="minorHAnsi"/>
          <w:lang w:val="en-GB"/>
        </w:rPr>
        <w:t xml:space="preserve">Australia’s engagement in support of economic and public sector governance in Tonga will be provided </w:t>
      </w:r>
      <w:r w:rsidR="001B3521" w:rsidRPr="00C415C7">
        <w:rPr>
          <w:rFonts w:asciiTheme="minorHAnsi" w:hAnsiTheme="minorHAnsi" w:cstheme="minorHAnsi"/>
          <w:lang w:val="en-GB"/>
        </w:rPr>
        <w:t xml:space="preserve">under </w:t>
      </w:r>
      <w:r w:rsidRPr="00C415C7">
        <w:rPr>
          <w:rFonts w:asciiTheme="minorHAnsi" w:hAnsiTheme="minorHAnsi" w:cstheme="minorHAnsi"/>
          <w:lang w:val="en-GB"/>
        </w:rPr>
        <w:t xml:space="preserve">four key pillars: public sector governance; economic </w:t>
      </w:r>
      <w:r w:rsidR="0032796B" w:rsidRPr="00C415C7">
        <w:rPr>
          <w:rFonts w:asciiTheme="minorHAnsi" w:hAnsiTheme="minorHAnsi" w:cstheme="minorHAnsi"/>
          <w:lang w:val="en-GB"/>
        </w:rPr>
        <w:t xml:space="preserve">and financial </w:t>
      </w:r>
      <w:r w:rsidRPr="00C415C7">
        <w:rPr>
          <w:rFonts w:asciiTheme="minorHAnsi" w:hAnsiTheme="minorHAnsi" w:cstheme="minorHAnsi"/>
          <w:lang w:val="en-GB"/>
        </w:rPr>
        <w:t>governance; business enabling environment, and; effective aid through alignment, harmonisation and mutual accountability.</w:t>
      </w:r>
      <w:r w:rsidR="00E832D0">
        <w:rPr>
          <w:rFonts w:asciiTheme="minorHAnsi" w:hAnsiTheme="minorHAnsi" w:cstheme="minorHAnsi"/>
          <w:lang w:val="en-GB"/>
        </w:rPr>
        <w:t xml:space="preserve"> These pillars are loosely aligned with the four enabling themes of the GoT’s TSDF.</w:t>
      </w:r>
    </w:p>
    <w:p w:rsidR="007005E6" w:rsidRDefault="007005E6" w:rsidP="007005E6">
      <w:pPr>
        <w:rPr>
          <w:rFonts w:asciiTheme="minorHAnsi" w:hAnsiTheme="minorHAnsi" w:cstheme="minorHAnsi"/>
          <w:color w:val="FF0000"/>
        </w:rPr>
      </w:pPr>
    </w:p>
    <w:p w:rsidR="000B1DC1" w:rsidRDefault="00C9745D" w:rsidP="001862CB">
      <w:pPr>
        <w:rPr>
          <w:rFonts w:asciiTheme="minorHAnsi" w:hAnsiTheme="minorHAnsi" w:cstheme="minorHAnsi"/>
          <w:lang w:val="en-GB"/>
        </w:rPr>
      </w:pPr>
      <w:r w:rsidRPr="00C415C7">
        <w:rPr>
          <w:rFonts w:asciiTheme="minorHAnsi" w:hAnsiTheme="minorHAnsi" w:cstheme="minorHAnsi"/>
          <w:lang w:val="en-GB"/>
        </w:rPr>
        <w:t xml:space="preserve"> </w:t>
      </w:r>
      <w:r w:rsidR="00574D5E">
        <w:rPr>
          <w:rFonts w:asciiTheme="minorHAnsi" w:hAnsiTheme="minorHAnsi" w:cstheme="minorHAnsi"/>
          <w:lang w:val="en-GB"/>
        </w:rPr>
        <w:t>The four end-of-</w:t>
      </w:r>
      <w:r w:rsidR="007C1904">
        <w:rPr>
          <w:rFonts w:asciiTheme="minorHAnsi" w:hAnsiTheme="minorHAnsi" w:cstheme="minorHAnsi"/>
          <w:lang w:val="en-GB"/>
        </w:rPr>
        <w:t>strategy</w:t>
      </w:r>
      <w:r w:rsidR="00574D5E">
        <w:rPr>
          <w:rFonts w:asciiTheme="minorHAnsi" w:hAnsiTheme="minorHAnsi" w:cstheme="minorHAnsi"/>
          <w:lang w:val="en-GB"/>
        </w:rPr>
        <w:t xml:space="preserve"> outcomes</w:t>
      </w:r>
      <w:r w:rsidR="008A115A">
        <w:rPr>
          <w:rFonts w:asciiTheme="minorHAnsi" w:hAnsiTheme="minorHAnsi" w:cstheme="minorHAnsi"/>
          <w:lang w:val="en-GB"/>
        </w:rPr>
        <w:t xml:space="preserve"> (</w:t>
      </w:r>
      <w:r w:rsidR="00B44B30">
        <w:rPr>
          <w:rFonts w:asciiTheme="minorHAnsi" w:hAnsiTheme="minorHAnsi" w:cstheme="minorHAnsi"/>
          <w:lang w:val="en-GB"/>
        </w:rPr>
        <w:t>under each of the four pillars</w:t>
      </w:r>
      <w:r w:rsidR="008A115A">
        <w:rPr>
          <w:rFonts w:asciiTheme="minorHAnsi" w:hAnsiTheme="minorHAnsi" w:cstheme="minorHAnsi"/>
          <w:lang w:val="en-GB"/>
        </w:rPr>
        <w:t>)</w:t>
      </w:r>
      <w:r w:rsidR="001B3521">
        <w:rPr>
          <w:rFonts w:asciiTheme="minorHAnsi" w:hAnsiTheme="minorHAnsi" w:cstheme="minorHAnsi"/>
          <w:lang w:val="en-GB"/>
        </w:rPr>
        <w:t xml:space="preserve">, and the rationale underpinning each, are identified below. </w:t>
      </w:r>
    </w:p>
    <w:p w:rsidR="00574D5E" w:rsidRDefault="00574D5E" w:rsidP="007450EE">
      <w:pPr>
        <w:rPr>
          <w:rFonts w:asciiTheme="minorHAnsi" w:hAnsiTheme="minorHAnsi" w:cstheme="minorHAnsi"/>
        </w:rPr>
      </w:pPr>
    </w:p>
    <w:p w:rsidR="00DF7467" w:rsidRPr="00C415C7" w:rsidRDefault="004D6FF3" w:rsidP="00A11CCA">
      <w:pPr>
        <w:pStyle w:val="ListParagraph"/>
        <w:numPr>
          <w:ilvl w:val="0"/>
          <w:numId w:val="28"/>
        </w:numPr>
        <w:rPr>
          <w:rFonts w:cstheme="minorHAnsi"/>
          <w:sz w:val="32"/>
          <w:lang w:val="en-GB"/>
        </w:rPr>
      </w:pPr>
      <w:r w:rsidRPr="00C415C7">
        <w:rPr>
          <w:rFonts w:cstheme="minorHAnsi"/>
          <w:b/>
          <w:sz w:val="24"/>
        </w:rPr>
        <w:t>Public sector governance</w:t>
      </w:r>
      <w:r w:rsidR="00F73724" w:rsidRPr="00C415C7">
        <w:rPr>
          <w:rFonts w:cstheme="minorHAnsi"/>
          <w:b/>
          <w:sz w:val="24"/>
        </w:rPr>
        <w:t xml:space="preserve"> – </w:t>
      </w:r>
      <w:r w:rsidR="003C76CE" w:rsidRPr="00C415C7">
        <w:rPr>
          <w:rFonts w:cstheme="minorHAnsi"/>
          <w:b/>
          <w:sz w:val="24"/>
        </w:rPr>
        <w:t>Go</w:t>
      </w:r>
      <w:r w:rsidR="00586106" w:rsidRPr="00C415C7">
        <w:rPr>
          <w:rFonts w:cstheme="minorHAnsi"/>
          <w:b/>
          <w:sz w:val="24"/>
        </w:rPr>
        <w:t>T</w:t>
      </w:r>
      <w:r w:rsidR="003C76CE" w:rsidRPr="00C415C7">
        <w:rPr>
          <w:rFonts w:cstheme="minorHAnsi"/>
          <w:b/>
          <w:sz w:val="24"/>
        </w:rPr>
        <w:t xml:space="preserve"> agencies demonstrate measureable improvement in the efficiency </w:t>
      </w:r>
      <w:r w:rsidR="003C76CE" w:rsidRPr="00C415C7">
        <w:rPr>
          <w:rFonts w:cstheme="minorHAnsi"/>
          <w:b/>
          <w:sz w:val="24"/>
          <w:lang w:val="en-GB"/>
        </w:rPr>
        <w:t>of</w:t>
      </w:r>
      <w:r w:rsidR="003C76CE" w:rsidRPr="00C415C7">
        <w:rPr>
          <w:rFonts w:cstheme="minorHAnsi"/>
          <w:b/>
          <w:sz w:val="24"/>
        </w:rPr>
        <w:t xml:space="preserve"> public service delivery.</w:t>
      </w:r>
      <w:r w:rsidR="003C76CE" w:rsidRPr="00C415C7">
        <w:rPr>
          <w:rFonts w:cstheme="minorHAnsi"/>
          <w:sz w:val="24"/>
        </w:rPr>
        <w:t xml:space="preserve"> </w:t>
      </w:r>
    </w:p>
    <w:p w:rsidR="00BB6DEE" w:rsidRDefault="00F26FB2" w:rsidP="00837DC4">
      <w:pPr>
        <w:rPr>
          <w:rFonts w:asciiTheme="minorHAnsi" w:hAnsiTheme="minorHAnsi" w:cstheme="minorHAnsi"/>
          <w:lang w:val="en-GB"/>
        </w:rPr>
      </w:pPr>
      <w:r w:rsidRPr="00C415C7">
        <w:rPr>
          <w:rFonts w:asciiTheme="minorHAnsi" w:hAnsiTheme="minorHAnsi" w:cstheme="minorHAnsi"/>
          <w:lang w:val="en-GB"/>
        </w:rPr>
        <w:t>Tonga’s public service</w:t>
      </w:r>
      <w:r>
        <w:rPr>
          <w:rFonts w:asciiTheme="minorHAnsi" w:hAnsiTheme="minorHAnsi" w:cstheme="minorHAnsi"/>
          <w:lang w:val="en-GB"/>
        </w:rPr>
        <w:t xml:space="preserve"> faces a number of capacity constraints common to small island developing states</w:t>
      </w:r>
      <w:r w:rsidR="008114B0">
        <w:rPr>
          <w:rFonts w:asciiTheme="minorHAnsi" w:hAnsiTheme="minorHAnsi" w:cstheme="minorHAnsi"/>
          <w:lang w:val="en-GB"/>
        </w:rPr>
        <w:t xml:space="preserve"> (SIDS)</w:t>
      </w:r>
      <w:r>
        <w:rPr>
          <w:rFonts w:asciiTheme="minorHAnsi" w:hAnsiTheme="minorHAnsi" w:cstheme="minorHAnsi"/>
          <w:lang w:val="en-GB"/>
        </w:rPr>
        <w:t xml:space="preserve">, including a small pool of competent professionals and a high rate of emigration resulting from the global demand for skilled labour. </w:t>
      </w:r>
      <w:r w:rsidR="00223B99">
        <w:rPr>
          <w:rFonts w:asciiTheme="minorHAnsi" w:hAnsiTheme="minorHAnsi" w:cstheme="minorHAnsi"/>
          <w:lang w:val="en-GB"/>
        </w:rPr>
        <w:t>Tonga has historically faced major challenges in the management of its wage bill (leading the GoT to implement a partial hiring freeze since 2011). While wage increases have played a major part in driving expenditure increases, weak h</w:t>
      </w:r>
      <w:r w:rsidR="00E17A52">
        <w:rPr>
          <w:rFonts w:asciiTheme="minorHAnsi" w:hAnsiTheme="minorHAnsi" w:cstheme="minorHAnsi"/>
          <w:lang w:val="en-GB"/>
        </w:rPr>
        <w:t xml:space="preserve">uman resource planning </w:t>
      </w:r>
      <w:r w:rsidR="00223B99">
        <w:rPr>
          <w:rFonts w:asciiTheme="minorHAnsi" w:hAnsiTheme="minorHAnsi" w:cstheme="minorHAnsi"/>
          <w:lang w:val="en-GB"/>
        </w:rPr>
        <w:t xml:space="preserve">and inadequate central-agency control over recruitment by some agencies has led to unchecked expansion in the number of civil service positions. </w:t>
      </w:r>
    </w:p>
    <w:p w:rsidR="00BB6DEE" w:rsidRDefault="00BB6DEE" w:rsidP="00837DC4">
      <w:pPr>
        <w:rPr>
          <w:rFonts w:asciiTheme="minorHAnsi" w:hAnsiTheme="minorHAnsi" w:cstheme="minorHAnsi"/>
          <w:lang w:val="en-GB"/>
        </w:rPr>
      </w:pPr>
    </w:p>
    <w:p w:rsidR="00887E41" w:rsidRPr="00C415C7" w:rsidRDefault="00887E41" w:rsidP="00C415C7">
      <w:pPr>
        <w:rPr>
          <w:rFonts w:cstheme="minorHAnsi"/>
          <w:lang w:val="en-GB"/>
        </w:rPr>
      </w:pPr>
      <w:r>
        <w:rPr>
          <w:rFonts w:asciiTheme="minorHAnsi" w:hAnsiTheme="minorHAnsi" w:cstheme="minorHAnsi"/>
          <w:lang w:val="en-GB"/>
        </w:rPr>
        <w:t>This end-of-strategy outcome seeks to address these issues by focusing on strengthening capacity development and improving human resource planning.</w:t>
      </w:r>
      <w:r w:rsidR="00A91365">
        <w:rPr>
          <w:rFonts w:asciiTheme="minorHAnsi" w:hAnsiTheme="minorHAnsi" w:cstheme="minorHAnsi"/>
          <w:lang w:val="en-GB"/>
        </w:rPr>
        <w:t xml:space="preserve"> </w:t>
      </w:r>
      <w:r w:rsidR="00FD5307">
        <w:rPr>
          <w:rFonts w:asciiTheme="minorHAnsi" w:hAnsiTheme="minorHAnsi" w:cstheme="minorHAnsi"/>
          <w:lang w:val="en-GB"/>
        </w:rPr>
        <w:t>C</w:t>
      </w:r>
      <w:r w:rsidR="00A91365">
        <w:rPr>
          <w:rFonts w:asciiTheme="minorHAnsi" w:hAnsiTheme="minorHAnsi" w:cstheme="minorHAnsi"/>
          <w:lang w:val="en-GB"/>
        </w:rPr>
        <w:t xml:space="preserve">apacity development is focused on </w:t>
      </w:r>
      <w:r w:rsidR="00A91365" w:rsidRPr="005739E0">
        <w:rPr>
          <w:rFonts w:asciiTheme="minorHAnsi" w:hAnsiTheme="minorHAnsi" w:cstheme="minorHAnsi"/>
          <w:lang w:val="en-GB"/>
        </w:rPr>
        <w:t xml:space="preserve">building the competencies and capabilities of the </w:t>
      </w:r>
      <w:r w:rsidR="005739E0" w:rsidRPr="005739E0">
        <w:rPr>
          <w:rFonts w:asciiTheme="minorHAnsi" w:hAnsiTheme="minorHAnsi" w:cstheme="minorHAnsi"/>
          <w:lang w:val="en-GB"/>
        </w:rPr>
        <w:t xml:space="preserve">Tongan </w:t>
      </w:r>
      <w:r w:rsidR="00A91365" w:rsidRPr="005739E0">
        <w:rPr>
          <w:rFonts w:asciiTheme="minorHAnsi" w:hAnsiTheme="minorHAnsi" w:cstheme="minorHAnsi"/>
          <w:lang w:val="en-GB"/>
        </w:rPr>
        <w:t>public service</w:t>
      </w:r>
      <w:r w:rsidR="005739E0" w:rsidRPr="005739E0">
        <w:rPr>
          <w:rFonts w:asciiTheme="minorHAnsi" w:hAnsiTheme="minorHAnsi" w:cstheme="minorHAnsi"/>
          <w:lang w:val="en-GB"/>
        </w:rPr>
        <w:t xml:space="preserve">, with a view to generating </w:t>
      </w:r>
      <w:r w:rsidR="00A91365" w:rsidRPr="005739E0">
        <w:rPr>
          <w:rFonts w:asciiTheme="minorHAnsi" w:hAnsiTheme="minorHAnsi" w:cstheme="minorHAnsi"/>
          <w:lang w:val="en-GB"/>
        </w:rPr>
        <w:t>sustained and self-generating performance improvement.</w:t>
      </w:r>
      <w:r w:rsidR="005739E0" w:rsidRPr="005739E0">
        <w:rPr>
          <w:rFonts w:asciiTheme="minorHAnsi" w:hAnsiTheme="minorHAnsi" w:cstheme="minorHAnsi"/>
          <w:lang w:val="en-GB"/>
        </w:rPr>
        <w:t xml:space="preserve"> </w:t>
      </w:r>
      <w:r>
        <w:rPr>
          <w:rFonts w:asciiTheme="minorHAnsi" w:hAnsiTheme="minorHAnsi" w:cstheme="minorHAnsi"/>
          <w:lang w:val="en-GB"/>
        </w:rPr>
        <w:t xml:space="preserve">In particular, Australia will support on-going efforts by the GoT and other donors to strengthen management of the public sector wage bill and </w:t>
      </w:r>
      <w:r w:rsidR="00EE36E0">
        <w:rPr>
          <w:rFonts w:asciiTheme="minorHAnsi" w:hAnsiTheme="minorHAnsi" w:cstheme="minorHAnsi"/>
          <w:lang w:val="en-GB"/>
        </w:rPr>
        <w:t>strengthen</w:t>
      </w:r>
      <w:r>
        <w:rPr>
          <w:rFonts w:asciiTheme="minorHAnsi" w:hAnsiTheme="minorHAnsi" w:cstheme="minorHAnsi"/>
          <w:lang w:val="en-GB"/>
        </w:rPr>
        <w:t xml:space="preserve"> the capacity, operating environment and motivation of the Tonga public service to implement Corporate Plans that operationalise actions given priority in the TSDF, Policy Reform Matrix and PFM Roadmap.</w:t>
      </w:r>
      <w:r w:rsidR="009C7779">
        <w:rPr>
          <w:rFonts w:asciiTheme="minorHAnsi" w:hAnsiTheme="minorHAnsi" w:cstheme="minorHAnsi"/>
          <w:lang w:val="en-GB"/>
        </w:rPr>
        <w:t xml:space="preserve"> This support will build on the achievements made to date</w:t>
      </w:r>
      <w:r w:rsidR="004D230F">
        <w:rPr>
          <w:rFonts w:asciiTheme="minorHAnsi" w:hAnsiTheme="minorHAnsi" w:cstheme="minorHAnsi"/>
          <w:lang w:val="en-GB"/>
        </w:rPr>
        <w:t>,</w:t>
      </w:r>
      <w:r w:rsidR="001F2A7E">
        <w:rPr>
          <w:rFonts w:asciiTheme="minorHAnsi" w:hAnsiTheme="minorHAnsi" w:cstheme="minorHAnsi"/>
          <w:lang w:val="en-GB"/>
        </w:rPr>
        <w:t xml:space="preserve"> with the help of AusAID</w:t>
      </w:r>
      <w:r w:rsidR="004D230F">
        <w:rPr>
          <w:rFonts w:asciiTheme="minorHAnsi" w:hAnsiTheme="minorHAnsi" w:cstheme="minorHAnsi"/>
          <w:lang w:val="en-GB"/>
        </w:rPr>
        <w:t>,</w:t>
      </w:r>
      <w:r w:rsidR="009C7779">
        <w:rPr>
          <w:rFonts w:asciiTheme="minorHAnsi" w:hAnsiTheme="minorHAnsi" w:cstheme="minorHAnsi"/>
          <w:lang w:val="en-GB"/>
        </w:rPr>
        <w:t xml:space="preserve"> and the long-standing relationship between AusAID and both the PSC and MoFNP.</w:t>
      </w:r>
    </w:p>
    <w:p w:rsidR="00DF7467" w:rsidRDefault="00DF7467" w:rsidP="00C415C7">
      <w:pPr>
        <w:rPr>
          <w:rFonts w:cstheme="minorHAnsi"/>
        </w:rPr>
      </w:pPr>
    </w:p>
    <w:p w:rsidR="004F31C5" w:rsidRPr="00C415C7" w:rsidRDefault="004D6FF3" w:rsidP="00A11CCA">
      <w:pPr>
        <w:pStyle w:val="ListParagraph"/>
        <w:numPr>
          <w:ilvl w:val="0"/>
          <w:numId w:val="28"/>
        </w:numPr>
        <w:ind w:left="357" w:hanging="357"/>
        <w:contextualSpacing w:val="0"/>
        <w:rPr>
          <w:rFonts w:cstheme="minorHAnsi"/>
          <w:b/>
          <w:sz w:val="24"/>
        </w:rPr>
      </w:pPr>
      <w:r w:rsidRPr="00C415C7">
        <w:rPr>
          <w:rFonts w:cstheme="minorHAnsi"/>
          <w:b/>
          <w:sz w:val="24"/>
        </w:rPr>
        <w:t xml:space="preserve">Economic </w:t>
      </w:r>
      <w:r w:rsidR="0032796B" w:rsidRPr="00C415C7">
        <w:rPr>
          <w:rFonts w:cstheme="minorHAnsi"/>
          <w:b/>
          <w:sz w:val="24"/>
        </w:rPr>
        <w:t xml:space="preserve">and financial </w:t>
      </w:r>
      <w:r w:rsidRPr="00C415C7">
        <w:rPr>
          <w:rFonts w:cstheme="minorHAnsi"/>
          <w:b/>
          <w:sz w:val="24"/>
        </w:rPr>
        <w:t>governance</w:t>
      </w:r>
      <w:r w:rsidR="00F73724" w:rsidRPr="00C415C7">
        <w:rPr>
          <w:rFonts w:cstheme="minorHAnsi"/>
          <w:b/>
          <w:sz w:val="24"/>
        </w:rPr>
        <w:t xml:space="preserve"> –</w:t>
      </w:r>
      <w:r w:rsidR="007C1904" w:rsidRPr="00C415C7">
        <w:rPr>
          <w:rFonts w:cstheme="minorHAnsi"/>
          <w:b/>
          <w:sz w:val="24"/>
        </w:rPr>
        <w:t xml:space="preserve"> </w:t>
      </w:r>
      <w:r w:rsidR="00B772A1" w:rsidRPr="00C415C7">
        <w:rPr>
          <w:rFonts w:cstheme="minorHAnsi"/>
          <w:b/>
          <w:sz w:val="24"/>
        </w:rPr>
        <w:t>Go</w:t>
      </w:r>
      <w:r w:rsidR="002320FE" w:rsidRPr="00C415C7">
        <w:rPr>
          <w:rFonts w:cstheme="minorHAnsi"/>
          <w:b/>
          <w:sz w:val="24"/>
        </w:rPr>
        <w:t>T</w:t>
      </w:r>
      <w:r w:rsidR="00B772A1" w:rsidRPr="00C415C7">
        <w:rPr>
          <w:rFonts w:cstheme="minorHAnsi"/>
          <w:b/>
          <w:sz w:val="24"/>
        </w:rPr>
        <w:t xml:space="preserve"> agencies demonstrate measureable improvement in the allocation and use of public expenditure for TSDF priorities as well as sustainable revenue collection.</w:t>
      </w:r>
      <w:r w:rsidR="00EA17D7" w:rsidRPr="00C415C7">
        <w:rPr>
          <w:rFonts w:cstheme="minorHAnsi"/>
          <w:b/>
          <w:sz w:val="24"/>
        </w:rPr>
        <w:t xml:space="preserve"> </w:t>
      </w:r>
    </w:p>
    <w:p w:rsidR="00813FFD" w:rsidRPr="006241B3" w:rsidRDefault="008114B0" w:rsidP="00C415C7">
      <w:pPr>
        <w:rPr>
          <w:rFonts w:asciiTheme="minorHAnsi" w:hAnsiTheme="minorHAnsi" w:cstheme="minorHAnsi"/>
          <w:lang w:val="en-GB"/>
        </w:rPr>
      </w:pPr>
      <w:r w:rsidRPr="00C415C7">
        <w:rPr>
          <w:rFonts w:asciiTheme="minorHAnsi" w:hAnsiTheme="minorHAnsi" w:cstheme="minorHAnsi"/>
          <w:lang w:val="en-GB"/>
        </w:rPr>
        <w:t xml:space="preserve">The growth of Tonga’s economy has been limited by </w:t>
      </w:r>
      <w:r>
        <w:rPr>
          <w:rFonts w:asciiTheme="minorHAnsi" w:hAnsiTheme="minorHAnsi" w:cstheme="minorHAnsi"/>
          <w:lang w:val="en-GB"/>
        </w:rPr>
        <w:t xml:space="preserve">a </w:t>
      </w:r>
      <w:r w:rsidRPr="00C415C7">
        <w:rPr>
          <w:rFonts w:asciiTheme="minorHAnsi" w:hAnsiTheme="minorHAnsi" w:cstheme="minorHAnsi"/>
          <w:lang w:val="en-GB"/>
        </w:rPr>
        <w:t>small revenue base, limited economic development opportunities and vulnerability to shocks</w:t>
      </w:r>
      <w:r>
        <w:rPr>
          <w:rFonts w:asciiTheme="minorHAnsi" w:hAnsiTheme="minorHAnsi" w:cstheme="minorHAnsi"/>
          <w:lang w:val="en-GB"/>
        </w:rPr>
        <w:t>,</w:t>
      </w:r>
      <w:r w:rsidRPr="00C415C7">
        <w:rPr>
          <w:rFonts w:asciiTheme="minorHAnsi" w:hAnsiTheme="minorHAnsi" w:cstheme="minorHAnsi"/>
          <w:lang w:val="en-GB"/>
        </w:rPr>
        <w:t xml:space="preserve"> as well as </w:t>
      </w:r>
      <w:r>
        <w:rPr>
          <w:rFonts w:asciiTheme="minorHAnsi" w:hAnsiTheme="minorHAnsi" w:cstheme="minorHAnsi"/>
          <w:lang w:val="en-GB"/>
        </w:rPr>
        <w:t xml:space="preserve">by </w:t>
      </w:r>
      <w:r w:rsidRPr="00C415C7">
        <w:rPr>
          <w:rFonts w:asciiTheme="minorHAnsi" w:hAnsiTheme="minorHAnsi" w:cstheme="minorHAnsi"/>
          <w:lang w:val="en-GB"/>
        </w:rPr>
        <w:t>inconsistent and inefficient revenue collection.</w:t>
      </w:r>
      <w:r>
        <w:rPr>
          <w:rFonts w:asciiTheme="minorHAnsi" w:hAnsiTheme="minorHAnsi" w:cstheme="minorHAnsi"/>
          <w:lang w:val="en-GB"/>
        </w:rPr>
        <w:t xml:space="preserve"> </w:t>
      </w:r>
      <w:r w:rsidRPr="00C415C7">
        <w:rPr>
          <w:rFonts w:asciiTheme="minorHAnsi" w:hAnsiTheme="minorHAnsi" w:cstheme="minorHAnsi"/>
          <w:lang w:val="en-GB"/>
        </w:rPr>
        <w:t>The Global Financial Crisis, a series of recent natural disasters</w:t>
      </w:r>
      <w:r w:rsidR="00C81022">
        <w:rPr>
          <w:rFonts w:asciiTheme="minorHAnsi" w:hAnsiTheme="minorHAnsi" w:cstheme="minorHAnsi"/>
          <w:lang w:val="en-GB"/>
        </w:rPr>
        <w:t>,</w:t>
      </w:r>
      <w:r w:rsidRPr="00C415C7">
        <w:rPr>
          <w:rFonts w:asciiTheme="minorHAnsi" w:hAnsiTheme="minorHAnsi" w:cstheme="minorHAnsi"/>
          <w:lang w:val="en-GB"/>
        </w:rPr>
        <w:t xml:space="preserve"> </w:t>
      </w:r>
      <w:r w:rsidRPr="006241B3">
        <w:rPr>
          <w:rFonts w:asciiTheme="minorHAnsi" w:hAnsiTheme="minorHAnsi" w:cstheme="minorHAnsi"/>
          <w:lang w:val="en-GB"/>
        </w:rPr>
        <w:t>and significant external debt service obligations</w:t>
      </w:r>
      <w:r w:rsidR="00C81022" w:rsidRPr="006241B3">
        <w:rPr>
          <w:rFonts w:asciiTheme="minorHAnsi" w:hAnsiTheme="minorHAnsi" w:cstheme="minorHAnsi"/>
          <w:lang w:val="en-GB"/>
        </w:rPr>
        <w:t>,</w:t>
      </w:r>
      <w:r w:rsidRPr="006241B3">
        <w:rPr>
          <w:rFonts w:asciiTheme="minorHAnsi" w:hAnsiTheme="minorHAnsi" w:cstheme="minorHAnsi"/>
          <w:lang w:val="en-GB"/>
        </w:rPr>
        <w:t xml:space="preserve"> have also placed further pressure on Tonga’s already-tight fiscal space. </w:t>
      </w:r>
      <w:r w:rsidR="00BB647B" w:rsidRPr="006241B3">
        <w:rPr>
          <w:rFonts w:asciiTheme="minorHAnsi" w:hAnsiTheme="minorHAnsi" w:cstheme="minorHAnsi"/>
          <w:lang w:val="en-GB"/>
        </w:rPr>
        <w:t xml:space="preserve">The </w:t>
      </w:r>
      <w:r w:rsidR="00C81022" w:rsidRPr="006241B3">
        <w:rPr>
          <w:rFonts w:asciiTheme="minorHAnsi" w:hAnsiTheme="minorHAnsi" w:cstheme="minorHAnsi"/>
          <w:lang w:val="en-GB"/>
        </w:rPr>
        <w:t>Go</w:t>
      </w:r>
      <w:r w:rsidR="00BB647B" w:rsidRPr="006241B3">
        <w:rPr>
          <w:rFonts w:asciiTheme="minorHAnsi" w:hAnsiTheme="minorHAnsi" w:cstheme="minorHAnsi"/>
          <w:lang w:val="en-GB"/>
        </w:rPr>
        <w:t xml:space="preserve">T has had a mixed record of success in aligning budget resources with </w:t>
      </w:r>
      <w:r w:rsidRPr="006241B3">
        <w:rPr>
          <w:rFonts w:asciiTheme="minorHAnsi" w:hAnsiTheme="minorHAnsi" w:cstheme="minorHAnsi"/>
          <w:lang w:val="en-GB"/>
        </w:rPr>
        <w:t>TSDF priorities</w:t>
      </w:r>
      <w:r w:rsidR="00D74D40" w:rsidRPr="006241B3">
        <w:rPr>
          <w:rStyle w:val="FootnoteReference"/>
          <w:rFonts w:asciiTheme="minorHAnsi" w:hAnsiTheme="minorHAnsi" w:cstheme="minorHAnsi"/>
          <w:lang w:val="en-GB"/>
        </w:rPr>
        <w:footnoteReference w:id="4"/>
      </w:r>
      <w:r w:rsidR="00C81022" w:rsidRPr="006241B3">
        <w:rPr>
          <w:rFonts w:asciiTheme="minorHAnsi" w:hAnsiTheme="minorHAnsi" w:cstheme="minorHAnsi"/>
          <w:lang w:val="en-GB"/>
        </w:rPr>
        <w:t xml:space="preserve"> and there is significant scope to improve the quality and management of expenditure, including linking corporate plans, the TSDF and the medium-term budget framework (MTBF).</w:t>
      </w:r>
      <w:r w:rsidR="00FF49E8" w:rsidRPr="006241B3">
        <w:rPr>
          <w:rFonts w:asciiTheme="minorHAnsi" w:hAnsiTheme="minorHAnsi" w:cstheme="minorHAnsi"/>
          <w:lang w:val="en-GB"/>
        </w:rPr>
        <w:t xml:space="preserve"> This </w:t>
      </w:r>
      <w:r w:rsidR="00A00DBC" w:rsidRPr="006241B3">
        <w:rPr>
          <w:rFonts w:asciiTheme="minorHAnsi" w:hAnsiTheme="minorHAnsi" w:cstheme="minorHAnsi"/>
          <w:lang w:val="en-GB"/>
        </w:rPr>
        <w:t xml:space="preserve">will require both a commitment to improved expenditure prioritisation as well as </w:t>
      </w:r>
      <w:r w:rsidR="00977337" w:rsidRPr="006241B3">
        <w:rPr>
          <w:rFonts w:asciiTheme="minorHAnsi" w:hAnsiTheme="minorHAnsi" w:cstheme="minorHAnsi"/>
          <w:lang w:val="en-GB"/>
        </w:rPr>
        <w:t xml:space="preserve">a </w:t>
      </w:r>
      <w:r w:rsidR="00A00DBC" w:rsidRPr="006241B3">
        <w:rPr>
          <w:rFonts w:asciiTheme="minorHAnsi" w:hAnsiTheme="minorHAnsi" w:cstheme="minorHAnsi"/>
          <w:lang w:val="en-GB"/>
        </w:rPr>
        <w:t>strengthening of budget credibility</w:t>
      </w:r>
      <w:r w:rsidR="00CA7403" w:rsidRPr="006241B3">
        <w:rPr>
          <w:rFonts w:asciiTheme="minorHAnsi" w:hAnsiTheme="minorHAnsi" w:cstheme="minorHAnsi"/>
          <w:lang w:val="en-GB"/>
        </w:rPr>
        <w:t xml:space="preserve">. </w:t>
      </w:r>
      <w:r w:rsidR="00A22D90" w:rsidRPr="006241B3">
        <w:rPr>
          <w:rFonts w:asciiTheme="minorHAnsi" w:hAnsiTheme="minorHAnsi" w:cstheme="minorHAnsi"/>
          <w:lang w:val="en-GB"/>
        </w:rPr>
        <w:t xml:space="preserve">AusAID will continue to monitor progress in this area through policy dialogue and participation in World Bank missions to ensure that </w:t>
      </w:r>
      <w:r w:rsidR="002D6629" w:rsidRPr="006241B3">
        <w:rPr>
          <w:rFonts w:asciiTheme="minorHAnsi" w:hAnsiTheme="minorHAnsi" w:cstheme="minorHAnsi"/>
          <w:lang w:val="en-GB"/>
        </w:rPr>
        <w:t>activities are supported by an on-going commitment to reform by the GoT.</w:t>
      </w:r>
      <w:r w:rsidR="006249CD" w:rsidRPr="006241B3">
        <w:rPr>
          <w:rFonts w:asciiTheme="minorHAnsi" w:hAnsiTheme="minorHAnsi" w:cstheme="minorHAnsi"/>
          <w:lang w:val="en-GB"/>
        </w:rPr>
        <w:t xml:space="preserve"> </w:t>
      </w:r>
    </w:p>
    <w:p w:rsidR="00D74D40" w:rsidRDefault="00D74D40" w:rsidP="00C415C7">
      <w:pPr>
        <w:rPr>
          <w:rFonts w:asciiTheme="minorHAnsi" w:hAnsiTheme="minorHAnsi" w:cstheme="minorHAnsi"/>
          <w:lang w:val="en-GB"/>
        </w:rPr>
      </w:pPr>
    </w:p>
    <w:p w:rsidR="00E37FCF" w:rsidRDefault="00C81022" w:rsidP="00C415C7">
      <w:pPr>
        <w:rPr>
          <w:rFonts w:asciiTheme="minorHAnsi" w:hAnsiTheme="minorHAnsi" w:cstheme="minorHAnsi"/>
          <w:lang w:val="en-GB"/>
        </w:rPr>
      </w:pPr>
      <w:r>
        <w:rPr>
          <w:rFonts w:asciiTheme="minorHAnsi" w:hAnsiTheme="minorHAnsi" w:cstheme="minorHAnsi"/>
          <w:lang w:val="en-GB"/>
        </w:rPr>
        <w:t xml:space="preserve">This end-of-strategy outcome seeks to develop an environment for strengthened public financial management to contribute to improved service delivery. It is envisaged that the Policy Reform </w:t>
      </w:r>
      <w:r w:rsidRPr="00C415C7">
        <w:rPr>
          <w:rFonts w:asciiTheme="minorHAnsi" w:hAnsiTheme="minorHAnsi" w:cstheme="minorHAnsi"/>
          <w:lang w:val="en-GB"/>
        </w:rPr>
        <w:t>Matrix will provide a basis for sound and targeted policy reform in this area.</w:t>
      </w:r>
      <w:r w:rsidR="00935FEB">
        <w:rPr>
          <w:rFonts w:asciiTheme="minorHAnsi" w:hAnsiTheme="minorHAnsi" w:cstheme="minorHAnsi"/>
          <w:lang w:val="en-GB"/>
        </w:rPr>
        <w:t xml:space="preserve"> </w:t>
      </w:r>
      <w:r w:rsidR="004D230F">
        <w:rPr>
          <w:rFonts w:asciiTheme="minorHAnsi" w:hAnsiTheme="minorHAnsi" w:cstheme="minorHAnsi"/>
          <w:lang w:val="en-GB"/>
        </w:rPr>
        <w:t xml:space="preserve">AusAID will </w:t>
      </w:r>
      <w:r w:rsidR="003B60B7">
        <w:rPr>
          <w:rFonts w:asciiTheme="minorHAnsi" w:hAnsiTheme="minorHAnsi" w:cstheme="minorHAnsi"/>
          <w:lang w:val="en-GB"/>
        </w:rPr>
        <w:t>provide direct</w:t>
      </w:r>
      <w:r w:rsidR="009C297B">
        <w:rPr>
          <w:rFonts w:asciiTheme="minorHAnsi" w:hAnsiTheme="minorHAnsi" w:cstheme="minorHAnsi"/>
          <w:lang w:val="en-GB"/>
        </w:rPr>
        <w:t xml:space="preserve"> support </w:t>
      </w:r>
      <w:r w:rsidR="003B60B7">
        <w:rPr>
          <w:rFonts w:asciiTheme="minorHAnsi" w:hAnsiTheme="minorHAnsi" w:cstheme="minorHAnsi"/>
          <w:lang w:val="en-GB"/>
        </w:rPr>
        <w:t xml:space="preserve">to </w:t>
      </w:r>
      <w:r w:rsidR="004D230F">
        <w:rPr>
          <w:rFonts w:asciiTheme="minorHAnsi" w:hAnsiTheme="minorHAnsi" w:cstheme="minorHAnsi"/>
          <w:lang w:val="en-GB"/>
        </w:rPr>
        <w:t>areas where there is the greatest capacity for Australian aid to make a difference</w:t>
      </w:r>
      <w:r w:rsidR="00153208">
        <w:rPr>
          <w:rFonts w:asciiTheme="minorHAnsi" w:hAnsiTheme="minorHAnsi" w:cstheme="minorHAnsi"/>
          <w:lang w:val="en-GB"/>
        </w:rPr>
        <w:t xml:space="preserve"> and where there is a credible commitment to reform</w:t>
      </w:r>
      <w:r w:rsidR="0031145B">
        <w:rPr>
          <w:rFonts w:asciiTheme="minorHAnsi" w:hAnsiTheme="minorHAnsi" w:cstheme="minorHAnsi"/>
          <w:lang w:val="en-GB"/>
        </w:rPr>
        <w:t xml:space="preserve"> by the GoT</w:t>
      </w:r>
      <w:r w:rsidR="0091346A">
        <w:rPr>
          <w:rFonts w:asciiTheme="minorHAnsi" w:hAnsiTheme="minorHAnsi" w:cstheme="minorHAnsi"/>
          <w:lang w:val="en-GB"/>
        </w:rPr>
        <w:t xml:space="preserve">. </w:t>
      </w:r>
    </w:p>
    <w:p w:rsidR="008114B0" w:rsidRDefault="008114B0" w:rsidP="00C415C7">
      <w:pPr>
        <w:pStyle w:val="ListParagraph"/>
        <w:spacing w:line="240" w:lineRule="auto"/>
        <w:ind w:left="568"/>
        <w:jc w:val="both"/>
        <w:rPr>
          <w:rFonts w:cstheme="minorHAnsi"/>
          <w:sz w:val="24"/>
        </w:rPr>
      </w:pPr>
    </w:p>
    <w:p w:rsidR="00E37FCF" w:rsidRPr="00C415C7" w:rsidRDefault="004D6FF3" w:rsidP="00A11CCA">
      <w:pPr>
        <w:pStyle w:val="ListParagraph"/>
        <w:numPr>
          <w:ilvl w:val="0"/>
          <w:numId w:val="28"/>
        </w:numPr>
        <w:ind w:left="357" w:hanging="357"/>
        <w:contextualSpacing w:val="0"/>
        <w:rPr>
          <w:rFonts w:cstheme="minorHAnsi"/>
          <w:b/>
          <w:sz w:val="24"/>
        </w:rPr>
      </w:pPr>
      <w:r w:rsidRPr="00B93840">
        <w:rPr>
          <w:rFonts w:cstheme="minorHAnsi"/>
          <w:b/>
          <w:sz w:val="24"/>
        </w:rPr>
        <w:t>Business enabling environment</w:t>
      </w:r>
      <w:r w:rsidR="00F73724" w:rsidRPr="00B93840">
        <w:rPr>
          <w:rFonts w:cstheme="minorHAnsi"/>
          <w:b/>
          <w:sz w:val="24"/>
        </w:rPr>
        <w:t xml:space="preserve"> </w:t>
      </w:r>
      <w:r w:rsidR="00F73724">
        <w:rPr>
          <w:rFonts w:cstheme="minorHAnsi"/>
          <w:b/>
          <w:sz w:val="24"/>
        </w:rPr>
        <w:t xml:space="preserve">– </w:t>
      </w:r>
      <w:r w:rsidR="007C1904" w:rsidRPr="00F73724">
        <w:rPr>
          <w:rFonts w:cstheme="minorHAnsi"/>
          <w:b/>
          <w:sz w:val="24"/>
        </w:rPr>
        <w:t>T</w:t>
      </w:r>
      <w:r w:rsidR="000F4AB3" w:rsidRPr="00F73724">
        <w:rPr>
          <w:rFonts w:cstheme="minorHAnsi"/>
          <w:b/>
          <w:sz w:val="24"/>
        </w:rPr>
        <w:t>he majority of public enterprises reform and Go</w:t>
      </w:r>
      <w:r w:rsidR="00F73724">
        <w:rPr>
          <w:rFonts w:cstheme="minorHAnsi"/>
          <w:b/>
          <w:sz w:val="24"/>
        </w:rPr>
        <w:t>T</w:t>
      </w:r>
      <w:r w:rsidR="000F4AB3" w:rsidRPr="00F73724">
        <w:rPr>
          <w:rFonts w:cstheme="minorHAnsi"/>
          <w:b/>
          <w:sz w:val="24"/>
        </w:rPr>
        <w:t xml:space="preserve"> agencies enable measureable development of the private sector.</w:t>
      </w:r>
    </w:p>
    <w:p w:rsidR="002A7A5E" w:rsidRDefault="002A7A5E" w:rsidP="00C415C7">
      <w:pPr>
        <w:rPr>
          <w:rFonts w:cstheme="minorHAnsi"/>
          <w:lang w:val="en-GB"/>
        </w:rPr>
      </w:pPr>
      <w:r>
        <w:rPr>
          <w:rFonts w:asciiTheme="minorHAnsi" w:hAnsiTheme="minorHAnsi" w:cstheme="minorHAnsi"/>
          <w:lang w:val="en-GB"/>
        </w:rPr>
        <w:t>Tonga’s business enabling environment is relatively weak,</w:t>
      </w:r>
      <w:r w:rsidR="00380252">
        <w:rPr>
          <w:rFonts w:asciiTheme="minorHAnsi" w:hAnsiTheme="minorHAnsi" w:cstheme="minorHAnsi"/>
          <w:lang w:val="en-GB"/>
        </w:rPr>
        <w:t xml:space="preserve"> with the country placed 62</w:t>
      </w:r>
      <w:r w:rsidR="00380252" w:rsidRPr="00C415C7">
        <w:rPr>
          <w:rFonts w:asciiTheme="minorHAnsi" w:hAnsiTheme="minorHAnsi" w:cstheme="minorHAnsi"/>
          <w:vertAlign w:val="superscript"/>
          <w:lang w:val="en-GB"/>
        </w:rPr>
        <w:t>nd</w:t>
      </w:r>
      <w:r w:rsidR="00380252">
        <w:rPr>
          <w:rFonts w:asciiTheme="minorHAnsi" w:hAnsiTheme="minorHAnsi" w:cstheme="minorHAnsi"/>
          <w:lang w:val="en-GB"/>
        </w:rPr>
        <w:t xml:space="preserve"> on the World Bank’s Doing Business Report in 2013.</w:t>
      </w:r>
      <w:r>
        <w:rPr>
          <w:rFonts w:asciiTheme="minorHAnsi" w:hAnsiTheme="minorHAnsi" w:cstheme="minorHAnsi"/>
          <w:lang w:val="en-GB"/>
        </w:rPr>
        <w:t xml:space="preserve"> </w:t>
      </w:r>
      <w:r w:rsidR="00380252">
        <w:rPr>
          <w:rFonts w:asciiTheme="minorHAnsi" w:hAnsiTheme="minorHAnsi" w:cstheme="minorHAnsi"/>
          <w:lang w:val="en-GB"/>
        </w:rPr>
        <w:t>Inefficient public enterprises have placed significant pressure on public expenditure and have diverted limited public sector funds from expenditure on TSDF priorities.</w:t>
      </w:r>
      <w:r w:rsidR="007A0F31">
        <w:rPr>
          <w:rFonts w:asciiTheme="minorHAnsi" w:hAnsiTheme="minorHAnsi" w:cstheme="minorHAnsi"/>
          <w:lang w:val="en-GB"/>
        </w:rPr>
        <w:t xml:space="preserve"> Implementation of the Public Enterprises Act is generally inconsistent.</w:t>
      </w:r>
      <w:r w:rsidR="00282F28">
        <w:rPr>
          <w:rFonts w:asciiTheme="minorHAnsi" w:hAnsiTheme="minorHAnsi" w:cstheme="minorHAnsi"/>
          <w:lang w:val="en-GB"/>
        </w:rPr>
        <w:t xml:space="preserve"> Existing business licensing arrangements in Tonga are onerous and discourage private sector development and foreign investment. </w:t>
      </w:r>
      <w:r w:rsidR="00380252">
        <w:rPr>
          <w:rFonts w:asciiTheme="minorHAnsi" w:hAnsiTheme="minorHAnsi" w:cstheme="minorHAnsi"/>
          <w:lang w:val="en-GB"/>
        </w:rPr>
        <w:t xml:space="preserve">A 2013 ADB Private Sector Assessment of Tonga </w:t>
      </w:r>
      <w:r w:rsidR="007A0F31">
        <w:rPr>
          <w:rFonts w:asciiTheme="minorHAnsi" w:hAnsiTheme="minorHAnsi" w:cstheme="minorHAnsi"/>
          <w:lang w:val="en-GB"/>
        </w:rPr>
        <w:t xml:space="preserve">notes that much more needs to be done to address constraints to private sector growth and development. </w:t>
      </w:r>
    </w:p>
    <w:p w:rsidR="007A0F31" w:rsidRDefault="007A0F31" w:rsidP="00C415C7">
      <w:pPr>
        <w:rPr>
          <w:rFonts w:cstheme="minorHAnsi"/>
          <w:lang w:val="en-GB"/>
        </w:rPr>
      </w:pPr>
    </w:p>
    <w:p w:rsidR="00282F28" w:rsidRPr="006241B3" w:rsidRDefault="00282F28" w:rsidP="00C415C7">
      <w:pPr>
        <w:rPr>
          <w:rFonts w:asciiTheme="minorHAnsi" w:hAnsiTheme="minorHAnsi" w:cstheme="minorHAnsi"/>
          <w:lang w:val="en-GB"/>
        </w:rPr>
      </w:pPr>
      <w:r>
        <w:rPr>
          <w:rFonts w:asciiTheme="minorHAnsi" w:hAnsiTheme="minorHAnsi" w:cstheme="minorHAnsi"/>
          <w:lang w:val="en-GB"/>
        </w:rPr>
        <w:t>This end-of-strategy outcome seeks to: ensure that public enterprises are sustainable and accountable (and where appropriate moved to the private sector), and</w:t>
      </w:r>
      <w:r w:rsidR="00310691">
        <w:rPr>
          <w:rFonts w:asciiTheme="minorHAnsi" w:hAnsiTheme="minorHAnsi" w:cstheme="minorHAnsi"/>
          <w:lang w:val="en-GB"/>
        </w:rPr>
        <w:t>;</w:t>
      </w:r>
      <w:r>
        <w:rPr>
          <w:rFonts w:asciiTheme="minorHAnsi" w:hAnsiTheme="minorHAnsi" w:cstheme="minorHAnsi"/>
          <w:lang w:val="en-GB"/>
        </w:rPr>
        <w:t xml:space="preserve"> reduce private sector development constraints by identifying barriers to investment and entrepreneurship that raise transaction costs, discourage investment and hinder the formation and growth of businesses. </w:t>
      </w:r>
      <w:r w:rsidR="007A0F31">
        <w:rPr>
          <w:rFonts w:asciiTheme="minorHAnsi" w:hAnsiTheme="minorHAnsi" w:cstheme="minorHAnsi"/>
          <w:lang w:val="en-GB"/>
        </w:rPr>
        <w:t xml:space="preserve">AusAID will </w:t>
      </w:r>
      <w:r w:rsidR="00C44AAC">
        <w:rPr>
          <w:rFonts w:asciiTheme="minorHAnsi" w:hAnsiTheme="minorHAnsi" w:cstheme="minorHAnsi"/>
          <w:lang w:val="en-GB"/>
        </w:rPr>
        <w:t xml:space="preserve">continue to </w:t>
      </w:r>
      <w:r w:rsidR="007A0F31">
        <w:rPr>
          <w:rFonts w:asciiTheme="minorHAnsi" w:hAnsiTheme="minorHAnsi" w:cstheme="minorHAnsi"/>
          <w:lang w:val="en-GB"/>
        </w:rPr>
        <w:t xml:space="preserve">support </w:t>
      </w:r>
      <w:r w:rsidR="00C44AAC">
        <w:rPr>
          <w:rFonts w:asciiTheme="minorHAnsi" w:hAnsiTheme="minorHAnsi" w:cstheme="minorHAnsi"/>
          <w:lang w:val="en-GB"/>
        </w:rPr>
        <w:t xml:space="preserve">key reforms to Tonga’s business enabling environment through the Policy Reform Matrix, including </w:t>
      </w:r>
      <w:r>
        <w:rPr>
          <w:rFonts w:asciiTheme="minorHAnsi" w:hAnsiTheme="minorHAnsi" w:cstheme="minorHAnsi"/>
          <w:lang w:val="en-GB"/>
        </w:rPr>
        <w:t>promoting</w:t>
      </w:r>
      <w:r w:rsidR="00C44AAC">
        <w:rPr>
          <w:rFonts w:asciiTheme="minorHAnsi" w:hAnsiTheme="minorHAnsi" w:cstheme="minorHAnsi"/>
          <w:lang w:val="en-GB"/>
        </w:rPr>
        <w:t xml:space="preserve"> reforms of SOEs, of the energy sector and of the business environment (to strengthen </w:t>
      </w:r>
      <w:r w:rsidR="00C44AAC" w:rsidRPr="006241B3">
        <w:rPr>
          <w:rFonts w:asciiTheme="minorHAnsi" w:hAnsiTheme="minorHAnsi" w:cstheme="minorHAnsi"/>
          <w:lang w:val="en-GB"/>
        </w:rPr>
        <w:t>competition and promote foreign investment).</w:t>
      </w:r>
      <w:r w:rsidR="00616F87" w:rsidRPr="006241B3">
        <w:rPr>
          <w:rFonts w:asciiTheme="minorHAnsi" w:hAnsiTheme="minorHAnsi" w:cstheme="minorHAnsi"/>
          <w:lang w:val="en-GB"/>
        </w:rPr>
        <w:t xml:space="preserve"> </w:t>
      </w:r>
      <w:r w:rsidR="002A4808" w:rsidRPr="006241B3">
        <w:rPr>
          <w:rFonts w:asciiTheme="minorHAnsi" w:hAnsiTheme="minorHAnsi" w:cstheme="minorHAnsi"/>
          <w:lang w:val="en-GB"/>
        </w:rPr>
        <w:t>Australia’s support in this area will build on recent GoT</w:t>
      </w:r>
      <w:r w:rsidR="000B4B55" w:rsidRPr="006241B3">
        <w:rPr>
          <w:rFonts w:asciiTheme="minorHAnsi" w:hAnsiTheme="minorHAnsi" w:cstheme="minorHAnsi"/>
          <w:lang w:val="en-GB"/>
        </w:rPr>
        <w:t xml:space="preserve"> efforts to strengthen the regulatory framework for public enterprises (including bringing public enterprises</w:t>
      </w:r>
      <w:r w:rsidR="00310691" w:rsidRPr="006241B3">
        <w:rPr>
          <w:rFonts w:asciiTheme="minorHAnsi" w:hAnsiTheme="minorHAnsi" w:cstheme="minorHAnsi"/>
          <w:lang w:val="en-GB"/>
        </w:rPr>
        <w:t xml:space="preserve">’ accounts up to date and </w:t>
      </w:r>
      <w:r w:rsidR="00B52A96" w:rsidRPr="006241B3">
        <w:rPr>
          <w:rFonts w:asciiTheme="minorHAnsi" w:hAnsiTheme="minorHAnsi" w:cstheme="minorHAnsi"/>
          <w:lang w:val="en-GB"/>
        </w:rPr>
        <w:t xml:space="preserve">making audited accounts of public enterprises publicly available in line with a new requirement enacted as part of recent legislative reforms). AusAID will continue to monitor progress </w:t>
      </w:r>
      <w:r w:rsidR="00A0562E" w:rsidRPr="006241B3">
        <w:rPr>
          <w:rFonts w:asciiTheme="minorHAnsi" w:hAnsiTheme="minorHAnsi" w:cstheme="minorHAnsi"/>
          <w:lang w:val="en-GB"/>
        </w:rPr>
        <w:t>on this outcome</w:t>
      </w:r>
      <w:r w:rsidR="00B52A96" w:rsidRPr="006241B3">
        <w:rPr>
          <w:rFonts w:asciiTheme="minorHAnsi" w:hAnsiTheme="minorHAnsi" w:cstheme="minorHAnsi"/>
          <w:lang w:val="en-GB"/>
        </w:rPr>
        <w:t xml:space="preserve"> through policy dialogue and participation in World Bank missions to ensure that </w:t>
      </w:r>
      <w:r w:rsidR="002D39AD" w:rsidRPr="006241B3">
        <w:rPr>
          <w:rFonts w:asciiTheme="minorHAnsi" w:hAnsiTheme="minorHAnsi" w:cstheme="minorHAnsi"/>
          <w:lang w:val="en-GB"/>
        </w:rPr>
        <w:t>reforms are supported to achieve institutional change.</w:t>
      </w:r>
      <w:r w:rsidR="00025388" w:rsidRPr="006241B3">
        <w:rPr>
          <w:rFonts w:asciiTheme="minorHAnsi" w:hAnsiTheme="minorHAnsi" w:cstheme="minorHAnsi"/>
          <w:lang w:val="en-GB"/>
        </w:rPr>
        <w:t xml:space="preserve"> </w:t>
      </w:r>
    </w:p>
    <w:p w:rsidR="00773620" w:rsidRDefault="00773620" w:rsidP="00C415C7">
      <w:pPr>
        <w:rPr>
          <w:rFonts w:cstheme="minorHAnsi"/>
          <w:lang w:val="en-GB"/>
        </w:rPr>
      </w:pPr>
    </w:p>
    <w:p w:rsidR="00E37FCF" w:rsidRPr="00C415C7" w:rsidRDefault="00835147" w:rsidP="00A11CCA">
      <w:pPr>
        <w:pStyle w:val="ListParagraph"/>
        <w:numPr>
          <w:ilvl w:val="0"/>
          <w:numId w:val="28"/>
        </w:numPr>
        <w:ind w:left="357" w:hanging="357"/>
        <w:contextualSpacing w:val="0"/>
        <w:rPr>
          <w:rFonts w:cstheme="minorHAnsi"/>
          <w:b/>
          <w:sz w:val="24"/>
        </w:rPr>
      </w:pPr>
      <w:r w:rsidRPr="00C415C7">
        <w:rPr>
          <w:rFonts w:cstheme="minorHAnsi"/>
          <w:b/>
          <w:sz w:val="24"/>
        </w:rPr>
        <w:t>Effective aid through alignment, harmonisation and mutual accountability</w:t>
      </w:r>
      <w:r w:rsidR="00F73724" w:rsidRPr="00C415C7">
        <w:rPr>
          <w:rFonts w:cstheme="minorHAnsi"/>
          <w:b/>
          <w:sz w:val="24"/>
        </w:rPr>
        <w:t xml:space="preserve"> –</w:t>
      </w:r>
      <w:r w:rsidR="00CB41C2">
        <w:rPr>
          <w:rFonts w:cstheme="minorHAnsi"/>
          <w:b/>
          <w:sz w:val="24"/>
        </w:rPr>
        <w:t xml:space="preserve"> GoT</w:t>
      </w:r>
      <w:r w:rsidR="0059682E" w:rsidRPr="00C415C7">
        <w:rPr>
          <w:rFonts w:cstheme="minorHAnsi"/>
          <w:b/>
          <w:sz w:val="24"/>
        </w:rPr>
        <w:t xml:space="preserve"> agencies and development partners ensure a more coordinated whole of government approach to partnership for PFM reforms.</w:t>
      </w:r>
    </w:p>
    <w:p w:rsidR="00E37FCF" w:rsidRDefault="00323BDC" w:rsidP="00C415C7">
      <w:pPr>
        <w:rPr>
          <w:rFonts w:cstheme="minorHAnsi"/>
        </w:rPr>
      </w:pPr>
      <w:r>
        <w:rPr>
          <w:rFonts w:asciiTheme="minorHAnsi" w:hAnsiTheme="minorHAnsi" w:cstheme="minorHAnsi"/>
          <w:lang w:val="en-GB"/>
        </w:rPr>
        <w:t>Australia</w:t>
      </w:r>
      <w:r w:rsidR="00CB41C2">
        <w:rPr>
          <w:rFonts w:asciiTheme="minorHAnsi" w:hAnsiTheme="minorHAnsi" w:cstheme="minorHAnsi"/>
          <w:lang w:val="en-GB"/>
        </w:rPr>
        <w:t xml:space="preserve"> is </w:t>
      </w:r>
      <w:r w:rsidR="005362A6">
        <w:rPr>
          <w:rFonts w:asciiTheme="minorHAnsi" w:hAnsiTheme="minorHAnsi" w:cstheme="minorHAnsi"/>
          <w:lang w:val="en-GB"/>
        </w:rPr>
        <w:t xml:space="preserve">committed </w:t>
      </w:r>
      <w:r w:rsidR="00CB41C2">
        <w:rPr>
          <w:rFonts w:asciiTheme="minorHAnsi" w:hAnsiTheme="minorHAnsi" w:cstheme="minorHAnsi"/>
          <w:lang w:val="en-GB"/>
        </w:rPr>
        <w:t xml:space="preserve">to delivering more effective aid under </w:t>
      </w:r>
      <w:r w:rsidR="005362A6">
        <w:rPr>
          <w:rFonts w:asciiTheme="minorHAnsi" w:hAnsiTheme="minorHAnsi" w:cstheme="minorHAnsi"/>
          <w:lang w:val="en-GB"/>
        </w:rPr>
        <w:t xml:space="preserve">the </w:t>
      </w:r>
      <w:r w:rsidRPr="00C415C7">
        <w:rPr>
          <w:rFonts w:asciiTheme="minorHAnsi" w:hAnsiTheme="minorHAnsi" w:cstheme="minorHAnsi"/>
          <w:lang w:val="en-GB"/>
        </w:rPr>
        <w:t>Paris Declaration</w:t>
      </w:r>
      <w:r w:rsidR="00CB41C2">
        <w:rPr>
          <w:rFonts w:asciiTheme="minorHAnsi" w:hAnsiTheme="minorHAnsi" w:cstheme="minorHAnsi"/>
          <w:lang w:val="en-GB"/>
        </w:rPr>
        <w:t xml:space="preserve"> on Aid Effectiveness</w:t>
      </w:r>
      <w:r w:rsidRPr="00C415C7">
        <w:rPr>
          <w:rFonts w:asciiTheme="minorHAnsi" w:hAnsiTheme="minorHAnsi" w:cstheme="minorHAnsi"/>
          <w:lang w:val="en-GB"/>
        </w:rPr>
        <w:t xml:space="preserve"> (2005), Accra Agenda for Action (2008) and the Busan Partnership for Effective Development Cooperation (2011)</w:t>
      </w:r>
      <w:r w:rsidR="00CB41C2">
        <w:rPr>
          <w:rFonts w:asciiTheme="minorHAnsi" w:hAnsiTheme="minorHAnsi" w:cstheme="minorHAnsi"/>
          <w:lang w:val="en-GB"/>
        </w:rPr>
        <w:t>. Good public sector governance in practice is demonstrated through effective performance assessment and mutual accountability in program implementation.</w:t>
      </w:r>
      <w:r w:rsidR="00206EC9">
        <w:rPr>
          <w:rFonts w:asciiTheme="minorHAnsi" w:hAnsiTheme="minorHAnsi" w:cstheme="minorHAnsi"/>
          <w:lang w:val="en-GB"/>
        </w:rPr>
        <w:t xml:space="preserve"> This end-of-strategy outcome seeks to promote greater partnership between the GoA and the GoT, including by </w:t>
      </w:r>
      <w:r w:rsidR="0071336C">
        <w:rPr>
          <w:rFonts w:asciiTheme="minorHAnsi" w:hAnsiTheme="minorHAnsi" w:cstheme="minorHAnsi"/>
          <w:lang w:val="en-GB"/>
        </w:rPr>
        <w:t xml:space="preserve">ensuring that </w:t>
      </w:r>
      <w:r w:rsidR="00206EC9">
        <w:rPr>
          <w:rFonts w:asciiTheme="minorHAnsi" w:hAnsiTheme="minorHAnsi" w:cstheme="minorHAnsi"/>
          <w:lang w:val="en-GB"/>
        </w:rPr>
        <w:t xml:space="preserve">flows of development assistance </w:t>
      </w:r>
      <w:r w:rsidR="0071336C">
        <w:rPr>
          <w:rFonts w:asciiTheme="minorHAnsi" w:hAnsiTheme="minorHAnsi" w:cstheme="minorHAnsi"/>
          <w:lang w:val="en-GB"/>
        </w:rPr>
        <w:t xml:space="preserve">are managed </w:t>
      </w:r>
      <w:r w:rsidR="00206EC9">
        <w:rPr>
          <w:rFonts w:asciiTheme="minorHAnsi" w:hAnsiTheme="minorHAnsi" w:cstheme="minorHAnsi"/>
          <w:lang w:val="en-GB"/>
        </w:rPr>
        <w:t xml:space="preserve">more effectively and </w:t>
      </w:r>
      <w:r w:rsidR="0071336C">
        <w:rPr>
          <w:rFonts w:asciiTheme="minorHAnsi" w:hAnsiTheme="minorHAnsi" w:cstheme="minorHAnsi"/>
          <w:lang w:val="en-GB"/>
        </w:rPr>
        <w:t xml:space="preserve">that </w:t>
      </w:r>
      <w:r w:rsidR="00206EC9">
        <w:rPr>
          <w:rFonts w:asciiTheme="minorHAnsi" w:hAnsiTheme="minorHAnsi" w:cstheme="minorHAnsi"/>
          <w:lang w:val="en-GB"/>
        </w:rPr>
        <w:t xml:space="preserve">a shared body of evidence </w:t>
      </w:r>
      <w:r w:rsidR="0071336C">
        <w:rPr>
          <w:rFonts w:asciiTheme="minorHAnsi" w:hAnsiTheme="minorHAnsi" w:cstheme="minorHAnsi"/>
          <w:lang w:val="en-GB"/>
        </w:rPr>
        <w:t xml:space="preserve">is developed </w:t>
      </w:r>
      <w:r w:rsidR="00206EC9">
        <w:rPr>
          <w:rFonts w:asciiTheme="minorHAnsi" w:hAnsiTheme="minorHAnsi" w:cstheme="minorHAnsi"/>
          <w:lang w:val="en-GB"/>
        </w:rPr>
        <w:t xml:space="preserve">to support partnership decisions. </w:t>
      </w:r>
    </w:p>
    <w:p w:rsidR="001D4398" w:rsidRDefault="001D4398" w:rsidP="00C415C7">
      <w:pPr>
        <w:pStyle w:val="ListParagraph"/>
        <w:spacing w:after="0" w:line="240" w:lineRule="auto"/>
        <w:ind w:left="568"/>
        <w:jc w:val="both"/>
        <w:rPr>
          <w:rFonts w:cstheme="minorHAnsi"/>
          <w:sz w:val="24"/>
        </w:rPr>
      </w:pPr>
    </w:p>
    <w:p w:rsidR="006A0040" w:rsidRPr="00337E7E" w:rsidRDefault="006A0040" w:rsidP="00A11CCA">
      <w:pPr>
        <w:pStyle w:val="Heading2"/>
        <w:numPr>
          <w:ilvl w:val="1"/>
          <w:numId w:val="2"/>
        </w:numPr>
        <w:spacing w:before="0"/>
        <w:rPr>
          <w:sz w:val="24"/>
        </w:rPr>
      </w:pPr>
      <w:bookmarkStart w:id="12" w:name="_Toc356389367"/>
      <w:r w:rsidRPr="00337E7E">
        <w:rPr>
          <w:sz w:val="24"/>
        </w:rPr>
        <w:t>Principles to guide future EPSG investments</w:t>
      </w:r>
      <w:bookmarkEnd w:id="12"/>
    </w:p>
    <w:p w:rsidR="0061521D" w:rsidRDefault="0061521D" w:rsidP="001A5546"/>
    <w:p w:rsidR="00337E7E" w:rsidRPr="00452559" w:rsidRDefault="00747561" w:rsidP="00337E7E">
      <w:pPr>
        <w:rPr>
          <w:rFonts w:asciiTheme="minorHAnsi" w:hAnsiTheme="minorHAnsi" w:cstheme="minorHAnsi"/>
        </w:rPr>
      </w:pPr>
      <w:r>
        <w:rPr>
          <w:rFonts w:asciiTheme="minorHAnsi" w:hAnsiTheme="minorHAnsi" w:cstheme="minorHAnsi"/>
        </w:rPr>
        <w:t xml:space="preserve">This </w:t>
      </w:r>
      <w:r w:rsidR="006E1D20">
        <w:rPr>
          <w:rFonts w:asciiTheme="minorHAnsi" w:hAnsiTheme="minorHAnsi" w:cstheme="minorHAnsi"/>
        </w:rPr>
        <w:t>Delivery Strategy</w:t>
      </w:r>
      <w:r w:rsidR="00337E7E" w:rsidRPr="00452559">
        <w:rPr>
          <w:rFonts w:asciiTheme="minorHAnsi" w:hAnsiTheme="minorHAnsi" w:cstheme="minorHAnsi"/>
        </w:rPr>
        <w:t xml:space="preserve"> aims to draw focus around key priorities where there is a capacity for Australia to make a difference and</w:t>
      </w:r>
      <w:r w:rsidR="000E113A">
        <w:rPr>
          <w:rFonts w:asciiTheme="minorHAnsi" w:hAnsiTheme="minorHAnsi" w:cstheme="minorHAnsi"/>
        </w:rPr>
        <w:t xml:space="preserve"> to</w:t>
      </w:r>
      <w:r w:rsidR="00337E7E" w:rsidRPr="00452559">
        <w:rPr>
          <w:rFonts w:asciiTheme="minorHAnsi" w:hAnsiTheme="minorHAnsi" w:cstheme="minorHAnsi"/>
        </w:rPr>
        <w:t xml:space="preserve"> effect institutional change. This depends on:</w:t>
      </w:r>
    </w:p>
    <w:p w:rsidR="00337E7E" w:rsidRPr="00452559" w:rsidRDefault="00337E7E" w:rsidP="00A11CCA">
      <w:pPr>
        <w:pStyle w:val="ListParagraph"/>
        <w:numPr>
          <w:ilvl w:val="0"/>
          <w:numId w:val="18"/>
        </w:numPr>
        <w:spacing w:before="240"/>
        <w:jc w:val="both"/>
        <w:rPr>
          <w:rFonts w:cstheme="minorHAnsi"/>
          <w:sz w:val="24"/>
        </w:rPr>
      </w:pPr>
      <w:r w:rsidRPr="00452559">
        <w:rPr>
          <w:rFonts w:cstheme="minorHAnsi"/>
          <w:sz w:val="24"/>
        </w:rPr>
        <w:t xml:space="preserve">The </w:t>
      </w:r>
      <w:r w:rsidRPr="008D3EA4">
        <w:rPr>
          <w:rFonts w:cstheme="minorHAnsi"/>
          <w:i/>
          <w:sz w:val="24"/>
        </w:rPr>
        <w:t>environment</w:t>
      </w:r>
      <w:r w:rsidRPr="00452559">
        <w:rPr>
          <w:rFonts w:cstheme="minorHAnsi"/>
          <w:sz w:val="24"/>
        </w:rPr>
        <w:t xml:space="preserve"> in which GoT agencies operate and the extent to which the support from donors</w:t>
      </w:r>
      <w:r w:rsidR="008D3EA4">
        <w:rPr>
          <w:rFonts w:cstheme="minorHAnsi"/>
          <w:sz w:val="24"/>
        </w:rPr>
        <w:t>,</w:t>
      </w:r>
      <w:r w:rsidRPr="00452559">
        <w:rPr>
          <w:rFonts w:cstheme="minorHAnsi"/>
          <w:sz w:val="24"/>
        </w:rPr>
        <w:t xml:space="preserve"> including AusAID</w:t>
      </w:r>
      <w:r w:rsidR="008D3EA4">
        <w:rPr>
          <w:rFonts w:cstheme="minorHAnsi"/>
          <w:sz w:val="24"/>
        </w:rPr>
        <w:t>,</w:t>
      </w:r>
      <w:r w:rsidRPr="00452559">
        <w:rPr>
          <w:rFonts w:cstheme="minorHAnsi"/>
          <w:sz w:val="24"/>
        </w:rPr>
        <w:t xml:space="preserve"> can influence that environment in order to contribute to end-of-strategy outcomes;</w:t>
      </w:r>
    </w:p>
    <w:p w:rsidR="00337E7E" w:rsidRPr="00452559" w:rsidRDefault="00337E7E" w:rsidP="00A11CCA">
      <w:pPr>
        <w:pStyle w:val="ListParagraph"/>
        <w:numPr>
          <w:ilvl w:val="0"/>
          <w:numId w:val="18"/>
        </w:numPr>
        <w:jc w:val="both"/>
        <w:rPr>
          <w:rFonts w:cstheme="minorHAnsi"/>
          <w:sz w:val="24"/>
        </w:rPr>
      </w:pPr>
      <w:r w:rsidRPr="00452559">
        <w:rPr>
          <w:rFonts w:cstheme="minorHAnsi"/>
          <w:sz w:val="24"/>
        </w:rPr>
        <w:t xml:space="preserve">The </w:t>
      </w:r>
      <w:r w:rsidRPr="008D3EA4">
        <w:rPr>
          <w:rFonts w:cstheme="minorHAnsi"/>
          <w:i/>
          <w:sz w:val="24"/>
        </w:rPr>
        <w:t>organisational motivation</w:t>
      </w:r>
      <w:r w:rsidRPr="00452559">
        <w:rPr>
          <w:rFonts w:cstheme="minorHAnsi"/>
          <w:sz w:val="24"/>
        </w:rPr>
        <w:t xml:space="preserve"> of GoT agencies, including the history and culture of the agency as well as the incentives and trade-offs for individuals, groups and the organisation to change; and</w:t>
      </w:r>
    </w:p>
    <w:p w:rsidR="00337E7E" w:rsidRPr="00452559" w:rsidRDefault="00337E7E" w:rsidP="00A11CCA">
      <w:pPr>
        <w:pStyle w:val="ListParagraph"/>
        <w:numPr>
          <w:ilvl w:val="0"/>
          <w:numId w:val="18"/>
        </w:numPr>
        <w:jc w:val="both"/>
        <w:rPr>
          <w:rFonts w:cstheme="minorHAnsi"/>
          <w:sz w:val="24"/>
        </w:rPr>
      </w:pPr>
      <w:r w:rsidRPr="00452559">
        <w:rPr>
          <w:rFonts w:cstheme="minorHAnsi"/>
          <w:sz w:val="24"/>
        </w:rPr>
        <w:t xml:space="preserve">The </w:t>
      </w:r>
      <w:r w:rsidRPr="008D3EA4">
        <w:rPr>
          <w:rFonts w:cstheme="minorHAnsi"/>
          <w:i/>
          <w:sz w:val="24"/>
        </w:rPr>
        <w:t>organisational capacity</w:t>
      </w:r>
      <w:r w:rsidRPr="00452559">
        <w:rPr>
          <w:rFonts w:cstheme="minorHAnsi"/>
          <w:sz w:val="24"/>
        </w:rPr>
        <w:t>, including the capacity to adapt and the capacity to generate development results.</w:t>
      </w:r>
    </w:p>
    <w:p w:rsidR="0061521D" w:rsidRDefault="007F4825" w:rsidP="001A5546">
      <w:pPr>
        <w:rPr>
          <w:rFonts w:asciiTheme="minorHAnsi" w:hAnsiTheme="minorHAnsi" w:cstheme="minorHAnsi"/>
        </w:rPr>
      </w:pPr>
      <w:r>
        <w:rPr>
          <w:rFonts w:asciiTheme="minorHAnsi" w:hAnsiTheme="minorHAnsi" w:cstheme="minorHAnsi"/>
        </w:rPr>
        <w:t>Under the</w:t>
      </w:r>
      <w:r w:rsidR="00337E7E">
        <w:rPr>
          <w:rFonts w:asciiTheme="minorHAnsi" w:hAnsiTheme="minorHAnsi" w:cstheme="minorHAnsi"/>
        </w:rPr>
        <w:t xml:space="preserve"> four proposed</w:t>
      </w:r>
      <w:r>
        <w:rPr>
          <w:rFonts w:asciiTheme="minorHAnsi" w:hAnsiTheme="minorHAnsi" w:cstheme="minorHAnsi"/>
        </w:rPr>
        <w:t xml:space="preserve"> end-of-strategy EPSG outcomes, </w:t>
      </w:r>
      <w:r w:rsidR="0061521D" w:rsidRPr="0061521D">
        <w:rPr>
          <w:rFonts w:asciiTheme="minorHAnsi" w:hAnsiTheme="minorHAnsi" w:cstheme="minorHAnsi"/>
        </w:rPr>
        <w:t>AusAID will support activities where the following conditions can be met:</w:t>
      </w:r>
    </w:p>
    <w:p w:rsidR="00386B2B" w:rsidRDefault="00386B2B" w:rsidP="00386B2B">
      <w:pPr>
        <w:rPr>
          <w:rFonts w:asciiTheme="minorHAnsi" w:hAnsiTheme="minorHAnsi" w:cstheme="minorHAnsi"/>
          <w:b/>
          <w:highlight w:val="yellow"/>
        </w:rPr>
      </w:pPr>
    </w:p>
    <w:p w:rsidR="0018033F" w:rsidRPr="000A4412" w:rsidRDefault="00386B2B" w:rsidP="00A11CCA">
      <w:pPr>
        <w:pStyle w:val="ListParagraph"/>
        <w:numPr>
          <w:ilvl w:val="0"/>
          <w:numId w:val="27"/>
        </w:numPr>
        <w:rPr>
          <w:rFonts w:cstheme="minorHAnsi"/>
        </w:rPr>
      </w:pPr>
      <w:r w:rsidRPr="000A4412">
        <w:rPr>
          <w:rFonts w:cstheme="minorHAnsi"/>
          <w:b/>
          <w:sz w:val="24"/>
        </w:rPr>
        <w:t xml:space="preserve">The </w:t>
      </w:r>
      <w:r w:rsidRPr="000A4412">
        <w:rPr>
          <w:rFonts w:cstheme="minorHAnsi"/>
          <w:b/>
          <w:sz w:val="24"/>
          <w:szCs w:val="24"/>
        </w:rPr>
        <w:t>activity is necessary</w:t>
      </w:r>
      <w:r w:rsidR="001D2A62">
        <w:rPr>
          <w:rFonts w:cstheme="minorHAnsi"/>
          <w:b/>
          <w:sz w:val="24"/>
          <w:szCs w:val="24"/>
        </w:rPr>
        <w:t xml:space="preserve"> </w:t>
      </w:r>
      <w:r w:rsidR="001D2A62" w:rsidRPr="001D2A62">
        <w:rPr>
          <w:rFonts w:cstheme="minorHAnsi"/>
          <w:sz w:val="24"/>
          <w:szCs w:val="24"/>
        </w:rPr>
        <w:t>–</w:t>
      </w:r>
      <w:r w:rsidR="0018033F" w:rsidRPr="0018033F">
        <w:rPr>
          <w:rFonts w:cstheme="minorHAnsi"/>
          <w:sz w:val="24"/>
          <w:szCs w:val="24"/>
        </w:rPr>
        <w:t xml:space="preserve"> </w:t>
      </w:r>
      <w:r w:rsidR="0018033F" w:rsidRPr="000A4412">
        <w:rPr>
          <w:rFonts w:cstheme="minorHAnsi"/>
          <w:sz w:val="24"/>
          <w:szCs w:val="24"/>
        </w:rPr>
        <w:t xml:space="preserve">The activity should be identified within the GoT Corporate </w:t>
      </w:r>
      <w:r w:rsidR="0018033F">
        <w:rPr>
          <w:rFonts w:cstheme="minorHAnsi"/>
          <w:sz w:val="24"/>
          <w:szCs w:val="24"/>
        </w:rPr>
        <w:t>P</w:t>
      </w:r>
      <w:r w:rsidR="000C08F2">
        <w:rPr>
          <w:rFonts w:cstheme="minorHAnsi"/>
          <w:sz w:val="24"/>
          <w:szCs w:val="24"/>
        </w:rPr>
        <w:t>lans and PFM Roadmap as a</w:t>
      </w:r>
      <w:r w:rsidR="001714F1">
        <w:rPr>
          <w:rFonts w:cstheme="minorHAnsi"/>
          <w:sz w:val="24"/>
          <w:szCs w:val="24"/>
        </w:rPr>
        <w:t xml:space="preserve"> key</w:t>
      </w:r>
      <w:r w:rsidR="000C08F2">
        <w:rPr>
          <w:rFonts w:cstheme="minorHAnsi"/>
          <w:sz w:val="24"/>
          <w:szCs w:val="24"/>
        </w:rPr>
        <w:t xml:space="preserve"> priority for</w:t>
      </w:r>
      <w:r w:rsidR="00A054F4">
        <w:rPr>
          <w:rFonts w:cstheme="minorHAnsi"/>
          <w:sz w:val="24"/>
          <w:szCs w:val="24"/>
        </w:rPr>
        <w:t xml:space="preserve"> developing a more efficient and effective</w:t>
      </w:r>
      <w:r w:rsidR="000C08F2">
        <w:rPr>
          <w:rFonts w:cstheme="minorHAnsi"/>
          <w:sz w:val="24"/>
          <w:szCs w:val="24"/>
        </w:rPr>
        <w:t xml:space="preserve"> public sector. </w:t>
      </w:r>
    </w:p>
    <w:p w:rsidR="0018033F" w:rsidRPr="0018033F" w:rsidRDefault="0018033F" w:rsidP="0018033F">
      <w:pPr>
        <w:pStyle w:val="ListParagraph"/>
        <w:ind w:left="360"/>
        <w:rPr>
          <w:rFonts w:cstheme="minorHAnsi"/>
          <w:sz w:val="24"/>
          <w:szCs w:val="24"/>
        </w:rPr>
      </w:pPr>
    </w:p>
    <w:p w:rsidR="00A054F4" w:rsidRPr="00A054F4" w:rsidRDefault="0061521D" w:rsidP="00A11CCA">
      <w:pPr>
        <w:pStyle w:val="ListParagraph"/>
        <w:numPr>
          <w:ilvl w:val="0"/>
          <w:numId w:val="27"/>
        </w:numPr>
        <w:rPr>
          <w:rFonts w:cstheme="minorHAnsi"/>
          <w:sz w:val="24"/>
          <w:szCs w:val="24"/>
        </w:rPr>
      </w:pPr>
      <w:r w:rsidRPr="00A054F4">
        <w:rPr>
          <w:rFonts w:cstheme="minorHAnsi"/>
          <w:b/>
          <w:sz w:val="24"/>
        </w:rPr>
        <w:t>The</w:t>
      </w:r>
      <w:r w:rsidR="000A4412" w:rsidRPr="00A054F4">
        <w:rPr>
          <w:rFonts w:cstheme="minorHAnsi"/>
          <w:b/>
          <w:sz w:val="24"/>
        </w:rPr>
        <w:t xml:space="preserve"> activity is the </w:t>
      </w:r>
      <w:r w:rsidR="000A4412" w:rsidRPr="00A054F4">
        <w:rPr>
          <w:rFonts w:cstheme="minorHAnsi"/>
          <w:b/>
          <w:sz w:val="24"/>
          <w:szCs w:val="24"/>
        </w:rPr>
        <w:t>right solution</w:t>
      </w:r>
      <w:r w:rsidR="001D2A62" w:rsidRPr="00A054F4">
        <w:rPr>
          <w:rFonts w:cstheme="minorHAnsi"/>
          <w:b/>
          <w:sz w:val="24"/>
          <w:szCs w:val="24"/>
        </w:rPr>
        <w:t xml:space="preserve"> </w:t>
      </w:r>
      <w:r w:rsidR="001D2A62" w:rsidRPr="00A054F4">
        <w:rPr>
          <w:rFonts w:cstheme="minorHAnsi"/>
          <w:sz w:val="24"/>
          <w:szCs w:val="24"/>
        </w:rPr>
        <w:t>–</w:t>
      </w:r>
      <w:r w:rsidR="000A4412" w:rsidRPr="00A054F4">
        <w:rPr>
          <w:rFonts w:cstheme="minorHAnsi"/>
          <w:b/>
          <w:sz w:val="24"/>
          <w:szCs w:val="24"/>
        </w:rPr>
        <w:t xml:space="preserve"> </w:t>
      </w:r>
      <w:r w:rsidR="0018033F" w:rsidRPr="00A054F4">
        <w:rPr>
          <w:rFonts w:cstheme="minorHAnsi"/>
          <w:sz w:val="24"/>
          <w:szCs w:val="24"/>
        </w:rPr>
        <w:t>The activity should be aligned with the TSDF and should support achievement of the Policy Reform Matrix.</w:t>
      </w:r>
      <w:r w:rsidR="00BC11A8">
        <w:rPr>
          <w:rFonts w:cstheme="minorHAnsi"/>
          <w:sz w:val="24"/>
          <w:szCs w:val="24"/>
        </w:rPr>
        <w:t xml:space="preserve"> AusAID will consider the environment in which GoT agencies operate to ensure that activities are both politically feasible and</w:t>
      </w:r>
      <w:r w:rsidR="004D5843">
        <w:rPr>
          <w:rFonts w:cstheme="minorHAnsi"/>
          <w:sz w:val="24"/>
          <w:szCs w:val="24"/>
        </w:rPr>
        <w:t xml:space="preserve"> are likely to achieve desired end-of-strategy outcomes.</w:t>
      </w:r>
    </w:p>
    <w:p w:rsidR="000A4412" w:rsidRPr="000A4412" w:rsidRDefault="000A4412" w:rsidP="000A4412">
      <w:pPr>
        <w:pStyle w:val="ListParagraph"/>
        <w:ind w:left="360"/>
        <w:rPr>
          <w:rFonts w:cstheme="minorHAnsi"/>
        </w:rPr>
      </w:pPr>
    </w:p>
    <w:p w:rsidR="0061521D" w:rsidRPr="000A4412" w:rsidRDefault="0061521D" w:rsidP="00A11CCA">
      <w:pPr>
        <w:pStyle w:val="ListParagraph"/>
        <w:numPr>
          <w:ilvl w:val="0"/>
          <w:numId w:val="27"/>
        </w:numPr>
        <w:spacing w:before="240"/>
        <w:rPr>
          <w:rFonts w:cstheme="minorHAnsi"/>
          <w:sz w:val="24"/>
          <w:szCs w:val="24"/>
        </w:rPr>
      </w:pPr>
      <w:r w:rsidRPr="000A4412">
        <w:rPr>
          <w:rFonts w:cstheme="minorHAnsi"/>
          <w:b/>
          <w:sz w:val="24"/>
          <w:szCs w:val="24"/>
        </w:rPr>
        <w:t>The activity can be implemented</w:t>
      </w:r>
      <w:r w:rsidR="006208B9" w:rsidRPr="000A4412">
        <w:rPr>
          <w:rFonts w:cstheme="minorHAnsi"/>
          <w:b/>
          <w:sz w:val="24"/>
          <w:szCs w:val="24"/>
        </w:rPr>
        <w:t xml:space="preserve"> and/or managed on an on-going basis</w:t>
      </w:r>
      <w:r w:rsidRPr="000A4412">
        <w:rPr>
          <w:rFonts w:cstheme="minorHAnsi"/>
          <w:b/>
          <w:sz w:val="24"/>
          <w:szCs w:val="24"/>
        </w:rPr>
        <w:t xml:space="preserve"> by GoT agencies</w:t>
      </w:r>
      <w:r w:rsidR="001D2A62">
        <w:rPr>
          <w:rFonts w:cstheme="minorHAnsi"/>
          <w:b/>
          <w:sz w:val="24"/>
          <w:szCs w:val="24"/>
        </w:rPr>
        <w:t xml:space="preserve"> </w:t>
      </w:r>
      <w:r w:rsidR="001D2A62" w:rsidRPr="001D2A62">
        <w:rPr>
          <w:rFonts w:cstheme="minorHAnsi"/>
          <w:sz w:val="24"/>
          <w:szCs w:val="24"/>
        </w:rPr>
        <w:t>–</w:t>
      </w:r>
      <w:r w:rsidR="000A4412" w:rsidRPr="000A4412">
        <w:rPr>
          <w:rFonts w:cstheme="minorHAnsi"/>
          <w:b/>
          <w:sz w:val="24"/>
          <w:szCs w:val="24"/>
        </w:rPr>
        <w:t xml:space="preserve"> </w:t>
      </w:r>
      <w:r w:rsidRPr="000A4412">
        <w:rPr>
          <w:rFonts w:cstheme="minorHAnsi"/>
          <w:sz w:val="24"/>
          <w:szCs w:val="24"/>
        </w:rPr>
        <w:t>A readiness assessment of the partner agency s</w:t>
      </w:r>
      <w:r w:rsidR="000A4412" w:rsidRPr="000A4412">
        <w:rPr>
          <w:rFonts w:cstheme="minorHAnsi"/>
          <w:sz w:val="24"/>
          <w:szCs w:val="24"/>
        </w:rPr>
        <w:t>hould be</w:t>
      </w:r>
      <w:r w:rsidRPr="000A4412">
        <w:rPr>
          <w:rFonts w:cstheme="minorHAnsi"/>
          <w:sz w:val="24"/>
          <w:szCs w:val="24"/>
        </w:rPr>
        <w:t xml:space="preserve"> conducted bef</w:t>
      </w:r>
      <w:r w:rsidR="00B81AA1">
        <w:rPr>
          <w:rFonts w:cstheme="minorHAnsi"/>
          <w:sz w:val="24"/>
          <w:szCs w:val="24"/>
        </w:rPr>
        <w:t>ore assigning long-term advisory support</w:t>
      </w:r>
      <w:r w:rsidR="00D033D5">
        <w:rPr>
          <w:rFonts w:cstheme="minorHAnsi"/>
          <w:sz w:val="24"/>
          <w:szCs w:val="24"/>
        </w:rPr>
        <w:t xml:space="preserve"> or other capacity development approaches</w:t>
      </w:r>
      <w:r w:rsidRPr="000A4412">
        <w:rPr>
          <w:rFonts w:cstheme="minorHAnsi"/>
          <w:sz w:val="24"/>
          <w:szCs w:val="24"/>
        </w:rPr>
        <w:t>, ensuring that:</w:t>
      </w:r>
    </w:p>
    <w:p w:rsidR="00A054F4" w:rsidRDefault="00A054F4" w:rsidP="00A11CCA">
      <w:pPr>
        <w:pStyle w:val="ListParagraph"/>
        <w:numPr>
          <w:ilvl w:val="0"/>
          <w:numId w:val="13"/>
        </w:numPr>
        <w:jc w:val="both"/>
        <w:rPr>
          <w:rFonts w:cstheme="minorHAnsi"/>
          <w:sz w:val="24"/>
          <w:szCs w:val="24"/>
        </w:rPr>
      </w:pPr>
      <w:r w:rsidRPr="0061521D">
        <w:rPr>
          <w:rFonts w:cstheme="minorHAnsi"/>
          <w:sz w:val="24"/>
          <w:szCs w:val="24"/>
        </w:rPr>
        <w:t xml:space="preserve">There is a baseline competency and functional assessment conducted </w:t>
      </w:r>
      <w:r w:rsidR="00D033D5">
        <w:rPr>
          <w:rFonts w:cstheme="minorHAnsi"/>
          <w:sz w:val="24"/>
          <w:szCs w:val="24"/>
        </w:rPr>
        <w:t>as part of assessing which capacity development approach will deliver the impact expected</w:t>
      </w:r>
      <w:r>
        <w:rPr>
          <w:rFonts w:cstheme="minorHAnsi"/>
          <w:sz w:val="24"/>
          <w:szCs w:val="24"/>
        </w:rPr>
        <w:t>;</w:t>
      </w:r>
    </w:p>
    <w:p w:rsidR="0061521D" w:rsidRPr="0061521D" w:rsidRDefault="0061521D" w:rsidP="00A11CCA">
      <w:pPr>
        <w:pStyle w:val="ListParagraph"/>
        <w:numPr>
          <w:ilvl w:val="0"/>
          <w:numId w:val="13"/>
        </w:numPr>
        <w:jc w:val="both"/>
        <w:rPr>
          <w:rFonts w:cstheme="minorHAnsi"/>
          <w:sz w:val="24"/>
          <w:szCs w:val="24"/>
        </w:rPr>
      </w:pPr>
      <w:r w:rsidRPr="0061521D">
        <w:rPr>
          <w:rFonts w:cstheme="minorHAnsi"/>
          <w:sz w:val="24"/>
          <w:szCs w:val="24"/>
        </w:rPr>
        <w:t xml:space="preserve">There is at least one appropriate counterpart </w:t>
      </w:r>
      <w:r w:rsidR="00D033D5">
        <w:rPr>
          <w:rFonts w:cstheme="minorHAnsi"/>
          <w:sz w:val="24"/>
          <w:szCs w:val="24"/>
        </w:rPr>
        <w:t xml:space="preserve">(preferably more) </w:t>
      </w:r>
      <w:r w:rsidRPr="0061521D">
        <w:rPr>
          <w:rFonts w:cstheme="minorHAnsi"/>
          <w:sz w:val="24"/>
          <w:szCs w:val="24"/>
        </w:rPr>
        <w:t xml:space="preserve">assigned time and space to engage with </w:t>
      </w:r>
      <w:r w:rsidR="00D033D5">
        <w:rPr>
          <w:rFonts w:cstheme="minorHAnsi"/>
          <w:sz w:val="24"/>
          <w:szCs w:val="24"/>
        </w:rPr>
        <w:t>an</w:t>
      </w:r>
      <w:r w:rsidR="00D033D5" w:rsidRPr="0061521D">
        <w:rPr>
          <w:rFonts w:cstheme="minorHAnsi"/>
          <w:sz w:val="24"/>
          <w:szCs w:val="24"/>
        </w:rPr>
        <w:t xml:space="preserve"> </w:t>
      </w:r>
      <w:r w:rsidRPr="0061521D">
        <w:rPr>
          <w:rFonts w:cstheme="minorHAnsi"/>
          <w:sz w:val="24"/>
          <w:szCs w:val="24"/>
        </w:rPr>
        <w:t>adviser for the duration of the assignment; and</w:t>
      </w:r>
    </w:p>
    <w:p w:rsidR="00B81AA1" w:rsidRPr="0061521D" w:rsidRDefault="00B81AA1" w:rsidP="00A11CCA">
      <w:pPr>
        <w:pStyle w:val="ListParagraph"/>
        <w:numPr>
          <w:ilvl w:val="0"/>
          <w:numId w:val="13"/>
        </w:numPr>
        <w:spacing w:before="240"/>
        <w:jc w:val="both"/>
        <w:rPr>
          <w:rFonts w:cstheme="minorHAnsi"/>
          <w:sz w:val="24"/>
          <w:szCs w:val="24"/>
        </w:rPr>
      </w:pPr>
      <w:r w:rsidRPr="0061521D">
        <w:rPr>
          <w:rFonts w:cstheme="minorHAnsi"/>
          <w:sz w:val="24"/>
          <w:szCs w:val="24"/>
        </w:rPr>
        <w:t xml:space="preserve">Advisers and related human resource development activities </w:t>
      </w:r>
      <w:r w:rsidR="00D033D5">
        <w:rPr>
          <w:rFonts w:cstheme="minorHAnsi"/>
          <w:sz w:val="24"/>
          <w:szCs w:val="24"/>
        </w:rPr>
        <w:t xml:space="preserve">contribute to structured </w:t>
      </w:r>
      <w:r w:rsidRPr="0061521D">
        <w:rPr>
          <w:rFonts w:cstheme="minorHAnsi"/>
          <w:sz w:val="24"/>
          <w:szCs w:val="24"/>
        </w:rPr>
        <w:t xml:space="preserve">approaches for </w:t>
      </w:r>
      <w:r w:rsidR="00A054F4">
        <w:rPr>
          <w:rFonts w:cstheme="minorHAnsi"/>
          <w:sz w:val="24"/>
          <w:szCs w:val="24"/>
        </w:rPr>
        <w:t>human resource development</w:t>
      </w:r>
      <w:r w:rsidR="00D033D5">
        <w:rPr>
          <w:rFonts w:cstheme="minorHAnsi"/>
          <w:sz w:val="24"/>
          <w:szCs w:val="24"/>
        </w:rPr>
        <w:t xml:space="preserve"> in counterpart ministries</w:t>
      </w:r>
      <w:r w:rsidR="00A054F4">
        <w:rPr>
          <w:rFonts w:cstheme="minorHAnsi"/>
          <w:sz w:val="24"/>
          <w:szCs w:val="24"/>
        </w:rPr>
        <w:t>.</w:t>
      </w:r>
    </w:p>
    <w:p w:rsidR="0061521D" w:rsidRPr="0061521D" w:rsidRDefault="0061521D" w:rsidP="000A4412">
      <w:pPr>
        <w:pStyle w:val="ListParagraph"/>
        <w:ind w:left="360"/>
        <w:jc w:val="both"/>
        <w:rPr>
          <w:rFonts w:cstheme="minorHAnsi"/>
          <w:sz w:val="24"/>
          <w:szCs w:val="24"/>
        </w:rPr>
      </w:pPr>
    </w:p>
    <w:p w:rsidR="0061521D" w:rsidRPr="000A4412" w:rsidRDefault="0061521D" w:rsidP="00A11CCA">
      <w:pPr>
        <w:pStyle w:val="ListParagraph"/>
        <w:numPr>
          <w:ilvl w:val="0"/>
          <w:numId w:val="27"/>
        </w:numPr>
        <w:rPr>
          <w:rFonts w:cstheme="minorHAnsi"/>
          <w:sz w:val="24"/>
          <w:szCs w:val="24"/>
        </w:rPr>
      </w:pPr>
      <w:r w:rsidRPr="000A4412">
        <w:rPr>
          <w:rFonts w:cstheme="minorHAnsi"/>
          <w:b/>
          <w:sz w:val="24"/>
          <w:szCs w:val="24"/>
        </w:rPr>
        <w:t>The activity will be supported</w:t>
      </w:r>
      <w:r w:rsidR="001D2A62">
        <w:rPr>
          <w:rFonts w:cstheme="minorHAnsi"/>
          <w:b/>
          <w:sz w:val="24"/>
          <w:szCs w:val="24"/>
        </w:rPr>
        <w:t xml:space="preserve"> </w:t>
      </w:r>
      <w:r w:rsidR="001D2A62" w:rsidRPr="001D2A62">
        <w:rPr>
          <w:rFonts w:cstheme="minorHAnsi"/>
          <w:sz w:val="24"/>
          <w:szCs w:val="24"/>
        </w:rPr>
        <w:t>–</w:t>
      </w:r>
      <w:r w:rsidR="000A4412" w:rsidRPr="000A4412">
        <w:rPr>
          <w:rFonts w:cstheme="minorHAnsi"/>
          <w:b/>
          <w:sz w:val="24"/>
          <w:szCs w:val="24"/>
        </w:rPr>
        <w:t xml:space="preserve"> </w:t>
      </w:r>
      <w:r w:rsidRPr="000A4412">
        <w:rPr>
          <w:rFonts w:cstheme="minorHAnsi"/>
          <w:sz w:val="24"/>
          <w:szCs w:val="24"/>
        </w:rPr>
        <w:t xml:space="preserve">The activity </w:t>
      </w:r>
      <w:r w:rsidR="000A4412" w:rsidRPr="000A4412">
        <w:rPr>
          <w:rFonts w:cstheme="minorHAnsi"/>
          <w:sz w:val="24"/>
          <w:szCs w:val="24"/>
        </w:rPr>
        <w:t>should display</w:t>
      </w:r>
      <w:r w:rsidRPr="000A4412">
        <w:rPr>
          <w:rFonts w:cstheme="minorHAnsi"/>
          <w:sz w:val="24"/>
          <w:szCs w:val="24"/>
        </w:rPr>
        <w:t xml:space="preserve"> mutual accountability between GoA and GoT; and</w:t>
      </w:r>
      <w:r w:rsidR="0018033F">
        <w:rPr>
          <w:rFonts w:cstheme="minorHAnsi"/>
          <w:sz w:val="24"/>
          <w:szCs w:val="24"/>
        </w:rPr>
        <w:t xml:space="preserve">, where possible, the activity </w:t>
      </w:r>
      <w:r w:rsidRPr="000A4412">
        <w:rPr>
          <w:rFonts w:cstheme="minorHAnsi"/>
          <w:sz w:val="24"/>
          <w:szCs w:val="24"/>
        </w:rPr>
        <w:t>s</w:t>
      </w:r>
      <w:r w:rsidR="0018033F">
        <w:rPr>
          <w:rFonts w:cstheme="minorHAnsi"/>
          <w:sz w:val="24"/>
          <w:szCs w:val="24"/>
        </w:rPr>
        <w:t>hould be</w:t>
      </w:r>
      <w:r w:rsidRPr="000A4412">
        <w:rPr>
          <w:rFonts w:cstheme="minorHAnsi"/>
          <w:sz w:val="24"/>
          <w:szCs w:val="24"/>
        </w:rPr>
        <w:t xml:space="preserve"> underpinned by effective inter-ministerial coordination for policy, economic governance and human resource development for overall effective economic and public sector governance.</w:t>
      </w:r>
      <w:r w:rsidR="00F11760" w:rsidRPr="000A4412">
        <w:rPr>
          <w:rFonts w:cstheme="minorHAnsi"/>
          <w:sz w:val="24"/>
          <w:szCs w:val="24"/>
        </w:rPr>
        <w:t xml:space="preserve"> This ensures that the targeted public sector agencies have the necessary support to institutionalise the proposed changes</w:t>
      </w:r>
      <w:r w:rsidR="009913FB">
        <w:rPr>
          <w:rFonts w:cstheme="minorHAnsi"/>
          <w:sz w:val="24"/>
          <w:szCs w:val="24"/>
        </w:rPr>
        <w:t>, including levels of recurrent funding which allow the agency to deliver programs in its corporate plan</w:t>
      </w:r>
      <w:r w:rsidR="00F11760" w:rsidRPr="000A4412">
        <w:rPr>
          <w:rFonts w:cstheme="minorHAnsi"/>
          <w:sz w:val="24"/>
          <w:szCs w:val="24"/>
        </w:rPr>
        <w:t>.</w:t>
      </w:r>
    </w:p>
    <w:p w:rsidR="0061521D" w:rsidRPr="0061521D" w:rsidRDefault="0061521D" w:rsidP="000A4412">
      <w:pPr>
        <w:pStyle w:val="ListParagraph"/>
        <w:ind w:left="360"/>
        <w:jc w:val="both"/>
        <w:rPr>
          <w:rFonts w:cstheme="minorHAnsi"/>
          <w:sz w:val="24"/>
          <w:szCs w:val="24"/>
        </w:rPr>
      </w:pPr>
    </w:p>
    <w:p w:rsidR="0061521D" w:rsidRPr="000A4412" w:rsidRDefault="0061521D" w:rsidP="00A11CCA">
      <w:pPr>
        <w:pStyle w:val="ListParagraph"/>
        <w:numPr>
          <w:ilvl w:val="0"/>
          <w:numId w:val="27"/>
        </w:numPr>
        <w:rPr>
          <w:rFonts w:eastAsia="Times New Roman" w:cstheme="minorHAnsi"/>
          <w:sz w:val="24"/>
          <w:szCs w:val="24"/>
          <w:lang w:eastAsia="en-AU"/>
        </w:rPr>
      </w:pPr>
      <w:r w:rsidRPr="000A4412">
        <w:rPr>
          <w:rFonts w:cstheme="minorHAnsi"/>
          <w:b/>
          <w:sz w:val="24"/>
        </w:rPr>
        <w:t xml:space="preserve">The activity provides benefits for </w:t>
      </w:r>
      <w:r w:rsidR="000E113A" w:rsidRPr="000A4412">
        <w:rPr>
          <w:rFonts w:cstheme="minorHAnsi"/>
          <w:b/>
          <w:sz w:val="24"/>
        </w:rPr>
        <w:t>stakeholders</w:t>
      </w:r>
      <w:r w:rsidR="001D2A62">
        <w:rPr>
          <w:rFonts w:cstheme="minorHAnsi"/>
          <w:b/>
          <w:sz w:val="24"/>
        </w:rPr>
        <w:t xml:space="preserve"> </w:t>
      </w:r>
      <w:r w:rsidR="001D2A62" w:rsidRPr="001D2A62">
        <w:rPr>
          <w:rFonts w:cstheme="minorHAnsi"/>
          <w:sz w:val="24"/>
          <w:szCs w:val="24"/>
        </w:rPr>
        <w:t>–</w:t>
      </w:r>
      <w:r w:rsidRPr="000A4412">
        <w:rPr>
          <w:rFonts w:cstheme="minorHAnsi"/>
          <w:b/>
          <w:sz w:val="24"/>
        </w:rPr>
        <w:t xml:space="preserve"> </w:t>
      </w:r>
      <w:r w:rsidR="000A4412" w:rsidRPr="000A4412">
        <w:rPr>
          <w:rFonts w:cstheme="minorHAnsi"/>
          <w:sz w:val="24"/>
        </w:rPr>
        <w:t>The</w:t>
      </w:r>
      <w:r w:rsidR="000A4412">
        <w:rPr>
          <w:rFonts w:cstheme="minorHAnsi"/>
          <w:b/>
          <w:sz w:val="24"/>
        </w:rPr>
        <w:t xml:space="preserve"> </w:t>
      </w:r>
      <w:r w:rsidR="0018033F" w:rsidRPr="0018033F">
        <w:rPr>
          <w:rFonts w:cstheme="minorHAnsi"/>
          <w:sz w:val="24"/>
        </w:rPr>
        <w:t>activity</w:t>
      </w:r>
      <w:r w:rsidR="0018033F">
        <w:rPr>
          <w:rFonts w:cstheme="minorHAnsi"/>
          <w:b/>
          <w:sz w:val="24"/>
        </w:rPr>
        <w:t xml:space="preserve"> </w:t>
      </w:r>
      <w:r w:rsidR="000A4412" w:rsidRPr="000A4412">
        <w:rPr>
          <w:rFonts w:eastAsia="Times New Roman" w:cstheme="minorHAnsi"/>
          <w:sz w:val="24"/>
          <w:szCs w:val="24"/>
          <w:lang w:eastAsia="en-AU"/>
        </w:rPr>
        <w:t>should be able</w:t>
      </w:r>
      <w:r w:rsidRPr="000A4412">
        <w:rPr>
          <w:rFonts w:eastAsia="Times New Roman" w:cstheme="minorHAnsi"/>
          <w:sz w:val="24"/>
          <w:szCs w:val="24"/>
          <w:lang w:eastAsia="en-AU"/>
        </w:rPr>
        <w:t xml:space="preserve"> to provide clear results</w:t>
      </w:r>
      <w:r w:rsidR="000E113A" w:rsidRPr="000A4412">
        <w:rPr>
          <w:rFonts w:eastAsia="Times New Roman" w:cstheme="minorHAnsi"/>
          <w:sz w:val="24"/>
          <w:szCs w:val="24"/>
          <w:lang w:eastAsia="en-AU"/>
        </w:rPr>
        <w:t xml:space="preserve"> </w:t>
      </w:r>
      <w:r w:rsidRPr="000A4412">
        <w:rPr>
          <w:rFonts w:eastAsia="Times New Roman" w:cstheme="minorHAnsi"/>
          <w:sz w:val="24"/>
          <w:szCs w:val="24"/>
          <w:lang w:eastAsia="en-AU"/>
        </w:rPr>
        <w:t>to ensure the delivery of Australia’s</w:t>
      </w:r>
      <w:r w:rsidR="009913FB">
        <w:rPr>
          <w:rFonts w:eastAsia="Times New Roman" w:cstheme="minorHAnsi"/>
          <w:sz w:val="24"/>
          <w:szCs w:val="24"/>
          <w:lang w:eastAsia="en-AU"/>
        </w:rPr>
        <w:t xml:space="preserve"> broader</w:t>
      </w:r>
      <w:r w:rsidRPr="000A4412">
        <w:rPr>
          <w:rFonts w:eastAsia="Times New Roman" w:cstheme="minorHAnsi"/>
          <w:sz w:val="24"/>
          <w:szCs w:val="24"/>
          <w:lang w:eastAsia="en-AU"/>
        </w:rPr>
        <w:t xml:space="preserve"> aid program is more efficient and effective, in line with the recommendations of </w:t>
      </w:r>
      <w:r w:rsidR="00075F3B" w:rsidRPr="000A4412">
        <w:rPr>
          <w:rFonts w:eastAsia="Times New Roman" w:cstheme="minorHAnsi"/>
          <w:sz w:val="24"/>
          <w:szCs w:val="24"/>
          <w:lang w:eastAsia="en-AU"/>
        </w:rPr>
        <w:t>AusAID’s</w:t>
      </w:r>
      <w:r w:rsidRPr="000A4412">
        <w:rPr>
          <w:rFonts w:eastAsia="Times New Roman" w:cstheme="minorHAnsi"/>
          <w:sz w:val="24"/>
          <w:szCs w:val="24"/>
          <w:lang w:eastAsia="en-AU"/>
        </w:rPr>
        <w:t xml:space="preserve"> Comprehensive Aid Policy Framework.</w:t>
      </w:r>
    </w:p>
    <w:p w:rsidR="00A22247" w:rsidRPr="00DE3185" w:rsidRDefault="00AA7663" w:rsidP="00A11CCA">
      <w:pPr>
        <w:pStyle w:val="Heading2"/>
        <w:numPr>
          <w:ilvl w:val="1"/>
          <w:numId w:val="2"/>
        </w:numPr>
        <w:spacing w:before="0"/>
        <w:rPr>
          <w:sz w:val="24"/>
        </w:rPr>
      </w:pPr>
      <w:bookmarkStart w:id="13" w:name="_Toc356389368"/>
      <w:r w:rsidRPr="00DE3185">
        <w:rPr>
          <w:sz w:val="24"/>
        </w:rPr>
        <w:t xml:space="preserve">The role Tonga’s development partners </w:t>
      </w:r>
      <w:r w:rsidR="00F853CE" w:rsidRPr="00DE3185">
        <w:rPr>
          <w:sz w:val="24"/>
        </w:rPr>
        <w:t>are playing in the change process</w:t>
      </w:r>
      <w:bookmarkEnd w:id="13"/>
    </w:p>
    <w:p w:rsidR="0031713D" w:rsidRDefault="0031713D" w:rsidP="001A5546"/>
    <w:p w:rsidR="00081712" w:rsidRPr="00950FD6" w:rsidRDefault="001015A1" w:rsidP="001A5546">
      <w:pPr>
        <w:rPr>
          <w:rFonts w:asciiTheme="minorHAnsi" w:hAnsiTheme="minorHAnsi" w:cstheme="minorHAnsi"/>
        </w:rPr>
      </w:pPr>
      <w:r w:rsidRPr="00DE3185">
        <w:rPr>
          <w:rFonts w:asciiTheme="minorHAnsi" w:hAnsiTheme="minorHAnsi" w:cstheme="minorHAnsi"/>
        </w:rPr>
        <w:t xml:space="preserve">There are </w:t>
      </w:r>
      <w:r w:rsidR="00DE3185" w:rsidRPr="00DE3185">
        <w:rPr>
          <w:rFonts w:asciiTheme="minorHAnsi" w:hAnsiTheme="minorHAnsi" w:cstheme="minorHAnsi"/>
        </w:rPr>
        <w:t>relatively few</w:t>
      </w:r>
      <w:r w:rsidRPr="00DE3185">
        <w:rPr>
          <w:rFonts w:asciiTheme="minorHAnsi" w:hAnsiTheme="minorHAnsi" w:cstheme="minorHAnsi"/>
        </w:rPr>
        <w:t xml:space="preserve"> development</w:t>
      </w:r>
      <w:r w:rsidR="003F40C3" w:rsidRPr="00DE3185">
        <w:rPr>
          <w:rFonts w:asciiTheme="minorHAnsi" w:hAnsiTheme="minorHAnsi" w:cstheme="minorHAnsi"/>
        </w:rPr>
        <w:t xml:space="preserve"> partners</w:t>
      </w:r>
      <w:r w:rsidRPr="00DE3185">
        <w:rPr>
          <w:rFonts w:asciiTheme="minorHAnsi" w:hAnsiTheme="minorHAnsi" w:cstheme="minorHAnsi"/>
        </w:rPr>
        <w:t xml:space="preserve"> </w:t>
      </w:r>
      <w:r w:rsidR="00E24651">
        <w:rPr>
          <w:rFonts w:asciiTheme="minorHAnsi" w:hAnsiTheme="minorHAnsi" w:cstheme="minorHAnsi"/>
        </w:rPr>
        <w:t>providing direct support</w:t>
      </w:r>
      <w:r w:rsidR="00EF20AD">
        <w:rPr>
          <w:rFonts w:asciiTheme="minorHAnsi" w:hAnsiTheme="minorHAnsi" w:cstheme="minorHAnsi"/>
        </w:rPr>
        <w:t xml:space="preserve"> in favour of</w:t>
      </w:r>
      <w:r w:rsidR="003F40C3" w:rsidRPr="00DE3185">
        <w:rPr>
          <w:rFonts w:asciiTheme="minorHAnsi" w:hAnsiTheme="minorHAnsi" w:cstheme="minorHAnsi"/>
        </w:rPr>
        <w:t xml:space="preserve"> </w:t>
      </w:r>
      <w:r w:rsidR="00DE3185" w:rsidRPr="00DE3185">
        <w:rPr>
          <w:rFonts w:asciiTheme="minorHAnsi" w:hAnsiTheme="minorHAnsi" w:cstheme="minorHAnsi"/>
        </w:rPr>
        <w:t xml:space="preserve">economic and public sector </w:t>
      </w:r>
      <w:r w:rsidR="00EF20AD">
        <w:rPr>
          <w:rFonts w:asciiTheme="minorHAnsi" w:hAnsiTheme="minorHAnsi" w:cstheme="minorHAnsi"/>
        </w:rPr>
        <w:t>reform in Tonga</w:t>
      </w:r>
      <w:r w:rsidR="00DE3185" w:rsidRPr="00DE3185">
        <w:rPr>
          <w:rFonts w:asciiTheme="minorHAnsi" w:hAnsiTheme="minorHAnsi" w:cstheme="minorHAnsi"/>
        </w:rPr>
        <w:t>.</w:t>
      </w:r>
      <w:r w:rsidR="00DE3185">
        <w:rPr>
          <w:rFonts w:asciiTheme="minorHAnsi" w:hAnsiTheme="minorHAnsi" w:cstheme="minorHAnsi"/>
        </w:rPr>
        <w:t xml:space="preserve"> </w:t>
      </w:r>
      <w:r w:rsidR="00062D34">
        <w:rPr>
          <w:rFonts w:asciiTheme="minorHAnsi" w:hAnsiTheme="minorHAnsi" w:cstheme="minorHAnsi"/>
        </w:rPr>
        <w:t>E</w:t>
      </w:r>
      <w:r w:rsidR="005A7CEB" w:rsidRPr="00840218">
        <w:rPr>
          <w:rFonts w:asciiTheme="minorHAnsi" w:hAnsiTheme="minorHAnsi" w:cstheme="minorHAnsi"/>
        </w:rPr>
        <w:t>fforts to coordinate development partner engagement around a joint Policy Reform Matrix</w:t>
      </w:r>
      <w:r w:rsidR="00062D34">
        <w:rPr>
          <w:rFonts w:asciiTheme="minorHAnsi" w:hAnsiTheme="minorHAnsi" w:cstheme="minorHAnsi"/>
        </w:rPr>
        <w:t xml:space="preserve"> have been </w:t>
      </w:r>
      <w:r w:rsidR="00E24651">
        <w:rPr>
          <w:rFonts w:asciiTheme="minorHAnsi" w:hAnsiTheme="minorHAnsi" w:cstheme="minorHAnsi"/>
        </w:rPr>
        <w:t xml:space="preserve">successful and </w:t>
      </w:r>
      <w:r w:rsidR="00805A71">
        <w:rPr>
          <w:rFonts w:asciiTheme="minorHAnsi" w:hAnsiTheme="minorHAnsi" w:cstheme="minorHAnsi"/>
        </w:rPr>
        <w:t xml:space="preserve">engagement with the GoT on reform priorities has </w:t>
      </w:r>
      <w:r w:rsidR="00E24651">
        <w:rPr>
          <w:rFonts w:asciiTheme="minorHAnsi" w:hAnsiTheme="minorHAnsi" w:cstheme="minorHAnsi"/>
        </w:rPr>
        <w:t xml:space="preserve">been </w:t>
      </w:r>
      <w:r w:rsidR="00062D34">
        <w:rPr>
          <w:rFonts w:asciiTheme="minorHAnsi" w:hAnsiTheme="minorHAnsi" w:cstheme="minorHAnsi"/>
        </w:rPr>
        <w:t>led by the World Bank</w:t>
      </w:r>
      <w:r w:rsidR="005A7CEB" w:rsidRPr="00840218">
        <w:rPr>
          <w:rFonts w:asciiTheme="minorHAnsi" w:hAnsiTheme="minorHAnsi" w:cstheme="minorHAnsi"/>
        </w:rPr>
        <w:t xml:space="preserve">. The Bank represents all donors </w:t>
      </w:r>
      <w:r w:rsidR="005A7CEB" w:rsidRPr="005A7CEB">
        <w:rPr>
          <w:rFonts w:asciiTheme="minorHAnsi" w:hAnsiTheme="minorHAnsi" w:cstheme="minorHAnsi"/>
        </w:rPr>
        <w:t xml:space="preserve">providing budget support </w:t>
      </w:r>
      <w:r w:rsidR="00E24651">
        <w:rPr>
          <w:rFonts w:asciiTheme="minorHAnsi" w:hAnsiTheme="minorHAnsi" w:cstheme="minorHAnsi"/>
        </w:rPr>
        <w:t xml:space="preserve">by participating in </w:t>
      </w:r>
      <w:r w:rsidR="005A7CEB" w:rsidRPr="005A7CEB">
        <w:rPr>
          <w:rFonts w:asciiTheme="minorHAnsi" w:hAnsiTheme="minorHAnsi" w:cstheme="minorHAnsi"/>
        </w:rPr>
        <w:t>Budg</w:t>
      </w:r>
      <w:r w:rsidR="00E24651">
        <w:rPr>
          <w:rFonts w:asciiTheme="minorHAnsi" w:hAnsiTheme="minorHAnsi" w:cstheme="minorHAnsi"/>
        </w:rPr>
        <w:t>et Support Management Committee (</w:t>
      </w:r>
      <w:r w:rsidR="005A7CEB" w:rsidRPr="005A7CEB">
        <w:rPr>
          <w:rFonts w:asciiTheme="minorHAnsi" w:hAnsiTheme="minorHAnsi" w:cstheme="minorHAnsi"/>
        </w:rPr>
        <w:t>the primary mechanism for formal dialogue regarding selection of and monitoring progress against policy actions</w:t>
      </w:r>
      <w:r w:rsidR="00E24651">
        <w:rPr>
          <w:rFonts w:asciiTheme="minorHAnsi" w:hAnsiTheme="minorHAnsi" w:cstheme="minorHAnsi"/>
        </w:rPr>
        <w:t>) meetings</w:t>
      </w:r>
      <w:r w:rsidR="005A7CEB" w:rsidRPr="005A7CEB">
        <w:rPr>
          <w:rFonts w:asciiTheme="minorHAnsi" w:hAnsiTheme="minorHAnsi" w:cstheme="minorHAnsi"/>
        </w:rPr>
        <w:t>.</w:t>
      </w:r>
      <w:r w:rsidR="00840218" w:rsidRPr="00840218">
        <w:rPr>
          <w:rFonts w:asciiTheme="minorHAnsi" w:hAnsiTheme="minorHAnsi" w:cstheme="minorHAnsi"/>
        </w:rPr>
        <w:t xml:space="preserve"> </w:t>
      </w:r>
      <w:r w:rsidR="00062D34">
        <w:rPr>
          <w:rFonts w:asciiTheme="minorHAnsi" w:hAnsiTheme="minorHAnsi" w:cstheme="minorHAnsi"/>
        </w:rPr>
        <w:t xml:space="preserve">By providing a single point of contact between donors and Government, the Policy Reform Matrix has helped reduce the strain of coordination on Government and reflected the strength of </w:t>
      </w:r>
      <w:r w:rsidR="00E24651">
        <w:rPr>
          <w:rFonts w:asciiTheme="minorHAnsi" w:hAnsiTheme="minorHAnsi" w:cstheme="minorHAnsi"/>
        </w:rPr>
        <w:t xml:space="preserve">economic policy </w:t>
      </w:r>
      <w:r w:rsidR="00062D34">
        <w:rPr>
          <w:rFonts w:asciiTheme="minorHAnsi" w:hAnsiTheme="minorHAnsi" w:cstheme="minorHAnsi"/>
        </w:rPr>
        <w:t xml:space="preserve">dialogue between the Bank and the Government. </w:t>
      </w:r>
      <w:r w:rsidR="00E24651">
        <w:rPr>
          <w:rFonts w:asciiTheme="minorHAnsi" w:hAnsiTheme="minorHAnsi" w:cstheme="minorHAnsi"/>
        </w:rPr>
        <w:t>The Asian Development Bank</w:t>
      </w:r>
      <w:r w:rsidR="00075F3B">
        <w:rPr>
          <w:rFonts w:asciiTheme="minorHAnsi" w:hAnsiTheme="minorHAnsi" w:cstheme="minorHAnsi"/>
        </w:rPr>
        <w:t xml:space="preserve"> (ADB)</w:t>
      </w:r>
      <w:r w:rsidR="00840218" w:rsidRPr="00840218">
        <w:rPr>
          <w:rFonts w:asciiTheme="minorHAnsi" w:eastAsiaTheme="minorHAnsi" w:hAnsiTheme="minorHAnsi" w:cstheme="minorHAnsi"/>
          <w:lang w:eastAsia="en-US"/>
        </w:rPr>
        <w:t xml:space="preserve">, AusAID, </w:t>
      </w:r>
      <w:r w:rsidR="00062D34">
        <w:rPr>
          <w:rFonts w:asciiTheme="minorHAnsi" w:eastAsiaTheme="minorHAnsi" w:hAnsiTheme="minorHAnsi" w:cstheme="minorHAnsi"/>
          <w:lang w:eastAsia="en-US"/>
        </w:rPr>
        <w:t xml:space="preserve">the </w:t>
      </w:r>
      <w:r w:rsidR="00840218" w:rsidRPr="00840218">
        <w:rPr>
          <w:rFonts w:asciiTheme="minorHAnsi" w:eastAsiaTheme="minorHAnsi" w:hAnsiTheme="minorHAnsi" w:cstheme="minorHAnsi"/>
          <w:lang w:eastAsia="en-US"/>
        </w:rPr>
        <w:t>E</w:t>
      </w:r>
      <w:r w:rsidR="00062D34">
        <w:rPr>
          <w:rFonts w:asciiTheme="minorHAnsi" w:eastAsiaTheme="minorHAnsi" w:hAnsiTheme="minorHAnsi" w:cstheme="minorHAnsi"/>
          <w:lang w:eastAsia="en-US"/>
        </w:rPr>
        <w:t xml:space="preserve">uropean </w:t>
      </w:r>
      <w:r w:rsidR="00E24651">
        <w:rPr>
          <w:rFonts w:asciiTheme="minorHAnsi" w:eastAsiaTheme="minorHAnsi" w:hAnsiTheme="minorHAnsi" w:cstheme="minorHAnsi"/>
          <w:lang w:eastAsia="en-US"/>
        </w:rPr>
        <w:t>Union</w:t>
      </w:r>
      <w:r w:rsidR="00805A71">
        <w:rPr>
          <w:rFonts w:asciiTheme="minorHAnsi" w:eastAsiaTheme="minorHAnsi" w:hAnsiTheme="minorHAnsi" w:cstheme="minorHAnsi"/>
          <w:lang w:eastAsia="en-US"/>
        </w:rPr>
        <w:t xml:space="preserve"> and</w:t>
      </w:r>
      <w:r w:rsidR="00840218" w:rsidRPr="00840218">
        <w:rPr>
          <w:rFonts w:asciiTheme="minorHAnsi" w:eastAsiaTheme="minorHAnsi" w:hAnsiTheme="minorHAnsi" w:cstheme="minorHAnsi"/>
          <w:lang w:eastAsia="en-US"/>
        </w:rPr>
        <w:t xml:space="preserve"> </w:t>
      </w:r>
      <w:r w:rsidR="00075F3B">
        <w:rPr>
          <w:rFonts w:asciiTheme="minorHAnsi" w:eastAsiaTheme="minorHAnsi" w:hAnsiTheme="minorHAnsi" w:cstheme="minorHAnsi"/>
          <w:lang w:eastAsia="en-US"/>
        </w:rPr>
        <w:t>PFTAC</w:t>
      </w:r>
      <w:r w:rsidR="00840218" w:rsidRPr="00840218">
        <w:rPr>
          <w:rFonts w:asciiTheme="minorHAnsi" w:eastAsiaTheme="minorHAnsi" w:hAnsiTheme="minorHAnsi" w:cstheme="minorHAnsi"/>
          <w:lang w:eastAsia="en-US"/>
        </w:rPr>
        <w:t xml:space="preserve"> are all providing assistance to the achievement of the proposed program of policy reforms through varying combinations of budget support and technical assistance.</w:t>
      </w:r>
      <w:r w:rsidR="00805A71">
        <w:rPr>
          <w:rFonts w:asciiTheme="minorHAnsi" w:eastAsiaTheme="minorHAnsi" w:hAnsiTheme="minorHAnsi" w:cstheme="minorHAnsi"/>
          <w:lang w:eastAsia="en-US"/>
        </w:rPr>
        <w:t xml:space="preserve"> AusAID engages at the technical and strategic level to ensure Australia’s priorities are represented in joint policy discussions and in monitoring missions to assess progress against agreed reforms.</w:t>
      </w:r>
      <w:r w:rsidR="00081712">
        <w:rPr>
          <w:rFonts w:asciiTheme="minorHAnsi" w:eastAsiaTheme="minorHAnsi" w:hAnsiTheme="minorHAnsi" w:cstheme="minorHAnsi"/>
          <w:lang w:eastAsia="en-US"/>
        </w:rPr>
        <w:t xml:space="preserve"> </w:t>
      </w:r>
      <w:r w:rsidR="00081712">
        <w:rPr>
          <w:rFonts w:asciiTheme="minorHAnsi" w:hAnsiTheme="minorHAnsi" w:cstheme="minorHAnsi"/>
        </w:rPr>
        <w:t xml:space="preserve">A map of the key </w:t>
      </w:r>
      <w:r w:rsidR="00081712" w:rsidRPr="00950FD6">
        <w:rPr>
          <w:rFonts w:asciiTheme="minorHAnsi" w:hAnsiTheme="minorHAnsi" w:cstheme="minorHAnsi"/>
        </w:rPr>
        <w:t>PFM ref</w:t>
      </w:r>
      <w:r w:rsidR="00081712">
        <w:rPr>
          <w:rFonts w:asciiTheme="minorHAnsi" w:hAnsiTheme="minorHAnsi" w:cstheme="minorHAnsi"/>
        </w:rPr>
        <w:t>orms supported by GoT and donor partners</w:t>
      </w:r>
      <w:r w:rsidR="00081712" w:rsidRPr="00950FD6">
        <w:rPr>
          <w:rFonts w:asciiTheme="minorHAnsi" w:hAnsiTheme="minorHAnsi" w:cstheme="minorHAnsi"/>
        </w:rPr>
        <w:t xml:space="preserve"> </w:t>
      </w:r>
      <w:r w:rsidR="00081712">
        <w:rPr>
          <w:rFonts w:asciiTheme="minorHAnsi" w:hAnsiTheme="minorHAnsi" w:cstheme="minorHAnsi"/>
        </w:rPr>
        <w:t xml:space="preserve">is provided at </w:t>
      </w:r>
      <w:r w:rsidR="00081712" w:rsidRPr="00950FD6">
        <w:rPr>
          <w:rFonts w:asciiTheme="minorHAnsi" w:hAnsiTheme="minorHAnsi" w:cstheme="minorHAnsi"/>
        </w:rPr>
        <w:t xml:space="preserve">Annex </w:t>
      </w:r>
      <w:r w:rsidR="005D53AE">
        <w:rPr>
          <w:rFonts w:asciiTheme="minorHAnsi" w:hAnsiTheme="minorHAnsi" w:cstheme="minorHAnsi"/>
        </w:rPr>
        <w:t>7</w:t>
      </w:r>
      <w:r w:rsidR="00081712">
        <w:rPr>
          <w:rFonts w:asciiTheme="minorHAnsi" w:hAnsiTheme="minorHAnsi" w:cstheme="minorHAnsi"/>
        </w:rPr>
        <w:t>.</w:t>
      </w:r>
    </w:p>
    <w:p w:rsidR="00A0791D" w:rsidRDefault="00A0791D" w:rsidP="001A5546">
      <w:pPr>
        <w:rPr>
          <w:rFonts w:asciiTheme="minorHAnsi" w:hAnsiTheme="minorHAnsi" w:cstheme="minorHAnsi"/>
        </w:rPr>
      </w:pPr>
    </w:p>
    <w:p w:rsidR="00075F3B" w:rsidRDefault="00075F3B" w:rsidP="00075F3B">
      <w:pPr>
        <w:rPr>
          <w:rFonts w:asciiTheme="minorHAnsi" w:hAnsiTheme="minorHAnsi" w:cstheme="minorHAnsi"/>
        </w:rPr>
      </w:pPr>
      <w:r>
        <w:rPr>
          <w:rFonts w:asciiTheme="minorHAnsi" w:hAnsiTheme="minorHAnsi" w:cstheme="minorHAnsi"/>
        </w:rPr>
        <w:t xml:space="preserve">The World Bank has worked closely in Tonga with the IMF and shares a common view on key macroeconomic and structural reform priorities. The Bank participated in the last four IMF Article IV missions, facilitating the discussion on fiscal policy and structural reform, and works with the IMF to prepare an annual Debt Sustainability Analysis. The IMF has been actively engaged in economic and public sector reform in Tonga through </w:t>
      </w:r>
      <w:r w:rsidR="00170E94">
        <w:rPr>
          <w:rFonts w:asciiTheme="minorHAnsi" w:hAnsiTheme="minorHAnsi" w:cstheme="minorHAnsi"/>
        </w:rPr>
        <w:t>PFTAC</w:t>
      </w:r>
      <w:r>
        <w:rPr>
          <w:rFonts w:asciiTheme="minorHAnsi" w:hAnsiTheme="minorHAnsi" w:cstheme="minorHAnsi"/>
        </w:rPr>
        <w:t>, providing short-term TA in support of the Policy Reform Matrix. This has resulted, for instance, in the recent AusAID-funded Review of Revenue Administration, at GoT’s request.</w:t>
      </w:r>
    </w:p>
    <w:p w:rsidR="00075F3B" w:rsidRDefault="00075F3B" w:rsidP="00075F3B">
      <w:pPr>
        <w:rPr>
          <w:rFonts w:asciiTheme="minorHAnsi" w:hAnsiTheme="minorHAnsi" w:cstheme="minorHAnsi"/>
        </w:rPr>
      </w:pPr>
    </w:p>
    <w:p w:rsidR="00A0791D" w:rsidRDefault="00A0791D" w:rsidP="001A5546">
      <w:pPr>
        <w:rPr>
          <w:rFonts w:asciiTheme="minorHAnsi" w:hAnsiTheme="minorHAnsi" w:cstheme="minorHAnsi"/>
        </w:rPr>
      </w:pPr>
      <w:r>
        <w:rPr>
          <w:rFonts w:asciiTheme="minorHAnsi" w:hAnsiTheme="minorHAnsi" w:cstheme="minorHAnsi"/>
        </w:rPr>
        <w:t>AusAID has been able to lever the comparative advantage of the World Bank through the regional Pacific Facility 3 Trust Fund (PF3). PF3 is a multi-donor fund managed by the World Bank on behalf of the contributing development partners, AusAID and NZ</w:t>
      </w:r>
      <w:r w:rsidR="00170E94">
        <w:rPr>
          <w:rFonts w:asciiTheme="minorHAnsi" w:hAnsiTheme="minorHAnsi" w:cstheme="minorHAnsi"/>
        </w:rPr>
        <w:t>-IDG</w:t>
      </w:r>
      <w:r>
        <w:rPr>
          <w:rFonts w:asciiTheme="minorHAnsi" w:hAnsiTheme="minorHAnsi" w:cstheme="minorHAnsi"/>
        </w:rPr>
        <w:t>. The PF3 aims to create an environment conducive to generating growth and employment opportunities. Since 2005, the PF3 has provided technical and advisory assistance to directly support achievement of the Policy Reform Matrix. It is envisaged that AusAID will continue to support the Bank</w:t>
      </w:r>
      <w:r w:rsidR="007F191F">
        <w:rPr>
          <w:rFonts w:asciiTheme="minorHAnsi" w:hAnsiTheme="minorHAnsi" w:cstheme="minorHAnsi"/>
        </w:rPr>
        <w:t xml:space="preserve"> to provide similar technical and advisory assistance</w:t>
      </w:r>
      <w:r>
        <w:rPr>
          <w:rFonts w:asciiTheme="minorHAnsi" w:hAnsiTheme="minorHAnsi" w:cstheme="minorHAnsi"/>
        </w:rPr>
        <w:t xml:space="preserve"> through the forthcoming PF4 (ten-year) initiative.</w:t>
      </w:r>
    </w:p>
    <w:p w:rsidR="005A7CEB" w:rsidRPr="005A7CEB" w:rsidRDefault="00840218" w:rsidP="00840218">
      <w:pPr>
        <w:pStyle w:val="Default"/>
        <w:tabs>
          <w:tab w:val="left" w:pos="3465"/>
        </w:tabs>
        <w:rPr>
          <w:rFonts w:asciiTheme="minorHAnsi" w:hAnsiTheme="minorHAnsi" w:cstheme="minorHAnsi"/>
        </w:rPr>
      </w:pPr>
      <w:r>
        <w:rPr>
          <w:rFonts w:asciiTheme="minorHAnsi" w:hAnsiTheme="minorHAnsi" w:cstheme="minorHAnsi"/>
        </w:rPr>
        <w:tab/>
      </w:r>
    </w:p>
    <w:p w:rsidR="003F40C3" w:rsidRDefault="003F40C3" w:rsidP="00C415C7">
      <w:pPr>
        <w:spacing w:after="240"/>
        <w:rPr>
          <w:rFonts w:asciiTheme="minorHAnsi" w:hAnsiTheme="minorHAnsi" w:cstheme="minorHAnsi"/>
        </w:rPr>
      </w:pPr>
      <w:r>
        <w:rPr>
          <w:rFonts w:asciiTheme="minorHAnsi" w:hAnsiTheme="minorHAnsi" w:cstheme="minorHAnsi"/>
        </w:rPr>
        <w:t>The ADB has also been a key player in supporting Tonga’s public sector reforms</w:t>
      </w:r>
      <w:r w:rsidR="00EF20AD">
        <w:rPr>
          <w:rFonts w:asciiTheme="minorHAnsi" w:hAnsiTheme="minorHAnsi" w:cstheme="minorHAnsi"/>
        </w:rPr>
        <w:t>, focus</w:t>
      </w:r>
      <w:r w:rsidR="00235FC1">
        <w:rPr>
          <w:rFonts w:asciiTheme="minorHAnsi" w:hAnsiTheme="minorHAnsi" w:cstheme="minorHAnsi"/>
        </w:rPr>
        <w:t>ing</w:t>
      </w:r>
      <w:r w:rsidR="00EF20AD">
        <w:rPr>
          <w:rFonts w:asciiTheme="minorHAnsi" w:hAnsiTheme="minorHAnsi" w:cstheme="minorHAnsi"/>
        </w:rPr>
        <w:t xml:space="preserve"> on comprehensive </w:t>
      </w:r>
      <w:r w:rsidR="00513071">
        <w:rPr>
          <w:rFonts w:asciiTheme="minorHAnsi" w:hAnsiTheme="minorHAnsi" w:cstheme="minorHAnsi"/>
        </w:rPr>
        <w:t xml:space="preserve">PFM and </w:t>
      </w:r>
      <w:r w:rsidR="00EF20AD">
        <w:rPr>
          <w:rFonts w:asciiTheme="minorHAnsi" w:hAnsiTheme="minorHAnsi" w:cstheme="minorHAnsi"/>
        </w:rPr>
        <w:t>public enterprise reform</w:t>
      </w:r>
      <w:r w:rsidR="00483C32">
        <w:rPr>
          <w:rFonts w:asciiTheme="minorHAnsi" w:hAnsiTheme="minorHAnsi" w:cstheme="minorHAnsi"/>
        </w:rPr>
        <w:t>s</w:t>
      </w:r>
      <w:r w:rsidR="00EF20AD">
        <w:rPr>
          <w:rFonts w:asciiTheme="minorHAnsi" w:hAnsiTheme="minorHAnsi" w:cstheme="minorHAnsi"/>
        </w:rPr>
        <w:t xml:space="preserve"> through loans and technical assistance projects.</w:t>
      </w:r>
      <w:r w:rsidR="00483C32">
        <w:rPr>
          <w:rFonts w:asciiTheme="minorHAnsi" w:hAnsiTheme="minorHAnsi" w:cstheme="minorHAnsi"/>
        </w:rPr>
        <w:t xml:space="preserve"> ADB support has included: extensive TA provided for corporate planning and medium-term budgeting programs; ongoing TA to assist in preparing budget documents; </w:t>
      </w:r>
      <w:r w:rsidR="00170E94">
        <w:rPr>
          <w:rFonts w:asciiTheme="minorHAnsi" w:hAnsiTheme="minorHAnsi" w:cstheme="minorHAnsi"/>
        </w:rPr>
        <w:t>PSDI</w:t>
      </w:r>
      <w:r w:rsidR="00483C32">
        <w:rPr>
          <w:rFonts w:asciiTheme="minorHAnsi" w:hAnsiTheme="minorHAnsi" w:cstheme="minorHAnsi"/>
        </w:rPr>
        <w:t xml:space="preserve"> assistance provided to the Ministry of Public Enterprise </w:t>
      </w:r>
      <w:r w:rsidR="00170E94">
        <w:rPr>
          <w:rFonts w:asciiTheme="minorHAnsi" w:hAnsiTheme="minorHAnsi" w:cstheme="minorHAnsi"/>
        </w:rPr>
        <w:t xml:space="preserve">(MoPE) </w:t>
      </w:r>
      <w:r w:rsidR="00483C32">
        <w:rPr>
          <w:rFonts w:asciiTheme="minorHAnsi" w:hAnsiTheme="minorHAnsi" w:cstheme="minorHAnsi"/>
        </w:rPr>
        <w:t>on public enterprise reform; and PSDI support to Ministry of Commerce to inform policy decisions, prepare legislative revisions and draft new legislation.</w:t>
      </w:r>
    </w:p>
    <w:p w:rsidR="0015595E" w:rsidRPr="00D862F1" w:rsidRDefault="0015595E" w:rsidP="00A11CCA">
      <w:pPr>
        <w:pStyle w:val="Heading2"/>
        <w:numPr>
          <w:ilvl w:val="1"/>
          <w:numId w:val="2"/>
        </w:numPr>
        <w:rPr>
          <w:sz w:val="24"/>
        </w:rPr>
      </w:pPr>
      <w:bookmarkStart w:id="14" w:name="_Toc356389369"/>
      <w:r w:rsidRPr="00D862F1">
        <w:rPr>
          <w:sz w:val="24"/>
        </w:rPr>
        <w:t>Policy dialogue</w:t>
      </w:r>
      <w:bookmarkEnd w:id="14"/>
    </w:p>
    <w:p w:rsidR="0001437B" w:rsidRDefault="0001437B" w:rsidP="0001437B"/>
    <w:p w:rsidR="00BC7732" w:rsidRPr="00D6587D" w:rsidRDefault="008B344F" w:rsidP="0001437B">
      <w:pPr>
        <w:rPr>
          <w:rFonts w:asciiTheme="minorHAnsi" w:hAnsiTheme="minorHAnsi" w:cstheme="minorHAnsi"/>
          <w:lang w:val="en-US"/>
        </w:rPr>
      </w:pPr>
      <w:r>
        <w:rPr>
          <w:rFonts w:asciiTheme="minorHAnsi" w:hAnsiTheme="minorHAnsi" w:cstheme="minorHAnsi"/>
          <w:lang w:val="en-US"/>
        </w:rPr>
        <w:t>Policy dialogue has been an ongoing a</w:t>
      </w:r>
      <w:r w:rsidR="00170E94">
        <w:rPr>
          <w:rFonts w:asciiTheme="minorHAnsi" w:hAnsiTheme="minorHAnsi" w:cstheme="minorHAnsi"/>
          <w:lang w:val="en-US"/>
        </w:rPr>
        <w:t>nd central component of the EPSR</w:t>
      </w:r>
      <w:r>
        <w:rPr>
          <w:rFonts w:asciiTheme="minorHAnsi" w:hAnsiTheme="minorHAnsi" w:cstheme="minorHAnsi"/>
          <w:lang w:val="en-US"/>
        </w:rPr>
        <w:t xml:space="preserve"> program through</w:t>
      </w:r>
      <w:r w:rsidR="0041246B">
        <w:rPr>
          <w:rFonts w:asciiTheme="minorHAnsi" w:hAnsiTheme="minorHAnsi" w:cstheme="minorHAnsi"/>
          <w:lang w:val="en-US"/>
        </w:rPr>
        <w:t xml:space="preserve"> </w:t>
      </w:r>
      <w:r>
        <w:rPr>
          <w:rFonts w:asciiTheme="minorHAnsi" w:hAnsiTheme="minorHAnsi" w:cstheme="minorHAnsi"/>
          <w:lang w:val="en-US"/>
        </w:rPr>
        <w:t>annual Partnership for Development talks, regular contact between Tonga Post and GoT central agencies</w:t>
      </w:r>
      <w:r w:rsidR="008E2309">
        <w:rPr>
          <w:rFonts w:asciiTheme="minorHAnsi" w:hAnsiTheme="minorHAnsi" w:cstheme="minorHAnsi"/>
          <w:lang w:val="en-US"/>
        </w:rPr>
        <w:t>, and dialogue between donors and the GoT through the policy matrix process</w:t>
      </w:r>
      <w:r>
        <w:rPr>
          <w:rFonts w:asciiTheme="minorHAnsi" w:hAnsiTheme="minorHAnsi" w:cstheme="minorHAnsi"/>
          <w:lang w:val="en-US"/>
        </w:rPr>
        <w:t>.</w:t>
      </w:r>
      <w:r w:rsidR="00D862F1">
        <w:rPr>
          <w:rFonts w:asciiTheme="minorHAnsi" w:hAnsiTheme="minorHAnsi" w:cstheme="minorHAnsi"/>
          <w:lang w:val="en-US"/>
        </w:rPr>
        <w:t xml:space="preserve"> </w:t>
      </w:r>
      <w:r w:rsidR="00BC7732">
        <w:rPr>
          <w:rFonts w:asciiTheme="minorHAnsi" w:hAnsiTheme="minorHAnsi" w:cstheme="minorHAnsi"/>
          <w:lang w:val="en-US"/>
        </w:rPr>
        <w:t xml:space="preserve">The GoT provides the strategic direction, appropriate resource allocation and performance management to ensure that assistance provided maximises the impact on Tonga’s reform efforts. </w:t>
      </w:r>
      <w:r w:rsidR="0014045E">
        <w:rPr>
          <w:rFonts w:asciiTheme="minorHAnsi" w:hAnsiTheme="minorHAnsi" w:cstheme="minorHAnsi"/>
          <w:lang w:val="en-US"/>
        </w:rPr>
        <w:t>Australia</w:t>
      </w:r>
      <w:r w:rsidR="00BC7732">
        <w:rPr>
          <w:rFonts w:asciiTheme="minorHAnsi" w:hAnsiTheme="minorHAnsi" w:cstheme="minorHAnsi"/>
          <w:lang w:val="en-US"/>
        </w:rPr>
        <w:t xml:space="preserve"> </w:t>
      </w:r>
      <w:r w:rsidR="00D862F1">
        <w:rPr>
          <w:rFonts w:asciiTheme="minorHAnsi" w:hAnsiTheme="minorHAnsi" w:cstheme="minorHAnsi"/>
          <w:lang w:val="en-US"/>
        </w:rPr>
        <w:t xml:space="preserve">will continue to engage with </w:t>
      </w:r>
      <w:r w:rsidR="0014045E">
        <w:rPr>
          <w:rFonts w:asciiTheme="minorHAnsi" w:hAnsiTheme="minorHAnsi" w:cstheme="minorHAnsi"/>
          <w:lang w:val="en-US"/>
        </w:rPr>
        <w:t xml:space="preserve">the </w:t>
      </w:r>
      <w:r w:rsidR="00D862F1">
        <w:rPr>
          <w:rFonts w:asciiTheme="minorHAnsi" w:hAnsiTheme="minorHAnsi" w:cstheme="minorHAnsi"/>
          <w:lang w:val="en-US"/>
        </w:rPr>
        <w:t xml:space="preserve">GoT to ensure joint ownership </w:t>
      </w:r>
      <w:r w:rsidR="000C706C">
        <w:rPr>
          <w:rFonts w:asciiTheme="minorHAnsi" w:hAnsiTheme="minorHAnsi" w:cstheme="minorHAnsi"/>
          <w:lang w:val="en-US"/>
        </w:rPr>
        <w:t xml:space="preserve">and effectiveness </w:t>
      </w:r>
      <w:r w:rsidR="00D862F1">
        <w:rPr>
          <w:rFonts w:asciiTheme="minorHAnsi" w:hAnsiTheme="minorHAnsi" w:cstheme="minorHAnsi"/>
          <w:lang w:val="en-US"/>
        </w:rPr>
        <w:t xml:space="preserve">of EPSG activities in line with the principles and objectives of the </w:t>
      </w:r>
      <w:r w:rsidR="00D862F1">
        <w:rPr>
          <w:rFonts w:asciiTheme="minorHAnsi" w:hAnsiTheme="minorHAnsi" w:cstheme="minorHAnsi"/>
          <w:i/>
          <w:lang w:val="en-US"/>
        </w:rPr>
        <w:t>Paris Declaration on Aid Effectiveness.</w:t>
      </w:r>
      <w:r w:rsidR="00D6587D">
        <w:rPr>
          <w:rFonts w:asciiTheme="minorHAnsi" w:hAnsiTheme="minorHAnsi" w:cstheme="minorHAnsi"/>
          <w:lang w:val="en-US"/>
        </w:rPr>
        <w:t xml:space="preserve"> </w:t>
      </w:r>
    </w:p>
    <w:p w:rsidR="00BC7732" w:rsidRDefault="00BC7732" w:rsidP="0001437B">
      <w:pPr>
        <w:rPr>
          <w:rFonts w:asciiTheme="minorHAnsi" w:hAnsiTheme="minorHAnsi" w:cstheme="minorHAnsi"/>
          <w:lang w:val="en-US"/>
        </w:rPr>
      </w:pPr>
    </w:p>
    <w:p w:rsidR="00C705C1" w:rsidRDefault="00C705C1" w:rsidP="00C705C1">
      <w:pPr>
        <w:rPr>
          <w:rFonts w:asciiTheme="minorHAnsi" w:hAnsiTheme="minorHAnsi" w:cstheme="minorHAnsi"/>
          <w:lang w:val="en-US"/>
        </w:rPr>
      </w:pPr>
      <w:r>
        <w:rPr>
          <w:rFonts w:asciiTheme="minorHAnsi" w:hAnsiTheme="minorHAnsi" w:cstheme="minorHAnsi"/>
          <w:lang w:val="en-US"/>
        </w:rPr>
        <w:t xml:space="preserve">The Policy Reform Matrix provides a solid platform for donors to engage in substantial policy dialogue with the GoT. This ensures that reforms are contributing to positive outcomes for Tonga and that the impact on development and poverty reduction is maximised.  An internal review of the Pacific Policy Matrices is currently underway in the Pacific Division. This review will enable programs around the region to be structured in the most effective way to contribute to productive policy dialogue and successful outcomes. </w:t>
      </w:r>
      <w:r w:rsidR="007F191F">
        <w:rPr>
          <w:rFonts w:asciiTheme="minorHAnsi" w:hAnsiTheme="minorHAnsi" w:cstheme="minorHAnsi"/>
          <w:lang w:val="en-US"/>
        </w:rPr>
        <w:t xml:space="preserve">Experience in Tonga is that budget support has acted as a good incentive to maintain steady progress on reforms. </w:t>
      </w:r>
    </w:p>
    <w:p w:rsidR="00C705C1" w:rsidRDefault="00C705C1" w:rsidP="0001437B">
      <w:pPr>
        <w:rPr>
          <w:rFonts w:asciiTheme="minorHAnsi" w:hAnsiTheme="minorHAnsi" w:cstheme="minorHAnsi"/>
          <w:lang w:val="en-US"/>
        </w:rPr>
      </w:pPr>
    </w:p>
    <w:p w:rsidR="005A7CEB" w:rsidRDefault="0041246B" w:rsidP="00C415C7">
      <w:pPr>
        <w:spacing w:after="240"/>
        <w:rPr>
          <w:rFonts w:asciiTheme="minorHAnsi" w:hAnsiTheme="minorHAnsi" w:cstheme="minorHAnsi"/>
          <w:lang w:val="en-US"/>
        </w:rPr>
      </w:pPr>
      <w:r>
        <w:rPr>
          <w:rFonts w:asciiTheme="minorHAnsi" w:hAnsiTheme="minorHAnsi" w:cstheme="minorHAnsi"/>
          <w:lang w:val="en-US"/>
        </w:rPr>
        <w:t>Policy dialogue is most effective when there is a shared body of evidence. A critical area of focus</w:t>
      </w:r>
      <w:r w:rsidR="003E2D4A">
        <w:rPr>
          <w:rFonts w:asciiTheme="minorHAnsi" w:hAnsiTheme="minorHAnsi" w:cstheme="minorHAnsi"/>
          <w:lang w:val="en-US"/>
        </w:rPr>
        <w:t xml:space="preserve"> for AusAID, moving forward,</w:t>
      </w:r>
      <w:r>
        <w:rPr>
          <w:rFonts w:asciiTheme="minorHAnsi" w:hAnsiTheme="minorHAnsi" w:cstheme="minorHAnsi"/>
          <w:lang w:val="en-US"/>
        </w:rPr>
        <w:t xml:space="preserve"> will be working with GoT partners to design and implement </w:t>
      </w:r>
      <w:r w:rsidR="00734B6C">
        <w:rPr>
          <w:rFonts w:asciiTheme="minorHAnsi" w:hAnsiTheme="minorHAnsi" w:cstheme="minorHAnsi"/>
          <w:lang w:val="en-US"/>
        </w:rPr>
        <w:t xml:space="preserve">a </w:t>
      </w:r>
      <w:r>
        <w:rPr>
          <w:rFonts w:asciiTheme="minorHAnsi" w:hAnsiTheme="minorHAnsi" w:cstheme="minorHAnsi"/>
          <w:lang w:val="en-US"/>
        </w:rPr>
        <w:t xml:space="preserve">systematic collection of information on the performance of </w:t>
      </w:r>
      <w:r w:rsidR="00734B6C">
        <w:rPr>
          <w:rFonts w:asciiTheme="minorHAnsi" w:hAnsiTheme="minorHAnsi" w:cstheme="minorHAnsi"/>
          <w:lang w:val="en-US"/>
        </w:rPr>
        <w:t xml:space="preserve">the </w:t>
      </w:r>
      <w:r>
        <w:rPr>
          <w:rFonts w:asciiTheme="minorHAnsi" w:hAnsiTheme="minorHAnsi" w:cstheme="minorHAnsi"/>
          <w:lang w:val="en-US"/>
        </w:rPr>
        <w:t>EPSG</w:t>
      </w:r>
      <w:r w:rsidR="00734B6C">
        <w:rPr>
          <w:rFonts w:asciiTheme="minorHAnsi" w:hAnsiTheme="minorHAnsi" w:cstheme="minorHAnsi"/>
          <w:lang w:val="en-US"/>
        </w:rPr>
        <w:t xml:space="preserve"> program </w:t>
      </w:r>
      <w:r>
        <w:rPr>
          <w:rFonts w:asciiTheme="minorHAnsi" w:hAnsiTheme="minorHAnsi" w:cstheme="minorHAnsi"/>
          <w:lang w:val="en-US"/>
        </w:rPr>
        <w:t>in Tonga</w:t>
      </w:r>
      <w:r w:rsidR="00734B6C">
        <w:rPr>
          <w:rFonts w:asciiTheme="minorHAnsi" w:hAnsiTheme="minorHAnsi" w:cstheme="minorHAnsi"/>
          <w:lang w:val="en-US"/>
        </w:rPr>
        <w:t xml:space="preserve">. </w:t>
      </w:r>
      <w:r w:rsidR="0014045E">
        <w:rPr>
          <w:rFonts w:asciiTheme="minorHAnsi" w:hAnsiTheme="minorHAnsi" w:cstheme="minorHAnsi"/>
          <w:lang w:val="en-US"/>
        </w:rPr>
        <w:t>D</w:t>
      </w:r>
      <w:r w:rsidR="00734B6C">
        <w:rPr>
          <w:rFonts w:asciiTheme="minorHAnsi" w:hAnsiTheme="minorHAnsi" w:cstheme="minorHAnsi"/>
          <w:lang w:val="en-US"/>
        </w:rPr>
        <w:t xml:space="preserve">ata </w:t>
      </w:r>
      <w:r w:rsidR="0014045E">
        <w:rPr>
          <w:rFonts w:asciiTheme="minorHAnsi" w:hAnsiTheme="minorHAnsi" w:cstheme="minorHAnsi"/>
          <w:lang w:val="en-US"/>
        </w:rPr>
        <w:t xml:space="preserve">collected </w:t>
      </w:r>
      <w:r w:rsidR="00734B6C">
        <w:rPr>
          <w:rFonts w:asciiTheme="minorHAnsi" w:hAnsiTheme="minorHAnsi" w:cstheme="minorHAnsi"/>
          <w:lang w:val="en-US"/>
        </w:rPr>
        <w:t>can then be analysed</w:t>
      </w:r>
      <w:r w:rsidR="0014045E">
        <w:rPr>
          <w:rFonts w:asciiTheme="minorHAnsi" w:hAnsiTheme="minorHAnsi" w:cstheme="minorHAnsi"/>
          <w:lang w:val="en-US"/>
        </w:rPr>
        <w:t>,</w:t>
      </w:r>
      <w:r w:rsidR="00734B6C">
        <w:rPr>
          <w:rFonts w:asciiTheme="minorHAnsi" w:hAnsiTheme="minorHAnsi" w:cstheme="minorHAnsi"/>
          <w:lang w:val="en-US"/>
        </w:rPr>
        <w:t xml:space="preserve"> with</w:t>
      </w:r>
      <w:r>
        <w:rPr>
          <w:rFonts w:asciiTheme="minorHAnsi" w:hAnsiTheme="minorHAnsi" w:cstheme="minorHAnsi"/>
          <w:lang w:val="en-US"/>
        </w:rPr>
        <w:t xml:space="preserve"> the resulting information </w:t>
      </w:r>
      <w:r w:rsidR="00734B6C">
        <w:rPr>
          <w:rFonts w:asciiTheme="minorHAnsi" w:hAnsiTheme="minorHAnsi" w:cstheme="minorHAnsi"/>
          <w:lang w:val="en-US"/>
        </w:rPr>
        <w:t xml:space="preserve">used </w:t>
      </w:r>
      <w:r>
        <w:rPr>
          <w:rFonts w:asciiTheme="minorHAnsi" w:hAnsiTheme="minorHAnsi" w:cstheme="minorHAnsi"/>
          <w:lang w:val="en-US"/>
        </w:rPr>
        <w:t>to influence decisions for the continuous improvement of EPSG reform in Tonga. This could include both monitoring act</w:t>
      </w:r>
      <w:r w:rsidR="000F311D">
        <w:rPr>
          <w:rFonts w:asciiTheme="minorHAnsi" w:hAnsiTheme="minorHAnsi" w:cstheme="minorHAnsi"/>
          <w:lang w:val="en-US"/>
        </w:rPr>
        <w:t>ivities and evaluative research and should be negotiated at the design phase.</w:t>
      </w:r>
    </w:p>
    <w:p w:rsidR="004D6FF3" w:rsidRDefault="0015595E" w:rsidP="00A11CCA">
      <w:pPr>
        <w:pStyle w:val="Heading2"/>
        <w:numPr>
          <w:ilvl w:val="1"/>
          <w:numId w:val="2"/>
        </w:numPr>
        <w:rPr>
          <w:sz w:val="24"/>
        </w:rPr>
      </w:pPr>
      <w:bookmarkStart w:id="15" w:name="_Toc356389370"/>
      <w:r>
        <w:rPr>
          <w:sz w:val="24"/>
        </w:rPr>
        <w:t>Supporting cross-cutting aid issues</w:t>
      </w:r>
      <w:bookmarkEnd w:id="15"/>
    </w:p>
    <w:p w:rsidR="00401E5A" w:rsidRPr="00401E5A" w:rsidRDefault="001A082B" w:rsidP="00A546B9">
      <w:pPr>
        <w:spacing w:before="240"/>
        <w:rPr>
          <w:rFonts w:asciiTheme="minorHAnsi" w:hAnsiTheme="minorHAnsi" w:cstheme="minorHAnsi"/>
        </w:rPr>
      </w:pPr>
      <w:r w:rsidRPr="001A082B">
        <w:rPr>
          <w:rFonts w:asciiTheme="minorHAnsi" w:hAnsiTheme="minorHAnsi" w:cstheme="minorHAnsi"/>
          <w:lang w:val="en-GB"/>
        </w:rPr>
        <w:t xml:space="preserve">This </w:t>
      </w:r>
      <w:r w:rsidR="006E1D20">
        <w:rPr>
          <w:rFonts w:asciiTheme="minorHAnsi" w:hAnsiTheme="minorHAnsi" w:cstheme="minorHAnsi"/>
          <w:lang w:val="en-GB"/>
        </w:rPr>
        <w:t>Delivery Strategy</w:t>
      </w:r>
      <w:r w:rsidRPr="001A082B">
        <w:rPr>
          <w:rFonts w:asciiTheme="minorHAnsi" w:hAnsiTheme="minorHAnsi" w:cstheme="minorHAnsi"/>
          <w:lang w:val="en-GB"/>
        </w:rPr>
        <w:t xml:space="preserve"> </w:t>
      </w:r>
      <w:r w:rsidR="00401E5A">
        <w:rPr>
          <w:rFonts w:asciiTheme="minorHAnsi" w:hAnsiTheme="minorHAnsi" w:cstheme="minorHAnsi"/>
          <w:lang w:val="en-GB"/>
        </w:rPr>
        <w:t>is</w:t>
      </w:r>
      <w:r w:rsidRPr="001A082B">
        <w:rPr>
          <w:rFonts w:asciiTheme="minorHAnsi" w:hAnsiTheme="minorHAnsi" w:cstheme="minorHAnsi"/>
          <w:lang w:val="en-GB"/>
        </w:rPr>
        <w:t xml:space="preserve"> underpinned by a number of key cross-</w:t>
      </w:r>
      <w:r w:rsidRPr="00401E5A">
        <w:rPr>
          <w:rFonts w:asciiTheme="minorHAnsi" w:hAnsiTheme="minorHAnsi" w:cstheme="minorHAnsi"/>
          <w:lang w:val="en-GB"/>
        </w:rPr>
        <w:t>cutting issues</w:t>
      </w:r>
      <w:r w:rsidR="00401E5A" w:rsidRPr="00401E5A">
        <w:rPr>
          <w:rFonts w:asciiTheme="minorHAnsi" w:hAnsiTheme="minorHAnsi" w:cstheme="minorHAnsi"/>
          <w:lang w:val="en-GB"/>
        </w:rPr>
        <w:t xml:space="preserve">. </w:t>
      </w:r>
      <w:r w:rsidR="00401E5A">
        <w:rPr>
          <w:rFonts w:asciiTheme="minorHAnsi" w:hAnsiTheme="minorHAnsi" w:cstheme="minorHAnsi"/>
          <w:lang w:val="en-GB"/>
        </w:rPr>
        <w:t xml:space="preserve">The following Australian aid program strategies and policies will guide </w:t>
      </w:r>
      <w:r w:rsidR="00401E5A">
        <w:rPr>
          <w:rFonts w:asciiTheme="minorHAnsi" w:hAnsiTheme="minorHAnsi" w:cstheme="minorHAnsi"/>
        </w:rPr>
        <w:t>the</w:t>
      </w:r>
      <w:r w:rsidR="00401E5A" w:rsidRPr="00401E5A">
        <w:rPr>
          <w:rFonts w:asciiTheme="minorHAnsi" w:hAnsiTheme="minorHAnsi" w:cstheme="minorHAnsi"/>
        </w:rPr>
        <w:t xml:space="preserve"> </w:t>
      </w:r>
      <w:r w:rsidR="00401E5A">
        <w:rPr>
          <w:rFonts w:asciiTheme="minorHAnsi" w:hAnsiTheme="minorHAnsi" w:cstheme="minorHAnsi"/>
        </w:rPr>
        <w:t xml:space="preserve">design and implementation of activities within the </w:t>
      </w:r>
      <w:r w:rsidR="00630035">
        <w:rPr>
          <w:rFonts w:asciiTheme="minorHAnsi" w:hAnsiTheme="minorHAnsi" w:cstheme="minorHAnsi"/>
        </w:rPr>
        <w:t>EPSG</w:t>
      </w:r>
      <w:r w:rsidR="00401E5A">
        <w:rPr>
          <w:rFonts w:asciiTheme="minorHAnsi" w:hAnsiTheme="minorHAnsi" w:cstheme="minorHAnsi"/>
        </w:rPr>
        <w:t xml:space="preserve"> program</w:t>
      </w:r>
      <w:r w:rsidR="00401E5A" w:rsidRPr="00401E5A">
        <w:rPr>
          <w:rFonts w:asciiTheme="minorHAnsi" w:hAnsiTheme="minorHAnsi" w:cstheme="minorHAnsi"/>
        </w:rPr>
        <w:t>:</w:t>
      </w:r>
    </w:p>
    <w:p w:rsidR="00401E5A" w:rsidRDefault="00401E5A" w:rsidP="00A11CCA">
      <w:pPr>
        <w:numPr>
          <w:ilvl w:val="0"/>
          <w:numId w:val="10"/>
        </w:numPr>
        <w:spacing w:before="240" w:line="276" w:lineRule="auto"/>
        <w:rPr>
          <w:rFonts w:asciiTheme="minorHAnsi" w:hAnsiTheme="minorHAnsi" w:cstheme="minorHAnsi"/>
        </w:rPr>
      </w:pPr>
      <w:r w:rsidRPr="00401E5A">
        <w:rPr>
          <w:rFonts w:asciiTheme="minorHAnsi" w:hAnsiTheme="minorHAnsi" w:cstheme="minorHAnsi"/>
        </w:rPr>
        <w:t>Promoting opportunities for all—Gender equality and women's empowerment</w:t>
      </w:r>
    </w:p>
    <w:p w:rsidR="00401E5A" w:rsidRDefault="00401E5A" w:rsidP="00A11CCA">
      <w:pPr>
        <w:numPr>
          <w:ilvl w:val="0"/>
          <w:numId w:val="10"/>
        </w:numPr>
        <w:spacing w:line="276" w:lineRule="auto"/>
        <w:rPr>
          <w:rFonts w:asciiTheme="minorHAnsi" w:hAnsiTheme="minorHAnsi" w:cstheme="minorHAnsi"/>
        </w:rPr>
      </w:pPr>
      <w:r w:rsidRPr="00401E5A">
        <w:rPr>
          <w:rFonts w:asciiTheme="minorHAnsi" w:hAnsiTheme="minorHAnsi" w:cstheme="minorHAnsi"/>
        </w:rPr>
        <w:t>Development for All: Towards a disability-inclusive Australian aid program 2009–2014</w:t>
      </w:r>
    </w:p>
    <w:p w:rsidR="00545CF6" w:rsidRDefault="00545CF6" w:rsidP="00A11CCA">
      <w:pPr>
        <w:numPr>
          <w:ilvl w:val="0"/>
          <w:numId w:val="10"/>
        </w:numPr>
        <w:spacing w:line="276" w:lineRule="auto"/>
        <w:rPr>
          <w:rFonts w:asciiTheme="minorHAnsi" w:hAnsiTheme="minorHAnsi" w:cstheme="minorHAnsi"/>
        </w:rPr>
      </w:pPr>
      <w:r>
        <w:rPr>
          <w:rFonts w:asciiTheme="minorHAnsi" w:hAnsiTheme="minorHAnsi" w:cstheme="minorHAnsi"/>
        </w:rPr>
        <w:t>Child Protection Policy</w:t>
      </w:r>
      <w:r w:rsidR="00A56DC3">
        <w:rPr>
          <w:rFonts w:asciiTheme="minorHAnsi" w:hAnsiTheme="minorHAnsi" w:cstheme="minorHAnsi"/>
        </w:rPr>
        <w:t xml:space="preserve"> 2013</w:t>
      </w:r>
    </w:p>
    <w:p w:rsidR="0071120A" w:rsidRDefault="0071120A" w:rsidP="00A11CCA">
      <w:pPr>
        <w:numPr>
          <w:ilvl w:val="0"/>
          <w:numId w:val="10"/>
        </w:numPr>
        <w:spacing w:line="276" w:lineRule="auto"/>
        <w:rPr>
          <w:rFonts w:asciiTheme="minorHAnsi" w:hAnsiTheme="minorHAnsi" w:cstheme="minorHAnsi"/>
        </w:rPr>
      </w:pPr>
      <w:r>
        <w:rPr>
          <w:rFonts w:asciiTheme="minorHAnsi" w:hAnsiTheme="minorHAnsi" w:cstheme="minorHAnsi"/>
        </w:rPr>
        <w:t>AusAID Effective Governance Thematic Strategy 2011</w:t>
      </w:r>
    </w:p>
    <w:p w:rsidR="0071120A" w:rsidRPr="00401E5A" w:rsidRDefault="0071120A" w:rsidP="00A11CCA">
      <w:pPr>
        <w:numPr>
          <w:ilvl w:val="0"/>
          <w:numId w:val="10"/>
        </w:numPr>
        <w:spacing w:line="276" w:lineRule="auto"/>
        <w:rPr>
          <w:rFonts w:asciiTheme="minorHAnsi" w:hAnsiTheme="minorHAnsi" w:cstheme="minorHAnsi"/>
        </w:rPr>
      </w:pPr>
      <w:r>
        <w:rPr>
          <w:rFonts w:asciiTheme="minorHAnsi" w:hAnsiTheme="minorHAnsi" w:cstheme="minorHAnsi"/>
        </w:rPr>
        <w:t>AusAID Governance Performance Assessment Framework</w:t>
      </w:r>
    </w:p>
    <w:p w:rsidR="00B808BF" w:rsidRDefault="00B808BF" w:rsidP="00261F1C">
      <w:pPr>
        <w:pStyle w:val="NormalWeb"/>
        <w:rPr>
          <w:rFonts w:asciiTheme="minorHAnsi" w:hAnsiTheme="minorHAnsi" w:cstheme="minorHAnsi"/>
          <w:lang w:val="en-GB"/>
        </w:rPr>
      </w:pPr>
      <w:r w:rsidRPr="00B808BF">
        <w:rPr>
          <w:rFonts w:asciiTheme="minorHAnsi" w:hAnsiTheme="minorHAnsi" w:cstheme="minorHAnsi"/>
          <w:lang w:val="en-GB"/>
        </w:rPr>
        <w:t xml:space="preserve">In line with AusAID’s gender policy, gender </w:t>
      </w:r>
      <w:r w:rsidR="00261F1C">
        <w:rPr>
          <w:rFonts w:asciiTheme="minorHAnsi" w:hAnsiTheme="minorHAnsi" w:cstheme="minorHAnsi"/>
          <w:lang w:val="en-GB"/>
        </w:rPr>
        <w:t>issues will be</w:t>
      </w:r>
      <w:r w:rsidRPr="00B808BF">
        <w:rPr>
          <w:rFonts w:asciiTheme="minorHAnsi" w:hAnsiTheme="minorHAnsi" w:cstheme="minorHAnsi"/>
          <w:lang w:val="en-GB"/>
        </w:rPr>
        <w:t xml:space="preserve"> </w:t>
      </w:r>
      <w:r w:rsidR="00261F1C">
        <w:rPr>
          <w:rFonts w:asciiTheme="minorHAnsi" w:hAnsiTheme="minorHAnsi" w:cstheme="minorHAnsi"/>
          <w:lang w:val="en-GB"/>
        </w:rPr>
        <w:t xml:space="preserve">addressed at the </w:t>
      </w:r>
      <w:r w:rsidRPr="00B808BF">
        <w:rPr>
          <w:rFonts w:asciiTheme="minorHAnsi" w:hAnsiTheme="minorHAnsi" w:cstheme="minorHAnsi"/>
          <w:lang w:val="en-GB"/>
        </w:rPr>
        <w:t>initiative level</w:t>
      </w:r>
      <w:r w:rsidR="00261F1C">
        <w:rPr>
          <w:rFonts w:asciiTheme="minorHAnsi" w:hAnsiTheme="minorHAnsi" w:cstheme="minorHAnsi"/>
          <w:lang w:val="en-GB"/>
        </w:rPr>
        <w:t xml:space="preserve">. AusAID will </w:t>
      </w:r>
      <w:r w:rsidR="00261F1C" w:rsidRPr="00261F1C">
        <w:rPr>
          <w:rFonts w:asciiTheme="minorHAnsi" w:hAnsiTheme="minorHAnsi" w:cstheme="minorHAnsi"/>
          <w:lang w:val="en-GB"/>
        </w:rPr>
        <w:t>seek to implement Australia’s commitments to gender equality in all aspects of program development and delivery including through engagement in policy development, program implementation and consultation.</w:t>
      </w:r>
      <w:r w:rsidR="00261F1C">
        <w:rPr>
          <w:rFonts w:asciiTheme="minorHAnsi" w:hAnsiTheme="minorHAnsi" w:cstheme="minorHAnsi"/>
          <w:lang w:val="en-GB"/>
        </w:rPr>
        <w:t xml:space="preserve"> </w:t>
      </w:r>
      <w:r w:rsidR="00172802">
        <w:rPr>
          <w:rFonts w:asciiTheme="minorHAnsi" w:hAnsiTheme="minorHAnsi" w:cstheme="minorHAnsi"/>
          <w:lang w:val="en-GB"/>
        </w:rPr>
        <w:t>A</w:t>
      </w:r>
      <w:r w:rsidR="00C90BD3">
        <w:rPr>
          <w:rFonts w:asciiTheme="minorHAnsi" w:hAnsiTheme="minorHAnsi" w:cstheme="minorHAnsi"/>
          <w:lang w:val="en-GB"/>
        </w:rPr>
        <w:t xml:space="preserve"> 2013 Tonga Gender Plan </w:t>
      </w:r>
      <w:r w:rsidR="00172802">
        <w:rPr>
          <w:rFonts w:asciiTheme="minorHAnsi" w:hAnsiTheme="minorHAnsi" w:cstheme="minorHAnsi"/>
          <w:lang w:val="en-GB"/>
        </w:rPr>
        <w:t xml:space="preserve">Design Mission recommended that the Tonga Program work with a gender specialist to review designs and support gender-sensitive M&amp;E frameworks, data collection </w:t>
      </w:r>
      <w:r w:rsidR="008150F7">
        <w:rPr>
          <w:rFonts w:asciiTheme="minorHAnsi" w:hAnsiTheme="minorHAnsi" w:cstheme="minorHAnsi"/>
          <w:lang w:val="en-GB"/>
        </w:rPr>
        <w:t xml:space="preserve">(including sex disaggregated data) </w:t>
      </w:r>
      <w:r w:rsidR="00172802">
        <w:rPr>
          <w:rFonts w:asciiTheme="minorHAnsi" w:hAnsiTheme="minorHAnsi" w:cstheme="minorHAnsi"/>
          <w:lang w:val="en-GB"/>
        </w:rPr>
        <w:t xml:space="preserve">and analysis, reporting and communications. It is envisaged that </w:t>
      </w:r>
      <w:r w:rsidR="008150F7">
        <w:rPr>
          <w:rFonts w:asciiTheme="minorHAnsi" w:hAnsiTheme="minorHAnsi" w:cstheme="minorHAnsi"/>
          <w:lang w:val="en-GB"/>
        </w:rPr>
        <w:t>working with a</w:t>
      </w:r>
      <w:r w:rsidR="00675EA0">
        <w:rPr>
          <w:rFonts w:asciiTheme="minorHAnsi" w:hAnsiTheme="minorHAnsi" w:cstheme="minorHAnsi"/>
          <w:lang w:val="en-GB"/>
        </w:rPr>
        <w:t xml:space="preserve"> gender</w:t>
      </w:r>
      <w:r w:rsidR="008150F7">
        <w:rPr>
          <w:rFonts w:asciiTheme="minorHAnsi" w:hAnsiTheme="minorHAnsi" w:cstheme="minorHAnsi"/>
          <w:lang w:val="en-GB"/>
        </w:rPr>
        <w:t xml:space="preserve"> specialist will provide an opportunity for</w:t>
      </w:r>
      <w:r w:rsidR="00696F5D">
        <w:rPr>
          <w:rFonts w:asciiTheme="minorHAnsi" w:hAnsiTheme="minorHAnsi" w:cstheme="minorHAnsi"/>
          <w:lang w:val="en-GB"/>
        </w:rPr>
        <w:t xml:space="preserve"> gender </w:t>
      </w:r>
      <w:r w:rsidR="00F47C35">
        <w:rPr>
          <w:rFonts w:asciiTheme="minorHAnsi" w:hAnsiTheme="minorHAnsi" w:cstheme="minorHAnsi"/>
          <w:lang w:val="en-GB"/>
        </w:rPr>
        <w:t xml:space="preserve">considerations </w:t>
      </w:r>
      <w:r w:rsidR="00696F5D">
        <w:rPr>
          <w:rFonts w:asciiTheme="minorHAnsi" w:hAnsiTheme="minorHAnsi" w:cstheme="minorHAnsi"/>
          <w:lang w:val="en-GB"/>
        </w:rPr>
        <w:t>to be integrated across the full scope of EPSG activities.</w:t>
      </w:r>
      <w:r w:rsidR="00174123">
        <w:rPr>
          <w:rFonts w:asciiTheme="minorHAnsi" w:hAnsiTheme="minorHAnsi" w:cstheme="minorHAnsi"/>
          <w:lang w:val="en-GB"/>
        </w:rPr>
        <w:t xml:space="preserve"> </w:t>
      </w:r>
    </w:p>
    <w:p w:rsidR="00B10F3E" w:rsidRDefault="00B10F3E" w:rsidP="00261F1C">
      <w:pPr>
        <w:pStyle w:val="NormalWeb"/>
        <w:rPr>
          <w:rFonts w:asciiTheme="minorHAnsi" w:hAnsiTheme="minorHAnsi" w:cstheme="minorHAnsi"/>
          <w:lang w:val="en-GB"/>
        </w:rPr>
      </w:pPr>
      <w:r>
        <w:rPr>
          <w:rFonts w:asciiTheme="minorHAnsi" w:hAnsiTheme="minorHAnsi" w:cstheme="minorHAnsi"/>
          <w:lang w:val="en-GB"/>
        </w:rPr>
        <w:t xml:space="preserve">AusAID will ensure that gender considerations are reflected in agreements with donor partners and (where relevant) with managing contractors. </w:t>
      </w:r>
      <w:r w:rsidR="00064ABE">
        <w:rPr>
          <w:rFonts w:asciiTheme="minorHAnsi" w:hAnsiTheme="minorHAnsi" w:cstheme="minorHAnsi"/>
          <w:lang w:val="en-GB"/>
        </w:rPr>
        <w:t xml:space="preserve">This will include ensuring that: references to gender equality and gender impact are included in adviser ToRs; gender reporting is integrated into adviser assessments (therefore encouraging advisers to consider the gender impact of their roles); and gender response is integrated into </w:t>
      </w:r>
      <w:r w:rsidR="00174123">
        <w:rPr>
          <w:rFonts w:asciiTheme="minorHAnsi" w:hAnsiTheme="minorHAnsi" w:cstheme="minorHAnsi"/>
          <w:lang w:val="en-GB"/>
        </w:rPr>
        <w:t>c</w:t>
      </w:r>
      <w:r w:rsidR="00064ABE">
        <w:rPr>
          <w:rFonts w:asciiTheme="minorHAnsi" w:hAnsiTheme="minorHAnsi" w:cstheme="minorHAnsi"/>
          <w:lang w:val="en-GB"/>
        </w:rPr>
        <w:t xml:space="preserve">apacity </w:t>
      </w:r>
      <w:r w:rsidR="00174123">
        <w:rPr>
          <w:rFonts w:asciiTheme="minorHAnsi" w:hAnsiTheme="minorHAnsi" w:cstheme="minorHAnsi"/>
          <w:lang w:val="en-GB"/>
        </w:rPr>
        <w:t>b</w:t>
      </w:r>
      <w:r w:rsidR="00064ABE">
        <w:rPr>
          <w:rFonts w:asciiTheme="minorHAnsi" w:hAnsiTheme="minorHAnsi" w:cstheme="minorHAnsi"/>
          <w:lang w:val="en-GB"/>
        </w:rPr>
        <w:t>uilding training programs.</w:t>
      </w:r>
    </w:p>
    <w:p w:rsidR="00EB6001" w:rsidRDefault="00EA236C" w:rsidP="00545CF6">
      <w:pPr>
        <w:spacing w:before="240"/>
        <w:rPr>
          <w:rFonts w:asciiTheme="minorHAnsi" w:hAnsiTheme="minorHAnsi" w:cstheme="minorHAnsi"/>
          <w:lang w:val="en-GB"/>
        </w:rPr>
      </w:pPr>
      <w:r>
        <w:rPr>
          <w:rFonts w:asciiTheme="minorHAnsi" w:hAnsiTheme="minorHAnsi" w:cstheme="minorHAnsi"/>
          <w:lang w:val="en-GB"/>
        </w:rPr>
        <w:t>Disability considerations will be integrated across the EPSG program, ensuring that p</w:t>
      </w:r>
      <w:r w:rsidR="00EB6001" w:rsidRPr="0014045E">
        <w:rPr>
          <w:rFonts w:asciiTheme="minorHAnsi" w:hAnsiTheme="minorHAnsi" w:cstheme="minorHAnsi"/>
          <w:lang w:val="en-GB"/>
        </w:rPr>
        <w:t xml:space="preserve">eople with </w:t>
      </w:r>
      <w:r w:rsidR="0014045E" w:rsidRPr="0014045E">
        <w:rPr>
          <w:rFonts w:asciiTheme="minorHAnsi" w:hAnsiTheme="minorHAnsi" w:cstheme="minorHAnsi"/>
          <w:lang w:val="en-GB"/>
        </w:rPr>
        <w:t xml:space="preserve">a </w:t>
      </w:r>
      <w:r w:rsidR="00EB6001" w:rsidRPr="0014045E">
        <w:rPr>
          <w:rFonts w:asciiTheme="minorHAnsi" w:hAnsiTheme="minorHAnsi" w:cstheme="minorHAnsi"/>
          <w:lang w:val="en-GB"/>
        </w:rPr>
        <w:t>disabilit</w:t>
      </w:r>
      <w:r w:rsidR="0014045E" w:rsidRPr="0014045E">
        <w:rPr>
          <w:rFonts w:asciiTheme="minorHAnsi" w:hAnsiTheme="minorHAnsi" w:cstheme="minorHAnsi"/>
          <w:lang w:val="en-GB"/>
        </w:rPr>
        <w:t>y</w:t>
      </w:r>
      <w:r w:rsidR="00016FDB">
        <w:rPr>
          <w:rFonts w:asciiTheme="minorHAnsi" w:hAnsiTheme="minorHAnsi" w:cstheme="minorHAnsi"/>
          <w:lang w:val="en-GB"/>
        </w:rPr>
        <w:t xml:space="preserve"> are</w:t>
      </w:r>
      <w:r w:rsidR="00DE7381">
        <w:rPr>
          <w:rFonts w:asciiTheme="minorHAnsi" w:hAnsiTheme="minorHAnsi" w:cstheme="minorHAnsi"/>
          <w:lang w:val="en-GB"/>
        </w:rPr>
        <w:t>:</w:t>
      </w:r>
      <w:r w:rsidR="00EB6001" w:rsidRPr="0014045E">
        <w:rPr>
          <w:rFonts w:asciiTheme="minorHAnsi" w:hAnsiTheme="minorHAnsi" w:cstheme="minorHAnsi"/>
          <w:lang w:val="en-GB"/>
        </w:rPr>
        <w:t xml:space="preserve"> </w:t>
      </w:r>
      <w:r w:rsidR="00DE7381">
        <w:rPr>
          <w:rFonts w:asciiTheme="minorHAnsi" w:hAnsiTheme="minorHAnsi" w:cstheme="minorHAnsi"/>
          <w:lang w:val="en-GB"/>
        </w:rPr>
        <w:t>consulted as part of the design phase;</w:t>
      </w:r>
      <w:r w:rsidR="0014045E" w:rsidRPr="0014045E">
        <w:rPr>
          <w:rFonts w:asciiTheme="minorHAnsi" w:hAnsiTheme="minorHAnsi" w:cstheme="minorHAnsi"/>
          <w:lang w:val="en-GB"/>
        </w:rPr>
        <w:t xml:space="preserve"> adequately catered for</w:t>
      </w:r>
      <w:r w:rsidR="00016FDB">
        <w:rPr>
          <w:rFonts w:asciiTheme="minorHAnsi" w:hAnsiTheme="minorHAnsi" w:cstheme="minorHAnsi"/>
          <w:lang w:val="en-GB"/>
        </w:rPr>
        <w:t xml:space="preserve"> in program designs,</w:t>
      </w:r>
      <w:r w:rsidR="00DE7381">
        <w:rPr>
          <w:rFonts w:asciiTheme="minorHAnsi" w:hAnsiTheme="minorHAnsi" w:cstheme="minorHAnsi"/>
          <w:lang w:val="en-GB"/>
        </w:rPr>
        <w:t xml:space="preserve"> and</w:t>
      </w:r>
      <w:r w:rsidR="00016FDB">
        <w:rPr>
          <w:rFonts w:asciiTheme="minorHAnsi" w:hAnsiTheme="minorHAnsi" w:cstheme="minorHAnsi"/>
          <w:lang w:val="en-GB"/>
        </w:rPr>
        <w:t>;</w:t>
      </w:r>
      <w:r w:rsidR="00DE7381">
        <w:rPr>
          <w:rFonts w:asciiTheme="minorHAnsi" w:hAnsiTheme="minorHAnsi" w:cstheme="minorHAnsi"/>
          <w:lang w:val="en-GB"/>
        </w:rPr>
        <w:t xml:space="preserve"> recognised in reporting arrangements</w:t>
      </w:r>
      <w:r w:rsidR="0014045E" w:rsidRPr="0014045E">
        <w:rPr>
          <w:rFonts w:asciiTheme="minorHAnsi" w:hAnsiTheme="minorHAnsi" w:cstheme="minorHAnsi"/>
          <w:lang w:val="en-GB"/>
        </w:rPr>
        <w:t xml:space="preserve">. </w:t>
      </w:r>
      <w:r w:rsidR="00016FDB">
        <w:rPr>
          <w:rFonts w:asciiTheme="minorHAnsi" w:hAnsiTheme="minorHAnsi" w:cstheme="minorHAnsi"/>
          <w:lang w:val="en-GB"/>
        </w:rPr>
        <w:t xml:space="preserve">As part of the Tonga Governance Strengthening Program, AusAID will </w:t>
      </w:r>
      <w:r>
        <w:rPr>
          <w:rFonts w:asciiTheme="minorHAnsi" w:hAnsiTheme="minorHAnsi" w:cstheme="minorHAnsi"/>
          <w:lang w:val="en-GB"/>
        </w:rPr>
        <w:t>ensure</w:t>
      </w:r>
      <w:r w:rsidR="00016FDB">
        <w:rPr>
          <w:rFonts w:asciiTheme="minorHAnsi" w:hAnsiTheme="minorHAnsi" w:cstheme="minorHAnsi"/>
          <w:lang w:val="en-GB"/>
        </w:rPr>
        <w:t xml:space="preserve"> that </w:t>
      </w:r>
      <w:r w:rsidR="00450346">
        <w:rPr>
          <w:rFonts w:asciiTheme="minorHAnsi" w:hAnsiTheme="minorHAnsi" w:cstheme="minorHAnsi"/>
          <w:lang w:val="en-GB"/>
        </w:rPr>
        <w:t xml:space="preserve">people with a disability are given </w:t>
      </w:r>
      <w:r w:rsidR="00EB6001" w:rsidRPr="0014045E">
        <w:rPr>
          <w:rFonts w:asciiTheme="minorHAnsi" w:hAnsiTheme="minorHAnsi" w:cstheme="minorHAnsi"/>
          <w:lang w:val="en-GB"/>
        </w:rPr>
        <w:t xml:space="preserve">equitable access </w:t>
      </w:r>
      <w:r w:rsidR="0014045E">
        <w:rPr>
          <w:rFonts w:asciiTheme="minorHAnsi" w:hAnsiTheme="minorHAnsi" w:cstheme="minorHAnsi"/>
          <w:lang w:val="en-GB"/>
        </w:rPr>
        <w:t>to opportunities</w:t>
      </w:r>
      <w:r w:rsidR="00016FDB">
        <w:rPr>
          <w:rFonts w:asciiTheme="minorHAnsi" w:hAnsiTheme="minorHAnsi" w:cstheme="minorHAnsi"/>
          <w:lang w:val="en-GB"/>
        </w:rPr>
        <w:t xml:space="preserve">, </w:t>
      </w:r>
      <w:r w:rsidR="00261F1C">
        <w:rPr>
          <w:rFonts w:asciiTheme="minorHAnsi" w:hAnsiTheme="minorHAnsi" w:cstheme="minorHAnsi"/>
          <w:lang w:val="en-GB"/>
        </w:rPr>
        <w:t>including</w:t>
      </w:r>
      <w:r w:rsidR="0014045E" w:rsidRPr="0014045E">
        <w:rPr>
          <w:rFonts w:asciiTheme="minorHAnsi" w:hAnsiTheme="minorHAnsi" w:cstheme="minorHAnsi"/>
          <w:lang w:val="en-GB"/>
        </w:rPr>
        <w:t xml:space="preserve"> during</w:t>
      </w:r>
      <w:r w:rsidR="00EB6001" w:rsidRPr="0014045E">
        <w:rPr>
          <w:rFonts w:asciiTheme="minorHAnsi" w:hAnsiTheme="minorHAnsi" w:cstheme="minorHAnsi"/>
          <w:lang w:val="en-GB"/>
        </w:rPr>
        <w:t xml:space="preserve"> </w:t>
      </w:r>
      <w:r w:rsidR="00244E26" w:rsidRPr="0014045E">
        <w:rPr>
          <w:rFonts w:asciiTheme="minorHAnsi" w:hAnsiTheme="minorHAnsi" w:cstheme="minorHAnsi"/>
          <w:lang w:val="en-GB"/>
        </w:rPr>
        <w:t xml:space="preserve">general </w:t>
      </w:r>
      <w:r w:rsidR="0014045E">
        <w:rPr>
          <w:rFonts w:asciiTheme="minorHAnsi" w:hAnsiTheme="minorHAnsi" w:cstheme="minorHAnsi"/>
          <w:lang w:val="en-GB"/>
        </w:rPr>
        <w:t>elections</w:t>
      </w:r>
      <w:r w:rsidR="00016FDB">
        <w:rPr>
          <w:rFonts w:asciiTheme="minorHAnsi" w:hAnsiTheme="minorHAnsi" w:cstheme="minorHAnsi"/>
          <w:lang w:val="en-GB"/>
        </w:rPr>
        <w:t xml:space="preserve">. AusAID will also </w:t>
      </w:r>
      <w:r w:rsidR="00DD3DD4">
        <w:rPr>
          <w:rFonts w:asciiTheme="minorHAnsi" w:hAnsiTheme="minorHAnsi" w:cstheme="minorHAnsi"/>
          <w:lang w:val="en-GB"/>
        </w:rPr>
        <w:t>require</w:t>
      </w:r>
      <w:r w:rsidR="00016FDB">
        <w:rPr>
          <w:rFonts w:asciiTheme="minorHAnsi" w:hAnsiTheme="minorHAnsi" w:cstheme="minorHAnsi"/>
          <w:lang w:val="en-GB"/>
        </w:rPr>
        <w:t xml:space="preserve"> that materials for civic education are made disability-accessible.</w:t>
      </w:r>
      <w:r w:rsidR="0011768A">
        <w:rPr>
          <w:rFonts w:asciiTheme="minorHAnsi" w:hAnsiTheme="minorHAnsi" w:cstheme="minorHAnsi"/>
          <w:lang w:val="en-GB"/>
        </w:rPr>
        <w:t xml:space="preserve"> Design documents will need to consider whether EPSG activities influence service delivery improvements for people with a disability.</w:t>
      </w:r>
    </w:p>
    <w:p w:rsidR="00172802" w:rsidRDefault="00261F1C" w:rsidP="009807BF">
      <w:pPr>
        <w:spacing w:before="240"/>
        <w:rPr>
          <w:rFonts w:asciiTheme="minorHAnsi" w:hAnsiTheme="minorHAnsi" w:cstheme="minorHAnsi"/>
          <w:lang w:val="en-GB"/>
        </w:rPr>
      </w:pPr>
      <w:r>
        <w:rPr>
          <w:rFonts w:asciiTheme="minorHAnsi" w:hAnsiTheme="minorHAnsi" w:cstheme="minorHAnsi"/>
          <w:lang w:val="en-GB"/>
        </w:rPr>
        <w:t>AusAID will ensure that</w:t>
      </w:r>
      <w:r w:rsidR="00CF29DB">
        <w:rPr>
          <w:rFonts w:asciiTheme="minorHAnsi" w:hAnsiTheme="minorHAnsi" w:cstheme="minorHAnsi"/>
          <w:lang w:val="en-GB"/>
        </w:rPr>
        <w:t xml:space="preserve"> all AusAID staff and</w:t>
      </w:r>
      <w:r>
        <w:rPr>
          <w:rFonts w:asciiTheme="minorHAnsi" w:hAnsiTheme="minorHAnsi" w:cstheme="minorHAnsi"/>
          <w:lang w:val="en-GB"/>
        </w:rPr>
        <w:t xml:space="preserve"> implementing agencies</w:t>
      </w:r>
      <w:r w:rsidR="009807BF">
        <w:rPr>
          <w:rFonts w:asciiTheme="minorHAnsi" w:hAnsiTheme="minorHAnsi" w:cstheme="minorHAnsi"/>
          <w:lang w:val="en-GB"/>
        </w:rPr>
        <w:t xml:space="preserve"> (advisers, consultants, donor partners)</w:t>
      </w:r>
      <w:r>
        <w:rPr>
          <w:rFonts w:asciiTheme="minorHAnsi" w:hAnsiTheme="minorHAnsi" w:cstheme="minorHAnsi"/>
          <w:lang w:val="en-GB"/>
        </w:rPr>
        <w:t xml:space="preserve"> </w:t>
      </w:r>
      <w:r w:rsidR="009807BF">
        <w:rPr>
          <w:rFonts w:asciiTheme="minorHAnsi" w:hAnsiTheme="minorHAnsi" w:cstheme="minorHAnsi"/>
          <w:lang w:val="en-GB"/>
        </w:rPr>
        <w:t>adhere to AusAID</w:t>
      </w:r>
      <w:r w:rsidR="00696F5D">
        <w:rPr>
          <w:rFonts w:asciiTheme="minorHAnsi" w:hAnsiTheme="minorHAnsi" w:cstheme="minorHAnsi"/>
          <w:lang w:val="en-GB"/>
        </w:rPr>
        <w:t>’s</w:t>
      </w:r>
      <w:r w:rsidR="009807BF">
        <w:rPr>
          <w:rFonts w:asciiTheme="minorHAnsi" w:hAnsiTheme="minorHAnsi" w:cstheme="minorHAnsi"/>
          <w:lang w:val="en-GB"/>
        </w:rPr>
        <w:t xml:space="preserve"> Child Protection Policy. </w:t>
      </w:r>
      <w:r w:rsidR="00172802" w:rsidRPr="009807BF">
        <w:rPr>
          <w:rFonts w:asciiTheme="minorHAnsi" w:hAnsiTheme="minorHAnsi" w:cstheme="minorHAnsi"/>
          <w:lang w:val="en-GB"/>
        </w:rPr>
        <w:t>As part of AusAID’s due diligence framework, all multilateral organisations and partners are expected to act in accordance with the principles set out in the policy and abide by other relevant international declarations, conventions and agreements.</w:t>
      </w:r>
    </w:p>
    <w:p w:rsidR="00C7378E" w:rsidRDefault="00C7378E" w:rsidP="00C415C7">
      <w:pPr>
        <w:spacing w:before="240"/>
      </w:pPr>
      <w:r w:rsidRPr="00E33E0F">
        <w:rPr>
          <w:rFonts w:asciiTheme="minorHAnsi" w:hAnsiTheme="minorHAnsi" w:cstheme="minorHAnsi"/>
          <w:lang w:val="en-GB"/>
        </w:rPr>
        <w:t>AusAID’s support for cross-cutting themes is aligned with a key objective of the GoT’s TSDF</w:t>
      </w:r>
      <w:r>
        <w:rPr>
          <w:rFonts w:asciiTheme="minorHAnsi" w:hAnsiTheme="minorHAnsi" w:cstheme="minorHAnsi"/>
          <w:lang w:val="en-GB"/>
        </w:rPr>
        <w:t xml:space="preserve">. Outcome One of the TSDF commits the </w:t>
      </w:r>
      <w:r w:rsidR="00170E94">
        <w:rPr>
          <w:rFonts w:asciiTheme="minorHAnsi" w:hAnsiTheme="minorHAnsi" w:cstheme="minorHAnsi"/>
          <w:lang w:val="en-GB"/>
        </w:rPr>
        <w:t>G</w:t>
      </w:r>
      <w:r>
        <w:rPr>
          <w:rFonts w:asciiTheme="minorHAnsi" w:hAnsiTheme="minorHAnsi" w:cstheme="minorHAnsi"/>
          <w:lang w:val="en-GB"/>
        </w:rPr>
        <w:t>overnment to developing</w:t>
      </w:r>
      <w:r w:rsidRPr="00E33E0F">
        <w:rPr>
          <w:rFonts w:asciiTheme="minorHAnsi" w:hAnsiTheme="minorHAnsi" w:cstheme="minorHAnsi"/>
          <w:lang w:val="en-GB"/>
        </w:rPr>
        <w:t xml:space="preserve"> strong inclusive communities</w:t>
      </w:r>
      <w:r>
        <w:rPr>
          <w:rFonts w:asciiTheme="minorHAnsi" w:hAnsiTheme="minorHAnsi" w:cstheme="minorHAnsi"/>
          <w:lang w:val="en-GB"/>
        </w:rPr>
        <w:t xml:space="preserve">, including </w:t>
      </w:r>
      <w:r w:rsidRPr="00E33E0F">
        <w:rPr>
          <w:rFonts w:asciiTheme="minorHAnsi" w:hAnsiTheme="minorHAnsi" w:cstheme="minorHAnsi"/>
          <w:lang w:val="en-GB"/>
        </w:rPr>
        <w:t xml:space="preserve">improving gender equality by implementing the </w:t>
      </w:r>
      <w:r w:rsidR="008529CD">
        <w:rPr>
          <w:rFonts w:asciiTheme="minorHAnsi" w:hAnsiTheme="minorHAnsi" w:cstheme="minorHAnsi"/>
          <w:lang w:val="en-GB"/>
        </w:rPr>
        <w:t>G</w:t>
      </w:r>
      <w:r w:rsidRPr="00E33E0F">
        <w:rPr>
          <w:rFonts w:asciiTheme="minorHAnsi" w:hAnsiTheme="minorHAnsi" w:cstheme="minorHAnsi"/>
          <w:lang w:val="en-GB"/>
        </w:rPr>
        <w:t>overnment’s gender development policy</w:t>
      </w:r>
      <w:r>
        <w:rPr>
          <w:rFonts w:asciiTheme="minorHAnsi" w:hAnsiTheme="minorHAnsi" w:cstheme="minorHAnsi"/>
          <w:lang w:val="en-GB"/>
        </w:rPr>
        <w:t xml:space="preserve">. </w:t>
      </w:r>
      <w:r w:rsidR="00C80929">
        <w:rPr>
          <w:rFonts w:asciiTheme="minorHAnsi" w:hAnsiTheme="minorHAnsi" w:cstheme="minorHAnsi"/>
          <w:lang w:val="en-GB"/>
        </w:rPr>
        <w:t xml:space="preserve">AusAID </w:t>
      </w:r>
      <w:r w:rsidR="00174123">
        <w:rPr>
          <w:rFonts w:asciiTheme="minorHAnsi" w:hAnsiTheme="minorHAnsi" w:cstheme="minorHAnsi"/>
          <w:lang w:val="en-GB"/>
        </w:rPr>
        <w:t xml:space="preserve">will continue to </w:t>
      </w:r>
      <w:r w:rsidR="003062B0">
        <w:rPr>
          <w:rFonts w:asciiTheme="minorHAnsi" w:hAnsiTheme="minorHAnsi" w:cstheme="minorHAnsi"/>
          <w:lang w:val="en-GB"/>
        </w:rPr>
        <w:t xml:space="preserve">encourage the GoT, at annual Partnership for Development talks, </w:t>
      </w:r>
      <w:r w:rsidR="00441962">
        <w:rPr>
          <w:rFonts w:asciiTheme="minorHAnsi" w:hAnsiTheme="minorHAnsi" w:cstheme="minorHAnsi"/>
          <w:lang w:val="en-GB"/>
        </w:rPr>
        <w:t>to pursue</w:t>
      </w:r>
      <w:r w:rsidR="005F1014">
        <w:rPr>
          <w:rFonts w:asciiTheme="minorHAnsi" w:hAnsiTheme="minorHAnsi" w:cstheme="minorHAnsi"/>
          <w:lang w:val="en-GB"/>
        </w:rPr>
        <w:t xml:space="preserve"> </w:t>
      </w:r>
      <w:r w:rsidR="00441962">
        <w:rPr>
          <w:rFonts w:asciiTheme="minorHAnsi" w:hAnsiTheme="minorHAnsi" w:cstheme="minorHAnsi"/>
          <w:lang w:val="en-GB"/>
        </w:rPr>
        <w:t>policies</w:t>
      </w:r>
      <w:r w:rsidR="00C80929">
        <w:rPr>
          <w:rFonts w:asciiTheme="minorHAnsi" w:hAnsiTheme="minorHAnsi" w:cstheme="minorHAnsi"/>
          <w:lang w:val="en-GB"/>
        </w:rPr>
        <w:t xml:space="preserve"> and programs </w:t>
      </w:r>
      <w:r w:rsidR="00441962">
        <w:rPr>
          <w:rFonts w:asciiTheme="minorHAnsi" w:hAnsiTheme="minorHAnsi" w:cstheme="minorHAnsi"/>
          <w:lang w:val="en-GB"/>
        </w:rPr>
        <w:t>that</w:t>
      </w:r>
      <w:r w:rsidR="00C80929">
        <w:rPr>
          <w:rFonts w:asciiTheme="minorHAnsi" w:hAnsiTheme="minorHAnsi" w:cstheme="minorHAnsi"/>
          <w:lang w:val="en-GB"/>
        </w:rPr>
        <w:t xml:space="preserve"> take into account the needs of men and women</w:t>
      </w:r>
      <w:r w:rsidR="005F1014">
        <w:rPr>
          <w:rFonts w:asciiTheme="minorHAnsi" w:hAnsiTheme="minorHAnsi" w:cstheme="minorHAnsi"/>
          <w:lang w:val="en-GB"/>
        </w:rPr>
        <w:t xml:space="preserve"> </w:t>
      </w:r>
      <w:r w:rsidR="00EF6DB4">
        <w:rPr>
          <w:rFonts w:asciiTheme="minorHAnsi" w:hAnsiTheme="minorHAnsi" w:cstheme="minorHAnsi"/>
          <w:lang w:val="en-GB"/>
        </w:rPr>
        <w:t>and that promote inclusive service delivery.</w:t>
      </w:r>
    </w:p>
    <w:p w:rsidR="00E33E0F" w:rsidRDefault="00E33E0F" w:rsidP="0016286C"/>
    <w:p w:rsidR="008B3531" w:rsidRDefault="008B3531" w:rsidP="0016286C"/>
    <w:p w:rsidR="001077C5" w:rsidRDefault="001077C5" w:rsidP="00A11CCA">
      <w:pPr>
        <w:pStyle w:val="Heading1"/>
        <w:numPr>
          <w:ilvl w:val="0"/>
          <w:numId w:val="6"/>
        </w:numPr>
        <w:spacing w:before="0" w:after="240" w:line="276" w:lineRule="auto"/>
        <w:jc w:val="left"/>
        <w:rPr>
          <w:sz w:val="24"/>
        </w:rPr>
      </w:pPr>
      <w:bookmarkStart w:id="16" w:name="_Toc356389371"/>
      <w:r>
        <w:rPr>
          <w:sz w:val="24"/>
        </w:rPr>
        <w:t>How Australia will deliver its support</w:t>
      </w:r>
      <w:bookmarkEnd w:id="16"/>
    </w:p>
    <w:p w:rsidR="00EA2B25" w:rsidRDefault="001077C5" w:rsidP="001077C5">
      <w:pPr>
        <w:rPr>
          <w:rFonts w:asciiTheme="minorHAnsi" w:hAnsiTheme="minorHAnsi" w:cstheme="minorHAnsi"/>
        </w:rPr>
      </w:pPr>
      <w:r>
        <w:rPr>
          <w:rFonts w:asciiTheme="minorHAnsi" w:hAnsiTheme="minorHAnsi" w:cstheme="minorHAnsi"/>
        </w:rPr>
        <w:t>AusAID is committed to delivering aid in support of economic and public sector reforms where there is a clear and logical evidence-base to support our investments</w:t>
      </w:r>
      <w:r w:rsidR="00412043">
        <w:rPr>
          <w:rFonts w:asciiTheme="minorHAnsi" w:hAnsiTheme="minorHAnsi" w:cstheme="minorHAnsi"/>
        </w:rPr>
        <w:t xml:space="preserve"> and in areas where there is the greatest capacity</w:t>
      </w:r>
      <w:r w:rsidR="00C0212F">
        <w:rPr>
          <w:rFonts w:asciiTheme="minorHAnsi" w:hAnsiTheme="minorHAnsi" w:cstheme="minorHAnsi"/>
        </w:rPr>
        <w:t xml:space="preserve"> for Australia</w:t>
      </w:r>
      <w:r w:rsidR="00412043">
        <w:rPr>
          <w:rFonts w:asciiTheme="minorHAnsi" w:hAnsiTheme="minorHAnsi" w:cstheme="minorHAnsi"/>
        </w:rPr>
        <w:t xml:space="preserve"> to make a difference</w:t>
      </w:r>
      <w:r>
        <w:rPr>
          <w:rFonts w:asciiTheme="minorHAnsi" w:hAnsiTheme="minorHAnsi" w:cstheme="minorHAnsi"/>
        </w:rPr>
        <w:t>.</w:t>
      </w:r>
      <w:r w:rsidR="00EB55B4">
        <w:rPr>
          <w:rFonts w:asciiTheme="minorHAnsi" w:hAnsiTheme="minorHAnsi" w:cstheme="minorHAnsi"/>
        </w:rPr>
        <w:t xml:space="preserve"> </w:t>
      </w:r>
      <w:r w:rsidRPr="002043FF">
        <w:rPr>
          <w:rFonts w:asciiTheme="minorHAnsi" w:hAnsiTheme="minorHAnsi" w:cstheme="minorHAnsi"/>
        </w:rPr>
        <w:t xml:space="preserve">The 2013 </w:t>
      </w:r>
      <w:r w:rsidR="008B23AD">
        <w:rPr>
          <w:rFonts w:asciiTheme="minorHAnsi" w:hAnsiTheme="minorHAnsi" w:cstheme="minorHAnsi"/>
        </w:rPr>
        <w:t>Review</w:t>
      </w:r>
      <w:r w:rsidRPr="002043FF">
        <w:rPr>
          <w:rFonts w:asciiTheme="minorHAnsi" w:hAnsiTheme="minorHAnsi" w:cstheme="minorHAnsi"/>
        </w:rPr>
        <w:t xml:space="preserve"> of AusAID’s Economic and Public Sector </w:t>
      </w:r>
      <w:r w:rsidR="00665110">
        <w:rPr>
          <w:rFonts w:asciiTheme="minorHAnsi" w:hAnsiTheme="minorHAnsi" w:cstheme="minorHAnsi"/>
        </w:rPr>
        <w:t>Reform</w:t>
      </w:r>
      <w:r w:rsidR="00665110" w:rsidRPr="002043FF">
        <w:rPr>
          <w:rFonts w:asciiTheme="minorHAnsi" w:hAnsiTheme="minorHAnsi" w:cstheme="minorHAnsi"/>
        </w:rPr>
        <w:t xml:space="preserve"> </w:t>
      </w:r>
      <w:r w:rsidRPr="002043FF">
        <w:rPr>
          <w:rFonts w:asciiTheme="minorHAnsi" w:hAnsiTheme="minorHAnsi" w:cstheme="minorHAnsi"/>
        </w:rPr>
        <w:t xml:space="preserve">Program and the March 2013 Theory of Change </w:t>
      </w:r>
      <w:r>
        <w:rPr>
          <w:rFonts w:asciiTheme="minorHAnsi" w:hAnsiTheme="minorHAnsi" w:cstheme="minorHAnsi"/>
        </w:rPr>
        <w:t>w</w:t>
      </w:r>
      <w:r w:rsidRPr="002043FF">
        <w:rPr>
          <w:rFonts w:asciiTheme="minorHAnsi" w:hAnsiTheme="minorHAnsi" w:cstheme="minorHAnsi"/>
        </w:rPr>
        <w:t>orkshop identified modalities through which AusAID can work best to achieve development results.</w:t>
      </w:r>
      <w:r>
        <w:rPr>
          <w:rFonts w:asciiTheme="minorHAnsi" w:hAnsiTheme="minorHAnsi" w:cstheme="minorHAnsi"/>
        </w:rPr>
        <w:t xml:space="preserve"> These will be used to inform AusAID’s EPSG medium-term program pipeline.</w:t>
      </w:r>
      <w:r w:rsidR="00B44E94">
        <w:rPr>
          <w:rFonts w:asciiTheme="minorHAnsi" w:hAnsiTheme="minorHAnsi" w:cstheme="minorHAnsi"/>
        </w:rPr>
        <w:t xml:space="preserve"> </w:t>
      </w:r>
    </w:p>
    <w:p w:rsidR="00EA2B25" w:rsidRDefault="00EA2B25" w:rsidP="001077C5">
      <w:pPr>
        <w:rPr>
          <w:rFonts w:asciiTheme="minorHAnsi" w:hAnsiTheme="minorHAnsi" w:cstheme="minorHAnsi"/>
        </w:rPr>
      </w:pPr>
    </w:p>
    <w:p w:rsidR="00B44E94" w:rsidRDefault="00B44E94" w:rsidP="001077C5">
      <w:pPr>
        <w:rPr>
          <w:rFonts w:asciiTheme="minorHAnsi" w:hAnsiTheme="minorHAnsi" w:cstheme="minorHAnsi"/>
        </w:rPr>
      </w:pPr>
      <w:r>
        <w:rPr>
          <w:rFonts w:asciiTheme="minorHAnsi" w:hAnsiTheme="minorHAnsi" w:cstheme="minorHAnsi"/>
        </w:rPr>
        <w:t>A key aspect of AusAID’s activities in this sector will be increased cooperation and coordination with development partners. This will provide a mechanism for greater donor harmonisation and improved efficiency in the delivery of Australia’s aid.</w:t>
      </w:r>
      <w:r w:rsidR="00A72CD4">
        <w:rPr>
          <w:rFonts w:asciiTheme="minorHAnsi" w:hAnsiTheme="minorHAnsi" w:cstheme="minorHAnsi"/>
        </w:rPr>
        <w:t xml:space="preserve"> AusAID is also committed to engaging routinely with the private sector</w:t>
      </w:r>
      <w:r w:rsidR="0068277F">
        <w:rPr>
          <w:rFonts w:asciiTheme="minorHAnsi" w:hAnsiTheme="minorHAnsi" w:cstheme="minorHAnsi"/>
        </w:rPr>
        <w:t xml:space="preserve"> (in particular with the Tonga Chamber of Commerce)</w:t>
      </w:r>
      <w:r w:rsidR="00A72CD4">
        <w:rPr>
          <w:rFonts w:asciiTheme="minorHAnsi" w:hAnsiTheme="minorHAnsi" w:cstheme="minorHAnsi"/>
        </w:rPr>
        <w:t xml:space="preserve"> and civil society as part of the design process for EPSG programs.</w:t>
      </w:r>
      <w:r w:rsidR="008B7413">
        <w:rPr>
          <w:rFonts w:asciiTheme="minorHAnsi" w:hAnsiTheme="minorHAnsi" w:cstheme="minorHAnsi"/>
        </w:rPr>
        <w:t xml:space="preserve"> </w:t>
      </w:r>
    </w:p>
    <w:p w:rsidR="008C417C" w:rsidRDefault="008C417C" w:rsidP="001077C5">
      <w:pPr>
        <w:rPr>
          <w:rFonts w:asciiTheme="minorHAnsi" w:hAnsiTheme="minorHAnsi" w:cstheme="minorHAnsi"/>
        </w:rPr>
      </w:pPr>
    </w:p>
    <w:p w:rsidR="0068741D" w:rsidRPr="0068741D" w:rsidRDefault="0068741D" w:rsidP="001077C5">
      <w:pPr>
        <w:rPr>
          <w:rFonts w:asciiTheme="minorHAnsi" w:hAnsiTheme="minorHAnsi" w:cstheme="minorHAnsi"/>
        </w:rPr>
      </w:pPr>
      <w:r w:rsidRPr="0068741D">
        <w:rPr>
          <w:rFonts w:asciiTheme="minorHAnsi" w:hAnsiTheme="minorHAnsi" w:cstheme="minorHAnsi"/>
        </w:rPr>
        <w:t>The following table outlines the proposed forward engagement for the EPSG bilateral program</w:t>
      </w:r>
      <w:r>
        <w:rPr>
          <w:rFonts w:asciiTheme="minorHAnsi" w:hAnsiTheme="minorHAnsi" w:cstheme="minorHAnsi"/>
        </w:rPr>
        <w:t>.</w:t>
      </w:r>
      <w:r w:rsidR="00412043">
        <w:rPr>
          <w:rFonts w:asciiTheme="minorHAnsi" w:hAnsiTheme="minorHAnsi" w:cstheme="minorHAnsi"/>
        </w:rPr>
        <w:t xml:space="preserve"> </w:t>
      </w:r>
    </w:p>
    <w:p w:rsidR="0068741D" w:rsidRDefault="0068741D" w:rsidP="001077C5">
      <w:pPr>
        <w:rPr>
          <w:rFonts w:asciiTheme="minorHAnsi" w:hAnsiTheme="minorHAnsi" w:cstheme="minorHAnsi"/>
        </w:rPr>
      </w:pPr>
    </w:p>
    <w:p w:rsidR="008C417C" w:rsidRPr="00AA152C" w:rsidRDefault="007737CF" w:rsidP="00AA152C">
      <w:pPr>
        <w:rPr>
          <w:rFonts w:asciiTheme="minorHAnsi" w:hAnsiTheme="minorHAnsi" w:cstheme="minorHAnsi"/>
          <w:b/>
          <w:sz w:val="22"/>
        </w:rPr>
      </w:pPr>
      <w:r>
        <w:rPr>
          <w:rFonts w:asciiTheme="minorHAnsi" w:hAnsiTheme="minorHAnsi" w:cstheme="minorHAnsi"/>
          <w:b/>
          <w:sz w:val="22"/>
        </w:rPr>
        <w:t xml:space="preserve">Table 2: </w:t>
      </w:r>
      <w:r w:rsidR="001A7602">
        <w:rPr>
          <w:rFonts w:asciiTheme="minorHAnsi" w:hAnsiTheme="minorHAnsi" w:cstheme="minorHAnsi"/>
          <w:b/>
          <w:sz w:val="22"/>
        </w:rPr>
        <w:t>Proposed forward engagement for EPSG bilateral program</w:t>
      </w:r>
    </w:p>
    <w:tbl>
      <w:tblPr>
        <w:tblStyle w:val="TableGrid"/>
        <w:tblW w:w="9782" w:type="dxa"/>
        <w:tblInd w:w="-318" w:type="dxa"/>
        <w:tblLook w:val="04A0" w:firstRow="1" w:lastRow="0" w:firstColumn="1" w:lastColumn="0" w:noHBand="0" w:noVBand="1"/>
      </w:tblPr>
      <w:tblGrid>
        <w:gridCol w:w="3403"/>
        <w:gridCol w:w="2268"/>
        <w:gridCol w:w="1843"/>
        <w:gridCol w:w="2268"/>
      </w:tblGrid>
      <w:tr w:rsidR="00695991" w:rsidRPr="00F540AA" w:rsidTr="009B341F">
        <w:tc>
          <w:tcPr>
            <w:tcW w:w="3403" w:type="dxa"/>
            <w:shd w:val="clear" w:color="auto" w:fill="D9D9D9" w:themeFill="background1" w:themeFillShade="D9"/>
          </w:tcPr>
          <w:p w:rsidR="00AA152C" w:rsidRPr="00F540AA" w:rsidRDefault="00AA152C" w:rsidP="00D458DE">
            <w:pPr>
              <w:rPr>
                <w:rFonts w:asciiTheme="minorHAnsi" w:hAnsiTheme="minorHAnsi" w:cstheme="minorHAnsi"/>
                <w:sz w:val="22"/>
              </w:rPr>
            </w:pPr>
            <w:r w:rsidRPr="00F540AA">
              <w:rPr>
                <w:rFonts w:asciiTheme="minorHAnsi" w:hAnsiTheme="minorHAnsi" w:cstheme="minorHAnsi"/>
                <w:sz w:val="22"/>
              </w:rPr>
              <w:t>Objective</w:t>
            </w:r>
          </w:p>
        </w:tc>
        <w:tc>
          <w:tcPr>
            <w:tcW w:w="2268" w:type="dxa"/>
            <w:shd w:val="clear" w:color="auto" w:fill="D9D9D9" w:themeFill="background1" w:themeFillShade="D9"/>
          </w:tcPr>
          <w:p w:rsidR="00AA152C" w:rsidRPr="00F540AA" w:rsidRDefault="009B341F" w:rsidP="009B341F">
            <w:pPr>
              <w:rPr>
                <w:rFonts w:asciiTheme="minorHAnsi" w:hAnsiTheme="minorHAnsi" w:cstheme="minorHAnsi"/>
                <w:sz w:val="22"/>
              </w:rPr>
            </w:pPr>
            <w:r>
              <w:rPr>
                <w:rFonts w:asciiTheme="minorHAnsi" w:hAnsiTheme="minorHAnsi" w:cstheme="minorHAnsi"/>
                <w:sz w:val="22"/>
              </w:rPr>
              <w:t>Proposed a</w:t>
            </w:r>
            <w:r w:rsidR="00AA152C" w:rsidRPr="00F540AA">
              <w:rPr>
                <w:rFonts w:asciiTheme="minorHAnsi" w:hAnsiTheme="minorHAnsi" w:cstheme="minorHAnsi"/>
                <w:sz w:val="22"/>
              </w:rPr>
              <w:t>ctivity</w:t>
            </w:r>
          </w:p>
        </w:tc>
        <w:tc>
          <w:tcPr>
            <w:tcW w:w="1843" w:type="dxa"/>
            <w:shd w:val="clear" w:color="auto" w:fill="D9D9D9" w:themeFill="background1" w:themeFillShade="D9"/>
          </w:tcPr>
          <w:p w:rsidR="00AA152C" w:rsidRPr="00F540AA" w:rsidRDefault="009B341F" w:rsidP="009B341F">
            <w:pPr>
              <w:rPr>
                <w:rFonts w:asciiTheme="minorHAnsi" w:hAnsiTheme="minorHAnsi" w:cstheme="minorHAnsi"/>
                <w:sz w:val="22"/>
              </w:rPr>
            </w:pPr>
            <w:r>
              <w:rPr>
                <w:rFonts w:asciiTheme="minorHAnsi" w:hAnsiTheme="minorHAnsi" w:cstheme="minorHAnsi"/>
                <w:sz w:val="22"/>
              </w:rPr>
              <w:t>Proposed m</w:t>
            </w:r>
            <w:r w:rsidR="00AA152C" w:rsidRPr="00F540AA">
              <w:rPr>
                <w:rFonts w:asciiTheme="minorHAnsi" w:hAnsiTheme="minorHAnsi" w:cstheme="minorHAnsi"/>
                <w:sz w:val="22"/>
              </w:rPr>
              <w:t>odality</w:t>
            </w:r>
          </w:p>
        </w:tc>
        <w:tc>
          <w:tcPr>
            <w:tcW w:w="2268" w:type="dxa"/>
            <w:shd w:val="clear" w:color="auto" w:fill="D9D9D9" w:themeFill="background1" w:themeFillShade="D9"/>
          </w:tcPr>
          <w:p w:rsidR="00AA152C" w:rsidRPr="00F540AA" w:rsidRDefault="009B341F" w:rsidP="009B341F">
            <w:pPr>
              <w:rPr>
                <w:rFonts w:asciiTheme="minorHAnsi" w:hAnsiTheme="minorHAnsi" w:cstheme="minorHAnsi"/>
                <w:sz w:val="22"/>
              </w:rPr>
            </w:pPr>
            <w:r>
              <w:rPr>
                <w:rFonts w:asciiTheme="minorHAnsi" w:hAnsiTheme="minorHAnsi" w:cstheme="minorHAnsi"/>
                <w:sz w:val="22"/>
              </w:rPr>
              <w:t>Proposed partners</w:t>
            </w:r>
          </w:p>
        </w:tc>
      </w:tr>
      <w:tr w:rsidR="00AA152C" w:rsidRPr="00AA152C" w:rsidTr="009B341F">
        <w:tc>
          <w:tcPr>
            <w:tcW w:w="3403" w:type="dxa"/>
          </w:tcPr>
          <w:p w:rsidR="00AA152C" w:rsidRPr="00AA152C" w:rsidRDefault="00AA152C" w:rsidP="009B341F">
            <w:pPr>
              <w:jc w:val="left"/>
              <w:rPr>
                <w:rFonts w:asciiTheme="minorHAnsi" w:hAnsiTheme="minorHAnsi" w:cstheme="minorHAnsi"/>
                <w:sz w:val="22"/>
                <w:szCs w:val="22"/>
              </w:rPr>
            </w:pPr>
            <w:r w:rsidRPr="00AA152C">
              <w:rPr>
                <w:rFonts w:asciiTheme="minorHAnsi" w:hAnsiTheme="minorHAnsi" w:cstheme="minorHAnsi"/>
                <w:b/>
                <w:sz w:val="22"/>
                <w:szCs w:val="22"/>
              </w:rPr>
              <w:t xml:space="preserve">Public sector governance: </w:t>
            </w:r>
            <w:r w:rsidRPr="00AA152C">
              <w:rPr>
                <w:rFonts w:asciiTheme="minorHAnsi" w:hAnsiTheme="minorHAnsi" w:cstheme="minorHAnsi"/>
                <w:sz w:val="22"/>
                <w:szCs w:val="22"/>
              </w:rPr>
              <w:t>GoT agencies demonstrate measureable improvement in the effici</w:t>
            </w:r>
            <w:r>
              <w:rPr>
                <w:rFonts w:asciiTheme="minorHAnsi" w:hAnsiTheme="minorHAnsi" w:cstheme="minorHAnsi"/>
                <w:sz w:val="22"/>
                <w:szCs w:val="22"/>
              </w:rPr>
              <w:t>ency of public service delivery</w:t>
            </w:r>
          </w:p>
        </w:tc>
        <w:tc>
          <w:tcPr>
            <w:tcW w:w="2268" w:type="dxa"/>
          </w:tcPr>
          <w:p w:rsidR="00AA152C" w:rsidRPr="00AA152C" w:rsidRDefault="009B341F" w:rsidP="003B1D2E">
            <w:pPr>
              <w:jc w:val="left"/>
              <w:rPr>
                <w:rFonts w:asciiTheme="minorHAnsi" w:hAnsiTheme="minorHAnsi" w:cstheme="minorHAnsi"/>
                <w:sz w:val="22"/>
              </w:rPr>
            </w:pPr>
            <w:r>
              <w:rPr>
                <w:rFonts w:asciiTheme="minorHAnsi" w:hAnsiTheme="minorHAnsi" w:cstheme="minorHAnsi"/>
                <w:sz w:val="22"/>
              </w:rPr>
              <w:t>Public service training</w:t>
            </w:r>
            <w:r w:rsidR="003B1D2E">
              <w:rPr>
                <w:rFonts w:asciiTheme="minorHAnsi" w:hAnsiTheme="minorHAnsi" w:cstheme="minorHAnsi"/>
                <w:sz w:val="22"/>
              </w:rPr>
              <w:t xml:space="preserve"> programs</w:t>
            </w:r>
            <w:r>
              <w:rPr>
                <w:rFonts w:asciiTheme="minorHAnsi" w:hAnsiTheme="minorHAnsi" w:cstheme="minorHAnsi"/>
                <w:sz w:val="22"/>
              </w:rPr>
              <w:t xml:space="preserve"> and improvement of the public sector</w:t>
            </w:r>
          </w:p>
        </w:tc>
        <w:tc>
          <w:tcPr>
            <w:tcW w:w="1843" w:type="dxa"/>
          </w:tcPr>
          <w:p w:rsidR="00AA152C" w:rsidRPr="00AA152C" w:rsidRDefault="009B341F" w:rsidP="009B341F">
            <w:pPr>
              <w:jc w:val="left"/>
              <w:rPr>
                <w:rFonts w:asciiTheme="minorHAnsi" w:hAnsiTheme="minorHAnsi" w:cstheme="minorHAnsi"/>
                <w:sz w:val="22"/>
              </w:rPr>
            </w:pPr>
            <w:r>
              <w:rPr>
                <w:rFonts w:asciiTheme="minorHAnsi" w:hAnsiTheme="minorHAnsi" w:cstheme="minorHAnsi"/>
                <w:sz w:val="22"/>
              </w:rPr>
              <w:t>Collaboration with donor partners</w:t>
            </w:r>
            <w:r w:rsidR="00695991">
              <w:rPr>
                <w:rFonts w:asciiTheme="minorHAnsi" w:hAnsiTheme="minorHAnsi" w:cstheme="minorHAnsi"/>
                <w:sz w:val="22"/>
              </w:rPr>
              <w:t>;</w:t>
            </w:r>
            <w:r>
              <w:rPr>
                <w:rFonts w:asciiTheme="minorHAnsi" w:hAnsiTheme="minorHAnsi" w:cstheme="minorHAnsi"/>
                <w:sz w:val="22"/>
              </w:rPr>
              <w:t xml:space="preserve"> technical assistance</w:t>
            </w:r>
            <w:r w:rsidR="00EB1420">
              <w:rPr>
                <w:rFonts w:asciiTheme="minorHAnsi" w:hAnsiTheme="minorHAnsi" w:cstheme="minorHAnsi"/>
                <w:sz w:val="22"/>
              </w:rPr>
              <w:t xml:space="preserve"> and other forms of capacity development, including through funding donor partner programs</w:t>
            </w:r>
          </w:p>
        </w:tc>
        <w:tc>
          <w:tcPr>
            <w:tcW w:w="2268" w:type="dxa"/>
          </w:tcPr>
          <w:p w:rsidR="00AA152C" w:rsidRPr="00AA152C" w:rsidRDefault="009B341F" w:rsidP="00AE62BD">
            <w:pPr>
              <w:jc w:val="left"/>
              <w:rPr>
                <w:rFonts w:asciiTheme="minorHAnsi" w:hAnsiTheme="minorHAnsi" w:cstheme="minorHAnsi"/>
                <w:sz w:val="22"/>
              </w:rPr>
            </w:pPr>
            <w:r>
              <w:rPr>
                <w:rFonts w:asciiTheme="minorHAnsi" w:hAnsiTheme="minorHAnsi" w:cstheme="minorHAnsi"/>
                <w:sz w:val="22"/>
              </w:rPr>
              <w:t>GoT</w:t>
            </w:r>
            <w:r w:rsidR="00695991">
              <w:rPr>
                <w:rFonts w:asciiTheme="minorHAnsi" w:hAnsiTheme="minorHAnsi" w:cstheme="minorHAnsi"/>
                <w:sz w:val="22"/>
              </w:rPr>
              <w:t xml:space="preserve"> (MoFNP, PSC)</w:t>
            </w:r>
            <w:r>
              <w:rPr>
                <w:rFonts w:asciiTheme="minorHAnsi" w:hAnsiTheme="minorHAnsi" w:cstheme="minorHAnsi"/>
                <w:sz w:val="22"/>
              </w:rPr>
              <w:t>, World Bank, ADB, PICPA</w:t>
            </w:r>
          </w:p>
        </w:tc>
      </w:tr>
      <w:tr w:rsidR="008C417C" w:rsidRPr="00AA152C" w:rsidTr="009B341F">
        <w:tc>
          <w:tcPr>
            <w:tcW w:w="3403" w:type="dxa"/>
          </w:tcPr>
          <w:p w:rsidR="008C417C" w:rsidRPr="00AA152C" w:rsidRDefault="00AA152C" w:rsidP="00AA152C">
            <w:pPr>
              <w:jc w:val="left"/>
              <w:rPr>
                <w:rFonts w:asciiTheme="minorHAnsi" w:hAnsiTheme="minorHAnsi" w:cstheme="minorHAnsi"/>
                <w:sz w:val="22"/>
                <w:szCs w:val="22"/>
              </w:rPr>
            </w:pPr>
            <w:r w:rsidRPr="00AA152C">
              <w:rPr>
                <w:rFonts w:asciiTheme="minorHAnsi" w:hAnsiTheme="minorHAnsi" w:cstheme="minorHAnsi"/>
                <w:b/>
                <w:sz w:val="22"/>
                <w:szCs w:val="22"/>
              </w:rPr>
              <w:t>Economic</w:t>
            </w:r>
            <w:r w:rsidR="0032796B">
              <w:rPr>
                <w:rFonts w:asciiTheme="minorHAnsi" w:hAnsiTheme="minorHAnsi" w:cstheme="minorHAnsi"/>
                <w:b/>
                <w:sz w:val="22"/>
                <w:szCs w:val="22"/>
              </w:rPr>
              <w:t xml:space="preserve"> and financial</w:t>
            </w:r>
            <w:r w:rsidRPr="00AA152C">
              <w:rPr>
                <w:rFonts w:asciiTheme="minorHAnsi" w:hAnsiTheme="minorHAnsi" w:cstheme="minorHAnsi"/>
                <w:b/>
                <w:sz w:val="22"/>
                <w:szCs w:val="22"/>
              </w:rPr>
              <w:t xml:space="preserve"> governance:</w:t>
            </w:r>
            <w:r>
              <w:rPr>
                <w:rFonts w:asciiTheme="minorHAnsi" w:hAnsiTheme="minorHAnsi" w:cstheme="minorHAnsi"/>
                <w:sz w:val="22"/>
                <w:szCs w:val="22"/>
              </w:rPr>
              <w:t xml:space="preserve"> </w:t>
            </w:r>
            <w:r w:rsidRPr="00AA152C">
              <w:rPr>
                <w:rFonts w:asciiTheme="minorHAnsi" w:hAnsiTheme="minorHAnsi" w:cstheme="minorHAnsi"/>
                <w:sz w:val="22"/>
                <w:szCs w:val="22"/>
              </w:rPr>
              <w:t>GoT agencies demonstrate measureable improvement in the allocation and use of public expenditure for TSDF priorities as well as</w:t>
            </w:r>
            <w:r>
              <w:rPr>
                <w:rFonts w:asciiTheme="minorHAnsi" w:hAnsiTheme="minorHAnsi" w:cstheme="minorHAnsi"/>
                <w:sz w:val="22"/>
                <w:szCs w:val="22"/>
              </w:rPr>
              <w:t xml:space="preserve"> sustainable revenue collection</w:t>
            </w:r>
          </w:p>
        </w:tc>
        <w:tc>
          <w:tcPr>
            <w:tcW w:w="2268" w:type="dxa"/>
          </w:tcPr>
          <w:p w:rsidR="00A06F8C" w:rsidRDefault="00A06F8C" w:rsidP="00A06F8C">
            <w:pPr>
              <w:jc w:val="left"/>
              <w:rPr>
                <w:rFonts w:asciiTheme="minorHAnsi" w:hAnsiTheme="minorHAnsi" w:cstheme="minorHAnsi"/>
                <w:sz w:val="22"/>
              </w:rPr>
            </w:pPr>
            <w:r>
              <w:rPr>
                <w:rFonts w:asciiTheme="minorHAnsi" w:hAnsiTheme="minorHAnsi" w:cstheme="minorHAnsi"/>
                <w:sz w:val="22"/>
              </w:rPr>
              <w:t>Advisory support to strengthen alignment between GoT expenditure and TSDF priorities; advisory support to MoR;</w:t>
            </w:r>
          </w:p>
          <w:p w:rsidR="008C417C" w:rsidRPr="00AA152C" w:rsidRDefault="00695991" w:rsidP="00A06F8C">
            <w:pPr>
              <w:jc w:val="left"/>
              <w:rPr>
                <w:rFonts w:asciiTheme="minorHAnsi" w:hAnsiTheme="minorHAnsi" w:cstheme="minorHAnsi"/>
                <w:sz w:val="22"/>
              </w:rPr>
            </w:pPr>
            <w:r>
              <w:rPr>
                <w:rFonts w:asciiTheme="minorHAnsi" w:hAnsiTheme="minorHAnsi" w:cstheme="minorHAnsi"/>
                <w:sz w:val="22"/>
              </w:rPr>
              <w:t>upgrade to management information systems &amp; PC/trade systems</w:t>
            </w:r>
            <w:r w:rsidR="00AE62BD">
              <w:rPr>
                <w:rFonts w:asciiTheme="minorHAnsi" w:hAnsiTheme="minorHAnsi" w:cstheme="minorHAnsi"/>
                <w:sz w:val="22"/>
              </w:rPr>
              <w:t xml:space="preserve">; advisory support for MoFNP’s </w:t>
            </w:r>
            <w:r w:rsidR="00A06F8C">
              <w:rPr>
                <w:rFonts w:asciiTheme="minorHAnsi" w:hAnsiTheme="minorHAnsi" w:cstheme="minorHAnsi"/>
                <w:sz w:val="22"/>
              </w:rPr>
              <w:t>Central P</w:t>
            </w:r>
            <w:r w:rsidR="00AE62BD">
              <w:rPr>
                <w:rFonts w:asciiTheme="minorHAnsi" w:hAnsiTheme="minorHAnsi" w:cstheme="minorHAnsi"/>
                <w:sz w:val="22"/>
              </w:rPr>
              <w:t xml:space="preserve">rocurement </w:t>
            </w:r>
            <w:r w:rsidR="00A06F8C">
              <w:rPr>
                <w:rFonts w:asciiTheme="minorHAnsi" w:hAnsiTheme="minorHAnsi" w:cstheme="minorHAnsi"/>
                <w:sz w:val="22"/>
              </w:rPr>
              <w:t>U</w:t>
            </w:r>
            <w:r w:rsidR="00AE62BD">
              <w:rPr>
                <w:rFonts w:asciiTheme="minorHAnsi" w:hAnsiTheme="minorHAnsi" w:cstheme="minorHAnsi"/>
                <w:sz w:val="22"/>
              </w:rPr>
              <w:t>nit; advisory support for Audit Office.</w:t>
            </w:r>
          </w:p>
        </w:tc>
        <w:tc>
          <w:tcPr>
            <w:tcW w:w="1843" w:type="dxa"/>
          </w:tcPr>
          <w:p w:rsidR="008C417C" w:rsidRPr="00AA152C" w:rsidRDefault="00A06F8C" w:rsidP="003364CF">
            <w:pPr>
              <w:jc w:val="left"/>
              <w:rPr>
                <w:rFonts w:asciiTheme="minorHAnsi" w:hAnsiTheme="minorHAnsi" w:cstheme="minorHAnsi"/>
                <w:sz w:val="22"/>
              </w:rPr>
            </w:pPr>
            <w:r>
              <w:rPr>
                <w:rFonts w:asciiTheme="minorHAnsi" w:hAnsiTheme="minorHAnsi" w:cstheme="minorHAnsi"/>
                <w:sz w:val="22"/>
              </w:rPr>
              <w:t xml:space="preserve">Budget support tied to achievement of actions identified in the Policy Reform Matrix; </w:t>
            </w:r>
            <w:r w:rsidR="00695991">
              <w:rPr>
                <w:rFonts w:asciiTheme="minorHAnsi" w:hAnsiTheme="minorHAnsi" w:cstheme="minorHAnsi"/>
                <w:sz w:val="22"/>
              </w:rPr>
              <w:t>t</w:t>
            </w:r>
            <w:r w:rsidR="009B341F">
              <w:rPr>
                <w:rFonts w:asciiTheme="minorHAnsi" w:hAnsiTheme="minorHAnsi" w:cstheme="minorHAnsi"/>
                <w:sz w:val="22"/>
              </w:rPr>
              <w:t>echnical assistance</w:t>
            </w:r>
            <w:r w:rsidR="00EB1420">
              <w:rPr>
                <w:rFonts w:asciiTheme="minorHAnsi" w:hAnsiTheme="minorHAnsi" w:cstheme="minorHAnsi"/>
                <w:sz w:val="22"/>
              </w:rPr>
              <w:t>; funding donor partner programs</w:t>
            </w:r>
            <w:r w:rsidR="00695991">
              <w:rPr>
                <w:rFonts w:asciiTheme="minorHAnsi" w:hAnsiTheme="minorHAnsi" w:cstheme="minorHAnsi"/>
                <w:sz w:val="22"/>
              </w:rPr>
              <w:t xml:space="preserve"> </w:t>
            </w:r>
          </w:p>
        </w:tc>
        <w:tc>
          <w:tcPr>
            <w:tcW w:w="2268" w:type="dxa"/>
          </w:tcPr>
          <w:p w:rsidR="008C417C" w:rsidRPr="00AA152C" w:rsidRDefault="009B341F" w:rsidP="00B0290A">
            <w:pPr>
              <w:jc w:val="left"/>
              <w:rPr>
                <w:rFonts w:asciiTheme="minorHAnsi" w:hAnsiTheme="minorHAnsi" w:cstheme="minorHAnsi"/>
                <w:sz w:val="22"/>
              </w:rPr>
            </w:pPr>
            <w:r>
              <w:rPr>
                <w:rFonts w:asciiTheme="minorHAnsi" w:hAnsiTheme="minorHAnsi" w:cstheme="minorHAnsi"/>
                <w:sz w:val="22"/>
              </w:rPr>
              <w:t>GoT</w:t>
            </w:r>
            <w:r w:rsidR="00695991">
              <w:rPr>
                <w:rFonts w:asciiTheme="minorHAnsi" w:hAnsiTheme="minorHAnsi" w:cstheme="minorHAnsi"/>
                <w:sz w:val="22"/>
              </w:rPr>
              <w:t xml:space="preserve"> (MOFNP, MoR, Statistics</w:t>
            </w:r>
            <w:r w:rsidR="00AE62BD">
              <w:rPr>
                <w:rFonts w:asciiTheme="minorHAnsi" w:hAnsiTheme="minorHAnsi" w:cstheme="minorHAnsi"/>
                <w:sz w:val="22"/>
              </w:rPr>
              <w:t>, Audit Office</w:t>
            </w:r>
            <w:r w:rsidR="00695991">
              <w:rPr>
                <w:rFonts w:asciiTheme="minorHAnsi" w:hAnsiTheme="minorHAnsi" w:cstheme="minorHAnsi"/>
                <w:sz w:val="22"/>
              </w:rPr>
              <w:t>)</w:t>
            </w:r>
            <w:r>
              <w:rPr>
                <w:rFonts w:asciiTheme="minorHAnsi" w:hAnsiTheme="minorHAnsi" w:cstheme="minorHAnsi"/>
                <w:sz w:val="22"/>
              </w:rPr>
              <w:t xml:space="preserve">, </w:t>
            </w:r>
            <w:r w:rsidR="00695991">
              <w:rPr>
                <w:rFonts w:asciiTheme="minorHAnsi" w:hAnsiTheme="minorHAnsi" w:cstheme="minorHAnsi"/>
                <w:sz w:val="22"/>
              </w:rPr>
              <w:t>World Bank, ADB, PFTAC</w:t>
            </w:r>
          </w:p>
        </w:tc>
      </w:tr>
      <w:tr w:rsidR="008C417C" w:rsidRPr="00AA152C" w:rsidTr="009B341F">
        <w:tc>
          <w:tcPr>
            <w:tcW w:w="3403" w:type="dxa"/>
          </w:tcPr>
          <w:p w:rsidR="008C417C" w:rsidRPr="00AA152C" w:rsidRDefault="00AA152C" w:rsidP="00AA152C">
            <w:pPr>
              <w:jc w:val="left"/>
              <w:rPr>
                <w:rFonts w:asciiTheme="minorHAnsi" w:hAnsiTheme="minorHAnsi" w:cstheme="minorHAnsi"/>
                <w:b/>
                <w:sz w:val="22"/>
                <w:szCs w:val="22"/>
              </w:rPr>
            </w:pPr>
            <w:r w:rsidRPr="00AA152C">
              <w:rPr>
                <w:rFonts w:asciiTheme="minorHAnsi" w:hAnsiTheme="minorHAnsi" w:cstheme="minorHAnsi"/>
                <w:b/>
                <w:sz w:val="22"/>
                <w:szCs w:val="22"/>
              </w:rPr>
              <w:t xml:space="preserve">Business enabling environment: </w:t>
            </w:r>
            <w:r w:rsidRPr="00AA152C">
              <w:rPr>
                <w:rFonts w:asciiTheme="minorHAnsi" w:hAnsiTheme="minorHAnsi" w:cstheme="minorHAnsi"/>
                <w:sz w:val="22"/>
                <w:szCs w:val="22"/>
              </w:rPr>
              <w:t>The majority of public enterprises reform and GoT agencies enable measureable de</w:t>
            </w:r>
            <w:r>
              <w:rPr>
                <w:rFonts w:asciiTheme="minorHAnsi" w:hAnsiTheme="minorHAnsi" w:cstheme="minorHAnsi"/>
                <w:sz w:val="22"/>
                <w:szCs w:val="22"/>
              </w:rPr>
              <w:t>velopment of the private sector</w:t>
            </w:r>
          </w:p>
        </w:tc>
        <w:tc>
          <w:tcPr>
            <w:tcW w:w="2268" w:type="dxa"/>
          </w:tcPr>
          <w:p w:rsidR="008C417C" w:rsidRPr="00AA152C" w:rsidRDefault="00C14044" w:rsidP="00C14044">
            <w:pPr>
              <w:jc w:val="left"/>
              <w:rPr>
                <w:rFonts w:asciiTheme="minorHAnsi" w:hAnsiTheme="minorHAnsi" w:cstheme="minorHAnsi"/>
                <w:sz w:val="22"/>
              </w:rPr>
            </w:pPr>
            <w:r>
              <w:rPr>
                <w:rFonts w:asciiTheme="minorHAnsi" w:hAnsiTheme="minorHAnsi" w:cstheme="minorHAnsi"/>
                <w:sz w:val="22"/>
              </w:rPr>
              <w:t>Support for SOE reform and private sector development through Policy Reform Matrix</w:t>
            </w:r>
          </w:p>
        </w:tc>
        <w:tc>
          <w:tcPr>
            <w:tcW w:w="1843" w:type="dxa"/>
          </w:tcPr>
          <w:p w:rsidR="008C417C" w:rsidRPr="00AA152C" w:rsidRDefault="00C14044" w:rsidP="003364CF">
            <w:pPr>
              <w:jc w:val="left"/>
              <w:rPr>
                <w:rFonts w:asciiTheme="minorHAnsi" w:hAnsiTheme="minorHAnsi" w:cstheme="minorHAnsi"/>
                <w:sz w:val="22"/>
              </w:rPr>
            </w:pPr>
            <w:r>
              <w:rPr>
                <w:rFonts w:asciiTheme="minorHAnsi" w:hAnsiTheme="minorHAnsi" w:cstheme="minorHAnsi"/>
                <w:sz w:val="22"/>
              </w:rPr>
              <w:t>Budget support tied to achievement of actions identified in the Policy Reform Matrix;</w:t>
            </w:r>
            <w:r w:rsidR="00EB1420">
              <w:rPr>
                <w:rFonts w:asciiTheme="minorHAnsi" w:hAnsiTheme="minorHAnsi" w:cstheme="minorHAnsi"/>
                <w:sz w:val="22"/>
              </w:rPr>
              <w:t xml:space="preserve"> regional AusAID programs (such as PSDI)</w:t>
            </w:r>
          </w:p>
        </w:tc>
        <w:tc>
          <w:tcPr>
            <w:tcW w:w="2268" w:type="dxa"/>
          </w:tcPr>
          <w:p w:rsidR="008C417C" w:rsidRPr="00AA152C" w:rsidRDefault="00695991" w:rsidP="00B0290A">
            <w:pPr>
              <w:jc w:val="left"/>
              <w:rPr>
                <w:rFonts w:asciiTheme="minorHAnsi" w:hAnsiTheme="minorHAnsi" w:cstheme="minorHAnsi"/>
                <w:sz w:val="22"/>
              </w:rPr>
            </w:pPr>
            <w:r>
              <w:rPr>
                <w:rFonts w:asciiTheme="minorHAnsi" w:hAnsiTheme="minorHAnsi" w:cstheme="minorHAnsi"/>
                <w:sz w:val="22"/>
              </w:rPr>
              <w:t>GoT, World Bank, ADB</w:t>
            </w:r>
            <w:r w:rsidR="00C14044">
              <w:rPr>
                <w:rFonts w:asciiTheme="minorHAnsi" w:hAnsiTheme="minorHAnsi" w:cstheme="minorHAnsi"/>
                <w:sz w:val="22"/>
              </w:rPr>
              <w:t xml:space="preserve"> (PSDI)</w:t>
            </w:r>
          </w:p>
        </w:tc>
      </w:tr>
      <w:tr w:rsidR="008C417C" w:rsidRPr="00AA152C" w:rsidTr="009B341F">
        <w:tc>
          <w:tcPr>
            <w:tcW w:w="3403" w:type="dxa"/>
          </w:tcPr>
          <w:p w:rsidR="00AA152C" w:rsidRPr="00AA152C" w:rsidRDefault="00AA152C" w:rsidP="00AA152C">
            <w:pPr>
              <w:jc w:val="left"/>
              <w:rPr>
                <w:rFonts w:asciiTheme="minorHAnsi" w:hAnsiTheme="minorHAnsi" w:cstheme="minorHAnsi"/>
                <w:b/>
                <w:sz w:val="22"/>
                <w:szCs w:val="22"/>
              </w:rPr>
            </w:pPr>
            <w:r w:rsidRPr="00AA152C">
              <w:rPr>
                <w:rFonts w:asciiTheme="minorHAnsi" w:hAnsiTheme="minorHAnsi" w:cstheme="minorHAnsi"/>
                <w:b/>
                <w:sz w:val="22"/>
                <w:szCs w:val="22"/>
              </w:rPr>
              <w:t>Effective aid through alignment, harmonisation and mutual accountability:</w:t>
            </w:r>
          </w:p>
          <w:p w:rsidR="008C417C" w:rsidRPr="00AA152C" w:rsidRDefault="00AA152C" w:rsidP="00AA152C">
            <w:pPr>
              <w:jc w:val="left"/>
              <w:rPr>
                <w:rFonts w:asciiTheme="minorHAnsi" w:hAnsiTheme="minorHAnsi" w:cstheme="minorHAnsi"/>
                <w:sz w:val="22"/>
                <w:szCs w:val="22"/>
              </w:rPr>
            </w:pPr>
            <w:r w:rsidRPr="00AA152C">
              <w:rPr>
                <w:rFonts w:asciiTheme="minorHAnsi" w:hAnsiTheme="minorHAnsi" w:cstheme="minorHAnsi"/>
                <w:sz w:val="22"/>
                <w:szCs w:val="22"/>
              </w:rPr>
              <w:t>GoT agencies and development partners ensure a more coordinated whole of government approach to partnership for PFM reforms</w:t>
            </w:r>
          </w:p>
        </w:tc>
        <w:tc>
          <w:tcPr>
            <w:tcW w:w="2268" w:type="dxa"/>
          </w:tcPr>
          <w:p w:rsidR="008C417C" w:rsidRPr="00AA152C" w:rsidRDefault="00695991" w:rsidP="00B0290A">
            <w:pPr>
              <w:jc w:val="left"/>
              <w:rPr>
                <w:rFonts w:asciiTheme="minorHAnsi" w:hAnsiTheme="minorHAnsi" w:cstheme="minorHAnsi"/>
                <w:sz w:val="22"/>
              </w:rPr>
            </w:pPr>
            <w:r>
              <w:rPr>
                <w:rFonts w:asciiTheme="minorHAnsi" w:hAnsiTheme="minorHAnsi" w:cstheme="minorHAnsi"/>
                <w:sz w:val="22"/>
              </w:rPr>
              <w:t>Budget support tied to achievement of actions identified in the Policy Reform Matrix</w:t>
            </w:r>
            <w:r w:rsidR="00706362">
              <w:rPr>
                <w:rFonts w:asciiTheme="minorHAnsi" w:hAnsiTheme="minorHAnsi" w:cstheme="minorHAnsi"/>
                <w:sz w:val="22"/>
              </w:rPr>
              <w:t>; policy dialogue between GoA and GoT</w:t>
            </w:r>
          </w:p>
        </w:tc>
        <w:tc>
          <w:tcPr>
            <w:tcW w:w="1843" w:type="dxa"/>
          </w:tcPr>
          <w:p w:rsidR="008C417C" w:rsidRPr="00AA152C" w:rsidRDefault="00695991" w:rsidP="003364CF">
            <w:pPr>
              <w:jc w:val="left"/>
              <w:rPr>
                <w:rFonts w:asciiTheme="minorHAnsi" w:hAnsiTheme="minorHAnsi" w:cstheme="minorHAnsi"/>
                <w:sz w:val="22"/>
              </w:rPr>
            </w:pPr>
            <w:r>
              <w:rPr>
                <w:rFonts w:asciiTheme="minorHAnsi" w:hAnsiTheme="minorHAnsi" w:cstheme="minorHAnsi"/>
                <w:sz w:val="22"/>
              </w:rPr>
              <w:t>Performance-linked aid tied to Policy Reform Matrix</w:t>
            </w:r>
            <w:r w:rsidR="00706362">
              <w:rPr>
                <w:rFonts w:asciiTheme="minorHAnsi" w:hAnsiTheme="minorHAnsi" w:cstheme="minorHAnsi"/>
                <w:sz w:val="22"/>
              </w:rPr>
              <w:t>; policy dialogue</w:t>
            </w:r>
            <w:r w:rsidR="00EB1420">
              <w:rPr>
                <w:rFonts w:asciiTheme="minorHAnsi" w:hAnsiTheme="minorHAnsi" w:cstheme="minorHAnsi"/>
                <w:sz w:val="22"/>
              </w:rPr>
              <w:t xml:space="preserve">; </w:t>
            </w:r>
            <w:r w:rsidR="00592DB9">
              <w:rPr>
                <w:rFonts w:asciiTheme="minorHAnsi" w:hAnsiTheme="minorHAnsi" w:cstheme="minorHAnsi"/>
                <w:sz w:val="22"/>
              </w:rPr>
              <w:t xml:space="preserve">funding of </w:t>
            </w:r>
            <w:r w:rsidR="00EB1420">
              <w:rPr>
                <w:rFonts w:asciiTheme="minorHAnsi" w:hAnsiTheme="minorHAnsi" w:cstheme="minorHAnsi"/>
                <w:sz w:val="22"/>
              </w:rPr>
              <w:t xml:space="preserve">PF3 &amp; PF4 </w:t>
            </w:r>
            <w:r w:rsidR="00592DB9">
              <w:rPr>
                <w:rFonts w:asciiTheme="minorHAnsi" w:hAnsiTheme="minorHAnsi" w:cstheme="minorHAnsi"/>
                <w:sz w:val="22"/>
              </w:rPr>
              <w:t>facility with</w:t>
            </w:r>
            <w:r w:rsidR="00EB1420">
              <w:rPr>
                <w:rFonts w:asciiTheme="minorHAnsi" w:hAnsiTheme="minorHAnsi" w:cstheme="minorHAnsi"/>
                <w:sz w:val="22"/>
              </w:rPr>
              <w:t xml:space="preserve"> World Bank</w:t>
            </w:r>
          </w:p>
        </w:tc>
        <w:tc>
          <w:tcPr>
            <w:tcW w:w="2268" w:type="dxa"/>
          </w:tcPr>
          <w:p w:rsidR="008C417C" w:rsidRPr="00AA152C" w:rsidRDefault="00695991" w:rsidP="00B0290A">
            <w:pPr>
              <w:jc w:val="left"/>
              <w:rPr>
                <w:rFonts w:asciiTheme="minorHAnsi" w:hAnsiTheme="minorHAnsi" w:cstheme="minorHAnsi"/>
                <w:sz w:val="22"/>
              </w:rPr>
            </w:pPr>
            <w:r>
              <w:rPr>
                <w:rFonts w:asciiTheme="minorHAnsi" w:hAnsiTheme="minorHAnsi" w:cstheme="minorHAnsi"/>
                <w:sz w:val="22"/>
              </w:rPr>
              <w:t>GoT, World Bank, ADB</w:t>
            </w:r>
            <w:r w:rsidR="009B341F">
              <w:rPr>
                <w:rFonts w:asciiTheme="minorHAnsi" w:hAnsiTheme="minorHAnsi" w:cstheme="minorHAnsi"/>
                <w:sz w:val="22"/>
              </w:rPr>
              <w:t xml:space="preserve"> </w:t>
            </w:r>
          </w:p>
        </w:tc>
      </w:tr>
      <w:tr w:rsidR="00A1589A" w:rsidRPr="00AA152C" w:rsidTr="009B341F">
        <w:tc>
          <w:tcPr>
            <w:tcW w:w="3403" w:type="dxa"/>
          </w:tcPr>
          <w:p w:rsidR="00A1589A" w:rsidRPr="00AA152C" w:rsidRDefault="00A1589A" w:rsidP="00B0290A">
            <w:pPr>
              <w:jc w:val="left"/>
              <w:rPr>
                <w:rFonts w:asciiTheme="minorHAnsi" w:hAnsiTheme="minorHAnsi" w:cstheme="minorHAnsi"/>
                <w:b/>
                <w:sz w:val="22"/>
                <w:szCs w:val="22"/>
              </w:rPr>
            </w:pPr>
            <w:r>
              <w:rPr>
                <w:rFonts w:asciiTheme="minorHAnsi" w:hAnsiTheme="minorHAnsi" w:cstheme="minorHAnsi"/>
                <w:b/>
                <w:sz w:val="22"/>
                <w:szCs w:val="22"/>
              </w:rPr>
              <w:t xml:space="preserve">Political governance: </w:t>
            </w:r>
            <w:r w:rsidRPr="00A1589A">
              <w:rPr>
                <w:rFonts w:asciiTheme="minorHAnsi" w:hAnsiTheme="minorHAnsi" w:cstheme="minorHAnsi"/>
                <w:sz w:val="22"/>
                <w:szCs w:val="22"/>
              </w:rPr>
              <w:t>Strengthened governance institutions that are transparent, accountable and responsive to citizens’ needs and interests</w:t>
            </w:r>
          </w:p>
        </w:tc>
        <w:tc>
          <w:tcPr>
            <w:tcW w:w="2268" w:type="dxa"/>
          </w:tcPr>
          <w:p w:rsidR="00A1589A" w:rsidRDefault="00A1589A" w:rsidP="00B0290A">
            <w:pPr>
              <w:jc w:val="left"/>
              <w:rPr>
                <w:rFonts w:asciiTheme="minorHAnsi" w:hAnsiTheme="minorHAnsi" w:cstheme="minorHAnsi"/>
                <w:sz w:val="22"/>
              </w:rPr>
            </w:pPr>
            <w:r>
              <w:rPr>
                <w:rFonts w:asciiTheme="minorHAnsi" w:hAnsiTheme="minorHAnsi" w:cstheme="minorHAnsi"/>
                <w:sz w:val="22"/>
              </w:rPr>
              <w:t>Support to Parliament, civil society and Tonga Electoral Commission</w:t>
            </w:r>
          </w:p>
        </w:tc>
        <w:tc>
          <w:tcPr>
            <w:tcW w:w="1843" w:type="dxa"/>
          </w:tcPr>
          <w:p w:rsidR="00A1589A" w:rsidRDefault="00A1589A" w:rsidP="00B0290A">
            <w:pPr>
              <w:jc w:val="left"/>
              <w:rPr>
                <w:rFonts w:asciiTheme="minorHAnsi" w:hAnsiTheme="minorHAnsi" w:cstheme="minorHAnsi"/>
                <w:sz w:val="22"/>
              </w:rPr>
            </w:pPr>
            <w:r>
              <w:rPr>
                <w:rFonts w:asciiTheme="minorHAnsi" w:hAnsiTheme="minorHAnsi" w:cstheme="minorHAnsi"/>
                <w:sz w:val="22"/>
              </w:rPr>
              <w:t>Funding agreement with UNDP, AEC</w:t>
            </w:r>
          </w:p>
        </w:tc>
        <w:tc>
          <w:tcPr>
            <w:tcW w:w="2268" w:type="dxa"/>
          </w:tcPr>
          <w:p w:rsidR="00A1589A" w:rsidRDefault="00A1589A" w:rsidP="00B0290A">
            <w:pPr>
              <w:jc w:val="left"/>
              <w:rPr>
                <w:rFonts w:asciiTheme="minorHAnsi" w:hAnsiTheme="minorHAnsi" w:cstheme="minorHAnsi"/>
                <w:sz w:val="22"/>
              </w:rPr>
            </w:pPr>
            <w:r>
              <w:rPr>
                <w:rFonts w:asciiTheme="minorHAnsi" w:hAnsiTheme="minorHAnsi" w:cstheme="minorHAnsi"/>
                <w:sz w:val="22"/>
              </w:rPr>
              <w:t>GoT, UNDP, AEC</w:t>
            </w:r>
          </w:p>
        </w:tc>
      </w:tr>
    </w:tbl>
    <w:p w:rsidR="008C417C" w:rsidRDefault="008C417C" w:rsidP="001077C5">
      <w:pPr>
        <w:rPr>
          <w:rFonts w:asciiTheme="minorHAnsi" w:hAnsiTheme="minorHAnsi" w:cstheme="minorHAnsi"/>
        </w:rPr>
      </w:pPr>
    </w:p>
    <w:p w:rsidR="001077C5" w:rsidRDefault="001077C5" w:rsidP="004F6F43">
      <w:pPr>
        <w:pStyle w:val="Heading3"/>
        <w:tabs>
          <w:tab w:val="left" w:pos="4905"/>
        </w:tabs>
        <w:spacing w:before="0" w:after="240"/>
      </w:pPr>
      <w:bookmarkStart w:id="17" w:name="_Toc356389372"/>
      <w:r>
        <w:t>Outcome 1: Public sector governance</w:t>
      </w:r>
      <w:bookmarkEnd w:id="17"/>
    </w:p>
    <w:p w:rsidR="000B6F41" w:rsidRPr="002A40A3" w:rsidRDefault="000B6F41" w:rsidP="000B6F41">
      <w:pPr>
        <w:rPr>
          <w:rFonts w:asciiTheme="minorHAnsi" w:hAnsiTheme="minorHAnsi" w:cstheme="minorHAnsi"/>
          <w:b/>
        </w:rPr>
      </w:pPr>
      <w:r w:rsidRPr="002A40A3">
        <w:rPr>
          <w:rFonts w:asciiTheme="minorHAnsi" w:hAnsiTheme="minorHAnsi" w:cstheme="minorHAnsi"/>
          <w:b/>
        </w:rPr>
        <w:t xml:space="preserve">Support </w:t>
      </w:r>
      <w:r w:rsidR="00D458DE">
        <w:rPr>
          <w:rFonts w:asciiTheme="minorHAnsi" w:hAnsiTheme="minorHAnsi" w:cstheme="minorHAnsi"/>
          <w:b/>
        </w:rPr>
        <w:t>for public sector reforms</w:t>
      </w:r>
    </w:p>
    <w:p w:rsidR="00371A4E" w:rsidRDefault="00170E94" w:rsidP="00371A4E">
      <w:pPr>
        <w:rPr>
          <w:rFonts w:asciiTheme="minorHAnsi" w:hAnsiTheme="minorHAnsi" w:cstheme="minorHAnsi"/>
        </w:rPr>
      </w:pPr>
      <w:r>
        <w:rPr>
          <w:rFonts w:asciiTheme="minorHAnsi" w:hAnsiTheme="minorHAnsi" w:cstheme="minorHAnsi"/>
        </w:rPr>
        <w:t>Australia</w:t>
      </w:r>
      <w:r w:rsidRPr="00D3455B">
        <w:rPr>
          <w:rFonts w:asciiTheme="minorHAnsi" w:hAnsiTheme="minorHAnsi" w:cstheme="minorHAnsi"/>
        </w:rPr>
        <w:t xml:space="preserve"> </w:t>
      </w:r>
      <w:r>
        <w:rPr>
          <w:rFonts w:asciiTheme="minorHAnsi" w:hAnsiTheme="minorHAnsi" w:cstheme="minorHAnsi"/>
        </w:rPr>
        <w:t xml:space="preserve">will complement other donor efforts to support the GoT’s public sector reform agenda with a view to improving the efficiency, transparency and accountability of public service delivery. </w:t>
      </w:r>
      <w:r w:rsidR="00371A4E">
        <w:rPr>
          <w:rFonts w:asciiTheme="minorHAnsi" w:hAnsiTheme="minorHAnsi" w:cstheme="minorHAnsi"/>
        </w:rPr>
        <w:t>In particular, AusAID will continue to maintain recent efforts to leverage the leadership of the World Bank in this sector. AusAID will ensure that activities undertaken are directly aligned with the TSDF (in particular, the enabling theme at 1.2.1</w:t>
      </w:r>
      <w:r w:rsidR="00371A4E">
        <w:rPr>
          <w:rStyle w:val="FootnoteReference"/>
          <w:rFonts w:asciiTheme="minorHAnsi" w:hAnsiTheme="minorHAnsi" w:cstheme="minorHAnsi"/>
        </w:rPr>
        <w:footnoteReference w:id="5"/>
      </w:r>
      <w:r w:rsidR="00371A4E">
        <w:rPr>
          <w:rFonts w:asciiTheme="minorHAnsi" w:hAnsiTheme="minorHAnsi" w:cstheme="minorHAnsi"/>
        </w:rPr>
        <w:t xml:space="preserve">) and PFM Roadmap, and support achievement of the Policy Reform Matrix. </w:t>
      </w:r>
    </w:p>
    <w:p w:rsidR="00170E94" w:rsidRDefault="00170E94" w:rsidP="001077C5">
      <w:pPr>
        <w:rPr>
          <w:rFonts w:asciiTheme="minorHAnsi" w:hAnsiTheme="minorHAnsi" w:cstheme="minorHAnsi"/>
        </w:rPr>
      </w:pPr>
    </w:p>
    <w:p w:rsidR="00F1657F" w:rsidRDefault="001077C5" w:rsidP="000D7DF1">
      <w:pPr>
        <w:rPr>
          <w:rFonts w:asciiTheme="minorHAnsi" w:hAnsiTheme="minorHAnsi" w:cstheme="minorHAnsi"/>
        </w:rPr>
      </w:pPr>
      <w:r>
        <w:rPr>
          <w:rFonts w:asciiTheme="minorHAnsi" w:hAnsiTheme="minorHAnsi" w:cstheme="minorHAnsi"/>
        </w:rPr>
        <w:t xml:space="preserve">To date, Australia’s support to public sector governance has been delivered primarily </w:t>
      </w:r>
      <w:r w:rsidRPr="00FE3E67">
        <w:rPr>
          <w:rFonts w:asciiTheme="minorHAnsi" w:hAnsiTheme="minorHAnsi" w:cstheme="minorHAnsi"/>
        </w:rPr>
        <w:t>through an existing relationship and funding agreement with the PSC</w:t>
      </w:r>
      <w:r w:rsidR="000B6F41">
        <w:rPr>
          <w:rFonts w:asciiTheme="minorHAnsi" w:hAnsiTheme="minorHAnsi" w:cstheme="minorHAnsi"/>
        </w:rPr>
        <w:t xml:space="preserve"> (including salary top-up for the position of Commissioner of the PSC)</w:t>
      </w:r>
      <w:r w:rsidRPr="00FE3E67">
        <w:rPr>
          <w:rFonts w:asciiTheme="minorHAnsi" w:hAnsiTheme="minorHAnsi" w:cstheme="minorHAnsi"/>
        </w:rPr>
        <w:t>.</w:t>
      </w:r>
      <w:r>
        <w:rPr>
          <w:rFonts w:asciiTheme="minorHAnsi" w:hAnsiTheme="minorHAnsi" w:cstheme="minorHAnsi"/>
        </w:rPr>
        <w:t xml:space="preserve"> The 2013 review of AusAID’s support in the sector raised a number of concerns with th</w:t>
      </w:r>
      <w:r w:rsidR="00F020AA">
        <w:rPr>
          <w:rFonts w:asciiTheme="minorHAnsi" w:hAnsiTheme="minorHAnsi" w:cstheme="minorHAnsi"/>
        </w:rPr>
        <w:t xml:space="preserve">is modality, </w:t>
      </w:r>
      <w:r>
        <w:rPr>
          <w:rFonts w:asciiTheme="minorHAnsi" w:hAnsiTheme="minorHAnsi" w:cstheme="minorHAnsi"/>
        </w:rPr>
        <w:t>including: lengthy delays in providing acquittals for AusAID-funds; inefficient application and monitoring of the GoT’s agreement management systems; and a high level of political involvement.</w:t>
      </w:r>
      <w:r w:rsidR="00543817">
        <w:rPr>
          <w:rFonts w:asciiTheme="minorHAnsi" w:hAnsiTheme="minorHAnsi" w:cstheme="minorHAnsi"/>
        </w:rPr>
        <w:t xml:space="preserve"> As existing ACG agreements draw to an end, AusAID will </w:t>
      </w:r>
      <w:r w:rsidR="008C6DB7">
        <w:rPr>
          <w:rFonts w:asciiTheme="minorHAnsi" w:hAnsiTheme="minorHAnsi" w:cstheme="minorHAnsi"/>
        </w:rPr>
        <w:t>look</w:t>
      </w:r>
      <w:r w:rsidR="00CA343C">
        <w:rPr>
          <w:rFonts w:asciiTheme="minorHAnsi" w:hAnsiTheme="minorHAnsi" w:cstheme="minorHAnsi"/>
        </w:rPr>
        <w:t xml:space="preserve"> towards </w:t>
      </w:r>
      <w:r w:rsidR="00543817">
        <w:rPr>
          <w:rFonts w:asciiTheme="minorHAnsi" w:hAnsiTheme="minorHAnsi" w:cstheme="minorHAnsi"/>
        </w:rPr>
        <w:t xml:space="preserve">alternative modalities </w:t>
      </w:r>
      <w:r w:rsidR="00CA343C">
        <w:rPr>
          <w:rFonts w:asciiTheme="minorHAnsi" w:hAnsiTheme="minorHAnsi" w:cstheme="minorHAnsi"/>
        </w:rPr>
        <w:t xml:space="preserve">that are expected to provide </w:t>
      </w:r>
      <w:r>
        <w:rPr>
          <w:rFonts w:asciiTheme="minorHAnsi" w:hAnsiTheme="minorHAnsi" w:cstheme="minorHAnsi"/>
        </w:rPr>
        <w:t>greater efficiency in the delivery of Australian aid.</w:t>
      </w:r>
      <w:r w:rsidR="00F42753">
        <w:rPr>
          <w:rFonts w:asciiTheme="minorHAnsi" w:hAnsiTheme="minorHAnsi" w:cstheme="minorHAnsi"/>
        </w:rPr>
        <w:t xml:space="preserve"> </w:t>
      </w:r>
      <w:r w:rsidR="000D7DF1">
        <w:rPr>
          <w:rFonts w:asciiTheme="minorHAnsi" w:hAnsiTheme="minorHAnsi" w:cstheme="minorHAnsi"/>
        </w:rPr>
        <w:t>This will include diverse approaches to capacity development including engaging with regional organisations such as the Pacific Island Centre for Public Administration (PICPA), which specialises in providing short-term advisory services and training packages aimed at strengthening public administration in Tonga. To date, the experience using PICPA has been relatively mixed</w:t>
      </w:r>
      <w:r w:rsidR="002C3EDF">
        <w:rPr>
          <w:rFonts w:asciiTheme="minorHAnsi" w:hAnsiTheme="minorHAnsi" w:cstheme="minorHAnsi"/>
        </w:rPr>
        <w:t xml:space="preserve"> </w:t>
      </w:r>
      <w:r w:rsidR="00733450">
        <w:rPr>
          <w:rFonts w:asciiTheme="minorHAnsi" w:hAnsiTheme="minorHAnsi" w:cstheme="minorHAnsi"/>
        </w:rPr>
        <w:t xml:space="preserve">with significant delays </w:t>
      </w:r>
      <w:r w:rsidR="002E6398">
        <w:rPr>
          <w:rFonts w:asciiTheme="minorHAnsi" w:hAnsiTheme="minorHAnsi" w:cstheme="minorHAnsi"/>
        </w:rPr>
        <w:t>experienced in PICPA’s establishment and a lack of adequate leadership (Director) and advisory capacity</w:t>
      </w:r>
      <w:r w:rsidR="00733450">
        <w:rPr>
          <w:rFonts w:asciiTheme="minorHAnsi" w:hAnsiTheme="minorHAnsi" w:cstheme="minorHAnsi"/>
        </w:rPr>
        <w:t xml:space="preserve">. </w:t>
      </w:r>
      <w:r w:rsidR="000D7DF1">
        <w:rPr>
          <w:rFonts w:asciiTheme="minorHAnsi" w:hAnsiTheme="minorHAnsi" w:cstheme="minorHAnsi"/>
        </w:rPr>
        <w:t xml:space="preserve">However, </w:t>
      </w:r>
      <w:r w:rsidR="00F1657F">
        <w:rPr>
          <w:rFonts w:asciiTheme="minorHAnsi" w:hAnsiTheme="minorHAnsi" w:cstheme="minorHAnsi"/>
        </w:rPr>
        <w:t xml:space="preserve">it is expected that </w:t>
      </w:r>
      <w:r w:rsidR="000D7DF1">
        <w:rPr>
          <w:rFonts w:asciiTheme="minorHAnsi" w:hAnsiTheme="minorHAnsi" w:cstheme="minorHAnsi"/>
        </w:rPr>
        <w:t xml:space="preserve">a </w:t>
      </w:r>
      <w:r w:rsidR="00F1657F">
        <w:rPr>
          <w:rFonts w:asciiTheme="minorHAnsi" w:hAnsiTheme="minorHAnsi" w:cstheme="minorHAnsi"/>
        </w:rPr>
        <w:t xml:space="preserve">new agreement beginning in </w:t>
      </w:r>
      <w:r w:rsidR="00670669">
        <w:rPr>
          <w:rFonts w:asciiTheme="minorHAnsi" w:hAnsiTheme="minorHAnsi" w:cstheme="minorHAnsi"/>
        </w:rPr>
        <w:t>July</w:t>
      </w:r>
      <w:r w:rsidR="00F1657F">
        <w:rPr>
          <w:rFonts w:asciiTheme="minorHAnsi" w:hAnsiTheme="minorHAnsi" w:cstheme="minorHAnsi"/>
        </w:rPr>
        <w:t xml:space="preserve"> 2013, and continued refinement of the Centre, will allow PICPA to better support improvements in the quality and performance of the Tongan public service. </w:t>
      </w:r>
    </w:p>
    <w:p w:rsidR="00F1657F" w:rsidRDefault="00F1657F" w:rsidP="000D7DF1">
      <w:pPr>
        <w:rPr>
          <w:rFonts w:asciiTheme="minorHAnsi" w:hAnsiTheme="minorHAnsi" w:cstheme="minorHAnsi"/>
        </w:rPr>
      </w:pPr>
    </w:p>
    <w:p w:rsidR="001077C5" w:rsidRDefault="001077C5" w:rsidP="00C415C7">
      <w:pPr>
        <w:pStyle w:val="Heading3"/>
        <w:spacing w:before="0" w:after="240"/>
      </w:pPr>
      <w:bookmarkStart w:id="18" w:name="_Toc356389373"/>
      <w:r>
        <w:t>Outcome 2: Economic</w:t>
      </w:r>
      <w:r w:rsidR="0032796B">
        <w:t xml:space="preserve"> and financial</w:t>
      </w:r>
      <w:r>
        <w:t xml:space="preserve"> governance</w:t>
      </w:r>
      <w:bookmarkEnd w:id="18"/>
    </w:p>
    <w:p w:rsidR="005718DE" w:rsidRDefault="001077C5" w:rsidP="001077C5">
      <w:pPr>
        <w:rPr>
          <w:rFonts w:ascii="Calibri" w:hAnsi="Calibri"/>
        </w:rPr>
      </w:pPr>
      <w:r w:rsidRPr="002B766E">
        <w:rPr>
          <w:rFonts w:asciiTheme="minorHAnsi" w:hAnsiTheme="minorHAnsi" w:cstheme="minorHAnsi"/>
        </w:rPr>
        <w:t>Aus</w:t>
      </w:r>
      <w:r>
        <w:rPr>
          <w:rFonts w:asciiTheme="minorHAnsi" w:hAnsiTheme="minorHAnsi" w:cstheme="minorHAnsi"/>
        </w:rPr>
        <w:t>tralia</w:t>
      </w:r>
      <w:r w:rsidRPr="002B766E">
        <w:rPr>
          <w:rFonts w:asciiTheme="minorHAnsi" w:hAnsiTheme="minorHAnsi" w:cstheme="minorHAnsi"/>
        </w:rPr>
        <w:t xml:space="preserve"> will continue to support measures to improve expenditure quality through the provision of conditional and targeted budget support.</w:t>
      </w:r>
      <w:r>
        <w:rPr>
          <w:rFonts w:asciiTheme="minorHAnsi" w:hAnsiTheme="minorHAnsi" w:cstheme="minorHAnsi"/>
        </w:rPr>
        <w:t xml:space="preserve"> </w:t>
      </w:r>
      <w:r w:rsidRPr="00F06C4A">
        <w:rPr>
          <w:rFonts w:ascii="Calibri" w:hAnsi="Calibri"/>
        </w:rPr>
        <w:t xml:space="preserve">The </w:t>
      </w:r>
      <w:r w:rsidR="008E5016">
        <w:rPr>
          <w:rFonts w:ascii="Calibri" w:hAnsi="Calibri"/>
        </w:rPr>
        <w:t>j</w:t>
      </w:r>
      <w:r w:rsidRPr="00F06C4A">
        <w:rPr>
          <w:rFonts w:ascii="Calibri" w:hAnsi="Calibri"/>
        </w:rPr>
        <w:t>oint Policy Reform Matrix, which will be the cornerstone of the Economic and Public Sector Governance Program, has been working successfully</w:t>
      </w:r>
      <w:r w:rsidR="006E7E2E">
        <w:rPr>
          <w:rFonts w:ascii="Calibri" w:hAnsi="Calibri"/>
        </w:rPr>
        <w:t xml:space="preserve"> in its current structure</w:t>
      </w:r>
      <w:r w:rsidRPr="00F06C4A">
        <w:rPr>
          <w:rFonts w:ascii="Calibri" w:hAnsi="Calibri"/>
        </w:rPr>
        <w:t xml:space="preserve"> since 2011, with GoT meeting implementation targets for the last two years. It is envisaged that the Matrix will continue to provide a basis for budget support over the period of this </w:t>
      </w:r>
      <w:r w:rsidR="006E1D20">
        <w:rPr>
          <w:rFonts w:ascii="Calibri" w:hAnsi="Calibri"/>
        </w:rPr>
        <w:t>Delivery Strategy</w:t>
      </w:r>
      <w:r w:rsidRPr="00F06C4A">
        <w:rPr>
          <w:rFonts w:ascii="Calibri" w:hAnsi="Calibri"/>
        </w:rPr>
        <w:t xml:space="preserve"> in order to sustain the momentum of key public sector and economic reforms, and to provide further support for the GoT’s fiscal consolidation program.</w:t>
      </w:r>
      <w:r w:rsidR="000C4E80">
        <w:rPr>
          <w:rFonts w:ascii="Calibri" w:hAnsi="Calibri"/>
        </w:rPr>
        <w:t xml:space="preserve"> This will be informed by the internal review of Pacific policy matrices.</w:t>
      </w:r>
      <w:r w:rsidRPr="00F06C4A">
        <w:rPr>
          <w:rFonts w:ascii="Calibri" w:hAnsi="Calibri"/>
        </w:rPr>
        <w:t xml:space="preserve"> </w:t>
      </w:r>
      <w:r w:rsidR="005718DE">
        <w:rPr>
          <w:rFonts w:ascii="Calibri" w:hAnsi="Calibri"/>
        </w:rPr>
        <w:t xml:space="preserve">Ongoing efforts to rebuild Tonga’s fiscal space to respond to shocks (building cash reserves and improving the efficiency of the public sector) will allow the GoT to mitigate risks associated with the uncertainty surrounding Tonga’s external environment. </w:t>
      </w:r>
    </w:p>
    <w:p w:rsidR="001077C5" w:rsidRDefault="001077C5" w:rsidP="001077C5">
      <w:pPr>
        <w:rPr>
          <w:rFonts w:ascii="Calibri" w:hAnsi="Calibri"/>
        </w:rPr>
      </w:pPr>
    </w:p>
    <w:p w:rsidR="001077C5" w:rsidRDefault="001077C5" w:rsidP="001077C5">
      <w:pPr>
        <w:rPr>
          <w:rFonts w:asciiTheme="minorHAnsi" w:hAnsiTheme="minorHAnsi" w:cstheme="minorHAnsi"/>
        </w:rPr>
      </w:pPr>
      <w:r>
        <w:rPr>
          <w:rFonts w:asciiTheme="minorHAnsi" w:hAnsiTheme="minorHAnsi" w:cstheme="minorHAnsi"/>
        </w:rPr>
        <w:t xml:space="preserve">AusAID will ensure that activities under the EPSG program are aligned with, and support achievement of, actions identified in the </w:t>
      </w:r>
      <w:r w:rsidR="008E5016">
        <w:rPr>
          <w:rFonts w:asciiTheme="minorHAnsi" w:hAnsiTheme="minorHAnsi" w:cstheme="minorHAnsi"/>
        </w:rPr>
        <w:t>j</w:t>
      </w:r>
      <w:r>
        <w:rPr>
          <w:rFonts w:asciiTheme="minorHAnsi" w:hAnsiTheme="minorHAnsi" w:cstheme="minorHAnsi"/>
        </w:rPr>
        <w:t>oint Policy Reform Matrix. This will be achieved through</w:t>
      </w:r>
      <w:r w:rsidR="00DC54D1">
        <w:rPr>
          <w:rFonts w:asciiTheme="minorHAnsi" w:hAnsiTheme="minorHAnsi" w:cstheme="minorHAnsi"/>
        </w:rPr>
        <w:t>:</w:t>
      </w:r>
      <w:r>
        <w:rPr>
          <w:rFonts w:asciiTheme="minorHAnsi" w:hAnsiTheme="minorHAnsi" w:cstheme="minorHAnsi"/>
        </w:rPr>
        <w:t xml:space="preserve"> ongoing collaboration with the World Bank through the Pacific Facility 3 Trust Fund (and the successor PF4 facility)</w:t>
      </w:r>
      <w:r w:rsidR="00DC54D1">
        <w:rPr>
          <w:rFonts w:asciiTheme="minorHAnsi" w:hAnsiTheme="minorHAnsi" w:cstheme="minorHAnsi"/>
        </w:rPr>
        <w:t>;</w:t>
      </w:r>
      <w:r w:rsidR="00213DBF">
        <w:rPr>
          <w:rFonts w:asciiTheme="minorHAnsi" w:hAnsiTheme="minorHAnsi" w:cstheme="minorHAnsi"/>
        </w:rPr>
        <w:t xml:space="preserve"> </w:t>
      </w:r>
      <w:r w:rsidR="002D3FA7">
        <w:rPr>
          <w:rFonts w:asciiTheme="minorHAnsi" w:hAnsiTheme="minorHAnsi" w:cstheme="minorHAnsi"/>
        </w:rPr>
        <w:t>financial</w:t>
      </w:r>
      <w:r w:rsidR="00213DBF">
        <w:rPr>
          <w:rFonts w:asciiTheme="minorHAnsi" w:hAnsiTheme="minorHAnsi" w:cstheme="minorHAnsi"/>
        </w:rPr>
        <w:t xml:space="preserve"> support to the ADB where appropriate, and</w:t>
      </w:r>
      <w:r w:rsidR="00DC54D1">
        <w:rPr>
          <w:rFonts w:asciiTheme="minorHAnsi" w:hAnsiTheme="minorHAnsi" w:cstheme="minorHAnsi"/>
        </w:rPr>
        <w:t>;</w:t>
      </w:r>
      <w:r w:rsidR="00213DBF">
        <w:rPr>
          <w:rFonts w:asciiTheme="minorHAnsi" w:hAnsiTheme="minorHAnsi" w:cstheme="minorHAnsi"/>
        </w:rPr>
        <w:t xml:space="preserve"> </w:t>
      </w:r>
      <w:r>
        <w:rPr>
          <w:rFonts w:asciiTheme="minorHAnsi" w:hAnsiTheme="minorHAnsi" w:cstheme="minorHAnsi"/>
        </w:rPr>
        <w:t>long-term advisory support.</w:t>
      </w:r>
      <w:r w:rsidR="00213DBF">
        <w:rPr>
          <w:rFonts w:asciiTheme="minorHAnsi" w:hAnsiTheme="minorHAnsi" w:cstheme="minorHAnsi"/>
        </w:rPr>
        <w:t xml:space="preserve"> </w:t>
      </w:r>
      <w:r w:rsidR="007D4B11">
        <w:rPr>
          <w:rFonts w:asciiTheme="minorHAnsi" w:hAnsiTheme="minorHAnsi" w:cstheme="minorHAnsi"/>
        </w:rPr>
        <w:t>T</w:t>
      </w:r>
      <w:r w:rsidR="00B57496">
        <w:rPr>
          <w:rFonts w:asciiTheme="minorHAnsi" w:hAnsiTheme="minorHAnsi" w:cstheme="minorHAnsi"/>
        </w:rPr>
        <w:t>he Policy Reform Matrix</w:t>
      </w:r>
      <w:r w:rsidR="007D4B11">
        <w:rPr>
          <w:rFonts w:asciiTheme="minorHAnsi" w:hAnsiTheme="minorHAnsi" w:cstheme="minorHAnsi"/>
        </w:rPr>
        <w:t xml:space="preserve"> is provided at Annex 4 along with details regarding</w:t>
      </w:r>
      <w:r w:rsidR="00B57496">
        <w:rPr>
          <w:rFonts w:asciiTheme="minorHAnsi" w:hAnsiTheme="minorHAnsi" w:cstheme="minorHAnsi"/>
        </w:rPr>
        <w:t xml:space="preserve"> </w:t>
      </w:r>
      <w:r w:rsidR="007D4B11">
        <w:rPr>
          <w:rFonts w:asciiTheme="minorHAnsi" w:hAnsiTheme="minorHAnsi" w:cstheme="minorHAnsi"/>
        </w:rPr>
        <w:t>the responsibilities</w:t>
      </w:r>
      <w:r w:rsidR="00B57496">
        <w:rPr>
          <w:rFonts w:asciiTheme="minorHAnsi" w:hAnsiTheme="minorHAnsi" w:cstheme="minorHAnsi"/>
        </w:rPr>
        <w:t xml:space="preserve"> for advancing each policy reform for 2014.</w:t>
      </w:r>
    </w:p>
    <w:p w:rsidR="001077C5" w:rsidRDefault="001077C5" w:rsidP="001077C5">
      <w:pPr>
        <w:rPr>
          <w:rFonts w:asciiTheme="minorHAnsi" w:hAnsiTheme="minorHAnsi" w:cstheme="minorHAnsi"/>
        </w:rPr>
      </w:pPr>
    </w:p>
    <w:p w:rsidR="000C4E80" w:rsidRPr="007F5EFA" w:rsidRDefault="000C4E80" w:rsidP="000C4E80">
      <w:pPr>
        <w:rPr>
          <w:rFonts w:asciiTheme="minorHAnsi" w:hAnsiTheme="minorHAnsi" w:cstheme="minorHAnsi"/>
        </w:rPr>
      </w:pPr>
      <w:r w:rsidRPr="007F5EFA">
        <w:rPr>
          <w:rFonts w:asciiTheme="minorHAnsi" w:hAnsiTheme="minorHAnsi" w:cstheme="minorHAnsi"/>
        </w:rPr>
        <w:t xml:space="preserve">The </w:t>
      </w:r>
      <w:r>
        <w:rPr>
          <w:rFonts w:asciiTheme="minorHAnsi" w:hAnsiTheme="minorHAnsi" w:cstheme="minorHAnsi"/>
        </w:rPr>
        <w:t xml:space="preserve">Project and Aid Coordination Committee (PACC), overseen by the MoFNP’s </w:t>
      </w:r>
      <w:r w:rsidRPr="007F5EFA">
        <w:rPr>
          <w:rFonts w:asciiTheme="minorHAnsi" w:hAnsiTheme="minorHAnsi" w:cstheme="minorHAnsi"/>
        </w:rPr>
        <w:t>Aid and Project Management Division</w:t>
      </w:r>
      <w:r>
        <w:rPr>
          <w:rFonts w:asciiTheme="minorHAnsi" w:hAnsiTheme="minorHAnsi" w:cstheme="minorHAnsi"/>
        </w:rPr>
        <w:t>,</w:t>
      </w:r>
      <w:r w:rsidRPr="007F5EFA">
        <w:rPr>
          <w:rFonts w:asciiTheme="minorHAnsi" w:hAnsiTheme="minorHAnsi" w:cstheme="minorHAnsi"/>
        </w:rPr>
        <w:t xml:space="preserve"> has played a key role in coordinating and monitoring donor resources. AusAID will continue to support the division to ensure that donor resources are managed strategically and in alignment with GoT priorities. </w:t>
      </w:r>
    </w:p>
    <w:p w:rsidR="000C4E80" w:rsidRDefault="000C4E80" w:rsidP="001077C5">
      <w:pPr>
        <w:rPr>
          <w:rFonts w:asciiTheme="minorHAnsi" w:hAnsiTheme="minorHAnsi" w:cstheme="minorHAnsi"/>
        </w:rPr>
      </w:pPr>
    </w:p>
    <w:p w:rsidR="006E7E2E" w:rsidRPr="006E7E2E" w:rsidRDefault="006E7E2E" w:rsidP="001077C5">
      <w:pPr>
        <w:rPr>
          <w:rFonts w:asciiTheme="minorHAnsi" w:hAnsiTheme="minorHAnsi" w:cstheme="minorHAnsi"/>
          <w:b/>
        </w:rPr>
      </w:pPr>
      <w:r w:rsidRPr="006E7E2E">
        <w:rPr>
          <w:rFonts w:asciiTheme="minorHAnsi" w:hAnsiTheme="minorHAnsi" w:cstheme="minorHAnsi"/>
          <w:b/>
        </w:rPr>
        <w:t>Advisory support</w:t>
      </w:r>
    </w:p>
    <w:p w:rsidR="00986297" w:rsidRPr="00773B95" w:rsidRDefault="00986297" w:rsidP="00986297">
      <w:pPr>
        <w:rPr>
          <w:rFonts w:asciiTheme="minorHAnsi" w:hAnsiTheme="minorHAnsi" w:cstheme="minorHAnsi"/>
        </w:rPr>
      </w:pPr>
      <w:r w:rsidRPr="00773B95">
        <w:rPr>
          <w:rFonts w:asciiTheme="minorHAnsi" w:hAnsiTheme="minorHAnsi" w:cstheme="minorHAnsi"/>
        </w:rPr>
        <w:t xml:space="preserve">Australia is committed to working through partner government systems in line with the commitments to aid effectiveness made at Paris, Accra and Busan. However, </w:t>
      </w:r>
      <w:r w:rsidR="00704314">
        <w:rPr>
          <w:rFonts w:asciiTheme="minorHAnsi" w:hAnsiTheme="minorHAnsi" w:cstheme="minorHAnsi"/>
        </w:rPr>
        <w:t xml:space="preserve">experience to date suggests that </w:t>
      </w:r>
      <w:r w:rsidRPr="00773B95">
        <w:rPr>
          <w:rFonts w:asciiTheme="minorHAnsi" w:hAnsiTheme="minorHAnsi" w:cstheme="minorHAnsi"/>
        </w:rPr>
        <w:t xml:space="preserve">GoT processes </w:t>
      </w:r>
      <w:r w:rsidRPr="00101719">
        <w:rPr>
          <w:rFonts w:asciiTheme="minorHAnsi" w:hAnsiTheme="minorHAnsi" w:cstheme="minorHAnsi"/>
        </w:rPr>
        <w:t xml:space="preserve">to procure advisers require </w:t>
      </w:r>
      <w:r w:rsidR="00704314">
        <w:rPr>
          <w:rFonts w:asciiTheme="minorHAnsi" w:hAnsiTheme="minorHAnsi" w:cstheme="minorHAnsi"/>
        </w:rPr>
        <w:t xml:space="preserve">strengthening </w:t>
      </w:r>
      <w:r w:rsidRPr="00101719">
        <w:rPr>
          <w:rFonts w:asciiTheme="minorHAnsi" w:hAnsiTheme="minorHAnsi" w:cstheme="minorHAnsi"/>
        </w:rPr>
        <w:t>before AusAID</w:t>
      </w:r>
      <w:r w:rsidR="00101719">
        <w:rPr>
          <w:rFonts w:asciiTheme="minorHAnsi" w:hAnsiTheme="minorHAnsi" w:cstheme="minorHAnsi"/>
        </w:rPr>
        <w:t xml:space="preserve"> can transition to</w:t>
      </w:r>
      <w:r w:rsidR="00D94172">
        <w:rPr>
          <w:rFonts w:asciiTheme="minorHAnsi" w:hAnsiTheme="minorHAnsi" w:cstheme="minorHAnsi"/>
        </w:rPr>
        <w:t xml:space="preserve"> full</w:t>
      </w:r>
      <w:r w:rsidR="00101719">
        <w:rPr>
          <w:rFonts w:asciiTheme="minorHAnsi" w:hAnsiTheme="minorHAnsi" w:cstheme="minorHAnsi"/>
        </w:rPr>
        <w:t xml:space="preserve"> us</w:t>
      </w:r>
      <w:r w:rsidR="00704314">
        <w:rPr>
          <w:rFonts w:asciiTheme="minorHAnsi" w:hAnsiTheme="minorHAnsi" w:cstheme="minorHAnsi"/>
        </w:rPr>
        <w:t>e of</w:t>
      </w:r>
      <w:r w:rsidR="00101719">
        <w:rPr>
          <w:rFonts w:asciiTheme="minorHAnsi" w:hAnsiTheme="minorHAnsi" w:cstheme="minorHAnsi"/>
        </w:rPr>
        <w:t xml:space="preserve"> government systems. </w:t>
      </w:r>
      <w:r>
        <w:rPr>
          <w:rFonts w:asciiTheme="minorHAnsi" w:hAnsiTheme="minorHAnsi" w:cstheme="minorHAnsi"/>
        </w:rPr>
        <w:t xml:space="preserve">In the interim, </w:t>
      </w:r>
      <w:r w:rsidRPr="00773B95">
        <w:rPr>
          <w:rFonts w:asciiTheme="minorHAnsi" w:hAnsiTheme="minorHAnsi" w:cstheme="minorHAnsi"/>
        </w:rPr>
        <w:t>AusAID will continue to ensure joint ownership of technical advisory support,</w:t>
      </w:r>
      <w:r>
        <w:rPr>
          <w:rFonts w:asciiTheme="minorHAnsi" w:hAnsiTheme="minorHAnsi" w:cstheme="minorHAnsi"/>
        </w:rPr>
        <w:t xml:space="preserve"> including ensuring GOT </w:t>
      </w:r>
      <w:r w:rsidRPr="00773B95">
        <w:rPr>
          <w:rFonts w:asciiTheme="minorHAnsi" w:hAnsiTheme="minorHAnsi" w:cstheme="minorHAnsi"/>
        </w:rPr>
        <w:t>involvement in selection process</w:t>
      </w:r>
      <w:r w:rsidR="00704314">
        <w:rPr>
          <w:rFonts w:asciiTheme="minorHAnsi" w:hAnsiTheme="minorHAnsi" w:cstheme="minorHAnsi"/>
        </w:rPr>
        <w:t>es and increased focus on performance management of advisers</w:t>
      </w:r>
      <w:r>
        <w:rPr>
          <w:rFonts w:asciiTheme="minorHAnsi" w:hAnsiTheme="minorHAnsi" w:cstheme="minorHAnsi"/>
        </w:rPr>
        <w:t xml:space="preserve">. </w:t>
      </w:r>
    </w:p>
    <w:p w:rsidR="00986297" w:rsidRDefault="00986297" w:rsidP="00875F88">
      <w:pPr>
        <w:rPr>
          <w:rFonts w:asciiTheme="minorHAnsi" w:hAnsiTheme="minorHAnsi" w:cstheme="minorHAnsi"/>
        </w:rPr>
      </w:pPr>
    </w:p>
    <w:p w:rsidR="00875F88" w:rsidRPr="00A36CD2" w:rsidRDefault="001077C5" w:rsidP="001077C5">
      <w:pPr>
        <w:rPr>
          <w:rFonts w:asciiTheme="minorHAnsi" w:hAnsiTheme="minorHAnsi" w:cstheme="minorHAnsi"/>
          <w:b/>
        </w:rPr>
      </w:pPr>
      <w:r>
        <w:rPr>
          <w:rFonts w:asciiTheme="minorHAnsi" w:hAnsiTheme="minorHAnsi" w:cstheme="minorHAnsi"/>
        </w:rPr>
        <w:t xml:space="preserve">To date, the experience using PACTAM advisers in the EPSG program has been varied. The 2013 review of AusAID’s economic and public sector reform program raised a number of issues that </w:t>
      </w:r>
      <w:r w:rsidR="00663C01">
        <w:rPr>
          <w:rFonts w:asciiTheme="minorHAnsi" w:hAnsiTheme="minorHAnsi" w:cstheme="minorHAnsi"/>
        </w:rPr>
        <w:t>are addressed within this Delivery Strategy</w:t>
      </w:r>
      <w:r>
        <w:rPr>
          <w:rFonts w:asciiTheme="minorHAnsi" w:hAnsiTheme="minorHAnsi" w:cstheme="minorHAnsi"/>
        </w:rPr>
        <w:t>, including: lengthy recruitment processes; an inability for AusAID to effectively manage advisers</w:t>
      </w:r>
      <w:r w:rsidR="00633B4E">
        <w:rPr>
          <w:rFonts w:asciiTheme="minorHAnsi" w:hAnsiTheme="minorHAnsi" w:cstheme="minorHAnsi"/>
        </w:rPr>
        <w:t xml:space="preserve"> (including responding to complaints)</w:t>
      </w:r>
      <w:r>
        <w:rPr>
          <w:rFonts w:asciiTheme="minorHAnsi" w:hAnsiTheme="minorHAnsi" w:cstheme="minorHAnsi"/>
        </w:rPr>
        <w:t xml:space="preserve">; and questions around the sustainability of adviser outputs. </w:t>
      </w:r>
      <w:r w:rsidR="001D0BAD">
        <w:rPr>
          <w:rFonts w:asciiTheme="minorHAnsi" w:hAnsiTheme="minorHAnsi" w:cstheme="minorHAnsi"/>
        </w:rPr>
        <w:t>In order to ensure efficiency and effectiveness in the delivery of Australian aid, AusAID will pursue a ‘fit for purpose’ approach to engaging technical</w:t>
      </w:r>
      <w:r w:rsidR="00E52284">
        <w:rPr>
          <w:rFonts w:asciiTheme="minorHAnsi" w:hAnsiTheme="minorHAnsi" w:cstheme="minorHAnsi"/>
        </w:rPr>
        <w:t xml:space="preserve"> advisory</w:t>
      </w:r>
      <w:r w:rsidR="001D0BAD">
        <w:rPr>
          <w:rFonts w:asciiTheme="minorHAnsi" w:hAnsiTheme="minorHAnsi" w:cstheme="minorHAnsi"/>
        </w:rPr>
        <w:t xml:space="preserve"> support. </w:t>
      </w:r>
      <w:r w:rsidR="00875F88">
        <w:rPr>
          <w:rFonts w:asciiTheme="minorHAnsi" w:hAnsiTheme="minorHAnsi" w:cstheme="minorHAnsi"/>
        </w:rPr>
        <w:t>Where there is a need for specialised, short-term</w:t>
      </w:r>
      <w:r w:rsidR="00F37A44">
        <w:rPr>
          <w:rFonts w:asciiTheme="minorHAnsi" w:hAnsiTheme="minorHAnsi" w:cstheme="minorHAnsi"/>
        </w:rPr>
        <w:t xml:space="preserve"> or critical </w:t>
      </w:r>
      <w:r w:rsidR="00875F88">
        <w:rPr>
          <w:rFonts w:asciiTheme="minorHAnsi" w:hAnsiTheme="minorHAnsi" w:cstheme="minorHAnsi"/>
        </w:rPr>
        <w:t>advisory inputs (as for procurement)</w:t>
      </w:r>
      <w:r w:rsidR="00F37A44">
        <w:rPr>
          <w:rFonts w:asciiTheme="minorHAnsi" w:hAnsiTheme="minorHAnsi" w:cstheme="minorHAnsi"/>
        </w:rPr>
        <w:t xml:space="preserve">, AusAID will </w:t>
      </w:r>
      <w:r w:rsidR="00592F93">
        <w:rPr>
          <w:rFonts w:asciiTheme="minorHAnsi" w:hAnsiTheme="minorHAnsi" w:cstheme="minorHAnsi"/>
        </w:rPr>
        <w:t>draw resources directly from the AAS Standing Offer</w:t>
      </w:r>
      <w:r w:rsidR="00ED0060">
        <w:rPr>
          <w:rFonts w:asciiTheme="minorHAnsi" w:hAnsiTheme="minorHAnsi" w:cstheme="minorHAnsi"/>
        </w:rPr>
        <w:t xml:space="preserve">, </w:t>
      </w:r>
      <w:r w:rsidR="00727248">
        <w:rPr>
          <w:rFonts w:asciiTheme="minorHAnsi" w:hAnsiTheme="minorHAnsi" w:cstheme="minorHAnsi"/>
        </w:rPr>
        <w:t>with the benefit of significantly reduced</w:t>
      </w:r>
      <w:r w:rsidR="00ED0060">
        <w:rPr>
          <w:rFonts w:asciiTheme="minorHAnsi" w:hAnsiTheme="minorHAnsi" w:cstheme="minorHAnsi"/>
        </w:rPr>
        <w:t xml:space="preserve"> recruitment </w:t>
      </w:r>
      <w:r w:rsidR="0034152C">
        <w:rPr>
          <w:rFonts w:asciiTheme="minorHAnsi" w:hAnsiTheme="minorHAnsi" w:cstheme="minorHAnsi"/>
        </w:rPr>
        <w:t>time</w:t>
      </w:r>
      <w:r w:rsidR="004102B3">
        <w:rPr>
          <w:rFonts w:asciiTheme="minorHAnsi" w:hAnsiTheme="minorHAnsi" w:cstheme="minorHAnsi"/>
        </w:rPr>
        <w:t>s</w:t>
      </w:r>
      <w:r w:rsidR="00592F93">
        <w:rPr>
          <w:rFonts w:asciiTheme="minorHAnsi" w:hAnsiTheme="minorHAnsi" w:cstheme="minorHAnsi"/>
        </w:rPr>
        <w:t>.</w:t>
      </w:r>
      <w:r w:rsidR="005708B6">
        <w:rPr>
          <w:rFonts w:asciiTheme="minorHAnsi" w:hAnsiTheme="minorHAnsi" w:cstheme="minorHAnsi"/>
        </w:rPr>
        <w:t xml:space="preserve"> </w:t>
      </w:r>
      <w:r w:rsidR="001D0BAD">
        <w:rPr>
          <w:rFonts w:asciiTheme="minorHAnsi" w:hAnsiTheme="minorHAnsi" w:cstheme="minorHAnsi"/>
        </w:rPr>
        <w:t>It is envisaged that if managed right, PACTAM will continue to provide the most value for money to support long-term TA identified by the GoT in priority areas.</w:t>
      </w:r>
      <w:r w:rsidR="002A30FB">
        <w:rPr>
          <w:rFonts w:asciiTheme="minorHAnsi" w:hAnsiTheme="minorHAnsi" w:cstheme="minorHAnsi"/>
        </w:rPr>
        <w:t xml:space="preserve"> </w:t>
      </w:r>
      <w:r w:rsidR="003D36F6" w:rsidRPr="003D36F6">
        <w:rPr>
          <w:rFonts w:asciiTheme="minorHAnsi" w:hAnsiTheme="minorHAnsi" w:cstheme="minorHAnsi"/>
        </w:rPr>
        <w:t xml:space="preserve">A key to </w:t>
      </w:r>
      <w:r w:rsidR="003D36F6">
        <w:rPr>
          <w:rFonts w:asciiTheme="minorHAnsi" w:hAnsiTheme="minorHAnsi" w:cstheme="minorHAnsi"/>
        </w:rPr>
        <w:t>success</w:t>
      </w:r>
      <w:r w:rsidR="003D36F6" w:rsidRPr="003D36F6">
        <w:rPr>
          <w:rFonts w:asciiTheme="minorHAnsi" w:hAnsiTheme="minorHAnsi" w:cstheme="minorHAnsi"/>
        </w:rPr>
        <w:t xml:space="preserve"> will be ensuring that performance management arrangements are clearly identified and</w:t>
      </w:r>
      <w:r w:rsidR="003D36F6">
        <w:rPr>
          <w:rFonts w:asciiTheme="minorHAnsi" w:hAnsiTheme="minorHAnsi" w:cstheme="minorHAnsi"/>
        </w:rPr>
        <w:t>,</w:t>
      </w:r>
      <w:r w:rsidR="003D36F6" w:rsidRPr="003D36F6">
        <w:rPr>
          <w:rFonts w:asciiTheme="minorHAnsi" w:hAnsiTheme="minorHAnsi" w:cstheme="minorHAnsi"/>
        </w:rPr>
        <w:t xml:space="preserve"> where necessary, the managing contractor</w:t>
      </w:r>
      <w:r w:rsidR="001F7B13">
        <w:rPr>
          <w:rFonts w:asciiTheme="minorHAnsi" w:hAnsiTheme="minorHAnsi" w:cstheme="minorHAnsi"/>
        </w:rPr>
        <w:t xml:space="preserve"> (or AusAID, where relevant)</w:t>
      </w:r>
      <w:r w:rsidR="003D36F6" w:rsidRPr="003D36F6">
        <w:rPr>
          <w:rFonts w:asciiTheme="minorHAnsi" w:hAnsiTheme="minorHAnsi" w:cstheme="minorHAnsi"/>
        </w:rPr>
        <w:t xml:space="preserve"> is </w:t>
      </w:r>
      <w:r w:rsidR="003D36F6">
        <w:rPr>
          <w:rFonts w:asciiTheme="minorHAnsi" w:hAnsiTheme="minorHAnsi" w:cstheme="minorHAnsi"/>
        </w:rPr>
        <w:t xml:space="preserve">able to play an active role in </w:t>
      </w:r>
      <w:r w:rsidR="00E52284">
        <w:rPr>
          <w:rFonts w:asciiTheme="minorHAnsi" w:hAnsiTheme="minorHAnsi" w:cstheme="minorHAnsi"/>
        </w:rPr>
        <w:t>rectifying problems that may arise in the performance of services</w:t>
      </w:r>
      <w:r w:rsidR="003D36F6">
        <w:rPr>
          <w:rFonts w:asciiTheme="minorHAnsi" w:hAnsiTheme="minorHAnsi" w:cstheme="minorHAnsi"/>
        </w:rPr>
        <w:t>.</w:t>
      </w:r>
      <w:r w:rsidR="001D0049">
        <w:rPr>
          <w:rFonts w:asciiTheme="minorHAnsi" w:hAnsiTheme="minorHAnsi" w:cstheme="minorHAnsi"/>
        </w:rPr>
        <w:t xml:space="preserve"> </w:t>
      </w:r>
      <w:r w:rsidR="003D36F6">
        <w:rPr>
          <w:rFonts w:asciiTheme="minorHAnsi" w:hAnsiTheme="minorHAnsi" w:cstheme="minorHAnsi"/>
        </w:rPr>
        <w:t xml:space="preserve">In line with the recommendations of the 2012 independent review of PACTAM, AusAID will ensure closer engagement between PACTAM and Post so that TA </w:t>
      </w:r>
      <w:r w:rsidR="00D94172">
        <w:rPr>
          <w:rFonts w:asciiTheme="minorHAnsi" w:hAnsiTheme="minorHAnsi" w:cstheme="minorHAnsi"/>
        </w:rPr>
        <w:t>is</w:t>
      </w:r>
      <w:r w:rsidR="003D36F6">
        <w:rPr>
          <w:rFonts w:asciiTheme="minorHAnsi" w:hAnsiTheme="minorHAnsi" w:cstheme="minorHAnsi"/>
        </w:rPr>
        <w:t xml:space="preserve"> part of a coherent aid program.</w:t>
      </w:r>
      <w:r w:rsidR="00875F88">
        <w:rPr>
          <w:rFonts w:asciiTheme="minorHAnsi" w:hAnsiTheme="minorHAnsi" w:cstheme="minorHAnsi"/>
        </w:rPr>
        <w:t xml:space="preserve"> </w:t>
      </w:r>
      <w:r w:rsidR="00F80F02">
        <w:rPr>
          <w:rFonts w:asciiTheme="minorHAnsi" w:hAnsiTheme="minorHAnsi" w:cstheme="minorHAnsi"/>
        </w:rPr>
        <w:t>T</w:t>
      </w:r>
      <w:r w:rsidR="00B431A2">
        <w:rPr>
          <w:rFonts w:asciiTheme="minorHAnsi" w:hAnsiTheme="minorHAnsi" w:cstheme="minorHAnsi"/>
        </w:rPr>
        <w:t>o ensure AusAID is able to manage advisers more effectively,</w:t>
      </w:r>
      <w:r w:rsidR="00A36CD2">
        <w:rPr>
          <w:rFonts w:asciiTheme="minorHAnsi" w:hAnsiTheme="minorHAnsi" w:cstheme="minorHAnsi"/>
        </w:rPr>
        <w:t xml:space="preserve"> </w:t>
      </w:r>
      <w:r w:rsidR="00141C65">
        <w:rPr>
          <w:rFonts w:asciiTheme="minorHAnsi" w:hAnsiTheme="minorHAnsi" w:cstheme="minorHAnsi"/>
        </w:rPr>
        <w:t>we</w:t>
      </w:r>
      <w:r w:rsidR="00A36CD2">
        <w:rPr>
          <w:rFonts w:asciiTheme="minorHAnsi" w:hAnsiTheme="minorHAnsi" w:cstheme="minorHAnsi"/>
        </w:rPr>
        <w:t xml:space="preserve"> will hold quarterly informal meetings with advisers to discuss progress achieved to-date as well as any issues faced in the course of their work. </w:t>
      </w:r>
      <w:r w:rsidR="00757B51">
        <w:rPr>
          <w:rFonts w:asciiTheme="minorHAnsi" w:hAnsiTheme="minorHAnsi" w:cstheme="minorHAnsi"/>
        </w:rPr>
        <w:t>A</w:t>
      </w:r>
      <w:r w:rsidR="00A36CD2">
        <w:rPr>
          <w:rFonts w:asciiTheme="minorHAnsi" w:hAnsiTheme="minorHAnsi" w:cstheme="minorHAnsi"/>
        </w:rPr>
        <w:t xml:space="preserve">dvisers will </w:t>
      </w:r>
      <w:r w:rsidR="00757B51">
        <w:rPr>
          <w:rFonts w:asciiTheme="minorHAnsi" w:hAnsiTheme="minorHAnsi" w:cstheme="minorHAnsi"/>
        </w:rPr>
        <w:t xml:space="preserve">also </w:t>
      </w:r>
      <w:r w:rsidR="00A36CD2">
        <w:rPr>
          <w:rFonts w:asciiTheme="minorHAnsi" w:hAnsiTheme="minorHAnsi" w:cstheme="minorHAnsi"/>
        </w:rPr>
        <w:t>be required to produce biannual reports on their work plan and outputs achieved.</w:t>
      </w:r>
      <w:r w:rsidR="00BD2823">
        <w:rPr>
          <w:rFonts w:asciiTheme="minorHAnsi" w:hAnsiTheme="minorHAnsi" w:cstheme="minorHAnsi"/>
        </w:rPr>
        <w:t xml:space="preserve"> </w:t>
      </w:r>
    </w:p>
    <w:p w:rsidR="000B0B52" w:rsidRDefault="000B0B52" w:rsidP="001077C5">
      <w:pPr>
        <w:rPr>
          <w:rFonts w:asciiTheme="minorHAnsi" w:hAnsiTheme="minorHAnsi" w:cstheme="minorHAnsi"/>
        </w:rPr>
      </w:pPr>
    </w:p>
    <w:p w:rsidR="00302ABD" w:rsidRPr="00986629" w:rsidRDefault="006D65AB" w:rsidP="00986629">
      <w:pPr>
        <w:rPr>
          <w:rFonts w:asciiTheme="minorHAnsi" w:hAnsiTheme="minorHAnsi" w:cstheme="minorHAnsi"/>
        </w:rPr>
      </w:pPr>
      <w:r>
        <w:rPr>
          <w:rFonts w:asciiTheme="minorHAnsi" w:hAnsiTheme="minorHAnsi" w:cstheme="minorHAnsi"/>
        </w:rPr>
        <w:t xml:space="preserve">AusAID will continue to provide </w:t>
      </w:r>
      <w:r w:rsidR="00832D51">
        <w:rPr>
          <w:rFonts w:asciiTheme="minorHAnsi" w:hAnsiTheme="minorHAnsi" w:cstheme="minorHAnsi"/>
        </w:rPr>
        <w:t>either</w:t>
      </w:r>
      <w:r>
        <w:rPr>
          <w:rFonts w:asciiTheme="minorHAnsi" w:hAnsiTheme="minorHAnsi" w:cstheme="minorHAnsi"/>
        </w:rPr>
        <w:t xml:space="preserve"> advisory </w:t>
      </w:r>
      <w:r w:rsidR="00832D51">
        <w:rPr>
          <w:rFonts w:asciiTheme="minorHAnsi" w:hAnsiTheme="minorHAnsi" w:cstheme="minorHAnsi"/>
        </w:rPr>
        <w:t>or</w:t>
      </w:r>
      <w:r>
        <w:rPr>
          <w:rFonts w:asciiTheme="minorHAnsi" w:hAnsiTheme="minorHAnsi" w:cstheme="minorHAnsi"/>
        </w:rPr>
        <w:t xml:space="preserve"> in-line support</w:t>
      </w:r>
      <w:r w:rsidR="00832D51">
        <w:rPr>
          <w:rFonts w:asciiTheme="minorHAnsi" w:hAnsiTheme="minorHAnsi" w:cstheme="minorHAnsi"/>
        </w:rPr>
        <w:t xml:space="preserve"> according to the needs </w:t>
      </w:r>
      <w:r w:rsidR="006C6BDA">
        <w:rPr>
          <w:rFonts w:asciiTheme="minorHAnsi" w:hAnsiTheme="minorHAnsi" w:cstheme="minorHAnsi"/>
        </w:rPr>
        <w:t xml:space="preserve">and capacities </w:t>
      </w:r>
      <w:r w:rsidR="00832D51">
        <w:rPr>
          <w:rFonts w:asciiTheme="minorHAnsi" w:hAnsiTheme="minorHAnsi" w:cstheme="minorHAnsi"/>
        </w:rPr>
        <w:t xml:space="preserve">of the relevant agencies. </w:t>
      </w:r>
      <w:r w:rsidR="00302ABD" w:rsidRPr="00302ABD">
        <w:rPr>
          <w:rFonts w:asciiTheme="minorHAnsi" w:hAnsiTheme="minorHAnsi" w:cstheme="minorHAnsi"/>
        </w:rPr>
        <w:t xml:space="preserve">Requests for in-line and advisory personnel </w:t>
      </w:r>
      <w:r w:rsidR="00F80F02">
        <w:rPr>
          <w:rFonts w:asciiTheme="minorHAnsi" w:hAnsiTheme="minorHAnsi" w:cstheme="minorHAnsi"/>
        </w:rPr>
        <w:t>will</w:t>
      </w:r>
      <w:r w:rsidR="00302ABD" w:rsidRPr="00302ABD">
        <w:rPr>
          <w:rFonts w:asciiTheme="minorHAnsi" w:hAnsiTheme="minorHAnsi" w:cstheme="minorHAnsi"/>
        </w:rPr>
        <w:t xml:space="preserve"> be coordinated on an annual basis through the Aid Management Division of the MoFNP.</w:t>
      </w:r>
      <w:r w:rsidR="00302ABD">
        <w:rPr>
          <w:rFonts w:asciiTheme="minorHAnsi" w:hAnsiTheme="minorHAnsi" w:cstheme="minorHAnsi"/>
        </w:rPr>
        <w:t xml:space="preserve"> </w:t>
      </w:r>
      <w:r w:rsidR="00A630CF">
        <w:rPr>
          <w:rFonts w:asciiTheme="minorHAnsi" w:hAnsiTheme="minorHAnsi" w:cstheme="minorHAnsi"/>
        </w:rPr>
        <w:t>In some cases, w</w:t>
      </w:r>
      <w:r w:rsidR="006C6BDA">
        <w:rPr>
          <w:rFonts w:asciiTheme="minorHAnsi" w:hAnsiTheme="minorHAnsi" w:cstheme="minorHAnsi"/>
        </w:rPr>
        <w:t>here capacity</w:t>
      </w:r>
      <w:r w:rsidR="00302ABD">
        <w:rPr>
          <w:rFonts w:asciiTheme="minorHAnsi" w:hAnsiTheme="minorHAnsi" w:cstheme="minorHAnsi"/>
        </w:rPr>
        <w:t xml:space="preserve"> is significantly limited, AusAID may need to provide </w:t>
      </w:r>
      <w:r w:rsidR="006C6BDA">
        <w:rPr>
          <w:rFonts w:asciiTheme="minorHAnsi" w:hAnsiTheme="minorHAnsi" w:cstheme="minorHAnsi"/>
        </w:rPr>
        <w:t xml:space="preserve">capacity supplementation </w:t>
      </w:r>
      <w:r w:rsidR="00302ABD">
        <w:rPr>
          <w:rFonts w:asciiTheme="minorHAnsi" w:hAnsiTheme="minorHAnsi" w:cstheme="minorHAnsi"/>
        </w:rPr>
        <w:t>until an adequate local counterpart can be engaged to fill the position.</w:t>
      </w:r>
      <w:r w:rsidR="00A630CF">
        <w:rPr>
          <w:rFonts w:asciiTheme="minorHAnsi" w:hAnsiTheme="minorHAnsi" w:cstheme="minorHAnsi"/>
        </w:rPr>
        <w:t xml:space="preserve"> In other</w:t>
      </w:r>
      <w:r w:rsidR="0091393B">
        <w:rPr>
          <w:rFonts w:asciiTheme="minorHAnsi" w:hAnsiTheme="minorHAnsi" w:cstheme="minorHAnsi"/>
        </w:rPr>
        <w:t xml:space="preserve"> cases,</w:t>
      </w:r>
      <w:r w:rsidR="00F678D4">
        <w:rPr>
          <w:rFonts w:asciiTheme="minorHAnsi" w:hAnsiTheme="minorHAnsi" w:cstheme="minorHAnsi"/>
        </w:rPr>
        <w:t xml:space="preserve"> where the input of a single TA may be </w:t>
      </w:r>
      <w:r w:rsidR="0044339C">
        <w:rPr>
          <w:rFonts w:asciiTheme="minorHAnsi" w:hAnsiTheme="minorHAnsi" w:cstheme="minorHAnsi"/>
        </w:rPr>
        <w:t>unable</w:t>
      </w:r>
      <w:r w:rsidR="00D46A4F">
        <w:rPr>
          <w:rFonts w:asciiTheme="minorHAnsi" w:hAnsiTheme="minorHAnsi" w:cstheme="minorHAnsi"/>
        </w:rPr>
        <w:t xml:space="preserve"> to </w:t>
      </w:r>
      <w:r w:rsidR="00412043">
        <w:rPr>
          <w:rFonts w:asciiTheme="minorHAnsi" w:hAnsiTheme="minorHAnsi" w:cstheme="minorHAnsi"/>
        </w:rPr>
        <w:t>achieve</w:t>
      </w:r>
      <w:r w:rsidR="00D46A4F">
        <w:rPr>
          <w:rFonts w:asciiTheme="minorHAnsi" w:hAnsiTheme="minorHAnsi" w:cstheme="minorHAnsi"/>
        </w:rPr>
        <w:t xml:space="preserve"> a desired outcome</w:t>
      </w:r>
      <w:r w:rsidR="00F678D4">
        <w:rPr>
          <w:rFonts w:asciiTheme="minorHAnsi" w:hAnsiTheme="minorHAnsi" w:cstheme="minorHAnsi"/>
        </w:rPr>
        <w:t>,</w:t>
      </w:r>
      <w:r w:rsidR="0091393B">
        <w:rPr>
          <w:rFonts w:asciiTheme="minorHAnsi" w:hAnsiTheme="minorHAnsi" w:cstheme="minorHAnsi"/>
        </w:rPr>
        <w:t xml:space="preserve"> </w:t>
      </w:r>
      <w:r w:rsidR="00A630CF">
        <w:rPr>
          <w:rFonts w:asciiTheme="minorHAnsi" w:hAnsiTheme="minorHAnsi" w:cstheme="minorHAnsi"/>
        </w:rPr>
        <w:t xml:space="preserve">AusAID </w:t>
      </w:r>
      <w:r w:rsidR="00F80F02">
        <w:rPr>
          <w:rFonts w:asciiTheme="minorHAnsi" w:hAnsiTheme="minorHAnsi" w:cstheme="minorHAnsi"/>
        </w:rPr>
        <w:t>will</w:t>
      </w:r>
      <w:r w:rsidR="00A630CF">
        <w:rPr>
          <w:rFonts w:asciiTheme="minorHAnsi" w:hAnsiTheme="minorHAnsi" w:cstheme="minorHAnsi"/>
        </w:rPr>
        <w:t xml:space="preserve"> consider the critical mass of advisory support needed</w:t>
      </w:r>
      <w:r w:rsidR="00F678D4">
        <w:rPr>
          <w:rFonts w:asciiTheme="minorHAnsi" w:hAnsiTheme="minorHAnsi" w:cstheme="minorHAnsi"/>
        </w:rPr>
        <w:t xml:space="preserve"> to effect change</w:t>
      </w:r>
      <w:r w:rsidR="00E2142D">
        <w:rPr>
          <w:rFonts w:asciiTheme="minorHAnsi" w:hAnsiTheme="minorHAnsi" w:cstheme="minorHAnsi"/>
        </w:rPr>
        <w:t>,</w:t>
      </w:r>
      <w:r w:rsidR="00D47C6F">
        <w:rPr>
          <w:rFonts w:asciiTheme="minorHAnsi" w:hAnsiTheme="minorHAnsi" w:cstheme="minorHAnsi"/>
        </w:rPr>
        <w:t xml:space="preserve"> </w:t>
      </w:r>
      <w:r w:rsidR="000F7FC1">
        <w:rPr>
          <w:rFonts w:asciiTheme="minorHAnsi" w:hAnsiTheme="minorHAnsi" w:cstheme="minorHAnsi"/>
        </w:rPr>
        <w:t>in order to ensure the sustainability of the work undertaken by advisers</w:t>
      </w:r>
      <w:r w:rsidR="00A630CF">
        <w:rPr>
          <w:rFonts w:asciiTheme="minorHAnsi" w:hAnsiTheme="minorHAnsi" w:cstheme="minorHAnsi"/>
        </w:rPr>
        <w:t>.</w:t>
      </w:r>
      <w:r w:rsidR="00730BFE">
        <w:rPr>
          <w:rFonts w:asciiTheme="minorHAnsi" w:hAnsiTheme="minorHAnsi" w:cstheme="minorHAnsi"/>
        </w:rPr>
        <w:t xml:space="preserve"> </w:t>
      </w:r>
      <w:r w:rsidR="00302ABD" w:rsidRPr="00302ABD">
        <w:rPr>
          <w:rFonts w:asciiTheme="minorHAnsi" w:hAnsiTheme="minorHAnsi" w:cstheme="minorHAnsi"/>
        </w:rPr>
        <w:t xml:space="preserve">All requests for personnel, particularly in-line personnel, </w:t>
      </w:r>
      <w:r w:rsidR="00F80F02">
        <w:rPr>
          <w:rFonts w:asciiTheme="minorHAnsi" w:hAnsiTheme="minorHAnsi" w:cstheme="minorHAnsi"/>
        </w:rPr>
        <w:t>will</w:t>
      </w:r>
      <w:r w:rsidR="00302ABD" w:rsidRPr="00302ABD">
        <w:rPr>
          <w:rFonts w:asciiTheme="minorHAnsi" w:hAnsiTheme="minorHAnsi" w:cstheme="minorHAnsi"/>
        </w:rPr>
        <w:t xml:space="preserve"> include a succession plan and a capacity </w:t>
      </w:r>
      <w:r w:rsidR="00302ABD">
        <w:rPr>
          <w:rFonts w:asciiTheme="minorHAnsi" w:hAnsiTheme="minorHAnsi" w:cstheme="minorHAnsi"/>
        </w:rPr>
        <w:t>building plan for Go</w:t>
      </w:r>
      <w:r w:rsidR="00302ABD" w:rsidRPr="00302ABD">
        <w:rPr>
          <w:rFonts w:asciiTheme="minorHAnsi" w:hAnsiTheme="minorHAnsi" w:cstheme="minorHAnsi"/>
        </w:rPr>
        <w:t>T personnel</w:t>
      </w:r>
      <w:r w:rsidR="00302ABD">
        <w:rPr>
          <w:rFonts w:asciiTheme="minorHAnsi" w:hAnsiTheme="minorHAnsi" w:cstheme="minorHAnsi"/>
        </w:rPr>
        <w:t>.</w:t>
      </w:r>
      <w:r w:rsidR="00986629">
        <w:rPr>
          <w:rFonts w:asciiTheme="minorHAnsi" w:hAnsiTheme="minorHAnsi" w:cstheme="minorHAnsi"/>
        </w:rPr>
        <w:t xml:space="preserve"> </w:t>
      </w:r>
      <w:r w:rsidR="00302ABD" w:rsidRPr="00986629">
        <w:rPr>
          <w:rFonts w:asciiTheme="minorHAnsi" w:hAnsiTheme="minorHAnsi" w:cstheme="minorHAnsi"/>
        </w:rPr>
        <w:t xml:space="preserve">Terms of Reference </w:t>
      </w:r>
      <w:r w:rsidR="00F80F02">
        <w:rPr>
          <w:rFonts w:asciiTheme="minorHAnsi" w:hAnsiTheme="minorHAnsi" w:cstheme="minorHAnsi"/>
        </w:rPr>
        <w:t>will</w:t>
      </w:r>
      <w:r w:rsidR="00302ABD" w:rsidRPr="00986629">
        <w:rPr>
          <w:rFonts w:asciiTheme="minorHAnsi" w:hAnsiTheme="minorHAnsi" w:cstheme="minorHAnsi"/>
        </w:rPr>
        <w:t xml:space="preserve"> be jointly developed by </w:t>
      </w:r>
      <w:r w:rsidR="0001216D">
        <w:rPr>
          <w:rFonts w:asciiTheme="minorHAnsi" w:hAnsiTheme="minorHAnsi" w:cstheme="minorHAnsi"/>
        </w:rPr>
        <w:t xml:space="preserve">the </w:t>
      </w:r>
      <w:r w:rsidR="00302ABD" w:rsidRPr="00986629">
        <w:rPr>
          <w:rFonts w:asciiTheme="minorHAnsi" w:hAnsiTheme="minorHAnsi" w:cstheme="minorHAnsi"/>
        </w:rPr>
        <w:t xml:space="preserve">GoT and </w:t>
      </w:r>
      <w:r w:rsidR="0001216D">
        <w:rPr>
          <w:rFonts w:asciiTheme="minorHAnsi" w:hAnsiTheme="minorHAnsi" w:cstheme="minorHAnsi"/>
        </w:rPr>
        <w:t>AusAID</w:t>
      </w:r>
      <w:r w:rsidR="00302ABD" w:rsidRPr="00986629">
        <w:rPr>
          <w:rFonts w:asciiTheme="minorHAnsi" w:hAnsiTheme="minorHAnsi" w:cstheme="minorHAnsi"/>
        </w:rPr>
        <w:t xml:space="preserve"> with specific outputs tied to EPSG end-of-program outcomes and </w:t>
      </w:r>
      <w:r w:rsidR="0001216D">
        <w:rPr>
          <w:rFonts w:asciiTheme="minorHAnsi" w:hAnsiTheme="minorHAnsi" w:cstheme="minorHAnsi"/>
        </w:rPr>
        <w:t>aligned</w:t>
      </w:r>
      <w:r w:rsidR="00302ABD" w:rsidRPr="00986629">
        <w:rPr>
          <w:rFonts w:asciiTheme="minorHAnsi" w:hAnsiTheme="minorHAnsi" w:cstheme="minorHAnsi"/>
        </w:rPr>
        <w:t xml:space="preserve"> with Partnership objectives. </w:t>
      </w:r>
    </w:p>
    <w:p w:rsidR="00302ABD" w:rsidRDefault="00302ABD" w:rsidP="001077C5">
      <w:pPr>
        <w:rPr>
          <w:rFonts w:asciiTheme="minorHAnsi" w:hAnsiTheme="minorHAnsi" w:cstheme="minorHAnsi"/>
        </w:rPr>
      </w:pPr>
    </w:p>
    <w:p w:rsidR="0034390D" w:rsidRPr="00255D43" w:rsidRDefault="0034390D" w:rsidP="001077C5">
      <w:pPr>
        <w:rPr>
          <w:rFonts w:asciiTheme="minorHAnsi" w:hAnsiTheme="minorHAnsi" w:cstheme="minorHAnsi"/>
          <w:b/>
        </w:rPr>
      </w:pPr>
      <w:r w:rsidRPr="00255D43">
        <w:rPr>
          <w:rFonts w:asciiTheme="minorHAnsi" w:hAnsiTheme="minorHAnsi" w:cstheme="minorHAnsi"/>
          <w:b/>
        </w:rPr>
        <w:t xml:space="preserve">Revenue </w:t>
      </w:r>
    </w:p>
    <w:p w:rsidR="001077C5" w:rsidRDefault="001077C5" w:rsidP="001077C5">
      <w:pPr>
        <w:rPr>
          <w:rFonts w:asciiTheme="minorHAnsi" w:hAnsiTheme="minorHAnsi" w:cstheme="minorHAnsi"/>
        </w:rPr>
      </w:pPr>
      <w:r>
        <w:rPr>
          <w:rFonts w:asciiTheme="minorHAnsi" w:hAnsiTheme="minorHAnsi" w:cstheme="minorHAnsi"/>
        </w:rPr>
        <w:t>In 2011, at the GoT’s request, PFTAC undertook a Revenue Policy and Administration Review with a view to strengthening Tonga’s revenue regime and improving revenue administration. The findings of this review have provided strategic direction for the MoR and have been used to inform the MoR’s Corporate Plan. PFTAC is committed to working with the GoT and donors to further develop the implementation plan, the design and</w:t>
      </w:r>
      <w:r w:rsidR="00170E94">
        <w:rPr>
          <w:rFonts w:asciiTheme="minorHAnsi" w:hAnsiTheme="minorHAnsi" w:cstheme="minorHAnsi"/>
        </w:rPr>
        <w:t xml:space="preserve"> the</w:t>
      </w:r>
      <w:r>
        <w:rPr>
          <w:rFonts w:asciiTheme="minorHAnsi" w:hAnsiTheme="minorHAnsi" w:cstheme="minorHAnsi"/>
        </w:rPr>
        <w:t xml:space="preserve"> deployment of the technical assistance necessary following this Review. AusAID will provide technical assistance to support PFTAC recommendations </w:t>
      </w:r>
      <w:r w:rsidR="00704314">
        <w:rPr>
          <w:rFonts w:asciiTheme="minorHAnsi" w:hAnsiTheme="minorHAnsi" w:cstheme="minorHAnsi"/>
        </w:rPr>
        <w:t xml:space="preserve">and will continue to seek greater oversight by PFTAC of the work of advisers in the field </w:t>
      </w:r>
      <w:r>
        <w:rPr>
          <w:rFonts w:asciiTheme="minorHAnsi" w:hAnsiTheme="minorHAnsi" w:cstheme="minorHAnsi"/>
        </w:rPr>
        <w:t xml:space="preserve">in a bid to further efforts towards greater donor harmonisation. </w:t>
      </w:r>
      <w:r w:rsidRPr="00B772A1">
        <w:rPr>
          <w:rFonts w:asciiTheme="minorHAnsi" w:hAnsiTheme="minorHAnsi" w:cstheme="minorHAnsi"/>
        </w:rPr>
        <w:t>This work will be supported by development and use of management information systems</w:t>
      </w:r>
      <w:r w:rsidR="0061449F">
        <w:rPr>
          <w:rFonts w:asciiTheme="minorHAnsi" w:hAnsiTheme="minorHAnsi" w:cstheme="minorHAnsi"/>
        </w:rPr>
        <w:t>, such as</w:t>
      </w:r>
      <w:r w:rsidRPr="00B772A1">
        <w:rPr>
          <w:rFonts w:asciiTheme="minorHAnsi" w:hAnsiTheme="minorHAnsi" w:cstheme="minorHAnsi"/>
        </w:rPr>
        <w:t xml:space="preserve"> </w:t>
      </w:r>
      <w:r w:rsidR="0061449F">
        <w:rPr>
          <w:rFonts w:asciiTheme="minorHAnsi" w:hAnsiTheme="minorHAnsi" w:cstheme="minorHAnsi"/>
        </w:rPr>
        <w:t xml:space="preserve">the AusAID-funded </w:t>
      </w:r>
      <w:r w:rsidRPr="00B772A1">
        <w:rPr>
          <w:rFonts w:asciiTheme="minorHAnsi" w:hAnsiTheme="minorHAnsi" w:cstheme="minorHAnsi"/>
        </w:rPr>
        <w:t>R</w:t>
      </w:r>
      <w:r w:rsidR="0061449F">
        <w:rPr>
          <w:rFonts w:asciiTheme="minorHAnsi" w:hAnsiTheme="minorHAnsi" w:cstheme="minorHAnsi"/>
        </w:rPr>
        <w:t>evenue Management System (RMS),</w:t>
      </w:r>
      <w:r>
        <w:rPr>
          <w:rFonts w:asciiTheme="minorHAnsi" w:hAnsiTheme="minorHAnsi" w:cstheme="minorHAnsi"/>
        </w:rPr>
        <w:t xml:space="preserve"> to improve the ability of ministries to forecast cash flow and programming of cash disbursements</w:t>
      </w:r>
      <w:r w:rsidRPr="00B772A1">
        <w:rPr>
          <w:rFonts w:asciiTheme="minorHAnsi" w:hAnsiTheme="minorHAnsi" w:cstheme="minorHAnsi"/>
        </w:rPr>
        <w:t>. MoFNP and MoR staff will be supported to develop the knowledge and skills needed to operate and maintain these systems</w:t>
      </w:r>
      <w:r w:rsidR="0048012A">
        <w:rPr>
          <w:rFonts w:asciiTheme="minorHAnsi" w:hAnsiTheme="minorHAnsi" w:cstheme="minorHAnsi"/>
        </w:rPr>
        <w:t>,</w:t>
      </w:r>
      <w:r w:rsidRPr="00B772A1">
        <w:rPr>
          <w:rFonts w:asciiTheme="minorHAnsi" w:hAnsiTheme="minorHAnsi" w:cstheme="minorHAnsi"/>
        </w:rPr>
        <w:t xml:space="preserve"> a</w:t>
      </w:r>
      <w:r w:rsidR="0048012A">
        <w:rPr>
          <w:rFonts w:asciiTheme="minorHAnsi" w:hAnsiTheme="minorHAnsi" w:cstheme="minorHAnsi"/>
        </w:rPr>
        <w:t xml:space="preserve">nd to work to improve </w:t>
      </w:r>
      <w:r w:rsidRPr="00B772A1">
        <w:rPr>
          <w:rFonts w:asciiTheme="minorHAnsi" w:hAnsiTheme="minorHAnsi" w:cstheme="minorHAnsi"/>
        </w:rPr>
        <w:t>the organisational environment for their effective use.</w:t>
      </w:r>
    </w:p>
    <w:p w:rsidR="00E31650" w:rsidRDefault="00E31650" w:rsidP="001077C5"/>
    <w:p w:rsidR="00C63424" w:rsidRPr="000B6F41" w:rsidRDefault="00C63424" w:rsidP="00C63424">
      <w:pPr>
        <w:rPr>
          <w:rFonts w:asciiTheme="minorHAnsi" w:hAnsiTheme="minorHAnsi" w:cstheme="minorHAnsi"/>
          <w:b/>
        </w:rPr>
      </w:pPr>
      <w:r w:rsidRPr="000B6F41">
        <w:rPr>
          <w:rFonts w:asciiTheme="minorHAnsi" w:hAnsiTheme="minorHAnsi" w:cstheme="minorHAnsi"/>
          <w:b/>
        </w:rPr>
        <w:t>Procurement and audit</w:t>
      </w:r>
    </w:p>
    <w:p w:rsidR="00C63424" w:rsidRDefault="00C63424" w:rsidP="00C63424">
      <w:pPr>
        <w:rPr>
          <w:rFonts w:asciiTheme="minorHAnsi" w:hAnsiTheme="minorHAnsi" w:cstheme="minorHAnsi"/>
        </w:rPr>
      </w:pPr>
      <w:r w:rsidRPr="00BA4041">
        <w:rPr>
          <w:rFonts w:asciiTheme="minorHAnsi" w:hAnsiTheme="minorHAnsi" w:cstheme="minorHAnsi"/>
        </w:rPr>
        <w:t>AusAID’s 2013 procurement review</w:t>
      </w:r>
      <w:r>
        <w:rPr>
          <w:rFonts w:asciiTheme="minorHAnsi" w:hAnsiTheme="minorHAnsi" w:cstheme="minorHAnsi"/>
        </w:rPr>
        <w:t xml:space="preserve"> </w:t>
      </w:r>
      <w:r w:rsidRPr="00BA4041">
        <w:rPr>
          <w:rFonts w:asciiTheme="minorHAnsi" w:hAnsiTheme="minorHAnsi" w:cstheme="minorHAnsi"/>
        </w:rPr>
        <w:t>noted significant weaknesses in the GoT’s procurement system</w:t>
      </w:r>
      <w:r>
        <w:rPr>
          <w:rFonts w:asciiTheme="minorHAnsi" w:hAnsiTheme="minorHAnsi" w:cstheme="minorHAnsi"/>
        </w:rPr>
        <w:t xml:space="preserve">. </w:t>
      </w:r>
      <w:r w:rsidRPr="00B77572">
        <w:rPr>
          <w:rFonts w:asciiTheme="minorHAnsi" w:hAnsiTheme="minorHAnsi" w:cstheme="minorHAnsi"/>
        </w:rPr>
        <w:t>AusAID is committed to implementing the recommendations of the review and supporting improved</w:t>
      </w:r>
      <w:r>
        <w:rPr>
          <w:rFonts w:asciiTheme="minorHAnsi" w:hAnsiTheme="minorHAnsi" w:cstheme="minorHAnsi"/>
        </w:rPr>
        <w:t xml:space="preserve"> procurement business processes</w:t>
      </w:r>
      <w:r w:rsidRPr="00B77572">
        <w:rPr>
          <w:rFonts w:asciiTheme="minorHAnsi" w:hAnsiTheme="minorHAnsi" w:cstheme="minorHAnsi"/>
        </w:rPr>
        <w:t xml:space="preserve"> </w:t>
      </w:r>
      <w:r>
        <w:rPr>
          <w:rFonts w:asciiTheme="minorHAnsi" w:hAnsiTheme="minorHAnsi" w:cstheme="minorHAnsi"/>
        </w:rPr>
        <w:t>in line with</w:t>
      </w:r>
      <w:r w:rsidRPr="00B77572">
        <w:rPr>
          <w:rFonts w:asciiTheme="minorHAnsi" w:hAnsiTheme="minorHAnsi" w:cstheme="minorHAnsi"/>
        </w:rPr>
        <w:t xml:space="preserve"> </w:t>
      </w:r>
      <w:r>
        <w:rPr>
          <w:rFonts w:asciiTheme="minorHAnsi" w:hAnsiTheme="minorHAnsi" w:cstheme="minorHAnsi"/>
        </w:rPr>
        <w:t xml:space="preserve">the </w:t>
      </w:r>
      <w:r w:rsidRPr="00597E5F">
        <w:rPr>
          <w:rFonts w:asciiTheme="minorHAnsi" w:hAnsiTheme="minorHAnsi" w:cstheme="minorHAnsi"/>
        </w:rPr>
        <w:t>GoT’s PFM Roadmap</w:t>
      </w:r>
      <w:r>
        <w:rPr>
          <w:rFonts w:asciiTheme="minorHAnsi" w:hAnsiTheme="minorHAnsi" w:cstheme="minorHAnsi"/>
        </w:rPr>
        <w:t xml:space="preserve"> and the objectives of the Partnership for Development</w:t>
      </w:r>
      <w:r w:rsidRPr="00597E5F">
        <w:rPr>
          <w:rFonts w:asciiTheme="minorHAnsi" w:hAnsiTheme="minorHAnsi" w:cstheme="minorHAnsi"/>
        </w:rPr>
        <w:t xml:space="preserve">. This will require ongoing dialogue with the GoT to </w:t>
      </w:r>
      <w:r>
        <w:rPr>
          <w:rFonts w:asciiTheme="minorHAnsi" w:hAnsiTheme="minorHAnsi" w:cstheme="minorHAnsi"/>
        </w:rPr>
        <w:t xml:space="preserve">ensure a comprehensive Procurement Reform </w:t>
      </w:r>
      <w:r w:rsidRPr="00597E5F">
        <w:rPr>
          <w:rFonts w:asciiTheme="minorHAnsi" w:hAnsiTheme="minorHAnsi" w:cstheme="minorHAnsi"/>
        </w:rPr>
        <w:t xml:space="preserve">Action Plan is </w:t>
      </w:r>
      <w:r>
        <w:rPr>
          <w:rFonts w:asciiTheme="minorHAnsi" w:hAnsiTheme="minorHAnsi" w:cstheme="minorHAnsi"/>
        </w:rPr>
        <w:t>endorsed by Cabinet</w:t>
      </w:r>
      <w:r w:rsidRPr="00597E5F">
        <w:rPr>
          <w:rFonts w:asciiTheme="minorHAnsi" w:hAnsiTheme="minorHAnsi" w:cstheme="minorHAnsi"/>
        </w:rPr>
        <w:t xml:space="preserve"> and </w:t>
      </w:r>
      <w:r>
        <w:rPr>
          <w:rFonts w:asciiTheme="minorHAnsi" w:hAnsiTheme="minorHAnsi" w:cstheme="minorHAnsi"/>
        </w:rPr>
        <w:t xml:space="preserve">included as a trigger for budget support </w:t>
      </w:r>
      <w:r w:rsidRPr="00597E5F">
        <w:rPr>
          <w:rFonts w:asciiTheme="minorHAnsi" w:hAnsiTheme="minorHAnsi" w:cstheme="minorHAnsi"/>
        </w:rPr>
        <w:t>in the Policy Reform Matrix.</w:t>
      </w:r>
      <w:r>
        <w:rPr>
          <w:rFonts w:asciiTheme="minorHAnsi" w:hAnsiTheme="minorHAnsi" w:cstheme="minorHAnsi"/>
        </w:rPr>
        <w:t xml:space="preserve"> Inclusion in the Policy Reform Matrix</w:t>
      </w:r>
      <w:r w:rsidRPr="00BA4041">
        <w:rPr>
          <w:rFonts w:asciiTheme="minorHAnsi" w:hAnsiTheme="minorHAnsi" w:cstheme="minorHAnsi"/>
        </w:rPr>
        <w:t xml:space="preserve"> will provide an opportunity for GoT to affirm its commitment to further procurement reform</w:t>
      </w:r>
      <w:r>
        <w:rPr>
          <w:rFonts w:asciiTheme="minorHAnsi" w:hAnsiTheme="minorHAnsi" w:cstheme="minorHAnsi"/>
        </w:rPr>
        <w:t xml:space="preserve"> and will provide momentum to operationalise achievements made to date</w:t>
      </w:r>
      <w:r w:rsidRPr="00BA4041">
        <w:rPr>
          <w:rFonts w:asciiTheme="minorHAnsi" w:hAnsiTheme="minorHAnsi" w:cstheme="minorHAnsi"/>
        </w:rPr>
        <w:t xml:space="preserve">. </w:t>
      </w:r>
      <w:r>
        <w:rPr>
          <w:rFonts w:asciiTheme="minorHAnsi" w:hAnsiTheme="minorHAnsi" w:cstheme="minorHAnsi"/>
        </w:rPr>
        <w:t xml:space="preserve">In line with the recommendations of the procurement review, AusAID will provide ongoing technical assistance to the MoFNP’s CPU (to support development of the GoT’s procurement system). It is envisaged that long-term technical assistance will be provided through a complement of two International Procurement Specialists working in in-line positions in the CPU for a minimum of two years. </w:t>
      </w:r>
    </w:p>
    <w:p w:rsidR="00C63424" w:rsidRDefault="00C63424" w:rsidP="00C63424">
      <w:pPr>
        <w:rPr>
          <w:rFonts w:asciiTheme="minorHAnsi" w:hAnsiTheme="minorHAnsi" w:cstheme="minorHAnsi"/>
        </w:rPr>
      </w:pPr>
    </w:p>
    <w:p w:rsidR="00C63424" w:rsidRPr="00A17FE3" w:rsidRDefault="00C63424" w:rsidP="00C63424">
      <w:pPr>
        <w:rPr>
          <w:rFonts w:asciiTheme="minorHAnsi" w:hAnsiTheme="minorHAnsi" w:cstheme="minorHAnsi"/>
        </w:rPr>
      </w:pPr>
      <w:r>
        <w:rPr>
          <w:rFonts w:asciiTheme="minorHAnsi" w:hAnsiTheme="minorHAnsi" w:cstheme="minorHAnsi"/>
        </w:rPr>
        <w:t xml:space="preserve">In line with the PFM Roadmap, </w:t>
      </w:r>
      <w:r w:rsidRPr="00A17FE3">
        <w:rPr>
          <w:rFonts w:asciiTheme="minorHAnsi" w:hAnsiTheme="minorHAnsi" w:cstheme="minorHAnsi"/>
        </w:rPr>
        <w:t>AusAID is committed to working with</w:t>
      </w:r>
      <w:r>
        <w:rPr>
          <w:rFonts w:asciiTheme="minorHAnsi" w:hAnsiTheme="minorHAnsi" w:cstheme="minorHAnsi"/>
        </w:rPr>
        <w:t xml:space="preserve"> the</w:t>
      </w:r>
      <w:r w:rsidRPr="00A17FE3">
        <w:rPr>
          <w:rFonts w:asciiTheme="minorHAnsi" w:hAnsiTheme="minorHAnsi" w:cstheme="minorHAnsi"/>
        </w:rPr>
        <w:t xml:space="preserve"> GoT to develop activities that will strengthen audit capacity and promote a program of audit for GoT. Improving GoT audit practice will require capacity supplementation over the medium term to enable the Auditor General’s Office to</w:t>
      </w:r>
      <w:r>
        <w:rPr>
          <w:rFonts w:asciiTheme="minorHAnsi" w:hAnsiTheme="minorHAnsi" w:cstheme="minorHAnsi"/>
        </w:rPr>
        <w:t>:</w:t>
      </w:r>
      <w:r w:rsidRPr="00A17FE3">
        <w:rPr>
          <w:rFonts w:asciiTheme="minorHAnsi" w:hAnsiTheme="minorHAnsi" w:cstheme="minorHAnsi"/>
        </w:rPr>
        <w:t xml:space="preserve"> complete annual audits of programs and ministries, departments and agencies on t</w:t>
      </w:r>
      <w:r>
        <w:rPr>
          <w:rFonts w:asciiTheme="minorHAnsi" w:hAnsiTheme="minorHAnsi" w:cstheme="minorHAnsi"/>
        </w:rPr>
        <w:t>ime;</w:t>
      </w:r>
      <w:r w:rsidRPr="00A17FE3">
        <w:rPr>
          <w:rFonts w:asciiTheme="minorHAnsi" w:hAnsiTheme="minorHAnsi" w:cstheme="minorHAnsi"/>
        </w:rPr>
        <w:t xml:space="preserve"> follow up the findings of it</w:t>
      </w:r>
      <w:r>
        <w:rPr>
          <w:rFonts w:asciiTheme="minorHAnsi" w:hAnsiTheme="minorHAnsi" w:cstheme="minorHAnsi"/>
        </w:rPr>
        <w:t>s audits in an effective manner;</w:t>
      </w:r>
      <w:r w:rsidRPr="00A17FE3">
        <w:rPr>
          <w:rFonts w:asciiTheme="minorHAnsi" w:hAnsiTheme="minorHAnsi" w:cstheme="minorHAnsi"/>
        </w:rPr>
        <w:t xml:space="preserve"> and produce a timely annual report summarising the findings.</w:t>
      </w:r>
      <w:r>
        <w:rPr>
          <w:rFonts w:asciiTheme="minorHAnsi" w:hAnsiTheme="minorHAnsi" w:cstheme="minorHAnsi"/>
        </w:rPr>
        <w:t xml:space="preserve"> AusAID will continue to provide support to strengthen Tonga’s audit system through Pacific regional programs, including the Pacific Regional Audit Initiative.</w:t>
      </w:r>
      <w:r w:rsidRPr="00A17FE3">
        <w:rPr>
          <w:rFonts w:asciiTheme="minorHAnsi" w:hAnsiTheme="minorHAnsi" w:cstheme="minorHAnsi"/>
        </w:rPr>
        <w:t xml:space="preserve"> </w:t>
      </w:r>
    </w:p>
    <w:p w:rsidR="00C63424" w:rsidRDefault="00C63424" w:rsidP="001077C5">
      <w:pPr>
        <w:rPr>
          <w:rFonts w:asciiTheme="minorHAnsi" w:hAnsiTheme="minorHAnsi" w:cstheme="minorHAnsi"/>
          <w:b/>
        </w:rPr>
      </w:pPr>
    </w:p>
    <w:p w:rsidR="0048012A" w:rsidRPr="00255D43" w:rsidRDefault="0048012A" w:rsidP="001077C5">
      <w:pPr>
        <w:rPr>
          <w:rFonts w:asciiTheme="minorHAnsi" w:hAnsiTheme="minorHAnsi" w:cstheme="minorHAnsi"/>
          <w:b/>
        </w:rPr>
      </w:pPr>
      <w:r w:rsidRPr="00255D43">
        <w:rPr>
          <w:rFonts w:asciiTheme="minorHAnsi" w:hAnsiTheme="minorHAnsi" w:cstheme="minorHAnsi"/>
          <w:b/>
        </w:rPr>
        <w:t xml:space="preserve">Statistics </w:t>
      </w:r>
    </w:p>
    <w:p w:rsidR="0048012A" w:rsidRDefault="001077C5" w:rsidP="001077C5">
      <w:pPr>
        <w:rPr>
          <w:rFonts w:asciiTheme="minorHAnsi" w:hAnsiTheme="minorHAnsi" w:cstheme="minorHAnsi"/>
        </w:rPr>
      </w:pPr>
      <w:r>
        <w:rPr>
          <w:rFonts w:asciiTheme="minorHAnsi" w:hAnsiTheme="minorHAnsi" w:cstheme="minorHAnsi"/>
        </w:rPr>
        <w:t>Australia will provide ongoing support to the Statistics Department with a view to generating more timely and accurate information for economic planning and monitoring. National statistics is considered a</w:t>
      </w:r>
      <w:r w:rsidR="0048012A">
        <w:rPr>
          <w:rFonts w:asciiTheme="minorHAnsi" w:hAnsiTheme="minorHAnsi" w:cstheme="minorHAnsi"/>
        </w:rPr>
        <w:t>n</w:t>
      </w:r>
      <w:r>
        <w:rPr>
          <w:rFonts w:asciiTheme="minorHAnsi" w:hAnsiTheme="minorHAnsi" w:cstheme="minorHAnsi"/>
        </w:rPr>
        <w:t xml:space="preserve"> </w:t>
      </w:r>
      <w:r w:rsidR="0048012A">
        <w:rPr>
          <w:rFonts w:asciiTheme="minorHAnsi" w:hAnsiTheme="minorHAnsi" w:cstheme="minorHAnsi"/>
        </w:rPr>
        <w:t xml:space="preserve">essential </w:t>
      </w:r>
      <w:r>
        <w:rPr>
          <w:rFonts w:asciiTheme="minorHAnsi" w:hAnsiTheme="minorHAnsi" w:cstheme="minorHAnsi"/>
        </w:rPr>
        <w:t>tool for measuring Tonga’s economic progress and was identified as a key area for donor support at the Theory of Change workshop.</w:t>
      </w:r>
      <w:r w:rsidR="0048012A">
        <w:rPr>
          <w:rFonts w:asciiTheme="minorHAnsi" w:hAnsiTheme="minorHAnsi" w:cstheme="minorHAnsi"/>
        </w:rPr>
        <w:t xml:space="preserve"> It is also of vital importance to AusAID as the lack of up-to-date statistical data hampers our ability to target our programs effectively.</w:t>
      </w:r>
    </w:p>
    <w:p w:rsidR="0048012A" w:rsidRDefault="0048012A" w:rsidP="001077C5">
      <w:pPr>
        <w:rPr>
          <w:rFonts w:asciiTheme="minorHAnsi" w:hAnsiTheme="minorHAnsi" w:cstheme="minorHAnsi"/>
        </w:rPr>
      </w:pPr>
    </w:p>
    <w:p w:rsidR="0048012A" w:rsidRDefault="001077C5" w:rsidP="001077C5">
      <w:pPr>
        <w:rPr>
          <w:rFonts w:asciiTheme="minorHAnsi" w:hAnsiTheme="minorHAnsi" w:cstheme="minorHAnsi"/>
        </w:rPr>
      </w:pPr>
      <w:r>
        <w:rPr>
          <w:rFonts w:asciiTheme="minorHAnsi" w:hAnsiTheme="minorHAnsi" w:cstheme="minorHAnsi"/>
        </w:rPr>
        <w:t xml:space="preserve">The 2013 review of AusAID’s economic and public sector reform program noted considerable capacity constraints within the Statistics Department, including: </w:t>
      </w:r>
      <w:r w:rsidRPr="008144C8">
        <w:rPr>
          <w:rFonts w:asciiTheme="minorHAnsi" w:hAnsiTheme="minorHAnsi" w:cstheme="minorHAnsi"/>
        </w:rPr>
        <w:t>a lack of staff in the department with the right mix of skills to undertake high-level statistical analysis; a lack of av</w:t>
      </w:r>
      <w:r w:rsidR="00694608">
        <w:rPr>
          <w:rFonts w:asciiTheme="minorHAnsi" w:hAnsiTheme="minorHAnsi" w:cstheme="minorHAnsi"/>
        </w:rPr>
        <w:t>ailability of counterpart staff, and;</w:t>
      </w:r>
      <w:r w:rsidRPr="008144C8">
        <w:rPr>
          <w:rFonts w:asciiTheme="minorHAnsi" w:hAnsiTheme="minorHAnsi" w:cstheme="minorHAnsi"/>
        </w:rPr>
        <w:t xml:space="preserve"> out-dated computer systems and software.</w:t>
      </w:r>
      <w:r>
        <w:rPr>
          <w:rFonts w:asciiTheme="minorHAnsi" w:hAnsiTheme="minorHAnsi" w:cstheme="minorHAnsi"/>
        </w:rPr>
        <w:t xml:space="preserve"> During the Theory of Change workshop, staff from the department also acknowledged that the department was not</w:t>
      </w:r>
      <w:r w:rsidR="00170E94">
        <w:rPr>
          <w:rFonts w:asciiTheme="minorHAnsi" w:hAnsiTheme="minorHAnsi" w:cstheme="minorHAnsi"/>
        </w:rPr>
        <w:t xml:space="preserve"> currently</w:t>
      </w:r>
      <w:r>
        <w:rPr>
          <w:rFonts w:asciiTheme="minorHAnsi" w:hAnsiTheme="minorHAnsi" w:cstheme="minorHAnsi"/>
        </w:rPr>
        <w:t xml:space="preserve"> in a position to effectively absorb technical assistance. </w:t>
      </w:r>
    </w:p>
    <w:p w:rsidR="00695991" w:rsidRDefault="00695991" w:rsidP="001077C5">
      <w:pPr>
        <w:rPr>
          <w:rFonts w:asciiTheme="minorHAnsi" w:hAnsiTheme="minorHAnsi" w:cstheme="minorHAnsi"/>
        </w:rPr>
      </w:pPr>
    </w:p>
    <w:p w:rsidR="00B37C5F" w:rsidRDefault="001077C5" w:rsidP="00C37B35">
      <w:pPr>
        <w:rPr>
          <w:rFonts w:asciiTheme="minorHAnsi" w:hAnsiTheme="minorHAnsi" w:cstheme="minorHAnsi"/>
        </w:rPr>
      </w:pPr>
      <w:r>
        <w:rPr>
          <w:rFonts w:asciiTheme="minorHAnsi" w:hAnsiTheme="minorHAnsi" w:cstheme="minorHAnsi"/>
        </w:rPr>
        <w:t>AusAID will undertake a more detailed assessment of the sector, including through discussions with relevant stakeholders such as the Tonga Chamber of Commerce and MoR/ MoFNP, to identify priority needs and the range of options available for delivering Australia’s aid in this sector.</w:t>
      </w:r>
      <w:r w:rsidR="00C37B35">
        <w:rPr>
          <w:rFonts w:asciiTheme="minorHAnsi" w:hAnsiTheme="minorHAnsi" w:cstheme="minorHAnsi"/>
        </w:rPr>
        <w:t xml:space="preserve"> Should further technical assistance be considered, AusAID will assess the need for a package of support to ensure there is the critical mass required to effect change.</w:t>
      </w:r>
      <w:r w:rsidR="00B37C5F">
        <w:rPr>
          <w:rFonts w:asciiTheme="minorHAnsi" w:hAnsiTheme="minorHAnsi" w:cstheme="minorHAnsi"/>
        </w:rPr>
        <w:t xml:space="preserve"> AusAID may need to provide ongoing support to ensure that capacity building is sustained in the longer term. </w:t>
      </w:r>
    </w:p>
    <w:p w:rsidR="00B37C5F" w:rsidRDefault="00B37C5F" w:rsidP="00C37B35">
      <w:pPr>
        <w:rPr>
          <w:rFonts w:asciiTheme="minorHAnsi" w:hAnsiTheme="minorHAnsi" w:cstheme="minorHAnsi"/>
        </w:rPr>
      </w:pPr>
    </w:p>
    <w:p w:rsidR="00C37B35" w:rsidRDefault="00C37B35" w:rsidP="00C37B35">
      <w:pPr>
        <w:rPr>
          <w:rFonts w:asciiTheme="minorHAnsi" w:hAnsiTheme="minorHAnsi" w:cstheme="minorHAnsi"/>
        </w:rPr>
      </w:pPr>
      <w:r>
        <w:rPr>
          <w:rFonts w:asciiTheme="minorHAnsi" w:hAnsiTheme="minorHAnsi" w:cstheme="minorHAnsi"/>
        </w:rPr>
        <w:t xml:space="preserve">In the interim, AusAID will support the upgrade of the Statistics Department’s PC/trade system with a view to improving the macro-economic environment and fiscal management (as identified under the GoT’s TSDF). This system is used extensively by government agencies, including the MoFNP and NRBT, for economic analysis and forecasting. </w:t>
      </w:r>
    </w:p>
    <w:p w:rsidR="001077C5" w:rsidRDefault="001077C5" w:rsidP="004F6F43">
      <w:pPr>
        <w:pStyle w:val="Heading3"/>
        <w:spacing w:after="240"/>
      </w:pPr>
      <w:bookmarkStart w:id="19" w:name="_Toc356389374"/>
      <w:r>
        <w:t>Outcome 3: Business enabling environment</w:t>
      </w:r>
      <w:bookmarkEnd w:id="19"/>
    </w:p>
    <w:p w:rsidR="001077C5" w:rsidRPr="000714D9" w:rsidRDefault="00C32B79" w:rsidP="001077C5">
      <w:pPr>
        <w:rPr>
          <w:rFonts w:asciiTheme="minorHAnsi" w:hAnsiTheme="minorHAnsi" w:cstheme="minorHAnsi"/>
        </w:rPr>
      </w:pPr>
      <w:r w:rsidRPr="00833E88">
        <w:rPr>
          <w:rFonts w:asciiTheme="minorHAnsi" w:hAnsiTheme="minorHAnsi" w:cstheme="minorHAnsi"/>
        </w:rPr>
        <w:t xml:space="preserve">Australia </w:t>
      </w:r>
      <w:r w:rsidR="00E660FD" w:rsidRPr="00833E88">
        <w:rPr>
          <w:rFonts w:asciiTheme="minorHAnsi" w:hAnsiTheme="minorHAnsi" w:cstheme="minorHAnsi"/>
        </w:rPr>
        <w:t xml:space="preserve">will support GoT efforts to implement </w:t>
      </w:r>
      <w:r w:rsidR="001077C5" w:rsidRPr="00833E88">
        <w:rPr>
          <w:rFonts w:asciiTheme="minorHAnsi" w:hAnsiTheme="minorHAnsi" w:cstheme="minorHAnsi"/>
        </w:rPr>
        <w:t>a number of public enterprise reform</w:t>
      </w:r>
      <w:r w:rsidR="00E660FD" w:rsidRPr="00833E88">
        <w:rPr>
          <w:rFonts w:asciiTheme="minorHAnsi" w:hAnsiTheme="minorHAnsi" w:cstheme="minorHAnsi"/>
        </w:rPr>
        <w:t>s</w:t>
      </w:r>
      <w:r w:rsidR="00833E88" w:rsidRPr="00833E88">
        <w:rPr>
          <w:rFonts w:asciiTheme="minorHAnsi" w:hAnsiTheme="minorHAnsi" w:cstheme="minorHAnsi"/>
        </w:rPr>
        <w:t xml:space="preserve"> </w:t>
      </w:r>
      <w:r w:rsidR="00833E88">
        <w:rPr>
          <w:rFonts w:asciiTheme="minorHAnsi" w:hAnsiTheme="minorHAnsi" w:cstheme="minorHAnsi"/>
        </w:rPr>
        <w:t>t</w:t>
      </w:r>
      <w:r w:rsidR="00833E88" w:rsidRPr="00833E88">
        <w:rPr>
          <w:rFonts w:asciiTheme="minorHAnsi" w:hAnsiTheme="minorHAnsi" w:cstheme="minorHAnsi"/>
        </w:rPr>
        <w:t>hrough the provision of conditional and targeted</w:t>
      </w:r>
      <w:r w:rsidR="00DE428B">
        <w:rPr>
          <w:rFonts w:asciiTheme="minorHAnsi" w:hAnsiTheme="minorHAnsi" w:cstheme="minorHAnsi"/>
        </w:rPr>
        <w:t xml:space="preserve"> budget support</w:t>
      </w:r>
      <w:r w:rsidR="00833E88" w:rsidRPr="00833E88">
        <w:rPr>
          <w:rFonts w:asciiTheme="minorHAnsi" w:hAnsiTheme="minorHAnsi" w:cstheme="minorHAnsi"/>
        </w:rPr>
        <w:t xml:space="preserve"> tied to the Policy Reform M</w:t>
      </w:r>
      <w:r w:rsidR="00833E88">
        <w:rPr>
          <w:rFonts w:asciiTheme="minorHAnsi" w:hAnsiTheme="minorHAnsi" w:cstheme="minorHAnsi"/>
        </w:rPr>
        <w:t>atrix.</w:t>
      </w:r>
      <w:r w:rsidR="00E660FD" w:rsidRPr="00833E88">
        <w:rPr>
          <w:rFonts w:asciiTheme="minorHAnsi" w:hAnsiTheme="minorHAnsi" w:cstheme="minorHAnsi"/>
        </w:rPr>
        <w:t xml:space="preserve"> These include </w:t>
      </w:r>
      <w:r w:rsidR="00833E88">
        <w:rPr>
          <w:rFonts w:asciiTheme="minorHAnsi" w:hAnsiTheme="minorHAnsi" w:cstheme="minorHAnsi"/>
        </w:rPr>
        <w:t>reforms aimed at</w:t>
      </w:r>
      <w:r w:rsidR="00E660FD" w:rsidRPr="00833E88">
        <w:rPr>
          <w:rFonts w:asciiTheme="minorHAnsi" w:hAnsiTheme="minorHAnsi" w:cstheme="minorHAnsi"/>
        </w:rPr>
        <w:t xml:space="preserve"> </w:t>
      </w:r>
      <w:r w:rsidR="001077C5" w:rsidRPr="00833E88">
        <w:rPr>
          <w:rFonts w:asciiTheme="minorHAnsi" w:hAnsiTheme="minorHAnsi" w:cstheme="minorHAnsi"/>
        </w:rPr>
        <w:t>restructur</w:t>
      </w:r>
      <w:r w:rsidR="00653D39">
        <w:rPr>
          <w:rFonts w:asciiTheme="minorHAnsi" w:hAnsiTheme="minorHAnsi" w:cstheme="minorHAnsi"/>
        </w:rPr>
        <w:t>ing</w:t>
      </w:r>
      <w:r w:rsidR="001077C5" w:rsidRPr="00833E88">
        <w:rPr>
          <w:rFonts w:asciiTheme="minorHAnsi" w:hAnsiTheme="minorHAnsi" w:cstheme="minorHAnsi"/>
        </w:rPr>
        <w:t xml:space="preserve"> inefficient SOEs and </w:t>
      </w:r>
      <w:r w:rsidR="00DE428B">
        <w:rPr>
          <w:rFonts w:asciiTheme="minorHAnsi" w:hAnsiTheme="minorHAnsi" w:cstheme="minorHAnsi"/>
        </w:rPr>
        <w:t>at</w:t>
      </w:r>
      <w:r w:rsidR="00653D39">
        <w:rPr>
          <w:rFonts w:asciiTheme="minorHAnsi" w:hAnsiTheme="minorHAnsi" w:cstheme="minorHAnsi"/>
        </w:rPr>
        <w:t xml:space="preserve"> improving</w:t>
      </w:r>
      <w:r w:rsidR="00E660FD" w:rsidRPr="00833E88">
        <w:rPr>
          <w:rFonts w:asciiTheme="minorHAnsi" w:hAnsiTheme="minorHAnsi" w:cstheme="minorHAnsi"/>
        </w:rPr>
        <w:t xml:space="preserve"> </w:t>
      </w:r>
      <w:r w:rsidR="001077C5" w:rsidRPr="00833E88">
        <w:rPr>
          <w:rFonts w:asciiTheme="minorHAnsi" w:hAnsiTheme="minorHAnsi" w:cstheme="minorHAnsi"/>
        </w:rPr>
        <w:t xml:space="preserve">compliance with the Public Enterprise Act. Successfully implementing these reforms will allow some public expenditure to be redirected to TSDF priorities whilst other savings will be used to reduce public debt. </w:t>
      </w:r>
    </w:p>
    <w:p w:rsidR="001077C5" w:rsidRPr="000714D9" w:rsidRDefault="001077C5" w:rsidP="001077C5">
      <w:pPr>
        <w:rPr>
          <w:rFonts w:asciiTheme="minorHAnsi" w:hAnsiTheme="minorHAnsi" w:cstheme="minorHAnsi"/>
        </w:rPr>
      </w:pPr>
    </w:p>
    <w:p w:rsidR="00C32B79" w:rsidRDefault="001077C5" w:rsidP="00C32B79">
      <w:pPr>
        <w:rPr>
          <w:rFonts w:asciiTheme="minorHAnsi" w:hAnsiTheme="minorHAnsi" w:cstheme="minorHAnsi"/>
          <w:lang w:val="en-GB"/>
        </w:rPr>
      </w:pPr>
      <w:r w:rsidRPr="000714D9">
        <w:rPr>
          <w:rFonts w:asciiTheme="minorHAnsi" w:hAnsiTheme="minorHAnsi" w:cstheme="minorHAnsi"/>
        </w:rPr>
        <w:t>Through the Policy Reform Matrix, Australia will also support actions to strengthen the private sector, including reducing the time and costs required to start a business, and creating a level playing field for private business through an appropriate competition policy. This work will be complemented by other Australian Aid programs including regional initiatives to stimulate trade (</w:t>
      </w:r>
      <w:r w:rsidRPr="000714D9">
        <w:rPr>
          <w:rFonts w:asciiTheme="minorHAnsi" w:hAnsiTheme="minorHAnsi" w:cstheme="minorHAnsi"/>
          <w:i/>
        </w:rPr>
        <w:t>e.g</w:t>
      </w:r>
      <w:r w:rsidRPr="000714D9">
        <w:rPr>
          <w:rFonts w:asciiTheme="minorHAnsi" w:hAnsiTheme="minorHAnsi" w:cstheme="minorHAnsi"/>
        </w:rPr>
        <w:t xml:space="preserve">. the Pacific Horticultural and Agricultural Market Access program). </w:t>
      </w:r>
      <w:r w:rsidR="00C32B79" w:rsidRPr="00C415C7">
        <w:rPr>
          <w:rFonts w:asciiTheme="minorHAnsi" w:hAnsiTheme="minorHAnsi" w:cstheme="minorHAnsi"/>
          <w:lang w:val="en-GB"/>
        </w:rPr>
        <w:t xml:space="preserve">AusAID </w:t>
      </w:r>
      <w:r w:rsidR="00E660FD">
        <w:rPr>
          <w:rFonts w:asciiTheme="minorHAnsi" w:hAnsiTheme="minorHAnsi" w:cstheme="minorHAnsi"/>
          <w:lang w:val="en-GB"/>
        </w:rPr>
        <w:t xml:space="preserve">will </w:t>
      </w:r>
      <w:r w:rsidR="00653D39">
        <w:rPr>
          <w:rFonts w:asciiTheme="minorHAnsi" w:hAnsiTheme="minorHAnsi" w:cstheme="minorHAnsi"/>
          <w:lang w:val="en-GB"/>
        </w:rPr>
        <w:t xml:space="preserve">also </w:t>
      </w:r>
      <w:r w:rsidR="00E660FD">
        <w:rPr>
          <w:rFonts w:asciiTheme="minorHAnsi" w:hAnsiTheme="minorHAnsi" w:cstheme="minorHAnsi"/>
          <w:lang w:val="en-GB"/>
        </w:rPr>
        <w:t xml:space="preserve">continue to provide support </w:t>
      </w:r>
      <w:r w:rsidR="00C32B79" w:rsidRPr="00C415C7">
        <w:rPr>
          <w:rFonts w:asciiTheme="minorHAnsi" w:hAnsiTheme="minorHAnsi" w:cstheme="minorHAnsi"/>
          <w:lang w:val="en-GB"/>
        </w:rPr>
        <w:t>to the ADB’s Private Sector Development Initiative</w:t>
      </w:r>
      <w:r w:rsidR="00E660FD">
        <w:rPr>
          <w:rFonts w:asciiTheme="minorHAnsi" w:hAnsiTheme="minorHAnsi" w:cstheme="minorHAnsi"/>
          <w:lang w:val="en-GB"/>
        </w:rPr>
        <w:t>,</w:t>
      </w:r>
      <w:r w:rsidR="00C32B79" w:rsidRPr="00C415C7">
        <w:rPr>
          <w:rFonts w:asciiTheme="minorHAnsi" w:hAnsiTheme="minorHAnsi" w:cstheme="minorHAnsi"/>
          <w:lang w:val="en-GB"/>
        </w:rPr>
        <w:t xml:space="preserve"> which aims</w:t>
      </w:r>
      <w:r w:rsidR="00C32B79">
        <w:rPr>
          <w:rFonts w:asciiTheme="minorHAnsi" w:hAnsiTheme="minorHAnsi" w:cstheme="minorHAnsi"/>
          <w:lang w:val="en-GB"/>
        </w:rPr>
        <w:t xml:space="preserve"> </w:t>
      </w:r>
      <w:r w:rsidR="00E660FD">
        <w:rPr>
          <w:rFonts w:asciiTheme="minorHAnsi" w:hAnsiTheme="minorHAnsi" w:cstheme="minorHAnsi"/>
          <w:lang w:val="en-GB"/>
        </w:rPr>
        <w:t>to alleviate poverty in the Pacific region by promoting private sector-led growth.</w:t>
      </w:r>
    </w:p>
    <w:p w:rsidR="001077C5" w:rsidRDefault="001077C5" w:rsidP="004F6F43">
      <w:pPr>
        <w:pStyle w:val="Heading3"/>
        <w:spacing w:after="240"/>
      </w:pPr>
      <w:bookmarkStart w:id="20" w:name="_Toc356389375"/>
      <w:r>
        <w:t>Outcome 4: Effective aid through alignment, harmonisation and mutual accountability</w:t>
      </w:r>
      <w:bookmarkEnd w:id="20"/>
    </w:p>
    <w:p w:rsidR="00414463" w:rsidRDefault="001077C5" w:rsidP="007F26B5">
      <w:pPr>
        <w:rPr>
          <w:rFonts w:asciiTheme="minorHAnsi" w:hAnsiTheme="minorHAnsi" w:cstheme="minorHAnsi"/>
        </w:rPr>
      </w:pPr>
      <w:r w:rsidRPr="0059682E">
        <w:rPr>
          <w:rFonts w:asciiTheme="minorHAnsi" w:hAnsiTheme="minorHAnsi" w:cstheme="minorHAnsi"/>
        </w:rPr>
        <w:t>Australia will c</w:t>
      </w:r>
      <w:r w:rsidR="006E7E2E">
        <w:rPr>
          <w:rFonts w:asciiTheme="minorHAnsi" w:hAnsiTheme="minorHAnsi" w:cstheme="minorHAnsi"/>
        </w:rPr>
        <w:t>ontinue to support and use the j</w:t>
      </w:r>
      <w:r w:rsidRPr="0059682E">
        <w:rPr>
          <w:rFonts w:asciiTheme="minorHAnsi" w:hAnsiTheme="minorHAnsi" w:cstheme="minorHAnsi"/>
        </w:rPr>
        <w:t xml:space="preserve">oint Policy Reform Matrix to drive harmonised support for on-going PFM and EPSG reforms identified in the PFM Roadmap and GoT agency </w:t>
      </w:r>
      <w:r w:rsidR="005162C0">
        <w:rPr>
          <w:rFonts w:asciiTheme="minorHAnsi" w:hAnsiTheme="minorHAnsi" w:cstheme="minorHAnsi"/>
        </w:rPr>
        <w:t>C</w:t>
      </w:r>
      <w:r w:rsidRPr="0059682E">
        <w:rPr>
          <w:rFonts w:asciiTheme="minorHAnsi" w:hAnsiTheme="minorHAnsi" w:cstheme="minorHAnsi"/>
        </w:rPr>
        <w:t xml:space="preserve">orporate </w:t>
      </w:r>
      <w:r w:rsidR="005162C0">
        <w:rPr>
          <w:rFonts w:asciiTheme="minorHAnsi" w:hAnsiTheme="minorHAnsi" w:cstheme="minorHAnsi"/>
        </w:rPr>
        <w:t>P</w:t>
      </w:r>
      <w:r w:rsidRPr="0059682E">
        <w:rPr>
          <w:rFonts w:asciiTheme="minorHAnsi" w:hAnsiTheme="minorHAnsi" w:cstheme="minorHAnsi"/>
        </w:rPr>
        <w:t>lans.</w:t>
      </w:r>
      <w:r w:rsidR="0048012A">
        <w:rPr>
          <w:rFonts w:asciiTheme="minorHAnsi" w:hAnsiTheme="minorHAnsi" w:cstheme="minorHAnsi"/>
        </w:rPr>
        <w:t xml:space="preserve"> This will avoid unnecessary duplication in the provision of technical assistance. </w:t>
      </w:r>
      <w:r w:rsidRPr="0059682E">
        <w:rPr>
          <w:rFonts w:asciiTheme="minorHAnsi" w:hAnsiTheme="minorHAnsi" w:cstheme="minorHAnsi"/>
        </w:rPr>
        <w:t xml:space="preserve">As relationships mature, partnership principles will become more </w:t>
      </w:r>
      <w:r w:rsidR="002F03E9">
        <w:rPr>
          <w:rFonts w:asciiTheme="minorHAnsi" w:hAnsiTheme="minorHAnsi" w:cstheme="minorHAnsi"/>
        </w:rPr>
        <w:t>entrenched</w:t>
      </w:r>
      <w:r w:rsidRPr="0059682E">
        <w:rPr>
          <w:rFonts w:asciiTheme="minorHAnsi" w:hAnsiTheme="minorHAnsi" w:cstheme="minorHAnsi"/>
        </w:rPr>
        <w:t xml:space="preserve">. True partnership and policy dialogue will be informed by a shared body of evidence for mutual accountability. </w:t>
      </w:r>
      <w:r w:rsidRPr="002A03E8">
        <w:rPr>
          <w:rFonts w:asciiTheme="minorHAnsi" w:hAnsiTheme="minorHAnsi" w:cstheme="minorHAnsi"/>
        </w:rPr>
        <w:t xml:space="preserve">The information for mutual accountability will come from strengthened EPSG monitoring systems </w:t>
      </w:r>
      <w:r w:rsidR="00414463">
        <w:rPr>
          <w:rFonts w:asciiTheme="minorHAnsi" w:hAnsiTheme="minorHAnsi" w:cstheme="minorHAnsi"/>
        </w:rPr>
        <w:t>(</w:t>
      </w:r>
      <w:r w:rsidRPr="002A03E8">
        <w:rPr>
          <w:rFonts w:asciiTheme="minorHAnsi" w:hAnsiTheme="minorHAnsi" w:cstheme="minorHAnsi"/>
        </w:rPr>
        <w:t>in MoFNP, MoR</w:t>
      </w:r>
      <w:r w:rsidR="00414463">
        <w:rPr>
          <w:rFonts w:asciiTheme="minorHAnsi" w:hAnsiTheme="minorHAnsi" w:cstheme="minorHAnsi"/>
        </w:rPr>
        <w:t xml:space="preserve">, </w:t>
      </w:r>
      <w:r w:rsidRPr="002A03E8">
        <w:rPr>
          <w:rFonts w:asciiTheme="minorHAnsi" w:hAnsiTheme="minorHAnsi" w:cstheme="minorHAnsi"/>
        </w:rPr>
        <w:t>PSC</w:t>
      </w:r>
      <w:r w:rsidR="004E3DAD">
        <w:rPr>
          <w:rFonts w:asciiTheme="minorHAnsi" w:hAnsiTheme="minorHAnsi" w:cstheme="minorHAnsi"/>
        </w:rPr>
        <w:t xml:space="preserve"> </w:t>
      </w:r>
      <w:r w:rsidR="00414463">
        <w:rPr>
          <w:rFonts w:asciiTheme="minorHAnsi" w:hAnsiTheme="minorHAnsi" w:cstheme="minorHAnsi"/>
        </w:rPr>
        <w:t>and the Audit Office)</w:t>
      </w:r>
      <w:r w:rsidRPr="002A03E8">
        <w:rPr>
          <w:rFonts w:asciiTheme="minorHAnsi" w:hAnsiTheme="minorHAnsi" w:cstheme="minorHAnsi"/>
        </w:rPr>
        <w:t xml:space="preserve"> supported by data collection, analysis and reporting by the Statistics Department.  </w:t>
      </w:r>
      <w:r w:rsidR="00414463">
        <w:rPr>
          <w:rFonts w:asciiTheme="minorHAnsi" w:hAnsiTheme="minorHAnsi" w:cstheme="minorHAnsi"/>
        </w:rPr>
        <w:t>In the context of providing greater m</w:t>
      </w:r>
      <w:r w:rsidR="00B04B46">
        <w:rPr>
          <w:rFonts w:asciiTheme="minorHAnsi" w:hAnsiTheme="minorHAnsi" w:cstheme="minorHAnsi"/>
        </w:rPr>
        <w:t>utual accountability</w:t>
      </w:r>
      <w:r w:rsidR="00414463">
        <w:rPr>
          <w:rFonts w:asciiTheme="minorHAnsi" w:hAnsiTheme="minorHAnsi" w:cstheme="minorHAnsi"/>
        </w:rPr>
        <w:t xml:space="preserve">, </w:t>
      </w:r>
      <w:r w:rsidR="00B04B46">
        <w:rPr>
          <w:rFonts w:asciiTheme="minorHAnsi" w:hAnsiTheme="minorHAnsi" w:cstheme="minorHAnsi"/>
        </w:rPr>
        <w:t xml:space="preserve">the GoT </w:t>
      </w:r>
      <w:r w:rsidR="00414463">
        <w:rPr>
          <w:rFonts w:asciiTheme="minorHAnsi" w:hAnsiTheme="minorHAnsi" w:cstheme="minorHAnsi"/>
        </w:rPr>
        <w:t xml:space="preserve">will be required </w:t>
      </w:r>
      <w:r w:rsidR="00B04B46">
        <w:rPr>
          <w:rFonts w:asciiTheme="minorHAnsi" w:hAnsiTheme="minorHAnsi" w:cstheme="minorHAnsi"/>
        </w:rPr>
        <w:t>to produce timely acquittals and reporting on the use of AusAID funds.</w:t>
      </w:r>
      <w:r w:rsidR="00414463">
        <w:rPr>
          <w:rFonts w:asciiTheme="minorHAnsi" w:hAnsiTheme="minorHAnsi" w:cstheme="minorHAnsi"/>
        </w:rPr>
        <w:t xml:space="preserve"> AusAID will be required to ensure that budget forecasts, as well as pipeline plans and results, are communicated to the GoT in a timely and effective manner. </w:t>
      </w:r>
    </w:p>
    <w:p w:rsidR="00414463" w:rsidRDefault="00414463" w:rsidP="007F26B5">
      <w:pPr>
        <w:rPr>
          <w:rFonts w:asciiTheme="minorHAnsi" w:hAnsiTheme="minorHAnsi" w:cstheme="minorHAnsi"/>
        </w:rPr>
      </w:pPr>
    </w:p>
    <w:p w:rsidR="00470BE3" w:rsidRDefault="001077C5" w:rsidP="001077C5">
      <w:pPr>
        <w:rPr>
          <w:rFonts w:asciiTheme="minorHAnsi" w:hAnsiTheme="minorHAnsi" w:cstheme="minorHAnsi"/>
        </w:rPr>
      </w:pPr>
      <w:r w:rsidRPr="0059682E">
        <w:rPr>
          <w:rFonts w:asciiTheme="minorHAnsi" w:hAnsiTheme="minorHAnsi" w:cstheme="minorHAnsi"/>
        </w:rPr>
        <w:t xml:space="preserve">As partner agencies are ready to sustain change, Australia will support activities to improve the quality of monitoring information and how it is communicated to decision makers so that it is proactively used to sustain EPSG. </w:t>
      </w:r>
      <w:r w:rsidR="00470BE3">
        <w:rPr>
          <w:rFonts w:asciiTheme="minorHAnsi" w:hAnsiTheme="minorHAnsi" w:cstheme="minorHAnsi"/>
        </w:rPr>
        <w:t xml:space="preserve">This will include ensuring that </w:t>
      </w:r>
      <w:r w:rsidR="00470BE3" w:rsidRPr="00035EDD">
        <w:rPr>
          <w:rFonts w:asciiTheme="minorHAnsi" w:hAnsiTheme="minorHAnsi" w:cstheme="minorHAnsi"/>
          <w:lang w:val="en-GB"/>
        </w:rPr>
        <w:t xml:space="preserve">complex PFM and statistical information </w:t>
      </w:r>
      <w:r w:rsidR="00470BE3">
        <w:rPr>
          <w:rFonts w:asciiTheme="minorHAnsi" w:hAnsiTheme="minorHAnsi" w:cstheme="minorHAnsi"/>
          <w:lang w:val="en-GB"/>
        </w:rPr>
        <w:t>are communicated</w:t>
      </w:r>
      <w:r w:rsidR="00470BE3" w:rsidRPr="00035EDD">
        <w:rPr>
          <w:rFonts w:asciiTheme="minorHAnsi" w:hAnsiTheme="minorHAnsi" w:cstheme="minorHAnsi"/>
          <w:lang w:val="en-GB"/>
        </w:rPr>
        <w:t xml:space="preserve"> </w:t>
      </w:r>
      <w:r w:rsidR="00470BE3">
        <w:rPr>
          <w:rFonts w:asciiTheme="minorHAnsi" w:hAnsiTheme="minorHAnsi" w:cstheme="minorHAnsi"/>
        </w:rPr>
        <w:t>more effectively t</w:t>
      </w:r>
      <w:r w:rsidR="00470BE3" w:rsidRPr="00035EDD">
        <w:rPr>
          <w:rFonts w:asciiTheme="minorHAnsi" w:hAnsiTheme="minorHAnsi" w:cstheme="minorHAnsi"/>
          <w:lang w:val="en-GB"/>
        </w:rPr>
        <w:t>o senior decision makers in the Legislative Assembly and Cabinet</w:t>
      </w:r>
      <w:r w:rsidR="00470BE3">
        <w:rPr>
          <w:rFonts w:asciiTheme="minorHAnsi" w:hAnsiTheme="minorHAnsi" w:cstheme="minorHAnsi"/>
          <w:lang w:val="en-GB"/>
        </w:rPr>
        <w:t>.</w:t>
      </w:r>
    </w:p>
    <w:p w:rsidR="00A1589A" w:rsidRPr="00B147BA" w:rsidRDefault="00A1589A" w:rsidP="004F6F43">
      <w:pPr>
        <w:pStyle w:val="Heading3"/>
        <w:spacing w:after="240"/>
      </w:pPr>
      <w:bookmarkStart w:id="21" w:name="_Toc356389376"/>
      <w:r w:rsidRPr="00B147BA">
        <w:t>Political governance</w:t>
      </w:r>
      <w:bookmarkEnd w:id="21"/>
    </w:p>
    <w:p w:rsidR="001077C5" w:rsidRPr="00032CA8" w:rsidRDefault="00ED20B2" w:rsidP="001077C5">
      <w:r>
        <w:rPr>
          <w:rFonts w:asciiTheme="minorHAnsi" w:hAnsiTheme="minorHAnsi" w:cstheme="minorHAnsi"/>
        </w:rPr>
        <w:t xml:space="preserve">In addition to </w:t>
      </w:r>
      <w:r w:rsidR="00E95733">
        <w:rPr>
          <w:rFonts w:asciiTheme="minorHAnsi" w:hAnsiTheme="minorHAnsi" w:cstheme="minorHAnsi"/>
        </w:rPr>
        <w:t xml:space="preserve">delivering </w:t>
      </w:r>
      <w:r>
        <w:rPr>
          <w:rFonts w:asciiTheme="minorHAnsi" w:hAnsiTheme="minorHAnsi" w:cstheme="minorHAnsi"/>
        </w:rPr>
        <w:t xml:space="preserve">support for economic and public sector reforms, under </w:t>
      </w:r>
      <w:r w:rsidR="00E95733">
        <w:rPr>
          <w:rFonts w:asciiTheme="minorHAnsi" w:hAnsiTheme="minorHAnsi" w:cstheme="minorHAnsi"/>
        </w:rPr>
        <w:t xml:space="preserve">the Partnership for Development </w:t>
      </w:r>
      <w:r>
        <w:rPr>
          <w:rFonts w:asciiTheme="minorHAnsi" w:hAnsiTheme="minorHAnsi" w:cstheme="minorHAnsi"/>
        </w:rPr>
        <w:t>Priority Outcome One, Australia will also provide assistance to improve Tonga’s politica</w:t>
      </w:r>
      <w:r w:rsidR="00381640">
        <w:rPr>
          <w:rFonts w:asciiTheme="minorHAnsi" w:hAnsiTheme="minorHAnsi" w:cstheme="minorHAnsi"/>
        </w:rPr>
        <w:t>l and institutional environment.</w:t>
      </w:r>
      <w:r w:rsidR="00641D04">
        <w:rPr>
          <w:rFonts w:asciiTheme="minorHAnsi" w:hAnsiTheme="minorHAnsi" w:cstheme="minorHAnsi"/>
        </w:rPr>
        <w:t xml:space="preserve"> </w:t>
      </w:r>
      <w:r w:rsidR="00381640">
        <w:rPr>
          <w:rFonts w:asciiTheme="minorHAnsi" w:hAnsiTheme="minorHAnsi" w:cstheme="minorHAnsi"/>
        </w:rPr>
        <w:t xml:space="preserve">In 2013, </w:t>
      </w:r>
      <w:r w:rsidR="001077C5">
        <w:rPr>
          <w:rFonts w:asciiTheme="minorHAnsi" w:hAnsiTheme="minorHAnsi" w:cstheme="minorHAnsi"/>
        </w:rPr>
        <w:t>AusAID initiated a</w:t>
      </w:r>
      <w:r w:rsidR="00E95733">
        <w:rPr>
          <w:rFonts w:asciiTheme="minorHAnsi" w:hAnsiTheme="minorHAnsi" w:cstheme="minorHAnsi"/>
        </w:rPr>
        <w:t xml:space="preserve"> four-year</w:t>
      </w:r>
      <w:r w:rsidR="001077C5">
        <w:rPr>
          <w:rFonts w:asciiTheme="minorHAnsi" w:hAnsiTheme="minorHAnsi" w:cstheme="minorHAnsi"/>
        </w:rPr>
        <w:t xml:space="preserve"> governance strengthening program in collaboration with the UNDP and Australian Electoral Commission (AEC).</w:t>
      </w:r>
      <w:r w:rsidR="00641D04">
        <w:rPr>
          <w:rFonts w:asciiTheme="minorHAnsi" w:hAnsiTheme="minorHAnsi" w:cstheme="minorHAnsi"/>
        </w:rPr>
        <w:t xml:space="preserve"> </w:t>
      </w:r>
      <w:r w:rsidR="001077C5">
        <w:rPr>
          <w:rFonts w:asciiTheme="minorHAnsi" w:hAnsiTheme="minorHAnsi" w:cstheme="minorHAnsi"/>
        </w:rPr>
        <w:t xml:space="preserve">The program </w:t>
      </w:r>
      <w:r w:rsidR="00641D04">
        <w:rPr>
          <w:rFonts w:asciiTheme="minorHAnsi" w:hAnsiTheme="minorHAnsi" w:cstheme="minorHAnsi"/>
        </w:rPr>
        <w:t xml:space="preserve">has been developed in line with AusAID’s Effective Governance Thematic Strategy, seeking </w:t>
      </w:r>
      <w:r w:rsidR="001077C5">
        <w:rPr>
          <w:rFonts w:asciiTheme="minorHAnsi" w:hAnsiTheme="minorHAnsi" w:cstheme="minorHAnsi"/>
        </w:rPr>
        <w:t>to strengthen governance institutions and democratic processes so that they are transparent, accountable and responsive to citizens’ needs and interests.</w:t>
      </w:r>
      <w:r w:rsidR="00641D04">
        <w:rPr>
          <w:rFonts w:asciiTheme="minorHAnsi" w:hAnsiTheme="minorHAnsi" w:cstheme="minorHAnsi"/>
        </w:rPr>
        <w:t xml:space="preserve"> </w:t>
      </w:r>
      <w:r w:rsidR="001077C5">
        <w:rPr>
          <w:rFonts w:asciiTheme="minorHAnsi" w:hAnsiTheme="minorHAnsi" w:cstheme="minorHAnsi"/>
        </w:rPr>
        <w:t xml:space="preserve">The program has three components: (i) support to Parliament to strengthen the capacity of Parliamentarians for improved law making, representation and oversight; (ii) support to civil society organisations to deliver advocacy relating to good governance; and (iii) support to the Tonga Electoral Commission to manage and oversee transparent free and fair national and district elections. </w:t>
      </w:r>
      <w:r w:rsidR="00D64111">
        <w:rPr>
          <w:rFonts w:asciiTheme="minorHAnsi" w:hAnsiTheme="minorHAnsi" w:cstheme="minorHAnsi"/>
        </w:rPr>
        <w:t>T</w:t>
      </w:r>
      <w:r w:rsidR="00F27E5D">
        <w:rPr>
          <w:rFonts w:asciiTheme="minorHAnsi" w:hAnsiTheme="minorHAnsi" w:cstheme="minorHAnsi"/>
        </w:rPr>
        <w:t>onga’s new political environment provides</w:t>
      </w:r>
      <w:r w:rsidR="00D64111">
        <w:rPr>
          <w:rFonts w:asciiTheme="minorHAnsi" w:hAnsiTheme="minorHAnsi" w:cstheme="minorHAnsi"/>
        </w:rPr>
        <w:t xml:space="preserve"> a unique opportunity to strengthen democratic processes and </w:t>
      </w:r>
      <w:r w:rsidR="00F27E5D">
        <w:rPr>
          <w:rFonts w:asciiTheme="minorHAnsi" w:hAnsiTheme="minorHAnsi" w:cstheme="minorHAnsi"/>
        </w:rPr>
        <w:t xml:space="preserve">it is envisaged that this program will contribute </w:t>
      </w:r>
      <w:r w:rsidR="001077C5">
        <w:rPr>
          <w:rFonts w:asciiTheme="minorHAnsi" w:hAnsiTheme="minorHAnsi" w:cstheme="minorHAnsi"/>
        </w:rPr>
        <w:t xml:space="preserve">to a more accountable, </w:t>
      </w:r>
      <w:r w:rsidR="001077C5" w:rsidRPr="00032CA8">
        <w:rPr>
          <w:rFonts w:asciiTheme="minorHAnsi" w:hAnsiTheme="minorHAnsi" w:cstheme="minorHAnsi"/>
        </w:rPr>
        <w:t>responsive and effective government.</w:t>
      </w:r>
      <w:r w:rsidR="0095037D" w:rsidRPr="00032CA8">
        <w:rPr>
          <w:rFonts w:asciiTheme="minorHAnsi" w:hAnsiTheme="minorHAnsi" w:cstheme="minorHAnsi"/>
        </w:rPr>
        <w:t xml:space="preserve"> Through this Delivery Strategy, AusAID will work to ensure that political governance and economic and public sector governance reform programs are well aligned – particularly in relation to improving the links between policy advice from the public service to Ministers and increasing understanding of public financial management principles by MPs.</w:t>
      </w:r>
      <w:r w:rsidR="006D3316" w:rsidRPr="00032CA8">
        <w:rPr>
          <w:rFonts w:asciiTheme="minorHAnsi" w:hAnsiTheme="minorHAnsi" w:cstheme="minorHAnsi"/>
        </w:rPr>
        <w:t xml:space="preserve"> </w:t>
      </w:r>
    </w:p>
    <w:p w:rsidR="006B2A41" w:rsidRPr="00032CA8" w:rsidRDefault="006B2A41" w:rsidP="004F6F43"/>
    <w:p w:rsidR="004F6F43" w:rsidRPr="00032CA8" w:rsidRDefault="004F6F43" w:rsidP="004F6F43"/>
    <w:p w:rsidR="00BE642B" w:rsidRPr="00032CA8" w:rsidRDefault="00BE642B" w:rsidP="00A11CCA">
      <w:pPr>
        <w:pStyle w:val="Heading1"/>
        <w:numPr>
          <w:ilvl w:val="0"/>
          <w:numId w:val="6"/>
        </w:numPr>
        <w:spacing w:before="0" w:after="240" w:line="276" w:lineRule="auto"/>
        <w:jc w:val="left"/>
        <w:rPr>
          <w:sz w:val="24"/>
        </w:rPr>
      </w:pPr>
      <w:bookmarkStart w:id="22" w:name="_Toc356389377"/>
      <w:r w:rsidRPr="00032CA8">
        <w:rPr>
          <w:sz w:val="24"/>
        </w:rPr>
        <w:t>Strategy management</w:t>
      </w:r>
      <w:bookmarkEnd w:id="22"/>
    </w:p>
    <w:p w:rsidR="0016286C" w:rsidRPr="00032CA8" w:rsidRDefault="0016286C" w:rsidP="00A11CCA">
      <w:pPr>
        <w:pStyle w:val="Heading2"/>
        <w:numPr>
          <w:ilvl w:val="0"/>
          <w:numId w:val="7"/>
        </w:numPr>
        <w:spacing w:after="240"/>
        <w:rPr>
          <w:sz w:val="24"/>
        </w:rPr>
      </w:pPr>
      <w:bookmarkStart w:id="23" w:name="_Toc327917539"/>
      <w:bookmarkStart w:id="24" w:name="_Toc356389378"/>
      <w:r w:rsidRPr="00032CA8">
        <w:rPr>
          <w:sz w:val="24"/>
        </w:rPr>
        <w:t>Managing and coordinating the strategy and portfolio</w:t>
      </w:r>
      <w:bookmarkEnd w:id="23"/>
      <w:bookmarkEnd w:id="24"/>
    </w:p>
    <w:p w:rsidR="00030525" w:rsidRDefault="003D1677" w:rsidP="00C175B2">
      <w:pPr>
        <w:rPr>
          <w:rFonts w:asciiTheme="minorHAnsi" w:hAnsiTheme="minorHAnsi" w:cstheme="minorHAnsi"/>
        </w:rPr>
      </w:pPr>
      <w:r w:rsidRPr="00032CA8">
        <w:rPr>
          <w:rFonts w:asciiTheme="minorHAnsi" w:hAnsiTheme="minorHAnsi" w:cstheme="minorHAnsi"/>
        </w:rPr>
        <w:t>In 2012/13</w:t>
      </w:r>
      <w:r w:rsidR="00FC6596" w:rsidRPr="00032CA8">
        <w:rPr>
          <w:rFonts w:asciiTheme="minorHAnsi" w:hAnsiTheme="minorHAnsi" w:cstheme="minorHAnsi"/>
        </w:rPr>
        <w:t xml:space="preserve">, funding </w:t>
      </w:r>
      <w:r w:rsidRPr="00032CA8">
        <w:rPr>
          <w:rFonts w:asciiTheme="minorHAnsi" w:hAnsiTheme="minorHAnsi" w:cstheme="minorHAnsi"/>
        </w:rPr>
        <w:t>in support of economic and public sector reforms accounted</w:t>
      </w:r>
      <w:r w:rsidR="00FC6596" w:rsidRPr="00032CA8">
        <w:rPr>
          <w:rFonts w:asciiTheme="minorHAnsi" w:hAnsiTheme="minorHAnsi" w:cstheme="minorHAnsi"/>
        </w:rPr>
        <w:t xml:space="preserve"> for approximately </w:t>
      </w:r>
      <w:r w:rsidRPr="00032CA8">
        <w:rPr>
          <w:rFonts w:asciiTheme="minorHAnsi" w:hAnsiTheme="minorHAnsi" w:cstheme="minorHAnsi"/>
        </w:rPr>
        <w:t>52</w:t>
      </w:r>
      <w:r w:rsidR="00FC6596" w:rsidRPr="00032CA8">
        <w:rPr>
          <w:rFonts w:asciiTheme="minorHAnsi" w:hAnsiTheme="minorHAnsi" w:cstheme="minorHAnsi"/>
        </w:rPr>
        <w:t>% of the Tonga Program.</w:t>
      </w:r>
      <w:r w:rsidRPr="00032CA8">
        <w:rPr>
          <w:rFonts w:asciiTheme="minorHAnsi" w:hAnsiTheme="minorHAnsi" w:cstheme="minorHAnsi"/>
        </w:rPr>
        <w:t xml:space="preserve"> </w:t>
      </w:r>
      <w:r w:rsidR="000D04C0" w:rsidRPr="00032CA8">
        <w:rPr>
          <w:rFonts w:asciiTheme="minorHAnsi" w:hAnsiTheme="minorHAnsi" w:cstheme="minorHAnsi"/>
        </w:rPr>
        <w:t xml:space="preserve">This is not </w:t>
      </w:r>
      <w:r w:rsidR="00AD2E40" w:rsidRPr="00032CA8">
        <w:rPr>
          <w:rFonts w:asciiTheme="minorHAnsi" w:hAnsiTheme="minorHAnsi" w:cstheme="minorHAnsi"/>
        </w:rPr>
        <w:t>expect</w:t>
      </w:r>
      <w:r w:rsidR="000D04C0" w:rsidRPr="00032CA8">
        <w:rPr>
          <w:rFonts w:asciiTheme="minorHAnsi" w:hAnsiTheme="minorHAnsi" w:cstheme="minorHAnsi"/>
        </w:rPr>
        <w:t>ed</w:t>
      </w:r>
      <w:r w:rsidR="00AD2E40" w:rsidRPr="00032CA8">
        <w:rPr>
          <w:rFonts w:asciiTheme="minorHAnsi" w:hAnsiTheme="minorHAnsi" w:cstheme="minorHAnsi"/>
        </w:rPr>
        <w:t xml:space="preserve"> to vary significantly over the period of the </w:t>
      </w:r>
      <w:r w:rsidR="006E1D20" w:rsidRPr="00032CA8">
        <w:rPr>
          <w:rFonts w:asciiTheme="minorHAnsi" w:hAnsiTheme="minorHAnsi" w:cstheme="minorHAnsi"/>
        </w:rPr>
        <w:t>Delivery Strategy</w:t>
      </w:r>
      <w:r w:rsidR="00AD2E40" w:rsidRPr="00032CA8">
        <w:rPr>
          <w:rFonts w:asciiTheme="minorHAnsi" w:hAnsiTheme="minorHAnsi" w:cstheme="minorHAnsi"/>
        </w:rPr>
        <w:t xml:space="preserve">. </w:t>
      </w:r>
      <w:r w:rsidR="00D363D0" w:rsidRPr="00032CA8">
        <w:rPr>
          <w:rFonts w:asciiTheme="minorHAnsi" w:hAnsiTheme="minorHAnsi" w:cstheme="minorHAnsi"/>
        </w:rPr>
        <w:t>Over the next four years, it is proposed that a total budget of $</w:t>
      </w:r>
      <w:r w:rsidR="008F1E06" w:rsidRPr="00032CA8">
        <w:rPr>
          <w:rFonts w:asciiTheme="minorHAnsi" w:hAnsiTheme="minorHAnsi" w:cstheme="minorHAnsi"/>
        </w:rPr>
        <w:t>30</w:t>
      </w:r>
      <w:r w:rsidR="00D363D0" w:rsidRPr="00032CA8">
        <w:rPr>
          <w:rFonts w:asciiTheme="minorHAnsi" w:hAnsiTheme="minorHAnsi" w:cstheme="minorHAnsi"/>
        </w:rPr>
        <w:t xml:space="preserve"> million, </w:t>
      </w:r>
      <w:r w:rsidR="008F1E06" w:rsidRPr="00032CA8">
        <w:rPr>
          <w:rFonts w:asciiTheme="minorHAnsi" w:hAnsiTheme="minorHAnsi" w:cstheme="minorHAnsi"/>
        </w:rPr>
        <w:t>including:</w:t>
      </w:r>
      <w:r w:rsidR="00D363D0" w:rsidRPr="00032CA8">
        <w:rPr>
          <w:rFonts w:asciiTheme="minorHAnsi" w:hAnsiTheme="minorHAnsi" w:cstheme="minorHAnsi"/>
        </w:rPr>
        <w:t xml:space="preserve"> $6.5 million in TA and other capacity support programs,</w:t>
      </w:r>
      <w:r w:rsidR="008F1E06" w:rsidRPr="00032CA8">
        <w:rPr>
          <w:rFonts w:asciiTheme="minorHAnsi" w:hAnsiTheme="minorHAnsi" w:cstheme="minorHAnsi"/>
        </w:rPr>
        <w:t xml:space="preserve"> $3.5 million for a governance strengthening program; and</w:t>
      </w:r>
      <w:r w:rsidR="00D363D0" w:rsidRPr="00032CA8">
        <w:rPr>
          <w:rFonts w:asciiTheme="minorHAnsi" w:hAnsiTheme="minorHAnsi" w:cstheme="minorHAnsi"/>
        </w:rPr>
        <w:t xml:space="preserve"> $20 million in performance-linked aid, will be delivered under </w:t>
      </w:r>
      <w:r w:rsidR="00BF61D5" w:rsidRPr="00032CA8">
        <w:rPr>
          <w:rFonts w:asciiTheme="minorHAnsi" w:hAnsiTheme="minorHAnsi" w:cstheme="minorHAnsi"/>
        </w:rPr>
        <w:t xml:space="preserve">the </w:t>
      </w:r>
      <w:r w:rsidR="00D363D0" w:rsidRPr="00032CA8">
        <w:rPr>
          <w:rFonts w:asciiTheme="minorHAnsi" w:hAnsiTheme="minorHAnsi" w:cstheme="minorHAnsi"/>
        </w:rPr>
        <w:t xml:space="preserve">Partnership </w:t>
      </w:r>
      <w:r w:rsidR="00BF61D5" w:rsidRPr="00032CA8">
        <w:rPr>
          <w:rFonts w:asciiTheme="minorHAnsi" w:hAnsiTheme="minorHAnsi" w:cstheme="minorHAnsi"/>
        </w:rPr>
        <w:t xml:space="preserve">for Development Priority </w:t>
      </w:r>
      <w:r w:rsidR="00D363D0" w:rsidRPr="00032CA8">
        <w:rPr>
          <w:rFonts w:asciiTheme="minorHAnsi" w:hAnsiTheme="minorHAnsi" w:cstheme="minorHAnsi"/>
        </w:rPr>
        <w:t xml:space="preserve">Outcome One. </w:t>
      </w:r>
      <w:r w:rsidR="00C175B2" w:rsidRPr="00032CA8">
        <w:rPr>
          <w:rFonts w:asciiTheme="minorHAnsi" w:hAnsiTheme="minorHAnsi" w:cstheme="minorHAnsi"/>
        </w:rPr>
        <w:t xml:space="preserve">Development of </w:t>
      </w:r>
      <w:r w:rsidR="00030525" w:rsidRPr="00032CA8">
        <w:rPr>
          <w:rFonts w:asciiTheme="minorHAnsi" w:hAnsiTheme="minorHAnsi" w:cstheme="minorHAnsi"/>
        </w:rPr>
        <w:t xml:space="preserve">AusAID’s </w:t>
      </w:r>
      <w:r w:rsidR="00916982" w:rsidRPr="00032CA8">
        <w:rPr>
          <w:rFonts w:asciiTheme="minorHAnsi" w:hAnsiTheme="minorHAnsi" w:cstheme="minorHAnsi"/>
        </w:rPr>
        <w:t xml:space="preserve">future </w:t>
      </w:r>
      <w:r w:rsidR="00030525" w:rsidRPr="00032CA8">
        <w:rPr>
          <w:rFonts w:asciiTheme="minorHAnsi" w:hAnsiTheme="minorHAnsi" w:cstheme="minorHAnsi"/>
        </w:rPr>
        <w:t>budget support</w:t>
      </w:r>
      <w:r w:rsidR="00BF61D5" w:rsidRPr="00032CA8">
        <w:rPr>
          <w:rFonts w:asciiTheme="minorHAnsi" w:hAnsiTheme="minorHAnsi" w:cstheme="minorHAnsi"/>
        </w:rPr>
        <w:t xml:space="preserve"> program</w:t>
      </w:r>
      <w:r w:rsidR="00030525" w:rsidRPr="00032CA8">
        <w:rPr>
          <w:rFonts w:asciiTheme="minorHAnsi" w:hAnsiTheme="minorHAnsi" w:cstheme="minorHAnsi"/>
        </w:rPr>
        <w:t xml:space="preserve">, provided </w:t>
      </w:r>
      <w:r w:rsidR="00BF61D5" w:rsidRPr="00032CA8">
        <w:rPr>
          <w:rFonts w:asciiTheme="minorHAnsi" w:hAnsiTheme="minorHAnsi" w:cstheme="minorHAnsi"/>
        </w:rPr>
        <w:t>in the form of</w:t>
      </w:r>
      <w:r w:rsidR="00914EDA" w:rsidRPr="00032CA8">
        <w:rPr>
          <w:rFonts w:asciiTheme="minorHAnsi" w:hAnsiTheme="minorHAnsi" w:cstheme="minorHAnsi"/>
        </w:rPr>
        <w:t xml:space="preserve"> performance-linked aid, will be informed by the results of the internal review of Pacific Policy Matrices.</w:t>
      </w:r>
      <w:r w:rsidR="00C175B2" w:rsidRPr="00032CA8">
        <w:rPr>
          <w:rFonts w:asciiTheme="minorHAnsi" w:hAnsiTheme="minorHAnsi" w:cstheme="minorHAnsi"/>
        </w:rPr>
        <w:t xml:space="preserve"> It is </w:t>
      </w:r>
      <w:r w:rsidR="00AC26D9" w:rsidRPr="00032CA8">
        <w:rPr>
          <w:rFonts w:asciiTheme="minorHAnsi" w:hAnsiTheme="minorHAnsi" w:cstheme="minorHAnsi"/>
        </w:rPr>
        <w:t>expected</w:t>
      </w:r>
      <w:r w:rsidR="00C175B2" w:rsidRPr="00032CA8">
        <w:rPr>
          <w:rFonts w:asciiTheme="minorHAnsi" w:hAnsiTheme="minorHAnsi" w:cstheme="minorHAnsi"/>
        </w:rPr>
        <w:t xml:space="preserve"> that budget support will</w:t>
      </w:r>
      <w:r w:rsidRPr="00032CA8">
        <w:rPr>
          <w:rFonts w:asciiTheme="minorHAnsi" w:hAnsiTheme="minorHAnsi" w:cstheme="minorHAnsi"/>
        </w:rPr>
        <w:t xml:space="preserve"> remain constant at $5,000,000</w:t>
      </w:r>
      <w:r w:rsidR="005162C0" w:rsidRPr="00032CA8">
        <w:rPr>
          <w:rStyle w:val="FootnoteReference"/>
          <w:rFonts w:asciiTheme="minorHAnsi" w:hAnsiTheme="minorHAnsi" w:cstheme="minorHAnsi"/>
        </w:rPr>
        <w:footnoteReference w:id="6"/>
      </w:r>
      <w:r w:rsidR="00AD1D3D" w:rsidRPr="00032CA8">
        <w:rPr>
          <w:rFonts w:asciiTheme="minorHAnsi" w:hAnsiTheme="minorHAnsi" w:cstheme="minorHAnsi"/>
        </w:rPr>
        <w:t xml:space="preserve"> per year</w:t>
      </w:r>
      <w:r w:rsidRPr="00032CA8">
        <w:rPr>
          <w:rFonts w:asciiTheme="minorHAnsi" w:hAnsiTheme="minorHAnsi" w:cstheme="minorHAnsi"/>
        </w:rPr>
        <w:t xml:space="preserve"> (conditional on the GoT implementing</w:t>
      </w:r>
      <w:r>
        <w:rPr>
          <w:rFonts w:asciiTheme="minorHAnsi" w:hAnsiTheme="minorHAnsi" w:cstheme="minorHAnsi"/>
        </w:rPr>
        <w:t xml:space="preserve"> actions identified in the </w:t>
      </w:r>
      <w:r w:rsidR="006E7E2E">
        <w:rPr>
          <w:rFonts w:asciiTheme="minorHAnsi" w:hAnsiTheme="minorHAnsi" w:cstheme="minorHAnsi"/>
        </w:rPr>
        <w:t>j</w:t>
      </w:r>
      <w:r>
        <w:rPr>
          <w:rFonts w:asciiTheme="minorHAnsi" w:hAnsiTheme="minorHAnsi" w:cstheme="minorHAnsi"/>
        </w:rPr>
        <w:t>oint Policy Reform Matrix)</w:t>
      </w:r>
      <w:r w:rsidR="003F2C62">
        <w:rPr>
          <w:rFonts w:asciiTheme="minorHAnsi" w:hAnsiTheme="minorHAnsi" w:cstheme="minorHAnsi"/>
        </w:rPr>
        <w:t xml:space="preserve">. </w:t>
      </w:r>
      <w:bookmarkStart w:id="25" w:name="_Toc327917540"/>
    </w:p>
    <w:p w:rsidR="004D6FF3" w:rsidRPr="00030525" w:rsidRDefault="004D6FF3" w:rsidP="00A11CCA">
      <w:pPr>
        <w:pStyle w:val="Heading2"/>
        <w:numPr>
          <w:ilvl w:val="0"/>
          <w:numId w:val="7"/>
        </w:numPr>
        <w:spacing w:after="240"/>
        <w:rPr>
          <w:sz w:val="24"/>
        </w:rPr>
      </w:pPr>
      <w:bookmarkStart w:id="26" w:name="_Toc356389379"/>
      <w:r w:rsidRPr="00030525">
        <w:rPr>
          <w:sz w:val="24"/>
        </w:rPr>
        <w:t>Transition planning from the existing program to the new program</w:t>
      </w:r>
      <w:bookmarkEnd w:id="25"/>
      <w:bookmarkEnd w:id="26"/>
    </w:p>
    <w:p w:rsidR="00931EF0" w:rsidRDefault="0040031D" w:rsidP="0040031D">
      <w:pPr>
        <w:spacing w:after="240"/>
        <w:rPr>
          <w:rFonts w:ascii="Calibri" w:hAnsi="Calibri"/>
        </w:rPr>
      </w:pPr>
      <w:r>
        <w:rPr>
          <w:rFonts w:ascii="Calibri" w:hAnsi="Calibri"/>
        </w:rPr>
        <w:t xml:space="preserve">Key activities for this </w:t>
      </w:r>
      <w:r w:rsidR="006E1D20">
        <w:rPr>
          <w:rFonts w:ascii="Calibri" w:hAnsi="Calibri"/>
        </w:rPr>
        <w:t>Delivery Strategy</w:t>
      </w:r>
      <w:r w:rsidR="00931EF0">
        <w:rPr>
          <w:rFonts w:ascii="Calibri" w:hAnsi="Calibri"/>
        </w:rPr>
        <w:t>, including</w:t>
      </w:r>
      <w:r w:rsidR="00F32C62">
        <w:rPr>
          <w:rFonts w:ascii="Calibri" w:hAnsi="Calibri"/>
        </w:rPr>
        <w:t xml:space="preserve"> the provision of performance-linked aid and collaboration with donor partners (such as through the World Bank PF3 facility)</w:t>
      </w:r>
      <w:r w:rsidR="00931EF0">
        <w:rPr>
          <w:rFonts w:ascii="Calibri" w:hAnsi="Calibri"/>
        </w:rPr>
        <w:t>,</w:t>
      </w:r>
      <w:r w:rsidR="007D7310">
        <w:rPr>
          <w:rFonts w:ascii="Calibri" w:hAnsi="Calibri"/>
        </w:rPr>
        <w:t xml:space="preserve"> </w:t>
      </w:r>
      <w:r w:rsidR="00592DBC">
        <w:rPr>
          <w:rFonts w:ascii="Calibri" w:hAnsi="Calibri"/>
        </w:rPr>
        <w:t>are already in place</w:t>
      </w:r>
      <w:r w:rsidR="00931EF0">
        <w:rPr>
          <w:rFonts w:ascii="Calibri" w:hAnsi="Calibri"/>
        </w:rPr>
        <w:t xml:space="preserve"> and will enable an easy transition to the new program.</w:t>
      </w:r>
    </w:p>
    <w:p w:rsidR="009603A8" w:rsidRDefault="009603A8" w:rsidP="0040031D">
      <w:pPr>
        <w:spacing w:after="240"/>
        <w:rPr>
          <w:rFonts w:ascii="Calibri" w:hAnsi="Calibri"/>
        </w:rPr>
      </w:pPr>
      <w:r>
        <w:rPr>
          <w:rFonts w:ascii="Calibri" w:hAnsi="Calibri"/>
        </w:rPr>
        <w:t>It is possible that AusAID will continue to receive ad hoc requests from the GoT. These requests will be processed through the MoFNP’s PACC to ensure that they are managed strategically and in alignment with this Delivery Strategy (principles set out in Section 4.C). AusAID is prepared to refuse certain requests that are not aligned with GoT/AusAID priorities.</w:t>
      </w:r>
    </w:p>
    <w:p w:rsidR="00592DBC" w:rsidRDefault="00A43899" w:rsidP="0040031D">
      <w:pPr>
        <w:spacing w:after="240"/>
        <w:rPr>
          <w:rFonts w:ascii="Calibri" w:hAnsi="Calibri"/>
        </w:rPr>
      </w:pPr>
      <w:r>
        <w:rPr>
          <w:rFonts w:ascii="Calibri" w:hAnsi="Calibri"/>
        </w:rPr>
        <w:t>AusAID</w:t>
      </w:r>
      <w:r w:rsidR="00B84013">
        <w:rPr>
          <w:rFonts w:ascii="Calibri" w:hAnsi="Calibri"/>
        </w:rPr>
        <w:t xml:space="preserve">’s program of support for </w:t>
      </w:r>
      <w:r>
        <w:rPr>
          <w:rFonts w:ascii="Calibri" w:hAnsi="Calibri"/>
        </w:rPr>
        <w:t xml:space="preserve">an in-line adviser </w:t>
      </w:r>
      <w:r w:rsidR="007379F7">
        <w:rPr>
          <w:rFonts w:ascii="Calibri" w:hAnsi="Calibri"/>
        </w:rPr>
        <w:t xml:space="preserve">in </w:t>
      </w:r>
      <w:r>
        <w:rPr>
          <w:rFonts w:ascii="Calibri" w:hAnsi="Calibri"/>
        </w:rPr>
        <w:t xml:space="preserve">the </w:t>
      </w:r>
      <w:r w:rsidR="007379F7">
        <w:rPr>
          <w:rFonts w:ascii="Calibri" w:hAnsi="Calibri"/>
        </w:rPr>
        <w:t xml:space="preserve">position of </w:t>
      </w:r>
      <w:r>
        <w:rPr>
          <w:rFonts w:ascii="Calibri" w:hAnsi="Calibri"/>
        </w:rPr>
        <w:t xml:space="preserve">Head of Customs (Deputy Commissioner of Revenue) is due </w:t>
      </w:r>
      <w:r w:rsidR="007379F7">
        <w:rPr>
          <w:rFonts w:ascii="Calibri" w:hAnsi="Calibri"/>
        </w:rPr>
        <w:t>for completion</w:t>
      </w:r>
      <w:r>
        <w:rPr>
          <w:rFonts w:ascii="Calibri" w:hAnsi="Calibri"/>
        </w:rPr>
        <w:t xml:space="preserve"> in August 2013</w:t>
      </w:r>
      <w:r w:rsidR="00B84013">
        <w:rPr>
          <w:rFonts w:ascii="Calibri" w:hAnsi="Calibri"/>
        </w:rPr>
        <w:t xml:space="preserve">, after which the </w:t>
      </w:r>
      <w:r w:rsidR="007379F7">
        <w:rPr>
          <w:rFonts w:ascii="Calibri" w:hAnsi="Calibri"/>
        </w:rPr>
        <w:t xml:space="preserve">MoR will recruit </w:t>
      </w:r>
      <w:r w:rsidR="00B84013">
        <w:rPr>
          <w:rFonts w:ascii="Calibri" w:hAnsi="Calibri"/>
        </w:rPr>
        <w:t>for a local replacement</w:t>
      </w:r>
      <w:r w:rsidR="007379F7">
        <w:rPr>
          <w:rFonts w:ascii="Calibri" w:hAnsi="Calibri"/>
        </w:rPr>
        <w:t xml:space="preserve">. </w:t>
      </w:r>
      <w:r w:rsidR="00592DBC">
        <w:rPr>
          <w:rFonts w:ascii="Calibri" w:hAnsi="Calibri"/>
        </w:rPr>
        <w:t xml:space="preserve">AusAID will </w:t>
      </w:r>
      <w:r w:rsidR="007379F7">
        <w:rPr>
          <w:rFonts w:ascii="Calibri" w:hAnsi="Calibri"/>
        </w:rPr>
        <w:t xml:space="preserve">assist in this transition </w:t>
      </w:r>
      <w:r w:rsidR="00B84013">
        <w:rPr>
          <w:rFonts w:ascii="Calibri" w:hAnsi="Calibri"/>
        </w:rPr>
        <w:t>by providing technical advisory support to the new Head of Customs</w:t>
      </w:r>
      <w:r w:rsidR="007379F7">
        <w:rPr>
          <w:rFonts w:ascii="Calibri" w:hAnsi="Calibri"/>
        </w:rPr>
        <w:t xml:space="preserve"> for a period of</w:t>
      </w:r>
      <w:r w:rsidR="00FA0664">
        <w:rPr>
          <w:rFonts w:ascii="Calibri" w:hAnsi="Calibri"/>
        </w:rPr>
        <w:t xml:space="preserve"> six to twelve months.</w:t>
      </w:r>
      <w:r w:rsidR="009D6F03">
        <w:rPr>
          <w:rFonts w:ascii="Calibri" w:hAnsi="Calibri"/>
        </w:rPr>
        <w:t xml:space="preserve"> </w:t>
      </w:r>
    </w:p>
    <w:p w:rsidR="00AA68AA" w:rsidRDefault="00D02EA5" w:rsidP="0040031D">
      <w:pPr>
        <w:spacing w:after="240"/>
        <w:rPr>
          <w:rFonts w:ascii="Calibri" w:hAnsi="Calibri"/>
        </w:rPr>
      </w:pPr>
      <w:r>
        <w:rPr>
          <w:rFonts w:ascii="Calibri" w:hAnsi="Calibri"/>
        </w:rPr>
        <w:t>A</w:t>
      </w:r>
      <w:r w:rsidR="00AA68AA">
        <w:rPr>
          <w:rFonts w:ascii="Calibri" w:hAnsi="Calibri"/>
        </w:rPr>
        <w:t xml:space="preserve"> key </w:t>
      </w:r>
      <w:r>
        <w:rPr>
          <w:rFonts w:ascii="Calibri" w:hAnsi="Calibri"/>
        </w:rPr>
        <w:t>change</w:t>
      </w:r>
      <w:r w:rsidR="00D45BA8">
        <w:rPr>
          <w:rFonts w:ascii="Calibri" w:hAnsi="Calibri"/>
        </w:rPr>
        <w:t xml:space="preserve"> for the Tonga Program</w:t>
      </w:r>
      <w:r>
        <w:rPr>
          <w:rFonts w:ascii="Calibri" w:hAnsi="Calibri"/>
        </w:rPr>
        <w:t xml:space="preserve"> will be the consolidation of </w:t>
      </w:r>
      <w:r w:rsidR="002C5D6C">
        <w:rPr>
          <w:rFonts w:ascii="Calibri" w:hAnsi="Calibri"/>
        </w:rPr>
        <w:t>six initiatives</w:t>
      </w:r>
      <w:r w:rsidR="00CE64BF">
        <w:rPr>
          <w:rFonts w:ascii="Calibri" w:hAnsi="Calibri"/>
        </w:rPr>
        <w:t xml:space="preserve"> in 2013</w:t>
      </w:r>
      <w:r>
        <w:rPr>
          <w:rFonts w:ascii="Calibri" w:hAnsi="Calibri"/>
        </w:rPr>
        <w:t xml:space="preserve"> </w:t>
      </w:r>
      <w:r w:rsidR="0048084E">
        <w:rPr>
          <w:rFonts w:ascii="Calibri" w:hAnsi="Calibri"/>
        </w:rPr>
        <w:t>down to three</w:t>
      </w:r>
      <w:r>
        <w:rPr>
          <w:rFonts w:ascii="Calibri" w:hAnsi="Calibri"/>
        </w:rPr>
        <w:t xml:space="preserve"> (see Annex </w:t>
      </w:r>
      <w:r w:rsidR="00744260">
        <w:rPr>
          <w:rFonts w:ascii="Calibri" w:hAnsi="Calibri"/>
        </w:rPr>
        <w:t>9</w:t>
      </w:r>
      <w:r>
        <w:rPr>
          <w:rFonts w:ascii="Calibri" w:hAnsi="Calibri"/>
        </w:rPr>
        <w:t>)</w:t>
      </w:r>
      <w:r w:rsidR="0048084E">
        <w:rPr>
          <w:rFonts w:ascii="Calibri" w:hAnsi="Calibri"/>
        </w:rPr>
        <w:t xml:space="preserve">, in line with </w:t>
      </w:r>
      <w:r w:rsidR="0048084E" w:rsidRPr="0048084E">
        <w:rPr>
          <w:rFonts w:asciiTheme="minorHAnsi" w:hAnsiTheme="minorHAnsi" w:cstheme="minorHAnsi"/>
        </w:rPr>
        <w:t>AusAID’s Effective Aid report and the Comprehensive Aid Policy Framework (CAPF)</w:t>
      </w:r>
      <w:r w:rsidRPr="0048084E">
        <w:rPr>
          <w:rFonts w:asciiTheme="minorHAnsi" w:hAnsiTheme="minorHAnsi" w:cstheme="minorHAnsi"/>
        </w:rPr>
        <w:t>.</w:t>
      </w:r>
      <w:r w:rsidR="002C5D6C" w:rsidRPr="0048084E">
        <w:rPr>
          <w:rFonts w:asciiTheme="minorHAnsi" w:hAnsiTheme="minorHAnsi" w:cstheme="minorHAnsi"/>
        </w:rPr>
        <w:t xml:space="preserve"> </w:t>
      </w:r>
      <w:r w:rsidR="002C5D6C">
        <w:rPr>
          <w:rFonts w:ascii="Calibri" w:hAnsi="Calibri"/>
        </w:rPr>
        <w:t xml:space="preserve">This will reduce the fragmentation across the program and </w:t>
      </w:r>
      <w:r w:rsidR="0048084E">
        <w:rPr>
          <w:rFonts w:ascii="Calibri" w:hAnsi="Calibri"/>
        </w:rPr>
        <w:t xml:space="preserve">provide clearer alignment between EPSG activities and </w:t>
      </w:r>
      <w:r w:rsidR="002C5D6C">
        <w:rPr>
          <w:rFonts w:ascii="Calibri" w:hAnsi="Calibri"/>
        </w:rPr>
        <w:t xml:space="preserve">the </w:t>
      </w:r>
      <w:r w:rsidR="006E7E2E">
        <w:rPr>
          <w:rFonts w:ascii="Calibri" w:hAnsi="Calibri"/>
        </w:rPr>
        <w:t>j</w:t>
      </w:r>
      <w:r w:rsidR="0048084E">
        <w:rPr>
          <w:rFonts w:ascii="Calibri" w:hAnsi="Calibri"/>
        </w:rPr>
        <w:t xml:space="preserve">oint Policy </w:t>
      </w:r>
      <w:r w:rsidR="008436E4">
        <w:rPr>
          <w:rFonts w:ascii="Calibri" w:hAnsi="Calibri"/>
        </w:rPr>
        <w:t xml:space="preserve">Reform </w:t>
      </w:r>
      <w:r w:rsidR="0048084E">
        <w:rPr>
          <w:rFonts w:ascii="Calibri" w:hAnsi="Calibri"/>
        </w:rPr>
        <w:t xml:space="preserve">Matrix. Both the Financial and Economic Management Program (ING000) and the Economic and Public Sector Management (INI190) initiatives </w:t>
      </w:r>
      <w:r w:rsidR="007C4D5A">
        <w:rPr>
          <w:rFonts w:ascii="Calibri" w:hAnsi="Calibri"/>
        </w:rPr>
        <w:t xml:space="preserve">were completed </w:t>
      </w:r>
      <w:r w:rsidR="0048084E">
        <w:rPr>
          <w:rFonts w:ascii="Calibri" w:hAnsi="Calibri"/>
        </w:rPr>
        <w:t>in June 2013. The Economic and Public Sector Reform II (INK375)</w:t>
      </w:r>
      <w:r w:rsidR="008436E4">
        <w:rPr>
          <w:rFonts w:ascii="Calibri" w:hAnsi="Calibri"/>
        </w:rPr>
        <w:t xml:space="preserve"> and Tonga PACTAM (ING994) initiatives </w:t>
      </w:r>
      <w:r w:rsidR="00CE64BF">
        <w:rPr>
          <w:rFonts w:ascii="Calibri" w:hAnsi="Calibri"/>
        </w:rPr>
        <w:t>are due to</w:t>
      </w:r>
      <w:r w:rsidR="008436E4">
        <w:rPr>
          <w:rFonts w:ascii="Calibri" w:hAnsi="Calibri"/>
        </w:rPr>
        <w:t xml:space="preserve"> be phased out in June and November 2014.</w:t>
      </w:r>
      <w:r w:rsidR="00CE64BF">
        <w:rPr>
          <w:rFonts w:ascii="Calibri" w:hAnsi="Calibri"/>
        </w:rPr>
        <w:t xml:space="preserve"> </w:t>
      </w:r>
      <w:r w:rsidR="004268AA">
        <w:rPr>
          <w:rFonts w:ascii="Calibri" w:hAnsi="Calibri"/>
        </w:rPr>
        <w:t>T</w:t>
      </w:r>
      <w:r w:rsidR="00CE64BF">
        <w:rPr>
          <w:rFonts w:ascii="Calibri" w:hAnsi="Calibri"/>
        </w:rPr>
        <w:t xml:space="preserve">he Economic and Public Sector Reform III (INK884) initiative will </w:t>
      </w:r>
      <w:r w:rsidR="007C4D5A">
        <w:rPr>
          <w:rFonts w:ascii="Calibri" w:hAnsi="Calibri"/>
        </w:rPr>
        <w:t>encompass all activities covered under th</w:t>
      </w:r>
      <w:r w:rsidR="00C94503">
        <w:rPr>
          <w:rFonts w:ascii="Calibri" w:hAnsi="Calibri"/>
        </w:rPr>
        <w:t>e Partnership Priority Outcome One</w:t>
      </w:r>
      <w:r w:rsidR="007C4D5A">
        <w:rPr>
          <w:rFonts w:ascii="Calibri" w:hAnsi="Calibri"/>
        </w:rPr>
        <w:t>, with two exceptions</w:t>
      </w:r>
      <w:r w:rsidR="00CE64BF">
        <w:rPr>
          <w:rFonts w:ascii="Calibri" w:hAnsi="Calibri"/>
        </w:rPr>
        <w:t xml:space="preserve">. </w:t>
      </w:r>
      <w:r w:rsidR="004268AA">
        <w:rPr>
          <w:rFonts w:ascii="Calibri" w:hAnsi="Calibri"/>
        </w:rPr>
        <w:t xml:space="preserve">It is envisaged that </w:t>
      </w:r>
      <w:r w:rsidR="007C4D5A">
        <w:rPr>
          <w:rFonts w:ascii="Calibri" w:hAnsi="Calibri"/>
        </w:rPr>
        <w:t>Performance-Linked Aid</w:t>
      </w:r>
      <w:r w:rsidR="004268AA">
        <w:rPr>
          <w:rFonts w:ascii="Calibri" w:hAnsi="Calibri"/>
        </w:rPr>
        <w:t xml:space="preserve"> will be easier to manage and monitor as a separate initiative (PLA; </w:t>
      </w:r>
      <w:r w:rsidR="007C4D5A">
        <w:rPr>
          <w:rFonts w:ascii="Calibri" w:hAnsi="Calibri"/>
        </w:rPr>
        <w:t>INK891)</w:t>
      </w:r>
      <w:r w:rsidR="0006318E">
        <w:rPr>
          <w:rFonts w:ascii="Calibri" w:hAnsi="Calibri"/>
        </w:rPr>
        <w:t xml:space="preserve"> given the conditional nature of funding</w:t>
      </w:r>
      <w:r w:rsidR="007C4D5A">
        <w:rPr>
          <w:rFonts w:ascii="Calibri" w:hAnsi="Calibri"/>
        </w:rPr>
        <w:t>. The Tonga Governance Strengthening Program (INK890)</w:t>
      </w:r>
      <w:r w:rsidR="00E8011B">
        <w:rPr>
          <w:rFonts w:ascii="Calibri" w:hAnsi="Calibri"/>
        </w:rPr>
        <w:t xml:space="preserve">, </w:t>
      </w:r>
      <w:r w:rsidR="00017BE5">
        <w:rPr>
          <w:rFonts w:ascii="Calibri" w:hAnsi="Calibri"/>
        </w:rPr>
        <w:t xml:space="preserve">which focuses </w:t>
      </w:r>
      <w:r w:rsidR="00E8011B">
        <w:rPr>
          <w:rFonts w:ascii="Calibri" w:hAnsi="Calibri"/>
        </w:rPr>
        <w:t xml:space="preserve">on </w:t>
      </w:r>
      <w:r w:rsidR="00C42877">
        <w:rPr>
          <w:rFonts w:ascii="Calibri" w:hAnsi="Calibri"/>
        </w:rPr>
        <w:t xml:space="preserve">political </w:t>
      </w:r>
      <w:r w:rsidR="00E8011B">
        <w:rPr>
          <w:rFonts w:ascii="Calibri" w:hAnsi="Calibri"/>
        </w:rPr>
        <w:t>governance,</w:t>
      </w:r>
      <w:r w:rsidR="00E44270">
        <w:rPr>
          <w:rFonts w:ascii="Calibri" w:hAnsi="Calibri"/>
        </w:rPr>
        <w:t xml:space="preserve"> </w:t>
      </w:r>
      <w:r w:rsidR="009058F4">
        <w:rPr>
          <w:rFonts w:ascii="Calibri" w:hAnsi="Calibri"/>
        </w:rPr>
        <w:t xml:space="preserve">will </w:t>
      </w:r>
      <w:r w:rsidR="00E8011B">
        <w:rPr>
          <w:rFonts w:ascii="Calibri" w:hAnsi="Calibri"/>
        </w:rPr>
        <w:t xml:space="preserve">also </w:t>
      </w:r>
      <w:r w:rsidR="009058F4">
        <w:rPr>
          <w:rFonts w:ascii="Calibri" w:hAnsi="Calibri"/>
        </w:rPr>
        <w:t>be maintained as a separate initiative</w:t>
      </w:r>
      <w:r w:rsidR="00C42877">
        <w:rPr>
          <w:rFonts w:ascii="Calibri" w:hAnsi="Calibri"/>
        </w:rPr>
        <w:t xml:space="preserve"> </w:t>
      </w:r>
      <w:r w:rsidR="0006318E">
        <w:rPr>
          <w:rFonts w:ascii="Calibri" w:hAnsi="Calibri"/>
        </w:rPr>
        <w:t xml:space="preserve">given that it does </w:t>
      </w:r>
      <w:r w:rsidR="006300DF">
        <w:rPr>
          <w:rFonts w:ascii="Calibri" w:hAnsi="Calibri"/>
        </w:rPr>
        <w:t xml:space="preserve">not fall </w:t>
      </w:r>
      <w:r w:rsidR="0006318E">
        <w:rPr>
          <w:rFonts w:ascii="Calibri" w:hAnsi="Calibri"/>
        </w:rPr>
        <w:t xml:space="preserve">strictly </w:t>
      </w:r>
      <w:r w:rsidR="006300DF">
        <w:rPr>
          <w:rFonts w:ascii="Calibri" w:hAnsi="Calibri"/>
        </w:rPr>
        <w:t>within the scope of</w:t>
      </w:r>
      <w:r w:rsidR="00C42877">
        <w:rPr>
          <w:rFonts w:ascii="Calibri" w:hAnsi="Calibri"/>
        </w:rPr>
        <w:t xml:space="preserve"> economic and public sector reform</w:t>
      </w:r>
      <w:r w:rsidR="009058F4">
        <w:rPr>
          <w:rFonts w:ascii="Calibri" w:hAnsi="Calibri"/>
        </w:rPr>
        <w:t>.</w:t>
      </w:r>
    </w:p>
    <w:p w:rsidR="004D6FF3" w:rsidRDefault="004D6FF3" w:rsidP="00A11CCA">
      <w:pPr>
        <w:pStyle w:val="Heading2"/>
        <w:numPr>
          <w:ilvl w:val="0"/>
          <w:numId w:val="7"/>
        </w:numPr>
        <w:spacing w:after="240"/>
        <w:rPr>
          <w:sz w:val="24"/>
        </w:rPr>
      </w:pPr>
      <w:bookmarkStart w:id="27" w:name="_Toc356389380"/>
      <w:r w:rsidRPr="004D6FF3">
        <w:rPr>
          <w:sz w:val="24"/>
        </w:rPr>
        <w:t>Resource implications</w:t>
      </w:r>
      <w:bookmarkEnd w:id="27"/>
    </w:p>
    <w:p w:rsidR="00194B92" w:rsidRPr="00194B92" w:rsidRDefault="00194B92" w:rsidP="00F56807">
      <w:pPr>
        <w:spacing w:after="240"/>
        <w:rPr>
          <w:rFonts w:ascii="Calibri" w:hAnsi="Calibri"/>
        </w:rPr>
      </w:pPr>
      <w:r>
        <w:rPr>
          <w:rFonts w:ascii="Calibri" w:hAnsi="Calibri"/>
        </w:rPr>
        <w:t xml:space="preserve">Implementation of this </w:t>
      </w:r>
      <w:r w:rsidR="006E1D20">
        <w:rPr>
          <w:rFonts w:ascii="Calibri" w:hAnsi="Calibri"/>
        </w:rPr>
        <w:t>Delivery Strategy</w:t>
      </w:r>
      <w:r>
        <w:rPr>
          <w:rFonts w:ascii="Calibri" w:hAnsi="Calibri"/>
        </w:rPr>
        <w:t xml:space="preserve"> will be led by Tonga Post, with the assistance of</w:t>
      </w:r>
      <w:r w:rsidR="00743C55">
        <w:rPr>
          <w:rFonts w:ascii="Calibri" w:hAnsi="Calibri"/>
        </w:rPr>
        <w:t xml:space="preserve"> a range of staff members in </w:t>
      </w:r>
      <w:r>
        <w:rPr>
          <w:rFonts w:ascii="Calibri" w:hAnsi="Calibri"/>
        </w:rPr>
        <w:t>Canberra</w:t>
      </w:r>
      <w:r w:rsidR="00743C55">
        <w:rPr>
          <w:rFonts w:ascii="Calibri" w:hAnsi="Calibri"/>
        </w:rPr>
        <w:t xml:space="preserve"> (desk and economists)</w:t>
      </w:r>
      <w:r>
        <w:rPr>
          <w:rFonts w:ascii="Calibri" w:hAnsi="Calibri"/>
        </w:rPr>
        <w:t>.</w:t>
      </w:r>
      <w:r w:rsidR="007C16D2">
        <w:rPr>
          <w:rFonts w:ascii="Calibri" w:hAnsi="Calibri"/>
        </w:rPr>
        <w:t xml:space="preserve"> AusAID will need to ensure that:</w:t>
      </w:r>
    </w:p>
    <w:p w:rsidR="00194B92" w:rsidRPr="007C16D2" w:rsidRDefault="00194B92" w:rsidP="00A11CCA">
      <w:pPr>
        <w:numPr>
          <w:ilvl w:val="0"/>
          <w:numId w:val="9"/>
        </w:numPr>
        <w:spacing w:before="240"/>
        <w:ind w:left="284" w:hanging="284"/>
        <w:contextualSpacing/>
        <w:rPr>
          <w:rFonts w:asciiTheme="minorHAnsi" w:hAnsiTheme="minorHAnsi" w:cstheme="minorHAnsi"/>
          <w:lang w:val="en-GB"/>
        </w:rPr>
      </w:pPr>
      <w:r w:rsidRPr="007C16D2">
        <w:rPr>
          <w:rFonts w:asciiTheme="minorHAnsi" w:hAnsiTheme="minorHAnsi" w:cstheme="minorHAnsi"/>
          <w:lang w:val="en-GB"/>
        </w:rPr>
        <w:t xml:space="preserve">Tonga Post has </w:t>
      </w:r>
      <w:r w:rsidR="00961C31">
        <w:rPr>
          <w:rFonts w:asciiTheme="minorHAnsi" w:hAnsiTheme="minorHAnsi" w:cstheme="minorHAnsi"/>
          <w:lang w:val="en-GB"/>
        </w:rPr>
        <w:t xml:space="preserve">a </w:t>
      </w:r>
      <w:r w:rsidRPr="007C16D2">
        <w:rPr>
          <w:rFonts w:asciiTheme="minorHAnsi" w:hAnsiTheme="minorHAnsi" w:cstheme="minorHAnsi"/>
          <w:lang w:val="en-GB"/>
        </w:rPr>
        <w:t xml:space="preserve">sufficiently experienced Senior Program Manager </w:t>
      </w:r>
      <w:r w:rsidR="00961C31">
        <w:rPr>
          <w:rFonts w:asciiTheme="minorHAnsi" w:hAnsiTheme="minorHAnsi" w:cstheme="minorHAnsi"/>
          <w:lang w:val="en-GB"/>
        </w:rPr>
        <w:t>and Program Manager</w:t>
      </w:r>
      <w:r w:rsidR="00743C55">
        <w:rPr>
          <w:rFonts w:asciiTheme="minorHAnsi" w:hAnsiTheme="minorHAnsi" w:cstheme="minorHAnsi"/>
          <w:lang w:val="en-GB"/>
        </w:rPr>
        <w:t>, which can be supported by Canberra-based staff (including economists),</w:t>
      </w:r>
      <w:r w:rsidR="00961C31">
        <w:rPr>
          <w:rFonts w:asciiTheme="minorHAnsi" w:hAnsiTheme="minorHAnsi" w:cstheme="minorHAnsi"/>
          <w:lang w:val="en-GB"/>
        </w:rPr>
        <w:t xml:space="preserve"> </w:t>
      </w:r>
      <w:r w:rsidRPr="007C16D2">
        <w:rPr>
          <w:rFonts w:asciiTheme="minorHAnsi" w:hAnsiTheme="minorHAnsi" w:cstheme="minorHAnsi"/>
          <w:lang w:val="en-GB"/>
        </w:rPr>
        <w:t>with the time and resources to engage with GoT and other donor partners to:</w:t>
      </w:r>
    </w:p>
    <w:p w:rsidR="008C417C" w:rsidRPr="007C16D2" w:rsidRDefault="008C417C" w:rsidP="00A11CCA">
      <w:pPr>
        <w:numPr>
          <w:ilvl w:val="0"/>
          <w:numId w:val="11"/>
        </w:numPr>
        <w:contextualSpacing/>
        <w:rPr>
          <w:rFonts w:asciiTheme="minorHAnsi" w:hAnsiTheme="minorHAnsi" w:cstheme="minorHAnsi"/>
          <w:lang w:val="en-GB"/>
        </w:rPr>
      </w:pPr>
      <w:r w:rsidRPr="007C16D2">
        <w:rPr>
          <w:rFonts w:asciiTheme="minorHAnsi" w:hAnsiTheme="minorHAnsi" w:cstheme="minorHAnsi"/>
          <w:lang w:val="en-GB"/>
        </w:rPr>
        <w:t>conduct a readiness assessment of partner agencies before assigning long-term advisers;</w:t>
      </w:r>
    </w:p>
    <w:p w:rsidR="00194B92" w:rsidRPr="007C16D2" w:rsidRDefault="00194B92" w:rsidP="00A11CCA">
      <w:pPr>
        <w:numPr>
          <w:ilvl w:val="0"/>
          <w:numId w:val="11"/>
        </w:numPr>
        <w:contextualSpacing/>
        <w:rPr>
          <w:rFonts w:asciiTheme="minorHAnsi" w:hAnsiTheme="minorHAnsi" w:cstheme="minorHAnsi"/>
          <w:lang w:val="en-GB"/>
        </w:rPr>
      </w:pPr>
      <w:r w:rsidRPr="007C16D2">
        <w:rPr>
          <w:rFonts w:asciiTheme="minorHAnsi" w:hAnsiTheme="minorHAnsi" w:cstheme="minorHAnsi"/>
          <w:lang w:val="en-GB"/>
        </w:rPr>
        <w:t>jointly develop clear terms of reference with specific outputs for short-term and long-term advisers;</w:t>
      </w:r>
    </w:p>
    <w:p w:rsidR="00194B92" w:rsidRDefault="00194B92" w:rsidP="00A11CCA">
      <w:pPr>
        <w:numPr>
          <w:ilvl w:val="0"/>
          <w:numId w:val="11"/>
        </w:numPr>
        <w:contextualSpacing/>
        <w:rPr>
          <w:rFonts w:asciiTheme="minorHAnsi" w:hAnsiTheme="minorHAnsi" w:cstheme="minorHAnsi"/>
          <w:lang w:val="en-GB"/>
        </w:rPr>
      </w:pPr>
      <w:r w:rsidRPr="007C16D2">
        <w:rPr>
          <w:rFonts w:asciiTheme="minorHAnsi" w:hAnsiTheme="minorHAnsi" w:cstheme="minorHAnsi"/>
          <w:lang w:val="en-GB"/>
        </w:rPr>
        <w:t xml:space="preserve">participate in final interviews of shortlisted candidates for long-term adviser positions; </w:t>
      </w:r>
    </w:p>
    <w:p w:rsidR="00194B92" w:rsidRDefault="00194B92" w:rsidP="00A11CCA">
      <w:pPr>
        <w:numPr>
          <w:ilvl w:val="0"/>
          <w:numId w:val="11"/>
        </w:numPr>
        <w:spacing w:after="240"/>
        <w:contextualSpacing/>
        <w:rPr>
          <w:rFonts w:ascii="Calibri" w:hAnsi="Calibri"/>
        </w:rPr>
      </w:pPr>
      <w:r w:rsidRPr="007C16D2">
        <w:rPr>
          <w:rFonts w:asciiTheme="minorHAnsi" w:hAnsiTheme="minorHAnsi" w:cstheme="minorHAnsi"/>
          <w:lang w:val="en-GB"/>
        </w:rPr>
        <w:t xml:space="preserve">plan, conduct, report and follow-up on findings from systematic monitoring visits to </w:t>
      </w:r>
      <w:r w:rsidRPr="00F56807">
        <w:rPr>
          <w:rFonts w:ascii="Calibri" w:hAnsi="Calibri"/>
        </w:rPr>
        <w:t>GoT partner agencies and their assigned long-term advisers</w:t>
      </w:r>
      <w:r w:rsidR="008C417C">
        <w:rPr>
          <w:rFonts w:ascii="Calibri" w:hAnsi="Calibri"/>
        </w:rPr>
        <w:t xml:space="preserve"> (including reporting on adviser performance); </w:t>
      </w:r>
    </w:p>
    <w:p w:rsidR="008C417C" w:rsidRDefault="008C417C" w:rsidP="00A11CCA">
      <w:pPr>
        <w:numPr>
          <w:ilvl w:val="0"/>
          <w:numId w:val="11"/>
        </w:numPr>
        <w:spacing w:after="240"/>
        <w:contextualSpacing/>
        <w:rPr>
          <w:rFonts w:ascii="Calibri" w:hAnsi="Calibri"/>
        </w:rPr>
      </w:pPr>
      <w:r>
        <w:rPr>
          <w:rFonts w:ascii="Calibri" w:hAnsi="Calibri"/>
        </w:rPr>
        <w:t>undertake day-to-day program management</w:t>
      </w:r>
      <w:r w:rsidR="00FE4E5B">
        <w:rPr>
          <w:rFonts w:ascii="Calibri" w:hAnsi="Calibri"/>
        </w:rPr>
        <w:t xml:space="preserve"> (including quality assurance processes)</w:t>
      </w:r>
      <w:r>
        <w:rPr>
          <w:rFonts w:ascii="Calibri" w:hAnsi="Calibri"/>
        </w:rPr>
        <w:t>.</w:t>
      </w:r>
    </w:p>
    <w:p w:rsidR="00975914" w:rsidRDefault="00975914" w:rsidP="00975914">
      <w:pPr>
        <w:spacing w:after="240"/>
        <w:contextualSpacing/>
        <w:rPr>
          <w:rFonts w:ascii="Calibri" w:hAnsi="Calibri"/>
        </w:rPr>
      </w:pPr>
    </w:p>
    <w:p w:rsidR="00A05230" w:rsidRDefault="00975914" w:rsidP="00A05230">
      <w:pPr>
        <w:spacing w:after="240"/>
        <w:rPr>
          <w:rFonts w:ascii="Calibri" w:hAnsi="Calibri"/>
        </w:rPr>
      </w:pPr>
      <w:r>
        <w:rPr>
          <w:rFonts w:ascii="Calibri" w:hAnsi="Calibri"/>
        </w:rPr>
        <w:t xml:space="preserve">AusAID will work to </w:t>
      </w:r>
      <w:r w:rsidR="00825D08">
        <w:rPr>
          <w:rFonts w:ascii="Calibri" w:hAnsi="Calibri"/>
        </w:rPr>
        <w:t>strengthen</w:t>
      </w:r>
      <w:r>
        <w:rPr>
          <w:rFonts w:ascii="Calibri" w:hAnsi="Calibri"/>
        </w:rPr>
        <w:t xml:space="preserve"> adviser performance management arrangements by scheduling quarterly informal meetings between AusAID (Senior Program Manager) and individual advisers to discuss progress on outputs and address any </w:t>
      </w:r>
      <w:r w:rsidR="00AD3DE9">
        <w:rPr>
          <w:rFonts w:ascii="Calibri" w:hAnsi="Calibri"/>
        </w:rPr>
        <w:t>issues that may arise during the course of their work</w:t>
      </w:r>
      <w:r>
        <w:rPr>
          <w:rFonts w:ascii="Calibri" w:hAnsi="Calibri"/>
        </w:rPr>
        <w:t xml:space="preserve">. </w:t>
      </w:r>
    </w:p>
    <w:p w:rsidR="00194B92" w:rsidRPr="007C16D2" w:rsidRDefault="00194B92" w:rsidP="00A11CCA">
      <w:pPr>
        <w:numPr>
          <w:ilvl w:val="0"/>
          <w:numId w:val="9"/>
        </w:numPr>
        <w:spacing w:before="240"/>
        <w:ind w:left="284" w:hanging="284"/>
        <w:contextualSpacing/>
        <w:rPr>
          <w:rFonts w:asciiTheme="minorHAnsi" w:hAnsiTheme="minorHAnsi" w:cstheme="minorHAnsi"/>
          <w:lang w:val="en-GB"/>
        </w:rPr>
      </w:pPr>
      <w:r w:rsidRPr="007C16D2">
        <w:rPr>
          <w:rFonts w:asciiTheme="minorHAnsi" w:hAnsiTheme="minorHAnsi" w:cstheme="minorHAnsi"/>
          <w:lang w:val="en-GB"/>
        </w:rPr>
        <w:t xml:space="preserve">Tonga Post has a </w:t>
      </w:r>
      <w:r w:rsidR="007C16D2" w:rsidRPr="007C16D2">
        <w:rPr>
          <w:rFonts w:asciiTheme="minorHAnsi" w:hAnsiTheme="minorHAnsi" w:cstheme="minorHAnsi"/>
          <w:lang w:val="en-GB"/>
        </w:rPr>
        <w:t>First Secretary</w:t>
      </w:r>
      <w:r w:rsidRPr="007C16D2">
        <w:rPr>
          <w:rFonts w:asciiTheme="minorHAnsi" w:hAnsiTheme="minorHAnsi" w:cstheme="minorHAnsi"/>
          <w:lang w:val="en-GB"/>
        </w:rPr>
        <w:t xml:space="preserve"> and sufficiently experienced Senior Program Manager</w:t>
      </w:r>
      <w:r w:rsidR="00743C55">
        <w:rPr>
          <w:rFonts w:asciiTheme="minorHAnsi" w:hAnsiTheme="minorHAnsi" w:cstheme="minorHAnsi"/>
          <w:lang w:val="en-GB"/>
        </w:rPr>
        <w:t>, which can be supported by Canberra-based staff (including economists),</w:t>
      </w:r>
      <w:r w:rsidRPr="007C16D2">
        <w:rPr>
          <w:rFonts w:asciiTheme="minorHAnsi" w:hAnsiTheme="minorHAnsi" w:cstheme="minorHAnsi"/>
          <w:lang w:val="en-GB"/>
        </w:rPr>
        <w:t xml:space="preserve"> with the time and resources to engage with </w:t>
      </w:r>
      <w:r w:rsidR="00FF2193">
        <w:rPr>
          <w:rFonts w:asciiTheme="minorHAnsi" w:hAnsiTheme="minorHAnsi" w:cstheme="minorHAnsi"/>
          <w:lang w:val="en-GB"/>
        </w:rPr>
        <w:t xml:space="preserve">GoT and </w:t>
      </w:r>
      <w:r w:rsidRPr="007C16D2">
        <w:rPr>
          <w:rFonts w:asciiTheme="minorHAnsi" w:hAnsiTheme="minorHAnsi" w:cstheme="minorHAnsi"/>
          <w:lang w:val="en-GB"/>
        </w:rPr>
        <w:t>other donor partners to:</w:t>
      </w:r>
    </w:p>
    <w:p w:rsidR="00194B92" w:rsidRPr="007C16D2" w:rsidRDefault="00194B92" w:rsidP="00A11CCA">
      <w:pPr>
        <w:numPr>
          <w:ilvl w:val="0"/>
          <w:numId w:val="11"/>
        </w:numPr>
        <w:contextualSpacing/>
        <w:rPr>
          <w:rFonts w:asciiTheme="minorHAnsi" w:hAnsiTheme="minorHAnsi" w:cstheme="minorHAnsi"/>
          <w:lang w:val="en-GB"/>
        </w:rPr>
      </w:pPr>
      <w:r w:rsidRPr="007C16D2">
        <w:rPr>
          <w:rFonts w:asciiTheme="minorHAnsi" w:hAnsiTheme="minorHAnsi" w:cstheme="minorHAnsi"/>
          <w:lang w:val="en-GB"/>
        </w:rPr>
        <w:t>plan, conduct and report findings from systematic monitoring visits and periodic evaluations with GoT partner agencies to establish a shared body of evidence;</w:t>
      </w:r>
    </w:p>
    <w:p w:rsidR="00194B92" w:rsidRPr="007C16D2" w:rsidRDefault="00194B92" w:rsidP="00A11CCA">
      <w:pPr>
        <w:numPr>
          <w:ilvl w:val="0"/>
          <w:numId w:val="11"/>
        </w:numPr>
        <w:contextualSpacing/>
        <w:rPr>
          <w:rFonts w:asciiTheme="minorHAnsi" w:hAnsiTheme="minorHAnsi" w:cstheme="minorHAnsi"/>
          <w:lang w:val="en-GB"/>
        </w:rPr>
      </w:pPr>
      <w:r w:rsidRPr="007C16D2">
        <w:rPr>
          <w:rFonts w:asciiTheme="minorHAnsi" w:hAnsiTheme="minorHAnsi" w:cstheme="minorHAnsi"/>
          <w:lang w:val="en-GB"/>
        </w:rPr>
        <w:t xml:space="preserve">use shared evidence to plan and conduct policy dialogue with GoT partners; </w:t>
      </w:r>
    </w:p>
    <w:p w:rsidR="00194B92" w:rsidRDefault="00194B92" w:rsidP="00A11CCA">
      <w:pPr>
        <w:numPr>
          <w:ilvl w:val="0"/>
          <w:numId w:val="11"/>
        </w:numPr>
        <w:contextualSpacing/>
        <w:rPr>
          <w:rFonts w:asciiTheme="minorHAnsi" w:hAnsiTheme="minorHAnsi" w:cstheme="minorHAnsi"/>
          <w:lang w:val="en-GB"/>
        </w:rPr>
      </w:pPr>
      <w:r w:rsidRPr="007C16D2">
        <w:rPr>
          <w:rFonts w:asciiTheme="minorHAnsi" w:hAnsiTheme="minorHAnsi" w:cstheme="minorHAnsi"/>
          <w:lang w:val="en-GB"/>
        </w:rPr>
        <w:t>ensure performance-linked budget support drives effective progress towards GoT targets set out in the PFM Roadmap and TSDF priorities</w:t>
      </w:r>
      <w:r w:rsidR="00292F53">
        <w:rPr>
          <w:rFonts w:asciiTheme="minorHAnsi" w:hAnsiTheme="minorHAnsi" w:cstheme="minorHAnsi"/>
          <w:lang w:val="en-GB"/>
        </w:rPr>
        <w:t>; and</w:t>
      </w:r>
    </w:p>
    <w:p w:rsidR="00292F53" w:rsidRDefault="00292F53" w:rsidP="00292F53">
      <w:pPr>
        <w:numPr>
          <w:ilvl w:val="0"/>
          <w:numId w:val="11"/>
        </w:numPr>
        <w:spacing w:after="240"/>
        <w:contextualSpacing/>
        <w:rPr>
          <w:rFonts w:ascii="Calibri" w:hAnsi="Calibri"/>
        </w:rPr>
      </w:pPr>
      <w:r>
        <w:rPr>
          <w:rFonts w:ascii="Calibri" w:hAnsi="Calibri"/>
        </w:rPr>
        <w:t>ensure effective coordination between political governance and economic and public sector governance programs through quarterly</w:t>
      </w:r>
      <w:r w:rsidR="003D7FF8">
        <w:rPr>
          <w:rFonts w:ascii="Calibri" w:hAnsi="Calibri"/>
        </w:rPr>
        <w:t xml:space="preserve"> team reviews</w:t>
      </w:r>
      <w:r>
        <w:rPr>
          <w:rFonts w:ascii="Calibri" w:hAnsi="Calibri"/>
        </w:rPr>
        <w:t>.</w:t>
      </w:r>
    </w:p>
    <w:p w:rsidR="008C417C" w:rsidRDefault="008C417C" w:rsidP="00194B92">
      <w:pPr>
        <w:rPr>
          <w:rFonts w:ascii="Calibri" w:hAnsi="Calibri"/>
        </w:rPr>
      </w:pPr>
    </w:p>
    <w:p w:rsidR="00A46C91" w:rsidRDefault="00171E45" w:rsidP="00C415C7">
      <w:pPr>
        <w:spacing w:after="240"/>
        <w:rPr>
          <w:rFonts w:asciiTheme="minorHAnsi" w:hAnsiTheme="minorHAnsi" w:cstheme="minorHAnsi"/>
        </w:rPr>
      </w:pPr>
      <w:r>
        <w:rPr>
          <w:rFonts w:ascii="Calibri" w:hAnsi="Calibri"/>
        </w:rPr>
        <w:t xml:space="preserve">The Tonga Program will draw on regular support from Canberra, including the </w:t>
      </w:r>
      <w:r w:rsidR="00FD0033">
        <w:rPr>
          <w:rFonts w:ascii="Calibri" w:hAnsi="Calibri"/>
        </w:rPr>
        <w:t xml:space="preserve">Economics Advisory Group and </w:t>
      </w:r>
      <w:r>
        <w:rPr>
          <w:rFonts w:ascii="Calibri" w:hAnsi="Calibri"/>
        </w:rPr>
        <w:t>Pacific Economic Adviser</w:t>
      </w:r>
      <w:r w:rsidR="00A80AE9">
        <w:rPr>
          <w:rFonts w:ascii="Calibri" w:hAnsi="Calibri"/>
        </w:rPr>
        <w:t>,</w:t>
      </w:r>
      <w:r>
        <w:rPr>
          <w:rFonts w:ascii="Calibri" w:hAnsi="Calibri"/>
        </w:rPr>
        <w:t xml:space="preserve"> for specific analytical work and to </w:t>
      </w:r>
      <w:r w:rsidR="00A46C91">
        <w:rPr>
          <w:rFonts w:ascii="Calibri" w:hAnsi="Calibri"/>
        </w:rPr>
        <w:t>participate in</w:t>
      </w:r>
      <w:r>
        <w:rPr>
          <w:rFonts w:ascii="Calibri" w:hAnsi="Calibri"/>
        </w:rPr>
        <w:t xml:space="preserve"> budget support missions.</w:t>
      </w:r>
      <w:r w:rsidR="00A46C91" w:rsidRPr="00A46C91">
        <w:rPr>
          <w:rFonts w:asciiTheme="minorHAnsi" w:hAnsiTheme="minorHAnsi" w:cstheme="minorHAnsi"/>
        </w:rPr>
        <w:t xml:space="preserve"> </w:t>
      </w:r>
      <w:r w:rsidR="00A46C91">
        <w:rPr>
          <w:rFonts w:asciiTheme="minorHAnsi" w:hAnsiTheme="minorHAnsi" w:cstheme="minorHAnsi"/>
        </w:rPr>
        <w:t xml:space="preserve">The Tonga </w:t>
      </w:r>
      <w:r w:rsidR="00A80AE9">
        <w:rPr>
          <w:rFonts w:asciiTheme="minorHAnsi" w:hAnsiTheme="minorHAnsi" w:cstheme="minorHAnsi"/>
        </w:rPr>
        <w:t>Desk in Canberra</w:t>
      </w:r>
      <w:r w:rsidR="00A46C91">
        <w:rPr>
          <w:rFonts w:asciiTheme="minorHAnsi" w:hAnsiTheme="minorHAnsi" w:cstheme="minorHAnsi"/>
        </w:rPr>
        <w:t xml:space="preserve"> will provide a dedicated resource to</w:t>
      </w:r>
      <w:r w:rsidR="0044273A">
        <w:rPr>
          <w:rFonts w:asciiTheme="minorHAnsi" w:hAnsiTheme="minorHAnsi" w:cstheme="minorHAnsi"/>
        </w:rPr>
        <w:t xml:space="preserve"> manage PLA,</w:t>
      </w:r>
      <w:r w:rsidR="00A46C91">
        <w:rPr>
          <w:rFonts w:asciiTheme="minorHAnsi" w:hAnsiTheme="minorHAnsi" w:cstheme="minorHAnsi"/>
        </w:rPr>
        <w:t xml:space="preserve"> conduct in-house monitoring</w:t>
      </w:r>
      <w:r w:rsidR="0044273A">
        <w:rPr>
          <w:rFonts w:asciiTheme="minorHAnsi" w:hAnsiTheme="minorHAnsi" w:cstheme="minorHAnsi"/>
        </w:rPr>
        <w:t>,</w:t>
      </w:r>
      <w:r w:rsidR="00A46C91">
        <w:rPr>
          <w:rFonts w:asciiTheme="minorHAnsi" w:hAnsiTheme="minorHAnsi" w:cstheme="minorHAnsi"/>
        </w:rPr>
        <w:t xml:space="preserve"> and lead on budget support missions.</w:t>
      </w:r>
      <w:r w:rsidR="00EA4395">
        <w:rPr>
          <w:rFonts w:asciiTheme="minorHAnsi" w:hAnsiTheme="minorHAnsi" w:cstheme="minorHAnsi"/>
        </w:rPr>
        <w:t xml:space="preserve"> This role is expected to continue to be filled by the Desk-based economist.</w:t>
      </w:r>
      <w:r w:rsidR="00A46C91">
        <w:rPr>
          <w:rFonts w:asciiTheme="minorHAnsi" w:hAnsiTheme="minorHAnsi" w:cstheme="minorHAnsi"/>
        </w:rPr>
        <w:t xml:space="preserve"> </w:t>
      </w:r>
    </w:p>
    <w:p w:rsidR="004D6FF3" w:rsidRDefault="00432F39" w:rsidP="00A11CCA">
      <w:pPr>
        <w:pStyle w:val="Heading2"/>
        <w:numPr>
          <w:ilvl w:val="0"/>
          <w:numId w:val="7"/>
        </w:numPr>
        <w:spacing w:after="240"/>
        <w:rPr>
          <w:color w:val="auto"/>
          <w:sz w:val="24"/>
        </w:rPr>
      </w:pPr>
      <w:bookmarkStart w:id="28" w:name="_Toc356389381"/>
      <w:r>
        <w:rPr>
          <w:sz w:val="24"/>
        </w:rPr>
        <w:t>Monitoring and evaluation</w:t>
      </w:r>
      <w:bookmarkEnd w:id="28"/>
      <w:r>
        <w:rPr>
          <w:sz w:val="24"/>
        </w:rPr>
        <w:t xml:space="preserve"> </w:t>
      </w:r>
    </w:p>
    <w:p w:rsidR="008364B6" w:rsidRDefault="005572FF" w:rsidP="009D45DF">
      <w:pPr>
        <w:rPr>
          <w:rFonts w:asciiTheme="minorHAnsi" w:hAnsiTheme="minorHAnsi" w:cstheme="minorHAnsi"/>
        </w:rPr>
      </w:pPr>
      <w:r>
        <w:rPr>
          <w:rFonts w:asciiTheme="minorHAnsi" w:hAnsiTheme="minorHAnsi" w:cstheme="minorHAnsi"/>
        </w:rPr>
        <w:t xml:space="preserve">To date, AusAID’s EPSR program has </w:t>
      </w:r>
      <w:r w:rsidR="002F0AF7">
        <w:rPr>
          <w:rFonts w:asciiTheme="minorHAnsi" w:hAnsiTheme="minorHAnsi" w:cstheme="minorHAnsi"/>
        </w:rPr>
        <w:t>lacked an overarching monitoring and evaluation</w:t>
      </w:r>
      <w:r w:rsidR="00E70D6D">
        <w:rPr>
          <w:rFonts w:asciiTheme="minorHAnsi" w:hAnsiTheme="minorHAnsi" w:cstheme="minorHAnsi"/>
        </w:rPr>
        <w:t xml:space="preserve"> (M&amp;E)</w:t>
      </w:r>
      <w:r w:rsidR="002F0AF7">
        <w:rPr>
          <w:rFonts w:asciiTheme="minorHAnsi" w:hAnsiTheme="minorHAnsi" w:cstheme="minorHAnsi"/>
        </w:rPr>
        <w:t xml:space="preserve"> </w:t>
      </w:r>
      <w:r>
        <w:rPr>
          <w:rFonts w:asciiTheme="minorHAnsi" w:hAnsiTheme="minorHAnsi" w:cstheme="minorHAnsi"/>
        </w:rPr>
        <w:t>framework</w:t>
      </w:r>
      <w:r w:rsidR="004C7980">
        <w:rPr>
          <w:rFonts w:asciiTheme="minorHAnsi" w:hAnsiTheme="minorHAnsi" w:cstheme="minorHAnsi"/>
        </w:rPr>
        <w:t xml:space="preserve"> to monitor the </w:t>
      </w:r>
      <w:r w:rsidR="004C7980" w:rsidRPr="004C7980">
        <w:rPr>
          <w:rFonts w:asciiTheme="minorHAnsi" w:hAnsiTheme="minorHAnsi" w:cstheme="minorHAnsi"/>
        </w:rPr>
        <w:t>effectiveness of Australian assistance and the contribution it makes to the development of economic and public sector management in Tonga</w:t>
      </w:r>
      <w:r w:rsidR="004C7980">
        <w:rPr>
          <w:rFonts w:asciiTheme="minorHAnsi" w:hAnsiTheme="minorHAnsi" w:cstheme="minorHAnsi"/>
        </w:rPr>
        <w:t xml:space="preserve">. </w:t>
      </w:r>
      <w:r w:rsidRPr="005572FF">
        <w:rPr>
          <w:rFonts w:asciiTheme="minorHAnsi" w:hAnsiTheme="minorHAnsi" w:cstheme="minorHAnsi"/>
        </w:rPr>
        <w:t xml:space="preserve">Successful </w:t>
      </w:r>
      <w:r w:rsidR="00E70D6D">
        <w:rPr>
          <w:rFonts w:asciiTheme="minorHAnsi" w:hAnsiTheme="minorHAnsi" w:cstheme="minorHAnsi"/>
        </w:rPr>
        <w:t>M&amp;E</w:t>
      </w:r>
      <w:r w:rsidRPr="005572FF">
        <w:rPr>
          <w:rFonts w:asciiTheme="minorHAnsi" w:hAnsiTheme="minorHAnsi" w:cstheme="minorHAnsi"/>
        </w:rPr>
        <w:t xml:space="preserve"> requires processes and templates that provide enough information to ensure that AusAID is able to effectively track progress and evaluate effectiveness at the individual, activity and program level. </w:t>
      </w:r>
      <w:r>
        <w:rPr>
          <w:rFonts w:asciiTheme="minorHAnsi" w:hAnsiTheme="minorHAnsi" w:cstheme="minorHAnsi"/>
        </w:rPr>
        <w:t xml:space="preserve">As part of this </w:t>
      </w:r>
      <w:r w:rsidR="006E1D20">
        <w:rPr>
          <w:rFonts w:asciiTheme="minorHAnsi" w:hAnsiTheme="minorHAnsi" w:cstheme="minorHAnsi"/>
        </w:rPr>
        <w:t>Delivery Strategy</w:t>
      </w:r>
      <w:r>
        <w:rPr>
          <w:rFonts w:asciiTheme="minorHAnsi" w:hAnsiTheme="minorHAnsi" w:cstheme="minorHAnsi"/>
        </w:rPr>
        <w:t xml:space="preserve">, AusAID </w:t>
      </w:r>
      <w:r w:rsidR="009D45DF">
        <w:rPr>
          <w:rFonts w:asciiTheme="minorHAnsi" w:hAnsiTheme="minorHAnsi" w:cstheme="minorHAnsi"/>
        </w:rPr>
        <w:t>ha</w:t>
      </w:r>
      <w:r>
        <w:rPr>
          <w:rFonts w:asciiTheme="minorHAnsi" w:hAnsiTheme="minorHAnsi" w:cstheme="minorHAnsi"/>
        </w:rPr>
        <w:t xml:space="preserve">s </w:t>
      </w:r>
      <w:r w:rsidR="009D45DF">
        <w:rPr>
          <w:rFonts w:asciiTheme="minorHAnsi" w:hAnsiTheme="minorHAnsi" w:cstheme="minorHAnsi"/>
        </w:rPr>
        <w:t>developed</w:t>
      </w:r>
      <w:r>
        <w:rPr>
          <w:rFonts w:asciiTheme="minorHAnsi" w:hAnsiTheme="minorHAnsi" w:cstheme="minorHAnsi"/>
        </w:rPr>
        <w:t xml:space="preserve"> a</w:t>
      </w:r>
      <w:r w:rsidR="002F0AF7">
        <w:rPr>
          <w:rFonts w:asciiTheme="minorHAnsi" w:hAnsiTheme="minorHAnsi" w:cstheme="minorHAnsi"/>
        </w:rPr>
        <w:t xml:space="preserve"> </w:t>
      </w:r>
      <w:r w:rsidR="009D45DF">
        <w:rPr>
          <w:rFonts w:asciiTheme="minorHAnsi" w:hAnsiTheme="minorHAnsi" w:cstheme="minorHAnsi"/>
        </w:rPr>
        <w:t>Performance Assessment F</w:t>
      </w:r>
      <w:r>
        <w:rPr>
          <w:rFonts w:asciiTheme="minorHAnsi" w:hAnsiTheme="minorHAnsi" w:cstheme="minorHAnsi"/>
        </w:rPr>
        <w:t xml:space="preserve">ramework </w:t>
      </w:r>
      <w:r w:rsidR="009D45DF">
        <w:rPr>
          <w:rFonts w:asciiTheme="minorHAnsi" w:hAnsiTheme="minorHAnsi" w:cstheme="minorHAnsi"/>
        </w:rPr>
        <w:t xml:space="preserve">(PAF) </w:t>
      </w:r>
      <w:r>
        <w:rPr>
          <w:rFonts w:asciiTheme="minorHAnsi" w:hAnsiTheme="minorHAnsi" w:cstheme="minorHAnsi"/>
        </w:rPr>
        <w:t xml:space="preserve">which will enable AusAID to measure the collective impact of the program on the GoT’s reform agenda and on the Partnership for Development. </w:t>
      </w:r>
      <w:r w:rsidR="009D45DF">
        <w:rPr>
          <w:rFonts w:asciiTheme="minorHAnsi" w:hAnsiTheme="minorHAnsi" w:cstheme="minorHAnsi"/>
        </w:rPr>
        <w:t xml:space="preserve">This is presented at Annex </w:t>
      </w:r>
      <w:r w:rsidR="00744260">
        <w:rPr>
          <w:rFonts w:asciiTheme="minorHAnsi" w:hAnsiTheme="minorHAnsi" w:cstheme="minorHAnsi"/>
        </w:rPr>
        <w:t>1</w:t>
      </w:r>
      <w:r w:rsidR="00093F1D">
        <w:rPr>
          <w:rFonts w:asciiTheme="minorHAnsi" w:hAnsiTheme="minorHAnsi" w:cstheme="minorHAnsi"/>
        </w:rPr>
        <w:t>,</w:t>
      </w:r>
      <w:r w:rsidR="009D45DF">
        <w:rPr>
          <w:rFonts w:asciiTheme="minorHAnsi" w:hAnsiTheme="minorHAnsi" w:cstheme="minorHAnsi"/>
        </w:rPr>
        <w:t xml:space="preserve"> along with high-level </w:t>
      </w:r>
      <w:r w:rsidR="00E70D6D">
        <w:rPr>
          <w:rFonts w:asciiTheme="minorHAnsi" w:hAnsiTheme="minorHAnsi" w:cstheme="minorHAnsi"/>
        </w:rPr>
        <w:t>M&amp;E</w:t>
      </w:r>
      <w:r w:rsidR="009D45DF">
        <w:rPr>
          <w:rFonts w:asciiTheme="minorHAnsi" w:hAnsiTheme="minorHAnsi" w:cstheme="minorHAnsi"/>
        </w:rPr>
        <w:t xml:space="preserve"> question</w:t>
      </w:r>
      <w:r w:rsidR="00E70D6D">
        <w:rPr>
          <w:rFonts w:asciiTheme="minorHAnsi" w:hAnsiTheme="minorHAnsi" w:cstheme="minorHAnsi"/>
        </w:rPr>
        <w:t>s</w:t>
      </w:r>
      <w:r w:rsidR="009D45DF">
        <w:rPr>
          <w:rFonts w:asciiTheme="minorHAnsi" w:hAnsiTheme="minorHAnsi" w:cstheme="minorHAnsi"/>
        </w:rPr>
        <w:t xml:space="preserve"> to guide evaluation in the sector</w:t>
      </w:r>
      <w:r w:rsidR="00093F1D">
        <w:rPr>
          <w:rFonts w:asciiTheme="minorHAnsi" w:hAnsiTheme="minorHAnsi" w:cstheme="minorHAnsi"/>
        </w:rPr>
        <w:t>, and will be updated as the program develops</w:t>
      </w:r>
      <w:r w:rsidR="009D45DF">
        <w:rPr>
          <w:rFonts w:asciiTheme="minorHAnsi" w:hAnsiTheme="minorHAnsi" w:cstheme="minorHAnsi"/>
        </w:rPr>
        <w:t xml:space="preserve">. </w:t>
      </w:r>
      <w:r w:rsidR="008364B6">
        <w:rPr>
          <w:rFonts w:asciiTheme="minorHAnsi" w:hAnsiTheme="minorHAnsi" w:cstheme="minorHAnsi"/>
        </w:rPr>
        <w:t>Indicators for the PAF are drawn from the Policy Reform Matrix, the</w:t>
      </w:r>
      <w:r w:rsidR="00C031E3">
        <w:rPr>
          <w:rFonts w:asciiTheme="minorHAnsi" w:hAnsiTheme="minorHAnsi" w:cstheme="minorHAnsi"/>
        </w:rPr>
        <w:t xml:space="preserve"> GoT’s TSDF, the PFM Roadmap</w:t>
      </w:r>
      <w:r w:rsidR="004452AC">
        <w:rPr>
          <w:rFonts w:asciiTheme="minorHAnsi" w:hAnsiTheme="minorHAnsi" w:cstheme="minorHAnsi"/>
        </w:rPr>
        <w:t>,</w:t>
      </w:r>
      <w:r w:rsidR="00C031E3">
        <w:rPr>
          <w:rFonts w:asciiTheme="minorHAnsi" w:hAnsiTheme="minorHAnsi" w:cstheme="minorHAnsi"/>
        </w:rPr>
        <w:t xml:space="preserve"> AusAID’s Governance Section PAF and</w:t>
      </w:r>
      <w:r w:rsidR="004452AC">
        <w:rPr>
          <w:rFonts w:asciiTheme="minorHAnsi" w:hAnsiTheme="minorHAnsi" w:cstheme="minorHAnsi"/>
        </w:rPr>
        <w:t xml:space="preserve"> the Tonga Governance Strengthening Program. The PAF</w:t>
      </w:r>
      <w:r w:rsidR="00C031E3">
        <w:rPr>
          <w:rFonts w:asciiTheme="minorHAnsi" w:hAnsiTheme="minorHAnsi" w:cstheme="minorHAnsi"/>
        </w:rPr>
        <w:t xml:space="preserve"> </w:t>
      </w:r>
      <w:r w:rsidR="004452AC">
        <w:rPr>
          <w:rFonts w:asciiTheme="minorHAnsi" w:hAnsiTheme="minorHAnsi" w:cstheme="minorHAnsi"/>
        </w:rPr>
        <w:t xml:space="preserve">is </w:t>
      </w:r>
      <w:r w:rsidR="00C031E3">
        <w:rPr>
          <w:rFonts w:asciiTheme="minorHAnsi" w:hAnsiTheme="minorHAnsi" w:cstheme="minorHAnsi"/>
        </w:rPr>
        <w:t>consistent with the program logic agreed upon with government stakeholders at the March Theory of Change workshop.</w:t>
      </w:r>
    </w:p>
    <w:p w:rsidR="008364B6" w:rsidRDefault="008364B6" w:rsidP="009D45DF">
      <w:pPr>
        <w:rPr>
          <w:rFonts w:asciiTheme="minorHAnsi" w:hAnsiTheme="minorHAnsi" w:cstheme="minorHAnsi"/>
        </w:rPr>
      </w:pPr>
    </w:p>
    <w:p w:rsidR="009D45DF" w:rsidRDefault="009D45DF" w:rsidP="009D45DF">
      <w:pPr>
        <w:rPr>
          <w:rFonts w:asciiTheme="minorHAnsi" w:hAnsiTheme="minorHAnsi" w:cstheme="minorHAnsi"/>
        </w:rPr>
      </w:pPr>
      <w:r>
        <w:rPr>
          <w:rFonts w:asciiTheme="minorHAnsi" w:hAnsiTheme="minorHAnsi" w:cstheme="minorHAnsi"/>
        </w:rPr>
        <w:t>More detailed performance measures</w:t>
      </w:r>
      <w:r w:rsidR="00DB4758">
        <w:rPr>
          <w:rFonts w:asciiTheme="minorHAnsi" w:hAnsiTheme="minorHAnsi" w:cstheme="minorHAnsi"/>
        </w:rPr>
        <w:t>, including a</w:t>
      </w:r>
      <w:r w:rsidR="004452AC">
        <w:rPr>
          <w:rFonts w:asciiTheme="minorHAnsi" w:hAnsiTheme="minorHAnsi" w:cstheme="minorHAnsi"/>
        </w:rPr>
        <w:t>n</w:t>
      </w:r>
      <w:r w:rsidR="00E70D6D">
        <w:rPr>
          <w:rFonts w:asciiTheme="minorHAnsi" w:hAnsiTheme="minorHAnsi" w:cstheme="minorHAnsi"/>
        </w:rPr>
        <w:t xml:space="preserve"> M&amp;E framework</w:t>
      </w:r>
      <w:r w:rsidR="00DB4758">
        <w:rPr>
          <w:rFonts w:asciiTheme="minorHAnsi" w:hAnsiTheme="minorHAnsi" w:cstheme="minorHAnsi"/>
        </w:rPr>
        <w:t>,</w:t>
      </w:r>
      <w:r>
        <w:rPr>
          <w:rFonts w:asciiTheme="minorHAnsi" w:hAnsiTheme="minorHAnsi" w:cstheme="minorHAnsi"/>
        </w:rPr>
        <w:t xml:space="preserve"> will be set out in initiative design and implementation arrangements.</w:t>
      </w:r>
      <w:r w:rsidR="00300E03">
        <w:rPr>
          <w:rFonts w:asciiTheme="minorHAnsi" w:hAnsiTheme="minorHAnsi" w:cstheme="minorHAnsi"/>
        </w:rPr>
        <w:t xml:space="preserve"> </w:t>
      </w:r>
      <w:r w:rsidR="00A3665B">
        <w:rPr>
          <w:rFonts w:asciiTheme="minorHAnsi" w:hAnsiTheme="minorHAnsi" w:cstheme="minorHAnsi"/>
        </w:rPr>
        <w:t>Implementation Schedules describing the aim, implementation plans, resources and management arrangements will be prepared in collaboration with the GoT and agreed to at annual Partnership talks.</w:t>
      </w:r>
      <w:r w:rsidR="00C63665">
        <w:rPr>
          <w:rFonts w:asciiTheme="minorHAnsi" w:hAnsiTheme="minorHAnsi" w:cstheme="minorHAnsi"/>
        </w:rPr>
        <w:t xml:space="preserve"> This will draw from the PAF and the EPSG M&amp;E framework.</w:t>
      </w:r>
    </w:p>
    <w:p w:rsidR="0029384B" w:rsidRDefault="0029384B" w:rsidP="00851F31">
      <w:pPr>
        <w:rPr>
          <w:rFonts w:asciiTheme="minorHAnsi" w:hAnsiTheme="minorHAnsi" w:cstheme="minorHAnsi"/>
        </w:rPr>
      </w:pPr>
    </w:p>
    <w:p w:rsidR="00432F39" w:rsidRPr="00432F39" w:rsidRDefault="00432F39" w:rsidP="00851F31">
      <w:pPr>
        <w:rPr>
          <w:rFonts w:asciiTheme="minorHAnsi" w:hAnsiTheme="minorHAnsi" w:cstheme="minorHAnsi"/>
          <w:b/>
        </w:rPr>
      </w:pPr>
      <w:r w:rsidRPr="00432F39">
        <w:rPr>
          <w:rFonts w:asciiTheme="minorHAnsi" w:hAnsiTheme="minorHAnsi" w:cstheme="minorHAnsi"/>
          <w:b/>
        </w:rPr>
        <w:t>Proposed performance management arrangements</w:t>
      </w:r>
    </w:p>
    <w:p w:rsidR="00851F31" w:rsidRDefault="00851F31" w:rsidP="00851F31">
      <w:pPr>
        <w:rPr>
          <w:rFonts w:asciiTheme="minorHAnsi" w:hAnsiTheme="minorHAnsi" w:cstheme="minorHAnsi"/>
        </w:rPr>
      </w:pPr>
      <w:r w:rsidRPr="00851F31">
        <w:rPr>
          <w:rFonts w:asciiTheme="minorHAnsi" w:hAnsiTheme="minorHAnsi" w:cstheme="minorHAnsi"/>
        </w:rPr>
        <w:t xml:space="preserve">Performance management aims to monitor activities and outputs that demonstrate progress towards end-of-strategy outcomes and to evaluate contributions to outcomes and purpose.  The proposed approach to performance management uses strategic indicators and performance questions implemented through four operational pillars to assess program performance. </w:t>
      </w:r>
      <w:r w:rsidR="009D45DF">
        <w:rPr>
          <w:rFonts w:asciiTheme="minorHAnsi" w:hAnsiTheme="minorHAnsi" w:cstheme="minorHAnsi"/>
        </w:rPr>
        <w:t>Monitoring and evaluation processes are aligned with GoT Corporate Plans and AusAID’s Comprehensive Aid Policy Framework.</w:t>
      </w:r>
    </w:p>
    <w:p w:rsidR="0029384B" w:rsidRDefault="0029384B" w:rsidP="0029384B">
      <w:pPr>
        <w:rPr>
          <w:b/>
          <w:sz w:val="20"/>
          <w:highlight w:val="yellow"/>
        </w:rPr>
      </w:pPr>
    </w:p>
    <w:p w:rsidR="00851F31" w:rsidRPr="00851F31" w:rsidRDefault="00851F31" w:rsidP="00851F31">
      <w:pPr>
        <w:rPr>
          <w:rFonts w:asciiTheme="minorHAnsi" w:hAnsiTheme="minorHAnsi" w:cstheme="minorHAnsi"/>
        </w:rPr>
      </w:pPr>
      <w:r w:rsidRPr="00851F31">
        <w:rPr>
          <w:rFonts w:asciiTheme="minorHAnsi" w:hAnsiTheme="minorHAnsi" w:cstheme="minorHAnsi"/>
        </w:rPr>
        <w:t>The four pillars are:</w:t>
      </w:r>
    </w:p>
    <w:p w:rsidR="000B31AE" w:rsidRDefault="00851F31" w:rsidP="00CE71F5">
      <w:pPr>
        <w:numPr>
          <w:ilvl w:val="0"/>
          <w:numId w:val="12"/>
        </w:numPr>
        <w:spacing w:before="240"/>
        <w:rPr>
          <w:rFonts w:asciiTheme="minorHAnsi" w:hAnsiTheme="minorHAnsi" w:cstheme="minorHAnsi"/>
        </w:rPr>
      </w:pPr>
      <w:r w:rsidRPr="00851F31">
        <w:rPr>
          <w:rFonts w:asciiTheme="minorHAnsi" w:hAnsiTheme="minorHAnsi" w:cstheme="minorHAnsi"/>
          <w:b/>
        </w:rPr>
        <w:t>Pillar 1: Regular quantitative and qualitative management monitoring</w:t>
      </w:r>
      <w:r w:rsidRPr="00851F31">
        <w:rPr>
          <w:rFonts w:asciiTheme="minorHAnsi" w:hAnsiTheme="minorHAnsi" w:cstheme="minorHAnsi"/>
        </w:rPr>
        <w:t xml:space="preserve"> –</w:t>
      </w:r>
      <w:r w:rsidR="00960EC8">
        <w:rPr>
          <w:rFonts w:asciiTheme="minorHAnsi" w:hAnsiTheme="minorHAnsi" w:cstheme="minorHAnsi"/>
        </w:rPr>
        <w:t xml:space="preserve"> </w:t>
      </w:r>
      <w:r w:rsidR="008E4407" w:rsidRPr="00CE71F5">
        <w:rPr>
          <w:rFonts w:asciiTheme="minorHAnsi" w:hAnsiTheme="minorHAnsi" w:cstheme="minorHAnsi"/>
        </w:rPr>
        <w:t xml:space="preserve">This pillar is designed to align with monitoring conducted by GoT partner agencies under their Corporate Plans. </w:t>
      </w:r>
      <w:r w:rsidR="006F6460">
        <w:rPr>
          <w:rFonts w:asciiTheme="minorHAnsi" w:hAnsiTheme="minorHAnsi" w:cstheme="minorHAnsi"/>
        </w:rPr>
        <w:t>I</w:t>
      </w:r>
      <w:r w:rsidR="00201C8D">
        <w:rPr>
          <w:rFonts w:asciiTheme="minorHAnsi" w:hAnsiTheme="minorHAnsi" w:cstheme="minorHAnsi"/>
        </w:rPr>
        <w:t>mplementation</w:t>
      </w:r>
      <w:r w:rsidR="0070545E">
        <w:rPr>
          <w:rFonts w:asciiTheme="minorHAnsi" w:hAnsiTheme="minorHAnsi" w:cstheme="minorHAnsi"/>
        </w:rPr>
        <w:t xml:space="preserve"> </w:t>
      </w:r>
      <w:r w:rsidR="00201C8D">
        <w:rPr>
          <w:rFonts w:asciiTheme="minorHAnsi" w:hAnsiTheme="minorHAnsi" w:cstheme="minorHAnsi"/>
        </w:rPr>
        <w:t>partners</w:t>
      </w:r>
      <w:r w:rsidR="0070545E">
        <w:rPr>
          <w:rFonts w:asciiTheme="minorHAnsi" w:hAnsiTheme="minorHAnsi" w:cstheme="minorHAnsi"/>
        </w:rPr>
        <w:t xml:space="preserve"> </w:t>
      </w:r>
      <w:r w:rsidR="00960EC8">
        <w:rPr>
          <w:rFonts w:asciiTheme="minorHAnsi" w:hAnsiTheme="minorHAnsi" w:cstheme="minorHAnsi"/>
        </w:rPr>
        <w:t xml:space="preserve">(GoT, </w:t>
      </w:r>
      <w:r w:rsidR="00960EC8" w:rsidRPr="00851F31">
        <w:rPr>
          <w:rFonts w:asciiTheme="minorHAnsi" w:hAnsiTheme="minorHAnsi" w:cstheme="minorHAnsi"/>
        </w:rPr>
        <w:t>advisers</w:t>
      </w:r>
      <w:r w:rsidR="00960EC8">
        <w:rPr>
          <w:rFonts w:asciiTheme="minorHAnsi" w:hAnsiTheme="minorHAnsi" w:cstheme="minorHAnsi"/>
        </w:rPr>
        <w:t>,</w:t>
      </w:r>
      <w:r w:rsidR="00960EC8" w:rsidRPr="00851F31">
        <w:rPr>
          <w:rFonts w:asciiTheme="minorHAnsi" w:hAnsiTheme="minorHAnsi" w:cstheme="minorHAnsi"/>
        </w:rPr>
        <w:t xml:space="preserve"> contractors</w:t>
      </w:r>
      <w:r w:rsidR="00960EC8">
        <w:rPr>
          <w:rFonts w:asciiTheme="minorHAnsi" w:hAnsiTheme="minorHAnsi" w:cstheme="minorHAnsi"/>
        </w:rPr>
        <w:t xml:space="preserve"> and donor partners) </w:t>
      </w:r>
      <w:r w:rsidR="0070545E">
        <w:rPr>
          <w:rFonts w:asciiTheme="minorHAnsi" w:hAnsiTheme="minorHAnsi" w:cstheme="minorHAnsi"/>
        </w:rPr>
        <w:t xml:space="preserve">will </w:t>
      </w:r>
      <w:r w:rsidR="0070545E" w:rsidRPr="00851F31">
        <w:rPr>
          <w:rFonts w:asciiTheme="minorHAnsi" w:hAnsiTheme="minorHAnsi" w:cstheme="minorHAnsi"/>
        </w:rPr>
        <w:t>monitor</w:t>
      </w:r>
      <w:r w:rsidR="0070545E">
        <w:rPr>
          <w:rFonts w:asciiTheme="minorHAnsi" w:hAnsiTheme="minorHAnsi" w:cstheme="minorHAnsi"/>
        </w:rPr>
        <w:t xml:space="preserve"> the</w:t>
      </w:r>
      <w:r w:rsidR="0070545E" w:rsidRPr="00851F31">
        <w:rPr>
          <w:rFonts w:asciiTheme="minorHAnsi" w:hAnsiTheme="minorHAnsi" w:cstheme="minorHAnsi"/>
        </w:rPr>
        <w:t xml:space="preserve"> adequacy of progress towards annual plan and end-of-strategy targets (</w:t>
      </w:r>
      <w:r w:rsidR="0070545E" w:rsidRPr="00851F31">
        <w:rPr>
          <w:rFonts w:asciiTheme="minorHAnsi" w:hAnsiTheme="minorHAnsi" w:cstheme="minorHAnsi"/>
          <w:i/>
        </w:rPr>
        <w:t>e.g</w:t>
      </w:r>
      <w:r w:rsidR="0070545E" w:rsidRPr="00851F31">
        <w:rPr>
          <w:rFonts w:asciiTheme="minorHAnsi" w:hAnsiTheme="minorHAnsi" w:cstheme="minorHAnsi"/>
        </w:rPr>
        <w:t>. variance from planned inputs, activities and outputs) and monitor the quality of outputs (</w:t>
      </w:r>
      <w:r w:rsidR="0070545E" w:rsidRPr="00851F31">
        <w:rPr>
          <w:rFonts w:asciiTheme="minorHAnsi" w:hAnsiTheme="minorHAnsi" w:cstheme="minorHAnsi"/>
          <w:i/>
        </w:rPr>
        <w:t>e.g</w:t>
      </w:r>
      <w:r w:rsidR="0070545E" w:rsidRPr="00851F31">
        <w:rPr>
          <w:rFonts w:asciiTheme="minorHAnsi" w:hAnsiTheme="minorHAnsi" w:cstheme="minorHAnsi"/>
        </w:rPr>
        <w:t>. training or mentoring)</w:t>
      </w:r>
      <w:r w:rsidR="0070545E">
        <w:rPr>
          <w:rFonts w:asciiTheme="minorHAnsi" w:hAnsiTheme="minorHAnsi" w:cstheme="minorHAnsi"/>
        </w:rPr>
        <w:t xml:space="preserve"> on a regular basis</w:t>
      </w:r>
      <w:r w:rsidR="0070545E" w:rsidRPr="00851F31">
        <w:rPr>
          <w:rFonts w:asciiTheme="minorHAnsi" w:hAnsiTheme="minorHAnsi" w:cstheme="minorHAnsi"/>
        </w:rPr>
        <w:t>.</w:t>
      </w:r>
      <w:r w:rsidR="00960EC8">
        <w:rPr>
          <w:rFonts w:asciiTheme="minorHAnsi" w:hAnsiTheme="minorHAnsi" w:cstheme="minorHAnsi"/>
        </w:rPr>
        <w:t xml:space="preserve"> This will be reported back to AusAID at regular intervals determined </w:t>
      </w:r>
      <w:r w:rsidR="00CB52E1">
        <w:rPr>
          <w:rFonts w:asciiTheme="minorHAnsi" w:hAnsiTheme="minorHAnsi" w:cstheme="minorHAnsi"/>
        </w:rPr>
        <w:t xml:space="preserve">and agreed upon by AusAID and the implementation partner </w:t>
      </w:r>
      <w:r w:rsidR="00960EC8">
        <w:rPr>
          <w:rFonts w:asciiTheme="minorHAnsi" w:hAnsiTheme="minorHAnsi" w:cstheme="minorHAnsi"/>
        </w:rPr>
        <w:t>at the design phase.</w:t>
      </w:r>
      <w:r w:rsidR="00060BB9">
        <w:rPr>
          <w:rFonts w:asciiTheme="minorHAnsi" w:hAnsiTheme="minorHAnsi" w:cstheme="minorHAnsi"/>
        </w:rPr>
        <w:t xml:space="preserve"> </w:t>
      </w:r>
    </w:p>
    <w:p w:rsidR="00CE71F5" w:rsidRPr="00CE71F5" w:rsidRDefault="000B31AE" w:rsidP="00CE71F5">
      <w:pPr>
        <w:numPr>
          <w:ilvl w:val="0"/>
          <w:numId w:val="12"/>
        </w:numPr>
        <w:spacing w:before="240"/>
        <w:rPr>
          <w:rFonts w:asciiTheme="minorHAnsi" w:hAnsiTheme="minorHAnsi" w:cstheme="minorHAnsi"/>
          <w:b/>
        </w:rPr>
      </w:pPr>
      <w:r w:rsidRPr="00CE71F5">
        <w:rPr>
          <w:rFonts w:asciiTheme="minorHAnsi" w:hAnsiTheme="minorHAnsi" w:cstheme="minorHAnsi"/>
          <w:b/>
        </w:rPr>
        <w:t xml:space="preserve">Pillar 2: </w:t>
      </w:r>
      <w:r w:rsidR="00CE71F5" w:rsidRPr="00CE71F5">
        <w:rPr>
          <w:rFonts w:asciiTheme="minorHAnsi" w:hAnsiTheme="minorHAnsi" w:cstheme="minorHAnsi"/>
          <w:b/>
        </w:rPr>
        <w:t>P</w:t>
      </w:r>
      <w:r w:rsidRPr="00CE71F5">
        <w:rPr>
          <w:rFonts w:asciiTheme="minorHAnsi" w:hAnsiTheme="minorHAnsi" w:cstheme="minorHAnsi"/>
          <w:b/>
        </w:rPr>
        <w:t xml:space="preserve">eriodic evaluation of performance </w:t>
      </w:r>
      <w:r w:rsidRPr="00CE71F5">
        <w:rPr>
          <w:rFonts w:asciiTheme="minorHAnsi" w:hAnsiTheme="minorHAnsi" w:cstheme="minorHAnsi"/>
        </w:rPr>
        <w:t>–</w:t>
      </w:r>
      <w:r w:rsidR="008E4407">
        <w:rPr>
          <w:rFonts w:asciiTheme="minorHAnsi" w:hAnsiTheme="minorHAnsi" w:cstheme="minorHAnsi"/>
        </w:rPr>
        <w:t xml:space="preserve"> </w:t>
      </w:r>
      <w:r w:rsidR="00CB52E1" w:rsidRPr="00CE71F5">
        <w:rPr>
          <w:rFonts w:asciiTheme="minorHAnsi" w:hAnsiTheme="minorHAnsi" w:cstheme="minorHAnsi"/>
        </w:rPr>
        <w:t>AusAID will work with implementation partners to undertake</w:t>
      </w:r>
      <w:r w:rsidR="00201C8D" w:rsidRPr="00CE71F5">
        <w:rPr>
          <w:rFonts w:asciiTheme="minorHAnsi" w:hAnsiTheme="minorHAnsi" w:cstheme="minorHAnsi"/>
        </w:rPr>
        <w:t xml:space="preserve"> </w:t>
      </w:r>
      <w:r w:rsidR="00CB52E1" w:rsidRPr="00CE71F5">
        <w:rPr>
          <w:rFonts w:asciiTheme="minorHAnsi" w:hAnsiTheme="minorHAnsi" w:cstheme="minorHAnsi"/>
        </w:rPr>
        <w:t xml:space="preserve">biannual </w:t>
      </w:r>
      <w:r w:rsidR="00201C8D" w:rsidRPr="00CE71F5">
        <w:rPr>
          <w:rFonts w:asciiTheme="minorHAnsi" w:hAnsiTheme="minorHAnsi" w:cstheme="minorHAnsi"/>
        </w:rPr>
        <w:t xml:space="preserve">output-to-purpose reviews as well as rapid appraisal of contextual change in the sector </w:t>
      </w:r>
      <w:r w:rsidR="00CB52E1" w:rsidRPr="00CE71F5">
        <w:rPr>
          <w:rFonts w:asciiTheme="minorHAnsi" w:hAnsiTheme="minorHAnsi" w:cstheme="minorHAnsi"/>
        </w:rPr>
        <w:t>(</w:t>
      </w:r>
      <w:r w:rsidR="00201C8D" w:rsidRPr="00CE71F5">
        <w:rPr>
          <w:rFonts w:asciiTheme="minorHAnsi" w:hAnsiTheme="minorHAnsi" w:cstheme="minorHAnsi"/>
        </w:rPr>
        <w:t>and GoT operating environment</w:t>
      </w:r>
      <w:r w:rsidR="00CB52E1" w:rsidRPr="00CE71F5">
        <w:rPr>
          <w:rFonts w:asciiTheme="minorHAnsi" w:hAnsiTheme="minorHAnsi" w:cstheme="minorHAnsi"/>
        </w:rPr>
        <w:t>)</w:t>
      </w:r>
      <w:r w:rsidR="002F0E26">
        <w:rPr>
          <w:rFonts w:asciiTheme="minorHAnsi" w:hAnsiTheme="minorHAnsi" w:cstheme="minorHAnsi"/>
        </w:rPr>
        <w:t>. These will</w:t>
      </w:r>
      <w:r w:rsidR="00201C8D" w:rsidRPr="00CE71F5">
        <w:rPr>
          <w:rFonts w:asciiTheme="minorHAnsi" w:hAnsiTheme="minorHAnsi" w:cstheme="minorHAnsi"/>
        </w:rPr>
        <w:t xml:space="preserve"> inform AusAID and GoT biannual </w:t>
      </w:r>
      <w:r w:rsidR="00CE71F5" w:rsidRPr="00CE71F5">
        <w:rPr>
          <w:rFonts w:asciiTheme="minorHAnsi" w:hAnsiTheme="minorHAnsi" w:cstheme="minorHAnsi"/>
        </w:rPr>
        <w:t>supervision missions</w:t>
      </w:r>
      <w:r w:rsidR="00201C8D" w:rsidRPr="00CE71F5">
        <w:rPr>
          <w:rFonts w:asciiTheme="minorHAnsi" w:hAnsiTheme="minorHAnsi" w:cstheme="minorHAnsi"/>
        </w:rPr>
        <w:t xml:space="preserve">. </w:t>
      </w:r>
    </w:p>
    <w:p w:rsidR="00CE71F5" w:rsidRDefault="00CE71F5" w:rsidP="00CE71F5">
      <w:pPr>
        <w:ind w:left="360"/>
        <w:rPr>
          <w:rFonts w:asciiTheme="minorHAnsi" w:hAnsiTheme="minorHAnsi" w:cstheme="minorHAnsi"/>
        </w:rPr>
      </w:pPr>
    </w:p>
    <w:p w:rsidR="007946DE" w:rsidRDefault="003F7957" w:rsidP="007946DE">
      <w:pPr>
        <w:ind w:left="360"/>
        <w:rPr>
          <w:rFonts w:asciiTheme="minorHAnsi" w:hAnsiTheme="minorHAnsi" w:cstheme="minorHAnsi"/>
        </w:rPr>
      </w:pPr>
      <w:r w:rsidRPr="00CB52E1">
        <w:rPr>
          <w:rFonts w:asciiTheme="minorHAnsi" w:hAnsiTheme="minorHAnsi" w:cstheme="minorHAnsi"/>
        </w:rPr>
        <w:t xml:space="preserve">The 2013 </w:t>
      </w:r>
      <w:r w:rsidR="008B23AD">
        <w:rPr>
          <w:rFonts w:asciiTheme="minorHAnsi" w:hAnsiTheme="minorHAnsi" w:cstheme="minorHAnsi"/>
        </w:rPr>
        <w:t>review</w:t>
      </w:r>
      <w:r w:rsidRPr="00CB52E1">
        <w:rPr>
          <w:rFonts w:asciiTheme="minorHAnsi" w:hAnsiTheme="minorHAnsi" w:cstheme="minorHAnsi"/>
        </w:rPr>
        <w:t xml:space="preserve"> of the EPSR program flagged the management of adviser performance as a key weakness with the existing program. AusAID will need to ensure that strong management arrangements are in place to avoid </w:t>
      </w:r>
      <w:r w:rsidR="00CB52E1">
        <w:rPr>
          <w:rFonts w:asciiTheme="minorHAnsi" w:hAnsiTheme="minorHAnsi" w:cstheme="minorHAnsi"/>
        </w:rPr>
        <w:t xml:space="preserve">adviser issues posing </w:t>
      </w:r>
      <w:r w:rsidRPr="00CB52E1">
        <w:rPr>
          <w:rFonts w:asciiTheme="minorHAnsi" w:hAnsiTheme="minorHAnsi" w:cstheme="minorHAnsi"/>
        </w:rPr>
        <w:t>an unnecessary burden on limited resources at Pos</w:t>
      </w:r>
      <w:r w:rsidR="0092241B">
        <w:rPr>
          <w:rFonts w:asciiTheme="minorHAnsi" w:hAnsiTheme="minorHAnsi" w:cstheme="minorHAnsi"/>
        </w:rPr>
        <w:t>t</w:t>
      </w:r>
      <w:r w:rsidRPr="00CB52E1">
        <w:rPr>
          <w:rFonts w:asciiTheme="minorHAnsi" w:hAnsiTheme="minorHAnsi" w:cstheme="minorHAnsi"/>
        </w:rPr>
        <w:t xml:space="preserve">. </w:t>
      </w:r>
      <w:r w:rsidR="003A156A">
        <w:rPr>
          <w:rFonts w:asciiTheme="minorHAnsi" w:hAnsiTheme="minorHAnsi" w:cstheme="minorHAnsi"/>
        </w:rPr>
        <w:t>In order to address this issue, AusAID will request all adviser TORs include a requirement for advisers to report biannually on progress achieved to date. This will be complemented by quarterly informal discussions between AusAID (Senior Program Manager) and advisers</w:t>
      </w:r>
      <w:r w:rsidR="00BD6068">
        <w:rPr>
          <w:rFonts w:asciiTheme="minorHAnsi" w:hAnsiTheme="minorHAnsi" w:cstheme="minorHAnsi"/>
        </w:rPr>
        <w:t xml:space="preserve"> </w:t>
      </w:r>
      <w:r w:rsidR="003A156A">
        <w:rPr>
          <w:rFonts w:asciiTheme="minorHAnsi" w:hAnsiTheme="minorHAnsi" w:cstheme="minorHAnsi"/>
        </w:rPr>
        <w:t xml:space="preserve">as well as annual </w:t>
      </w:r>
      <w:r w:rsidR="00CE71F5">
        <w:rPr>
          <w:rFonts w:asciiTheme="minorHAnsi" w:hAnsiTheme="minorHAnsi" w:cstheme="minorHAnsi"/>
        </w:rPr>
        <w:t>Adviser Performance Assessments</w:t>
      </w:r>
      <w:r w:rsidR="003A156A">
        <w:rPr>
          <w:rFonts w:asciiTheme="minorHAnsi" w:hAnsiTheme="minorHAnsi" w:cstheme="minorHAnsi"/>
        </w:rPr>
        <w:t>.</w:t>
      </w:r>
      <w:r w:rsidR="007946DE">
        <w:rPr>
          <w:rFonts w:asciiTheme="minorHAnsi" w:hAnsiTheme="minorHAnsi" w:cstheme="minorHAnsi"/>
        </w:rPr>
        <w:t xml:space="preserve"> </w:t>
      </w:r>
    </w:p>
    <w:p w:rsidR="000B31AE" w:rsidRDefault="000B31AE" w:rsidP="00CE71F5">
      <w:pPr>
        <w:numPr>
          <w:ilvl w:val="0"/>
          <w:numId w:val="12"/>
        </w:numPr>
        <w:spacing w:before="240"/>
        <w:rPr>
          <w:rFonts w:asciiTheme="minorHAnsi" w:hAnsiTheme="minorHAnsi" w:cstheme="minorHAnsi"/>
        </w:rPr>
      </w:pPr>
      <w:r w:rsidRPr="00851F31">
        <w:rPr>
          <w:rFonts w:asciiTheme="minorHAnsi" w:hAnsiTheme="minorHAnsi" w:cstheme="minorHAnsi"/>
          <w:b/>
        </w:rPr>
        <w:t xml:space="preserve">Pillar 3: Scheduled AusAID and GoT supervision </w:t>
      </w:r>
      <w:r w:rsidRPr="00851F31">
        <w:rPr>
          <w:rFonts w:asciiTheme="minorHAnsi" w:hAnsiTheme="minorHAnsi" w:cstheme="minorHAnsi"/>
        </w:rPr>
        <w:t>–</w:t>
      </w:r>
      <w:r w:rsidR="00B266AB" w:rsidRPr="00851F31">
        <w:rPr>
          <w:rFonts w:asciiTheme="minorHAnsi" w:hAnsiTheme="minorHAnsi" w:cstheme="minorHAnsi"/>
        </w:rPr>
        <w:t xml:space="preserve"> evaluation questions will be used to guide joint AusAID and </w:t>
      </w:r>
      <w:r w:rsidR="00B266AB">
        <w:rPr>
          <w:rFonts w:asciiTheme="minorHAnsi" w:hAnsiTheme="minorHAnsi" w:cstheme="minorHAnsi"/>
        </w:rPr>
        <w:t>GoT</w:t>
      </w:r>
      <w:r w:rsidR="00B266AB" w:rsidRPr="00851F31">
        <w:rPr>
          <w:rFonts w:asciiTheme="minorHAnsi" w:hAnsiTheme="minorHAnsi" w:cstheme="minorHAnsi"/>
        </w:rPr>
        <w:t xml:space="preserve"> scheduled </w:t>
      </w:r>
      <w:r w:rsidR="00B266AB">
        <w:rPr>
          <w:rFonts w:asciiTheme="minorHAnsi" w:hAnsiTheme="minorHAnsi" w:cstheme="minorHAnsi"/>
        </w:rPr>
        <w:t xml:space="preserve">biannual </w:t>
      </w:r>
      <w:r w:rsidR="00B266AB" w:rsidRPr="00851F31">
        <w:rPr>
          <w:rFonts w:asciiTheme="minorHAnsi" w:hAnsiTheme="minorHAnsi" w:cstheme="minorHAnsi"/>
        </w:rPr>
        <w:t>supervision missions</w:t>
      </w:r>
      <w:r w:rsidR="00B266AB">
        <w:rPr>
          <w:rFonts w:asciiTheme="minorHAnsi" w:hAnsiTheme="minorHAnsi" w:cstheme="minorHAnsi"/>
        </w:rPr>
        <w:t xml:space="preserve"> to assess whole of strategy performance</w:t>
      </w:r>
      <w:r w:rsidR="00B266AB" w:rsidRPr="00851F31">
        <w:rPr>
          <w:rFonts w:asciiTheme="minorHAnsi" w:hAnsiTheme="minorHAnsi" w:cstheme="minorHAnsi"/>
        </w:rPr>
        <w:t xml:space="preserve">. This pillar also includes scheduled and </w:t>
      </w:r>
      <w:r w:rsidR="00B266AB" w:rsidRPr="00851F31">
        <w:rPr>
          <w:rFonts w:asciiTheme="minorHAnsi" w:hAnsiTheme="minorHAnsi" w:cstheme="minorHAnsi"/>
          <w:i/>
        </w:rPr>
        <w:t>ad hoc</w:t>
      </w:r>
      <w:r w:rsidR="00B266AB" w:rsidRPr="00851F31">
        <w:rPr>
          <w:rFonts w:asciiTheme="minorHAnsi" w:hAnsiTheme="minorHAnsi" w:cstheme="minorHAnsi"/>
        </w:rPr>
        <w:t xml:space="preserve"> (</w:t>
      </w:r>
      <w:r w:rsidR="00B266AB" w:rsidRPr="00851F31">
        <w:rPr>
          <w:rFonts w:asciiTheme="minorHAnsi" w:hAnsiTheme="minorHAnsi" w:cstheme="minorHAnsi"/>
          <w:i/>
        </w:rPr>
        <w:t>e.g</w:t>
      </w:r>
      <w:r w:rsidR="00B266AB" w:rsidRPr="00851F31">
        <w:rPr>
          <w:rFonts w:asciiTheme="minorHAnsi" w:hAnsiTheme="minorHAnsi" w:cstheme="minorHAnsi"/>
        </w:rPr>
        <w:t>. case study) evaluations to assess performance at a whole-of-strategy level.</w:t>
      </w:r>
      <w:r w:rsidR="00B266AB">
        <w:rPr>
          <w:rFonts w:asciiTheme="minorHAnsi" w:hAnsiTheme="minorHAnsi" w:cstheme="minorHAnsi"/>
        </w:rPr>
        <w:t xml:space="preserve"> As part of this performance arrangement pillar, AusAID will hold </w:t>
      </w:r>
      <w:r w:rsidR="00FE4E5B">
        <w:rPr>
          <w:rFonts w:asciiTheme="minorHAnsi" w:hAnsiTheme="minorHAnsi" w:cstheme="minorHAnsi"/>
        </w:rPr>
        <w:t xml:space="preserve">scheduled quarterly </w:t>
      </w:r>
      <w:r w:rsidR="00B266AB">
        <w:rPr>
          <w:rFonts w:asciiTheme="minorHAnsi" w:hAnsiTheme="minorHAnsi" w:cstheme="minorHAnsi"/>
        </w:rPr>
        <w:t xml:space="preserve">meetings with the </w:t>
      </w:r>
      <w:r w:rsidR="00743C55">
        <w:rPr>
          <w:rFonts w:asciiTheme="minorHAnsi" w:hAnsiTheme="minorHAnsi" w:cstheme="minorHAnsi"/>
        </w:rPr>
        <w:t xml:space="preserve">GoT’s </w:t>
      </w:r>
      <w:r w:rsidR="00B266AB">
        <w:rPr>
          <w:rFonts w:asciiTheme="minorHAnsi" w:hAnsiTheme="minorHAnsi" w:cstheme="minorHAnsi"/>
        </w:rPr>
        <w:t>P</w:t>
      </w:r>
      <w:r w:rsidR="00743C55">
        <w:rPr>
          <w:rFonts w:asciiTheme="minorHAnsi" w:hAnsiTheme="minorHAnsi" w:cstheme="minorHAnsi"/>
        </w:rPr>
        <w:t xml:space="preserve">roject and </w:t>
      </w:r>
      <w:r w:rsidR="00B266AB">
        <w:rPr>
          <w:rFonts w:asciiTheme="minorHAnsi" w:hAnsiTheme="minorHAnsi" w:cstheme="minorHAnsi"/>
        </w:rPr>
        <w:t>A</w:t>
      </w:r>
      <w:r w:rsidR="00743C55">
        <w:rPr>
          <w:rFonts w:asciiTheme="minorHAnsi" w:hAnsiTheme="minorHAnsi" w:cstheme="minorHAnsi"/>
        </w:rPr>
        <w:t xml:space="preserve">id </w:t>
      </w:r>
      <w:r w:rsidR="00B266AB">
        <w:rPr>
          <w:rFonts w:asciiTheme="minorHAnsi" w:hAnsiTheme="minorHAnsi" w:cstheme="minorHAnsi"/>
        </w:rPr>
        <w:t>C</w:t>
      </w:r>
      <w:r w:rsidR="00743C55">
        <w:rPr>
          <w:rFonts w:asciiTheme="minorHAnsi" w:hAnsiTheme="minorHAnsi" w:cstheme="minorHAnsi"/>
        </w:rPr>
        <w:t xml:space="preserve">oordination </w:t>
      </w:r>
      <w:r w:rsidR="00B266AB">
        <w:rPr>
          <w:rFonts w:asciiTheme="minorHAnsi" w:hAnsiTheme="minorHAnsi" w:cstheme="minorHAnsi"/>
        </w:rPr>
        <w:t>C</w:t>
      </w:r>
      <w:r w:rsidR="00743C55">
        <w:rPr>
          <w:rFonts w:asciiTheme="minorHAnsi" w:hAnsiTheme="minorHAnsi" w:cstheme="minorHAnsi"/>
        </w:rPr>
        <w:t>ommittee</w:t>
      </w:r>
      <w:r w:rsidR="00B266AB">
        <w:rPr>
          <w:rFonts w:asciiTheme="minorHAnsi" w:hAnsiTheme="minorHAnsi" w:cstheme="minorHAnsi"/>
        </w:rPr>
        <w:t xml:space="preserve"> to ensure program coherence and oversight.</w:t>
      </w:r>
    </w:p>
    <w:p w:rsidR="00851F31" w:rsidRPr="00C415C7" w:rsidRDefault="00851F31" w:rsidP="00CE71F5">
      <w:pPr>
        <w:numPr>
          <w:ilvl w:val="0"/>
          <w:numId w:val="12"/>
        </w:numPr>
        <w:spacing w:before="240"/>
        <w:rPr>
          <w:rFonts w:asciiTheme="minorHAnsi" w:hAnsiTheme="minorHAnsi" w:cstheme="minorHAnsi"/>
        </w:rPr>
      </w:pPr>
      <w:r w:rsidRPr="003364CF">
        <w:rPr>
          <w:rFonts w:asciiTheme="minorHAnsi" w:hAnsiTheme="minorHAnsi" w:cstheme="minorHAnsi"/>
          <w:b/>
        </w:rPr>
        <w:t xml:space="preserve">Pillar 4: Sense-making and communication </w:t>
      </w:r>
      <w:r w:rsidRPr="00C415C7">
        <w:rPr>
          <w:rFonts w:asciiTheme="minorHAnsi" w:hAnsiTheme="minorHAnsi" w:cstheme="minorHAnsi"/>
        </w:rPr>
        <w:t>– data from the above three pillars will be collated, synthesised, interpreted and analysed to provide feedback to GoT (especially agency CEOs), civil society and public sector stakeholders</w:t>
      </w:r>
      <w:r w:rsidR="00FE4E5B" w:rsidRPr="00C415C7">
        <w:rPr>
          <w:rFonts w:asciiTheme="minorHAnsi" w:hAnsiTheme="minorHAnsi" w:cstheme="minorHAnsi"/>
        </w:rPr>
        <w:t>, when required</w:t>
      </w:r>
      <w:r w:rsidRPr="00C415C7">
        <w:rPr>
          <w:rFonts w:asciiTheme="minorHAnsi" w:hAnsiTheme="minorHAnsi" w:cstheme="minorHAnsi"/>
        </w:rPr>
        <w:t>.</w:t>
      </w:r>
      <w:r w:rsidR="00FB4A7E">
        <w:rPr>
          <w:rFonts w:asciiTheme="minorHAnsi" w:hAnsiTheme="minorHAnsi" w:cstheme="minorHAnsi"/>
        </w:rPr>
        <w:t xml:space="preserve"> </w:t>
      </w:r>
      <w:r w:rsidRPr="00C415C7">
        <w:rPr>
          <w:rFonts w:asciiTheme="minorHAnsi" w:hAnsiTheme="minorHAnsi" w:cstheme="minorHAnsi"/>
        </w:rPr>
        <w:t>The analysis will be complemented by – and where possible benchmarked against – national data (</w:t>
      </w:r>
      <w:r w:rsidRPr="00C415C7">
        <w:rPr>
          <w:rFonts w:asciiTheme="minorHAnsi" w:hAnsiTheme="minorHAnsi" w:cstheme="minorHAnsi"/>
          <w:i/>
        </w:rPr>
        <w:t>e.g</w:t>
      </w:r>
      <w:r w:rsidRPr="00C415C7">
        <w:rPr>
          <w:rFonts w:asciiTheme="minorHAnsi" w:hAnsiTheme="minorHAnsi" w:cstheme="minorHAnsi"/>
        </w:rPr>
        <w:t>. data from the Statistics Department) and international PFM benchmarks (</w:t>
      </w:r>
      <w:r w:rsidRPr="00C415C7">
        <w:rPr>
          <w:rFonts w:asciiTheme="minorHAnsi" w:hAnsiTheme="minorHAnsi" w:cstheme="minorHAnsi"/>
          <w:i/>
        </w:rPr>
        <w:t>e.g</w:t>
      </w:r>
      <w:r w:rsidRPr="00C415C7">
        <w:rPr>
          <w:rFonts w:asciiTheme="minorHAnsi" w:hAnsiTheme="minorHAnsi" w:cstheme="minorHAnsi"/>
        </w:rPr>
        <w:t>. PEFA, ADB Regional Assessments and IMF Assessments). Communications will take into account the need for concise plain language; the information most relevant to inform different levels of the system (</w:t>
      </w:r>
      <w:r w:rsidRPr="00C415C7">
        <w:rPr>
          <w:rFonts w:asciiTheme="minorHAnsi" w:hAnsiTheme="minorHAnsi" w:cstheme="minorHAnsi"/>
          <w:i/>
        </w:rPr>
        <w:t>e.g</w:t>
      </w:r>
      <w:r w:rsidRPr="00C415C7">
        <w:rPr>
          <w:rFonts w:asciiTheme="minorHAnsi" w:hAnsiTheme="minorHAnsi" w:cstheme="minorHAnsi"/>
        </w:rPr>
        <w:t>. decision makers, servic</w:t>
      </w:r>
      <w:r w:rsidR="00A35D8B" w:rsidRPr="00C415C7">
        <w:rPr>
          <w:rFonts w:asciiTheme="minorHAnsi" w:hAnsiTheme="minorHAnsi" w:cstheme="minorHAnsi"/>
        </w:rPr>
        <w:t>e providers and citizen groups);</w:t>
      </w:r>
      <w:r w:rsidRPr="00C415C7">
        <w:rPr>
          <w:rFonts w:asciiTheme="minorHAnsi" w:hAnsiTheme="minorHAnsi" w:cstheme="minorHAnsi"/>
        </w:rPr>
        <w:t xml:space="preserve"> and inclusion of diverse stakeholders including </w:t>
      </w:r>
      <w:r w:rsidR="00B171DE" w:rsidRPr="00C415C7">
        <w:rPr>
          <w:rFonts w:asciiTheme="minorHAnsi" w:hAnsiTheme="minorHAnsi" w:cstheme="minorHAnsi"/>
        </w:rPr>
        <w:t>female and male</w:t>
      </w:r>
      <w:r w:rsidRPr="00C415C7">
        <w:rPr>
          <w:rFonts w:asciiTheme="minorHAnsi" w:hAnsiTheme="minorHAnsi" w:cstheme="minorHAnsi"/>
        </w:rPr>
        <w:t xml:space="preserve"> public servants, citizens and their civil society groups, professional bodies and the private sector.</w:t>
      </w:r>
      <w:r w:rsidR="005947D6" w:rsidRPr="00C415C7">
        <w:rPr>
          <w:rFonts w:asciiTheme="minorHAnsi" w:hAnsiTheme="minorHAnsi" w:cstheme="minorHAnsi"/>
        </w:rPr>
        <w:t xml:space="preserve"> </w:t>
      </w:r>
    </w:p>
    <w:p w:rsidR="005D61D0" w:rsidRDefault="005D61D0" w:rsidP="007D78E7">
      <w:pPr>
        <w:rPr>
          <w:rFonts w:cstheme="minorHAnsi"/>
        </w:rPr>
      </w:pPr>
    </w:p>
    <w:p w:rsidR="00B171DE" w:rsidRPr="00B171DE" w:rsidRDefault="00EF7DBE" w:rsidP="007D78E7">
      <w:pPr>
        <w:rPr>
          <w:rFonts w:asciiTheme="minorHAnsi" w:hAnsiTheme="minorHAnsi" w:cstheme="minorHAnsi"/>
          <w:b/>
        </w:rPr>
      </w:pPr>
      <w:r>
        <w:rPr>
          <w:rFonts w:asciiTheme="minorHAnsi" w:hAnsiTheme="minorHAnsi" w:cstheme="minorHAnsi"/>
          <w:b/>
        </w:rPr>
        <w:t>EPSG p</w:t>
      </w:r>
      <w:r w:rsidR="000524A5">
        <w:rPr>
          <w:rFonts w:asciiTheme="minorHAnsi" w:hAnsiTheme="minorHAnsi" w:cstheme="minorHAnsi"/>
          <w:b/>
        </w:rPr>
        <w:t>rogram r</w:t>
      </w:r>
      <w:r w:rsidR="00B171DE" w:rsidRPr="00B171DE">
        <w:rPr>
          <w:rFonts w:asciiTheme="minorHAnsi" w:hAnsiTheme="minorHAnsi" w:cstheme="minorHAnsi"/>
          <w:b/>
        </w:rPr>
        <w:t xml:space="preserve">eviews </w:t>
      </w:r>
    </w:p>
    <w:p w:rsidR="007D78E7" w:rsidRDefault="007D78E7" w:rsidP="007D78E7">
      <w:pPr>
        <w:rPr>
          <w:rFonts w:asciiTheme="minorHAnsi" w:hAnsiTheme="minorHAnsi" w:cstheme="minorHAnsi"/>
        </w:rPr>
      </w:pPr>
      <w:r w:rsidRPr="007D78E7">
        <w:rPr>
          <w:rFonts w:asciiTheme="minorHAnsi" w:hAnsiTheme="minorHAnsi" w:cstheme="minorHAnsi"/>
        </w:rPr>
        <w:t xml:space="preserve">A mid-term review of the </w:t>
      </w:r>
      <w:r w:rsidR="000524A5">
        <w:rPr>
          <w:rFonts w:asciiTheme="minorHAnsi" w:hAnsiTheme="minorHAnsi" w:cstheme="minorHAnsi"/>
        </w:rPr>
        <w:t>program</w:t>
      </w:r>
      <w:r w:rsidRPr="007D78E7">
        <w:rPr>
          <w:rFonts w:asciiTheme="minorHAnsi" w:hAnsiTheme="minorHAnsi" w:cstheme="minorHAnsi"/>
        </w:rPr>
        <w:t xml:space="preserve"> will be conducted </w:t>
      </w:r>
      <w:r w:rsidR="00CD0566">
        <w:rPr>
          <w:rFonts w:asciiTheme="minorHAnsi" w:hAnsiTheme="minorHAnsi" w:cstheme="minorHAnsi"/>
        </w:rPr>
        <w:t>in early</w:t>
      </w:r>
      <w:r w:rsidRPr="007D78E7">
        <w:rPr>
          <w:rFonts w:asciiTheme="minorHAnsi" w:hAnsiTheme="minorHAnsi" w:cstheme="minorHAnsi"/>
        </w:rPr>
        <w:t xml:space="preserve"> 201</w:t>
      </w:r>
      <w:r>
        <w:rPr>
          <w:rFonts w:asciiTheme="minorHAnsi" w:hAnsiTheme="minorHAnsi" w:cstheme="minorHAnsi"/>
        </w:rPr>
        <w:t>5</w:t>
      </w:r>
      <w:r w:rsidRPr="007D78E7">
        <w:rPr>
          <w:rFonts w:asciiTheme="minorHAnsi" w:hAnsiTheme="minorHAnsi" w:cstheme="minorHAnsi"/>
        </w:rPr>
        <w:t>-1</w:t>
      </w:r>
      <w:r>
        <w:rPr>
          <w:rFonts w:asciiTheme="minorHAnsi" w:hAnsiTheme="minorHAnsi" w:cstheme="minorHAnsi"/>
        </w:rPr>
        <w:t>6</w:t>
      </w:r>
      <w:r w:rsidRPr="007D78E7">
        <w:rPr>
          <w:rFonts w:asciiTheme="minorHAnsi" w:hAnsiTheme="minorHAnsi" w:cstheme="minorHAnsi"/>
        </w:rPr>
        <w:t xml:space="preserve">. This will provide an opportunity to </w:t>
      </w:r>
      <w:r w:rsidR="007A13A4" w:rsidRPr="007D78E7">
        <w:rPr>
          <w:rFonts w:asciiTheme="minorHAnsi" w:hAnsiTheme="minorHAnsi" w:cstheme="minorHAnsi"/>
        </w:rPr>
        <w:t xml:space="preserve">review progress </w:t>
      </w:r>
      <w:r w:rsidRPr="007D78E7">
        <w:rPr>
          <w:rFonts w:asciiTheme="minorHAnsi" w:hAnsiTheme="minorHAnsi" w:cstheme="minorHAnsi"/>
        </w:rPr>
        <w:t xml:space="preserve">more broadly and assess whether any major changes in approach or outcome targets are required. A final review of this </w:t>
      </w:r>
      <w:r w:rsidR="006E1D20">
        <w:rPr>
          <w:rFonts w:asciiTheme="minorHAnsi" w:hAnsiTheme="minorHAnsi" w:cstheme="minorHAnsi"/>
        </w:rPr>
        <w:t>Delivery Strategy</w:t>
      </w:r>
      <w:r w:rsidRPr="007D78E7">
        <w:rPr>
          <w:rFonts w:asciiTheme="minorHAnsi" w:hAnsiTheme="minorHAnsi" w:cstheme="minorHAnsi"/>
        </w:rPr>
        <w:t xml:space="preserve"> is expected to occur</w:t>
      </w:r>
      <w:r>
        <w:rPr>
          <w:rFonts w:asciiTheme="minorHAnsi" w:hAnsiTheme="minorHAnsi" w:cstheme="minorHAnsi"/>
        </w:rPr>
        <w:t xml:space="preserve"> at the end of 2017</w:t>
      </w:r>
      <w:r w:rsidRPr="007D78E7">
        <w:rPr>
          <w:rFonts w:asciiTheme="minorHAnsi" w:hAnsiTheme="minorHAnsi" w:cstheme="minorHAnsi"/>
        </w:rPr>
        <w:t>.</w:t>
      </w:r>
      <w:r w:rsidR="007A13A4">
        <w:rPr>
          <w:rFonts w:asciiTheme="minorHAnsi" w:hAnsiTheme="minorHAnsi" w:cstheme="minorHAnsi"/>
        </w:rPr>
        <w:t xml:space="preserve"> </w:t>
      </w:r>
    </w:p>
    <w:p w:rsidR="00E31650" w:rsidRPr="007D78E7" w:rsidRDefault="00E31650" w:rsidP="007D78E7">
      <w:pPr>
        <w:rPr>
          <w:rFonts w:asciiTheme="minorHAnsi" w:hAnsiTheme="minorHAnsi" w:cstheme="minorHAnsi"/>
        </w:rPr>
      </w:pPr>
    </w:p>
    <w:p w:rsidR="004D6FF3" w:rsidRDefault="004D6FF3" w:rsidP="00A11CCA">
      <w:pPr>
        <w:pStyle w:val="Heading2"/>
        <w:numPr>
          <w:ilvl w:val="0"/>
          <w:numId w:val="7"/>
        </w:numPr>
        <w:spacing w:before="0" w:after="240"/>
      </w:pPr>
      <w:bookmarkStart w:id="29" w:name="_Toc356389382"/>
      <w:r>
        <w:t>Risk management</w:t>
      </w:r>
      <w:bookmarkEnd w:id="29"/>
    </w:p>
    <w:p w:rsidR="00795628" w:rsidRDefault="009D626B" w:rsidP="001A5546">
      <w:pPr>
        <w:rPr>
          <w:rFonts w:asciiTheme="minorHAnsi" w:hAnsiTheme="minorHAnsi" w:cstheme="minorHAnsi"/>
        </w:rPr>
      </w:pPr>
      <w:r>
        <w:rPr>
          <w:rFonts w:asciiTheme="minorHAnsi" w:hAnsiTheme="minorHAnsi" w:cstheme="minorHAnsi"/>
        </w:rPr>
        <w:t xml:space="preserve">Key risks for development and implementation of activities under this </w:t>
      </w:r>
      <w:r w:rsidR="006E1D20">
        <w:rPr>
          <w:rFonts w:asciiTheme="minorHAnsi" w:hAnsiTheme="minorHAnsi" w:cstheme="minorHAnsi"/>
        </w:rPr>
        <w:t>Delivery Strategy</w:t>
      </w:r>
      <w:r>
        <w:rPr>
          <w:rFonts w:asciiTheme="minorHAnsi" w:hAnsiTheme="minorHAnsi" w:cstheme="minorHAnsi"/>
        </w:rPr>
        <w:t xml:space="preserve"> are</w:t>
      </w:r>
      <w:r w:rsidR="00860F46">
        <w:rPr>
          <w:rFonts w:asciiTheme="minorHAnsi" w:hAnsiTheme="minorHAnsi" w:cstheme="minorHAnsi"/>
        </w:rPr>
        <w:t xml:space="preserve"> identified below</w:t>
      </w:r>
      <w:r w:rsidR="00AA71CB">
        <w:rPr>
          <w:rFonts w:asciiTheme="minorHAnsi" w:hAnsiTheme="minorHAnsi" w:cstheme="minorHAnsi"/>
        </w:rPr>
        <w:t xml:space="preserve"> and detailed at </w:t>
      </w:r>
      <w:r w:rsidR="00A601B2">
        <w:rPr>
          <w:rFonts w:asciiTheme="minorHAnsi" w:hAnsiTheme="minorHAnsi" w:cstheme="minorHAnsi"/>
        </w:rPr>
        <w:t>Annex 2</w:t>
      </w:r>
      <w:r w:rsidR="007E62D2">
        <w:rPr>
          <w:rFonts w:asciiTheme="minorHAnsi" w:hAnsiTheme="minorHAnsi" w:cstheme="minorHAnsi"/>
        </w:rPr>
        <w:t xml:space="preserve">. </w:t>
      </w:r>
      <w:r w:rsidR="00A601B2">
        <w:rPr>
          <w:rFonts w:asciiTheme="minorHAnsi" w:hAnsiTheme="minorHAnsi" w:cstheme="minorHAnsi"/>
        </w:rPr>
        <w:t xml:space="preserve">Treatments will be identified and managed through the full sector risk register, design processes and ongoing investment management practices </w:t>
      </w:r>
      <w:r w:rsidR="00CF743F">
        <w:rPr>
          <w:rFonts w:asciiTheme="minorHAnsi" w:hAnsiTheme="minorHAnsi" w:cstheme="minorHAnsi"/>
        </w:rPr>
        <w:t>in line with AusAID’s Risk Management Framework and Policy.</w:t>
      </w:r>
      <w:r w:rsidR="00860F46">
        <w:rPr>
          <w:rFonts w:asciiTheme="minorHAnsi" w:hAnsiTheme="minorHAnsi" w:cstheme="minorHAnsi"/>
        </w:rPr>
        <w:t xml:space="preserve"> </w:t>
      </w:r>
    </w:p>
    <w:p w:rsidR="00860F46" w:rsidRDefault="00860F46" w:rsidP="001A5546">
      <w:pPr>
        <w:rPr>
          <w:rFonts w:asciiTheme="minorHAnsi" w:hAnsiTheme="minorHAnsi" w:cstheme="minorHAnsi"/>
        </w:rPr>
      </w:pPr>
    </w:p>
    <w:p w:rsidR="00860F46" w:rsidRDefault="00860F46" w:rsidP="001A5546">
      <w:pPr>
        <w:rPr>
          <w:rFonts w:asciiTheme="minorHAnsi" w:hAnsiTheme="minorHAnsi" w:cstheme="minorHAnsi"/>
        </w:rPr>
      </w:pPr>
      <w:r>
        <w:rPr>
          <w:rFonts w:asciiTheme="minorHAnsi" w:hAnsiTheme="minorHAnsi" w:cstheme="minorHAnsi"/>
        </w:rPr>
        <w:t xml:space="preserve">Key risks </w:t>
      </w:r>
      <w:r w:rsidR="00CF743F">
        <w:rPr>
          <w:rFonts w:asciiTheme="minorHAnsi" w:hAnsiTheme="minorHAnsi" w:cstheme="minorHAnsi"/>
        </w:rPr>
        <w:t xml:space="preserve">for this Delivery Strategy </w:t>
      </w:r>
      <w:r>
        <w:rPr>
          <w:rFonts w:asciiTheme="minorHAnsi" w:hAnsiTheme="minorHAnsi" w:cstheme="minorHAnsi"/>
        </w:rPr>
        <w:t>are:</w:t>
      </w:r>
    </w:p>
    <w:p w:rsidR="00860F46" w:rsidRPr="0078497A" w:rsidRDefault="00860F46" w:rsidP="00860F46">
      <w:pPr>
        <w:pStyle w:val="ListParagraph"/>
        <w:numPr>
          <w:ilvl w:val="0"/>
          <w:numId w:val="9"/>
        </w:numPr>
        <w:rPr>
          <w:sz w:val="28"/>
        </w:rPr>
      </w:pPr>
      <w:r w:rsidRPr="00860F46">
        <w:rPr>
          <w:rFonts w:cstheme="minorHAnsi"/>
          <w:sz w:val="24"/>
          <w:szCs w:val="20"/>
        </w:rPr>
        <w:t>A shock to Tonga’s macroeconomic stability due to natural disasters, deterioration of global economic conditions, domestic policy, decrease in external assistance, etc. undermine</w:t>
      </w:r>
      <w:r w:rsidR="00D12BDB">
        <w:rPr>
          <w:rFonts w:cstheme="minorHAnsi"/>
          <w:sz w:val="24"/>
          <w:szCs w:val="20"/>
        </w:rPr>
        <w:t>s</w:t>
      </w:r>
      <w:r w:rsidRPr="00860F46">
        <w:rPr>
          <w:rFonts w:cstheme="minorHAnsi"/>
          <w:sz w:val="24"/>
          <w:szCs w:val="20"/>
        </w:rPr>
        <w:t xml:space="preserve"> cash management and disrupt</w:t>
      </w:r>
      <w:r w:rsidR="00D12BDB">
        <w:rPr>
          <w:rFonts w:cstheme="minorHAnsi"/>
          <w:sz w:val="24"/>
          <w:szCs w:val="20"/>
        </w:rPr>
        <w:t>s service delivery;</w:t>
      </w:r>
    </w:p>
    <w:p w:rsidR="00860F46" w:rsidRPr="00626D18" w:rsidRDefault="00860F46" w:rsidP="00860F46">
      <w:pPr>
        <w:pStyle w:val="ListParagraph"/>
        <w:numPr>
          <w:ilvl w:val="0"/>
          <w:numId w:val="9"/>
        </w:numPr>
        <w:rPr>
          <w:sz w:val="28"/>
        </w:rPr>
      </w:pPr>
      <w:r w:rsidRPr="00860F46">
        <w:rPr>
          <w:rFonts w:cstheme="minorHAnsi"/>
          <w:sz w:val="24"/>
          <w:szCs w:val="20"/>
        </w:rPr>
        <w:t xml:space="preserve">Backlog of delayed acquittals and return of funds from GoT due to poor financial system practices and capacity results in AusAID being unable to account for funds and ensure funds </w:t>
      </w:r>
      <w:r w:rsidR="00D12BDB">
        <w:rPr>
          <w:rFonts w:cstheme="minorHAnsi"/>
          <w:sz w:val="24"/>
          <w:szCs w:val="20"/>
        </w:rPr>
        <w:t>are</w:t>
      </w:r>
      <w:r w:rsidRPr="00860F46">
        <w:rPr>
          <w:rFonts w:cstheme="minorHAnsi"/>
          <w:sz w:val="24"/>
          <w:szCs w:val="20"/>
        </w:rPr>
        <w:t xml:space="preserve"> used as agreed</w:t>
      </w:r>
      <w:r w:rsidR="00D12BDB">
        <w:rPr>
          <w:rFonts w:cstheme="minorHAnsi"/>
          <w:sz w:val="24"/>
          <w:szCs w:val="20"/>
        </w:rPr>
        <w:t>;</w:t>
      </w:r>
    </w:p>
    <w:p w:rsidR="00626D18" w:rsidRPr="00626D18" w:rsidRDefault="00626D18" w:rsidP="00860F46">
      <w:pPr>
        <w:pStyle w:val="ListParagraph"/>
        <w:numPr>
          <w:ilvl w:val="0"/>
          <w:numId w:val="9"/>
        </w:numPr>
        <w:rPr>
          <w:sz w:val="36"/>
        </w:rPr>
      </w:pPr>
      <w:r w:rsidRPr="00626D18">
        <w:rPr>
          <w:rFonts w:cstheme="minorHAnsi"/>
          <w:sz w:val="24"/>
          <w:szCs w:val="20"/>
        </w:rPr>
        <w:t>Poor procurement practices due to lack of understanding of and capacity to implement processes results in AusAID being unable to ensure best value for money and could lead to corrupt practices</w:t>
      </w:r>
    </w:p>
    <w:p w:rsidR="00860F46" w:rsidRPr="00860F46" w:rsidRDefault="00860F46" w:rsidP="00860F46">
      <w:pPr>
        <w:pStyle w:val="ListParagraph"/>
        <w:numPr>
          <w:ilvl w:val="0"/>
          <w:numId w:val="9"/>
        </w:numPr>
        <w:rPr>
          <w:sz w:val="28"/>
        </w:rPr>
      </w:pPr>
      <w:r w:rsidRPr="00860F46">
        <w:rPr>
          <w:rFonts w:cstheme="minorHAnsi"/>
          <w:sz w:val="24"/>
          <w:szCs w:val="20"/>
        </w:rPr>
        <w:t>Expenditure to priority areas is diverted due to poor planning (such as the impending loan repayments to China) resulting in delays and failure to achieve improvements</w:t>
      </w:r>
      <w:r w:rsidR="00D12BDB">
        <w:rPr>
          <w:rFonts w:cstheme="minorHAnsi"/>
          <w:sz w:val="24"/>
          <w:szCs w:val="20"/>
        </w:rPr>
        <w:t>;</w:t>
      </w:r>
    </w:p>
    <w:p w:rsidR="00860F46" w:rsidRPr="00860F46" w:rsidRDefault="00860F46" w:rsidP="00860F46">
      <w:pPr>
        <w:pStyle w:val="ListParagraph"/>
        <w:numPr>
          <w:ilvl w:val="0"/>
          <w:numId w:val="9"/>
        </w:numPr>
        <w:rPr>
          <w:sz w:val="28"/>
        </w:rPr>
      </w:pPr>
      <w:r w:rsidRPr="00860F46">
        <w:rPr>
          <w:rFonts w:cstheme="minorHAnsi"/>
          <w:sz w:val="24"/>
          <w:szCs w:val="20"/>
        </w:rPr>
        <w:t>Achievement of governance strengthening program objectives is delayed or hindered by changes in the political environment (including elections in 2014)</w:t>
      </w:r>
      <w:r w:rsidR="00D12BDB">
        <w:rPr>
          <w:rFonts w:cstheme="minorHAnsi"/>
          <w:sz w:val="24"/>
          <w:szCs w:val="20"/>
        </w:rPr>
        <w:t>; and</w:t>
      </w:r>
    </w:p>
    <w:p w:rsidR="00860F46" w:rsidRPr="00860F46" w:rsidRDefault="00860F46" w:rsidP="00860F46">
      <w:pPr>
        <w:pStyle w:val="ListParagraph"/>
        <w:numPr>
          <w:ilvl w:val="0"/>
          <w:numId w:val="9"/>
        </w:numPr>
        <w:rPr>
          <w:sz w:val="28"/>
        </w:rPr>
      </w:pPr>
      <w:r w:rsidRPr="00860F46">
        <w:rPr>
          <w:rFonts w:cstheme="minorHAnsi"/>
          <w:sz w:val="24"/>
          <w:szCs w:val="20"/>
        </w:rPr>
        <w:t>UNDP institutional processes and procedures impact on governance strengthening program delivery and delay implementation of key activities</w:t>
      </w:r>
      <w:r w:rsidR="00D12BDB">
        <w:rPr>
          <w:rFonts w:cstheme="minorHAnsi"/>
          <w:sz w:val="24"/>
          <w:szCs w:val="20"/>
        </w:rPr>
        <w:t>.</w:t>
      </w:r>
    </w:p>
    <w:p w:rsidR="00CF743F" w:rsidRDefault="00CF743F" w:rsidP="00CF743F">
      <w:pPr>
        <w:spacing w:before="240"/>
        <w:rPr>
          <w:rFonts w:asciiTheme="minorHAnsi" w:hAnsiTheme="minorHAnsi" w:cstheme="minorHAnsi"/>
        </w:rPr>
      </w:pPr>
      <w:r>
        <w:rPr>
          <w:rFonts w:asciiTheme="minorHAnsi" w:hAnsiTheme="minorHAnsi" w:cstheme="minorHAnsi"/>
        </w:rPr>
        <w:t>AusAID will ensure that approp</w:t>
      </w:r>
      <w:r w:rsidR="008C44A0">
        <w:rPr>
          <w:rFonts w:asciiTheme="minorHAnsi" w:hAnsiTheme="minorHAnsi" w:cstheme="minorHAnsi"/>
        </w:rPr>
        <w:t>r</w:t>
      </w:r>
      <w:r>
        <w:rPr>
          <w:rFonts w:asciiTheme="minorHAnsi" w:hAnsiTheme="minorHAnsi" w:cstheme="minorHAnsi"/>
        </w:rPr>
        <w:t>ia</w:t>
      </w:r>
      <w:r w:rsidR="008C44A0">
        <w:rPr>
          <w:rFonts w:asciiTheme="minorHAnsi" w:hAnsiTheme="minorHAnsi" w:cstheme="minorHAnsi"/>
        </w:rPr>
        <w:t xml:space="preserve">te </w:t>
      </w:r>
      <w:r w:rsidR="00667965">
        <w:rPr>
          <w:rFonts w:asciiTheme="minorHAnsi" w:hAnsiTheme="minorHAnsi" w:cstheme="minorHAnsi"/>
        </w:rPr>
        <w:t xml:space="preserve">resources and skills are made available to ensure effective performance management of EPSG initiatives. </w:t>
      </w:r>
      <w:r w:rsidR="00667965" w:rsidRPr="00667965">
        <w:rPr>
          <w:rFonts w:asciiTheme="minorHAnsi" w:hAnsiTheme="minorHAnsi" w:cstheme="minorHAnsi"/>
        </w:rPr>
        <w:t xml:space="preserve">This will be managed through the design process by allocating </w:t>
      </w:r>
      <w:r w:rsidR="00667965">
        <w:rPr>
          <w:rFonts w:asciiTheme="minorHAnsi" w:hAnsiTheme="minorHAnsi" w:cstheme="minorHAnsi"/>
        </w:rPr>
        <w:t>approximately</w:t>
      </w:r>
      <w:r w:rsidR="00667965" w:rsidRPr="00667965">
        <w:rPr>
          <w:rFonts w:asciiTheme="minorHAnsi" w:hAnsiTheme="minorHAnsi" w:cstheme="minorHAnsi"/>
        </w:rPr>
        <w:t xml:space="preserve"> 5% of operational investment to monitoring, evaluation, supervision and shared evidence for policy dialogue</w:t>
      </w:r>
      <w:r w:rsidR="00667965">
        <w:rPr>
          <w:rFonts w:asciiTheme="minorHAnsi" w:hAnsiTheme="minorHAnsi" w:cstheme="minorHAnsi"/>
        </w:rPr>
        <w:t xml:space="preserve">. The Tonga Economic and Public Sector Senior Program Manager will discuss risk management in quarterly meetings with relevant GoT ministries and in annual Evaluation Group Meetings for PACTAM and government counterparts, in addition to providing regular updates and dealing with issues as they arise. </w:t>
      </w:r>
      <w:r w:rsidR="001D0A2F">
        <w:rPr>
          <w:rFonts w:asciiTheme="minorHAnsi" w:hAnsiTheme="minorHAnsi" w:cstheme="minorHAnsi"/>
        </w:rPr>
        <w:t>The economic and public sector program risk register will be updated quarterly.</w:t>
      </w:r>
    </w:p>
    <w:p w:rsidR="00EE6E25" w:rsidRDefault="00EE6E25" w:rsidP="00CF743F">
      <w:pPr>
        <w:spacing w:before="240"/>
        <w:rPr>
          <w:rFonts w:asciiTheme="minorHAnsi" w:hAnsiTheme="minorHAnsi" w:cstheme="minorHAnsi"/>
        </w:rPr>
      </w:pPr>
      <w:r>
        <w:rPr>
          <w:rFonts w:asciiTheme="minorHAnsi" w:hAnsiTheme="minorHAnsi" w:cstheme="minorHAnsi"/>
        </w:rPr>
        <w:t>Post will continue to engage with the MoFNP</w:t>
      </w:r>
      <w:r w:rsidR="00F358BC">
        <w:rPr>
          <w:rFonts w:asciiTheme="minorHAnsi" w:hAnsiTheme="minorHAnsi" w:cstheme="minorHAnsi"/>
        </w:rPr>
        <w:t xml:space="preserve"> </w:t>
      </w:r>
      <w:r>
        <w:rPr>
          <w:rFonts w:asciiTheme="minorHAnsi" w:hAnsiTheme="minorHAnsi" w:cstheme="minorHAnsi"/>
        </w:rPr>
        <w:t>through the Policy Reform Matrix assessments led by the World Bank.</w:t>
      </w:r>
      <w:r w:rsidRPr="00EE6E25">
        <w:rPr>
          <w:rFonts w:asciiTheme="minorHAnsi" w:hAnsiTheme="minorHAnsi" w:cstheme="minorHAnsi"/>
        </w:rPr>
        <w:t xml:space="preserve"> </w:t>
      </w:r>
      <w:r w:rsidRPr="00CF743F">
        <w:rPr>
          <w:rFonts w:asciiTheme="minorHAnsi" w:hAnsiTheme="minorHAnsi" w:cstheme="minorHAnsi"/>
        </w:rPr>
        <w:t>The World Bank will monitor the GoT’s budget closely and, through ongoing dialogue with the GoT, will help ensure that all donor budget support/sector budget support funds are being used for their intended purpose and that GoT’s own funds are not diverted to unbudgeted/low priority activities. AusAID will participate in these biannual World Bank monitoring missions.</w:t>
      </w:r>
    </w:p>
    <w:p w:rsidR="00CF743F" w:rsidRDefault="00EE6E25" w:rsidP="00CF743F">
      <w:pPr>
        <w:spacing w:before="240"/>
        <w:rPr>
          <w:rFonts w:asciiTheme="minorHAnsi" w:hAnsiTheme="minorHAnsi" w:cstheme="minorHAnsi"/>
        </w:rPr>
      </w:pPr>
      <w:r>
        <w:rPr>
          <w:rFonts w:asciiTheme="minorHAnsi" w:hAnsiTheme="minorHAnsi" w:cstheme="minorHAnsi"/>
        </w:rPr>
        <w:t>A</w:t>
      </w:r>
      <w:r w:rsidR="00CF743F" w:rsidRPr="00CF743F">
        <w:rPr>
          <w:rFonts w:asciiTheme="minorHAnsi" w:hAnsiTheme="minorHAnsi" w:cstheme="minorHAnsi"/>
        </w:rPr>
        <w:t>usAID will draw on short-term technical assistance to provide intensive and regular monitoring of AusAID funds, including an annual sample audit of procurement transactions below TOP 3,000 (as identified in the procurement review). Given the complexity of needs in this sector, it is envisaged that the package of assistance outlined above will be provided through a contractual agreement with a specialist procurement firm under the current Aid Advisory Service (AAS) Standing Offer</w:t>
      </w:r>
      <w:r w:rsidR="00CF743F">
        <w:rPr>
          <w:rFonts w:asciiTheme="minorHAnsi" w:hAnsiTheme="minorHAnsi" w:cstheme="minorHAnsi"/>
        </w:rPr>
        <w:t xml:space="preserve">. </w:t>
      </w:r>
    </w:p>
    <w:p w:rsidR="005A579F" w:rsidRDefault="005A579F" w:rsidP="008231EF">
      <w:pPr>
        <w:spacing w:after="240"/>
        <w:sectPr w:rsidR="005A579F" w:rsidSect="0015249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docGrid w:linePitch="360"/>
        </w:sectPr>
      </w:pPr>
    </w:p>
    <w:p w:rsidR="00702BD2" w:rsidRDefault="00702BD2" w:rsidP="00702BD2">
      <w:pPr>
        <w:pStyle w:val="Heading1"/>
        <w:spacing w:before="0" w:after="240" w:line="276" w:lineRule="auto"/>
        <w:jc w:val="left"/>
      </w:pPr>
      <w:bookmarkStart w:id="30" w:name="_Toc356389383"/>
      <w:r w:rsidRPr="00B07008">
        <w:t>Annexes</w:t>
      </w:r>
      <w:bookmarkEnd w:id="30"/>
      <w:r w:rsidRPr="00B07008">
        <w:t xml:space="preserve"> </w:t>
      </w:r>
    </w:p>
    <w:p w:rsidR="00702BD2" w:rsidRDefault="00702BD2" w:rsidP="00702BD2">
      <w:pPr>
        <w:pStyle w:val="Heading1"/>
        <w:spacing w:before="0" w:after="240" w:line="276" w:lineRule="auto"/>
        <w:jc w:val="left"/>
        <w:rPr>
          <w:sz w:val="24"/>
        </w:rPr>
      </w:pPr>
      <w:bookmarkStart w:id="31" w:name="_Toc356389384"/>
      <w:r>
        <w:rPr>
          <w:sz w:val="24"/>
        </w:rPr>
        <w:t xml:space="preserve">Annex 1: Tonga Economic and Public Sector Governance </w:t>
      </w:r>
      <w:r w:rsidRPr="00B551DC">
        <w:rPr>
          <w:sz w:val="24"/>
        </w:rPr>
        <w:t>Performance Assessment Framework</w:t>
      </w:r>
      <w:bookmarkEnd w:id="31"/>
    </w:p>
    <w:p w:rsidR="00702BD2" w:rsidRDefault="00702BD2" w:rsidP="00A11CCA">
      <w:pPr>
        <w:pStyle w:val="Heading2"/>
        <w:numPr>
          <w:ilvl w:val="1"/>
          <w:numId w:val="26"/>
        </w:numPr>
        <w:rPr>
          <w:sz w:val="24"/>
          <w:lang w:val="en-GB"/>
        </w:rPr>
      </w:pPr>
      <w:bookmarkStart w:id="32" w:name="_Toc356389385"/>
      <w:r>
        <w:rPr>
          <w:sz w:val="24"/>
          <w:lang w:val="en-GB"/>
        </w:rPr>
        <w:t>Objectives and outcomes</w:t>
      </w:r>
      <w:bookmarkEnd w:id="32"/>
    </w:p>
    <w:p w:rsidR="00702BD2" w:rsidRPr="000C4462" w:rsidRDefault="00702BD2" w:rsidP="00702BD2">
      <w:pPr>
        <w:rPr>
          <w:lang w:val="en-GB"/>
        </w:rPr>
      </w:pPr>
    </w:p>
    <w:tbl>
      <w:tblPr>
        <w:tblW w:w="13623" w:type="dxa"/>
        <w:tblInd w:w="93" w:type="dxa"/>
        <w:tblLook w:val="04A0" w:firstRow="1" w:lastRow="0" w:firstColumn="1" w:lastColumn="0" w:noHBand="0" w:noVBand="1"/>
      </w:tblPr>
      <w:tblGrid>
        <w:gridCol w:w="1902"/>
        <w:gridCol w:w="2555"/>
        <w:gridCol w:w="2557"/>
        <w:gridCol w:w="3225"/>
        <w:gridCol w:w="3384"/>
      </w:tblGrid>
      <w:tr w:rsidR="00702BD2" w:rsidRPr="002D732C" w:rsidTr="00B37606">
        <w:trPr>
          <w:trHeight w:val="1530"/>
        </w:trPr>
        <w:tc>
          <w:tcPr>
            <w:tcW w:w="1959" w:type="dxa"/>
            <w:tcBorders>
              <w:top w:val="single" w:sz="8" w:space="0" w:color="auto"/>
              <w:left w:val="single" w:sz="8" w:space="0" w:color="auto"/>
              <w:bottom w:val="single" w:sz="4" w:space="0" w:color="auto"/>
              <w:right w:val="single" w:sz="4" w:space="0" w:color="auto"/>
            </w:tcBorders>
            <w:shd w:val="clear" w:color="000000" w:fill="76933C"/>
            <w:hideMark/>
          </w:tcPr>
          <w:p w:rsidR="00702BD2" w:rsidRPr="002D732C" w:rsidRDefault="00702BD2" w:rsidP="00202972">
            <w:pPr>
              <w:rPr>
                <w:rFonts w:ascii="Calibri" w:hAnsi="Calibri" w:cs="Calibri"/>
                <w:b/>
                <w:bCs/>
                <w:color w:val="000000"/>
                <w:sz w:val="20"/>
                <w:szCs w:val="20"/>
              </w:rPr>
            </w:pPr>
            <w:r>
              <w:rPr>
                <w:rFonts w:ascii="Calibri" w:hAnsi="Calibri" w:cs="Calibri"/>
                <w:b/>
                <w:bCs/>
                <w:color w:val="000000"/>
                <w:sz w:val="20"/>
                <w:szCs w:val="20"/>
              </w:rPr>
              <w:t>EPSG development objective to 2017</w:t>
            </w:r>
          </w:p>
        </w:tc>
        <w:tc>
          <w:tcPr>
            <w:tcW w:w="11664" w:type="dxa"/>
            <w:gridSpan w:val="4"/>
            <w:tcBorders>
              <w:top w:val="single" w:sz="8" w:space="0" w:color="auto"/>
              <w:left w:val="nil"/>
              <w:bottom w:val="single" w:sz="4" w:space="0" w:color="auto"/>
              <w:right w:val="single" w:sz="8" w:space="0" w:color="000000"/>
            </w:tcBorders>
            <w:shd w:val="clear" w:color="000000" w:fill="76933C"/>
            <w:hideMark/>
          </w:tcPr>
          <w:p w:rsidR="00702BD2" w:rsidRDefault="00472CDF" w:rsidP="00202972">
            <w:pPr>
              <w:rPr>
                <w:rFonts w:ascii="Calibri" w:hAnsi="Calibri" w:cs="Calibri"/>
                <w:iCs/>
                <w:color w:val="000000"/>
                <w:sz w:val="20"/>
                <w:szCs w:val="20"/>
              </w:rPr>
            </w:pPr>
            <w:r>
              <w:rPr>
                <w:rFonts w:ascii="Calibri" w:hAnsi="Calibri" w:cs="Calibri"/>
                <w:b/>
                <w:bCs/>
                <w:color w:val="000000"/>
                <w:sz w:val="20"/>
                <w:szCs w:val="20"/>
              </w:rPr>
              <w:t xml:space="preserve">Tonga Australia </w:t>
            </w:r>
            <w:r w:rsidR="00702BD2" w:rsidRPr="002D732C">
              <w:rPr>
                <w:rFonts w:ascii="Calibri" w:hAnsi="Calibri" w:cs="Calibri"/>
                <w:b/>
                <w:bCs/>
                <w:color w:val="000000"/>
                <w:sz w:val="20"/>
                <w:szCs w:val="20"/>
              </w:rPr>
              <w:t xml:space="preserve">Partnership </w:t>
            </w:r>
            <w:r w:rsidR="00702BD2">
              <w:rPr>
                <w:rFonts w:ascii="Calibri" w:hAnsi="Calibri" w:cs="Calibri"/>
                <w:b/>
                <w:bCs/>
                <w:color w:val="000000"/>
                <w:sz w:val="20"/>
                <w:szCs w:val="20"/>
              </w:rPr>
              <w:t xml:space="preserve">for </w:t>
            </w:r>
            <w:r w:rsidR="00702BD2" w:rsidRPr="002D732C">
              <w:rPr>
                <w:rFonts w:ascii="Calibri" w:hAnsi="Calibri" w:cs="Calibri"/>
                <w:b/>
                <w:bCs/>
                <w:color w:val="000000"/>
                <w:sz w:val="20"/>
                <w:szCs w:val="20"/>
              </w:rPr>
              <w:t xml:space="preserve">Development </w:t>
            </w:r>
            <w:r w:rsidR="00702BD2">
              <w:rPr>
                <w:rFonts w:ascii="Calibri" w:hAnsi="Calibri" w:cs="Calibri"/>
                <w:b/>
                <w:bCs/>
                <w:color w:val="000000"/>
                <w:sz w:val="20"/>
                <w:szCs w:val="20"/>
              </w:rPr>
              <w:t>Outcome One</w:t>
            </w:r>
            <w:r w:rsidR="00702BD2" w:rsidRPr="002D732C">
              <w:rPr>
                <w:rFonts w:ascii="Calibri" w:hAnsi="Calibri" w:cs="Calibri"/>
                <w:b/>
                <w:bCs/>
                <w:color w:val="000000"/>
                <w:sz w:val="20"/>
                <w:szCs w:val="20"/>
              </w:rPr>
              <w:t>:</w:t>
            </w:r>
            <w:r w:rsidR="00702BD2">
              <w:rPr>
                <w:rFonts w:ascii="Calibri" w:hAnsi="Calibri" w:cs="Calibri"/>
                <w:b/>
                <w:bCs/>
                <w:color w:val="000000"/>
                <w:sz w:val="20"/>
                <w:szCs w:val="20"/>
              </w:rPr>
              <w:t xml:space="preserve"> “A more efficient and effective public sector”</w:t>
            </w:r>
          </w:p>
          <w:p w:rsidR="00702BD2" w:rsidRDefault="00702BD2" w:rsidP="00202972">
            <w:pPr>
              <w:rPr>
                <w:rFonts w:ascii="Calibri" w:hAnsi="Calibri" w:cs="Calibri"/>
                <w:iCs/>
                <w:color w:val="000000"/>
                <w:sz w:val="20"/>
                <w:szCs w:val="20"/>
              </w:rPr>
            </w:pPr>
          </w:p>
          <w:p w:rsidR="00702BD2" w:rsidRPr="002E6E00" w:rsidRDefault="00702BD2" w:rsidP="00202972">
            <w:pPr>
              <w:rPr>
                <w:rFonts w:ascii="Calibri" w:hAnsi="Calibri" w:cs="Calibri"/>
                <w:iCs/>
                <w:color w:val="000000"/>
                <w:sz w:val="20"/>
                <w:szCs w:val="20"/>
              </w:rPr>
            </w:pPr>
            <w:r w:rsidRPr="002E6E00">
              <w:rPr>
                <w:rFonts w:ascii="Calibri" w:hAnsi="Calibri" w:cs="Calibri"/>
                <w:iCs/>
                <w:color w:val="000000"/>
                <w:sz w:val="20"/>
                <w:szCs w:val="20"/>
              </w:rPr>
              <w:t xml:space="preserve">This is aligned with the </w:t>
            </w:r>
            <w:r w:rsidR="0065138F">
              <w:rPr>
                <w:rFonts w:ascii="Calibri" w:hAnsi="Calibri" w:cs="Calibri"/>
                <w:iCs/>
                <w:color w:val="000000"/>
                <w:sz w:val="20"/>
                <w:szCs w:val="20"/>
              </w:rPr>
              <w:t>‘</w:t>
            </w:r>
            <w:r w:rsidRPr="002E6E00">
              <w:rPr>
                <w:rFonts w:ascii="Calibri" w:hAnsi="Calibri" w:cs="Calibri"/>
                <w:iCs/>
                <w:color w:val="000000"/>
                <w:sz w:val="20"/>
                <w:szCs w:val="20"/>
              </w:rPr>
              <w:t>Impact</w:t>
            </w:r>
            <w:r w:rsidR="0065138F">
              <w:rPr>
                <w:rFonts w:ascii="Calibri" w:hAnsi="Calibri" w:cs="Calibri"/>
                <w:iCs/>
                <w:color w:val="000000"/>
                <w:sz w:val="20"/>
                <w:szCs w:val="20"/>
              </w:rPr>
              <w:t>’</w:t>
            </w:r>
            <w:r w:rsidRPr="002E6E00">
              <w:rPr>
                <w:rFonts w:ascii="Calibri" w:hAnsi="Calibri" w:cs="Calibri"/>
                <w:iCs/>
                <w:color w:val="000000"/>
                <w:sz w:val="20"/>
                <w:szCs w:val="20"/>
              </w:rPr>
              <w:t xml:space="preserve"> and </w:t>
            </w:r>
            <w:r w:rsidR="0065138F">
              <w:rPr>
                <w:rFonts w:ascii="Calibri" w:hAnsi="Calibri" w:cs="Calibri"/>
                <w:iCs/>
                <w:color w:val="000000"/>
                <w:sz w:val="20"/>
                <w:szCs w:val="20"/>
              </w:rPr>
              <w:t>‘</w:t>
            </w:r>
            <w:r w:rsidRPr="002E6E00">
              <w:rPr>
                <w:rFonts w:ascii="Calibri" w:hAnsi="Calibri" w:cs="Calibri"/>
                <w:iCs/>
                <w:color w:val="000000"/>
                <w:sz w:val="20"/>
                <w:szCs w:val="20"/>
              </w:rPr>
              <w:t>National Outcome</w:t>
            </w:r>
            <w:r w:rsidR="0065138F">
              <w:rPr>
                <w:rFonts w:ascii="Calibri" w:hAnsi="Calibri" w:cs="Calibri"/>
                <w:iCs/>
                <w:color w:val="000000"/>
                <w:sz w:val="20"/>
                <w:szCs w:val="20"/>
              </w:rPr>
              <w:t>’</w:t>
            </w:r>
            <w:r w:rsidRPr="002E6E00">
              <w:rPr>
                <w:rFonts w:ascii="Calibri" w:hAnsi="Calibri" w:cs="Calibri"/>
                <w:iCs/>
                <w:color w:val="000000"/>
                <w:sz w:val="20"/>
                <w:szCs w:val="20"/>
              </w:rPr>
              <w:t xml:space="preserve"> identified in the GoT’s Strategic Development Framework</w:t>
            </w:r>
            <w:r w:rsidR="0065138F">
              <w:rPr>
                <w:rFonts w:ascii="Calibri" w:hAnsi="Calibri" w:cs="Calibri"/>
                <w:iCs/>
                <w:color w:val="000000"/>
                <w:sz w:val="20"/>
                <w:szCs w:val="20"/>
              </w:rPr>
              <w:t>:</w:t>
            </w:r>
          </w:p>
          <w:p w:rsidR="00702BD2" w:rsidRPr="002E6E00" w:rsidRDefault="00702BD2" w:rsidP="00D90A95">
            <w:pPr>
              <w:spacing w:before="240"/>
              <w:rPr>
                <w:rFonts w:ascii="Calibri" w:hAnsi="Calibri" w:cs="Calibri"/>
                <w:iCs/>
                <w:color w:val="000000"/>
                <w:sz w:val="20"/>
                <w:szCs w:val="20"/>
              </w:rPr>
            </w:pPr>
            <w:r w:rsidRPr="002E6E00">
              <w:rPr>
                <w:rFonts w:ascii="Calibri" w:hAnsi="Calibri" w:cs="Calibri"/>
                <w:b/>
                <w:iCs/>
                <w:color w:val="000000"/>
                <w:sz w:val="20"/>
                <w:szCs w:val="20"/>
              </w:rPr>
              <w:t>Impact</w:t>
            </w:r>
            <w:r w:rsidRPr="002E6E00">
              <w:rPr>
                <w:rFonts w:ascii="Calibri" w:hAnsi="Calibri" w:cs="Calibri"/>
                <w:iCs/>
                <w:color w:val="000000"/>
                <w:sz w:val="20"/>
                <w:szCs w:val="20"/>
              </w:rPr>
              <w:t>: A just, equitable and progressive society in which the people of Tonga enjoy good health, peace, harmony and prosperity</w:t>
            </w:r>
          </w:p>
          <w:p w:rsidR="00702BD2" w:rsidRPr="002E6E00" w:rsidRDefault="00702BD2" w:rsidP="00090342">
            <w:pPr>
              <w:spacing w:before="240" w:after="240"/>
              <w:rPr>
                <w:rFonts w:ascii="Calibri" w:hAnsi="Calibri" w:cs="Calibri"/>
                <w:iCs/>
                <w:color w:val="000000"/>
                <w:sz w:val="20"/>
                <w:szCs w:val="20"/>
              </w:rPr>
            </w:pPr>
            <w:r w:rsidRPr="002E6E00">
              <w:rPr>
                <w:rFonts w:ascii="Calibri" w:hAnsi="Calibri" w:cs="Calibri"/>
                <w:b/>
                <w:iCs/>
                <w:color w:val="000000"/>
                <w:sz w:val="20"/>
                <w:szCs w:val="20"/>
              </w:rPr>
              <w:t>National outcome</w:t>
            </w:r>
            <w:r w:rsidRPr="002E6E00">
              <w:rPr>
                <w:rFonts w:ascii="Calibri" w:hAnsi="Calibri" w:cs="Calibri"/>
                <w:iCs/>
                <w:color w:val="000000"/>
                <w:sz w:val="20"/>
                <w:szCs w:val="20"/>
              </w:rPr>
              <w:t>: A sustainable, efficient and effective public sector that develops and implements policies and programs to enable private sector growth and deliver quality public services in Tonga</w:t>
            </w:r>
          </w:p>
        </w:tc>
      </w:tr>
      <w:tr w:rsidR="00702BD2" w:rsidRPr="002D732C" w:rsidTr="008C54A3">
        <w:trPr>
          <w:trHeight w:val="570"/>
        </w:trPr>
        <w:tc>
          <w:tcPr>
            <w:tcW w:w="1959" w:type="dxa"/>
            <w:tcBorders>
              <w:top w:val="single" w:sz="4" w:space="0" w:color="auto"/>
              <w:left w:val="single" w:sz="4" w:space="0" w:color="auto"/>
              <w:bottom w:val="single" w:sz="4" w:space="0" w:color="auto"/>
              <w:right w:val="single" w:sz="4" w:space="0" w:color="auto"/>
            </w:tcBorders>
            <w:shd w:val="clear" w:color="000000" w:fill="92D050"/>
            <w:hideMark/>
          </w:tcPr>
          <w:p w:rsidR="00702BD2" w:rsidRPr="002D732C" w:rsidRDefault="00702BD2" w:rsidP="00681BF7">
            <w:pPr>
              <w:jc w:val="left"/>
              <w:rPr>
                <w:rFonts w:ascii="Calibri" w:hAnsi="Calibri" w:cs="Calibri"/>
                <w:b/>
                <w:bCs/>
                <w:color w:val="000000"/>
                <w:sz w:val="20"/>
                <w:szCs w:val="20"/>
              </w:rPr>
            </w:pPr>
            <w:r w:rsidRPr="002D732C">
              <w:rPr>
                <w:rFonts w:ascii="Calibri" w:hAnsi="Calibri" w:cs="Calibri"/>
                <w:b/>
                <w:bCs/>
                <w:color w:val="000000"/>
                <w:sz w:val="20"/>
                <w:szCs w:val="20"/>
              </w:rPr>
              <w:t>End-of-strategy outcome to 20</w:t>
            </w:r>
            <w:r>
              <w:rPr>
                <w:rFonts w:ascii="Calibri" w:hAnsi="Calibri" w:cs="Calibri"/>
                <w:b/>
                <w:bCs/>
                <w:color w:val="000000"/>
                <w:sz w:val="20"/>
                <w:szCs w:val="20"/>
              </w:rPr>
              <w:t>16/17</w:t>
            </w:r>
          </w:p>
        </w:tc>
        <w:tc>
          <w:tcPr>
            <w:tcW w:w="2680" w:type="dxa"/>
            <w:tcBorders>
              <w:top w:val="single" w:sz="4" w:space="0" w:color="auto"/>
              <w:left w:val="nil"/>
              <w:bottom w:val="single" w:sz="4" w:space="0" w:color="auto"/>
              <w:right w:val="single" w:sz="4" w:space="0" w:color="auto"/>
            </w:tcBorders>
            <w:shd w:val="clear" w:color="000000" w:fill="92D050"/>
            <w:hideMark/>
          </w:tcPr>
          <w:p w:rsidR="00702BD2" w:rsidRPr="002D732C" w:rsidRDefault="00702BD2" w:rsidP="00681BF7">
            <w:pPr>
              <w:jc w:val="left"/>
              <w:rPr>
                <w:rFonts w:ascii="Calibri" w:hAnsi="Calibri" w:cs="Calibri"/>
                <w:b/>
                <w:bCs/>
                <w:color w:val="000000"/>
                <w:sz w:val="20"/>
                <w:szCs w:val="20"/>
              </w:rPr>
            </w:pPr>
            <w:r w:rsidRPr="002D732C">
              <w:rPr>
                <w:rFonts w:ascii="Calibri" w:hAnsi="Calibri" w:cs="Calibri"/>
                <w:b/>
                <w:bCs/>
                <w:color w:val="000000"/>
                <w:sz w:val="20"/>
                <w:szCs w:val="20"/>
              </w:rPr>
              <w:t xml:space="preserve">End-of-strategy outcome indicators  </w:t>
            </w:r>
          </w:p>
        </w:tc>
        <w:tc>
          <w:tcPr>
            <w:tcW w:w="2557" w:type="dxa"/>
            <w:tcBorders>
              <w:top w:val="single" w:sz="4" w:space="0" w:color="auto"/>
              <w:left w:val="nil"/>
              <w:bottom w:val="single" w:sz="4" w:space="0" w:color="auto"/>
              <w:right w:val="single" w:sz="4" w:space="0" w:color="auto"/>
            </w:tcBorders>
            <w:shd w:val="clear" w:color="000000" w:fill="D8E4BC"/>
            <w:hideMark/>
          </w:tcPr>
          <w:p w:rsidR="00702BD2" w:rsidRPr="002D732C" w:rsidRDefault="00702BD2" w:rsidP="00681BF7">
            <w:pPr>
              <w:jc w:val="left"/>
              <w:rPr>
                <w:rFonts w:ascii="Calibri" w:hAnsi="Calibri" w:cs="Calibri"/>
                <w:b/>
                <w:bCs/>
                <w:color w:val="000000"/>
                <w:sz w:val="20"/>
                <w:szCs w:val="20"/>
              </w:rPr>
            </w:pPr>
            <w:r w:rsidRPr="002D732C">
              <w:rPr>
                <w:rFonts w:ascii="Calibri" w:hAnsi="Calibri" w:cs="Calibri"/>
                <w:b/>
                <w:bCs/>
                <w:color w:val="000000"/>
                <w:sz w:val="20"/>
                <w:szCs w:val="20"/>
              </w:rPr>
              <w:t xml:space="preserve">Intermediate outcomes (or outputs) </w:t>
            </w:r>
          </w:p>
        </w:tc>
        <w:tc>
          <w:tcPr>
            <w:tcW w:w="2854" w:type="dxa"/>
            <w:tcBorders>
              <w:top w:val="single" w:sz="4" w:space="0" w:color="auto"/>
              <w:left w:val="nil"/>
              <w:bottom w:val="single" w:sz="4" w:space="0" w:color="auto"/>
              <w:right w:val="single" w:sz="4" w:space="0" w:color="auto"/>
            </w:tcBorders>
            <w:shd w:val="clear" w:color="000000" w:fill="D8E4BC"/>
            <w:hideMark/>
          </w:tcPr>
          <w:p w:rsidR="00702BD2" w:rsidRPr="002D732C" w:rsidRDefault="00702BD2" w:rsidP="00681BF7">
            <w:pPr>
              <w:jc w:val="left"/>
              <w:rPr>
                <w:rFonts w:ascii="Calibri" w:hAnsi="Calibri" w:cs="Calibri"/>
                <w:b/>
                <w:bCs/>
                <w:color w:val="000000"/>
                <w:sz w:val="20"/>
                <w:szCs w:val="20"/>
              </w:rPr>
            </w:pPr>
            <w:r w:rsidRPr="002D732C">
              <w:rPr>
                <w:rFonts w:ascii="Calibri" w:hAnsi="Calibri" w:cs="Calibri"/>
                <w:b/>
                <w:bCs/>
                <w:color w:val="000000"/>
                <w:sz w:val="20"/>
                <w:szCs w:val="20"/>
              </w:rPr>
              <w:t xml:space="preserve">Intermediate outcome/output indicators  </w:t>
            </w:r>
          </w:p>
        </w:tc>
        <w:tc>
          <w:tcPr>
            <w:tcW w:w="3573" w:type="dxa"/>
            <w:tcBorders>
              <w:top w:val="single" w:sz="4" w:space="0" w:color="auto"/>
              <w:left w:val="nil"/>
              <w:bottom w:val="single" w:sz="4" w:space="0" w:color="auto"/>
              <w:right w:val="single" w:sz="4" w:space="0" w:color="auto"/>
            </w:tcBorders>
            <w:shd w:val="clear" w:color="000000" w:fill="D9D9D9"/>
            <w:hideMark/>
          </w:tcPr>
          <w:p w:rsidR="00702BD2" w:rsidRPr="002D732C" w:rsidRDefault="00702BD2" w:rsidP="00681BF7">
            <w:pPr>
              <w:jc w:val="left"/>
              <w:rPr>
                <w:rFonts w:ascii="Calibri" w:hAnsi="Calibri" w:cs="Calibri"/>
                <w:b/>
                <w:bCs/>
                <w:color w:val="000000"/>
                <w:sz w:val="20"/>
                <w:szCs w:val="20"/>
              </w:rPr>
            </w:pPr>
            <w:r w:rsidRPr="002D732C">
              <w:rPr>
                <w:rFonts w:ascii="Calibri" w:hAnsi="Calibri" w:cs="Calibri"/>
                <w:b/>
                <w:bCs/>
                <w:color w:val="000000"/>
                <w:sz w:val="20"/>
                <w:szCs w:val="20"/>
              </w:rPr>
              <w:t>Key assumptions</w:t>
            </w:r>
          </w:p>
        </w:tc>
      </w:tr>
      <w:tr w:rsidR="00702BD2" w:rsidRPr="002D732C" w:rsidTr="00202972">
        <w:trPr>
          <w:trHeight w:val="446"/>
        </w:trPr>
        <w:tc>
          <w:tcPr>
            <w:tcW w:w="1959" w:type="dxa"/>
            <w:tcBorders>
              <w:top w:val="nil"/>
              <w:left w:val="single" w:sz="8" w:space="0" w:color="auto"/>
              <w:bottom w:val="single" w:sz="4" w:space="0" w:color="auto"/>
              <w:right w:val="single" w:sz="8" w:space="0" w:color="auto"/>
            </w:tcBorders>
            <w:shd w:val="clear" w:color="000000" w:fill="DBE5F1" w:themeFill="accent1" w:themeFillTint="33"/>
          </w:tcPr>
          <w:p w:rsidR="00702BD2" w:rsidRPr="002D732C" w:rsidRDefault="00702BD2" w:rsidP="00202972">
            <w:pPr>
              <w:rPr>
                <w:rFonts w:ascii="Calibri" w:hAnsi="Calibri" w:cs="Calibri"/>
                <w:b/>
                <w:bCs/>
                <w:color w:val="000000"/>
                <w:sz w:val="20"/>
                <w:szCs w:val="20"/>
              </w:rPr>
            </w:pPr>
            <w:r>
              <w:rPr>
                <w:rFonts w:ascii="Calibri" w:hAnsi="Calibri" w:cs="Calibri"/>
                <w:b/>
                <w:bCs/>
                <w:color w:val="000000"/>
                <w:sz w:val="20"/>
                <w:szCs w:val="20"/>
              </w:rPr>
              <w:t>End-of-strategy outcome one</w:t>
            </w:r>
          </w:p>
        </w:tc>
        <w:tc>
          <w:tcPr>
            <w:tcW w:w="11664" w:type="dxa"/>
            <w:gridSpan w:val="4"/>
            <w:tcBorders>
              <w:top w:val="nil"/>
              <w:left w:val="single" w:sz="8" w:space="0" w:color="auto"/>
              <w:bottom w:val="single" w:sz="4" w:space="0" w:color="auto"/>
              <w:right w:val="single" w:sz="8" w:space="0" w:color="auto"/>
            </w:tcBorders>
            <w:shd w:val="clear" w:color="000000" w:fill="DBE5F1" w:themeFill="accent1" w:themeFillTint="33"/>
          </w:tcPr>
          <w:p w:rsidR="00702BD2" w:rsidRPr="002D732C" w:rsidRDefault="00702BD2" w:rsidP="00202972">
            <w:pPr>
              <w:rPr>
                <w:rFonts w:ascii="Calibri" w:hAnsi="Calibri" w:cs="Calibri"/>
                <w:b/>
                <w:bCs/>
                <w:color w:val="000000"/>
                <w:sz w:val="20"/>
                <w:szCs w:val="20"/>
              </w:rPr>
            </w:pPr>
            <w:r>
              <w:rPr>
                <w:rFonts w:ascii="Calibri" w:hAnsi="Calibri" w:cs="Calibri"/>
                <w:b/>
                <w:bCs/>
                <w:color w:val="000000"/>
                <w:sz w:val="20"/>
                <w:szCs w:val="20"/>
              </w:rPr>
              <w:t>Public sector governance</w:t>
            </w:r>
          </w:p>
        </w:tc>
      </w:tr>
      <w:tr w:rsidR="00AE62BD" w:rsidRPr="002D732C" w:rsidTr="00C415C7">
        <w:trPr>
          <w:trHeight w:val="1493"/>
        </w:trPr>
        <w:tc>
          <w:tcPr>
            <w:tcW w:w="1959" w:type="dxa"/>
            <w:tcBorders>
              <w:top w:val="single" w:sz="4" w:space="0" w:color="auto"/>
              <w:left w:val="single" w:sz="4" w:space="0" w:color="auto"/>
              <w:bottom w:val="single" w:sz="4" w:space="0" w:color="auto"/>
              <w:right w:val="single" w:sz="4" w:space="0" w:color="auto"/>
            </w:tcBorders>
            <w:shd w:val="clear" w:color="auto" w:fill="auto"/>
          </w:tcPr>
          <w:p w:rsidR="00AE62BD" w:rsidRDefault="00AE62BD" w:rsidP="00702BD2">
            <w:pPr>
              <w:spacing w:after="240"/>
              <w:jc w:val="left"/>
              <w:rPr>
                <w:rFonts w:ascii="Calibri" w:hAnsi="Calibri" w:cs="Calibri"/>
                <w:bCs/>
                <w:color w:val="000000"/>
                <w:sz w:val="20"/>
                <w:szCs w:val="20"/>
              </w:rPr>
            </w:pPr>
            <w:r w:rsidRPr="007619C3">
              <w:rPr>
                <w:rFonts w:ascii="Calibri" w:hAnsi="Calibri" w:cs="Calibri"/>
                <w:bCs/>
                <w:color w:val="000000"/>
                <w:sz w:val="20"/>
                <w:szCs w:val="20"/>
              </w:rPr>
              <w:t>GoT agencies demonstrate measureable improvement in the effici</w:t>
            </w:r>
            <w:r>
              <w:rPr>
                <w:rFonts w:ascii="Calibri" w:hAnsi="Calibri" w:cs="Calibri"/>
                <w:bCs/>
                <w:color w:val="000000"/>
                <w:sz w:val="20"/>
                <w:szCs w:val="20"/>
              </w:rPr>
              <w:t>ency of public service delivery</w:t>
            </w:r>
          </w:p>
          <w:p w:rsidR="0066170E" w:rsidRPr="007619C3" w:rsidRDefault="0066170E" w:rsidP="00702BD2">
            <w:pPr>
              <w:spacing w:after="240"/>
              <w:jc w:val="left"/>
              <w:rPr>
                <w:rFonts w:ascii="Calibri" w:hAnsi="Calibri" w:cs="Calibri"/>
                <w:i/>
                <w:iCs/>
                <w:color w:val="000000"/>
                <w:sz w:val="20"/>
                <w:szCs w:val="20"/>
              </w:rPr>
            </w:pPr>
          </w:p>
        </w:tc>
        <w:tc>
          <w:tcPr>
            <w:tcW w:w="2680" w:type="dxa"/>
            <w:tcBorders>
              <w:top w:val="single" w:sz="4" w:space="0" w:color="auto"/>
              <w:left w:val="nil"/>
              <w:bottom w:val="single" w:sz="4" w:space="0" w:color="auto"/>
              <w:right w:val="single" w:sz="4" w:space="0" w:color="auto"/>
            </w:tcBorders>
            <w:shd w:val="clear" w:color="auto" w:fill="auto"/>
          </w:tcPr>
          <w:p w:rsidR="00AE62BD" w:rsidRPr="00AD13A9" w:rsidRDefault="00AE62BD" w:rsidP="00AD13A9">
            <w:pPr>
              <w:jc w:val="left"/>
              <w:rPr>
                <w:rFonts w:asciiTheme="minorHAnsi" w:hAnsiTheme="minorHAnsi" w:cstheme="minorHAnsi"/>
                <w:i/>
                <w:iCs/>
                <w:color w:val="000000"/>
                <w:sz w:val="20"/>
                <w:szCs w:val="20"/>
              </w:rPr>
            </w:pPr>
            <w:r w:rsidRPr="00AD13A9">
              <w:rPr>
                <w:rFonts w:asciiTheme="minorHAnsi" w:hAnsiTheme="minorHAnsi" w:cstheme="minorHAnsi"/>
                <w:i/>
                <w:iCs/>
                <w:color w:val="000000"/>
                <w:sz w:val="20"/>
                <w:szCs w:val="20"/>
              </w:rPr>
              <w:t>Percentage of planned reform activities implemented according to timetable</w:t>
            </w:r>
            <w:r>
              <w:rPr>
                <w:rFonts w:asciiTheme="minorHAnsi" w:hAnsiTheme="minorHAnsi" w:cstheme="minorHAnsi"/>
                <w:i/>
                <w:iCs/>
                <w:color w:val="000000"/>
                <w:sz w:val="20"/>
                <w:szCs w:val="20"/>
              </w:rPr>
              <w:t>;</w:t>
            </w:r>
          </w:p>
          <w:p w:rsidR="00AE62BD" w:rsidRPr="00AD13A9" w:rsidRDefault="00AE62BD" w:rsidP="00AD13A9">
            <w:pPr>
              <w:jc w:val="left"/>
              <w:rPr>
                <w:rFonts w:asciiTheme="minorHAnsi" w:hAnsiTheme="minorHAnsi" w:cstheme="minorHAnsi"/>
                <w:i/>
                <w:iCs/>
                <w:color w:val="000000"/>
                <w:sz w:val="20"/>
                <w:szCs w:val="20"/>
              </w:rPr>
            </w:pPr>
            <w:r w:rsidRPr="00AD13A9">
              <w:rPr>
                <w:rFonts w:asciiTheme="minorHAnsi" w:hAnsiTheme="minorHAnsi" w:cstheme="minorHAnsi"/>
                <w:i/>
                <w:iCs/>
                <w:color w:val="000000"/>
                <w:sz w:val="20"/>
                <w:szCs w:val="20"/>
              </w:rPr>
              <w:t>Percentage of reform plans adequately resourced (budgets and actual)</w:t>
            </w:r>
          </w:p>
          <w:p w:rsidR="00AE62BD" w:rsidRPr="002E1909" w:rsidRDefault="00AE62BD" w:rsidP="00702BD2">
            <w:pPr>
              <w:jc w:val="left"/>
              <w:rPr>
                <w:rFonts w:cstheme="minorHAnsi"/>
                <w:i/>
                <w:sz w:val="20"/>
                <w:lang w:val="en-GB"/>
              </w:rPr>
            </w:pPr>
          </w:p>
        </w:tc>
        <w:tc>
          <w:tcPr>
            <w:tcW w:w="2557" w:type="dxa"/>
            <w:tcBorders>
              <w:top w:val="single" w:sz="4" w:space="0" w:color="auto"/>
              <w:left w:val="nil"/>
              <w:bottom w:val="single" w:sz="4" w:space="0" w:color="auto"/>
              <w:right w:val="single" w:sz="4" w:space="0" w:color="auto"/>
            </w:tcBorders>
            <w:shd w:val="clear" w:color="auto" w:fill="auto"/>
          </w:tcPr>
          <w:p w:rsidR="00AE62BD" w:rsidRPr="00526AEE" w:rsidRDefault="00AE62BD" w:rsidP="00702BD2">
            <w:pPr>
              <w:jc w:val="left"/>
              <w:rPr>
                <w:rFonts w:ascii="Calibri" w:hAnsi="Calibri" w:cs="Calibri"/>
                <w:iCs/>
                <w:color w:val="000000"/>
                <w:sz w:val="20"/>
                <w:szCs w:val="20"/>
              </w:rPr>
            </w:pPr>
            <w:r>
              <w:rPr>
                <w:rFonts w:ascii="Calibri" w:hAnsi="Calibri" w:cs="Calibri"/>
                <w:iCs/>
                <w:color w:val="000000"/>
                <w:sz w:val="20"/>
                <w:szCs w:val="20"/>
              </w:rPr>
              <w:t>Progress towards developing sustainable human capacity building systems</w:t>
            </w:r>
          </w:p>
        </w:tc>
        <w:tc>
          <w:tcPr>
            <w:tcW w:w="2854" w:type="dxa"/>
            <w:tcBorders>
              <w:top w:val="single" w:sz="4" w:space="0" w:color="auto"/>
              <w:left w:val="nil"/>
              <w:bottom w:val="single" w:sz="4" w:space="0" w:color="auto"/>
              <w:right w:val="single" w:sz="4" w:space="0" w:color="auto"/>
            </w:tcBorders>
            <w:shd w:val="clear" w:color="auto" w:fill="auto"/>
          </w:tcPr>
          <w:p w:rsidR="00AE62BD" w:rsidRPr="002D732C" w:rsidRDefault="00AE62BD" w:rsidP="0055211E">
            <w:pPr>
              <w:jc w:val="left"/>
              <w:rPr>
                <w:rFonts w:ascii="Calibri" w:hAnsi="Calibri" w:cs="Calibri"/>
                <w:i/>
                <w:iCs/>
                <w:color w:val="000000"/>
                <w:sz w:val="20"/>
                <w:szCs w:val="20"/>
              </w:rPr>
            </w:pPr>
            <w:r>
              <w:rPr>
                <w:rFonts w:ascii="Calibri" w:hAnsi="Calibri" w:cs="Calibri"/>
                <w:i/>
                <w:iCs/>
                <w:color w:val="000000"/>
                <w:sz w:val="20"/>
                <w:szCs w:val="20"/>
              </w:rPr>
              <w:t>Number of public servants trained</w:t>
            </w:r>
            <w:r w:rsidR="0055211E">
              <w:rPr>
                <w:rFonts w:ascii="Calibri" w:hAnsi="Calibri" w:cs="Calibri"/>
                <w:i/>
                <w:iCs/>
                <w:color w:val="000000"/>
                <w:sz w:val="20"/>
                <w:szCs w:val="20"/>
              </w:rPr>
              <w:t xml:space="preserve">; performance ratings for advisers on annual adviser performance assessments </w:t>
            </w:r>
          </w:p>
        </w:tc>
        <w:tc>
          <w:tcPr>
            <w:tcW w:w="3573" w:type="dxa"/>
            <w:tcBorders>
              <w:top w:val="single" w:sz="4" w:space="0" w:color="auto"/>
              <w:left w:val="nil"/>
              <w:bottom w:val="single" w:sz="4" w:space="0" w:color="auto"/>
              <w:right w:val="single" w:sz="4" w:space="0" w:color="auto"/>
            </w:tcBorders>
            <w:shd w:val="clear" w:color="auto" w:fill="auto"/>
          </w:tcPr>
          <w:p w:rsidR="00AE62BD" w:rsidRPr="00D06739" w:rsidRDefault="00AE62BD" w:rsidP="00702BD2">
            <w:pPr>
              <w:jc w:val="left"/>
              <w:rPr>
                <w:rFonts w:ascii="Calibri" w:hAnsi="Calibri" w:cs="Calibri"/>
                <w:iCs/>
                <w:color w:val="000000"/>
                <w:sz w:val="20"/>
                <w:szCs w:val="20"/>
              </w:rPr>
            </w:pPr>
            <w:r>
              <w:rPr>
                <w:rFonts w:ascii="Calibri" w:hAnsi="Calibri" w:cs="Calibri"/>
                <w:iCs/>
                <w:color w:val="000000"/>
                <w:sz w:val="20"/>
                <w:szCs w:val="20"/>
              </w:rPr>
              <w:t>Achievement in this area will be largely dependent on the ongoing commitment of GoT to undertaking public sector reforms.</w:t>
            </w:r>
          </w:p>
        </w:tc>
      </w:tr>
      <w:tr w:rsidR="00702BD2" w:rsidRPr="00FD2B9D" w:rsidTr="00DA7474">
        <w:trPr>
          <w:trHeight w:val="943"/>
        </w:trPr>
        <w:tc>
          <w:tcPr>
            <w:tcW w:w="1959" w:type="dxa"/>
            <w:tcBorders>
              <w:top w:val="single" w:sz="4" w:space="0" w:color="auto"/>
              <w:left w:val="single" w:sz="8" w:space="0" w:color="auto"/>
              <w:bottom w:val="single" w:sz="4" w:space="0" w:color="000000"/>
              <w:right w:val="single" w:sz="4" w:space="0" w:color="auto"/>
            </w:tcBorders>
            <w:shd w:val="clear" w:color="000000" w:fill="FCD5B4"/>
            <w:hideMark/>
          </w:tcPr>
          <w:p w:rsidR="00702BD2" w:rsidRPr="00FD2B9D" w:rsidRDefault="00702BD2" w:rsidP="00702BD2">
            <w:pPr>
              <w:jc w:val="left"/>
              <w:rPr>
                <w:rFonts w:ascii="Calibri" w:hAnsi="Calibri" w:cs="Calibri"/>
                <w:b/>
                <w:bCs/>
                <w:color w:val="000000"/>
                <w:sz w:val="20"/>
                <w:szCs w:val="20"/>
              </w:rPr>
            </w:pPr>
            <w:r w:rsidRPr="00FD2B9D">
              <w:rPr>
                <w:rFonts w:ascii="Calibri" w:hAnsi="Calibri" w:cs="Calibri"/>
                <w:b/>
                <w:bCs/>
                <w:color w:val="000000"/>
                <w:sz w:val="20"/>
                <w:szCs w:val="20"/>
              </w:rPr>
              <w:t>Key evaluative questions for end-of-strategy outcome</w:t>
            </w:r>
          </w:p>
        </w:tc>
        <w:tc>
          <w:tcPr>
            <w:tcW w:w="8091" w:type="dxa"/>
            <w:gridSpan w:val="3"/>
            <w:tcBorders>
              <w:top w:val="single" w:sz="4" w:space="0" w:color="auto"/>
              <w:left w:val="nil"/>
              <w:bottom w:val="single" w:sz="4" w:space="0" w:color="000000"/>
              <w:right w:val="single" w:sz="4" w:space="0" w:color="auto"/>
            </w:tcBorders>
            <w:shd w:val="clear" w:color="auto" w:fill="auto"/>
          </w:tcPr>
          <w:p w:rsidR="008C1A4C" w:rsidRPr="008C1A4C" w:rsidRDefault="008C1A4C" w:rsidP="008C1A4C">
            <w:pPr>
              <w:jc w:val="left"/>
              <w:rPr>
                <w:rFonts w:ascii="Calibri" w:hAnsi="Calibri" w:cs="Calibri"/>
                <w:iCs/>
                <w:color w:val="000000"/>
                <w:sz w:val="20"/>
                <w:szCs w:val="20"/>
              </w:rPr>
            </w:pPr>
            <w:r w:rsidRPr="008C1A4C">
              <w:rPr>
                <w:rFonts w:ascii="Calibri" w:hAnsi="Calibri" w:cs="Calibri"/>
                <w:iCs/>
                <w:color w:val="000000"/>
                <w:sz w:val="20"/>
                <w:szCs w:val="20"/>
              </w:rPr>
              <w:t xml:space="preserve">What evidence is there that </w:t>
            </w:r>
            <w:r w:rsidR="00370034">
              <w:rPr>
                <w:rFonts w:ascii="Calibri" w:hAnsi="Calibri" w:cs="Calibri"/>
                <w:iCs/>
                <w:color w:val="000000"/>
                <w:sz w:val="20"/>
                <w:szCs w:val="20"/>
              </w:rPr>
              <w:t>individual activities</w:t>
            </w:r>
            <w:r w:rsidR="00B676CA">
              <w:rPr>
                <w:rFonts w:ascii="Calibri" w:hAnsi="Calibri" w:cs="Calibri"/>
                <w:iCs/>
                <w:color w:val="000000"/>
                <w:sz w:val="20"/>
                <w:szCs w:val="20"/>
              </w:rPr>
              <w:t xml:space="preserve"> (including advisory support and other capacity development </w:t>
            </w:r>
            <w:r w:rsidR="001B2118">
              <w:rPr>
                <w:rFonts w:ascii="Calibri" w:hAnsi="Calibri" w:cs="Calibri"/>
                <w:iCs/>
                <w:color w:val="000000"/>
                <w:sz w:val="20"/>
                <w:szCs w:val="20"/>
              </w:rPr>
              <w:t>programs</w:t>
            </w:r>
            <w:r w:rsidR="00B676CA">
              <w:rPr>
                <w:rFonts w:ascii="Calibri" w:hAnsi="Calibri" w:cs="Calibri"/>
                <w:iCs/>
                <w:color w:val="000000"/>
                <w:sz w:val="20"/>
                <w:szCs w:val="20"/>
              </w:rPr>
              <w:t>)</w:t>
            </w:r>
            <w:r w:rsidR="00370034">
              <w:rPr>
                <w:rFonts w:ascii="Calibri" w:hAnsi="Calibri" w:cs="Calibri"/>
                <w:iCs/>
                <w:color w:val="000000"/>
                <w:sz w:val="20"/>
                <w:szCs w:val="20"/>
              </w:rPr>
              <w:t xml:space="preserve"> are</w:t>
            </w:r>
            <w:r w:rsidRPr="008C1A4C">
              <w:rPr>
                <w:rFonts w:ascii="Calibri" w:hAnsi="Calibri" w:cs="Calibri"/>
                <w:iCs/>
                <w:color w:val="000000"/>
                <w:sz w:val="20"/>
                <w:szCs w:val="20"/>
              </w:rPr>
              <w:t xml:space="preserve"> leading to public servants more effectively performing their roles? </w:t>
            </w:r>
          </w:p>
          <w:p w:rsidR="008C1A4C" w:rsidRDefault="008C1A4C" w:rsidP="008C1A4C">
            <w:pPr>
              <w:jc w:val="left"/>
              <w:rPr>
                <w:rFonts w:ascii="Calibri" w:hAnsi="Calibri" w:cs="Calibri"/>
                <w:iCs/>
                <w:color w:val="000000"/>
                <w:sz w:val="20"/>
                <w:szCs w:val="20"/>
              </w:rPr>
            </w:pPr>
            <w:r w:rsidRPr="008C1A4C">
              <w:rPr>
                <w:rFonts w:ascii="Calibri" w:hAnsi="Calibri" w:cs="Calibri"/>
                <w:iCs/>
                <w:color w:val="000000"/>
                <w:sz w:val="20"/>
                <w:szCs w:val="20"/>
              </w:rPr>
              <w:t>What are public servants doing differently as a result of training?</w:t>
            </w:r>
          </w:p>
          <w:p w:rsidR="00A424C2" w:rsidRPr="0052541F" w:rsidRDefault="00A424C2" w:rsidP="00141D6A">
            <w:pPr>
              <w:spacing w:after="240"/>
              <w:jc w:val="left"/>
              <w:rPr>
                <w:rFonts w:ascii="Calibri" w:hAnsi="Calibri" w:cs="Calibri"/>
                <w:iCs/>
                <w:color w:val="000000"/>
                <w:sz w:val="20"/>
                <w:szCs w:val="20"/>
              </w:rPr>
            </w:pPr>
            <w:r w:rsidRPr="00A424C2">
              <w:rPr>
                <w:rFonts w:ascii="Calibri" w:hAnsi="Calibri" w:cs="Calibri"/>
                <w:iCs/>
                <w:color w:val="000000"/>
                <w:sz w:val="20"/>
                <w:szCs w:val="20"/>
              </w:rPr>
              <w:t>How are improvements in public sector staff, plans, systems and processes leading to system-wide capacity development and reform?</w:t>
            </w:r>
          </w:p>
        </w:tc>
        <w:tc>
          <w:tcPr>
            <w:tcW w:w="3573" w:type="dxa"/>
            <w:tcBorders>
              <w:top w:val="single" w:sz="4" w:space="0" w:color="auto"/>
              <w:left w:val="nil"/>
              <w:bottom w:val="single" w:sz="4" w:space="0" w:color="000000"/>
              <w:right w:val="single" w:sz="8" w:space="0" w:color="000000"/>
            </w:tcBorders>
            <w:shd w:val="clear" w:color="auto" w:fill="auto"/>
          </w:tcPr>
          <w:p w:rsidR="00702BD2" w:rsidRPr="00DA7474" w:rsidRDefault="00702BD2" w:rsidP="00A11CCA">
            <w:pPr>
              <w:numPr>
                <w:ilvl w:val="0"/>
                <w:numId w:val="5"/>
              </w:numPr>
              <w:tabs>
                <w:tab w:val="clear" w:pos="432"/>
                <w:tab w:val="num" w:pos="317"/>
              </w:tabs>
              <w:ind w:left="318" w:hanging="318"/>
              <w:jc w:val="left"/>
              <w:rPr>
                <w:rFonts w:asciiTheme="minorHAnsi" w:hAnsiTheme="minorHAnsi" w:cstheme="minorHAnsi"/>
                <w:i/>
                <w:iCs/>
                <w:color w:val="000000"/>
                <w:sz w:val="20"/>
                <w:szCs w:val="20"/>
              </w:rPr>
            </w:pPr>
            <w:r w:rsidRPr="00DA7474">
              <w:rPr>
                <w:rFonts w:asciiTheme="minorHAnsi" w:hAnsiTheme="minorHAnsi" w:cstheme="minorHAnsi"/>
                <w:i/>
                <w:sz w:val="20"/>
                <w:lang w:val="en-GB"/>
              </w:rPr>
              <w:t>Interview key stakeholders from GoT &amp; AusAID</w:t>
            </w:r>
          </w:p>
          <w:p w:rsidR="00702BD2" w:rsidRPr="00B76283" w:rsidRDefault="00702BD2" w:rsidP="00A11CCA">
            <w:pPr>
              <w:numPr>
                <w:ilvl w:val="0"/>
                <w:numId w:val="5"/>
              </w:numPr>
              <w:tabs>
                <w:tab w:val="clear" w:pos="432"/>
                <w:tab w:val="num" w:pos="317"/>
              </w:tabs>
              <w:ind w:left="318" w:hanging="318"/>
              <w:jc w:val="left"/>
              <w:rPr>
                <w:rFonts w:asciiTheme="minorHAnsi" w:hAnsiTheme="minorHAnsi" w:cstheme="minorHAnsi"/>
                <w:i/>
                <w:iCs/>
                <w:color w:val="000000"/>
                <w:sz w:val="20"/>
                <w:szCs w:val="20"/>
              </w:rPr>
            </w:pPr>
            <w:r w:rsidRPr="00441FEF">
              <w:rPr>
                <w:rFonts w:asciiTheme="minorHAnsi" w:hAnsiTheme="minorHAnsi" w:cstheme="minorHAnsi"/>
                <w:i/>
                <w:sz w:val="20"/>
                <w:lang w:val="en-GB"/>
              </w:rPr>
              <w:t>Consider context</w:t>
            </w:r>
          </w:p>
        </w:tc>
      </w:tr>
      <w:tr w:rsidR="00702BD2" w:rsidRPr="002D732C" w:rsidTr="00202972">
        <w:trPr>
          <w:trHeight w:val="446"/>
        </w:trPr>
        <w:tc>
          <w:tcPr>
            <w:tcW w:w="1959" w:type="dxa"/>
            <w:tcBorders>
              <w:top w:val="single" w:sz="4" w:space="0" w:color="000000"/>
              <w:left w:val="single" w:sz="4" w:space="0" w:color="000000"/>
              <w:bottom w:val="single" w:sz="4" w:space="0" w:color="000000"/>
              <w:right w:val="single" w:sz="4" w:space="0" w:color="000000"/>
            </w:tcBorders>
            <w:shd w:val="clear" w:color="000000" w:fill="DBE5F1" w:themeFill="accent1" w:themeFillTint="33"/>
          </w:tcPr>
          <w:p w:rsidR="00702BD2" w:rsidRPr="002D732C" w:rsidRDefault="00702BD2" w:rsidP="00202972">
            <w:pPr>
              <w:rPr>
                <w:rFonts w:ascii="Calibri" w:hAnsi="Calibri" w:cs="Calibri"/>
                <w:b/>
                <w:bCs/>
                <w:color w:val="000000"/>
                <w:sz w:val="20"/>
                <w:szCs w:val="20"/>
              </w:rPr>
            </w:pPr>
            <w:r>
              <w:rPr>
                <w:rFonts w:ascii="Calibri" w:hAnsi="Calibri" w:cs="Calibri"/>
                <w:b/>
                <w:bCs/>
                <w:color w:val="000000"/>
                <w:sz w:val="20"/>
                <w:szCs w:val="20"/>
              </w:rPr>
              <w:t>End-of-strategy outcome two</w:t>
            </w:r>
          </w:p>
        </w:tc>
        <w:tc>
          <w:tcPr>
            <w:tcW w:w="11664" w:type="dxa"/>
            <w:gridSpan w:val="4"/>
            <w:tcBorders>
              <w:top w:val="single" w:sz="4" w:space="0" w:color="000000"/>
              <w:left w:val="single" w:sz="4" w:space="0" w:color="000000"/>
              <w:bottom w:val="single" w:sz="4" w:space="0" w:color="000000"/>
              <w:right w:val="single" w:sz="4" w:space="0" w:color="000000"/>
            </w:tcBorders>
            <w:shd w:val="clear" w:color="000000" w:fill="DBE5F1" w:themeFill="accent1" w:themeFillTint="33"/>
          </w:tcPr>
          <w:p w:rsidR="00702BD2" w:rsidRPr="002D732C" w:rsidRDefault="00702BD2" w:rsidP="00202972">
            <w:pPr>
              <w:rPr>
                <w:rFonts w:ascii="Calibri" w:hAnsi="Calibri" w:cs="Calibri"/>
                <w:b/>
                <w:bCs/>
                <w:color w:val="000000"/>
                <w:sz w:val="20"/>
                <w:szCs w:val="20"/>
              </w:rPr>
            </w:pPr>
            <w:r>
              <w:rPr>
                <w:rFonts w:ascii="Calibri" w:hAnsi="Calibri" w:cs="Calibri"/>
                <w:b/>
                <w:bCs/>
                <w:color w:val="000000"/>
                <w:sz w:val="20"/>
                <w:szCs w:val="20"/>
              </w:rPr>
              <w:t>Economic</w:t>
            </w:r>
            <w:r w:rsidR="0032796B">
              <w:rPr>
                <w:rFonts w:ascii="Calibri" w:hAnsi="Calibri" w:cs="Calibri"/>
                <w:b/>
                <w:bCs/>
                <w:color w:val="000000"/>
                <w:sz w:val="20"/>
                <w:szCs w:val="20"/>
              </w:rPr>
              <w:t xml:space="preserve"> and financial</w:t>
            </w:r>
            <w:r>
              <w:rPr>
                <w:rFonts w:ascii="Calibri" w:hAnsi="Calibri" w:cs="Calibri"/>
                <w:b/>
                <w:bCs/>
                <w:color w:val="000000"/>
                <w:sz w:val="20"/>
                <w:szCs w:val="20"/>
              </w:rPr>
              <w:t xml:space="preserve"> governance</w:t>
            </w:r>
          </w:p>
        </w:tc>
      </w:tr>
      <w:tr w:rsidR="00AE62BD" w:rsidRPr="00702BD2" w:rsidTr="00C415C7">
        <w:trPr>
          <w:trHeight w:val="1938"/>
        </w:trPr>
        <w:tc>
          <w:tcPr>
            <w:tcW w:w="1959" w:type="dxa"/>
            <w:vMerge w:val="restart"/>
            <w:tcBorders>
              <w:top w:val="single" w:sz="4" w:space="0" w:color="000000"/>
              <w:left w:val="single" w:sz="8" w:space="0" w:color="auto"/>
              <w:right w:val="single" w:sz="4" w:space="0" w:color="auto"/>
            </w:tcBorders>
            <w:shd w:val="clear" w:color="auto" w:fill="auto"/>
          </w:tcPr>
          <w:p w:rsidR="00AE62BD" w:rsidRPr="00702BD2" w:rsidRDefault="00AE62BD" w:rsidP="00702BD2">
            <w:pPr>
              <w:jc w:val="left"/>
              <w:rPr>
                <w:rFonts w:asciiTheme="minorHAnsi" w:hAnsiTheme="minorHAnsi" w:cstheme="minorHAnsi"/>
                <w:i/>
                <w:iCs/>
                <w:color w:val="000000"/>
                <w:sz w:val="20"/>
                <w:szCs w:val="20"/>
              </w:rPr>
            </w:pPr>
            <w:r w:rsidRPr="00702BD2">
              <w:rPr>
                <w:rFonts w:asciiTheme="minorHAnsi" w:hAnsiTheme="minorHAnsi" w:cstheme="minorHAnsi"/>
                <w:bCs/>
                <w:color w:val="000000"/>
                <w:sz w:val="20"/>
                <w:szCs w:val="20"/>
              </w:rPr>
              <w:t>GoT agencies demonstrate measureable improvement in the allocation and use of public expenditure for TSDF priorities as well as sustainable revenue collection.</w:t>
            </w:r>
          </w:p>
        </w:tc>
        <w:tc>
          <w:tcPr>
            <w:tcW w:w="2680" w:type="dxa"/>
            <w:tcBorders>
              <w:top w:val="single" w:sz="4" w:space="0" w:color="000000"/>
              <w:left w:val="nil"/>
              <w:bottom w:val="single" w:sz="4" w:space="0" w:color="auto"/>
              <w:right w:val="single" w:sz="4" w:space="0" w:color="auto"/>
            </w:tcBorders>
            <w:shd w:val="clear" w:color="auto" w:fill="auto"/>
          </w:tcPr>
          <w:p w:rsidR="00AE62BD" w:rsidRPr="00F57585" w:rsidRDefault="00AE62BD" w:rsidP="00702BD2">
            <w:pPr>
              <w:jc w:val="left"/>
              <w:rPr>
                <w:rFonts w:asciiTheme="minorHAnsi" w:hAnsiTheme="minorHAnsi" w:cstheme="minorHAnsi"/>
                <w:i/>
                <w:sz w:val="20"/>
                <w:szCs w:val="20"/>
                <w:lang w:val="en-GB"/>
              </w:rPr>
            </w:pPr>
            <w:r w:rsidRPr="00702BD2">
              <w:rPr>
                <w:rFonts w:asciiTheme="minorHAnsi" w:hAnsiTheme="minorHAnsi" w:cstheme="minorHAnsi"/>
                <w:i/>
                <w:sz w:val="20"/>
                <w:szCs w:val="20"/>
                <w:lang w:val="en-GB"/>
              </w:rPr>
              <w:t>% actual recurrent expenditure allocated to TSDF pub</w:t>
            </w:r>
            <w:r>
              <w:rPr>
                <w:rFonts w:asciiTheme="minorHAnsi" w:hAnsiTheme="minorHAnsi" w:cstheme="minorHAnsi"/>
                <w:i/>
                <w:sz w:val="20"/>
                <w:szCs w:val="20"/>
                <w:lang w:val="en-GB"/>
              </w:rPr>
              <w:t>lic service delivery priorities</w:t>
            </w:r>
          </w:p>
        </w:tc>
        <w:tc>
          <w:tcPr>
            <w:tcW w:w="2557" w:type="dxa"/>
            <w:tcBorders>
              <w:top w:val="single" w:sz="4" w:space="0" w:color="auto"/>
              <w:left w:val="nil"/>
              <w:bottom w:val="single" w:sz="4" w:space="0" w:color="auto"/>
              <w:right w:val="single" w:sz="4" w:space="0" w:color="auto"/>
            </w:tcBorders>
            <w:shd w:val="clear" w:color="auto" w:fill="auto"/>
          </w:tcPr>
          <w:p w:rsidR="00AE62BD" w:rsidRDefault="00AE62BD" w:rsidP="00702BD2">
            <w:pPr>
              <w:jc w:val="left"/>
              <w:rPr>
                <w:rFonts w:asciiTheme="minorHAnsi" w:hAnsiTheme="minorHAnsi" w:cstheme="minorHAnsi"/>
                <w:iCs/>
                <w:color w:val="000000"/>
                <w:sz w:val="20"/>
                <w:szCs w:val="20"/>
              </w:rPr>
            </w:pPr>
            <w:r>
              <w:rPr>
                <w:rFonts w:asciiTheme="minorHAnsi" w:hAnsiTheme="minorHAnsi" w:cstheme="minorHAnsi"/>
                <w:iCs/>
                <w:color w:val="000000"/>
                <w:sz w:val="20"/>
                <w:szCs w:val="20"/>
              </w:rPr>
              <w:t>Improved expenditure management</w:t>
            </w:r>
          </w:p>
          <w:p w:rsidR="00AE62BD" w:rsidRDefault="00AE62BD" w:rsidP="00702BD2">
            <w:pPr>
              <w:jc w:val="left"/>
              <w:rPr>
                <w:rFonts w:asciiTheme="minorHAnsi" w:hAnsiTheme="minorHAnsi" w:cstheme="minorHAnsi"/>
                <w:iCs/>
                <w:color w:val="000000"/>
                <w:sz w:val="20"/>
                <w:szCs w:val="20"/>
              </w:rPr>
            </w:pPr>
          </w:p>
          <w:p w:rsidR="00AE62BD" w:rsidRPr="00702BD2" w:rsidRDefault="00AE62BD" w:rsidP="00702BD2">
            <w:pPr>
              <w:jc w:val="left"/>
              <w:rPr>
                <w:rFonts w:asciiTheme="minorHAnsi" w:hAnsiTheme="minorHAnsi" w:cstheme="minorHAnsi"/>
                <w:iCs/>
                <w:color w:val="000000"/>
                <w:sz w:val="20"/>
                <w:szCs w:val="20"/>
              </w:rPr>
            </w:pPr>
            <w:r>
              <w:rPr>
                <w:rFonts w:asciiTheme="minorHAnsi" w:hAnsiTheme="minorHAnsi" w:cstheme="minorHAnsi"/>
                <w:i/>
                <w:iCs/>
                <w:color w:val="000000"/>
                <w:sz w:val="20"/>
                <w:szCs w:val="20"/>
              </w:rPr>
              <w:t>K</w:t>
            </w:r>
            <w:r w:rsidRPr="0065138F">
              <w:rPr>
                <w:rFonts w:asciiTheme="minorHAnsi" w:hAnsiTheme="minorHAnsi" w:cstheme="minorHAnsi"/>
                <w:i/>
                <w:iCs/>
                <w:color w:val="000000"/>
                <w:sz w:val="20"/>
                <w:szCs w:val="20"/>
              </w:rPr>
              <w:t>ey intermediate outcomes for economic</w:t>
            </w:r>
            <w:r>
              <w:rPr>
                <w:rFonts w:asciiTheme="minorHAnsi" w:hAnsiTheme="minorHAnsi" w:cstheme="minorHAnsi"/>
                <w:i/>
                <w:iCs/>
                <w:color w:val="000000"/>
                <w:sz w:val="20"/>
                <w:szCs w:val="20"/>
              </w:rPr>
              <w:t xml:space="preserve"> and financial </w:t>
            </w:r>
            <w:r w:rsidRPr="0065138F">
              <w:rPr>
                <w:rFonts w:asciiTheme="minorHAnsi" w:hAnsiTheme="minorHAnsi" w:cstheme="minorHAnsi"/>
                <w:i/>
                <w:iCs/>
                <w:color w:val="000000"/>
                <w:sz w:val="20"/>
                <w:szCs w:val="20"/>
              </w:rPr>
              <w:t>governance are identif</w:t>
            </w:r>
            <w:r>
              <w:rPr>
                <w:rFonts w:asciiTheme="minorHAnsi" w:hAnsiTheme="minorHAnsi" w:cstheme="minorHAnsi"/>
                <w:i/>
                <w:iCs/>
                <w:color w:val="000000"/>
                <w:sz w:val="20"/>
                <w:szCs w:val="20"/>
              </w:rPr>
              <w:t>ied in the Policy Reform Matrix</w:t>
            </w:r>
            <w:r w:rsidRPr="0065138F">
              <w:rPr>
                <w:rFonts w:asciiTheme="minorHAnsi" w:hAnsiTheme="minorHAnsi" w:cstheme="minorHAnsi"/>
                <w:i/>
                <w:iCs/>
                <w:color w:val="000000"/>
                <w:sz w:val="20"/>
                <w:szCs w:val="20"/>
              </w:rPr>
              <w:t>.</w:t>
            </w:r>
          </w:p>
          <w:p w:rsidR="00AE62BD" w:rsidRPr="00702BD2" w:rsidRDefault="00AE62BD" w:rsidP="00702BD2">
            <w:pPr>
              <w:jc w:val="left"/>
              <w:rPr>
                <w:rFonts w:asciiTheme="minorHAnsi" w:hAnsiTheme="minorHAnsi" w:cstheme="minorHAnsi"/>
                <w:iCs/>
                <w:color w:val="000000"/>
                <w:sz w:val="20"/>
                <w:szCs w:val="20"/>
              </w:rPr>
            </w:pPr>
          </w:p>
        </w:tc>
        <w:tc>
          <w:tcPr>
            <w:tcW w:w="2854" w:type="dxa"/>
            <w:tcBorders>
              <w:top w:val="single" w:sz="4" w:space="0" w:color="auto"/>
              <w:left w:val="nil"/>
              <w:bottom w:val="single" w:sz="4" w:space="0" w:color="auto"/>
              <w:right w:val="single" w:sz="4" w:space="0" w:color="auto"/>
            </w:tcBorders>
            <w:shd w:val="clear" w:color="auto" w:fill="auto"/>
          </w:tcPr>
          <w:p w:rsidR="00AE62BD" w:rsidRPr="00702BD2" w:rsidRDefault="00AE62BD" w:rsidP="00702BD2">
            <w:pPr>
              <w:jc w:val="left"/>
              <w:rPr>
                <w:rFonts w:asciiTheme="minorHAnsi" w:hAnsiTheme="minorHAnsi" w:cstheme="minorHAnsi"/>
                <w:i/>
                <w:iCs/>
                <w:color w:val="000000"/>
                <w:sz w:val="20"/>
                <w:szCs w:val="20"/>
              </w:rPr>
            </w:pPr>
            <w:r w:rsidRPr="00702BD2">
              <w:rPr>
                <w:rFonts w:asciiTheme="minorHAnsi" w:hAnsiTheme="minorHAnsi" w:cstheme="minorHAnsi"/>
                <w:i/>
                <w:iCs/>
                <w:color w:val="000000"/>
                <w:sz w:val="20"/>
                <w:szCs w:val="20"/>
              </w:rPr>
              <w:t xml:space="preserve">Key reforms identified in the PFM Roadmap are progressed by </w:t>
            </w:r>
            <w:r>
              <w:rPr>
                <w:rFonts w:asciiTheme="minorHAnsi" w:hAnsiTheme="minorHAnsi" w:cstheme="minorHAnsi"/>
                <w:i/>
                <w:iCs/>
                <w:color w:val="000000"/>
                <w:sz w:val="20"/>
                <w:szCs w:val="20"/>
              </w:rPr>
              <w:t>MoFNP, MoR</w:t>
            </w:r>
          </w:p>
          <w:p w:rsidR="00AE62BD" w:rsidRPr="00702BD2" w:rsidRDefault="00AE62BD" w:rsidP="00702BD2">
            <w:pPr>
              <w:jc w:val="left"/>
              <w:rPr>
                <w:rFonts w:asciiTheme="minorHAnsi" w:hAnsiTheme="minorHAnsi" w:cstheme="minorHAnsi"/>
                <w:i/>
                <w:iCs/>
                <w:color w:val="000000"/>
                <w:sz w:val="20"/>
                <w:szCs w:val="20"/>
              </w:rPr>
            </w:pPr>
          </w:p>
        </w:tc>
        <w:tc>
          <w:tcPr>
            <w:tcW w:w="3573" w:type="dxa"/>
            <w:vMerge w:val="restart"/>
            <w:tcBorders>
              <w:top w:val="single" w:sz="4" w:space="0" w:color="000000"/>
              <w:left w:val="nil"/>
              <w:right w:val="single" w:sz="8" w:space="0" w:color="auto"/>
            </w:tcBorders>
            <w:shd w:val="clear" w:color="auto" w:fill="auto"/>
          </w:tcPr>
          <w:p w:rsidR="00AE62BD" w:rsidRPr="00702BD2" w:rsidRDefault="00AE62BD" w:rsidP="00702BD2">
            <w:pPr>
              <w:jc w:val="left"/>
              <w:rPr>
                <w:rFonts w:asciiTheme="minorHAnsi" w:hAnsiTheme="minorHAnsi" w:cstheme="minorHAnsi"/>
                <w:iCs/>
                <w:color w:val="000000"/>
                <w:sz w:val="20"/>
                <w:szCs w:val="20"/>
              </w:rPr>
            </w:pPr>
            <w:r w:rsidRPr="00702BD2">
              <w:rPr>
                <w:rFonts w:asciiTheme="minorHAnsi" w:hAnsiTheme="minorHAnsi" w:cstheme="minorHAnsi"/>
                <w:iCs/>
                <w:color w:val="000000"/>
                <w:sz w:val="20"/>
                <w:szCs w:val="20"/>
              </w:rPr>
              <w:t>Key intermediate outcomes will be determined through annual Policy Reform Matrix discussions between GoT and donor partners (finalisation of policy actions occurs in February and is led on behalf of donors by the World Bank).</w:t>
            </w:r>
          </w:p>
          <w:p w:rsidR="00AE62BD" w:rsidRPr="00702BD2" w:rsidRDefault="00AE62BD" w:rsidP="00702BD2">
            <w:pPr>
              <w:jc w:val="left"/>
              <w:rPr>
                <w:rFonts w:asciiTheme="minorHAnsi" w:hAnsiTheme="minorHAnsi" w:cstheme="minorHAnsi"/>
                <w:iCs/>
                <w:color w:val="000000"/>
                <w:sz w:val="20"/>
                <w:szCs w:val="20"/>
              </w:rPr>
            </w:pPr>
          </w:p>
          <w:p w:rsidR="00AE62BD" w:rsidRPr="00702BD2" w:rsidRDefault="00AE62BD" w:rsidP="00702BD2">
            <w:pPr>
              <w:jc w:val="left"/>
              <w:rPr>
                <w:rFonts w:asciiTheme="minorHAnsi" w:hAnsiTheme="minorHAnsi" w:cstheme="minorHAnsi"/>
                <w:iCs/>
                <w:color w:val="000000"/>
                <w:sz w:val="20"/>
                <w:szCs w:val="20"/>
              </w:rPr>
            </w:pPr>
          </w:p>
        </w:tc>
      </w:tr>
      <w:tr w:rsidR="00AE62BD" w:rsidRPr="00702BD2" w:rsidTr="00C415C7">
        <w:trPr>
          <w:trHeight w:val="649"/>
        </w:trPr>
        <w:tc>
          <w:tcPr>
            <w:tcW w:w="1959" w:type="dxa"/>
            <w:vMerge/>
            <w:tcBorders>
              <w:left w:val="single" w:sz="8" w:space="0" w:color="auto"/>
              <w:right w:val="single" w:sz="4" w:space="0" w:color="auto"/>
            </w:tcBorders>
            <w:shd w:val="clear" w:color="auto" w:fill="auto"/>
          </w:tcPr>
          <w:p w:rsidR="00AE62BD" w:rsidRPr="00702BD2" w:rsidRDefault="00AE62BD" w:rsidP="00702BD2">
            <w:pPr>
              <w:jc w:val="left"/>
              <w:rPr>
                <w:rFonts w:asciiTheme="minorHAnsi" w:hAnsiTheme="minorHAnsi" w:cstheme="minorHAnsi"/>
                <w:bCs/>
                <w:color w:val="000000"/>
                <w:sz w:val="20"/>
                <w:szCs w:val="20"/>
              </w:rPr>
            </w:pPr>
          </w:p>
        </w:tc>
        <w:tc>
          <w:tcPr>
            <w:tcW w:w="2680" w:type="dxa"/>
            <w:vMerge w:val="restart"/>
            <w:tcBorders>
              <w:top w:val="single" w:sz="4" w:space="0" w:color="000000"/>
              <w:left w:val="nil"/>
              <w:right w:val="single" w:sz="4" w:space="0" w:color="auto"/>
            </w:tcBorders>
            <w:shd w:val="clear" w:color="auto" w:fill="auto"/>
          </w:tcPr>
          <w:p w:rsidR="00AE62BD" w:rsidRPr="00702BD2" w:rsidRDefault="00AE62BD" w:rsidP="00702BD2">
            <w:pPr>
              <w:jc w:val="left"/>
              <w:rPr>
                <w:rFonts w:asciiTheme="minorHAnsi" w:hAnsiTheme="minorHAnsi" w:cstheme="minorHAnsi"/>
                <w:i/>
                <w:sz w:val="20"/>
                <w:szCs w:val="20"/>
                <w:lang w:val="en-GB"/>
              </w:rPr>
            </w:pPr>
            <w:r>
              <w:rPr>
                <w:rFonts w:asciiTheme="minorHAnsi" w:hAnsiTheme="minorHAnsi" w:cstheme="minorHAnsi"/>
                <w:i/>
                <w:sz w:val="20"/>
                <w:szCs w:val="20"/>
                <w:lang w:val="en-GB"/>
              </w:rPr>
              <w:t xml:space="preserve">Number of </w:t>
            </w:r>
            <w:r w:rsidRPr="0011273B">
              <w:rPr>
                <w:rFonts w:asciiTheme="minorHAnsi" w:hAnsiTheme="minorHAnsi" w:cstheme="minorHAnsi"/>
                <w:i/>
                <w:sz w:val="20"/>
                <w:szCs w:val="20"/>
                <w:lang w:val="en-GB"/>
              </w:rPr>
              <w:t>criteria in periodic PEFA assessments for Tonga</w:t>
            </w:r>
            <w:r>
              <w:rPr>
                <w:rFonts w:asciiTheme="minorHAnsi" w:hAnsiTheme="minorHAnsi" w:cstheme="minorHAnsi"/>
                <w:i/>
                <w:sz w:val="20"/>
                <w:szCs w:val="20"/>
                <w:lang w:val="en-GB"/>
              </w:rPr>
              <w:t xml:space="preserve"> that obtain improved ratings</w:t>
            </w:r>
          </w:p>
        </w:tc>
        <w:tc>
          <w:tcPr>
            <w:tcW w:w="2557" w:type="dxa"/>
            <w:tcBorders>
              <w:top w:val="single" w:sz="4" w:space="0" w:color="auto"/>
              <w:left w:val="nil"/>
              <w:bottom w:val="single" w:sz="4" w:space="0" w:color="auto"/>
              <w:right w:val="single" w:sz="4" w:space="0" w:color="auto"/>
            </w:tcBorders>
            <w:shd w:val="clear" w:color="auto" w:fill="auto"/>
          </w:tcPr>
          <w:p w:rsidR="00AE62BD" w:rsidRDefault="00AE62BD" w:rsidP="00AE62BD">
            <w:pPr>
              <w:jc w:val="left"/>
              <w:rPr>
                <w:rFonts w:ascii="Calibri" w:hAnsi="Calibri" w:cs="Calibri"/>
                <w:iCs/>
                <w:color w:val="000000"/>
                <w:sz w:val="20"/>
                <w:szCs w:val="20"/>
              </w:rPr>
            </w:pPr>
            <w:r>
              <w:rPr>
                <w:rFonts w:ascii="Calibri" w:hAnsi="Calibri" w:cs="Calibri"/>
                <w:iCs/>
                <w:color w:val="000000"/>
                <w:sz w:val="20"/>
                <w:szCs w:val="20"/>
              </w:rPr>
              <w:t>Improved public sector procurement practices</w:t>
            </w:r>
          </w:p>
          <w:p w:rsidR="00AE62BD" w:rsidRPr="00702BD2" w:rsidRDefault="00AE62BD" w:rsidP="00702BD2">
            <w:pPr>
              <w:jc w:val="left"/>
              <w:rPr>
                <w:rFonts w:asciiTheme="minorHAnsi" w:hAnsiTheme="minorHAnsi" w:cstheme="minorHAnsi"/>
                <w:iCs/>
                <w:color w:val="000000"/>
                <w:sz w:val="20"/>
                <w:szCs w:val="20"/>
              </w:rPr>
            </w:pPr>
          </w:p>
        </w:tc>
        <w:tc>
          <w:tcPr>
            <w:tcW w:w="2854" w:type="dxa"/>
            <w:tcBorders>
              <w:top w:val="single" w:sz="4" w:space="0" w:color="auto"/>
              <w:left w:val="nil"/>
              <w:bottom w:val="single" w:sz="4" w:space="0" w:color="auto"/>
              <w:right w:val="single" w:sz="4" w:space="0" w:color="auto"/>
            </w:tcBorders>
            <w:shd w:val="clear" w:color="auto" w:fill="auto"/>
          </w:tcPr>
          <w:p w:rsidR="00AE62BD" w:rsidRPr="00702BD2" w:rsidRDefault="00AE62BD" w:rsidP="00702BD2">
            <w:pPr>
              <w:jc w:val="left"/>
              <w:rPr>
                <w:rFonts w:asciiTheme="minorHAnsi" w:hAnsiTheme="minorHAnsi" w:cstheme="minorHAnsi"/>
                <w:i/>
                <w:iCs/>
                <w:color w:val="000000"/>
                <w:sz w:val="20"/>
                <w:szCs w:val="20"/>
              </w:rPr>
            </w:pPr>
            <w:r w:rsidRPr="00875C63">
              <w:rPr>
                <w:rFonts w:ascii="Calibri" w:hAnsi="Calibri" w:cs="Calibri"/>
                <w:i/>
                <w:iCs/>
                <w:color w:val="000000"/>
                <w:sz w:val="20"/>
                <w:szCs w:val="20"/>
              </w:rPr>
              <w:t xml:space="preserve">Procurement Reform Action Plan is endorsed by Cabinet </w:t>
            </w:r>
            <w:r w:rsidR="0074625B">
              <w:rPr>
                <w:rFonts w:ascii="Calibri" w:hAnsi="Calibri" w:cs="Calibri"/>
                <w:i/>
                <w:iCs/>
                <w:color w:val="000000"/>
                <w:sz w:val="20"/>
                <w:szCs w:val="20"/>
              </w:rPr>
              <w:t xml:space="preserve">by August 2013 </w:t>
            </w:r>
            <w:r w:rsidRPr="00875C63">
              <w:rPr>
                <w:rFonts w:ascii="Calibri" w:hAnsi="Calibri" w:cs="Calibri"/>
                <w:i/>
                <w:iCs/>
                <w:color w:val="000000"/>
                <w:sz w:val="20"/>
                <w:szCs w:val="20"/>
              </w:rPr>
              <w:t xml:space="preserve">and </w:t>
            </w:r>
            <w:r>
              <w:rPr>
                <w:rFonts w:ascii="Calibri" w:hAnsi="Calibri" w:cs="Calibri"/>
                <w:i/>
                <w:iCs/>
                <w:color w:val="000000"/>
                <w:sz w:val="20"/>
                <w:szCs w:val="20"/>
              </w:rPr>
              <w:t xml:space="preserve">fully </w:t>
            </w:r>
            <w:r w:rsidRPr="00875C63">
              <w:rPr>
                <w:rFonts w:ascii="Calibri" w:hAnsi="Calibri" w:cs="Calibri"/>
                <w:i/>
                <w:iCs/>
                <w:color w:val="000000"/>
                <w:sz w:val="20"/>
                <w:szCs w:val="20"/>
              </w:rPr>
              <w:t>adhered to</w:t>
            </w:r>
            <w:r>
              <w:rPr>
                <w:rFonts w:ascii="Calibri" w:hAnsi="Calibri" w:cs="Calibri"/>
                <w:i/>
                <w:iCs/>
                <w:color w:val="000000"/>
                <w:sz w:val="20"/>
                <w:szCs w:val="20"/>
              </w:rPr>
              <w:t xml:space="preserve">; </w:t>
            </w:r>
            <w:r w:rsidRPr="00E426FE">
              <w:rPr>
                <w:rFonts w:asciiTheme="minorHAnsi" w:hAnsiTheme="minorHAnsi" w:cstheme="minorHAnsi"/>
                <w:i/>
                <w:iCs/>
                <w:color w:val="000000"/>
                <w:sz w:val="20"/>
                <w:szCs w:val="20"/>
              </w:rPr>
              <w:t>all</w:t>
            </w:r>
            <w:r>
              <w:rPr>
                <w:rFonts w:asciiTheme="minorHAnsi" w:hAnsiTheme="minorHAnsi" w:cstheme="minorHAnsi"/>
                <w:i/>
                <w:iCs/>
                <w:color w:val="000000"/>
                <w:sz w:val="20"/>
                <w:szCs w:val="20"/>
              </w:rPr>
              <w:t xml:space="preserve"> procurements are undertaken in line with GoT regulations and AusAID risk mitigation measures</w:t>
            </w:r>
          </w:p>
        </w:tc>
        <w:tc>
          <w:tcPr>
            <w:tcW w:w="3573" w:type="dxa"/>
            <w:vMerge/>
            <w:tcBorders>
              <w:left w:val="nil"/>
              <w:right w:val="single" w:sz="8" w:space="0" w:color="auto"/>
            </w:tcBorders>
            <w:shd w:val="clear" w:color="auto" w:fill="auto"/>
          </w:tcPr>
          <w:p w:rsidR="00AE62BD" w:rsidRPr="00702BD2" w:rsidRDefault="00AE62BD" w:rsidP="00702BD2">
            <w:pPr>
              <w:jc w:val="left"/>
              <w:rPr>
                <w:rFonts w:asciiTheme="minorHAnsi" w:hAnsiTheme="minorHAnsi" w:cstheme="minorHAnsi"/>
                <w:iCs/>
                <w:color w:val="000000"/>
                <w:sz w:val="20"/>
                <w:szCs w:val="20"/>
              </w:rPr>
            </w:pPr>
          </w:p>
        </w:tc>
      </w:tr>
      <w:tr w:rsidR="00AE62BD" w:rsidRPr="00702BD2" w:rsidTr="00C415C7">
        <w:trPr>
          <w:trHeight w:val="649"/>
        </w:trPr>
        <w:tc>
          <w:tcPr>
            <w:tcW w:w="1959" w:type="dxa"/>
            <w:vMerge/>
            <w:tcBorders>
              <w:left w:val="single" w:sz="8" w:space="0" w:color="auto"/>
              <w:bottom w:val="single" w:sz="4" w:space="0" w:color="auto"/>
              <w:right w:val="single" w:sz="4" w:space="0" w:color="auto"/>
            </w:tcBorders>
            <w:shd w:val="clear" w:color="auto" w:fill="auto"/>
          </w:tcPr>
          <w:p w:rsidR="00AE62BD" w:rsidRPr="00702BD2" w:rsidRDefault="00AE62BD" w:rsidP="00702BD2">
            <w:pPr>
              <w:jc w:val="left"/>
              <w:rPr>
                <w:rFonts w:asciiTheme="minorHAnsi" w:hAnsiTheme="minorHAnsi" w:cstheme="minorHAnsi"/>
                <w:bCs/>
                <w:color w:val="000000"/>
                <w:sz w:val="20"/>
                <w:szCs w:val="20"/>
              </w:rPr>
            </w:pPr>
          </w:p>
        </w:tc>
        <w:tc>
          <w:tcPr>
            <w:tcW w:w="2680" w:type="dxa"/>
            <w:vMerge/>
            <w:tcBorders>
              <w:left w:val="nil"/>
              <w:bottom w:val="single" w:sz="4" w:space="0" w:color="auto"/>
              <w:right w:val="single" w:sz="4" w:space="0" w:color="auto"/>
            </w:tcBorders>
            <w:shd w:val="clear" w:color="auto" w:fill="auto"/>
          </w:tcPr>
          <w:p w:rsidR="00AE62BD" w:rsidRDefault="00AE62BD" w:rsidP="00702BD2">
            <w:pPr>
              <w:jc w:val="left"/>
              <w:rPr>
                <w:rFonts w:asciiTheme="minorHAnsi" w:hAnsiTheme="minorHAnsi" w:cstheme="minorHAnsi"/>
                <w:i/>
                <w:sz w:val="20"/>
                <w:szCs w:val="20"/>
                <w:lang w:val="en-GB"/>
              </w:rPr>
            </w:pPr>
          </w:p>
        </w:tc>
        <w:tc>
          <w:tcPr>
            <w:tcW w:w="2557" w:type="dxa"/>
            <w:tcBorders>
              <w:top w:val="single" w:sz="4" w:space="0" w:color="auto"/>
              <w:left w:val="nil"/>
              <w:bottom w:val="single" w:sz="4" w:space="0" w:color="auto"/>
              <w:right w:val="single" w:sz="4" w:space="0" w:color="auto"/>
            </w:tcBorders>
            <w:shd w:val="clear" w:color="auto" w:fill="auto"/>
          </w:tcPr>
          <w:p w:rsidR="00AE62BD" w:rsidRDefault="00AE62BD" w:rsidP="00AE62BD">
            <w:pPr>
              <w:jc w:val="left"/>
              <w:rPr>
                <w:rFonts w:ascii="Calibri" w:hAnsi="Calibri" w:cs="Calibri"/>
                <w:iCs/>
                <w:color w:val="000000"/>
                <w:sz w:val="20"/>
                <w:szCs w:val="20"/>
              </w:rPr>
            </w:pPr>
            <w:r>
              <w:rPr>
                <w:rFonts w:ascii="Calibri" w:hAnsi="Calibri" w:cs="Calibri"/>
                <w:iCs/>
                <w:color w:val="000000"/>
                <w:sz w:val="20"/>
                <w:szCs w:val="20"/>
              </w:rPr>
              <w:t>Strengthened GoT audit capacity</w:t>
            </w:r>
          </w:p>
          <w:p w:rsidR="00AE62BD" w:rsidRPr="00702BD2" w:rsidRDefault="00AE62BD" w:rsidP="00702BD2">
            <w:pPr>
              <w:jc w:val="left"/>
              <w:rPr>
                <w:rFonts w:asciiTheme="minorHAnsi" w:hAnsiTheme="minorHAnsi" w:cstheme="minorHAnsi"/>
                <w:iCs/>
                <w:color w:val="000000"/>
                <w:sz w:val="20"/>
                <w:szCs w:val="20"/>
              </w:rPr>
            </w:pPr>
          </w:p>
        </w:tc>
        <w:tc>
          <w:tcPr>
            <w:tcW w:w="2854" w:type="dxa"/>
            <w:tcBorders>
              <w:top w:val="single" w:sz="4" w:space="0" w:color="auto"/>
              <w:left w:val="nil"/>
              <w:bottom w:val="single" w:sz="4" w:space="0" w:color="auto"/>
              <w:right w:val="single" w:sz="4" w:space="0" w:color="auto"/>
            </w:tcBorders>
            <w:shd w:val="clear" w:color="auto" w:fill="auto"/>
          </w:tcPr>
          <w:p w:rsidR="00AE62BD" w:rsidRPr="00702BD2" w:rsidRDefault="0029266A" w:rsidP="0029266A">
            <w:pPr>
              <w:jc w:val="left"/>
              <w:rPr>
                <w:rFonts w:asciiTheme="minorHAnsi" w:hAnsiTheme="minorHAnsi" w:cstheme="minorHAnsi"/>
                <w:i/>
                <w:iCs/>
                <w:color w:val="000000"/>
                <w:sz w:val="20"/>
                <w:szCs w:val="20"/>
              </w:rPr>
            </w:pPr>
            <w:r>
              <w:rPr>
                <w:rFonts w:asciiTheme="minorHAnsi" w:hAnsiTheme="minorHAnsi" w:cstheme="minorHAnsi"/>
                <w:i/>
                <w:iCs/>
                <w:color w:val="000000"/>
                <w:sz w:val="20"/>
                <w:szCs w:val="20"/>
              </w:rPr>
              <w:t>Timeliness of annual audits of programs/ministries/depts/agencies; evidence of follow up on audit recommendations</w:t>
            </w:r>
          </w:p>
        </w:tc>
        <w:tc>
          <w:tcPr>
            <w:tcW w:w="3573" w:type="dxa"/>
            <w:vMerge/>
            <w:tcBorders>
              <w:left w:val="nil"/>
              <w:bottom w:val="single" w:sz="4" w:space="0" w:color="auto"/>
              <w:right w:val="single" w:sz="8" w:space="0" w:color="auto"/>
            </w:tcBorders>
            <w:shd w:val="clear" w:color="auto" w:fill="auto"/>
          </w:tcPr>
          <w:p w:rsidR="00AE62BD" w:rsidRPr="00702BD2" w:rsidRDefault="00AE62BD" w:rsidP="00702BD2">
            <w:pPr>
              <w:jc w:val="left"/>
              <w:rPr>
                <w:rFonts w:asciiTheme="minorHAnsi" w:hAnsiTheme="minorHAnsi" w:cstheme="minorHAnsi"/>
                <w:iCs/>
                <w:color w:val="000000"/>
                <w:sz w:val="20"/>
                <w:szCs w:val="20"/>
              </w:rPr>
            </w:pPr>
          </w:p>
        </w:tc>
      </w:tr>
      <w:tr w:rsidR="00AE62BD" w:rsidRPr="00702BD2" w:rsidTr="00C415C7">
        <w:trPr>
          <w:trHeight w:val="2826"/>
        </w:trPr>
        <w:tc>
          <w:tcPr>
            <w:tcW w:w="1959" w:type="dxa"/>
            <w:tcBorders>
              <w:top w:val="single" w:sz="4" w:space="0" w:color="auto"/>
              <w:left w:val="single" w:sz="8" w:space="0" w:color="auto"/>
              <w:bottom w:val="single" w:sz="4" w:space="0" w:color="auto"/>
              <w:right w:val="single" w:sz="4" w:space="0" w:color="auto"/>
            </w:tcBorders>
            <w:shd w:val="clear" w:color="000000" w:fill="FCD5B4"/>
            <w:hideMark/>
          </w:tcPr>
          <w:p w:rsidR="00AE62BD" w:rsidRPr="00702BD2" w:rsidRDefault="00AE62BD" w:rsidP="00702BD2">
            <w:pPr>
              <w:jc w:val="left"/>
              <w:rPr>
                <w:rFonts w:asciiTheme="minorHAnsi" w:hAnsiTheme="minorHAnsi" w:cstheme="minorHAnsi"/>
                <w:b/>
                <w:bCs/>
                <w:color w:val="000000"/>
                <w:sz w:val="20"/>
                <w:szCs w:val="20"/>
              </w:rPr>
            </w:pPr>
            <w:r w:rsidRPr="00702BD2">
              <w:rPr>
                <w:rFonts w:asciiTheme="minorHAnsi" w:hAnsiTheme="minorHAnsi" w:cstheme="minorHAnsi"/>
                <w:b/>
                <w:bCs/>
                <w:color w:val="000000"/>
                <w:sz w:val="20"/>
                <w:szCs w:val="20"/>
              </w:rPr>
              <w:t>Key evaluative questions for end-of-strategy outcome</w:t>
            </w:r>
          </w:p>
        </w:tc>
        <w:tc>
          <w:tcPr>
            <w:tcW w:w="8091" w:type="dxa"/>
            <w:gridSpan w:val="3"/>
            <w:tcBorders>
              <w:top w:val="single" w:sz="4" w:space="0" w:color="auto"/>
              <w:left w:val="nil"/>
              <w:bottom w:val="single" w:sz="4" w:space="0" w:color="auto"/>
              <w:right w:val="single" w:sz="4" w:space="0" w:color="auto"/>
            </w:tcBorders>
            <w:shd w:val="clear" w:color="auto" w:fill="auto"/>
          </w:tcPr>
          <w:p w:rsidR="00AE62BD" w:rsidRPr="00702BD2" w:rsidRDefault="00AE62BD" w:rsidP="00702BD2">
            <w:pPr>
              <w:jc w:val="left"/>
              <w:rPr>
                <w:rFonts w:asciiTheme="minorHAnsi" w:hAnsiTheme="minorHAnsi" w:cstheme="minorHAnsi"/>
                <w:iCs/>
                <w:color w:val="000000"/>
                <w:sz w:val="20"/>
                <w:szCs w:val="20"/>
              </w:rPr>
            </w:pPr>
            <w:r w:rsidRPr="00702BD2">
              <w:rPr>
                <w:rFonts w:asciiTheme="minorHAnsi" w:hAnsiTheme="minorHAnsi" w:cstheme="minorHAnsi"/>
                <w:iCs/>
                <w:color w:val="000000"/>
                <w:sz w:val="20"/>
                <w:szCs w:val="20"/>
              </w:rPr>
              <w:t>How much progress has been made by the GoT, with the support of donor partners, on implementing reforms identified in the PFM Roadmap</w:t>
            </w:r>
            <w:r>
              <w:rPr>
                <w:rFonts w:asciiTheme="minorHAnsi" w:hAnsiTheme="minorHAnsi" w:cstheme="minorHAnsi"/>
                <w:iCs/>
                <w:color w:val="000000"/>
                <w:sz w:val="20"/>
                <w:szCs w:val="20"/>
              </w:rPr>
              <w:t xml:space="preserve"> and Policy Reform Matrix</w:t>
            </w:r>
            <w:r w:rsidRPr="00702BD2">
              <w:rPr>
                <w:rFonts w:asciiTheme="minorHAnsi" w:hAnsiTheme="minorHAnsi" w:cstheme="minorHAnsi"/>
                <w:iCs/>
                <w:color w:val="000000"/>
                <w:sz w:val="20"/>
                <w:szCs w:val="20"/>
              </w:rPr>
              <w:t>?</w:t>
            </w:r>
          </w:p>
          <w:p w:rsidR="00AE62BD" w:rsidRPr="00702BD2" w:rsidRDefault="00AE62BD" w:rsidP="00702BD2">
            <w:pPr>
              <w:jc w:val="left"/>
              <w:rPr>
                <w:rFonts w:asciiTheme="minorHAnsi" w:hAnsiTheme="minorHAnsi" w:cstheme="minorHAnsi"/>
                <w:iCs/>
                <w:color w:val="000000"/>
                <w:sz w:val="20"/>
                <w:szCs w:val="20"/>
              </w:rPr>
            </w:pPr>
            <w:r w:rsidRPr="00702BD2">
              <w:rPr>
                <w:rFonts w:asciiTheme="minorHAnsi" w:hAnsiTheme="minorHAnsi" w:cstheme="minorHAnsi"/>
                <w:iCs/>
                <w:color w:val="000000"/>
                <w:sz w:val="20"/>
                <w:szCs w:val="20"/>
              </w:rPr>
              <w:t>How well-aligned have AusAID-funded activities been to the GoT Corporate Plans and PFM Roadmap?</w:t>
            </w:r>
          </w:p>
          <w:p w:rsidR="00AE62BD" w:rsidRPr="008C1A4C" w:rsidRDefault="00AE62BD" w:rsidP="008C1A4C">
            <w:pPr>
              <w:jc w:val="left"/>
              <w:rPr>
                <w:rFonts w:asciiTheme="minorHAnsi" w:hAnsiTheme="minorHAnsi" w:cstheme="minorHAnsi"/>
                <w:iCs/>
                <w:color w:val="000000"/>
                <w:sz w:val="20"/>
                <w:szCs w:val="20"/>
              </w:rPr>
            </w:pPr>
            <w:r w:rsidRPr="008C1A4C">
              <w:rPr>
                <w:rFonts w:asciiTheme="minorHAnsi" w:hAnsiTheme="minorHAnsi" w:cstheme="minorHAnsi"/>
                <w:iCs/>
                <w:color w:val="000000"/>
                <w:sz w:val="20"/>
                <w:szCs w:val="20"/>
              </w:rPr>
              <w:t>What evidence is there that reform plans are influencing government actions?</w:t>
            </w:r>
          </w:p>
          <w:p w:rsidR="00AE62BD" w:rsidRDefault="00AE62BD" w:rsidP="00D90A95">
            <w:pPr>
              <w:jc w:val="left"/>
              <w:rPr>
                <w:rFonts w:ascii="Calibri" w:hAnsi="Calibri" w:cs="Calibri"/>
                <w:iCs/>
                <w:color w:val="000000"/>
                <w:sz w:val="20"/>
                <w:szCs w:val="20"/>
              </w:rPr>
            </w:pPr>
            <w:r w:rsidRPr="00A424C2">
              <w:rPr>
                <w:rFonts w:ascii="Calibri" w:hAnsi="Calibri" w:cs="Calibri"/>
                <w:iCs/>
                <w:color w:val="000000"/>
                <w:sz w:val="20"/>
                <w:szCs w:val="20"/>
              </w:rPr>
              <w:t>What evidence is there that improvements in public sector management or financial management have led to better delivery of services?</w:t>
            </w:r>
          </w:p>
          <w:p w:rsidR="0066170E" w:rsidRDefault="0066170E" w:rsidP="0066170E">
            <w:pPr>
              <w:jc w:val="left"/>
              <w:rPr>
                <w:rFonts w:ascii="Calibri" w:hAnsi="Calibri" w:cs="Calibri"/>
                <w:iCs/>
                <w:color w:val="000000"/>
                <w:sz w:val="20"/>
                <w:szCs w:val="20"/>
              </w:rPr>
            </w:pPr>
            <w:r>
              <w:rPr>
                <w:rFonts w:ascii="Calibri" w:hAnsi="Calibri" w:cs="Calibri"/>
                <w:iCs/>
                <w:color w:val="000000"/>
                <w:sz w:val="20"/>
                <w:szCs w:val="20"/>
              </w:rPr>
              <w:t>How effective have risk mitigation measures been to addressing key risks facing procurement for all AusAID-funded programs?</w:t>
            </w:r>
          </w:p>
          <w:p w:rsidR="00AE62BD" w:rsidRPr="00702BD2" w:rsidRDefault="00AE62BD" w:rsidP="00702BD2">
            <w:pPr>
              <w:jc w:val="left"/>
              <w:rPr>
                <w:rFonts w:asciiTheme="minorHAnsi" w:hAnsiTheme="minorHAnsi" w:cstheme="minorHAnsi"/>
                <w:iCs/>
                <w:color w:val="000000"/>
                <w:sz w:val="20"/>
                <w:szCs w:val="20"/>
              </w:rPr>
            </w:pPr>
          </w:p>
        </w:tc>
        <w:tc>
          <w:tcPr>
            <w:tcW w:w="3573" w:type="dxa"/>
            <w:tcBorders>
              <w:top w:val="single" w:sz="4" w:space="0" w:color="auto"/>
              <w:left w:val="nil"/>
              <w:bottom w:val="single" w:sz="4" w:space="0" w:color="auto"/>
              <w:right w:val="single" w:sz="8" w:space="0" w:color="000000"/>
            </w:tcBorders>
            <w:shd w:val="clear" w:color="auto" w:fill="auto"/>
          </w:tcPr>
          <w:p w:rsidR="00AE62BD" w:rsidRDefault="00AE62BD" w:rsidP="00A11CCA">
            <w:pPr>
              <w:numPr>
                <w:ilvl w:val="0"/>
                <w:numId w:val="5"/>
              </w:numPr>
              <w:tabs>
                <w:tab w:val="clear" w:pos="432"/>
                <w:tab w:val="num" w:pos="317"/>
              </w:tabs>
              <w:ind w:left="318" w:hanging="318"/>
              <w:jc w:val="left"/>
              <w:rPr>
                <w:rFonts w:asciiTheme="minorHAnsi" w:hAnsiTheme="minorHAnsi" w:cstheme="minorHAnsi"/>
                <w:i/>
                <w:sz w:val="20"/>
                <w:szCs w:val="20"/>
                <w:lang w:val="en-GB"/>
              </w:rPr>
            </w:pPr>
            <w:r w:rsidRPr="00702BD2">
              <w:rPr>
                <w:rFonts w:asciiTheme="minorHAnsi" w:hAnsiTheme="minorHAnsi" w:cstheme="minorHAnsi"/>
                <w:i/>
                <w:sz w:val="20"/>
                <w:szCs w:val="20"/>
                <w:lang w:val="en-GB"/>
              </w:rPr>
              <w:t>Review current budget papers, agency reports and Corporate Plans</w:t>
            </w:r>
          </w:p>
          <w:p w:rsidR="00AE62BD" w:rsidRPr="00702BD2" w:rsidRDefault="00AE62BD" w:rsidP="00A11CCA">
            <w:pPr>
              <w:numPr>
                <w:ilvl w:val="0"/>
                <w:numId w:val="5"/>
              </w:numPr>
              <w:tabs>
                <w:tab w:val="clear" w:pos="432"/>
                <w:tab w:val="num" w:pos="317"/>
              </w:tabs>
              <w:ind w:left="318" w:hanging="318"/>
              <w:jc w:val="left"/>
              <w:rPr>
                <w:rFonts w:asciiTheme="minorHAnsi" w:hAnsiTheme="minorHAnsi" w:cstheme="minorHAnsi"/>
                <w:i/>
                <w:sz w:val="20"/>
                <w:szCs w:val="20"/>
                <w:lang w:val="en-GB"/>
              </w:rPr>
            </w:pPr>
            <w:r>
              <w:rPr>
                <w:rFonts w:asciiTheme="minorHAnsi" w:hAnsiTheme="minorHAnsi" w:cstheme="minorHAnsi"/>
                <w:i/>
                <w:sz w:val="20"/>
                <w:szCs w:val="20"/>
                <w:lang w:val="en-GB"/>
              </w:rPr>
              <w:t>Review IMF Article IV papers</w:t>
            </w:r>
          </w:p>
          <w:p w:rsidR="00AE62BD" w:rsidRPr="00702BD2" w:rsidRDefault="00AE62BD" w:rsidP="00A11CCA">
            <w:pPr>
              <w:numPr>
                <w:ilvl w:val="0"/>
                <w:numId w:val="5"/>
              </w:numPr>
              <w:tabs>
                <w:tab w:val="clear" w:pos="432"/>
                <w:tab w:val="num" w:pos="317"/>
              </w:tabs>
              <w:ind w:left="318" w:hanging="318"/>
              <w:jc w:val="left"/>
              <w:rPr>
                <w:rFonts w:asciiTheme="minorHAnsi" w:hAnsiTheme="minorHAnsi" w:cstheme="minorHAnsi"/>
                <w:i/>
                <w:sz w:val="20"/>
                <w:szCs w:val="20"/>
                <w:lang w:val="en-GB"/>
              </w:rPr>
            </w:pPr>
            <w:r w:rsidRPr="00702BD2">
              <w:rPr>
                <w:rFonts w:asciiTheme="minorHAnsi" w:hAnsiTheme="minorHAnsi" w:cstheme="minorHAnsi"/>
                <w:i/>
                <w:sz w:val="20"/>
                <w:szCs w:val="20"/>
                <w:lang w:val="en-GB"/>
              </w:rPr>
              <w:t xml:space="preserve">Interview key </w:t>
            </w:r>
            <w:r>
              <w:rPr>
                <w:rFonts w:asciiTheme="minorHAnsi" w:hAnsiTheme="minorHAnsi" w:cstheme="minorHAnsi"/>
                <w:i/>
                <w:sz w:val="20"/>
                <w:szCs w:val="20"/>
                <w:lang w:val="en-GB"/>
              </w:rPr>
              <w:t>stakeholders</w:t>
            </w:r>
            <w:r w:rsidRPr="00702BD2">
              <w:rPr>
                <w:rFonts w:asciiTheme="minorHAnsi" w:hAnsiTheme="minorHAnsi" w:cstheme="minorHAnsi"/>
                <w:i/>
                <w:sz w:val="20"/>
                <w:szCs w:val="20"/>
                <w:lang w:val="en-GB"/>
              </w:rPr>
              <w:t xml:space="preserve"> from GoT and civil society (e.g. chambers of commerce)</w:t>
            </w:r>
          </w:p>
          <w:p w:rsidR="00AE62BD" w:rsidRPr="00EC5600" w:rsidRDefault="00AE62BD" w:rsidP="00A11CCA">
            <w:pPr>
              <w:numPr>
                <w:ilvl w:val="0"/>
                <w:numId w:val="5"/>
              </w:numPr>
              <w:tabs>
                <w:tab w:val="clear" w:pos="432"/>
                <w:tab w:val="num" w:pos="317"/>
              </w:tabs>
              <w:ind w:left="318" w:hanging="318"/>
              <w:jc w:val="left"/>
              <w:rPr>
                <w:rFonts w:asciiTheme="minorHAnsi" w:hAnsiTheme="minorHAnsi" w:cstheme="minorHAnsi"/>
                <w:i/>
                <w:iCs/>
                <w:color w:val="000000"/>
                <w:sz w:val="20"/>
                <w:szCs w:val="20"/>
              </w:rPr>
            </w:pPr>
            <w:r w:rsidRPr="00702BD2">
              <w:rPr>
                <w:rFonts w:asciiTheme="minorHAnsi" w:hAnsiTheme="minorHAnsi" w:cstheme="minorHAnsi"/>
                <w:i/>
                <w:sz w:val="20"/>
                <w:szCs w:val="20"/>
                <w:lang w:val="en-GB"/>
              </w:rPr>
              <w:t>Compare results with Policy Reform Matrix, TSDF and PFM Roadmap</w:t>
            </w:r>
          </w:p>
          <w:p w:rsidR="00AE62BD" w:rsidRPr="00C415C7" w:rsidRDefault="00AE62BD" w:rsidP="00A11CCA">
            <w:pPr>
              <w:numPr>
                <w:ilvl w:val="0"/>
                <w:numId w:val="5"/>
              </w:numPr>
              <w:tabs>
                <w:tab w:val="clear" w:pos="432"/>
                <w:tab w:val="num" w:pos="317"/>
              </w:tabs>
              <w:ind w:left="318" w:hanging="318"/>
              <w:jc w:val="left"/>
              <w:rPr>
                <w:rFonts w:asciiTheme="minorHAnsi" w:hAnsiTheme="minorHAnsi" w:cstheme="minorHAnsi"/>
                <w:i/>
                <w:iCs/>
                <w:color w:val="000000"/>
                <w:sz w:val="20"/>
                <w:szCs w:val="20"/>
              </w:rPr>
            </w:pPr>
            <w:r>
              <w:rPr>
                <w:rFonts w:asciiTheme="minorHAnsi" w:hAnsiTheme="minorHAnsi" w:cstheme="minorHAnsi"/>
                <w:i/>
                <w:sz w:val="20"/>
                <w:szCs w:val="20"/>
                <w:lang w:val="en-GB"/>
              </w:rPr>
              <w:t>Participate in biannual World Bank policy Reform Matrix monitoring missions</w:t>
            </w:r>
          </w:p>
          <w:p w:rsidR="0066170E" w:rsidRDefault="0066170E" w:rsidP="00C415C7">
            <w:pPr>
              <w:ind w:left="318"/>
              <w:jc w:val="left"/>
              <w:rPr>
                <w:rFonts w:asciiTheme="minorHAnsi" w:hAnsiTheme="minorHAnsi" w:cstheme="minorHAnsi"/>
                <w:i/>
                <w:sz w:val="20"/>
                <w:szCs w:val="20"/>
                <w:lang w:val="en-GB"/>
              </w:rPr>
            </w:pPr>
          </w:p>
          <w:p w:rsidR="0066170E" w:rsidRPr="008C1A4C" w:rsidRDefault="0066170E" w:rsidP="00C415C7">
            <w:pPr>
              <w:ind w:left="318"/>
              <w:jc w:val="left"/>
              <w:rPr>
                <w:rFonts w:asciiTheme="minorHAnsi" w:hAnsiTheme="minorHAnsi" w:cstheme="minorHAnsi"/>
                <w:i/>
                <w:iCs/>
                <w:color w:val="000000"/>
                <w:sz w:val="20"/>
                <w:szCs w:val="20"/>
              </w:rPr>
            </w:pPr>
          </w:p>
        </w:tc>
      </w:tr>
      <w:tr w:rsidR="00AE62BD" w:rsidRPr="002D732C" w:rsidTr="00C73B82">
        <w:trPr>
          <w:trHeight w:val="446"/>
        </w:trPr>
        <w:tc>
          <w:tcPr>
            <w:tcW w:w="1959" w:type="dxa"/>
            <w:tcBorders>
              <w:top w:val="single" w:sz="4" w:space="0" w:color="auto"/>
              <w:left w:val="single" w:sz="4" w:space="0" w:color="auto"/>
              <w:bottom w:val="single" w:sz="4" w:space="0" w:color="auto"/>
              <w:right w:val="single" w:sz="4" w:space="0" w:color="auto"/>
            </w:tcBorders>
            <w:shd w:val="clear" w:color="000000" w:fill="DBE5F1" w:themeFill="accent1" w:themeFillTint="33"/>
          </w:tcPr>
          <w:p w:rsidR="00AE62BD" w:rsidRPr="002D732C" w:rsidRDefault="00AE62BD" w:rsidP="00202972">
            <w:pPr>
              <w:rPr>
                <w:rFonts w:ascii="Calibri" w:hAnsi="Calibri" w:cs="Calibri"/>
                <w:b/>
                <w:bCs/>
                <w:color w:val="000000"/>
                <w:sz w:val="20"/>
                <w:szCs w:val="20"/>
              </w:rPr>
            </w:pPr>
            <w:r>
              <w:rPr>
                <w:rFonts w:ascii="Calibri" w:hAnsi="Calibri" w:cs="Calibri"/>
                <w:b/>
                <w:bCs/>
                <w:color w:val="000000"/>
                <w:sz w:val="20"/>
                <w:szCs w:val="20"/>
              </w:rPr>
              <w:t>End-of-strategy outcome three</w:t>
            </w:r>
          </w:p>
        </w:tc>
        <w:tc>
          <w:tcPr>
            <w:tcW w:w="11664" w:type="dxa"/>
            <w:gridSpan w:val="4"/>
            <w:tcBorders>
              <w:top w:val="single" w:sz="4" w:space="0" w:color="auto"/>
              <w:left w:val="single" w:sz="4" w:space="0" w:color="auto"/>
              <w:bottom w:val="single" w:sz="4" w:space="0" w:color="auto"/>
              <w:right w:val="single" w:sz="4" w:space="0" w:color="auto"/>
            </w:tcBorders>
            <w:shd w:val="clear" w:color="000000" w:fill="DBE5F1" w:themeFill="accent1" w:themeFillTint="33"/>
          </w:tcPr>
          <w:p w:rsidR="00AE62BD" w:rsidRPr="002D732C" w:rsidRDefault="00AE62BD" w:rsidP="00202972">
            <w:pPr>
              <w:rPr>
                <w:rFonts w:ascii="Calibri" w:hAnsi="Calibri" w:cs="Calibri"/>
                <w:b/>
                <w:bCs/>
                <w:color w:val="000000"/>
                <w:sz w:val="20"/>
                <w:szCs w:val="20"/>
              </w:rPr>
            </w:pPr>
            <w:r>
              <w:rPr>
                <w:rFonts w:ascii="Calibri" w:hAnsi="Calibri" w:cs="Calibri"/>
                <w:b/>
                <w:bCs/>
                <w:color w:val="000000"/>
                <w:sz w:val="20"/>
                <w:szCs w:val="20"/>
              </w:rPr>
              <w:t>Business enabling environment</w:t>
            </w:r>
          </w:p>
        </w:tc>
      </w:tr>
      <w:tr w:rsidR="00AE62BD" w:rsidRPr="002D732C" w:rsidTr="00202972">
        <w:trPr>
          <w:trHeight w:val="1408"/>
        </w:trPr>
        <w:tc>
          <w:tcPr>
            <w:tcW w:w="1959" w:type="dxa"/>
            <w:tcBorders>
              <w:top w:val="nil"/>
              <w:left w:val="single" w:sz="8" w:space="0" w:color="auto"/>
              <w:bottom w:val="single" w:sz="4" w:space="0" w:color="auto"/>
              <w:right w:val="single" w:sz="4" w:space="0" w:color="auto"/>
            </w:tcBorders>
            <w:shd w:val="clear" w:color="auto" w:fill="auto"/>
          </w:tcPr>
          <w:p w:rsidR="00AE62BD" w:rsidRPr="002D732C" w:rsidRDefault="00AE62BD" w:rsidP="00C73B82">
            <w:pPr>
              <w:jc w:val="left"/>
              <w:rPr>
                <w:rFonts w:ascii="Calibri" w:hAnsi="Calibri" w:cs="Calibri"/>
                <w:i/>
                <w:iCs/>
                <w:color w:val="000000"/>
                <w:sz w:val="20"/>
                <w:szCs w:val="20"/>
              </w:rPr>
            </w:pPr>
            <w:r w:rsidRPr="007619C3">
              <w:rPr>
                <w:rFonts w:ascii="Calibri" w:hAnsi="Calibri" w:cs="Calibri"/>
                <w:bCs/>
                <w:color w:val="000000"/>
                <w:sz w:val="20"/>
                <w:szCs w:val="20"/>
              </w:rPr>
              <w:t>The majority of public enterprises reform and GoT agencies enable measureable development of the private sector.</w:t>
            </w:r>
          </w:p>
        </w:tc>
        <w:tc>
          <w:tcPr>
            <w:tcW w:w="2680" w:type="dxa"/>
            <w:tcBorders>
              <w:top w:val="nil"/>
              <w:left w:val="nil"/>
              <w:bottom w:val="single" w:sz="4" w:space="0" w:color="auto"/>
              <w:right w:val="single" w:sz="4" w:space="0" w:color="auto"/>
            </w:tcBorders>
            <w:shd w:val="clear" w:color="auto" w:fill="auto"/>
          </w:tcPr>
          <w:p w:rsidR="00AE62BD" w:rsidRDefault="00AE62BD" w:rsidP="00C73B82">
            <w:pPr>
              <w:jc w:val="left"/>
              <w:rPr>
                <w:rFonts w:ascii="Calibri" w:hAnsi="Calibri" w:cs="Calibri"/>
                <w:i/>
                <w:iCs/>
                <w:color w:val="000000"/>
                <w:sz w:val="20"/>
                <w:szCs w:val="20"/>
              </w:rPr>
            </w:pPr>
            <w:r>
              <w:rPr>
                <w:rFonts w:ascii="Calibri" w:hAnsi="Calibri" w:cs="Calibri"/>
                <w:i/>
                <w:iCs/>
                <w:color w:val="000000"/>
                <w:sz w:val="20"/>
                <w:szCs w:val="20"/>
              </w:rPr>
              <w:t>Tonga rankings in annual World Bank Doing Business Survey</w:t>
            </w:r>
          </w:p>
          <w:p w:rsidR="00AE62BD" w:rsidRPr="002D732C" w:rsidRDefault="00AE62BD" w:rsidP="00C73B82">
            <w:pPr>
              <w:jc w:val="left"/>
              <w:rPr>
                <w:rFonts w:ascii="Calibri" w:hAnsi="Calibri" w:cs="Calibri"/>
                <w:i/>
                <w:iCs/>
                <w:color w:val="000000"/>
                <w:sz w:val="20"/>
                <w:szCs w:val="20"/>
              </w:rPr>
            </w:pPr>
          </w:p>
        </w:tc>
        <w:tc>
          <w:tcPr>
            <w:tcW w:w="2557" w:type="dxa"/>
            <w:tcBorders>
              <w:top w:val="nil"/>
              <w:left w:val="nil"/>
              <w:bottom w:val="single" w:sz="4" w:space="0" w:color="auto"/>
              <w:right w:val="single" w:sz="4" w:space="0" w:color="auto"/>
            </w:tcBorders>
            <w:shd w:val="clear" w:color="auto" w:fill="auto"/>
          </w:tcPr>
          <w:p w:rsidR="00AE62BD" w:rsidRDefault="00AE62BD" w:rsidP="00C73B82">
            <w:pPr>
              <w:jc w:val="left"/>
              <w:rPr>
                <w:rFonts w:ascii="Calibri" w:hAnsi="Calibri" w:cs="Calibri"/>
                <w:iCs/>
                <w:color w:val="000000"/>
                <w:sz w:val="20"/>
                <w:szCs w:val="20"/>
              </w:rPr>
            </w:pPr>
            <w:r>
              <w:rPr>
                <w:rFonts w:ascii="Calibri" w:hAnsi="Calibri" w:cs="Calibri"/>
                <w:iCs/>
                <w:color w:val="000000"/>
                <w:sz w:val="20"/>
                <w:szCs w:val="20"/>
              </w:rPr>
              <w:t>Reform of public enterprises by MoPE, including corporatisation/privatisation of inefficient SOEs</w:t>
            </w:r>
          </w:p>
          <w:p w:rsidR="00AE62BD" w:rsidRDefault="00AE62BD" w:rsidP="00C73B82">
            <w:pPr>
              <w:jc w:val="left"/>
              <w:rPr>
                <w:rFonts w:ascii="Calibri" w:hAnsi="Calibri" w:cs="Calibri"/>
                <w:iCs/>
                <w:color w:val="000000"/>
                <w:sz w:val="20"/>
                <w:szCs w:val="20"/>
              </w:rPr>
            </w:pPr>
          </w:p>
          <w:p w:rsidR="00AE62BD" w:rsidRPr="00CF5FC5" w:rsidRDefault="00AE62BD" w:rsidP="00C73B82">
            <w:pPr>
              <w:jc w:val="left"/>
              <w:rPr>
                <w:rFonts w:ascii="Calibri" w:hAnsi="Calibri" w:cs="Calibri"/>
                <w:iCs/>
                <w:color w:val="000000"/>
                <w:sz w:val="20"/>
                <w:szCs w:val="20"/>
              </w:rPr>
            </w:pPr>
          </w:p>
        </w:tc>
        <w:tc>
          <w:tcPr>
            <w:tcW w:w="2854" w:type="dxa"/>
            <w:tcBorders>
              <w:top w:val="nil"/>
              <w:left w:val="nil"/>
              <w:bottom w:val="single" w:sz="4" w:space="0" w:color="auto"/>
              <w:right w:val="single" w:sz="4" w:space="0" w:color="auto"/>
            </w:tcBorders>
            <w:shd w:val="clear" w:color="auto" w:fill="auto"/>
          </w:tcPr>
          <w:p w:rsidR="00AE62BD" w:rsidRPr="001E0DDF" w:rsidRDefault="00AE62BD" w:rsidP="00C73B82">
            <w:pPr>
              <w:jc w:val="left"/>
              <w:rPr>
                <w:rFonts w:ascii="Calibri" w:hAnsi="Calibri" w:cs="Calibri"/>
                <w:i/>
                <w:iCs/>
                <w:color w:val="000000"/>
                <w:sz w:val="20"/>
                <w:szCs w:val="20"/>
              </w:rPr>
            </w:pPr>
            <w:r w:rsidRPr="001E0DDF">
              <w:rPr>
                <w:rFonts w:ascii="Calibri" w:hAnsi="Calibri" w:cs="Calibri"/>
                <w:i/>
                <w:iCs/>
                <w:color w:val="000000"/>
                <w:sz w:val="20"/>
                <w:szCs w:val="20"/>
              </w:rPr>
              <w:t xml:space="preserve">Key </w:t>
            </w:r>
            <w:r>
              <w:rPr>
                <w:rFonts w:ascii="Calibri" w:hAnsi="Calibri" w:cs="Calibri"/>
                <w:i/>
                <w:iCs/>
                <w:color w:val="000000"/>
                <w:sz w:val="20"/>
                <w:szCs w:val="20"/>
              </w:rPr>
              <w:t xml:space="preserve">structural </w:t>
            </w:r>
            <w:r w:rsidRPr="001E0DDF">
              <w:rPr>
                <w:rFonts w:ascii="Calibri" w:hAnsi="Calibri" w:cs="Calibri"/>
                <w:i/>
                <w:iCs/>
                <w:color w:val="000000"/>
                <w:sz w:val="20"/>
                <w:szCs w:val="20"/>
              </w:rPr>
              <w:t>reforms identified in the PFM Roadmap are progressed by M</w:t>
            </w:r>
            <w:r>
              <w:rPr>
                <w:rFonts w:ascii="Calibri" w:hAnsi="Calibri" w:cs="Calibri"/>
                <w:i/>
                <w:iCs/>
                <w:color w:val="000000"/>
                <w:sz w:val="20"/>
                <w:szCs w:val="20"/>
              </w:rPr>
              <w:t>oPE</w:t>
            </w:r>
          </w:p>
          <w:p w:rsidR="00AE62BD" w:rsidRPr="002D732C" w:rsidRDefault="00AE62BD" w:rsidP="00C73B82">
            <w:pPr>
              <w:jc w:val="left"/>
              <w:rPr>
                <w:rFonts w:ascii="Calibri" w:hAnsi="Calibri" w:cs="Calibri"/>
                <w:i/>
                <w:iCs/>
                <w:color w:val="000000"/>
                <w:sz w:val="20"/>
                <w:szCs w:val="20"/>
              </w:rPr>
            </w:pPr>
          </w:p>
        </w:tc>
        <w:tc>
          <w:tcPr>
            <w:tcW w:w="3573" w:type="dxa"/>
            <w:tcBorders>
              <w:top w:val="nil"/>
              <w:left w:val="nil"/>
              <w:bottom w:val="single" w:sz="4" w:space="0" w:color="auto"/>
              <w:right w:val="single" w:sz="8" w:space="0" w:color="auto"/>
            </w:tcBorders>
            <w:shd w:val="clear" w:color="auto" w:fill="auto"/>
          </w:tcPr>
          <w:p w:rsidR="00AE62BD" w:rsidRPr="00702BD2" w:rsidRDefault="00AE62BD" w:rsidP="00C73B82">
            <w:pPr>
              <w:jc w:val="left"/>
              <w:rPr>
                <w:rFonts w:asciiTheme="minorHAnsi" w:hAnsiTheme="minorHAnsi" w:cstheme="minorHAnsi"/>
                <w:iCs/>
                <w:color w:val="000000"/>
                <w:sz w:val="20"/>
                <w:szCs w:val="20"/>
              </w:rPr>
            </w:pPr>
            <w:r w:rsidRPr="00702BD2">
              <w:rPr>
                <w:rFonts w:asciiTheme="minorHAnsi" w:hAnsiTheme="minorHAnsi" w:cstheme="minorHAnsi"/>
                <w:iCs/>
                <w:color w:val="000000"/>
                <w:sz w:val="20"/>
                <w:szCs w:val="20"/>
              </w:rPr>
              <w:t>Key intermediate outcomes will be determined through annual Policy Reform Matrix discussions between GoT and donor partners (finalisation of policy actions occurs in February and is led on behalf of donors by the World Bank).</w:t>
            </w:r>
          </w:p>
          <w:p w:rsidR="00AE62BD" w:rsidRPr="002D732C" w:rsidRDefault="00AE62BD" w:rsidP="00C73B82">
            <w:pPr>
              <w:jc w:val="left"/>
              <w:rPr>
                <w:rFonts w:ascii="Calibri" w:hAnsi="Calibri" w:cs="Calibri"/>
                <w:i/>
                <w:iCs/>
                <w:color w:val="000000"/>
                <w:sz w:val="20"/>
                <w:szCs w:val="20"/>
              </w:rPr>
            </w:pPr>
          </w:p>
        </w:tc>
      </w:tr>
      <w:tr w:rsidR="00AE62BD" w:rsidRPr="00FD2B9D" w:rsidTr="007C2927">
        <w:trPr>
          <w:trHeight w:val="67"/>
        </w:trPr>
        <w:tc>
          <w:tcPr>
            <w:tcW w:w="1959" w:type="dxa"/>
            <w:tcBorders>
              <w:top w:val="single" w:sz="4" w:space="0" w:color="auto"/>
              <w:left w:val="single" w:sz="8" w:space="0" w:color="auto"/>
              <w:bottom w:val="single" w:sz="4" w:space="0" w:color="000000"/>
              <w:right w:val="single" w:sz="4" w:space="0" w:color="auto"/>
            </w:tcBorders>
            <w:shd w:val="clear" w:color="000000" w:fill="FCD5B4"/>
            <w:hideMark/>
          </w:tcPr>
          <w:p w:rsidR="00AE62BD" w:rsidRPr="00FD2B9D" w:rsidRDefault="00AE62BD" w:rsidP="00702BD2">
            <w:pPr>
              <w:jc w:val="left"/>
              <w:rPr>
                <w:rFonts w:ascii="Calibri" w:hAnsi="Calibri" w:cs="Calibri"/>
                <w:b/>
                <w:bCs/>
                <w:color w:val="000000"/>
                <w:sz w:val="20"/>
                <w:szCs w:val="20"/>
              </w:rPr>
            </w:pPr>
            <w:r w:rsidRPr="00FD2B9D">
              <w:rPr>
                <w:rFonts w:ascii="Calibri" w:hAnsi="Calibri" w:cs="Calibri"/>
                <w:b/>
                <w:bCs/>
                <w:color w:val="000000"/>
                <w:sz w:val="20"/>
                <w:szCs w:val="20"/>
              </w:rPr>
              <w:t>Key evaluative questions for end-of-strategy outcome</w:t>
            </w:r>
          </w:p>
        </w:tc>
        <w:tc>
          <w:tcPr>
            <w:tcW w:w="8091" w:type="dxa"/>
            <w:gridSpan w:val="3"/>
            <w:tcBorders>
              <w:top w:val="single" w:sz="4" w:space="0" w:color="auto"/>
              <w:left w:val="nil"/>
              <w:bottom w:val="single" w:sz="4" w:space="0" w:color="000000"/>
              <w:right w:val="single" w:sz="4" w:space="0" w:color="auto"/>
            </w:tcBorders>
            <w:shd w:val="clear" w:color="auto" w:fill="auto"/>
          </w:tcPr>
          <w:p w:rsidR="00AE62BD" w:rsidRPr="00702BD2" w:rsidRDefault="00AE62BD" w:rsidP="00946F66">
            <w:pPr>
              <w:jc w:val="left"/>
              <w:rPr>
                <w:rFonts w:asciiTheme="minorHAnsi" w:hAnsiTheme="minorHAnsi" w:cstheme="minorHAnsi"/>
                <w:iCs/>
                <w:color w:val="000000"/>
                <w:sz w:val="20"/>
                <w:szCs w:val="20"/>
              </w:rPr>
            </w:pPr>
            <w:r w:rsidRPr="00702BD2">
              <w:rPr>
                <w:rFonts w:asciiTheme="minorHAnsi" w:hAnsiTheme="minorHAnsi" w:cstheme="minorHAnsi"/>
                <w:iCs/>
                <w:color w:val="000000"/>
                <w:sz w:val="20"/>
                <w:szCs w:val="20"/>
              </w:rPr>
              <w:t>How much progress has been made by the GoT, with the support of donor partners, on implementing reforms identified in the P</w:t>
            </w:r>
            <w:r>
              <w:rPr>
                <w:rFonts w:asciiTheme="minorHAnsi" w:hAnsiTheme="minorHAnsi" w:cstheme="minorHAnsi"/>
                <w:iCs/>
                <w:color w:val="000000"/>
                <w:sz w:val="20"/>
                <w:szCs w:val="20"/>
              </w:rPr>
              <w:t>olicy Reform Matrix</w:t>
            </w:r>
            <w:r w:rsidRPr="00702BD2">
              <w:rPr>
                <w:rFonts w:asciiTheme="minorHAnsi" w:hAnsiTheme="minorHAnsi" w:cstheme="minorHAnsi"/>
                <w:iCs/>
                <w:color w:val="000000"/>
                <w:sz w:val="20"/>
                <w:szCs w:val="20"/>
              </w:rPr>
              <w:t>?</w:t>
            </w:r>
          </w:p>
          <w:p w:rsidR="00AE62BD" w:rsidRPr="002612B8" w:rsidRDefault="00AE62BD" w:rsidP="00702BD2">
            <w:pPr>
              <w:jc w:val="left"/>
              <w:rPr>
                <w:rFonts w:ascii="Calibri" w:hAnsi="Calibri" w:cs="Calibri"/>
                <w:iCs/>
                <w:color w:val="000000"/>
                <w:sz w:val="20"/>
                <w:szCs w:val="20"/>
              </w:rPr>
            </w:pPr>
          </w:p>
        </w:tc>
        <w:tc>
          <w:tcPr>
            <w:tcW w:w="3573" w:type="dxa"/>
            <w:tcBorders>
              <w:top w:val="single" w:sz="4" w:space="0" w:color="auto"/>
              <w:left w:val="nil"/>
              <w:bottom w:val="single" w:sz="4" w:space="0" w:color="000000"/>
              <w:right w:val="single" w:sz="8" w:space="0" w:color="000000"/>
            </w:tcBorders>
            <w:shd w:val="clear" w:color="auto" w:fill="auto"/>
          </w:tcPr>
          <w:p w:rsidR="00AE62BD" w:rsidRPr="00C415C7" w:rsidRDefault="00AE62BD" w:rsidP="00A11CCA">
            <w:pPr>
              <w:numPr>
                <w:ilvl w:val="0"/>
                <w:numId w:val="5"/>
              </w:numPr>
              <w:tabs>
                <w:tab w:val="clear" w:pos="432"/>
                <w:tab w:val="num" w:pos="317"/>
              </w:tabs>
              <w:ind w:left="318" w:hanging="318"/>
              <w:jc w:val="left"/>
              <w:rPr>
                <w:rFonts w:ascii="Calibri" w:hAnsi="Calibri" w:cs="Calibri"/>
                <w:i/>
                <w:iCs/>
                <w:color w:val="000000"/>
                <w:sz w:val="20"/>
                <w:szCs w:val="20"/>
              </w:rPr>
            </w:pPr>
            <w:r w:rsidRPr="007C2927">
              <w:rPr>
                <w:rFonts w:asciiTheme="minorHAnsi" w:hAnsiTheme="minorHAnsi" w:cstheme="minorHAnsi"/>
                <w:i/>
                <w:sz w:val="20"/>
                <w:szCs w:val="20"/>
                <w:lang w:val="en-GB"/>
              </w:rPr>
              <w:t>Participate in biannual World Bank policy Reform Matrix monitoring missions</w:t>
            </w:r>
          </w:p>
          <w:p w:rsidR="0066170E" w:rsidRPr="007C2927" w:rsidRDefault="0066170E" w:rsidP="00C415C7">
            <w:pPr>
              <w:ind w:left="318"/>
              <w:jc w:val="left"/>
              <w:rPr>
                <w:rFonts w:ascii="Calibri" w:hAnsi="Calibri" w:cs="Calibri"/>
                <w:i/>
                <w:iCs/>
                <w:color w:val="000000"/>
                <w:sz w:val="20"/>
                <w:szCs w:val="20"/>
              </w:rPr>
            </w:pPr>
          </w:p>
        </w:tc>
      </w:tr>
      <w:tr w:rsidR="00AE62BD" w:rsidRPr="002D732C" w:rsidTr="00702BD2">
        <w:trPr>
          <w:trHeight w:val="446"/>
        </w:trPr>
        <w:tc>
          <w:tcPr>
            <w:tcW w:w="1959" w:type="dxa"/>
            <w:tcBorders>
              <w:top w:val="single" w:sz="4" w:space="0" w:color="000000"/>
              <w:left w:val="single" w:sz="8" w:space="0" w:color="auto"/>
              <w:bottom w:val="single" w:sz="4" w:space="0" w:color="auto"/>
              <w:right w:val="single" w:sz="8" w:space="0" w:color="auto"/>
            </w:tcBorders>
            <w:shd w:val="clear" w:color="000000" w:fill="DBE5F1" w:themeFill="accent1" w:themeFillTint="33"/>
          </w:tcPr>
          <w:p w:rsidR="00AE62BD" w:rsidRPr="002D732C" w:rsidRDefault="00AE62BD" w:rsidP="00202972">
            <w:pPr>
              <w:rPr>
                <w:rFonts w:ascii="Calibri" w:hAnsi="Calibri" w:cs="Calibri"/>
                <w:b/>
                <w:bCs/>
                <w:color w:val="000000"/>
                <w:sz w:val="20"/>
                <w:szCs w:val="20"/>
              </w:rPr>
            </w:pPr>
            <w:r>
              <w:rPr>
                <w:rFonts w:ascii="Calibri" w:hAnsi="Calibri" w:cs="Calibri"/>
                <w:b/>
                <w:bCs/>
                <w:color w:val="000000"/>
                <w:sz w:val="20"/>
                <w:szCs w:val="20"/>
              </w:rPr>
              <w:t>End-of-strategy outcome four</w:t>
            </w:r>
          </w:p>
        </w:tc>
        <w:tc>
          <w:tcPr>
            <w:tcW w:w="11664" w:type="dxa"/>
            <w:gridSpan w:val="4"/>
            <w:tcBorders>
              <w:top w:val="single" w:sz="4" w:space="0" w:color="000000"/>
              <w:left w:val="single" w:sz="8" w:space="0" w:color="auto"/>
              <w:bottom w:val="single" w:sz="4" w:space="0" w:color="auto"/>
              <w:right w:val="single" w:sz="8" w:space="0" w:color="auto"/>
            </w:tcBorders>
            <w:shd w:val="clear" w:color="000000" w:fill="DBE5F1" w:themeFill="accent1" w:themeFillTint="33"/>
          </w:tcPr>
          <w:p w:rsidR="00AE62BD" w:rsidRPr="002F34A8" w:rsidRDefault="00AE62BD" w:rsidP="00202972">
            <w:pPr>
              <w:rPr>
                <w:rFonts w:ascii="Calibri" w:hAnsi="Calibri" w:cs="Calibri"/>
                <w:b/>
                <w:bCs/>
                <w:color w:val="000000"/>
                <w:sz w:val="20"/>
                <w:szCs w:val="20"/>
              </w:rPr>
            </w:pPr>
            <w:r w:rsidRPr="002F34A8">
              <w:rPr>
                <w:rFonts w:ascii="Calibri" w:hAnsi="Calibri" w:cs="Calibri"/>
                <w:b/>
                <w:bCs/>
                <w:color w:val="000000"/>
                <w:sz w:val="20"/>
                <w:szCs w:val="20"/>
              </w:rPr>
              <w:t>Effective aid through alignment, harmonisation and mutual accountability</w:t>
            </w:r>
          </w:p>
        </w:tc>
      </w:tr>
      <w:tr w:rsidR="00AE62BD" w:rsidRPr="002D732C" w:rsidTr="00202972">
        <w:trPr>
          <w:trHeight w:val="2117"/>
        </w:trPr>
        <w:tc>
          <w:tcPr>
            <w:tcW w:w="1959" w:type="dxa"/>
            <w:tcBorders>
              <w:top w:val="nil"/>
              <w:left w:val="single" w:sz="8" w:space="0" w:color="auto"/>
              <w:bottom w:val="single" w:sz="4" w:space="0" w:color="auto"/>
              <w:right w:val="single" w:sz="4" w:space="0" w:color="auto"/>
            </w:tcBorders>
            <w:shd w:val="clear" w:color="auto" w:fill="auto"/>
          </w:tcPr>
          <w:p w:rsidR="00AE62BD" w:rsidRPr="007619C3" w:rsidRDefault="00AE62BD" w:rsidP="00C415C7">
            <w:pPr>
              <w:jc w:val="left"/>
              <w:rPr>
                <w:rFonts w:ascii="Calibri" w:hAnsi="Calibri" w:cs="Calibri"/>
                <w:bCs/>
                <w:color w:val="000000"/>
                <w:sz w:val="20"/>
                <w:szCs w:val="20"/>
              </w:rPr>
            </w:pPr>
            <w:r w:rsidRPr="007619C3">
              <w:rPr>
                <w:rFonts w:ascii="Calibri" w:hAnsi="Calibri" w:cs="Calibri"/>
                <w:bCs/>
                <w:color w:val="000000"/>
                <w:sz w:val="20"/>
                <w:szCs w:val="20"/>
              </w:rPr>
              <w:t>Go</w:t>
            </w:r>
            <w:r>
              <w:rPr>
                <w:rFonts w:ascii="Calibri" w:hAnsi="Calibri" w:cs="Calibri"/>
                <w:bCs/>
                <w:color w:val="000000"/>
                <w:sz w:val="20"/>
                <w:szCs w:val="20"/>
              </w:rPr>
              <w:t>T</w:t>
            </w:r>
            <w:r w:rsidRPr="007619C3">
              <w:rPr>
                <w:rFonts w:ascii="Calibri" w:hAnsi="Calibri" w:cs="Calibri"/>
                <w:bCs/>
                <w:color w:val="000000"/>
                <w:sz w:val="20"/>
                <w:szCs w:val="20"/>
              </w:rPr>
              <w:t xml:space="preserve"> agencies and development partners ensure a more coordinated whole of government approach to partnership for PFM reforms.</w:t>
            </w:r>
          </w:p>
        </w:tc>
        <w:tc>
          <w:tcPr>
            <w:tcW w:w="2680" w:type="dxa"/>
            <w:tcBorders>
              <w:top w:val="nil"/>
              <w:left w:val="nil"/>
              <w:bottom w:val="single" w:sz="4" w:space="0" w:color="auto"/>
              <w:right w:val="single" w:sz="4" w:space="0" w:color="auto"/>
            </w:tcBorders>
            <w:shd w:val="clear" w:color="auto" w:fill="auto"/>
          </w:tcPr>
          <w:p w:rsidR="00AE62BD" w:rsidRPr="00D510EE" w:rsidRDefault="00AE62BD" w:rsidP="0096447D">
            <w:pPr>
              <w:spacing w:after="240"/>
              <w:jc w:val="left"/>
              <w:rPr>
                <w:rFonts w:ascii="Calibri" w:hAnsi="Calibri" w:cs="Calibri"/>
                <w:i/>
                <w:iCs/>
                <w:color w:val="000000"/>
                <w:sz w:val="20"/>
                <w:szCs w:val="20"/>
                <w:highlight w:val="green"/>
              </w:rPr>
            </w:pPr>
            <w:r>
              <w:rPr>
                <w:rFonts w:ascii="Calibri" w:hAnsi="Calibri" w:cs="Calibri"/>
                <w:i/>
                <w:iCs/>
                <w:color w:val="000000"/>
                <w:sz w:val="20"/>
                <w:szCs w:val="20"/>
              </w:rPr>
              <w:t>Success of Policy Reform Matrix in coordinating donor support and in providing momentum to the GoT’s reform program</w:t>
            </w:r>
          </w:p>
        </w:tc>
        <w:tc>
          <w:tcPr>
            <w:tcW w:w="2557" w:type="dxa"/>
            <w:tcBorders>
              <w:top w:val="nil"/>
              <w:left w:val="nil"/>
              <w:bottom w:val="single" w:sz="4" w:space="0" w:color="auto"/>
              <w:right w:val="single" w:sz="4" w:space="0" w:color="auto"/>
            </w:tcBorders>
            <w:shd w:val="clear" w:color="auto" w:fill="auto"/>
          </w:tcPr>
          <w:p w:rsidR="00AE62BD" w:rsidRPr="006D48EF" w:rsidRDefault="00AE62BD" w:rsidP="00702BD2">
            <w:pPr>
              <w:jc w:val="left"/>
              <w:rPr>
                <w:rFonts w:ascii="Calibri" w:hAnsi="Calibri" w:cs="Calibri"/>
                <w:iCs/>
                <w:color w:val="000000"/>
                <w:sz w:val="20"/>
                <w:szCs w:val="20"/>
              </w:rPr>
            </w:pPr>
            <w:r>
              <w:rPr>
                <w:rFonts w:ascii="Calibri" w:hAnsi="Calibri" w:cs="Calibri"/>
                <w:iCs/>
                <w:color w:val="000000"/>
                <w:sz w:val="20"/>
                <w:szCs w:val="20"/>
              </w:rPr>
              <w:t>GoT and donors hold each other mutually accountable for agreed development results.</w:t>
            </w:r>
          </w:p>
        </w:tc>
        <w:tc>
          <w:tcPr>
            <w:tcW w:w="2854" w:type="dxa"/>
            <w:tcBorders>
              <w:top w:val="nil"/>
              <w:left w:val="nil"/>
              <w:bottom w:val="single" w:sz="4" w:space="0" w:color="auto"/>
              <w:right w:val="single" w:sz="4" w:space="0" w:color="auto"/>
            </w:tcBorders>
            <w:shd w:val="clear" w:color="auto" w:fill="auto"/>
          </w:tcPr>
          <w:p w:rsidR="00AE62BD" w:rsidRDefault="00AE62BD" w:rsidP="001B496D">
            <w:pPr>
              <w:jc w:val="left"/>
              <w:rPr>
                <w:rFonts w:ascii="Calibri" w:hAnsi="Calibri" w:cs="Calibri"/>
                <w:i/>
                <w:iCs/>
                <w:color w:val="000000"/>
                <w:sz w:val="20"/>
                <w:szCs w:val="20"/>
              </w:rPr>
            </w:pPr>
            <w:r>
              <w:rPr>
                <w:rFonts w:ascii="Calibri" w:hAnsi="Calibri" w:cs="Calibri"/>
                <w:i/>
                <w:iCs/>
                <w:color w:val="000000"/>
                <w:sz w:val="20"/>
                <w:szCs w:val="20"/>
              </w:rPr>
              <w:t>% of acquittals (for the use of AusAID funds) that are completed and provided on time by the GoT to AusAID</w:t>
            </w:r>
          </w:p>
          <w:p w:rsidR="00AE62BD" w:rsidRDefault="00AE62BD" w:rsidP="001B496D">
            <w:pPr>
              <w:jc w:val="left"/>
              <w:rPr>
                <w:rFonts w:ascii="Calibri" w:hAnsi="Calibri" w:cs="Calibri"/>
                <w:i/>
                <w:iCs/>
                <w:color w:val="000000"/>
                <w:sz w:val="20"/>
                <w:szCs w:val="20"/>
              </w:rPr>
            </w:pPr>
          </w:p>
          <w:p w:rsidR="00AE62BD" w:rsidRPr="002D732C" w:rsidRDefault="00AE62BD" w:rsidP="001B496D">
            <w:pPr>
              <w:jc w:val="left"/>
              <w:rPr>
                <w:rFonts w:ascii="Calibri" w:hAnsi="Calibri" w:cs="Calibri"/>
                <w:i/>
                <w:iCs/>
                <w:color w:val="000000"/>
                <w:sz w:val="20"/>
                <w:szCs w:val="20"/>
              </w:rPr>
            </w:pPr>
          </w:p>
        </w:tc>
        <w:tc>
          <w:tcPr>
            <w:tcW w:w="3573" w:type="dxa"/>
            <w:tcBorders>
              <w:top w:val="nil"/>
              <w:left w:val="nil"/>
              <w:bottom w:val="single" w:sz="4" w:space="0" w:color="auto"/>
              <w:right w:val="single" w:sz="8" w:space="0" w:color="auto"/>
            </w:tcBorders>
            <w:shd w:val="clear" w:color="auto" w:fill="auto"/>
          </w:tcPr>
          <w:p w:rsidR="00AE62BD" w:rsidRPr="002D732C" w:rsidRDefault="00AE62BD" w:rsidP="00702BD2">
            <w:pPr>
              <w:jc w:val="left"/>
              <w:rPr>
                <w:rFonts w:ascii="Calibri" w:hAnsi="Calibri" w:cs="Calibri"/>
                <w:i/>
                <w:iCs/>
                <w:color w:val="000000"/>
                <w:sz w:val="20"/>
                <w:szCs w:val="20"/>
              </w:rPr>
            </w:pPr>
          </w:p>
        </w:tc>
      </w:tr>
      <w:tr w:rsidR="00AE62BD" w:rsidRPr="00FD2B9D" w:rsidTr="00202972">
        <w:trPr>
          <w:trHeight w:val="1050"/>
        </w:trPr>
        <w:tc>
          <w:tcPr>
            <w:tcW w:w="1959" w:type="dxa"/>
            <w:tcBorders>
              <w:top w:val="single" w:sz="4" w:space="0" w:color="auto"/>
              <w:left w:val="single" w:sz="8" w:space="0" w:color="auto"/>
              <w:bottom w:val="single" w:sz="4" w:space="0" w:color="auto"/>
              <w:right w:val="single" w:sz="4" w:space="0" w:color="auto"/>
            </w:tcBorders>
            <w:shd w:val="clear" w:color="000000" w:fill="FCD5B4"/>
            <w:hideMark/>
          </w:tcPr>
          <w:p w:rsidR="00AE62BD" w:rsidRPr="00FD2B9D" w:rsidRDefault="00AE62BD" w:rsidP="00202972">
            <w:pPr>
              <w:rPr>
                <w:rFonts w:ascii="Calibri" w:hAnsi="Calibri" w:cs="Calibri"/>
                <w:b/>
                <w:bCs/>
                <w:color w:val="000000"/>
                <w:sz w:val="20"/>
                <w:szCs w:val="20"/>
              </w:rPr>
            </w:pPr>
            <w:r w:rsidRPr="00FD2B9D">
              <w:rPr>
                <w:rFonts w:ascii="Calibri" w:hAnsi="Calibri" w:cs="Calibri"/>
                <w:b/>
                <w:bCs/>
                <w:color w:val="000000"/>
                <w:sz w:val="20"/>
                <w:szCs w:val="20"/>
              </w:rPr>
              <w:t>Key evaluative questions for end-of-strategy outcome</w:t>
            </w:r>
          </w:p>
        </w:tc>
        <w:tc>
          <w:tcPr>
            <w:tcW w:w="8091" w:type="dxa"/>
            <w:gridSpan w:val="3"/>
            <w:tcBorders>
              <w:top w:val="single" w:sz="4" w:space="0" w:color="auto"/>
              <w:left w:val="nil"/>
              <w:bottom w:val="single" w:sz="4" w:space="0" w:color="auto"/>
              <w:right w:val="single" w:sz="4" w:space="0" w:color="auto"/>
            </w:tcBorders>
            <w:shd w:val="clear" w:color="auto" w:fill="auto"/>
          </w:tcPr>
          <w:p w:rsidR="00AE62BD" w:rsidRDefault="00AE62BD" w:rsidP="00202972">
            <w:pPr>
              <w:rPr>
                <w:rFonts w:ascii="Calibri" w:hAnsi="Calibri" w:cs="Calibri"/>
                <w:iCs/>
                <w:color w:val="000000"/>
                <w:sz w:val="20"/>
                <w:szCs w:val="20"/>
              </w:rPr>
            </w:pPr>
            <w:r>
              <w:rPr>
                <w:rFonts w:ascii="Calibri" w:hAnsi="Calibri" w:cs="Calibri"/>
                <w:iCs/>
                <w:color w:val="000000"/>
                <w:sz w:val="20"/>
                <w:szCs w:val="20"/>
              </w:rPr>
              <w:t xml:space="preserve">To what degree has </w:t>
            </w:r>
            <w:r w:rsidR="00370034">
              <w:rPr>
                <w:rFonts w:ascii="Calibri" w:hAnsi="Calibri" w:cs="Calibri"/>
                <w:iCs/>
                <w:color w:val="000000"/>
                <w:sz w:val="20"/>
                <w:szCs w:val="20"/>
              </w:rPr>
              <w:t>AusAID maximised the effectiveness of its aid via implementation of the whole-of-strategy Policy Dialogue and Partnership Engagement Framework</w:t>
            </w:r>
            <w:r>
              <w:rPr>
                <w:rFonts w:ascii="Calibri" w:hAnsi="Calibri" w:cs="Calibri"/>
                <w:iCs/>
                <w:color w:val="000000"/>
                <w:sz w:val="20"/>
                <w:szCs w:val="20"/>
              </w:rPr>
              <w:t>?</w:t>
            </w:r>
          </w:p>
          <w:p w:rsidR="00AE62BD" w:rsidRPr="002612B8" w:rsidRDefault="00AE62BD" w:rsidP="006A2BDB">
            <w:pPr>
              <w:rPr>
                <w:rFonts w:ascii="Calibri" w:hAnsi="Calibri" w:cs="Calibri"/>
                <w:iCs/>
                <w:color w:val="000000"/>
                <w:sz w:val="20"/>
                <w:szCs w:val="20"/>
              </w:rPr>
            </w:pPr>
          </w:p>
        </w:tc>
        <w:tc>
          <w:tcPr>
            <w:tcW w:w="3573" w:type="dxa"/>
            <w:tcBorders>
              <w:top w:val="single" w:sz="4" w:space="0" w:color="auto"/>
              <w:left w:val="nil"/>
              <w:bottom w:val="single" w:sz="4" w:space="0" w:color="auto"/>
              <w:right w:val="single" w:sz="8" w:space="0" w:color="000000"/>
            </w:tcBorders>
            <w:shd w:val="clear" w:color="auto" w:fill="auto"/>
          </w:tcPr>
          <w:p w:rsidR="00AE62BD" w:rsidRPr="00B76283" w:rsidRDefault="00AE62BD" w:rsidP="00A11CCA">
            <w:pPr>
              <w:pStyle w:val="ListParagraph"/>
              <w:numPr>
                <w:ilvl w:val="0"/>
                <w:numId w:val="5"/>
              </w:numPr>
              <w:rPr>
                <w:rFonts w:ascii="Calibri" w:hAnsi="Calibri" w:cs="Calibri"/>
                <w:i/>
                <w:iCs/>
                <w:color w:val="000000"/>
                <w:sz w:val="20"/>
                <w:szCs w:val="20"/>
              </w:rPr>
            </w:pPr>
            <w:r>
              <w:rPr>
                <w:rFonts w:ascii="Calibri" w:hAnsi="Calibri" w:cs="Calibri"/>
                <w:i/>
                <w:iCs/>
                <w:color w:val="000000"/>
                <w:sz w:val="20"/>
                <w:szCs w:val="20"/>
              </w:rPr>
              <w:t>Scheduled quarterly meetings between AusAID and PACC</w:t>
            </w:r>
          </w:p>
        </w:tc>
      </w:tr>
    </w:tbl>
    <w:p w:rsidR="004D613E" w:rsidRDefault="004D613E" w:rsidP="00E12C45">
      <w:pPr>
        <w:rPr>
          <w:rFonts w:ascii="Calibri" w:hAnsi="Calibri" w:cs="Calibri"/>
          <w:b/>
          <w:bCs/>
          <w:color w:val="000000"/>
          <w:sz w:val="20"/>
          <w:szCs w:val="20"/>
        </w:rPr>
        <w:sectPr w:rsidR="004D613E" w:rsidSect="005A579F">
          <w:pgSz w:w="16838" w:h="11906" w:orient="landscape"/>
          <w:pgMar w:top="1440" w:right="1440" w:bottom="1440" w:left="1440" w:header="709" w:footer="709" w:gutter="0"/>
          <w:cols w:space="708"/>
          <w:docGrid w:linePitch="360"/>
        </w:sectPr>
      </w:pPr>
    </w:p>
    <w:tbl>
      <w:tblPr>
        <w:tblW w:w="13623" w:type="dxa"/>
        <w:tblInd w:w="93" w:type="dxa"/>
        <w:tblLook w:val="04A0" w:firstRow="1" w:lastRow="0" w:firstColumn="1" w:lastColumn="0" w:noHBand="0" w:noVBand="1"/>
      </w:tblPr>
      <w:tblGrid>
        <w:gridCol w:w="1959"/>
        <w:gridCol w:w="2680"/>
        <w:gridCol w:w="2557"/>
        <w:gridCol w:w="2854"/>
        <w:gridCol w:w="3573"/>
      </w:tblGrid>
      <w:tr w:rsidR="008D70D1" w:rsidRPr="002D732C" w:rsidTr="00E12C45">
        <w:trPr>
          <w:trHeight w:val="446"/>
        </w:trPr>
        <w:tc>
          <w:tcPr>
            <w:tcW w:w="1959" w:type="dxa"/>
            <w:tcBorders>
              <w:top w:val="single" w:sz="4" w:space="0" w:color="000000"/>
              <w:left w:val="single" w:sz="8" w:space="0" w:color="auto"/>
              <w:bottom w:val="single" w:sz="4" w:space="0" w:color="auto"/>
              <w:right w:val="single" w:sz="8" w:space="0" w:color="auto"/>
            </w:tcBorders>
            <w:shd w:val="clear" w:color="000000" w:fill="DBE5F1" w:themeFill="accent1" w:themeFillTint="33"/>
          </w:tcPr>
          <w:p w:rsidR="008D70D1" w:rsidRPr="002D732C" w:rsidRDefault="008D70D1" w:rsidP="00E12C45">
            <w:pPr>
              <w:rPr>
                <w:rFonts w:ascii="Calibri" w:hAnsi="Calibri" w:cs="Calibri"/>
                <w:b/>
                <w:bCs/>
                <w:color w:val="000000"/>
                <w:sz w:val="20"/>
                <w:szCs w:val="20"/>
              </w:rPr>
            </w:pPr>
          </w:p>
        </w:tc>
        <w:tc>
          <w:tcPr>
            <w:tcW w:w="11664" w:type="dxa"/>
            <w:gridSpan w:val="4"/>
            <w:tcBorders>
              <w:top w:val="single" w:sz="4" w:space="0" w:color="000000"/>
              <w:left w:val="single" w:sz="8" w:space="0" w:color="auto"/>
              <w:bottom w:val="single" w:sz="4" w:space="0" w:color="auto"/>
              <w:right w:val="single" w:sz="8" w:space="0" w:color="auto"/>
            </w:tcBorders>
            <w:shd w:val="clear" w:color="000000" w:fill="DBE5F1" w:themeFill="accent1" w:themeFillTint="33"/>
          </w:tcPr>
          <w:p w:rsidR="008D70D1" w:rsidRPr="002F34A8" w:rsidRDefault="008D70D1" w:rsidP="00E12C45">
            <w:pPr>
              <w:rPr>
                <w:rFonts w:ascii="Calibri" w:hAnsi="Calibri" w:cs="Calibri"/>
                <w:b/>
                <w:bCs/>
                <w:color w:val="000000"/>
                <w:sz w:val="20"/>
                <w:szCs w:val="20"/>
              </w:rPr>
            </w:pPr>
            <w:r>
              <w:rPr>
                <w:rFonts w:ascii="Calibri" w:hAnsi="Calibri" w:cs="Calibri"/>
                <w:b/>
                <w:bCs/>
                <w:color w:val="000000"/>
                <w:sz w:val="20"/>
                <w:szCs w:val="20"/>
              </w:rPr>
              <w:t>Political governance</w:t>
            </w:r>
          </w:p>
        </w:tc>
      </w:tr>
      <w:tr w:rsidR="00E12C45" w:rsidRPr="002D732C" w:rsidTr="00E66106">
        <w:trPr>
          <w:trHeight w:val="6050"/>
        </w:trPr>
        <w:tc>
          <w:tcPr>
            <w:tcW w:w="1959" w:type="dxa"/>
            <w:vMerge w:val="restart"/>
            <w:tcBorders>
              <w:top w:val="single" w:sz="4" w:space="0" w:color="auto"/>
              <w:left w:val="single" w:sz="4" w:space="0" w:color="auto"/>
              <w:bottom w:val="single" w:sz="4" w:space="0" w:color="auto"/>
              <w:right w:val="single" w:sz="4" w:space="0" w:color="auto"/>
            </w:tcBorders>
            <w:shd w:val="clear" w:color="auto" w:fill="auto"/>
          </w:tcPr>
          <w:p w:rsidR="00E12C45" w:rsidRPr="007619C3" w:rsidRDefault="00E12C45" w:rsidP="00E12C45">
            <w:pPr>
              <w:spacing w:after="240"/>
              <w:jc w:val="left"/>
              <w:rPr>
                <w:rFonts w:ascii="Calibri" w:hAnsi="Calibri" w:cs="Calibri"/>
                <w:bCs/>
                <w:color w:val="000000"/>
                <w:sz w:val="20"/>
                <w:szCs w:val="20"/>
              </w:rPr>
            </w:pPr>
            <w:r>
              <w:rPr>
                <w:rFonts w:ascii="Calibri" w:hAnsi="Calibri" w:cs="Calibri"/>
                <w:bCs/>
                <w:color w:val="000000"/>
                <w:sz w:val="20"/>
                <w:szCs w:val="20"/>
              </w:rPr>
              <w:t>Strengthened governance institutions and democratic processes that are transparent, accountable and responsive to citizens’ needs and interests.</w:t>
            </w:r>
          </w:p>
        </w:tc>
        <w:tc>
          <w:tcPr>
            <w:tcW w:w="2680" w:type="dxa"/>
            <w:vMerge w:val="restart"/>
            <w:tcBorders>
              <w:top w:val="single" w:sz="4" w:space="0" w:color="auto"/>
              <w:left w:val="nil"/>
              <w:bottom w:val="single" w:sz="4" w:space="0" w:color="auto"/>
              <w:right w:val="single" w:sz="4" w:space="0" w:color="auto"/>
            </w:tcBorders>
            <w:shd w:val="clear" w:color="auto" w:fill="auto"/>
          </w:tcPr>
          <w:p w:rsidR="00E12C45" w:rsidRPr="00E12C45" w:rsidRDefault="00E12C45" w:rsidP="00E12C45">
            <w:pPr>
              <w:spacing w:after="240"/>
              <w:jc w:val="left"/>
              <w:rPr>
                <w:rFonts w:ascii="Calibri" w:hAnsi="Calibri" w:cs="Calibri"/>
                <w:i/>
                <w:iCs/>
                <w:color w:val="000000"/>
                <w:sz w:val="20"/>
                <w:szCs w:val="20"/>
              </w:rPr>
            </w:pPr>
          </w:p>
        </w:tc>
        <w:tc>
          <w:tcPr>
            <w:tcW w:w="2557" w:type="dxa"/>
            <w:tcBorders>
              <w:top w:val="single" w:sz="4" w:space="0" w:color="auto"/>
              <w:left w:val="nil"/>
              <w:bottom w:val="single" w:sz="4" w:space="0" w:color="auto"/>
              <w:right w:val="single" w:sz="4" w:space="0" w:color="auto"/>
            </w:tcBorders>
            <w:shd w:val="clear" w:color="auto" w:fill="auto"/>
          </w:tcPr>
          <w:p w:rsidR="00E12C45" w:rsidRPr="008D70D1" w:rsidRDefault="00E12C45" w:rsidP="00865133">
            <w:pPr>
              <w:jc w:val="left"/>
              <w:rPr>
                <w:rFonts w:ascii="Calibri" w:hAnsi="Calibri" w:cs="Calibri"/>
                <w:iCs/>
                <w:color w:val="000000"/>
                <w:sz w:val="20"/>
                <w:szCs w:val="20"/>
              </w:rPr>
            </w:pPr>
            <w:r w:rsidRPr="00E12C45">
              <w:rPr>
                <w:rFonts w:ascii="Calibri" w:hAnsi="Calibri" w:cs="Calibri"/>
                <w:iCs/>
                <w:color w:val="000000"/>
                <w:sz w:val="20"/>
                <w:szCs w:val="20"/>
              </w:rPr>
              <w:t xml:space="preserve">Legislative Assembly  </w:t>
            </w:r>
            <w:r w:rsidR="00661974">
              <w:rPr>
                <w:rFonts w:ascii="Calibri" w:hAnsi="Calibri" w:cs="Calibri"/>
                <w:iCs/>
                <w:color w:val="000000"/>
                <w:sz w:val="20"/>
                <w:szCs w:val="20"/>
              </w:rPr>
              <w:t xml:space="preserve"> </w:t>
            </w:r>
            <w:r w:rsidRPr="00E12C45">
              <w:rPr>
                <w:rFonts w:ascii="Calibri" w:hAnsi="Calibri" w:cs="Calibri"/>
                <w:iCs/>
                <w:color w:val="000000"/>
                <w:sz w:val="20"/>
                <w:szCs w:val="20"/>
              </w:rPr>
              <w:t>strengthened to effectively carry out its oversight, representative and legislative functions</w:t>
            </w:r>
            <w:r w:rsidR="00E54718">
              <w:rPr>
                <w:rFonts w:ascii="Calibri" w:hAnsi="Calibri" w:cs="Calibri"/>
                <w:iCs/>
                <w:color w:val="000000"/>
                <w:sz w:val="20"/>
                <w:szCs w:val="20"/>
              </w:rPr>
              <w:t>.</w:t>
            </w:r>
          </w:p>
        </w:tc>
        <w:tc>
          <w:tcPr>
            <w:tcW w:w="2854" w:type="dxa"/>
            <w:tcBorders>
              <w:top w:val="single" w:sz="4" w:space="0" w:color="auto"/>
              <w:left w:val="nil"/>
              <w:bottom w:val="single" w:sz="4" w:space="0" w:color="auto"/>
              <w:right w:val="single" w:sz="4" w:space="0" w:color="auto"/>
            </w:tcBorders>
            <w:shd w:val="clear" w:color="auto" w:fill="auto"/>
          </w:tcPr>
          <w:p w:rsidR="00E35584" w:rsidRPr="00E12C45" w:rsidRDefault="00E35584" w:rsidP="00E35584">
            <w:pPr>
              <w:spacing w:after="240"/>
              <w:jc w:val="left"/>
              <w:rPr>
                <w:rFonts w:ascii="Calibri" w:hAnsi="Calibri" w:cs="Calibri"/>
                <w:i/>
                <w:iCs/>
                <w:color w:val="000000"/>
                <w:sz w:val="20"/>
                <w:szCs w:val="20"/>
              </w:rPr>
            </w:pPr>
            <w:r w:rsidRPr="00E12C45">
              <w:rPr>
                <w:rFonts w:ascii="Calibri" w:hAnsi="Calibri" w:cs="Calibri"/>
                <w:i/>
                <w:iCs/>
                <w:color w:val="000000"/>
                <w:sz w:val="20"/>
                <w:szCs w:val="20"/>
              </w:rPr>
              <w:t>Parliamentarians’ perception on the effectiveness of the Parliament Secretariat in providing administrative, technical and procedural support to Members</w:t>
            </w:r>
            <w:r w:rsidR="00E66106">
              <w:rPr>
                <w:rFonts w:ascii="Calibri" w:hAnsi="Calibri" w:cs="Calibri"/>
                <w:i/>
                <w:iCs/>
                <w:color w:val="000000"/>
                <w:sz w:val="20"/>
                <w:szCs w:val="20"/>
              </w:rPr>
              <w:t>;</w:t>
            </w:r>
          </w:p>
          <w:p w:rsidR="00E35584" w:rsidRPr="00E12C45" w:rsidRDefault="00E35584" w:rsidP="00E35584">
            <w:pPr>
              <w:spacing w:after="240"/>
              <w:jc w:val="left"/>
              <w:rPr>
                <w:rFonts w:ascii="Calibri" w:hAnsi="Calibri" w:cs="Calibri"/>
                <w:i/>
                <w:iCs/>
                <w:color w:val="000000"/>
                <w:sz w:val="20"/>
                <w:szCs w:val="20"/>
              </w:rPr>
            </w:pPr>
            <w:r w:rsidRPr="00E12C45">
              <w:rPr>
                <w:rFonts w:ascii="Calibri" w:hAnsi="Calibri" w:cs="Calibri"/>
                <w:i/>
                <w:iCs/>
                <w:color w:val="000000"/>
                <w:sz w:val="20"/>
                <w:szCs w:val="20"/>
              </w:rPr>
              <w:t>Perception of the constituents on the effectiveness of Parliament to perform its legislative and financial oversight functions disaggregated by</w:t>
            </w:r>
            <w:r w:rsidR="00E66106">
              <w:rPr>
                <w:rFonts w:ascii="Calibri" w:hAnsi="Calibri" w:cs="Calibri"/>
                <w:i/>
                <w:iCs/>
                <w:color w:val="000000"/>
                <w:sz w:val="20"/>
                <w:szCs w:val="20"/>
              </w:rPr>
              <w:t xml:space="preserve"> gender, population, &amp; geography;</w:t>
            </w:r>
            <w:r w:rsidRPr="00E12C45">
              <w:rPr>
                <w:rFonts w:ascii="Calibri" w:hAnsi="Calibri" w:cs="Calibri"/>
                <w:i/>
                <w:iCs/>
                <w:color w:val="000000"/>
                <w:sz w:val="20"/>
                <w:szCs w:val="20"/>
              </w:rPr>
              <w:t xml:space="preserve">   </w:t>
            </w:r>
          </w:p>
          <w:p w:rsidR="00E12C45" w:rsidRPr="002D732C" w:rsidRDefault="00E35584" w:rsidP="00E66106">
            <w:pPr>
              <w:jc w:val="left"/>
              <w:rPr>
                <w:rFonts w:ascii="Calibri" w:hAnsi="Calibri" w:cs="Calibri"/>
                <w:i/>
                <w:iCs/>
                <w:color w:val="000000"/>
                <w:sz w:val="20"/>
                <w:szCs w:val="20"/>
              </w:rPr>
            </w:pPr>
            <w:r w:rsidRPr="00E12C45">
              <w:rPr>
                <w:rFonts w:ascii="Calibri" w:hAnsi="Calibri" w:cs="Calibri"/>
                <w:i/>
                <w:iCs/>
                <w:color w:val="000000"/>
                <w:sz w:val="20"/>
                <w:szCs w:val="20"/>
              </w:rPr>
              <w:t xml:space="preserve">Level of constituents understanding of the roles and functions of Parliament including their rights and civic responsibilities   disaggregated by </w:t>
            </w:r>
            <w:r w:rsidR="00E66106">
              <w:rPr>
                <w:rFonts w:ascii="Calibri" w:hAnsi="Calibri" w:cs="Calibri"/>
                <w:i/>
                <w:iCs/>
                <w:color w:val="000000"/>
                <w:sz w:val="20"/>
                <w:szCs w:val="20"/>
              </w:rPr>
              <w:t>gender, population, &amp; geography</w:t>
            </w:r>
          </w:p>
        </w:tc>
        <w:tc>
          <w:tcPr>
            <w:tcW w:w="3573" w:type="dxa"/>
            <w:vMerge w:val="restart"/>
            <w:tcBorders>
              <w:top w:val="single" w:sz="4" w:space="0" w:color="auto"/>
              <w:left w:val="nil"/>
              <w:bottom w:val="single" w:sz="4" w:space="0" w:color="auto"/>
              <w:right w:val="single" w:sz="4" w:space="0" w:color="auto"/>
            </w:tcBorders>
            <w:shd w:val="clear" w:color="auto" w:fill="auto"/>
          </w:tcPr>
          <w:p w:rsidR="00E12C45" w:rsidRPr="00582C38" w:rsidRDefault="00582C38" w:rsidP="00582C38">
            <w:pPr>
              <w:jc w:val="left"/>
              <w:rPr>
                <w:rFonts w:ascii="Calibri" w:hAnsi="Calibri" w:cs="Calibri"/>
                <w:iCs/>
                <w:color w:val="000000"/>
                <w:sz w:val="20"/>
                <w:szCs w:val="20"/>
              </w:rPr>
            </w:pPr>
            <w:r>
              <w:rPr>
                <w:rFonts w:ascii="Calibri" w:hAnsi="Calibri" w:cs="Calibri"/>
                <w:iCs/>
                <w:color w:val="000000"/>
                <w:sz w:val="20"/>
                <w:szCs w:val="20"/>
              </w:rPr>
              <w:t>Program Document for the Tonga Governance Strengthening Program includes a clearly defined monitoring and evaluation framework. These outcomes and indicators are drawn from the Program Document.</w:t>
            </w:r>
          </w:p>
        </w:tc>
      </w:tr>
      <w:tr w:rsidR="00E12C45" w:rsidRPr="002D732C" w:rsidTr="00E66106">
        <w:trPr>
          <w:trHeight w:val="5377"/>
        </w:trPr>
        <w:tc>
          <w:tcPr>
            <w:tcW w:w="1959" w:type="dxa"/>
            <w:vMerge/>
            <w:tcBorders>
              <w:top w:val="single" w:sz="4" w:space="0" w:color="auto"/>
              <w:left w:val="single" w:sz="4" w:space="0" w:color="auto"/>
              <w:bottom w:val="single" w:sz="4" w:space="0" w:color="auto"/>
              <w:right w:val="single" w:sz="4" w:space="0" w:color="auto"/>
            </w:tcBorders>
            <w:shd w:val="clear" w:color="auto" w:fill="auto"/>
          </w:tcPr>
          <w:p w:rsidR="00E12C45" w:rsidRDefault="00E12C45" w:rsidP="00E12C45">
            <w:pPr>
              <w:spacing w:after="240"/>
              <w:jc w:val="left"/>
              <w:rPr>
                <w:rFonts w:ascii="Calibri" w:hAnsi="Calibri" w:cs="Calibri"/>
                <w:bCs/>
                <w:color w:val="000000"/>
                <w:sz w:val="20"/>
                <w:szCs w:val="20"/>
              </w:rPr>
            </w:pPr>
          </w:p>
        </w:tc>
        <w:tc>
          <w:tcPr>
            <w:tcW w:w="2680" w:type="dxa"/>
            <w:vMerge/>
            <w:tcBorders>
              <w:top w:val="single" w:sz="4" w:space="0" w:color="auto"/>
              <w:left w:val="single" w:sz="4" w:space="0" w:color="auto"/>
              <w:bottom w:val="single" w:sz="4" w:space="0" w:color="auto"/>
              <w:right w:val="single" w:sz="4" w:space="0" w:color="auto"/>
            </w:tcBorders>
            <w:shd w:val="clear" w:color="auto" w:fill="auto"/>
          </w:tcPr>
          <w:p w:rsidR="00E12C45" w:rsidRPr="0024334C" w:rsidRDefault="00E12C45" w:rsidP="00E12C45">
            <w:pPr>
              <w:pStyle w:val="BodyText"/>
              <w:rPr>
                <w:rFonts w:cs="Arial"/>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E12C45" w:rsidRPr="00E12C45" w:rsidRDefault="00E12C45" w:rsidP="00E12C45">
            <w:pPr>
              <w:jc w:val="left"/>
              <w:rPr>
                <w:rFonts w:ascii="Calibri" w:hAnsi="Calibri" w:cs="Calibri"/>
                <w:iCs/>
                <w:color w:val="000000"/>
                <w:sz w:val="20"/>
                <w:szCs w:val="20"/>
              </w:rPr>
            </w:pPr>
            <w:r w:rsidRPr="00E12C45">
              <w:rPr>
                <w:rFonts w:ascii="Calibri" w:hAnsi="Calibri" w:cs="Calibri"/>
                <w:iCs/>
                <w:color w:val="000000"/>
                <w:sz w:val="20"/>
                <w:szCs w:val="20"/>
              </w:rPr>
              <w:t>Capacity of CSOs, education providers and communities strengthened for increased participation in law making, policy and oversight processes</w:t>
            </w:r>
            <w:r w:rsidR="00E54718">
              <w:rPr>
                <w:rFonts w:ascii="Calibri" w:hAnsi="Calibri" w:cs="Calibri"/>
                <w:iCs/>
                <w:color w:val="000000"/>
                <w:sz w:val="20"/>
                <w:szCs w:val="20"/>
              </w:rPr>
              <w:t>.</w:t>
            </w:r>
          </w:p>
        </w:tc>
        <w:tc>
          <w:tcPr>
            <w:tcW w:w="2854" w:type="dxa"/>
            <w:tcBorders>
              <w:top w:val="single" w:sz="4" w:space="0" w:color="auto"/>
              <w:left w:val="single" w:sz="4" w:space="0" w:color="auto"/>
              <w:bottom w:val="single" w:sz="4" w:space="0" w:color="auto"/>
              <w:right w:val="single" w:sz="4" w:space="0" w:color="auto"/>
            </w:tcBorders>
            <w:shd w:val="clear" w:color="auto" w:fill="auto"/>
          </w:tcPr>
          <w:p w:rsidR="00E35584" w:rsidRPr="00E12C45" w:rsidRDefault="00E35584" w:rsidP="00E35584">
            <w:pPr>
              <w:spacing w:after="240"/>
              <w:jc w:val="left"/>
              <w:rPr>
                <w:rFonts w:ascii="Calibri" w:hAnsi="Calibri" w:cs="Calibri"/>
                <w:i/>
                <w:iCs/>
                <w:color w:val="000000"/>
                <w:sz w:val="20"/>
                <w:szCs w:val="20"/>
              </w:rPr>
            </w:pPr>
            <w:r>
              <w:rPr>
                <w:rFonts w:ascii="Calibri" w:hAnsi="Calibri" w:cs="Calibri"/>
                <w:i/>
                <w:iCs/>
                <w:color w:val="000000"/>
                <w:sz w:val="20"/>
                <w:szCs w:val="20"/>
              </w:rPr>
              <w:t xml:space="preserve">% </w:t>
            </w:r>
            <w:r w:rsidRPr="00E12C45">
              <w:rPr>
                <w:rFonts w:ascii="Calibri" w:hAnsi="Calibri" w:cs="Calibri"/>
                <w:i/>
                <w:iCs/>
                <w:color w:val="000000"/>
                <w:sz w:val="20"/>
                <w:szCs w:val="20"/>
              </w:rPr>
              <w:t xml:space="preserve"> of  constituents’ participating in the law making, oversight and national planning and budgeting processes through an agreed formal engagement mechanism disaggregated by gender, population, &amp; geography</w:t>
            </w:r>
            <w:r w:rsidR="00E66106">
              <w:rPr>
                <w:rFonts w:ascii="Calibri" w:hAnsi="Calibri" w:cs="Calibri"/>
                <w:i/>
                <w:iCs/>
                <w:color w:val="000000"/>
                <w:sz w:val="20"/>
                <w:szCs w:val="20"/>
              </w:rPr>
              <w:t>;</w:t>
            </w:r>
          </w:p>
          <w:p w:rsidR="00E35584" w:rsidRPr="00E12C45" w:rsidRDefault="00E35584" w:rsidP="00E35584">
            <w:pPr>
              <w:spacing w:after="240"/>
              <w:jc w:val="left"/>
              <w:rPr>
                <w:rFonts w:ascii="Calibri" w:hAnsi="Calibri" w:cs="Calibri"/>
                <w:i/>
                <w:iCs/>
                <w:color w:val="000000"/>
                <w:sz w:val="20"/>
                <w:szCs w:val="20"/>
              </w:rPr>
            </w:pPr>
            <w:r>
              <w:rPr>
                <w:rFonts w:ascii="Calibri" w:hAnsi="Calibri" w:cs="Calibri"/>
                <w:i/>
                <w:iCs/>
                <w:color w:val="000000"/>
                <w:sz w:val="20"/>
                <w:szCs w:val="20"/>
              </w:rPr>
              <w:t>%</w:t>
            </w:r>
            <w:r w:rsidRPr="00E12C45">
              <w:rPr>
                <w:rFonts w:ascii="Calibri" w:hAnsi="Calibri" w:cs="Calibri"/>
                <w:i/>
                <w:iCs/>
                <w:color w:val="000000"/>
                <w:sz w:val="20"/>
                <w:szCs w:val="20"/>
              </w:rPr>
              <w:t xml:space="preserve"> of CSOs with increased  capacity to design, mobilize, coordinate and deliver civic education and advocacy activities in the communities</w:t>
            </w:r>
            <w:r w:rsidR="00E66106">
              <w:rPr>
                <w:rFonts w:ascii="Calibri" w:hAnsi="Calibri" w:cs="Calibri"/>
                <w:i/>
                <w:iCs/>
                <w:color w:val="000000"/>
                <w:sz w:val="20"/>
                <w:szCs w:val="20"/>
              </w:rPr>
              <w:t>;</w:t>
            </w:r>
          </w:p>
          <w:p w:rsidR="00E35584" w:rsidRPr="002D732C" w:rsidRDefault="00E35584" w:rsidP="004D613E">
            <w:pPr>
              <w:jc w:val="left"/>
              <w:rPr>
                <w:rFonts w:ascii="Calibri" w:hAnsi="Calibri" w:cs="Calibri"/>
                <w:i/>
                <w:iCs/>
                <w:color w:val="000000"/>
                <w:sz w:val="20"/>
                <w:szCs w:val="20"/>
              </w:rPr>
            </w:pPr>
            <w:r w:rsidRPr="00E12C45">
              <w:rPr>
                <w:rFonts w:ascii="Calibri" w:hAnsi="Calibri" w:cs="Calibri"/>
                <w:i/>
                <w:iCs/>
                <w:color w:val="000000"/>
                <w:sz w:val="20"/>
                <w:szCs w:val="20"/>
              </w:rPr>
              <w:t>Level of understanding amongst students attending formal and informal schools system of democracy, human rights, civic responsibility and reforms to date disaggregated by g</w:t>
            </w:r>
            <w:r w:rsidR="00E66106">
              <w:rPr>
                <w:rFonts w:ascii="Calibri" w:hAnsi="Calibri" w:cs="Calibri"/>
                <w:i/>
                <w:iCs/>
                <w:color w:val="000000"/>
                <w:sz w:val="20"/>
                <w:szCs w:val="20"/>
              </w:rPr>
              <w:t>ender, population, &amp; geography</w:t>
            </w:r>
          </w:p>
        </w:tc>
        <w:tc>
          <w:tcPr>
            <w:tcW w:w="3573" w:type="dxa"/>
            <w:vMerge/>
            <w:tcBorders>
              <w:top w:val="single" w:sz="4" w:space="0" w:color="auto"/>
              <w:left w:val="single" w:sz="4" w:space="0" w:color="auto"/>
              <w:bottom w:val="single" w:sz="4" w:space="0" w:color="auto"/>
              <w:right w:val="single" w:sz="4" w:space="0" w:color="auto"/>
            </w:tcBorders>
            <w:shd w:val="clear" w:color="auto" w:fill="auto"/>
          </w:tcPr>
          <w:p w:rsidR="00E12C45" w:rsidRPr="002D732C" w:rsidRDefault="00E12C45" w:rsidP="00E12C45">
            <w:pPr>
              <w:jc w:val="left"/>
              <w:rPr>
                <w:rFonts w:ascii="Calibri" w:hAnsi="Calibri" w:cs="Calibri"/>
                <w:i/>
                <w:iCs/>
                <w:color w:val="000000"/>
                <w:sz w:val="20"/>
                <w:szCs w:val="20"/>
              </w:rPr>
            </w:pPr>
          </w:p>
        </w:tc>
      </w:tr>
      <w:tr w:rsidR="00E35584" w:rsidRPr="002D732C" w:rsidTr="00E66106">
        <w:trPr>
          <w:trHeight w:val="638"/>
        </w:trPr>
        <w:tc>
          <w:tcPr>
            <w:tcW w:w="1959" w:type="dxa"/>
            <w:vMerge/>
            <w:tcBorders>
              <w:top w:val="single" w:sz="4" w:space="0" w:color="auto"/>
              <w:left w:val="single" w:sz="4" w:space="0" w:color="auto"/>
              <w:bottom w:val="single" w:sz="4" w:space="0" w:color="auto"/>
              <w:right w:val="single" w:sz="4" w:space="0" w:color="auto"/>
            </w:tcBorders>
            <w:shd w:val="clear" w:color="auto" w:fill="auto"/>
          </w:tcPr>
          <w:p w:rsidR="00E35584" w:rsidRDefault="00E35584" w:rsidP="00E12C45">
            <w:pPr>
              <w:spacing w:after="240"/>
              <w:jc w:val="left"/>
              <w:rPr>
                <w:rFonts w:ascii="Calibri" w:hAnsi="Calibri" w:cs="Calibri"/>
                <w:bCs/>
                <w:color w:val="000000"/>
                <w:sz w:val="20"/>
                <w:szCs w:val="20"/>
              </w:rPr>
            </w:pPr>
          </w:p>
        </w:tc>
        <w:tc>
          <w:tcPr>
            <w:tcW w:w="2680" w:type="dxa"/>
            <w:vMerge/>
            <w:tcBorders>
              <w:top w:val="single" w:sz="4" w:space="0" w:color="auto"/>
              <w:left w:val="nil"/>
              <w:bottom w:val="single" w:sz="4" w:space="0" w:color="auto"/>
              <w:right w:val="single" w:sz="4" w:space="0" w:color="auto"/>
            </w:tcBorders>
            <w:shd w:val="clear" w:color="auto" w:fill="auto"/>
          </w:tcPr>
          <w:p w:rsidR="00E35584" w:rsidRPr="0024334C" w:rsidRDefault="00E35584" w:rsidP="00E12C45">
            <w:pPr>
              <w:pStyle w:val="BodyText"/>
              <w:rPr>
                <w:rFonts w:cs="Arial"/>
              </w:rPr>
            </w:pPr>
          </w:p>
        </w:tc>
        <w:tc>
          <w:tcPr>
            <w:tcW w:w="2557" w:type="dxa"/>
            <w:tcBorders>
              <w:top w:val="single" w:sz="4" w:space="0" w:color="auto"/>
              <w:left w:val="nil"/>
              <w:bottom w:val="single" w:sz="4" w:space="0" w:color="auto"/>
              <w:right w:val="single" w:sz="4" w:space="0" w:color="auto"/>
            </w:tcBorders>
            <w:shd w:val="clear" w:color="auto" w:fill="auto"/>
          </w:tcPr>
          <w:p w:rsidR="00E35584" w:rsidRPr="00E12C45" w:rsidRDefault="00E35584" w:rsidP="00661974">
            <w:pPr>
              <w:jc w:val="left"/>
              <w:rPr>
                <w:rFonts w:ascii="Calibri" w:hAnsi="Calibri" w:cs="Calibri"/>
                <w:iCs/>
                <w:color w:val="000000"/>
                <w:sz w:val="20"/>
                <w:szCs w:val="20"/>
              </w:rPr>
            </w:pPr>
            <w:r w:rsidRPr="00E12C45">
              <w:rPr>
                <w:rFonts w:ascii="Calibri" w:hAnsi="Calibri" w:cs="Calibri"/>
                <w:iCs/>
                <w:color w:val="000000"/>
                <w:sz w:val="20"/>
                <w:szCs w:val="20"/>
              </w:rPr>
              <w:t>Capacity of Tonga Electoral Commission enhanced to ensure the effective conduct of free and fair national and local elections</w:t>
            </w:r>
            <w:r w:rsidR="00E54718">
              <w:rPr>
                <w:rFonts w:ascii="Calibri" w:hAnsi="Calibri" w:cs="Calibri"/>
                <w:iCs/>
                <w:color w:val="000000"/>
                <w:sz w:val="20"/>
                <w:szCs w:val="20"/>
              </w:rPr>
              <w:t>.</w:t>
            </w:r>
          </w:p>
        </w:tc>
        <w:tc>
          <w:tcPr>
            <w:tcW w:w="2854" w:type="dxa"/>
            <w:tcBorders>
              <w:top w:val="single" w:sz="4" w:space="0" w:color="auto"/>
              <w:left w:val="nil"/>
              <w:bottom w:val="single" w:sz="4" w:space="0" w:color="auto"/>
              <w:right w:val="single" w:sz="4" w:space="0" w:color="auto"/>
            </w:tcBorders>
            <w:shd w:val="clear" w:color="auto" w:fill="auto"/>
          </w:tcPr>
          <w:p w:rsidR="00E35584" w:rsidRPr="00E12C45" w:rsidRDefault="00E35584" w:rsidP="004D613E">
            <w:pPr>
              <w:jc w:val="left"/>
              <w:rPr>
                <w:rFonts w:ascii="Calibri" w:hAnsi="Calibri" w:cs="Calibri"/>
                <w:i/>
                <w:iCs/>
                <w:color w:val="000000"/>
                <w:sz w:val="20"/>
                <w:szCs w:val="20"/>
              </w:rPr>
            </w:pPr>
            <w:r w:rsidRPr="00E12C45">
              <w:rPr>
                <w:rFonts w:ascii="Calibri" w:hAnsi="Calibri" w:cs="Calibri"/>
                <w:i/>
                <w:iCs/>
                <w:color w:val="000000"/>
                <w:sz w:val="20"/>
                <w:szCs w:val="20"/>
              </w:rPr>
              <w:t xml:space="preserve">Public Perception on capacity of national electoral authority to administer free, transparent and democratic manner National and local elections disaggregated by gender, population, &amp; </w:t>
            </w:r>
            <w:r w:rsidR="00E66106">
              <w:rPr>
                <w:rFonts w:ascii="Calibri" w:hAnsi="Calibri" w:cs="Calibri"/>
                <w:i/>
                <w:iCs/>
                <w:color w:val="000000"/>
                <w:sz w:val="20"/>
                <w:szCs w:val="20"/>
              </w:rPr>
              <w:t>geography</w:t>
            </w:r>
          </w:p>
        </w:tc>
        <w:tc>
          <w:tcPr>
            <w:tcW w:w="3573" w:type="dxa"/>
            <w:vMerge/>
            <w:tcBorders>
              <w:top w:val="single" w:sz="4" w:space="0" w:color="auto"/>
              <w:left w:val="nil"/>
              <w:bottom w:val="single" w:sz="4" w:space="0" w:color="auto"/>
              <w:right w:val="single" w:sz="4" w:space="0" w:color="auto"/>
            </w:tcBorders>
            <w:shd w:val="clear" w:color="auto" w:fill="auto"/>
          </w:tcPr>
          <w:p w:rsidR="00E35584" w:rsidRPr="002D732C" w:rsidRDefault="00E35584" w:rsidP="00E12C45">
            <w:pPr>
              <w:jc w:val="left"/>
              <w:rPr>
                <w:rFonts w:ascii="Calibri" w:hAnsi="Calibri" w:cs="Calibri"/>
                <w:i/>
                <w:iCs/>
                <w:color w:val="000000"/>
                <w:sz w:val="20"/>
                <w:szCs w:val="20"/>
              </w:rPr>
            </w:pPr>
          </w:p>
        </w:tc>
      </w:tr>
      <w:tr w:rsidR="00E35584" w:rsidRPr="002D732C" w:rsidTr="00E12C45">
        <w:trPr>
          <w:trHeight w:val="638"/>
        </w:trPr>
        <w:tc>
          <w:tcPr>
            <w:tcW w:w="1959" w:type="dxa"/>
            <w:vMerge/>
            <w:tcBorders>
              <w:top w:val="single" w:sz="4" w:space="0" w:color="auto"/>
              <w:left w:val="single" w:sz="4" w:space="0" w:color="auto"/>
              <w:bottom w:val="single" w:sz="4" w:space="0" w:color="auto"/>
              <w:right w:val="single" w:sz="4" w:space="0" w:color="auto"/>
            </w:tcBorders>
            <w:shd w:val="clear" w:color="auto" w:fill="auto"/>
          </w:tcPr>
          <w:p w:rsidR="00E35584" w:rsidRDefault="00E35584" w:rsidP="00E12C45">
            <w:pPr>
              <w:spacing w:after="240"/>
              <w:jc w:val="left"/>
              <w:rPr>
                <w:rFonts w:ascii="Calibri" w:hAnsi="Calibri" w:cs="Calibri"/>
                <w:bCs/>
                <w:color w:val="000000"/>
                <w:sz w:val="20"/>
                <w:szCs w:val="20"/>
              </w:rPr>
            </w:pPr>
          </w:p>
        </w:tc>
        <w:tc>
          <w:tcPr>
            <w:tcW w:w="2680" w:type="dxa"/>
            <w:vMerge/>
            <w:tcBorders>
              <w:top w:val="single" w:sz="4" w:space="0" w:color="auto"/>
              <w:left w:val="nil"/>
              <w:bottom w:val="single" w:sz="4" w:space="0" w:color="auto"/>
              <w:right w:val="single" w:sz="4" w:space="0" w:color="auto"/>
            </w:tcBorders>
            <w:shd w:val="clear" w:color="auto" w:fill="auto"/>
          </w:tcPr>
          <w:p w:rsidR="00E35584" w:rsidRPr="0024334C" w:rsidRDefault="00E35584" w:rsidP="008D70D1">
            <w:pPr>
              <w:jc w:val="left"/>
              <w:rPr>
                <w:rFonts w:cs="Arial"/>
              </w:rPr>
            </w:pPr>
          </w:p>
        </w:tc>
        <w:tc>
          <w:tcPr>
            <w:tcW w:w="2557" w:type="dxa"/>
            <w:tcBorders>
              <w:top w:val="single" w:sz="4" w:space="0" w:color="auto"/>
              <w:left w:val="nil"/>
              <w:bottom w:val="single" w:sz="4" w:space="0" w:color="auto"/>
              <w:right w:val="single" w:sz="4" w:space="0" w:color="auto"/>
            </w:tcBorders>
            <w:shd w:val="clear" w:color="auto" w:fill="auto"/>
          </w:tcPr>
          <w:p w:rsidR="00E35584" w:rsidRPr="00E12C45" w:rsidRDefault="00E35584" w:rsidP="00E12C45">
            <w:pPr>
              <w:jc w:val="left"/>
              <w:rPr>
                <w:rFonts w:ascii="Calibri" w:hAnsi="Calibri" w:cs="Calibri"/>
                <w:iCs/>
                <w:color w:val="000000"/>
                <w:sz w:val="20"/>
                <w:szCs w:val="20"/>
              </w:rPr>
            </w:pPr>
            <w:r w:rsidRPr="00E12C45">
              <w:rPr>
                <w:rFonts w:ascii="Calibri" w:hAnsi="Calibri" w:cs="Calibri"/>
                <w:iCs/>
                <w:color w:val="000000"/>
                <w:sz w:val="20"/>
                <w:szCs w:val="20"/>
              </w:rPr>
              <w:t xml:space="preserve">Program </w:t>
            </w:r>
            <w:r>
              <w:rPr>
                <w:rFonts w:ascii="Calibri" w:hAnsi="Calibri" w:cs="Calibri"/>
                <w:iCs/>
                <w:color w:val="000000"/>
                <w:sz w:val="20"/>
                <w:szCs w:val="20"/>
              </w:rPr>
              <w:t>e</w:t>
            </w:r>
            <w:r w:rsidRPr="00E12C45">
              <w:rPr>
                <w:rFonts w:ascii="Calibri" w:hAnsi="Calibri" w:cs="Calibri"/>
                <w:iCs/>
                <w:color w:val="000000"/>
                <w:sz w:val="20"/>
                <w:szCs w:val="20"/>
              </w:rPr>
              <w:t>fficient</w:t>
            </w:r>
            <w:r>
              <w:rPr>
                <w:rFonts w:ascii="Calibri" w:hAnsi="Calibri" w:cs="Calibri"/>
                <w:iCs/>
                <w:color w:val="000000"/>
                <w:sz w:val="20"/>
                <w:szCs w:val="20"/>
              </w:rPr>
              <w:t>ly</w:t>
            </w:r>
            <w:r w:rsidRPr="00E12C45">
              <w:rPr>
                <w:rFonts w:ascii="Calibri" w:hAnsi="Calibri" w:cs="Calibri"/>
                <w:iCs/>
                <w:color w:val="000000"/>
                <w:sz w:val="20"/>
                <w:szCs w:val="20"/>
              </w:rPr>
              <w:t xml:space="preserve"> and effectively managed</w:t>
            </w:r>
            <w:r w:rsidR="00E54718">
              <w:rPr>
                <w:rFonts w:ascii="Calibri" w:hAnsi="Calibri" w:cs="Calibri"/>
                <w:iCs/>
                <w:color w:val="000000"/>
                <w:sz w:val="20"/>
                <w:szCs w:val="20"/>
              </w:rPr>
              <w:t>.</w:t>
            </w:r>
          </w:p>
          <w:p w:rsidR="00E35584" w:rsidRPr="00E12C45" w:rsidRDefault="00E35584" w:rsidP="00E12C45">
            <w:pPr>
              <w:jc w:val="left"/>
              <w:rPr>
                <w:rFonts w:ascii="Calibri" w:hAnsi="Calibri" w:cs="Calibri"/>
                <w:iCs/>
                <w:color w:val="000000"/>
                <w:sz w:val="20"/>
                <w:szCs w:val="20"/>
              </w:rPr>
            </w:pPr>
          </w:p>
        </w:tc>
        <w:tc>
          <w:tcPr>
            <w:tcW w:w="2854" w:type="dxa"/>
            <w:tcBorders>
              <w:top w:val="single" w:sz="4" w:space="0" w:color="auto"/>
              <w:left w:val="nil"/>
              <w:bottom w:val="single" w:sz="4" w:space="0" w:color="auto"/>
              <w:right w:val="single" w:sz="4" w:space="0" w:color="auto"/>
            </w:tcBorders>
            <w:shd w:val="clear" w:color="auto" w:fill="auto"/>
          </w:tcPr>
          <w:p w:rsidR="00E35584" w:rsidRPr="008D70D1" w:rsidRDefault="00E35584" w:rsidP="004D613E">
            <w:pPr>
              <w:jc w:val="left"/>
              <w:rPr>
                <w:rFonts w:ascii="Calibri" w:hAnsi="Calibri" w:cs="Calibri"/>
                <w:i/>
                <w:iCs/>
                <w:color w:val="000000"/>
                <w:sz w:val="20"/>
                <w:szCs w:val="20"/>
              </w:rPr>
            </w:pPr>
            <w:r w:rsidRPr="00E35584">
              <w:rPr>
                <w:rFonts w:ascii="Calibri" w:hAnsi="Calibri" w:cs="Calibri"/>
                <w:i/>
                <w:iCs/>
                <w:color w:val="000000"/>
                <w:sz w:val="20"/>
                <w:szCs w:val="20"/>
              </w:rPr>
              <w:t>Recipients</w:t>
            </w:r>
            <w:r w:rsidR="00661974">
              <w:rPr>
                <w:rFonts w:ascii="Calibri" w:hAnsi="Calibri" w:cs="Calibri"/>
                <w:i/>
                <w:iCs/>
                <w:color w:val="000000"/>
                <w:sz w:val="20"/>
                <w:szCs w:val="20"/>
              </w:rPr>
              <w:t>’</w:t>
            </w:r>
            <w:r w:rsidRPr="00E35584">
              <w:rPr>
                <w:rFonts w:ascii="Calibri" w:hAnsi="Calibri" w:cs="Calibri"/>
                <w:i/>
                <w:iCs/>
                <w:color w:val="000000"/>
                <w:sz w:val="20"/>
                <w:szCs w:val="20"/>
              </w:rPr>
              <w:t xml:space="preserve"> perception on the effectiveness and usefulness of the flexible fund as a means to respond to unforeseen and urgent need to support governance initiatives</w:t>
            </w:r>
          </w:p>
        </w:tc>
        <w:tc>
          <w:tcPr>
            <w:tcW w:w="3573" w:type="dxa"/>
            <w:vMerge/>
            <w:tcBorders>
              <w:top w:val="single" w:sz="4" w:space="0" w:color="auto"/>
              <w:left w:val="nil"/>
              <w:bottom w:val="single" w:sz="4" w:space="0" w:color="auto"/>
              <w:right w:val="single" w:sz="4" w:space="0" w:color="auto"/>
            </w:tcBorders>
            <w:shd w:val="clear" w:color="auto" w:fill="auto"/>
          </w:tcPr>
          <w:p w:rsidR="00E35584" w:rsidRPr="002D732C" w:rsidRDefault="00E35584" w:rsidP="00E12C45">
            <w:pPr>
              <w:jc w:val="left"/>
              <w:rPr>
                <w:rFonts w:ascii="Calibri" w:hAnsi="Calibri" w:cs="Calibri"/>
                <w:i/>
                <w:iCs/>
                <w:color w:val="000000"/>
                <w:sz w:val="20"/>
                <w:szCs w:val="20"/>
              </w:rPr>
            </w:pPr>
          </w:p>
        </w:tc>
      </w:tr>
      <w:tr w:rsidR="008C1A4C" w:rsidRPr="00FD2B9D" w:rsidTr="00CC05F2">
        <w:trPr>
          <w:trHeight w:val="1050"/>
        </w:trPr>
        <w:tc>
          <w:tcPr>
            <w:tcW w:w="1959" w:type="dxa"/>
            <w:tcBorders>
              <w:top w:val="single" w:sz="4" w:space="0" w:color="auto"/>
              <w:left w:val="single" w:sz="8" w:space="0" w:color="auto"/>
              <w:bottom w:val="single" w:sz="4" w:space="0" w:color="auto"/>
              <w:right w:val="single" w:sz="4" w:space="0" w:color="auto"/>
            </w:tcBorders>
            <w:shd w:val="clear" w:color="000000" w:fill="FCD5B4"/>
            <w:hideMark/>
          </w:tcPr>
          <w:p w:rsidR="008C1A4C" w:rsidRPr="00FD2B9D" w:rsidRDefault="008C1A4C" w:rsidP="00CC05F2">
            <w:pPr>
              <w:rPr>
                <w:rFonts w:ascii="Calibri" w:hAnsi="Calibri" w:cs="Calibri"/>
                <w:b/>
                <w:bCs/>
                <w:color w:val="000000"/>
                <w:sz w:val="20"/>
                <w:szCs w:val="20"/>
              </w:rPr>
            </w:pPr>
            <w:r w:rsidRPr="00FD2B9D">
              <w:rPr>
                <w:rFonts w:ascii="Calibri" w:hAnsi="Calibri" w:cs="Calibri"/>
                <w:b/>
                <w:bCs/>
                <w:color w:val="000000"/>
                <w:sz w:val="20"/>
                <w:szCs w:val="20"/>
              </w:rPr>
              <w:t>Key evaluative questions for end-of-strategy outcome</w:t>
            </w:r>
          </w:p>
        </w:tc>
        <w:tc>
          <w:tcPr>
            <w:tcW w:w="8091" w:type="dxa"/>
            <w:gridSpan w:val="3"/>
            <w:tcBorders>
              <w:top w:val="single" w:sz="4" w:space="0" w:color="auto"/>
              <w:left w:val="nil"/>
              <w:bottom w:val="single" w:sz="4" w:space="0" w:color="auto"/>
              <w:right w:val="single" w:sz="4" w:space="0" w:color="auto"/>
            </w:tcBorders>
            <w:shd w:val="clear" w:color="auto" w:fill="auto"/>
          </w:tcPr>
          <w:p w:rsidR="008C1A4C" w:rsidRPr="008C1A4C" w:rsidRDefault="008C1A4C" w:rsidP="008C1A4C">
            <w:pPr>
              <w:rPr>
                <w:rFonts w:ascii="Calibri" w:hAnsi="Calibri" w:cs="Calibri"/>
                <w:iCs/>
                <w:color w:val="000000"/>
                <w:sz w:val="20"/>
                <w:szCs w:val="20"/>
              </w:rPr>
            </w:pPr>
            <w:r w:rsidRPr="008C1A4C">
              <w:rPr>
                <w:rFonts w:ascii="Calibri" w:hAnsi="Calibri" w:cs="Calibri"/>
                <w:iCs/>
                <w:color w:val="000000"/>
                <w:sz w:val="20"/>
                <w:szCs w:val="20"/>
              </w:rPr>
              <w:t>How is greater representation of women in democratic and decision-making structures and processes, leading to their more active participation?</w:t>
            </w:r>
          </w:p>
          <w:p w:rsidR="008C1A4C" w:rsidRPr="008C1A4C" w:rsidRDefault="008C1A4C" w:rsidP="008C1A4C">
            <w:pPr>
              <w:rPr>
                <w:rFonts w:ascii="Calibri" w:hAnsi="Calibri" w:cs="Calibri"/>
                <w:iCs/>
                <w:color w:val="000000"/>
                <w:sz w:val="20"/>
                <w:szCs w:val="20"/>
              </w:rPr>
            </w:pPr>
            <w:r w:rsidRPr="008C1A4C">
              <w:rPr>
                <w:rFonts w:ascii="Calibri" w:hAnsi="Calibri" w:cs="Calibri"/>
                <w:iCs/>
                <w:color w:val="000000"/>
                <w:sz w:val="20"/>
                <w:szCs w:val="20"/>
              </w:rPr>
              <w:t>What evidence is there that parliament is improving its representation of all people?</w:t>
            </w:r>
          </w:p>
          <w:p w:rsidR="008C1A4C" w:rsidRPr="008C1A4C" w:rsidRDefault="008C1A4C" w:rsidP="008C1A4C">
            <w:pPr>
              <w:rPr>
                <w:rFonts w:ascii="Calibri" w:hAnsi="Calibri" w:cs="Calibri"/>
                <w:iCs/>
                <w:color w:val="000000"/>
                <w:sz w:val="20"/>
                <w:szCs w:val="20"/>
              </w:rPr>
            </w:pPr>
            <w:r w:rsidRPr="008C1A4C">
              <w:rPr>
                <w:rFonts w:ascii="Calibri" w:hAnsi="Calibri" w:cs="Calibri"/>
                <w:iCs/>
                <w:color w:val="000000"/>
                <w:sz w:val="20"/>
                <w:szCs w:val="20"/>
              </w:rPr>
              <w:t>How are formal institutions demonstrating accountability to citizens? How is this improving?</w:t>
            </w:r>
          </w:p>
          <w:p w:rsidR="008C1A4C" w:rsidRPr="008C1A4C" w:rsidRDefault="008C1A4C" w:rsidP="008C1A4C">
            <w:pPr>
              <w:rPr>
                <w:rFonts w:ascii="Calibri" w:hAnsi="Calibri" w:cs="Calibri"/>
                <w:iCs/>
                <w:color w:val="000000"/>
                <w:sz w:val="20"/>
                <w:szCs w:val="20"/>
              </w:rPr>
            </w:pPr>
            <w:r w:rsidRPr="008C1A4C">
              <w:rPr>
                <w:rFonts w:ascii="Calibri" w:hAnsi="Calibri" w:cs="Calibri"/>
                <w:iCs/>
                <w:color w:val="000000"/>
                <w:sz w:val="20"/>
                <w:szCs w:val="20"/>
              </w:rPr>
              <w:t>How has the involvement of civil society supported more democratic governance?</w:t>
            </w:r>
          </w:p>
          <w:p w:rsidR="008C1A4C" w:rsidRDefault="008C1A4C" w:rsidP="008C1A4C">
            <w:pPr>
              <w:rPr>
                <w:rFonts w:ascii="Calibri" w:hAnsi="Calibri" w:cs="Calibri"/>
                <w:iCs/>
                <w:color w:val="000000"/>
                <w:sz w:val="20"/>
                <w:szCs w:val="20"/>
              </w:rPr>
            </w:pPr>
            <w:r w:rsidRPr="008C1A4C">
              <w:rPr>
                <w:rFonts w:ascii="Calibri" w:hAnsi="Calibri" w:cs="Calibri"/>
                <w:iCs/>
                <w:color w:val="000000"/>
                <w:sz w:val="20"/>
                <w:szCs w:val="20"/>
              </w:rPr>
              <w:t>To what extent are civil society actors influencing the agenda of the institutions and agencies delivering services?</w:t>
            </w:r>
          </w:p>
          <w:p w:rsidR="008C1A4C" w:rsidRPr="008C1A4C" w:rsidRDefault="008C1A4C" w:rsidP="008C1A4C">
            <w:pPr>
              <w:rPr>
                <w:rFonts w:ascii="Calibri" w:hAnsi="Calibri" w:cs="Calibri"/>
                <w:iCs/>
                <w:color w:val="000000"/>
                <w:sz w:val="20"/>
                <w:szCs w:val="20"/>
              </w:rPr>
            </w:pPr>
            <w:r w:rsidRPr="008C1A4C">
              <w:rPr>
                <w:rFonts w:ascii="Calibri" w:hAnsi="Calibri" w:cs="Calibri"/>
                <w:iCs/>
                <w:color w:val="000000"/>
                <w:sz w:val="20"/>
                <w:szCs w:val="20"/>
              </w:rPr>
              <w:t>Is there increasing public confidence in the election process?</w:t>
            </w:r>
          </w:p>
        </w:tc>
        <w:tc>
          <w:tcPr>
            <w:tcW w:w="3573" w:type="dxa"/>
            <w:tcBorders>
              <w:top w:val="single" w:sz="4" w:space="0" w:color="auto"/>
              <w:left w:val="nil"/>
              <w:bottom w:val="single" w:sz="4" w:space="0" w:color="auto"/>
              <w:right w:val="single" w:sz="8" w:space="0" w:color="000000"/>
            </w:tcBorders>
            <w:shd w:val="clear" w:color="auto" w:fill="auto"/>
          </w:tcPr>
          <w:p w:rsidR="008C1A4C" w:rsidRPr="00B76283" w:rsidRDefault="008C1A4C" w:rsidP="00A11CCA">
            <w:pPr>
              <w:pStyle w:val="ListParagraph"/>
              <w:numPr>
                <w:ilvl w:val="0"/>
                <w:numId w:val="5"/>
              </w:numPr>
              <w:rPr>
                <w:rFonts w:ascii="Calibri" w:hAnsi="Calibri" w:cs="Calibri"/>
                <w:i/>
                <w:iCs/>
                <w:color w:val="000000"/>
                <w:sz w:val="20"/>
                <w:szCs w:val="20"/>
              </w:rPr>
            </w:pPr>
            <w:r>
              <w:rPr>
                <w:rFonts w:ascii="Calibri" w:hAnsi="Calibri" w:cs="Calibri"/>
                <w:i/>
                <w:iCs/>
                <w:color w:val="000000"/>
                <w:sz w:val="20"/>
                <w:szCs w:val="20"/>
              </w:rPr>
              <w:t>Scheduled quarterly meetings between AusAID and PACC</w:t>
            </w:r>
          </w:p>
        </w:tc>
      </w:tr>
      <w:tr w:rsidR="008C1A4C" w:rsidRPr="00FD2B9D" w:rsidTr="00202972">
        <w:trPr>
          <w:trHeight w:val="67"/>
        </w:trPr>
        <w:tc>
          <w:tcPr>
            <w:tcW w:w="13623" w:type="dxa"/>
            <w:gridSpan w:val="5"/>
            <w:tcBorders>
              <w:top w:val="single" w:sz="4" w:space="0" w:color="auto"/>
              <w:left w:val="single" w:sz="8" w:space="0" w:color="auto"/>
              <w:bottom w:val="single" w:sz="4" w:space="0" w:color="auto"/>
              <w:right w:val="single" w:sz="8" w:space="0" w:color="000000"/>
            </w:tcBorders>
            <w:shd w:val="clear" w:color="000000" w:fill="auto"/>
          </w:tcPr>
          <w:p w:rsidR="008C1A4C" w:rsidRPr="00FD2B9D" w:rsidRDefault="008C1A4C" w:rsidP="00202972">
            <w:pPr>
              <w:rPr>
                <w:rFonts w:ascii="Calibri" w:hAnsi="Calibri" w:cs="Calibri"/>
                <w:i/>
                <w:iCs/>
                <w:color w:val="000000"/>
                <w:sz w:val="20"/>
                <w:szCs w:val="20"/>
              </w:rPr>
            </w:pPr>
          </w:p>
        </w:tc>
      </w:tr>
      <w:tr w:rsidR="008C1A4C" w:rsidRPr="00702BD2" w:rsidTr="00202972">
        <w:trPr>
          <w:trHeight w:val="1050"/>
        </w:trPr>
        <w:tc>
          <w:tcPr>
            <w:tcW w:w="1959" w:type="dxa"/>
            <w:tcBorders>
              <w:top w:val="single" w:sz="4" w:space="0" w:color="auto"/>
              <w:left w:val="single" w:sz="8" w:space="0" w:color="auto"/>
              <w:bottom w:val="single" w:sz="4" w:space="0" w:color="auto"/>
              <w:right w:val="single" w:sz="4" w:space="0" w:color="auto"/>
            </w:tcBorders>
            <w:shd w:val="clear" w:color="000000" w:fill="FCD5B4"/>
            <w:hideMark/>
          </w:tcPr>
          <w:p w:rsidR="008C1A4C" w:rsidRPr="00702BD2" w:rsidRDefault="008C1A4C" w:rsidP="00702BD2">
            <w:pPr>
              <w:jc w:val="left"/>
              <w:rPr>
                <w:rFonts w:asciiTheme="minorHAnsi" w:hAnsiTheme="minorHAnsi" w:cstheme="minorHAnsi"/>
                <w:b/>
                <w:bCs/>
                <w:color w:val="000000"/>
                <w:sz w:val="20"/>
                <w:szCs w:val="20"/>
              </w:rPr>
            </w:pPr>
            <w:r w:rsidRPr="00702BD2">
              <w:rPr>
                <w:rFonts w:asciiTheme="minorHAnsi" w:hAnsiTheme="minorHAnsi" w:cstheme="minorHAnsi"/>
                <w:b/>
                <w:bCs/>
                <w:color w:val="000000"/>
                <w:sz w:val="20"/>
                <w:szCs w:val="20"/>
              </w:rPr>
              <w:t>Overarching evaluative questions:</w:t>
            </w:r>
          </w:p>
        </w:tc>
        <w:tc>
          <w:tcPr>
            <w:tcW w:w="8091" w:type="dxa"/>
            <w:gridSpan w:val="3"/>
            <w:tcBorders>
              <w:top w:val="single" w:sz="4" w:space="0" w:color="auto"/>
              <w:left w:val="nil"/>
              <w:bottom w:val="single" w:sz="4" w:space="0" w:color="auto"/>
              <w:right w:val="single" w:sz="4" w:space="0" w:color="auto"/>
            </w:tcBorders>
            <w:shd w:val="clear" w:color="auto" w:fill="auto"/>
          </w:tcPr>
          <w:p w:rsidR="008C1A4C" w:rsidRPr="00702BD2" w:rsidRDefault="008C1A4C" w:rsidP="00A11CCA">
            <w:pPr>
              <w:numPr>
                <w:ilvl w:val="0"/>
                <w:numId w:val="5"/>
              </w:numPr>
              <w:tabs>
                <w:tab w:val="clear" w:pos="432"/>
                <w:tab w:val="num" w:pos="317"/>
              </w:tabs>
              <w:ind w:left="317" w:hanging="317"/>
              <w:jc w:val="left"/>
              <w:rPr>
                <w:rFonts w:asciiTheme="minorHAnsi" w:hAnsiTheme="minorHAnsi" w:cstheme="minorHAnsi"/>
                <w:sz w:val="20"/>
                <w:lang w:val="en-GB"/>
              </w:rPr>
            </w:pPr>
            <w:r w:rsidRPr="00702BD2">
              <w:rPr>
                <w:rFonts w:asciiTheme="minorHAnsi" w:hAnsiTheme="minorHAnsi" w:cstheme="minorHAnsi"/>
                <w:sz w:val="20"/>
                <w:lang w:val="en-GB"/>
              </w:rPr>
              <w:t>What is the current economic and public sector governance situation in Tonga?</w:t>
            </w:r>
          </w:p>
          <w:p w:rsidR="008C1A4C" w:rsidRPr="00702BD2" w:rsidRDefault="008C1A4C" w:rsidP="00A11CCA">
            <w:pPr>
              <w:numPr>
                <w:ilvl w:val="0"/>
                <w:numId w:val="5"/>
              </w:numPr>
              <w:tabs>
                <w:tab w:val="clear" w:pos="432"/>
                <w:tab w:val="num" w:pos="317"/>
              </w:tabs>
              <w:ind w:left="317" w:hanging="317"/>
              <w:jc w:val="left"/>
              <w:rPr>
                <w:rFonts w:asciiTheme="minorHAnsi" w:hAnsiTheme="minorHAnsi" w:cstheme="minorHAnsi"/>
                <w:sz w:val="20"/>
                <w:lang w:val="en-GB"/>
              </w:rPr>
            </w:pPr>
            <w:r w:rsidRPr="00702BD2">
              <w:rPr>
                <w:rFonts w:asciiTheme="minorHAnsi" w:hAnsiTheme="minorHAnsi" w:cstheme="minorHAnsi"/>
                <w:sz w:val="20"/>
                <w:lang w:val="en-GB"/>
              </w:rPr>
              <w:t>Have interventions led to expected EPSG changes?  If not, why not?  If so, why?</w:t>
            </w:r>
          </w:p>
          <w:p w:rsidR="008C1A4C" w:rsidRPr="00702BD2" w:rsidRDefault="008C1A4C" w:rsidP="00A11CCA">
            <w:pPr>
              <w:numPr>
                <w:ilvl w:val="0"/>
                <w:numId w:val="5"/>
              </w:numPr>
              <w:tabs>
                <w:tab w:val="clear" w:pos="432"/>
                <w:tab w:val="num" w:pos="317"/>
              </w:tabs>
              <w:ind w:left="317" w:hanging="317"/>
              <w:jc w:val="left"/>
              <w:rPr>
                <w:rFonts w:asciiTheme="minorHAnsi" w:hAnsiTheme="minorHAnsi" w:cstheme="minorHAnsi"/>
                <w:sz w:val="20"/>
                <w:lang w:val="en-GB"/>
              </w:rPr>
            </w:pPr>
            <w:r w:rsidRPr="00702BD2">
              <w:rPr>
                <w:rFonts w:asciiTheme="minorHAnsi" w:hAnsiTheme="minorHAnsi" w:cstheme="minorHAnsi"/>
                <w:sz w:val="20"/>
                <w:lang w:val="en-GB"/>
              </w:rPr>
              <w:t>What factors (positive and negative) have caused this situation?</w:t>
            </w:r>
          </w:p>
          <w:p w:rsidR="008C1A4C" w:rsidRPr="00702BD2" w:rsidRDefault="008C1A4C" w:rsidP="00A11CCA">
            <w:pPr>
              <w:numPr>
                <w:ilvl w:val="0"/>
                <w:numId w:val="5"/>
              </w:numPr>
              <w:tabs>
                <w:tab w:val="clear" w:pos="432"/>
                <w:tab w:val="num" w:pos="317"/>
              </w:tabs>
              <w:ind w:left="317" w:hanging="317"/>
              <w:jc w:val="left"/>
              <w:rPr>
                <w:rFonts w:asciiTheme="minorHAnsi" w:hAnsiTheme="minorHAnsi" w:cstheme="minorHAnsi"/>
                <w:iCs/>
                <w:color w:val="000000"/>
                <w:sz w:val="20"/>
                <w:szCs w:val="20"/>
              </w:rPr>
            </w:pPr>
            <w:r w:rsidRPr="00702BD2">
              <w:rPr>
                <w:rFonts w:asciiTheme="minorHAnsi" w:hAnsiTheme="minorHAnsi" w:cstheme="minorHAnsi"/>
                <w:sz w:val="20"/>
                <w:lang w:val="en-GB"/>
              </w:rPr>
              <w:t>What are the implications of the current EPSG situation on progress towards end-of-strategy outcomes and GoT PFM targets?</w:t>
            </w:r>
          </w:p>
          <w:p w:rsidR="008C1A4C" w:rsidRPr="00702BD2" w:rsidRDefault="008C1A4C" w:rsidP="00A11CCA">
            <w:pPr>
              <w:numPr>
                <w:ilvl w:val="0"/>
                <w:numId w:val="5"/>
              </w:numPr>
              <w:tabs>
                <w:tab w:val="clear" w:pos="432"/>
                <w:tab w:val="num" w:pos="317"/>
              </w:tabs>
              <w:ind w:left="317" w:hanging="317"/>
              <w:jc w:val="left"/>
              <w:rPr>
                <w:rFonts w:asciiTheme="minorHAnsi" w:hAnsiTheme="minorHAnsi" w:cstheme="minorHAnsi"/>
                <w:sz w:val="20"/>
                <w:lang w:val="en-GB"/>
              </w:rPr>
            </w:pPr>
            <w:r w:rsidRPr="00702BD2">
              <w:rPr>
                <w:rFonts w:asciiTheme="minorHAnsi" w:hAnsiTheme="minorHAnsi" w:cstheme="minorHAnsi"/>
                <w:sz w:val="20"/>
                <w:lang w:val="en-GB"/>
              </w:rPr>
              <w:t>Could the same outputs have been delivered with fewer inputs?</w:t>
            </w:r>
          </w:p>
          <w:p w:rsidR="008C1A4C" w:rsidRPr="00702BD2" w:rsidRDefault="008C1A4C" w:rsidP="00A11CCA">
            <w:pPr>
              <w:numPr>
                <w:ilvl w:val="0"/>
                <w:numId w:val="5"/>
              </w:numPr>
              <w:tabs>
                <w:tab w:val="clear" w:pos="432"/>
                <w:tab w:val="num" w:pos="317"/>
              </w:tabs>
              <w:ind w:left="317" w:hanging="317"/>
              <w:jc w:val="left"/>
              <w:rPr>
                <w:rFonts w:asciiTheme="minorHAnsi" w:hAnsiTheme="minorHAnsi" w:cstheme="minorHAnsi"/>
                <w:iCs/>
                <w:color w:val="000000"/>
                <w:sz w:val="20"/>
                <w:szCs w:val="20"/>
              </w:rPr>
            </w:pPr>
            <w:r w:rsidRPr="00702BD2">
              <w:rPr>
                <w:rFonts w:asciiTheme="minorHAnsi" w:hAnsiTheme="minorHAnsi" w:cstheme="minorHAnsi"/>
                <w:sz w:val="20"/>
                <w:lang w:val="en-GB"/>
              </w:rPr>
              <w:t>Could the same inputs have been used to deliver more outputs?</w:t>
            </w:r>
          </w:p>
        </w:tc>
        <w:tc>
          <w:tcPr>
            <w:tcW w:w="3573" w:type="dxa"/>
            <w:tcBorders>
              <w:top w:val="single" w:sz="4" w:space="0" w:color="auto"/>
              <w:left w:val="nil"/>
              <w:bottom w:val="single" w:sz="4" w:space="0" w:color="auto"/>
              <w:right w:val="single" w:sz="8" w:space="0" w:color="000000"/>
            </w:tcBorders>
            <w:shd w:val="clear" w:color="auto" w:fill="auto"/>
          </w:tcPr>
          <w:p w:rsidR="008C1A4C" w:rsidRPr="00702BD2" w:rsidRDefault="008C1A4C" w:rsidP="00702BD2">
            <w:pPr>
              <w:jc w:val="left"/>
              <w:rPr>
                <w:rFonts w:asciiTheme="minorHAnsi" w:hAnsiTheme="minorHAnsi" w:cstheme="minorHAnsi"/>
                <w:i/>
                <w:sz w:val="20"/>
                <w:szCs w:val="20"/>
              </w:rPr>
            </w:pPr>
            <w:r w:rsidRPr="00702BD2">
              <w:rPr>
                <w:rFonts w:asciiTheme="minorHAnsi" w:hAnsiTheme="minorHAnsi" w:cstheme="minorHAnsi"/>
                <w:i/>
                <w:sz w:val="20"/>
                <w:szCs w:val="20"/>
              </w:rPr>
              <w:t>Questions to be considered in performance review discussions feeding into QAIs and APPRs and annual Partnership talks with GoT.</w:t>
            </w:r>
          </w:p>
          <w:p w:rsidR="008C1A4C" w:rsidRPr="00702BD2" w:rsidRDefault="008C1A4C" w:rsidP="00702BD2">
            <w:pPr>
              <w:jc w:val="left"/>
              <w:rPr>
                <w:rFonts w:asciiTheme="minorHAnsi" w:hAnsiTheme="minorHAnsi" w:cstheme="minorHAnsi"/>
                <w:i/>
                <w:iCs/>
                <w:color w:val="000000"/>
                <w:sz w:val="20"/>
                <w:szCs w:val="20"/>
              </w:rPr>
            </w:pPr>
          </w:p>
        </w:tc>
      </w:tr>
    </w:tbl>
    <w:p w:rsidR="00702BD2" w:rsidRDefault="00702BD2" w:rsidP="00A11CCA">
      <w:pPr>
        <w:pStyle w:val="Heading2"/>
        <w:numPr>
          <w:ilvl w:val="1"/>
          <w:numId w:val="26"/>
        </w:numPr>
        <w:rPr>
          <w:sz w:val="24"/>
          <w:lang w:val="en-GB"/>
        </w:rPr>
      </w:pPr>
      <w:r>
        <w:br w:type="column"/>
      </w:r>
      <w:bookmarkStart w:id="33" w:name="_Toc356389386"/>
      <w:r>
        <w:rPr>
          <w:sz w:val="24"/>
          <w:lang w:val="en-GB"/>
        </w:rPr>
        <w:t>Monitoring</w:t>
      </w:r>
      <w:bookmarkEnd w:id="33"/>
    </w:p>
    <w:p w:rsidR="00702BD2" w:rsidRDefault="00702BD2" w:rsidP="00702BD2"/>
    <w:tbl>
      <w:tblPr>
        <w:tblW w:w="14317" w:type="dxa"/>
        <w:tblInd w:w="108" w:type="dxa"/>
        <w:tblLayout w:type="fixed"/>
        <w:tblLook w:val="04A0" w:firstRow="1" w:lastRow="0" w:firstColumn="1" w:lastColumn="0" w:noHBand="0" w:noVBand="1"/>
      </w:tblPr>
      <w:tblGrid>
        <w:gridCol w:w="2268"/>
        <w:gridCol w:w="1985"/>
        <w:gridCol w:w="283"/>
        <w:gridCol w:w="1560"/>
        <w:gridCol w:w="1701"/>
        <w:gridCol w:w="850"/>
        <w:gridCol w:w="1418"/>
        <w:gridCol w:w="1417"/>
        <w:gridCol w:w="1418"/>
        <w:gridCol w:w="1417"/>
      </w:tblGrid>
      <w:tr w:rsidR="00202972" w:rsidRPr="0011273B" w:rsidTr="00C415C7">
        <w:trPr>
          <w:trHeight w:val="975"/>
        </w:trPr>
        <w:tc>
          <w:tcPr>
            <w:tcW w:w="2268" w:type="dxa"/>
            <w:tcBorders>
              <w:top w:val="single" w:sz="4" w:space="0" w:color="auto"/>
              <w:left w:val="single" w:sz="4" w:space="0" w:color="auto"/>
              <w:bottom w:val="single" w:sz="4" w:space="0" w:color="auto"/>
              <w:right w:val="single" w:sz="4" w:space="0" w:color="auto"/>
            </w:tcBorders>
            <w:shd w:val="clear" w:color="000000" w:fill="B8CCE4"/>
            <w:hideMark/>
          </w:tcPr>
          <w:p w:rsidR="00702BD2" w:rsidRPr="0011273B" w:rsidRDefault="00702BD2" w:rsidP="00202972">
            <w:pPr>
              <w:rPr>
                <w:rFonts w:ascii="Calibri" w:hAnsi="Calibri" w:cs="Calibri"/>
                <w:b/>
                <w:bCs/>
                <w:color w:val="000000"/>
                <w:sz w:val="20"/>
                <w:szCs w:val="22"/>
              </w:rPr>
            </w:pPr>
            <w:r w:rsidRPr="0011273B">
              <w:rPr>
                <w:rFonts w:ascii="Calibri" w:hAnsi="Calibri" w:cs="Calibri"/>
                <w:b/>
                <w:bCs/>
                <w:color w:val="000000"/>
                <w:sz w:val="20"/>
                <w:szCs w:val="22"/>
              </w:rPr>
              <w:t>Results Hierarchy</w:t>
            </w:r>
          </w:p>
        </w:tc>
        <w:tc>
          <w:tcPr>
            <w:tcW w:w="2268" w:type="dxa"/>
            <w:gridSpan w:val="2"/>
            <w:tcBorders>
              <w:top w:val="single" w:sz="4" w:space="0" w:color="auto"/>
              <w:left w:val="nil"/>
              <w:bottom w:val="single" w:sz="4" w:space="0" w:color="auto"/>
              <w:right w:val="single" w:sz="4" w:space="0" w:color="auto"/>
            </w:tcBorders>
            <w:shd w:val="clear" w:color="000000" w:fill="B8CCE4"/>
            <w:hideMark/>
          </w:tcPr>
          <w:p w:rsidR="00702BD2" w:rsidRPr="0011273B" w:rsidRDefault="00702BD2" w:rsidP="00202972">
            <w:pPr>
              <w:rPr>
                <w:rFonts w:ascii="Calibri" w:hAnsi="Calibri" w:cs="Calibri"/>
                <w:b/>
                <w:bCs/>
                <w:color w:val="000000"/>
                <w:sz w:val="20"/>
                <w:szCs w:val="22"/>
              </w:rPr>
            </w:pPr>
            <w:r w:rsidRPr="0011273B">
              <w:rPr>
                <w:rFonts w:ascii="Calibri" w:hAnsi="Calibri" w:cs="Calibri"/>
                <w:b/>
                <w:bCs/>
                <w:color w:val="000000"/>
                <w:sz w:val="20"/>
                <w:szCs w:val="22"/>
              </w:rPr>
              <w:t xml:space="preserve">Indicators </w:t>
            </w:r>
          </w:p>
        </w:tc>
        <w:tc>
          <w:tcPr>
            <w:tcW w:w="1560" w:type="dxa"/>
            <w:tcBorders>
              <w:top w:val="single" w:sz="4" w:space="0" w:color="auto"/>
              <w:left w:val="nil"/>
              <w:bottom w:val="single" w:sz="4" w:space="0" w:color="auto"/>
              <w:right w:val="single" w:sz="4" w:space="0" w:color="auto"/>
            </w:tcBorders>
            <w:shd w:val="clear" w:color="000000" w:fill="B8CCE4"/>
            <w:hideMark/>
          </w:tcPr>
          <w:p w:rsidR="00702BD2" w:rsidRPr="0011273B" w:rsidRDefault="00702BD2" w:rsidP="009B41B2">
            <w:pPr>
              <w:jc w:val="left"/>
              <w:rPr>
                <w:rFonts w:ascii="Calibri" w:hAnsi="Calibri" w:cs="Calibri"/>
                <w:b/>
                <w:bCs/>
                <w:color w:val="000000"/>
                <w:sz w:val="20"/>
                <w:szCs w:val="22"/>
              </w:rPr>
            </w:pPr>
            <w:r w:rsidRPr="0011273B">
              <w:rPr>
                <w:rFonts w:ascii="Calibri" w:hAnsi="Calibri" w:cs="Calibri"/>
                <w:b/>
                <w:bCs/>
                <w:color w:val="000000"/>
                <w:sz w:val="20"/>
                <w:szCs w:val="22"/>
              </w:rPr>
              <w:t>Data source / means of verification</w:t>
            </w:r>
          </w:p>
        </w:tc>
        <w:tc>
          <w:tcPr>
            <w:tcW w:w="1701" w:type="dxa"/>
            <w:tcBorders>
              <w:top w:val="single" w:sz="4" w:space="0" w:color="auto"/>
              <w:left w:val="nil"/>
              <w:bottom w:val="single" w:sz="4" w:space="0" w:color="auto"/>
              <w:right w:val="single" w:sz="4" w:space="0" w:color="auto"/>
            </w:tcBorders>
            <w:shd w:val="clear" w:color="000000" w:fill="B8CCE4"/>
            <w:hideMark/>
          </w:tcPr>
          <w:p w:rsidR="00702BD2" w:rsidRPr="0011273B" w:rsidRDefault="00702BD2" w:rsidP="00202972">
            <w:pPr>
              <w:rPr>
                <w:rFonts w:ascii="Calibri" w:hAnsi="Calibri" w:cs="Calibri"/>
                <w:b/>
                <w:bCs/>
                <w:color w:val="000000"/>
                <w:sz w:val="20"/>
                <w:szCs w:val="22"/>
              </w:rPr>
            </w:pPr>
            <w:r w:rsidRPr="0011273B">
              <w:rPr>
                <w:rFonts w:ascii="Calibri" w:hAnsi="Calibri" w:cs="Calibri"/>
                <w:b/>
                <w:bCs/>
                <w:color w:val="000000"/>
                <w:sz w:val="20"/>
                <w:szCs w:val="22"/>
              </w:rPr>
              <w:t>Baseline (Year)</w:t>
            </w:r>
          </w:p>
        </w:tc>
        <w:tc>
          <w:tcPr>
            <w:tcW w:w="850" w:type="dxa"/>
            <w:tcBorders>
              <w:top w:val="single" w:sz="4" w:space="0" w:color="auto"/>
              <w:left w:val="nil"/>
              <w:bottom w:val="single" w:sz="4" w:space="0" w:color="auto"/>
              <w:right w:val="single" w:sz="4" w:space="0" w:color="auto"/>
            </w:tcBorders>
            <w:shd w:val="clear" w:color="000000" w:fill="B8CCE4"/>
            <w:hideMark/>
          </w:tcPr>
          <w:p w:rsidR="00702BD2" w:rsidRPr="0011273B" w:rsidRDefault="00702BD2" w:rsidP="00202972">
            <w:pPr>
              <w:rPr>
                <w:rFonts w:ascii="Calibri" w:hAnsi="Calibri" w:cs="Calibri"/>
                <w:b/>
                <w:bCs/>
                <w:color w:val="000000"/>
                <w:sz w:val="20"/>
                <w:szCs w:val="22"/>
              </w:rPr>
            </w:pPr>
            <w:r w:rsidRPr="0011273B">
              <w:rPr>
                <w:rFonts w:ascii="Calibri" w:hAnsi="Calibri" w:cs="Calibri"/>
                <w:b/>
                <w:bCs/>
                <w:color w:val="000000"/>
                <w:sz w:val="20"/>
                <w:szCs w:val="22"/>
              </w:rPr>
              <w:t> </w:t>
            </w:r>
          </w:p>
        </w:tc>
        <w:tc>
          <w:tcPr>
            <w:tcW w:w="1418" w:type="dxa"/>
            <w:tcBorders>
              <w:top w:val="single" w:sz="4" w:space="0" w:color="auto"/>
              <w:left w:val="nil"/>
              <w:bottom w:val="single" w:sz="4" w:space="0" w:color="auto"/>
              <w:right w:val="single" w:sz="4" w:space="0" w:color="auto"/>
            </w:tcBorders>
            <w:shd w:val="clear" w:color="000000" w:fill="B8CCE4"/>
            <w:hideMark/>
          </w:tcPr>
          <w:p w:rsidR="00702BD2" w:rsidRPr="0011273B" w:rsidRDefault="00702BD2" w:rsidP="00B854CA">
            <w:pPr>
              <w:jc w:val="left"/>
              <w:rPr>
                <w:rFonts w:ascii="Calibri" w:hAnsi="Calibri" w:cs="Calibri"/>
                <w:b/>
                <w:bCs/>
                <w:color w:val="000000"/>
                <w:sz w:val="20"/>
                <w:szCs w:val="22"/>
              </w:rPr>
            </w:pPr>
            <w:r w:rsidRPr="0011273B">
              <w:rPr>
                <w:rFonts w:ascii="Calibri" w:hAnsi="Calibri" w:cs="Calibri"/>
                <w:b/>
                <w:bCs/>
                <w:color w:val="000000"/>
                <w:sz w:val="20"/>
                <w:szCs w:val="22"/>
              </w:rPr>
              <w:t>Annual Performance (Year 1 2013/14)</w:t>
            </w:r>
          </w:p>
        </w:tc>
        <w:tc>
          <w:tcPr>
            <w:tcW w:w="1417" w:type="dxa"/>
            <w:tcBorders>
              <w:top w:val="single" w:sz="4" w:space="0" w:color="auto"/>
              <w:left w:val="nil"/>
              <w:bottom w:val="single" w:sz="4" w:space="0" w:color="auto"/>
              <w:right w:val="single" w:sz="4" w:space="0" w:color="auto"/>
            </w:tcBorders>
            <w:shd w:val="clear" w:color="000000" w:fill="B8CCE4"/>
            <w:hideMark/>
          </w:tcPr>
          <w:p w:rsidR="00702BD2" w:rsidRPr="0011273B" w:rsidRDefault="00702BD2" w:rsidP="00B854CA">
            <w:pPr>
              <w:jc w:val="left"/>
              <w:rPr>
                <w:rFonts w:ascii="Calibri" w:hAnsi="Calibri" w:cs="Calibri"/>
                <w:b/>
                <w:bCs/>
                <w:color w:val="000000"/>
                <w:sz w:val="20"/>
                <w:szCs w:val="22"/>
              </w:rPr>
            </w:pPr>
            <w:r w:rsidRPr="0011273B">
              <w:rPr>
                <w:rFonts w:ascii="Calibri" w:hAnsi="Calibri" w:cs="Calibri"/>
                <w:b/>
                <w:bCs/>
                <w:color w:val="000000"/>
                <w:sz w:val="20"/>
                <w:szCs w:val="22"/>
              </w:rPr>
              <w:t>Annual Performance (Year 2 2014/15)</w:t>
            </w:r>
          </w:p>
        </w:tc>
        <w:tc>
          <w:tcPr>
            <w:tcW w:w="1418" w:type="dxa"/>
            <w:tcBorders>
              <w:top w:val="single" w:sz="4" w:space="0" w:color="auto"/>
              <w:left w:val="nil"/>
              <w:bottom w:val="single" w:sz="4" w:space="0" w:color="auto"/>
              <w:right w:val="single" w:sz="4" w:space="0" w:color="auto"/>
            </w:tcBorders>
            <w:shd w:val="clear" w:color="000000" w:fill="B8CCE4"/>
            <w:hideMark/>
          </w:tcPr>
          <w:p w:rsidR="00702BD2" w:rsidRPr="0011273B" w:rsidRDefault="00702BD2" w:rsidP="00B854CA">
            <w:pPr>
              <w:jc w:val="left"/>
              <w:rPr>
                <w:rFonts w:ascii="Calibri" w:hAnsi="Calibri" w:cs="Calibri"/>
                <w:b/>
                <w:bCs/>
                <w:color w:val="000000"/>
                <w:sz w:val="20"/>
                <w:szCs w:val="22"/>
              </w:rPr>
            </w:pPr>
            <w:r w:rsidRPr="0011273B">
              <w:rPr>
                <w:rFonts w:ascii="Calibri" w:hAnsi="Calibri" w:cs="Calibri"/>
                <w:b/>
                <w:bCs/>
                <w:color w:val="000000"/>
                <w:sz w:val="20"/>
                <w:szCs w:val="22"/>
              </w:rPr>
              <w:t>Annual Performance (Year 3 2015/16)</w:t>
            </w:r>
          </w:p>
        </w:tc>
        <w:tc>
          <w:tcPr>
            <w:tcW w:w="1417" w:type="dxa"/>
            <w:tcBorders>
              <w:top w:val="single" w:sz="4" w:space="0" w:color="auto"/>
              <w:left w:val="nil"/>
              <w:bottom w:val="single" w:sz="4" w:space="0" w:color="auto"/>
              <w:right w:val="single" w:sz="4" w:space="0" w:color="auto"/>
            </w:tcBorders>
            <w:shd w:val="clear" w:color="000000" w:fill="B8CCE4"/>
            <w:hideMark/>
          </w:tcPr>
          <w:p w:rsidR="00702BD2" w:rsidRPr="0011273B" w:rsidRDefault="00702BD2" w:rsidP="00B854CA">
            <w:pPr>
              <w:jc w:val="left"/>
              <w:rPr>
                <w:rFonts w:ascii="Calibri" w:hAnsi="Calibri" w:cs="Calibri"/>
                <w:b/>
                <w:bCs/>
                <w:color w:val="000000"/>
                <w:sz w:val="20"/>
                <w:szCs w:val="22"/>
              </w:rPr>
            </w:pPr>
            <w:r w:rsidRPr="0011273B">
              <w:rPr>
                <w:rFonts w:ascii="Calibri" w:hAnsi="Calibri" w:cs="Calibri"/>
                <w:b/>
                <w:bCs/>
                <w:color w:val="000000"/>
                <w:sz w:val="20"/>
                <w:szCs w:val="22"/>
              </w:rPr>
              <w:t>End of strategy performance (Year 5 2016/17)</w:t>
            </w:r>
          </w:p>
        </w:tc>
      </w:tr>
      <w:tr w:rsidR="00702BD2" w:rsidRPr="0011273B" w:rsidTr="00C415C7">
        <w:trPr>
          <w:trHeight w:val="525"/>
        </w:trPr>
        <w:tc>
          <w:tcPr>
            <w:tcW w:w="14317" w:type="dxa"/>
            <w:gridSpan w:val="10"/>
            <w:tcBorders>
              <w:top w:val="single" w:sz="4" w:space="0" w:color="auto"/>
              <w:left w:val="single" w:sz="4" w:space="0" w:color="auto"/>
              <w:bottom w:val="single" w:sz="4" w:space="0" w:color="000000"/>
              <w:right w:val="single" w:sz="4" w:space="0" w:color="auto"/>
            </w:tcBorders>
            <w:shd w:val="clear" w:color="000000" w:fill="DBE5F1" w:themeFill="accent1" w:themeFillTint="33"/>
          </w:tcPr>
          <w:p w:rsidR="00702BD2" w:rsidRPr="0011273B" w:rsidRDefault="00702BD2" w:rsidP="000D4ECF">
            <w:pPr>
              <w:jc w:val="left"/>
              <w:rPr>
                <w:rFonts w:ascii="Calibri" w:hAnsi="Calibri" w:cs="Calibri"/>
                <w:b/>
                <w:color w:val="000000"/>
                <w:sz w:val="20"/>
              </w:rPr>
            </w:pPr>
            <w:r w:rsidRPr="0011273B">
              <w:rPr>
                <w:rFonts w:ascii="Calibri" w:hAnsi="Calibri" w:cs="Calibri"/>
                <w:b/>
                <w:color w:val="000000"/>
                <w:sz w:val="20"/>
              </w:rPr>
              <w:t>End-of-strategy outcome one  – Public sector governance</w:t>
            </w:r>
          </w:p>
        </w:tc>
      </w:tr>
      <w:tr w:rsidR="00AD13A9" w:rsidRPr="0011273B" w:rsidTr="00C415C7">
        <w:trPr>
          <w:trHeight w:val="828"/>
        </w:trPr>
        <w:tc>
          <w:tcPr>
            <w:tcW w:w="2268" w:type="dxa"/>
            <w:vMerge w:val="restart"/>
            <w:tcBorders>
              <w:top w:val="single" w:sz="4" w:space="0" w:color="auto"/>
              <w:left w:val="single" w:sz="4" w:space="0" w:color="auto"/>
              <w:bottom w:val="single" w:sz="4" w:space="0" w:color="auto"/>
              <w:right w:val="single" w:sz="4" w:space="0" w:color="auto"/>
            </w:tcBorders>
            <w:shd w:val="clear" w:color="auto" w:fill="92D050"/>
            <w:hideMark/>
          </w:tcPr>
          <w:p w:rsidR="00AD13A9" w:rsidRPr="0011273B" w:rsidRDefault="00AD13A9" w:rsidP="000D4ECF">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 xml:space="preserve">End-of-strategy outcome: </w:t>
            </w:r>
            <w:r w:rsidRPr="0011273B">
              <w:rPr>
                <w:rFonts w:asciiTheme="minorHAnsi" w:hAnsiTheme="minorHAnsi" w:cstheme="minorHAnsi"/>
                <w:bCs/>
                <w:color w:val="000000"/>
                <w:sz w:val="20"/>
                <w:szCs w:val="20"/>
              </w:rPr>
              <w:t>GoT agencies demonstrate measureable improvement in the efficiency of public service delivery.</w:t>
            </w:r>
          </w:p>
        </w:tc>
        <w:tc>
          <w:tcPr>
            <w:tcW w:w="2268" w:type="dxa"/>
            <w:gridSpan w:val="2"/>
            <w:vMerge w:val="restart"/>
            <w:tcBorders>
              <w:top w:val="single" w:sz="4" w:space="0" w:color="auto"/>
              <w:left w:val="nil"/>
              <w:right w:val="nil"/>
            </w:tcBorders>
            <w:shd w:val="clear" w:color="auto" w:fill="auto"/>
            <w:noWrap/>
          </w:tcPr>
          <w:p w:rsidR="00AD13A9" w:rsidRPr="00AD13A9" w:rsidRDefault="001B65B7" w:rsidP="00AD13A9">
            <w:pPr>
              <w:jc w:val="left"/>
              <w:rPr>
                <w:rFonts w:asciiTheme="minorHAnsi" w:hAnsiTheme="minorHAnsi" w:cstheme="minorHAnsi"/>
                <w:i/>
                <w:iCs/>
                <w:color w:val="000000"/>
                <w:sz w:val="20"/>
                <w:szCs w:val="20"/>
              </w:rPr>
            </w:pPr>
            <w:r>
              <w:rPr>
                <w:rFonts w:asciiTheme="minorHAnsi" w:hAnsiTheme="minorHAnsi" w:cstheme="minorHAnsi"/>
                <w:i/>
                <w:iCs/>
                <w:color w:val="000000"/>
                <w:sz w:val="20"/>
                <w:szCs w:val="20"/>
              </w:rPr>
              <w:t xml:space="preserve">% </w:t>
            </w:r>
            <w:r w:rsidR="00AD13A9" w:rsidRPr="00AD13A9">
              <w:rPr>
                <w:rFonts w:asciiTheme="minorHAnsi" w:hAnsiTheme="minorHAnsi" w:cstheme="minorHAnsi"/>
                <w:i/>
                <w:iCs/>
                <w:color w:val="000000"/>
                <w:sz w:val="20"/>
                <w:szCs w:val="20"/>
              </w:rPr>
              <w:t>of planned reform activities implemented according to timetable</w:t>
            </w:r>
            <w:r w:rsidR="00AD13A9">
              <w:rPr>
                <w:rFonts w:asciiTheme="minorHAnsi" w:hAnsiTheme="minorHAnsi" w:cstheme="minorHAnsi"/>
                <w:i/>
                <w:iCs/>
                <w:color w:val="000000"/>
                <w:sz w:val="20"/>
                <w:szCs w:val="20"/>
              </w:rPr>
              <w:t>;</w:t>
            </w:r>
          </w:p>
          <w:p w:rsidR="00AD13A9" w:rsidRDefault="001B65B7" w:rsidP="00AD13A9">
            <w:pPr>
              <w:jc w:val="left"/>
              <w:rPr>
                <w:rFonts w:asciiTheme="minorHAnsi" w:hAnsiTheme="minorHAnsi" w:cstheme="minorHAnsi"/>
                <w:i/>
                <w:iCs/>
                <w:color w:val="000000"/>
                <w:sz w:val="20"/>
                <w:szCs w:val="20"/>
              </w:rPr>
            </w:pPr>
            <w:r>
              <w:rPr>
                <w:rFonts w:asciiTheme="minorHAnsi" w:hAnsiTheme="minorHAnsi" w:cstheme="minorHAnsi"/>
                <w:i/>
                <w:iCs/>
                <w:color w:val="000000"/>
                <w:sz w:val="20"/>
                <w:szCs w:val="20"/>
              </w:rPr>
              <w:t xml:space="preserve">% </w:t>
            </w:r>
            <w:r w:rsidR="00AD13A9" w:rsidRPr="00AD13A9">
              <w:rPr>
                <w:rFonts w:asciiTheme="minorHAnsi" w:hAnsiTheme="minorHAnsi" w:cstheme="minorHAnsi"/>
                <w:i/>
                <w:iCs/>
                <w:color w:val="000000"/>
                <w:sz w:val="20"/>
                <w:szCs w:val="20"/>
              </w:rPr>
              <w:t>of reform plans adequately resourced (budgets and actual)</w:t>
            </w:r>
          </w:p>
          <w:p w:rsidR="00AD13A9" w:rsidRPr="0011273B" w:rsidRDefault="00AD13A9" w:rsidP="000D4ECF">
            <w:pPr>
              <w:jc w:val="left"/>
              <w:rPr>
                <w:rFonts w:asciiTheme="minorHAnsi" w:hAnsiTheme="minorHAnsi" w:cstheme="minorHAnsi"/>
                <w:i/>
                <w:sz w:val="20"/>
                <w:szCs w:val="20"/>
                <w:lang w:val="en-GB"/>
              </w:rPr>
            </w:pPr>
          </w:p>
        </w:tc>
        <w:tc>
          <w:tcPr>
            <w:tcW w:w="1560" w:type="dxa"/>
            <w:vMerge w:val="restart"/>
            <w:tcBorders>
              <w:top w:val="single" w:sz="4" w:space="0" w:color="auto"/>
              <w:left w:val="single" w:sz="4" w:space="0" w:color="auto"/>
              <w:right w:val="single" w:sz="4" w:space="0" w:color="auto"/>
            </w:tcBorders>
            <w:shd w:val="clear" w:color="auto" w:fill="auto"/>
          </w:tcPr>
          <w:p w:rsidR="00AD13A9" w:rsidRPr="0011273B" w:rsidRDefault="00AD13A9" w:rsidP="00B74E4F">
            <w:pPr>
              <w:jc w:val="left"/>
              <w:rPr>
                <w:rFonts w:asciiTheme="minorHAnsi" w:hAnsiTheme="minorHAnsi" w:cstheme="minorHAnsi"/>
                <w:color w:val="000000"/>
                <w:sz w:val="20"/>
                <w:szCs w:val="20"/>
              </w:rPr>
            </w:pPr>
            <w:r>
              <w:rPr>
                <w:rFonts w:asciiTheme="minorHAnsi" w:hAnsiTheme="minorHAnsi" w:cstheme="minorHAnsi"/>
                <w:color w:val="000000"/>
                <w:sz w:val="20"/>
                <w:szCs w:val="20"/>
              </w:rPr>
              <w:t>AusAID and GoT supervision</w:t>
            </w:r>
          </w:p>
        </w:tc>
        <w:tc>
          <w:tcPr>
            <w:tcW w:w="1701" w:type="dxa"/>
            <w:vMerge w:val="restart"/>
            <w:tcBorders>
              <w:top w:val="single" w:sz="4" w:space="0" w:color="auto"/>
              <w:left w:val="single" w:sz="4" w:space="0" w:color="auto"/>
              <w:right w:val="single" w:sz="4" w:space="0" w:color="auto"/>
            </w:tcBorders>
            <w:shd w:val="clear" w:color="auto" w:fill="auto"/>
          </w:tcPr>
          <w:p w:rsidR="00AD13A9" w:rsidRPr="0011273B" w:rsidRDefault="00AD13A9" w:rsidP="000D4ECF">
            <w:pPr>
              <w:jc w:val="left"/>
              <w:rPr>
                <w:rFonts w:asciiTheme="minorHAnsi" w:hAnsiTheme="minorHAnsi" w:cstheme="minorHAnsi"/>
                <w:iCs/>
                <w:color w:val="000000"/>
                <w:sz w:val="20"/>
                <w:szCs w:val="20"/>
              </w:rPr>
            </w:pPr>
          </w:p>
        </w:tc>
        <w:tc>
          <w:tcPr>
            <w:tcW w:w="850" w:type="dxa"/>
            <w:tcBorders>
              <w:top w:val="single" w:sz="4" w:space="0" w:color="auto"/>
              <w:left w:val="nil"/>
              <w:bottom w:val="single" w:sz="4" w:space="0" w:color="auto"/>
              <w:right w:val="single" w:sz="4" w:space="0" w:color="auto"/>
            </w:tcBorders>
            <w:shd w:val="clear" w:color="000000" w:fill="FFFF00"/>
            <w:hideMark/>
          </w:tcPr>
          <w:p w:rsidR="00AD13A9" w:rsidRPr="0011273B" w:rsidRDefault="00AD13A9" w:rsidP="000D4ECF">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nil"/>
              <w:bottom w:val="single" w:sz="4" w:space="0" w:color="auto"/>
              <w:right w:val="single" w:sz="4" w:space="0" w:color="auto"/>
            </w:tcBorders>
            <w:shd w:val="clear" w:color="auto" w:fill="auto"/>
          </w:tcPr>
          <w:p w:rsidR="00AD13A9" w:rsidRPr="0011273B" w:rsidRDefault="003551F4" w:rsidP="000D4ECF">
            <w:pPr>
              <w:jc w:val="left"/>
              <w:rPr>
                <w:rFonts w:asciiTheme="minorHAnsi" w:hAnsiTheme="minorHAnsi" w:cstheme="minorHAnsi"/>
                <w:iCs/>
                <w:color w:val="000000"/>
                <w:sz w:val="20"/>
                <w:szCs w:val="20"/>
              </w:rPr>
            </w:pPr>
            <w:r>
              <w:rPr>
                <w:rFonts w:asciiTheme="minorHAnsi" w:hAnsiTheme="minorHAnsi" w:cstheme="minorHAnsi"/>
                <w:iCs/>
                <w:color w:val="000000"/>
                <w:sz w:val="20"/>
                <w:szCs w:val="20"/>
              </w:rPr>
              <w:t>100%</w:t>
            </w:r>
          </w:p>
        </w:tc>
        <w:tc>
          <w:tcPr>
            <w:tcW w:w="1417" w:type="dxa"/>
            <w:tcBorders>
              <w:top w:val="single" w:sz="4" w:space="0" w:color="auto"/>
              <w:left w:val="nil"/>
              <w:bottom w:val="single" w:sz="4" w:space="0" w:color="auto"/>
              <w:right w:val="single" w:sz="4" w:space="0" w:color="auto"/>
            </w:tcBorders>
            <w:shd w:val="clear" w:color="auto" w:fill="auto"/>
          </w:tcPr>
          <w:p w:rsidR="00AD13A9" w:rsidRPr="0011273B" w:rsidRDefault="003551F4" w:rsidP="000D4ECF">
            <w:pPr>
              <w:pStyle w:val="ListBullet"/>
              <w:spacing w:before="0" w:after="0"/>
              <w:ind w:left="0"/>
              <w:jc w:val="left"/>
              <w:rPr>
                <w:rFonts w:asciiTheme="minorHAnsi" w:hAnsiTheme="minorHAnsi" w:cstheme="minorHAnsi"/>
                <w:sz w:val="20"/>
                <w:lang w:val="en-GB"/>
              </w:rPr>
            </w:pPr>
            <w:r>
              <w:rPr>
                <w:rFonts w:asciiTheme="minorHAnsi" w:hAnsiTheme="minorHAnsi" w:cstheme="minorHAnsi"/>
                <w:iCs/>
                <w:color w:val="000000"/>
                <w:sz w:val="20"/>
              </w:rPr>
              <w:t>100%</w:t>
            </w:r>
          </w:p>
        </w:tc>
        <w:tc>
          <w:tcPr>
            <w:tcW w:w="1418" w:type="dxa"/>
            <w:tcBorders>
              <w:top w:val="single" w:sz="4" w:space="0" w:color="auto"/>
              <w:left w:val="nil"/>
              <w:bottom w:val="single" w:sz="4" w:space="0" w:color="auto"/>
              <w:right w:val="single" w:sz="4" w:space="0" w:color="auto"/>
            </w:tcBorders>
            <w:shd w:val="clear" w:color="auto" w:fill="auto"/>
          </w:tcPr>
          <w:p w:rsidR="00AD13A9" w:rsidRPr="0011273B" w:rsidRDefault="003551F4" w:rsidP="000D4ECF">
            <w:pPr>
              <w:jc w:val="left"/>
              <w:rPr>
                <w:rFonts w:asciiTheme="minorHAnsi" w:hAnsiTheme="minorHAnsi" w:cstheme="minorHAnsi"/>
                <w:i/>
                <w:iCs/>
                <w:color w:val="000000"/>
                <w:sz w:val="20"/>
                <w:szCs w:val="20"/>
              </w:rPr>
            </w:pPr>
            <w:r>
              <w:rPr>
                <w:rFonts w:asciiTheme="minorHAnsi" w:hAnsiTheme="minorHAnsi" w:cstheme="minorHAnsi"/>
                <w:iCs/>
                <w:color w:val="000000"/>
                <w:sz w:val="20"/>
                <w:szCs w:val="20"/>
              </w:rPr>
              <w:t>100%</w:t>
            </w:r>
          </w:p>
        </w:tc>
        <w:tc>
          <w:tcPr>
            <w:tcW w:w="1417" w:type="dxa"/>
            <w:tcBorders>
              <w:top w:val="single" w:sz="4" w:space="0" w:color="auto"/>
              <w:left w:val="nil"/>
              <w:bottom w:val="single" w:sz="4" w:space="0" w:color="auto"/>
              <w:right w:val="single" w:sz="4" w:space="0" w:color="auto"/>
            </w:tcBorders>
            <w:shd w:val="clear" w:color="auto" w:fill="auto"/>
          </w:tcPr>
          <w:p w:rsidR="00AD13A9" w:rsidRPr="0011273B" w:rsidRDefault="003551F4" w:rsidP="000D4ECF">
            <w:pPr>
              <w:jc w:val="left"/>
              <w:rPr>
                <w:rFonts w:asciiTheme="minorHAnsi" w:hAnsiTheme="minorHAnsi" w:cstheme="minorHAnsi"/>
                <w:i/>
                <w:iCs/>
                <w:color w:val="000000"/>
                <w:sz w:val="20"/>
                <w:szCs w:val="20"/>
              </w:rPr>
            </w:pPr>
            <w:r>
              <w:rPr>
                <w:rFonts w:asciiTheme="minorHAnsi" w:hAnsiTheme="minorHAnsi" w:cstheme="minorHAnsi"/>
                <w:iCs/>
                <w:color w:val="000000"/>
                <w:sz w:val="20"/>
                <w:szCs w:val="20"/>
              </w:rPr>
              <w:t>100%</w:t>
            </w:r>
          </w:p>
        </w:tc>
      </w:tr>
      <w:tr w:rsidR="00AD13A9" w:rsidRPr="0011273B" w:rsidTr="00C415C7">
        <w:trPr>
          <w:trHeight w:val="558"/>
        </w:trPr>
        <w:tc>
          <w:tcPr>
            <w:tcW w:w="2268" w:type="dxa"/>
            <w:vMerge/>
            <w:tcBorders>
              <w:left w:val="single" w:sz="4" w:space="0" w:color="auto"/>
              <w:bottom w:val="single" w:sz="4" w:space="0" w:color="auto"/>
              <w:right w:val="single" w:sz="4" w:space="0" w:color="auto"/>
            </w:tcBorders>
            <w:shd w:val="clear" w:color="auto" w:fill="92D050"/>
          </w:tcPr>
          <w:p w:rsidR="00AD13A9" w:rsidRPr="0011273B" w:rsidRDefault="00AD13A9" w:rsidP="000D4ECF">
            <w:pPr>
              <w:jc w:val="left"/>
              <w:rPr>
                <w:rFonts w:asciiTheme="minorHAnsi" w:hAnsiTheme="minorHAnsi" w:cstheme="minorHAnsi"/>
                <w:b/>
                <w:bCs/>
                <w:color w:val="000000"/>
                <w:sz w:val="20"/>
                <w:szCs w:val="20"/>
              </w:rPr>
            </w:pPr>
          </w:p>
        </w:tc>
        <w:tc>
          <w:tcPr>
            <w:tcW w:w="2268" w:type="dxa"/>
            <w:gridSpan w:val="2"/>
            <w:vMerge/>
            <w:tcBorders>
              <w:left w:val="nil"/>
              <w:bottom w:val="single" w:sz="4" w:space="0" w:color="auto"/>
              <w:right w:val="nil"/>
            </w:tcBorders>
            <w:shd w:val="clear" w:color="auto" w:fill="auto"/>
            <w:noWrap/>
          </w:tcPr>
          <w:p w:rsidR="00AD13A9" w:rsidRPr="0011273B" w:rsidRDefault="00AD13A9" w:rsidP="000D4ECF">
            <w:pPr>
              <w:jc w:val="left"/>
              <w:rPr>
                <w:rFonts w:asciiTheme="minorHAnsi" w:hAnsiTheme="minorHAnsi" w:cstheme="minorHAnsi"/>
                <w:i/>
                <w:sz w:val="20"/>
                <w:szCs w:val="20"/>
                <w:lang w:val="en-GB"/>
              </w:rPr>
            </w:pPr>
          </w:p>
        </w:tc>
        <w:tc>
          <w:tcPr>
            <w:tcW w:w="1560" w:type="dxa"/>
            <w:vMerge/>
            <w:tcBorders>
              <w:left w:val="single" w:sz="4" w:space="0" w:color="auto"/>
              <w:bottom w:val="single" w:sz="4" w:space="0" w:color="auto"/>
              <w:right w:val="single" w:sz="4" w:space="0" w:color="auto"/>
            </w:tcBorders>
            <w:shd w:val="clear" w:color="auto" w:fill="auto"/>
          </w:tcPr>
          <w:p w:rsidR="00AD13A9" w:rsidRPr="0011273B" w:rsidRDefault="00AD13A9" w:rsidP="000D4ECF">
            <w:pPr>
              <w:jc w:val="left"/>
              <w:rPr>
                <w:rFonts w:asciiTheme="minorHAnsi" w:hAnsiTheme="minorHAnsi" w:cstheme="minorHAnsi"/>
                <w:iCs/>
                <w:color w:val="000000"/>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AD13A9" w:rsidRPr="0011273B" w:rsidRDefault="00AD13A9" w:rsidP="000D4ECF">
            <w:pPr>
              <w:jc w:val="left"/>
              <w:rPr>
                <w:rFonts w:asciiTheme="minorHAnsi" w:hAnsiTheme="minorHAnsi" w:cstheme="minorHAnsi"/>
                <w:i/>
                <w:iCs/>
                <w:color w:val="000000"/>
                <w:sz w:val="20"/>
                <w:szCs w:val="20"/>
              </w:rPr>
            </w:pPr>
          </w:p>
        </w:tc>
        <w:tc>
          <w:tcPr>
            <w:tcW w:w="850" w:type="dxa"/>
            <w:tcBorders>
              <w:top w:val="nil"/>
              <w:left w:val="nil"/>
              <w:bottom w:val="single" w:sz="4" w:space="0" w:color="auto"/>
              <w:right w:val="single" w:sz="4" w:space="0" w:color="auto"/>
            </w:tcBorders>
            <w:shd w:val="clear" w:color="000000" w:fill="FFFF00"/>
          </w:tcPr>
          <w:p w:rsidR="00AD13A9" w:rsidRPr="0011273B" w:rsidRDefault="00AD13A9" w:rsidP="000D4ECF">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Actual:</w:t>
            </w:r>
          </w:p>
        </w:tc>
        <w:tc>
          <w:tcPr>
            <w:tcW w:w="1418" w:type="dxa"/>
            <w:tcBorders>
              <w:top w:val="single" w:sz="4" w:space="0" w:color="auto"/>
              <w:left w:val="nil"/>
              <w:right w:val="single" w:sz="4" w:space="0" w:color="auto"/>
            </w:tcBorders>
            <w:shd w:val="clear" w:color="auto" w:fill="auto"/>
          </w:tcPr>
          <w:p w:rsidR="00AD13A9" w:rsidRPr="0011273B" w:rsidRDefault="00AD13A9" w:rsidP="000D4ECF">
            <w:pPr>
              <w:jc w:val="left"/>
              <w:rPr>
                <w:rFonts w:asciiTheme="minorHAnsi" w:hAnsiTheme="minorHAnsi" w:cstheme="minorHAnsi"/>
                <w:iCs/>
                <w:color w:val="000000"/>
                <w:sz w:val="20"/>
                <w:szCs w:val="20"/>
              </w:rPr>
            </w:pPr>
          </w:p>
        </w:tc>
        <w:tc>
          <w:tcPr>
            <w:tcW w:w="1417" w:type="dxa"/>
            <w:tcBorders>
              <w:top w:val="single" w:sz="4" w:space="0" w:color="auto"/>
              <w:left w:val="single" w:sz="4" w:space="0" w:color="auto"/>
              <w:right w:val="single" w:sz="4" w:space="0" w:color="auto"/>
            </w:tcBorders>
            <w:shd w:val="clear" w:color="auto" w:fill="auto"/>
          </w:tcPr>
          <w:p w:rsidR="00AD13A9" w:rsidRPr="0011273B" w:rsidRDefault="00AD13A9" w:rsidP="000D4ECF">
            <w:pPr>
              <w:pStyle w:val="ListBullet"/>
              <w:spacing w:before="0" w:after="0"/>
              <w:ind w:left="0"/>
              <w:jc w:val="left"/>
              <w:rPr>
                <w:rFonts w:asciiTheme="minorHAnsi" w:hAnsiTheme="minorHAnsi" w:cstheme="minorHAnsi"/>
                <w:sz w:val="20"/>
                <w:lang w:val="en-GB"/>
              </w:rPr>
            </w:pPr>
          </w:p>
        </w:tc>
        <w:tc>
          <w:tcPr>
            <w:tcW w:w="1418" w:type="dxa"/>
            <w:tcBorders>
              <w:top w:val="single" w:sz="4" w:space="0" w:color="auto"/>
              <w:left w:val="nil"/>
              <w:right w:val="single" w:sz="4" w:space="0" w:color="auto"/>
            </w:tcBorders>
            <w:shd w:val="clear" w:color="auto" w:fill="auto"/>
          </w:tcPr>
          <w:p w:rsidR="00AD13A9" w:rsidRPr="0011273B" w:rsidRDefault="00AD13A9" w:rsidP="000D4ECF">
            <w:pPr>
              <w:jc w:val="left"/>
              <w:rPr>
                <w:rFonts w:asciiTheme="minorHAnsi" w:hAnsiTheme="minorHAnsi" w:cstheme="minorHAnsi"/>
                <w:i/>
                <w:iCs/>
                <w:color w:val="000000"/>
                <w:sz w:val="20"/>
                <w:szCs w:val="20"/>
              </w:rPr>
            </w:pPr>
          </w:p>
        </w:tc>
        <w:tc>
          <w:tcPr>
            <w:tcW w:w="1417" w:type="dxa"/>
            <w:tcBorders>
              <w:top w:val="single" w:sz="4" w:space="0" w:color="auto"/>
              <w:left w:val="nil"/>
              <w:right w:val="single" w:sz="4" w:space="0" w:color="auto"/>
            </w:tcBorders>
            <w:shd w:val="clear" w:color="auto" w:fill="auto"/>
          </w:tcPr>
          <w:p w:rsidR="00AD13A9" w:rsidRPr="0011273B" w:rsidRDefault="00AD13A9" w:rsidP="000D4ECF">
            <w:pPr>
              <w:jc w:val="left"/>
              <w:rPr>
                <w:rFonts w:asciiTheme="minorHAnsi" w:hAnsiTheme="minorHAnsi" w:cstheme="minorHAnsi"/>
                <w:i/>
                <w:iCs/>
                <w:color w:val="000000"/>
                <w:sz w:val="20"/>
                <w:szCs w:val="20"/>
              </w:rPr>
            </w:pPr>
          </w:p>
        </w:tc>
      </w:tr>
      <w:tr w:rsidR="00AD13A9" w:rsidRPr="007619C3" w:rsidTr="00C415C7">
        <w:trPr>
          <w:trHeight w:val="557"/>
        </w:trPr>
        <w:tc>
          <w:tcPr>
            <w:tcW w:w="2268" w:type="dxa"/>
            <w:vMerge/>
            <w:tcBorders>
              <w:top w:val="single" w:sz="4" w:space="0" w:color="auto"/>
              <w:left w:val="single" w:sz="4" w:space="0" w:color="auto"/>
              <w:bottom w:val="single" w:sz="4" w:space="0" w:color="auto"/>
              <w:right w:val="single" w:sz="4" w:space="0" w:color="auto"/>
            </w:tcBorders>
            <w:shd w:val="clear" w:color="000000" w:fill="C4D79B"/>
          </w:tcPr>
          <w:p w:rsidR="00AD13A9" w:rsidRPr="008D7B62" w:rsidRDefault="00AD13A9" w:rsidP="00202972">
            <w:pPr>
              <w:jc w:val="left"/>
              <w:rPr>
                <w:rFonts w:asciiTheme="minorHAnsi" w:hAnsiTheme="minorHAnsi" w:cstheme="minorHAnsi"/>
                <w:iCs/>
                <w:color w:val="000000"/>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tcPr>
          <w:p w:rsidR="00AD13A9" w:rsidRDefault="00AD13A9" w:rsidP="00202972">
            <w:pPr>
              <w:jc w:val="left"/>
              <w:rPr>
                <w:rFonts w:ascii="Calibri" w:hAnsi="Calibri" w:cs="Calibri"/>
                <w:i/>
                <w:iCs/>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13A9" w:rsidRPr="008D34B3" w:rsidRDefault="00AD13A9" w:rsidP="00202972">
            <w:pPr>
              <w:pStyle w:val="NoSpacing"/>
              <w:jc w:val="left"/>
              <w:rPr>
                <w:sz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AD13A9" w:rsidRPr="00CD49EB" w:rsidRDefault="00AD13A9" w:rsidP="00202972">
            <w:pPr>
              <w:jc w:val="left"/>
              <w:rPr>
                <w:rFonts w:ascii="Calibri" w:hAnsi="Calibri" w:cs="Calibri"/>
                <w:iCs/>
                <w:color w:val="FF0000"/>
                <w:sz w:val="20"/>
                <w:szCs w:val="20"/>
              </w:rPr>
            </w:pPr>
          </w:p>
        </w:tc>
        <w:tc>
          <w:tcPr>
            <w:tcW w:w="850" w:type="dxa"/>
            <w:tcBorders>
              <w:top w:val="single" w:sz="4" w:space="0" w:color="auto"/>
              <w:left w:val="nil"/>
              <w:bottom w:val="single" w:sz="4" w:space="0" w:color="auto"/>
              <w:right w:val="single" w:sz="4" w:space="0" w:color="auto"/>
            </w:tcBorders>
            <w:shd w:val="clear" w:color="000000" w:fill="FFFF00"/>
          </w:tcPr>
          <w:p w:rsidR="00AD13A9" w:rsidRPr="001122AE" w:rsidRDefault="00AD13A9" w:rsidP="00202972">
            <w:pPr>
              <w:jc w:val="left"/>
              <w:rPr>
                <w:rFonts w:asciiTheme="minorHAnsi" w:hAnsiTheme="minorHAnsi" w:cstheme="minorHAnsi"/>
                <w:b/>
                <w:bCs/>
                <w:color w:val="000000"/>
                <w:sz w:val="20"/>
                <w:szCs w:val="20"/>
              </w:rPr>
            </w:pPr>
            <w:r w:rsidRPr="001122AE">
              <w:rPr>
                <w:rFonts w:asciiTheme="minorHAnsi" w:hAnsiTheme="minorHAnsi" w:cstheme="minorHAnsi"/>
                <w:b/>
                <w:bCs/>
                <w:color w:val="000000"/>
                <w:sz w:val="20"/>
                <w:szCs w:val="20"/>
              </w:rPr>
              <w:t>Actual:</w:t>
            </w:r>
          </w:p>
        </w:tc>
        <w:tc>
          <w:tcPr>
            <w:tcW w:w="1418" w:type="dxa"/>
            <w:tcBorders>
              <w:top w:val="single" w:sz="4" w:space="0" w:color="auto"/>
              <w:left w:val="nil"/>
              <w:bottom w:val="single" w:sz="4" w:space="0" w:color="auto"/>
              <w:right w:val="single" w:sz="4" w:space="0" w:color="auto"/>
            </w:tcBorders>
            <w:shd w:val="clear" w:color="auto" w:fill="auto"/>
          </w:tcPr>
          <w:p w:rsidR="00AD13A9" w:rsidRDefault="00AD13A9" w:rsidP="00202972">
            <w:pPr>
              <w:jc w:val="left"/>
              <w:rPr>
                <w:rFonts w:ascii="Calibri" w:hAnsi="Calibri" w:cs="Calibr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AD13A9" w:rsidRPr="007619C3" w:rsidRDefault="00AD13A9" w:rsidP="00202972">
            <w:pPr>
              <w:jc w:val="left"/>
              <w:rPr>
                <w:rFonts w:ascii="Calibri" w:hAnsi="Calibri" w:cs="Calibri"/>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rsidR="00AD13A9" w:rsidRPr="007619C3" w:rsidRDefault="00AD13A9" w:rsidP="00202972">
            <w:pPr>
              <w:jc w:val="left"/>
              <w:rPr>
                <w:rFonts w:ascii="Calibri" w:hAnsi="Calibri" w:cs="Calibri"/>
                <w:color w:val="000000"/>
              </w:rPr>
            </w:pPr>
          </w:p>
        </w:tc>
        <w:tc>
          <w:tcPr>
            <w:tcW w:w="1417" w:type="dxa"/>
            <w:tcBorders>
              <w:top w:val="single" w:sz="4" w:space="0" w:color="auto"/>
              <w:left w:val="nil"/>
              <w:bottom w:val="single" w:sz="4" w:space="0" w:color="auto"/>
              <w:right w:val="single" w:sz="4" w:space="0" w:color="auto"/>
            </w:tcBorders>
            <w:shd w:val="clear" w:color="auto" w:fill="auto"/>
          </w:tcPr>
          <w:p w:rsidR="00AD13A9" w:rsidRPr="007619C3" w:rsidRDefault="00AD13A9" w:rsidP="00202972">
            <w:pPr>
              <w:jc w:val="left"/>
              <w:rPr>
                <w:rFonts w:ascii="Calibri" w:hAnsi="Calibri" w:cs="Calibri"/>
                <w:color w:val="000000"/>
              </w:rPr>
            </w:pPr>
          </w:p>
        </w:tc>
      </w:tr>
      <w:tr w:rsidR="00AD13A9" w:rsidRPr="0011273B" w:rsidTr="00C415C7">
        <w:trPr>
          <w:trHeight w:val="471"/>
        </w:trPr>
        <w:tc>
          <w:tcPr>
            <w:tcW w:w="2268" w:type="dxa"/>
            <w:vMerge w:val="restart"/>
            <w:tcBorders>
              <w:top w:val="single" w:sz="4" w:space="0" w:color="auto"/>
              <w:left w:val="single" w:sz="4" w:space="0" w:color="auto"/>
              <w:right w:val="single" w:sz="4" w:space="0" w:color="auto"/>
            </w:tcBorders>
            <w:shd w:val="clear" w:color="000000" w:fill="C4D79B"/>
          </w:tcPr>
          <w:p w:rsidR="00AD13A9" w:rsidRPr="0011273B" w:rsidRDefault="00AD13A9" w:rsidP="00C415C7">
            <w:pPr>
              <w:spacing w:after="240"/>
              <w:jc w:val="left"/>
              <w:rPr>
                <w:rFonts w:asciiTheme="minorHAnsi" w:hAnsiTheme="minorHAnsi" w:cstheme="minorHAnsi"/>
                <w:b/>
                <w:bCs/>
                <w:color w:val="000000"/>
                <w:sz w:val="20"/>
                <w:szCs w:val="20"/>
              </w:rPr>
            </w:pPr>
            <w:r>
              <w:rPr>
                <w:rFonts w:asciiTheme="minorHAnsi" w:hAnsiTheme="minorHAnsi" w:cstheme="minorHAnsi"/>
                <w:b/>
                <w:bCs/>
                <w:color w:val="000000"/>
                <w:sz w:val="20"/>
                <w:szCs w:val="20"/>
              </w:rPr>
              <w:t>Intermediate outcome</w:t>
            </w:r>
            <w:r w:rsidRPr="0011273B">
              <w:rPr>
                <w:rFonts w:asciiTheme="minorHAnsi" w:hAnsiTheme="minorHAnsi" w:cstheme="minorHAnsi"/>
                <w:b/>
                <w:bCs/>
                <w:color w:val="000000"/>
                <w:sz w:val="20"/>
                <w:szCs w:val="20"/>
              </w:rPr>
              <w:t xml:space="preserve">: </w:t>
            </w:r>
            <w:r w:rsidRPr="0011273B">
              <w:rPr>
                <w:rFonts w:asciiTheme="minorHAnsi" w:hAnsiTheme="minorHAnsi" w:cstheme="minorHAnsi"/>
                <w:iCs/>
                <w:color w:val="000000"/>
                <w:sz w:val="20"/>
                <w:szCs w:val="20"/>
              </w:rPr>
              <w:t>Progress towards developing sustainable human capacity building systems</w:t>
            </w:r>
            <w:r>
              <w:rPr>
                <w:rFonts w:asciiTheme="minorHAnsi" w:hAnsiTheme="minorHAnsi" w:cstheme="minorHAnsi"/>
                <w:iCs/>
                <w:color w:val="000000"/>
                <w:sz w:val="20"/>
                <w:szCs w:val="20"/>
              </w:rPr>
              <w:t>.</w:t>
            </w:r>
          </w:p>
        </w:tc>
        <w:tc>
          <w:tcPr>
            <w:tcW w:w="2268" w:type="dxa"/>
            <w:gridSpan w:val="2"/>
            <w:vMerge w:val="restart"/>
            <w:tcBorders>
              <w:top w:val="single" w:sz="4" w:space="0" w:color="auto"/>
              <w:left w:val="single" w:sz="4" w:space="0" w:color="auto"/>
              <w:right w:val="single" w:sz="4" w:space="0" w:color="auto"/>
            </w:tcBorders>
            <w:shd w:val="clear" w:color="auto" w:fill="auto"/>
          </w:tcPr>
          <w:p w:rsidR="00AD13A9" w:rsidRPr="0011273B" w:rsidRDefault="00AD13A9" w:rsidP="009B41B2">
            <w:pPr>
              <w:jc w:val="left"/>
              <w:rPr>
                <w:rFonts w:asciiTheme="minorHAnsi" w:hAnsiTheme="minorHAnsi" w:cstheme="minorHAnsi"/>
                <w:i/>
                <w:iCs/>
                <w:color w:val="000000"/>
                <w:sz w:val="20"/>
                <w:szCs w:val="20"/>
              </w:rPr>
            </w:pPr>
            <w:r w:rsidRPr="0011273B">
              <w:rPr>
                <w:rFonts w:asciiTheme="minorHAnsi" w:hAnsiTheme="minorHAnsi" w:cstheme="minorHAnsi"/>
                <w:i/>
                <w:iCs/>
                <w:color w:val="000000"/>
                <w:sz w:val="20"/>
                <w:szCs w:val="20"/>
              </w:rPr>
              <w:t>Number of public servants trained</w:t>
            </w:r>
            <w:r w:rsidR="0055211E">
              <w:rPr>
                <w:rFonts w:asciiTheme="minorHAnsi" w:hAnsiTheme="minorHAnsi" w:cstheme="minorHAnsi"/>
                <w:i/>
                <w:iCs/>
                <w:color w:val="000000"/>
                <w:sz w:val="20"/>
                <w:szCs w:val="20"/>
              </w:rPr>
              <w:t xml:space="preserve">; </w:t>
            </w:r>
            <w:r w:rsidR="0055211E">
              <w:rPr>
                <w:rFonts w:ascii="Calibri" w:hAnsi="Calibri" w:cs="Calibri"/>
                <w:i/>
                <w:iCs/>
                <w:color w:val="000000"/>
                <w:sz w:val="20"/>
                <w:szCs w:val="20"/>
              </w:rPr>
              <w:t>performance ratings for advisers on annual adviser performance assessments</w:t>
            </w:r>
          </w:p>
        </w:tc>
        <w:tc>
          <w:tcPr>
            <w:tcW w:w="1560" w:type="dxa"/>
            <w:vMerge w:val="restart"/>
            <w:tcBorders>
              <w:top w:val="single" w:sz="4" w:space="0" w:color="auto"/>
              <w:left w:val="single" w:sz="4" w:space="0" w:color="auto"/>
              <w:right w:val="single" w:sz="4" w:space="0" w:color="auto"/>
            </w:tcBorders>
            <w:shd w:val="clear" w:color="auto" w:fill="auto"/>
          </w:tcPr>
          <w:p w:rsidR="00AD13A9" w:rsidRPr="002F0160" w:rsidRDefault="00AD13A9" w:rsidP="00B74E4F">
            <w:pPr>
              <w:jc w:val="left"/>
              <w:rPr>
                <w:rFonts w:asciiTheme="minorHAnsi" w:hAnsiTheme="minorHAnsi" w:cstheme="minorHAnsi"/>
                <w:iCs/>
                <w:color w:val="000000"/>
                <w:sz w:val="20"/>
                <w:szCs w:val="20"/>
              </w:rPr>
            </w:pPr>
            <w:r w:rsidRPr="002F0160">
              <w:rPr>
                <w:rFonts w:asciiTheme="minorHAnsi" w:hAnsiTheme="minorHAnsi" w:cstheme="minorHAnsi"/>
                <w:iCs/>
                <w:color w:val="000000"/>
                <w:sz w:val="20"/>
                <w:szCs w:val="20"/>
              </w:rPr>
              <w:t>AusAID &amp;</w:t>
            </w:r>
            <w:r>
              <w:rPr>
                <w:rFonts w:asciiTheme="minorHAnsi" w:hAnsiTheme="minorHAnsi" w:cstheme="minorHAnsi"/>
                <w:iCs/>
                <w:color w:val="000000"/>
                <w:sz w:val="20"/>
                <w:szCs w:val="20"/>
              </w:rPr>
              <w:t xml:space="preserve"> implementation agencies</w:t>
            </w:r>
          </w:p>
        </w:tc>
        <w:tc>
          <w:tcPr>
            <w:tcW w:w="1701" w:type="dxa"/>
            <w:vMerge w:val="restart"/>
            <w:tcBorders>
              <w:top w:val="single" w:sz="4" w:space="0" w:color="auto"/>
              <w:left w:val="single" w:sz="4" w:space="0" w:color="auto"/>
              <w:right w:val="single" w:sz="4" w:space="0" w:color="auto"/>
            </w:tcBorders>
            <w:shd w:val="clear" w:color="auto" w:fill="auto"/>
          </w:tcPr>
          <w:p w:rsidR="00AD13A9" w:rsidRPr="0011273B" w:rsidRDefault="00AD13A9" w:rsidP="009B41B2">
            <w:pPr>
              <w:jc w:val="left"/>
              <w:rPr>
                <w:rFonts w:asciiTheme="minorHAnsi" w:hAnsiTheme="minorHAnsi" w:cstheme="minorHAnsi"/>
                <w:i/>
                <w:iCs/>
                <w:color w:val="000000"/>
                <w:sz w:val="20"/>
                <w:szCs w:val="20"/>
              </w:rPr>
            </w:pPr>
          </w:p>
        </w:tc>
        <w:tc>
          <w:tcPr>
            <w:tcW w:w="850" w:type="dxa"/>
            <w:tcBorders>
              <w:top w:val="single" w:sz="4" w:space="0" w:color="auto"/>
              <w:left w:val="nil"/>
              <w:bottom w:val="single" w:sz="4" w:space="0" w:color="auto"/>
              <w:right w:val="single" w:sz="4" w:space="0" w:color="auto"/>
            </w:tcBorders>
            <w:shd w:val="clear" w:color="000000" w:fill="FFFF00"/>
          </w:tcPr>
          <w:p w:rsidR="00AD13A9" w:rsidRPr="0011273B" w:rsidRDefault="00AD13A9" w:rsidP="009B41B2">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nil"/>
              <w:bottom w:val="single" w:sz="4" w:space="0" w:color="auto"/>
              <w:right w:val="single" w:sz="4" w:space="0" w:color="auto"/>
            </w:tcBorders>
            <w:shd w:val="clear" w:color="auto" w:fill="auto"/>
          </w:tcPr>
          <w:p w:rsidR="00AD13A9" w:rsidRPr="0011273B" w:rsidRDefault="00AD13A9" w:rsidP="009B41B2">
            <w:pPr>
              <w:jc w:val="left"/>
              <w:rPr>
                <w:rFonts w:asciiTheme="minorHAnsi" w:hAnsiTheme="minorHAnsi" w:cstheme="minorHAnsi"/>
                <w:color w:val="000000"/>
                <w:sz w:val="20"/>
                <w:szCs w:val="20"/>
              </w:rPr>
            </w:pPr>
          </w:p>
          <w:p w:rsidR="00AD13A9" w:rsidRPr="0011273B" w:rsidRDefault="00AD13A9" w:rsidP="009B41B2">
            <w:pPr>
              <w:jc w:val="left"/>
              <w:rPr>
                <w:rFonts w:asciiTheme="minorHAnsi" w:hAnsiTheme="minorHAnsi" w:cstheme="minorHAns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AD13A9" w:rsidRPr="0011273B" w:rsidRDefault="00AD13A9" w:rsidP="009B41B2">
            <w:pPr>
              <w:jc w:val="left"/>
              <w:rPr>
                <w:rFonts w:asciiTheme="minorHAnsi" w:hAnsiTheme="minorHAnsi" w:cstheme="minorHAnsi"/>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rsidR="00AD13A9" w:rsidRPr="0011273B" w:rsidRDefault="00AD13A9" w:rsidP="009B41B2">
            <w:pPr>
              <w:jc w:val="left"/>
              <w:rPr>
                <w:rFonts w:asciiTheme="minorHAnsi" w:hAnsiTheme="minorHAnsi" w:cstheme="minorHAns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AD13A9" w:rsidRPr="0011273B" w:rsidRDefault="00AD13A9" w:rsidP="009B41B2">
            <w:pPr>
              <w:jc w:val="left"/>
              <w:rPr>
                <w:rFonts w:asciiTheme="minorHAnsi" w:hAnsiTheme="minorHAnsi" w:cstheme="minorHAnsi"/>
                <w:color w:val="000000"/>
                <w:sz w:val="20"/>
                <w:szCs w:val="20"/>
              </w:rPr>
            </w:pPr>
          </w:p>
        </w:tc>
      </w:tr>
      <w:tr w:rsidR="00AD13A9" w:rsidRPr="007619C3" w:rsidTr="00C415C7">
        <w:trPr>
          <w:trHeight w:val="407"/>
        </w:trPr>
        <w:tc>
          <w:tcPr>
            <w:tcW w:w="2268" w:type="dxa"/>
            <w:vMerge/>
            <w:tcBorders>
              <w:left w:val="single" w:sz="4" w:space="0" w:color="auto"/>
              <w:bottom w:val="single" w:sz="4" w:space="0" w:color="auto"/>
              <w:right w:val="single" w:sz="4" w:space="0" w:color="auto"/>
            </w:tcBorders>
            <w:shd w:val="clear" w:color="000000" w:fill="C4D79B"/>
          </w:tcPr>
          <w:p w:rsidR="00AD13A9" w:rsidRPr="007619C3" w:rsidRDefault="00AD13A9" w:rsidP="000D4ECF">
            <w:pPr>
              <w:jc w:val="left"/>
              <w:rPr>
                <w:rFonts w:ascii="Calibri" w:hAnsi="Calibri" w:cs="Calibri"/>
                <w:b/>
                <w:bCs/>
                <w:color w:val="000000"/>
              </w:rPr>
            </w:pPr>
          </w:p>
        </w:tc>
        <w:tc>
          <w:tcPr>
            <w:tcW w:w="2268" w:type="dxa"/>
            <w:gridSpan w:val="2"/>
            <w:vMerge/>
            <w:tcBorders>
              <w:left w:val="single" w:sz="4" w:space="0" w:color="auto"/>
              <w:bottom w:val="single" w:sz="4" w:space="0" w:color="auto"/>
              <w:right w:val="single" w:sz="4" w:space="0" w:color="auto"/>
            </w:tcBorders>
            <w:shd w:val="clear" w:color="auto" w:fill="auto"/>
          </w:tcPr>
          <w:p w:rsidR="00AD13A9" w:rsidRDefault="00AD13A9" w:rsidP="000D4ECF">
            <w:pPr>
              <w:jc w:val="left"/>
              <w:rPr>
                <w:rFonts w:ascii="Calibri" w:hAnsi="Calibri" w:cs="Calibri"/>
                <w:i/>
                <w:iCs/>
                <w:color w:val="000000"/>
                <w:sz w:val="20"/>
                <w:szCs w:val="20"/>
              </w:rPr>
            </w:pPr>
          </w:p>
        </w:tc>
        <w:tc>
          <w:tcPr>
            <w:tcW w:w="1560" w:type="dxa"/>
            <w:vMerge/>
            <w:tcBorders>
              <w:left w:val="single" w:sz="4" w:space="0" w:color="auto"/>
              <w:bottom w:val="single" w:sz="4" w:space="0" w:color="auto"/>
              <w:right w:val="single" w:sz="4" w:space="0" w:color="auto"/>
            </w:tcBorders>
            <w:shd w:val="clear" w:color="auto" w:fill="auto"/>
            <w:vAlign w:val="center"/>
          </w:tcPr>
          <w:p w:rsidR="00AD13A9" w:rsidRPr="008D34B3" w:rsidRDefault="00AD13A9" w:rsidP="000D4ECF">
            <w:pPr>
              <w:pStyle w:val="NoSpacing"/>
              <w:jc w:val="left"/>
              <w:rPr>
                <w:sz w:val="20"/>
              </w:rPr>
            </w:pPr>
          </w:p>
        </w:tc>
        <w:tc>
          <w:tcPr>
            <w:tcW w:w="1701" w:type="dxa"/>
            <w:vMerge/>
            <w:tcBorders>
              <w:left w:val="single" w:sz="4" w:space="0" w:color="auto"/>
              <w:bottom w:val="single" w:sz="4" w:space="0" w:color="auto"/>
              <w:right w:val="single" w:sz="4" w:space="0" w:color="auto"/>
            </w:tcBorders>
            <w:shd w:val="clear" w:color="auto" w:fill="auto"/>
          </w:tcPr>
          <w:p w:rsidR="00AD13A9" w:rsidRPr="00CD49EB" w:rsidRDefault="00AD13A9" w:rsidP="000D4ECF">
            <w:pPr>
              <w:jc w:val="left"/>
              <w:rPr>
                <w:rFonts w:ascii="Calibri" w:hAnsi="Calibri" w:cs="Calibri"/>
                <w:iCs/>
                <w:color w:val="FF0000"/>
                <w:sz w:val="20"/>
                <w:szCs w:val="20"/>
              </w:rPr>
            </w:pPr>
          </w:p>
        </w:tc>
        <w:tc>
          <w:tcPr>
            <w:tcW w:w="850" w:type="dxa"/>
            <w:tcBorders>
              <w:top w:val="single" w:sz="4" w:space="0" w:color="auto"/>
              <w:left w:val="nil"/>
              <w:bottom w:val="single" w:sz="4" w:space="0" w:color="auto"/>
              <w:right w:val="single" w:sz="4" w:space="0" w:color="auto"/>
            </w:tcBorders>
            <w:shd w:val="clear" w:color="000000" w:fill="FFFF00"/>
          </w:tcPr>
          <w:p w:rsidR="00AD13A9" w:rsidRPr="001122AE" w:rsidRDefault="00AD13A9" w:rsidP="000D4ECF">
            <w:pPr>
              <w:jc w:val="left"/>
              <w:rPr>
                <w:rFonts w:asciiTheme="minorHAnsi" w:hAnsiTheme="minorHAnsi" w:cstheme="minorHAnsi"/>
                <w:b/>
                <w:bCs/>
                <w:color w:val="000000"/>
                <w:sz w:val="20"/>
                <w:szCs w:val="20"/>
              </w:rPr>
            </w:pPr>
            <w:r w:rsidRPr="001122AE">
              <w:rPr>
                <w:rFonts w:asciiTheme="minorHAnsi" w:hAnsiTheme="minorHAnsi" w:cstheme="minorHAnsi"/>
                <w:b/>
                <w:bCs/>
                <w:color w:val="000000"/>
                <w:sz w:val="20"/>
                <w:szCs w:val="20"/>
              </w:rPr>
              <w:t>Actual:</w:t>
            </w:r>
          </w:p>
        </w:tc>
        <w:tc>
          <w:tcPr>
            <w:tcW w:w="1418" w:type="dxa"/>
            <w:tcBorders>
              <w:top w:val="single" w:sz="4" w:space="0" w:color="auto"/>
              <w:left w:val="nil"/>
              <w:bottom w:val="single" w:sz="4" w:space="0" w:color="auto"/>
              <w:right w:val="single" w:sz="4" w:space="0" w:color="auto"/>
            </w:tcBorders>
            <w:shd w:val="clear" w:color="auto" w:fill="auto"/>
          </w:tcPr>
          <w:p w:rsidR="00AD13A9" w:rsidRPr="007619C3" w:rsidRDefault="00AD13A9" w:rsidP="000D4ECF">
            <w:pPr>
              <w:jc w:val="left"/>
              <w:rPr>
                <w:rFonts w:ascii="Calibri" w:hAnsi="Calibri" w:cs="Calibr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AD13A9" w:rsidRPr="007619C3" w:rsidRDefault="00AD13A9" w:rsidP="000D4ECF">
            <w:pPr>
              <w:jc w:val="left"/>
              <w:rPr>
                <w:rFonts w:ascii="Calibri" w:hAnsi="Calibri" w:cs="Calibri"/>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rsidR="00AD13A9" w:rsidRPr="007619C3" w:rsidRDefault="00AD13A9" w:rsidP="000D4ECF">
            <w:pPr>
              <w:jc w:val="left"/>
              <w:rPr>
                <w:rFonts w:ascii="Calibri" w:hAnsi="Calibri" w:cs="Calibri"/>
                <w:color w:val="000000"/>
              </w:rPr>
            </w:pPr>
          </w:p>
        </w:tc>
        <w:tc>
          <w:tcPr>
            <w:tcW w:w="1417" w:type="dxa"/>
            <w:tcBorders>
              <w:top w:val="single" w:sz="4" w:space="0" w:color="auto"/>
              <w:left w:val="nil"/>
              <w:bottom w:val="single" w:sz="4" w:space="0" w:color="auto"/>
              <w:right w:val="single" w:sz="4" w:space="0" w:color="auto"/>
            </w:tcBorders>
            <w:shd w:val="clear" w:color="auto" w:fill="auto"/>
          </w:tcPr>
          <w:p w:rsidR="00AD13A9" w:rsidRPr="007619C3" w:rsidRDefault="00AD13A9" w:rsidP="000D4ECF">
            <w:pPr>
              <w:jc w:val="left"/>
              <w:rPr>
                <w:rFonts w:ascii="Calibri" w:hAnsi="Calibri" w:cs="Calibri"/>
                <w:color w:val="000000"/>
              </w:rPr>
            </w:pPr>
          </w:p>
        </w:tc>
      </w:tr>
      <w:tr w:rsidR="00AD13A9" w:rsidRPr="0011273B" w:rsidTr="00C415C7">
        <w:trPr>
          <w:trHeight w:val="416"/>
        </w:trPr>
        <w:tc>
          <w:tcPr>
            <w:tcW w:w="14317" w:type="dxa"/>
            <w:gridSpan w:val="10"/>
            <w:tcBorders>
              <w:top w:val="single" w:sz="4" w:space="0" w:color="auto"/>
              <w:left w:val="single" w:sz="4" w:space="0" w:color="auto"/>
              <w:bottom w:val="single" w:sz="4" w:space="0" w:color="000000"/>
              <w:right w:val="single" w:sz="4" w:space="0" w:color="auto"/>
            </w:tcBorders>
            <w:shd w:val="clear" w:color="000000" w:fill="DBE5F1" w:themeFill="accent1" w:themeFillTint="33"/>
          </w:tcPr>
          <w:p w:rsidR="00AD13A9" w:rsidRPr="001122AE" w:rsidRDefault="00AD13A9" w:rsidP="000D4ECF">
            <w:pPr>
              <w:jc w:val="left"/>
              <w:rPr>
                <w:rFonts w:asciiTheme="minorHAnsi" w:hAnsiTheme="minorHAnsi" w:cstheme="minorHAnsi"/>
                <w:b/>
                <w:bCs/>
                <w:color w:val="000000"/>
                <w:sz w:val="20"/>
                <w:szCs w:val="20"/>
              </w:rPr>
            </w:pPr>
            <w:r w:rsidRPr="001122AE">
              <w:rPr>
                <w:rFonts w:asciiTheme="minorHAnsi" w:hAnsiTheme="minorHAnsi" w:cstheme="minorHAnsi"/>
                <w:b/>
                <w:bCs/>
                <w:color w:val="000000"/>
                <w:sz w:val="20"/>
                <w:szCs w:val="20"/>
              </w:rPr>
              <w:t xml:space="preserve">End-of-strategy outcome two – Economic </w:t>
            </w:r>
            <w:r w:rsidR="0032796B">
              <w:rPr>
                <w:rFonts w:asciiTheme="minorHAnsi" w:hAnsiTheme="minorHAnsi" w:cstheme="minorHAnsi"/>
                <w:b/>
                <w:bCs/>
                <w:color w:val="000000"/>
                <w:sz w:val="20"/>
                <w:szCs w:val="20"/>
              </w:rPr>
              <w:t xml:space="preserve">and financial </w:t>
            </w:r>
            <w:r w:rsidRPr="001122AE">
              <w:rPr>
                <w:rFonts w:asciiTheme="minorHAnsi" w:hAnsiTheme="minorHAnsi" w:cstheme="minorHAnsi"/>
                <w:b/>
                <w:bCs/>
                <w:color w:val="000000"/>
                <w:sz w:val="20"/>
                <w:szCs w:val="20"/>
              </w:rPr>
              <w:t>governance</w:t>
            </w:r>
          </w:p>
        </w:tc>
      </w:tr>
      <w:tr w:rsidR="00AD13A9" w:rsidRPr="0011273B" w:rsidTr="00C415C7">
        <w:trPr>
          <w:trHeight w:val="699"/>
        </w:trPr>
        <w:tc>
          <w:tcPr>
            <w:tcW w:w="2268" w:type="dxa"/>
            <w:vMerge w:val="restart"/>
            <w:tcBorders>
              <w:top w:val="single" w:sz="4" w:space="0" w:color="auto"/>
              <w:left w:val="single" w:sz="4" w:space="0" w:color="auto"/>
              <w:bottom w:val="single" w:sz="4" w:space="0" w:color="auto"/>
              <w:right w:val="single" w:sz="4" w:space="0" w:color="auto"/>
            </w:tcBorders>
            <w:shd w:val="clear" w:color="auto" w:fill="92D050"/>
            <w:hideMark/>
          </w:tcPr>
          <w:p w:rsidR="00AD13A9" w:rsidRPr="0011273B" w:rsidRDefault="00AD13A9" w:rsidP="000D4ECF">
            <w:pPr>
              <w:spacing w:after="240"/>
              <w:jc w:val="left"/>
              <w:rPr>
                <w:rFonts w:asciiTheme="minorHAnsi" w:hAnsiTheme="minorHAnsi" w:cstheme="minorHAnsi"/>
                <w:i/>
                <w:iCs/>
                <w:color w:val="000000"/>
                <w:sz w:val="20"/>
                <w:szCs w:val="20"/>
              </w:rPr>
            </w:pPr>
            <w:r w:rsidRPr="0011273B">
              <w:rPr>
                <w:rFonts w:asciiTheme="minorHAnsi" w:hAnsiTheme="minorHAnsi" w:cstheme="minorHAnsi"/>
                <w:b/>
                <w:bCs/>
                <w:color w:val="000000"/>
                <w:sz w:val="20"/>
                <w:szCs w:val="20"/>
              </w:rPr>
              <w:t xml:space="preserve">End-of-strategy outcome: </w:t>
            </w:r>
            <w:r w:rsidRPr="0011273B">
              <w:rPr>
                <w:rFonts w:asciiTheme="minorHAnsi" w:hAnsiTheme="minorHAnsi" w:cstheme="minorHAnsi"/>
                <w:bCs/>
                <w:color w:val="000000"/>
                <w:sz w:val="20"/>
                <w:szCs w:val="20"/>
              </w:rPr>
              <w:t>GoT agencies demonstrate measureable improvement in the allocation and use of public expenditure for TSDF priorities as well as sustainable revenue collection.</w:t>
            </w:r>
          </w:p>
        </w:tc>
        <w:tc>
          <w:tcPr>
            <w:tcW w:w="2268" w:type="dxa"/>
            <w:gridSpan w:val="2"/>
            <w:vMerge w:val="restart"/>
            <w:tcBorders>
              <w:top w:val="single" w:sz="4" w:space="0" w:color="auto"/>
              <w:left w:val="nil"/>
              <w:right w:val="nil"/>
            </w:tcBorders>
            <w:shd w:val="clear" w:color="auto" w:fill="auto"/>
            <w:noWrap/>
          </w:tcPr>
          <w:p w:rsidR="00AD13A9" w:rsidRPr="0011273B" w:rsidRDefault="00AD13A9" w:rsidP="000D4ECF">
            <w:pPr>
              <w:jc w:val="left"/>
              <w:rPr>
                <w:rFonts w:asciiTheme="minorHAnsi" w:hAnsiTheme="minorHAnsi" w:cstheme="minorHAnsi"/>
                <w:i/>
                <w:sz w:val="20"/>
                <w:szCs w:val="20"/>
                <w:lang w:val="en-GB"/>
              </w:rPr>
            </w:pPr>
            <w:r w:rsidRPr="0011273B">
              <w:rPr>
                <w:rFonts w:asciiTheme="minorHAnsi" w:hAnsiTheme="minorHAnsi" w:cstheme="minorHAnsi"/>
                <w:i/>
                <w:sz w:val="20"/>
                <w:szCs w:val="20"/>
                <w:lang w:val="en-GB"/>
              </w:rPr>
              <w:t>% actual recurrent expenditure allocated to TSDF public service delivery priorities</w:t>
            </w:r>
          </w:p>
          <w:p w:rsidR="00AD13A9" w:rsidRPr="0011273B" w:rsidRDefault="00AD13A9" w:rsidP="000D4ECF">
            <w:pPr>
              <w:pStyle w:val="ListBullet"/>
              <w:numPr>
                <w:ilvl w:val="0"/>
                <w:numId w:val="0"/>
              </w:numPr>
              <w:spacing w:before="0" w:after="0"/>
              <w:jc w:val="left"/>
              <w:rPr>
                <w:rFonts w:asciiTheme="minorHAnsi" w:hAnsiTheme="minorHAnsi" w:cstheme="minorHAnsi"/>
                <w:sz w:val="20"/>
                <w:lang w:val="en-GB"/>
              </w:rPr>
            </w:pPr>
          </w:p>
        </w:tc>
        <w:tc>
          <w:tcPr>
            <w:tcW w:w="1560" w:type="dxa"/>
            <w:vMerge w:val="restart"/>
            <w:tcBorders>
              <w:top w:val="single" w:sz="4" w:space="0" w:color="auto"/>
              <w:left w:val="single" w:sz="4" w:space="0" w:color="auto"/>
              <w:right w:val="single" w:sz="4" w:space="0" w:color="auto"/>
            </w:tcBorders>
            <w:shd w:val="clear" w:color="auto" w:fill="auto"/>
            <w:vAlign w:val="center"/>
            <w:hideMark/>
          </w:tcPr>
          <w:p w:rsidR="00AD13A9" w:rsidRPr="0011273B" w:rsidRDefault="00AD13A9" w:rsidP="000D4ECF">
            <w:pPr>
              <w:jc w:val="left"/>
              <w:rPr>
                <w:rFonts w:asciiTheme="minorHAnsi" w:hAnsiTheme="minorHAnsi" w:cstheme="minorHAnsi"/>
                <w:sz w:val="20"/>
                <w:szCs w:val="20"/>
              </w:rPr>
            </w:pPr>
            <w:r>
              <w:rPr>
                <w:rFonts w:asciiTheme="minorHAnsi" w:hAnsiTheme="minorHAnsi" w:cstheme="minorHAnsi"/>
                <w:sz w:val="20"/>
                <w:szCs w:val="20"/>
              </w:rPr>
              <w:t xml:space="preserve">Corporate Plans and annual reports of implementing agencies; </w:t>
            </w:r>
            <w:r w:rsidRPr="0011273B">
              <w:rPr>
                <w:rFonts w:asciiTheme="minorHAnsi" w:hAnsiTheme="minorHAnsi" w:cstheme="minorHAnsi"/>
                <w:sz w:val="20"/>
                <w:szCs w:val="20"/>
              </w:rPr>
              <w:t>MoFNP annual  Budget Papers and SD data</w:t>
            </w:r>
          </w:p>
        </w:tc>
        <w:tc>
          <w:tcPr>
            <w:tcW w:w="1701" w:type="dxa"/>
            <w:vMerge w:val="restart"/>
            <w:tcBorders>
              <w:top w:val="single" w:sz="4" w:space="0" w:color="auto"/>
              <w:left w:val="single" w:sz="4" w:space="0" w:color="auto"/>
              <w:right w:val="single" w:sz="4" w:space="0" w:color="auto"/>
            </w:tcBorders>
            <w:shd w:val="clear" w:color="auto" w:fill="auto"/>
          </w:tcPr>
          <w:p w:rsidR="00AD13A9" w:rsidRPr="0011273B" w:rsidRDefault="00AD13A9" w:rsidP="000D4ECF">
            <w:pPr>
              <w:jc w:val="lef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000000" w:fill="FFFF00"/>
            <w:hideMark/>
          </w:tcPr>
          <w:p w:rsidR="00AD13A9" w:rsidRPr="0011273B" w:rsidRDefault="00AD13A9" w:rsidP="000D4ECF">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nil"/>
              <w:bottom w:val="single" w:sz="4" w:space="0" w:color="auto"/>
              <w:right w:val="single" w:sz="4" w:space="0" w:color="auto"/>
            </w:tcBorders>
            <w:shd w:val="clear" w:color="auto" w:fill="auto"/>
          </w:tcPr>
          <w:p w:rsidR="00AD13A9" w:rsidRPr="0011273B" w:rsidRDefault="00AD13A9" w:rsidP="000D4ECF">
            <w:pPr>
              <w:jc w:val="left"/>
              <w:rPr>
                <w:rFonts w:asciiTheme="minorHAnsi" w:hAnsiTheme="minorHAnsi" w:cstheme="minorHAnsi"/>
                <w:i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AD13A9" w:rsidRPr="0011273B" w:rsidRDefault="00AD13A9" w:rsidP="000D4ECF">
            <w:pPr>
              <w:pStyle w:val="ListBullet"/>
              <w:spacing w:before="0" w:after="0"/>
              <w:ind w:left="0"/>
              <w:jc w:val="left"/>
              <w:rPr>
                <w:rFonts w:asciiTheme="minorHAnsi" w:hAnsiTheme="minorHAnsi" w:cstheme="minorHAnsi"/>
                <w:sz w:val="20"/>
                <w:lang w:val="en-GB"/>
              </w:rPr>
            </w:pPr>
          </w:p>
        </w:tc>
        <w:tc>
          <w:tcPr>
            <w:tcW w:w="1418" w:type="dxa"/>
            <w:tcBorders>
              <w:top w:val="single" w:sz="4" w:space="0" w:color="auto"/>
              <w:left w:val="nil"/>
              <w:bottom w:val="single" w:sz="4" w:space="0" w:color="auto"/>
              <w:right w:val="single" w:sz="4" w:space="0" w:color="auto"/>
            </w:tcBorders>
            <w:shd w:val="clear" w:color="auto" w:fill="auto"/>
          </w:tcPr>
          <w:p w:rsidR="00AD13A9" w:rsidRPr="0011273B" w:rsidRDefault="00AD13A9" w:rsidP="000D4ECF">
            <w:pPr>
              <w:jc w:val="left"/>
              <w:rPr>
                <w:rFonts w:asciiTheme="minorHAnsi" w:hAnsiTheme="minorHAnsi" w:cstheme="minorHAnsi"/>
                <w:i/>
                <w:i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AD13A9" w:rsidRPr="0011273B" w:rsidRDefault="00AD13A9" w:rsidP="000D4ECF">
            <w:pPr>
              <w:jc w:val="left"/>
              <w:rPr>
                <w:rFonts w:asciiTheme="minorHAnsi" w:hAnsiTheme="minorHAnsi" w:cstheme="minorHAnsi"/>
                <w:i/>
                <w:iCs/>
                <w:color w:val="000000"/>
                <w:sz w:val="20"/>
                <w:szCs w:val="20"/>
              </w:rPr>
            </w:pPr>
          </w:p>
        </w:tc>
      </w:tr>
      <w:tr w:rsidR="00AD13A9" w:rsidRPr="0011273B" w:rsidTr="00C415C7">
        <w:trPr>
          <w:trHeight w:val="485"/>
        </w:trPr>
        <w:tc>
          <w:tcPr>
            <w:tcW w:w="2268" w:type="dxa"/>
            <w:vMerge/>
            <w:tcBorders>
              <w:left w:val="single" w:sz="4" w:space="0" w:color="auto"/>
              <w:bottom w:val="single" w:sz="4" w:space="0" w:color="auto"/>
              <w:right w:val="single" w:sz="4" w:space="0" w:color="auto"/>
            </w:tcBorders>
            <w:shd w:val="clear" w:color="auto" w:fill="92D050"/>
          </w:tcPr>
          <w:p w:rsidR="00AD13A9" w:rsidRPr="0011273B" w:rsidRDefault="00AD13A9" w:rsidP="000D4ECF">
            <w:pPr>
              <w:jc w:val="left"/>
              <w:rPr>
                <w:rFonts w:asciiTheme="minorHAnsi" w:hAnsiTheme="minorHAnsi" w:cstheme="minorHAnsi"/>
                <w:b/>
                <w:bCs/>
                <w:color w:val="000000"/>
                <w:sz w:val="20"/>
                <w:szCs w:val="20"/>
              </w:rPr>
            </w:pPr>
          </w:p>
        </w:tc>
        <w:tc>
          <w:tcPr>
            <w:tcW w:w="2268" w:type="dxa"/>
            <w:gridSpan w:val="2"/>
            <w:vMerge/>
            <w:tcBorders>
              <w:left w:val="nil"/>
              <w:bottom w:val="single" w:sz="4" w:space="0" w:color="auto"/>
              <w:right w:val="nil"/>
            </w:tcBorders>
            <w:shd w:val="clear" w:color="auto" w:fill="auto"/>
            <w:noWrap/>
          </w:tcPr>
          <w:p w:rsidR="00AD13A9" w:rsidRPr="0011273B" w:rsidRDefault="00AD13A9" w:rsidP="000D4ECF">
            <w:pPr>
              <w:jc w:val="left"/>
              <w:rPr>
                <w:rFonts w:asciiTheme="minorHAnsi" w:hAnsiTheme="minorHAnsi" w:cstheme="minorHAnsi"/>
                <w:i/>
                <w:sz w:val="20"/>
                <w:szCs w:val="20"/>
                <w:lang w:val="en-GB"/>
              </w:rPr>
            </w:pPr>
          </w:p>
        </w:tc>
        <w:tc>
          <w:tcPr>
            <w:tcW w:w="1560" w:type="dxa"/>
            <w:vMerge/>
            <w:tcBorders>
              <w:left w:val="single" w:sz="4" w:space="0" w:color="auto"/>
              <w:bottom w:val="single" w:sz="4" w:space="0" w:color="auto"/>
              <w:right w:val="single" w:sz="4" w:space="0" w:color="auto"/>
            </w:tcBorders>
            <w:shd w:val="clear" w:color="auto" w:fill="auto"/>
          </w:tcPr>
          <w:p w:rsidR="00AD13A9" w:rsidRPr="0011273B" w:rsidRDefault="00AD13A9" w:rsidP="000D4ECF">
            <w:pPr>
              <w:jc w:val="left"/>
              <w:rPr>
                <w:rFonts w:asciiTheme="minorHAnsi" w:hAnsiTheme="minorHAnsi" w:cstheme="minorHAnsi"/>
                <w:iCs/>
                <w:color w:val="000000"/>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AD13A9" w:rsidRPr="0011273B" w:rsidRDefault="00AD13A9" w:rsidP="000D4ECF">
            <w:pPr>
              <w:jc w:val="left"/>
              <w:rPr>
                <w:rFonts w:asciiTheme="minorHAnsi" w:hAnsiTheme="minorHAnsi" w:cstheme="minorHAnsi"/>
                <w:i/>
                <w:iCs/>
                <w:color w:val="000000"/>
                <w:sz w:val="20"/>
                <w:szCs w:val="20"/>
              </w:rPr>
            </w:pPr>
          </w:p>
        </w:tc>
        <w:tc>
          <w:tcPr>
            <w:tcW w:w="850" w:type="dxa"/>
            <w:tcBorders>
              <w:top w:val="nil"/>
              <w:left w:val="nil"/>
              <w:bottom w:val="single" w:sz="4" w:space="0" w:color="auto"/>
              <w:right w:val="single" w:sz="4" w:space="0" w:color="auto"/>
            </w:tcBorders>
            <w:shd w:val="clear" w:color="000000" w:fill="FFFF00"/>
          </w:tcPr>
          <w:p w:rsidR="00AD13A9" w:rsidRPr="0011273B" w:rsidRDefault="00AD13A9" w:rsidP="000D4ECF">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Actual:</w:t>
            </w:r>
          </w:p>
        </w:tc>
        <w:tc>
          <w:tcPr>
            <w:tcW w:w="1418" w:type="dxa"/>
            <w:tcBorders>
              <w:top w:val="single" w:sz="4" w:space="0" w:color="auto"/>
              <w:left w:val="nil"/>
              <w:bottom w:val="single" w:sz="4" w:space="0" w:color="auto"/>
              <w:right w:val="single" w:sz="4" w:space="0" w:color="auto"/>
            </w:tcBorders>
            <w:shd w:val="clear" w:color="auto" w:fill="auto"/>
          </w:tcPr>
          <w:p w:rsidR="00AD13A9" w:rsidRPr="0011273B" w:rsidRDefault="00AD13A9" w:rsidP="000D4ECF">
            <w:pPr>
              <w:jc w:val="left"/>
              <w:rPr>
                <w:rFonts w:asciiTheme="minorHAnsi" w:hAnsiTheme="minorHAnsi" w:cstheme="minorHAns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D13A9" w:rsidRPr="0011273B" w:rsidRDefault="00AD13A9" w:rsidP="000D4ECF">
            <w:pPr>
              <w:pStyle w:val="ListBullet"/>
              <w:spacing w:before="0" w:after="0"/>
              <w:ind w:left="0"/>
              <w:jc w:val="left"/>
              <w:rPr>
                <w:rFonts w:asciiTheme="minorHAnsi" w:hAnsiTheme="minorHAnsi" w:cstheme="minorHAnsi"/>
                <w:sz w:val="20"/>
                <w:lang w:val="en-GB"/>
              </w:rPr>
            </w:pPr>
          </w:p>
        </w:tc>
        <w:tc>
          <w:tcPr>
            <w:tcW w:w="1418" w:type="dxa"/>
            <w:tcBorders>
              <w:top w:val="single" w:sz="4" w:space="0" w:color="auto"/>
              <w:left w:val="nil"/>
              <w:bottom w:val="single" w:sz="4" w:space="0" w:color="auto"/>
              <w:right w:val="single" w:sz="4" w:space="0" w:color="auto"/>
            </w:tcBorders>
            <w:shd w:val="clear" w:color="auto" w:fill="auto"/>
          </w:tcPr>
          <w:p w:rsidR="00AD13A9" w:rsidRPr="0011273B" w:rsidRDefault="00AD13A9" w:rsidP="000D4ECF">
            <w:pPr>
              <w:jc w:val="left"/>
              <w:rPr>
                <w:rFonts w:asciiTheme="minorHAnsi" w:hAnsiTheme="minorHAnsi" w:cstheme="minorHAnsi"/>
                <w:i/>
                <w:i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AD13A9" w:rsidRPr="0011273B" w:rsidRDefault="00AD13A9" w:rsidP="000D4ECF">
            <w:pPr>
              <w:jc w:val="left"/>
              <w:rPr>
                <w:rFonts w:asciiTheme="minorHAnsi" w:hAnsiTheme="minorHAnsi" w:cstheme="minorHAnsi"/>
                <w:i/>
                <w:iCs/>
                <w:color w:val="000000"/>
                <w:sz w:val="20"/>
                <w:szCs w:val="20"/>
              </w:rPr>
            </w:pPr>
          </w:p>
        </w:tc>
      </w:tr>
      <w:tr w:rsidR="00AD13A9" w:rsidRPr="0011273B" w:rsidTr="00C415C7">
        <w:trPr>
          <w:trHeight w:val="600"/>
        </w:trPr>
        <w:tc>
          <w:tcPr>
            <w:tcW w:w="2268" w:type="dxa"/>
            <w:vMerge/>
            <w:tcBorders>
              <w:left w:val="single" w:sz="4" w:space="0" w:color="auto"/>
              <w:bottom w:val="single" w:sz="4" w:space="0" w:color="auto"/>
              <w:right w:val="single" w:sz="4" w:space="0" w:color="auto"/>
            </w:tcBorders>
            <w:shd w:val="clear" w:color="auto" w:fill="92D050"/>
            <w:vAlign w:val="center"/>
            <w:hideMark/>
          </w:tcPr>
          <w:p w:rsidR="00AD13A9" w:rsidRPr="0011273B" w:rsidRDefault="00AD13A9" w:rsidP="000D4ECF">
            <w:pPr>
              <w:jc w:val="left"/>
              <w:rPr>
                <w:rFonts w:asciiTheme="minorHAnsi" w:hAnsiTheme="minorHAnsi" w:cstheme="minorHAnsi"/>
                <w:b/>
                <w:bCs/>
                <w:color w:val="000000"/>
                <w:sz w:val="20"/>
                <w:szCs w:val="20"/>
              </w:rPr>
            </w:pPr>
          </w:p>
        </w:tc>
        <w:tc>
          <w:tcPr>
            <w:tcW w:w="2268" w:type="dxa"/>
            <w:gridSpan w:val="2"/>
            <w:vMerge w:val="restart"/>
            <w:tcBorders>
              <w:top w:val="single" w:sz="4" w:space="0" w:color="auto"/>
              <w:left w:val="nil"/>
              <w:bottom w:val="single" w:sz="4" w:space="0" w:color="auto"/>
              <w:right w:val="nil"/>
            </w:tcBorders>
            <w:shd w:val="clear" w:color="auto" w:fill="auto"/>
            <w:hideMark/>
          </w:tcPr>
          <w:p w:rsidR="00AD13A9" w:rsidRPr="0011273B" w:rsidRDefault="00AD13A9" w:rsidP="000D4ECF">
            <w:pPr>
              <w:jc w:val="left"/>
              <w:rPr>
                <w:rFonts w:asciiTheme="minorHAnsi" w:hAnsiTheme="minorHAnsi" w:cstheme="minorHAnsi"/>
                <w:i/>
                <w:sz w:val="20"/>
                <w:szCs w:val="20"/>
                <w:lang w:val="en-GB"/>
              </w:rPr>
            </w:pPr>
            <w:r>
              <w:rPr>
                <w:rFonts w:asciiTheme="minorHAnsi" w:hAnsiTheme="minorHAnsi" w:cstheme="minorHAnsi"/>
                <w:i/>
                <w:sz w:val="20"/>
                <w:szCs w:val="20"/>
                <w:lang w:val="en-GB"/>
              </w:rPr>
              <w:t xml:space="preserve">Number of </w:t>
            </w:r>
            <w:r w:rsidRPr="0011273B">
              <w:rPr>
                <w:rFonts w:asciiTheme="minorHAnsi" w:hAnsiTheme="minorHAnsi" w:cstheme="minorHAnsi"/>
                <w:i/>
                <w:sz w:val="20"/>
                <w:szCs w:val="20"/>
                <w:lang w:val="en-GB"/>
              </w:rPr>
              <w:t>criteria in periodic PEFA assessments for Tonga</w:t>
            </w:r>
            <w:r>
              <w:rPr>
                <w:rFonts w:asciiTheme="minorHAnsi" w:hAnsiTheme="minorHAnsi" w:cstheme="minorHAnsi"/>
                <w:i/>
                <w:sz w:val="20"/>
                <w:szCs w:val="20"/>
                <w:lang w:val="en-GB"/>
              </w:rPr>
              <w:t xml:space="preserve"> that obtain improved ratings</w:t>
            </w:r>
          </w:p>
          <w:p w:rsidR="00AD13A9" w:rsidRPr="0011273B" w:rsidRDefault="00AD13A9" w:rsidP="000D4ECF">
            <w:pPr>
              <w:pStyle w:val="ListBullet"/>
              <w:spacing w:before="0" w:after="0"/>
              <w:ind w:left="0"/>
              <w:jc w:val="left"/>
              <w:rPr>
                <w:rFonts w:asciiTheme="minorHAnsi" w:hAnsiTheme="minorHAnsi" w:cstheme="minorHAnsi"/>
                <w:sz w:val="20"/>
                <w:lang w:val="en-GB"/>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13A9" w:rsidRPr="0011273B" w:rsidRDefault="00AD13A9" w:rsidP="00202972">
            <w:pPr>
              <w:pStyle w:val="NoSpacing"/>
              <w:jc w:val="left"/>
              <w:rPr>
                <w:rFonts w:asciiTheme="minorHAnsi" w:hAnsiTheme="minorHAnsi" w:cstheme="minorHAnsi"/>
                <w:sz w:val="20"/>
                <w:szCs w:val="20"/>
              </w:rPr>
            </w:pPr>
            <w:r w:rsidRPr="0011273B">
              <w:rPr>
                <w:rFonts w:asciiTheme="minorHAnsi" w:hAnsiTheme="minorHAnsi" w:cstheme="minorHAnsi"/>
                <w:sz w:val="20"/>
                <w:szCs w:val="20"/>
              </w:rPr>
              <w:t xml:space="preserve">Biennial PEFA </w:t>
            </w:r>
            <w:r>
              <w:rPr>
                <w:rFonts w:asciiTheme="minorHAnsi" w:hAnsiTheme="minorHAnsi" w:cstheme="minorHAnsi"/>
                <w:sz w:val="20"/>
                <w:szCs w:val="20"/>
              </w:rPr>
              <w:t>assessments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13A9" w:rsidRPr="0011273B" w:rsidRDefault="00AD13A9" w:rsidP="000D4ECF">
            <w:pPr>
              <w:jc w:val="left"/>
              <w:rPr>
                <w:rFonts w:asciiTheme="minorHAnsi" w:hAnsiTheme="minorHAnsi" w:cstheme="minorHAnsi"/>
                <w:i/>
                <w:iCs/>
                <w:color w:val="000000"/>
                <w:sz w:val="20"/>
                <w:szCs w:val="20"/>
              </w:rPr>
            </w:pPr>
          </w:p>
        </w:tc>
        <w:tc>
          <w:tcPr>
            <w:tcW w:w="850" w:type="dxa"/>
            <w:tcBorders>
              <w:top w:val="single" w:sz="4" w:space="0" w:color="auto"/>
              <w:left w:val="nil"/>
              <w:bottom w:val="single" w:sz="4" w:space="0" w:color="auto"/>
              <w:right w:val="single" w:sz="4" w:space="0" w:color="auto"/>
            </w:tcBorders>
            <w:shd w:val="clear" w:color="000000" w:fill="FFFF00"/>
            <w:hideMark/>
          </w:tcPr>
          <w:p w:rsidR="00AD13A9" w:rsidRPr="0011273B" w:rsidRDefault="00AD13A9" w:rsidP="000D4ECF">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nil"/>
              <w:bottom w:val="single" w:sz="4" w:space="0" w:color="auto"/>
              <w:right w:val="single" w:sz="4" w:space="0" w:color="auto"/>
            </w:tcBorders>
            <w:shd w:val="clear" w:color="000000" w:fill="auto"/>
          </w:tcPr>
          <w:p w:rsidR="00AD13A9" w:rsidRPr="0011273B" w:rsidRDefault="00AD13A9" w:rsidP="000D4ECF">
            <w:pPr>
              <w:jc w:val="left"/>
              <w:rPr>
                <w:rFonts w:asciiTheme="minorHAnsi" w:hAnsiTheme="minorHAnsi" w:cstheme="minorHAns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000000" w:fill="auto"/>
          </w:tcPr>
          <w:p w:rsidR="00AD13A9" w:rsidRPr="0011273B" w:rsidRDefault="00AD13A9" w:rsidP="000D4ECF">
            <w:pPr>
              <w:pStyle w:val="ListBullet"/>
              <w:spacing w:before="0" w:after="0"/>
              <w:ind w:left="0"/>
              <w:jc w:val="left"/>
              <w:rPr>
                <w:rFonts w:asciiTheme="minorHAnsi" w:hAnsiTheme="minorHAnsi" w:cstheme="minorHAnsi"/>
                <w:sz w:val="20"/>
                <w:lang w:val="en-GB"/>
              </w:rPr>
            </w:pPr>
          </w:p>
        </w:tc>
        <w:tc>
          <w:tcPr>
            <w:tcW w:w="1418" w:type="dxa"/>
            <w:tcBorders>
              <w:top w:val="single" w:sz="4" w:space="0" w:color="auto"/>
              <w:left w:val="nil"/>
              <w:bottom w:val="single" w:sz="4" w:space="0" w:color="auto"/>
              <w:right w:val="single" w:sz="4" w:space="0" w:color="auto"/>
            </w:tcBorders>
            <w:shd w:val="clear" w:color="000000" w:fill="auto"/>
          </w:tcPr>
          <w:p w:rsidR="00AD13A9" w:rsidRPr="0011273B" w:rsidRDefault="00AD13A9" w:rsidP="000D4ECF">
            <w:pPr>
              <w:jc w:val="left"/>
              <w:rPr>
                <w:rFonts w:asciiTheme="minorHAnsi" w:hAnsiTheme="minorHAnsi" w:cstheme="minorHAnsi"/>
                <w:i/>
                <w:iCs/>
                <w:color w:val="000000"/>
                <w:sz w:val="20"/>
                <w:szCs w:val="20"/>
              </w:rPr>
            </w:pPr>
          </w:p>
        </w:tc>
        <w:tc>
          <w:tcPr>
            <w:tcW w:w="1417" w:type="dxa"/>
            <w:tcBorders>
              <w:top w:val="single" w:sz="4" w:space="0" w:color="auto"/>
              <w:left w:val="nil"/>
              <w:bottom w:val="single" w:sz="4" w:space="0" w:color="auto"/>
              <w:right w:val="single" w:sz="4" w:space="0" w:color="auto"/>
            </w:tcBorders>
            <w:shd w:val="clear" w:color="000000" w:fill="auto"/>
          </w:tcPr>
          <w:p w:rsidR="00AD13A9" w:rsidRPr="0011273B" w:rsidRDefault="00AD13A9" w:rsidP="000D4ECF">
            <w:pPr>
              <w:jc w:val="left"/>
              <w:rPr>
                <w:rFonts w:asciiTheme="minorHAnsi" w:hAnsiTheme="minorHAnsi" w:cstheme="minorHAnsi"/>
                <w:i/>
                <w:iCs/>
                <w:color w:val="000000"/>
                <w:sz w:val="20"/>
                <w:szCs w:val="20"/>
              </w:rPr>
            </w:pPr>
          </w:p>
        </w:tc>
      </w:tr>
      <w:tr w:rsidR="00AD13A9" w:rsidRPr="0011273B" w:rsidTr="00C415C7">
        <w:trPr>
          <w:trHeight w:val="881"/>
        </w:trPr>
        <w:tc>
          <w:tcPr>
            <w:tcW w:w="2268" w:type="dxa"/>
            <w:vMerge/>
            <w:tcBorders>
              <w:left w:val="single" w:sz="4" w:space="0" w:color="auto"/>
              <w:bottom w:val="single" w:sz="4" w:space="0" w:color="auto"/>
              <w:right w:val="single" w:sz="4" w:space="0" w:color="auto"/>
            </w:tcBorders>
            <w:shd w:val="clear" w:color="auto" w:fill="92D050"/>
            <w:vAlign w:val="center"/>
          </w:tcPr>
          <w:p w:rsidR="00AD13A9" w:rsidRPr="0011273B" w:rsidRDefault="00AD13A9" w:rsidP="000D4ECF">
            <w:pPr>
              <w:jc w:val="left"/>
              <w:rPr>
                <w:rFonts w:asciiTheme="minorHAnsi" w:hAnsiTheme="minorHAnsi" w:cstheme="minorHAnsi"/>
                <w:b/>
                <w:bCs/>
                <w:color w:val="000000"/>
                <w:sz w:val="20"/>
                <w:szCs w:val="20"/>
              </w:rPr>
            </w:pPr>
          </w:p>
        </w:tc>
        <w:tc>
          <w:tcPr>
            <w:tcW w:w="2268" w:type="dxa"/>
            <w:gridSpan w:val="2"/>
            <w:vMerge/>
            <w:tcBorders>
              <w:top w:val="single" w:sz="4" w:space="0" w:color="auto"/>
              <w:left w:val="nil"/>
              <w:bottom w:val="single" w:sz="4" w:space="0" w:color="auto"/>
              <w:right w:val="nil"/>
            </w:tcBorders>
            <w:shd w:val="clear" w:color="auto" w:fill="auto"/>
          </w:tcPr>
          <w:p w:rsidR="00AD13A9" w:rsidRPr="0011273B" w:rsidRDefault="00AD13A9" w:rsidP="000D4ECF">
            <w:pPr>
              <w:pStyle w:val="ListBullet"/>
              <w:spacing w:before="0" w:after="0"/>
              <w:ind w:left="0"/>
              <w:jc w:val="left"/>
              <w:rPr>
                <w:rFonts w:asciiTheme="minorHAnsi" w:hAnsiTheme="minorHAnsi" w:cstheme="minorHAnsi"/>
                <w:sz w:val="20"/>
                <w:lang w:val="en-GB"/>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13A9" w:rsidRPr="0011273B" w:rsidRDefault="00AD13A9" w:rsidP="000D4ECF">
            <w:pPr>
              <w:jc w:val="left"/>
              <w:rPr>
                <w:rFonts w:asciiTheme="minorHAnsi" w:hAnsiTheme="minorHAnsi" w:cstheme="minorHAnsi"/>
                <w:i/>
                <w:i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13A9" w:rsidRPr="0011273B" w:rsidRDefault="00AD13A9" w:rsidP="000D4ECF">
            <w:pPr>
              <w:jc w:val="left"/>
              <w:rPr>
                <w:rFonts w:asciiTheme="minorHAnsi" w:hAnsiTheme="minorHAnsi" w:cstheme="minorHAnsi"/>
                <w:i/>
                <w:iCs/>
                <w:color w:val="000000"/>
                <w:sz w:val="20"/>
                <w:szCs w:val="20"/>
              </w:rPr>
            </w:pPr>
          </w:p>
        </w:tc>
        <w:tc>
          <w:tcPr>
            <w:tcW w:w="850" w:type="dxa"/>
            <w:tcBorders>
              <w:top w:val="single" w:sz="4" w:space="0" w:color="auto"/>
              <w:left w:val="nil"/>
              <w:bottom w:val="single" w:sz="4" w:space="0" w:color="auto"/>
              <w:right w:val="single" w:sz="4" w:space="0" w:color="auto"/>
            </w:tcBorders>
            <w:shd w:val="clear" w:color="000000" w:fill="FFFF00"/>
          </w:tcPr>
          <w:p w:rsidR="00AD13A9" w:rsidRPr="0011273B" w:rsidRDefault="00AD13A9" w:rsidP="000D4ECF">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Actual:</w:t>
            </w:r>
          </w:p>
        </w:tc>
        <w:tc>
          <w:tcPr>
            <w:tcW w:w="1418" w:type="dxa"/>
            <w:tcBorders>
              <w:top w:val="single" w:sz="4" w:space="0" w:color="auto"/>
              <w:left w:val="nil"/>
              <w:bottom w:val="single" w:sz="4" w:space="0" w:color="auto"/>
              <w:right w:val="single" w:sz="4" w:space="0" w:color="auto"/>
            </w:tcBorders>
            <w:shd w:val="clear" w:color="000000" w:fill="auto"/>
          </w:tcPr>
          <w:p w:rsidR="00AD13A9" w:rsidRPr="0011273B" w:rsidRDefault="00AD13A9" w:rsidP="000D4ECF">
            <w:pPr>
              <w:jc w:val="left"/>
              <w:rPr>
                <w:rFonts w:asciiTheme="minorHAnsi" w:hAnsiTheme="minorHAnsi" w:cstheme="minorHAns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000000" w:fill="auto"/>
          </w:tcPr>
          <w:p w:rsidR="00AD13A9" w:rsidRPr="0011273B" w:rsidRDefault="00AD13A9" w:rsidP="000D4ECF">
            <w:pPr>
              <w:pStyle w:val="ListBullet"/>
              <w:spacing w:before="0" w:after="0"/>
              <w:ind w:left="0"/>
              <w:jc w:val="left"/>
              <w:rPr>
                <w:rFonts w:asciiTheme="minorHAnsi" w:hAnsiTheme="minorHAnsi" w:cstheme="minorHAnsi"/>
                <w:sz w:val="20"/>
                <w:lang w:val="en-GB"/>
              </w:rPr>
            </w:pPr>
          </w:p>
        </w:tc>
        <w:tc>
          <w:tcPr>
            <w:tcW w:w="1418" w:type="dxa"/>
            <w:tcBorders>
              <w:top w:val="single" w:sz="4" w:space="0" w:color="auto"/>
              <w:left w:val="nil"/>
              <w:bottom w:val="single" w:sz="4" w:space="0" w:color="auto"/>
              <w:right w:val="single" w:sz="4" w:space="0" w:color="auto"/>
            </w:tcBorders>
            <w:shd w:val="clear" w:color="000000" w:fill="auto"/>
            <w:vAlign w:val="center"/>
          </w:tcPr>
          <w:p w:rsidR="00AD13A9" w:rsidRPr="0011273B" w:rsidRDefault="00AD13A9" w:rsidP="000D4ECF">
            <w:pPr>
              <w:jc w:val="left"/>
              <w:rPr>
                <w:rFonts w:asciiTheme="minorHAnsi" w:hAnsiTheme="minorHAnsi" w:cstheme="minorHAnsi"/>
                <w:i/>
                <w:iCs/>
                <w:color w:val="000000"/>
                <w:sz w:val="20"/>
                <w:szCs w:val="20"/>
              </w:rPr>
            </w:pPr>
          </w:p>
        </w:tc>
        <w:tc>
          <w:tcPr>
            <w:tcW w:w="1417" w:type="dxa"/>
            <w:tcBorders>
              <w:top w:val="single" w:sz="4" w:space="0" w:color="auto"/>
              <w:left w:val="nil"/>
              <w:bottom w:val="single" w:sz="4" w:space="0" w:color="auto"/>
              <w:right w:val="single" w:sz="4" w:space="0" w:color="auto"/>
            </w:tcBorders>
            <w:shd w:val="clear" w:color="000000" w:fill="auto"/>
            <w:vAlign w:val="center"/>
          </w:tcPr>
          <w:p w:rsidR="00AD13A9" w:rsidRPr="0011273B" w:rsidRDefault="00AD13A9" w:rsidP="000D4ECF">
            <w:pPr>
              <w:jc w:val="left"/>
              <w:rPr>
                <w:rFonts w:asciiTheme="minorHAnsi" w:hAnsiTheme="minorHAnsi" w:cstheme="minorHAnsi"/>
                <w:i/>
                <w:iCs/>
                <w:color w:val="000000"/>
                <w:sz w:val="20"/>
                <w:szCs w:val="20"/>
              </w:rPr>
            </w:pPr>
          </w:p>
        </w:tc>
      </w:tr>
      <w:tr w:rsidR="006320A9" w:rsidRPr="0011273B" w:rsidTr="00C415C7">
        <w:trPr>
          <w:trHeight w:val="813"/>
        </w:trPr>
        <w:tc>
          <w:tcPr>
            <w:tcW w:w="2268" w:type="dxa"/>
            <w:vMerge w:val="restart"/>
            <w:tcBorders>
              <w:top w:val="single" w:sz="4" w:space="0" w:color="auto"/>
              <w:left w:val="single" w:sz="4" w:space="0" w:color="auto"/>
              <w:right w:val="single" w:sz="4" w:space="0" w:color="auto"/>
            </w:tcBorders>
            <w:shd w:val="clear" w:color="000000" w:fill="C4D79B"/>
            <w:hideMark/>
          </w:tcPr>
          <w:p w:rsidR="006320A9" w:rsidRPr="0011273B" w:rsidRDefault="006320A9" w:rsidP="000D4ECF">
            <w:pPr>
              <w:jc w:val="left"/>
              <w:rPr>
                <w:rFonts w:asciiTheme="minorHAnsi" w:hAnsiTheme="minorHAnsi" w:cstheme="minorHAnsi"/>
                <w:b/>
                <w:bCs/>
                <w:color w:val="000000"/>
                <w:sz w:val="20"/>
                <w:szCs w:val="20"/>
              </w:rPr>
            </w:pPr>
            <w:r>
              <w:rPr>
                <w:rFonts w:asciiTheme="minorHAnsi" w:hAnsiTheme="minorHAnsi" w:cstheme="minorHAnsi"/>
                <w:b/>
                <w:bCs/>
                <w:color w:val="000000"/>
                <w:sz w:val="20"/>
                <w:szCs w:val="20"/>
              </w:rPr>
              <w:t>Intermediate outcome</w:t>
            </w:r>
            <w:r w:rsidRPr="0011273B">
              <w:rPr>
                <w:rFonts w:asciiTheme="minorHAnsi" w:hAnsiTheme="minorHAnsi" w:cstheme="minorHAnsi"/>
                <w:b/>
                <w:bCs/>
                <w:color w:val="000000"/>
                <w:sz w:val="20"/>
                <w:szCs w:val="20"/>
              </w:rPr>
              <w:t xml:space="preserve">: </w:t>
            </w:r>
            <w:r>
              <w:rPr>
                <w:rFonts w:ascii="Calibri" w:hAnsi="Calibri" w:cs="Calibri"/>
                <w:iCs/>
                <w:color w:val="000000"/>
                <w:sz w:val="20"/>
                <w:szCs w:val="20"/>
              </w:rPr>
              <w:t>Progress towards developing sustainable human capacity building systems</w:t>
            </w:r>
          </w:p>
        </w:tc>
        <w:tc>
          <w:tcPr>
            <w:tcW w:w="2268" w:type="dxa"/>
            <w:gridSpan w:val="2"/>
            <w:vMerge w:val="restart"/>
            <w:tcBorders>
              <w:top w:val="single" w:sz="4" w:space="0" w:color="auto"/>
              <w:left w:val="single" w:sz="4" w:space="0" w:color="auto"/>
              <w:right w:val="single" w:sz="4" w:space="0" w:color="auto"/>
            </w:tcBorders>
            <w:shd w:val="clear" w:color="auto" w:fill="auto"/>
          </w:tcPr>
          <w:p w:rsidR="006320A9" w:rsidRDefault="006320A9" w:rsidP="00E92376">
            <w:pPr>
              <w:jc w:val="left"/>
              <w:rPr>
                <w:rFonts w:ascii="Calibri" w:hAnsi="Calibri" w:cs="Calibri"/>
                <w:i/>
                <w:iCs/>
                <w:color w:val="000000"/>
                <w:sz w:val="20"/>
                <w:szCs w:val="20"/>
              </w:rPr>
            </w:pPr>
            <w:r w:rsidRPr="001E0DDF">
              <w:rPr>
                <w:rFonts w:ascii="Calibri" w:hAnsi="Calibri" w:cs="Calibri"/>
                <w:i/>
                <w:iCs/>
                <w:color w:val="000000"/>
                <w:sz w:val="20"/>
                <w:szCs w:val="20"/>
              </w:rPr>
              <w:t xml:space="preserve">Key </w:t>
            </w:r>
            <w:r>
              <w:rPr>
                <w:rFonts w:ascii="Calibri" w:hAnsi="Calibri" w:cs="Calibri"/>
                <w:i/>
                <w:iCs/>
                <w:color w:val="000000"/>
                <w:sz w:val="20"/>
                <w:szCs w:val="20"/>
              </w:rPr>
              <w:t xml:space="preserve">structural </w:t>
            </w:r>
            <w:r w:rsidRPr="001E0DDF">
              <w:rPr>
                <w:rFonts w:ascii="Calibri" w:hAnsi="Calibri" w:cs="Calibri"/>
                <w:i/>
                <w:iCs/>
                <w:color w:val="000000"/>
                <w:sz w:val="20"/>
                <w:szCs w:val="20"/>
              </w:rPr>
              <w:t>reforms identified in the PFM Roadmap are progressed by M</w:t>
            </w:r>
            <w:r>
              <w:rPr>
                <w:rFonts w:ascii="Calibri" w:hAnsi="Calibri" w:cs="Calibri"/>
                <w:i/>
                <w:iCs/>
                <w:color w:val="000000"/>
                <w:sz w:val="20"/>
                <w:szCs w:val="20"/>
              </w:rPr>
              <w:t xml:space="preserve">oFNP, MoR </w:t>
            </w:r>
          </w:p>
          <w:p w:rsidR="006320A9" w:rsidRPr="00DF2B53" w:rsidRDefault="006320A9" w:rsidP="00E92376">
            <w:pPr>
              <w:jc w:val="left"/>
              <w:rPr>
                <w:rFonts w:ascii="Calibri" w:hAnsi="Calibri" w:cs="Calibri"/>
                <w:i/>
                <w:iCs/>
                <w:color w:val="000000"/>
                <w:sz w:val="20"/>
                <w:szCs w:val="20"/>
              </w:rPr>
            </w:pPr>
          </w:p>
        </w:tc>
        <w:tc>
          <w:tcPr>
            <w:tcW w:w="1560" w:type="dxa"/>
            <w:vMerge w:val="restart"/>
            <w:tcBorders>
              <w:top w:val="single" w:sz="4" w:space="0" w:color="auto"/>
              <w:left w:val="single" w:sz="4" w:space="0" w:color="auto"/>
              <w:right w:val="single" w:sz="4" w:space="0" w:color="auto"/>
            </w:tcBorders>
            <w:shd w:val="clear" w:color="auto" w:fill="auto"/>
            <w:hideMark/>
          </w:tcPr>
          <w:p w:rsidR="006320A9" w:rsidRPr="0011273B" w:rsidRDefault="006320A9" w:rsidP="00202972">
            <w:pPr>
              <w:jc w:val="left"/>
              <w:rPr>
                <w:rFonts w:asciiTheme="minorHAnsi" w:hAnsiTheme="minorHAnsi" w:cstheme="minorHAnsi"/>
                <w:color w:val="000000"/>
                <w:sz w:val="20"/>
                <w:szCs w:val="20"/>
              </w:rPr>
            </w:pPr>
            <w:r>
              <w:rPr>
                <w:rFonts w:asciiTheme="minorHAnsi" w:hAnsiTheme="minorHAnsi" w:cstheme="minorHAnsi"/>
                <w:color w:val="000000"/>
                <w:sz w:val="20"/>
                <w:szCs w:val="20"/>
              </w:rPr>
              <w:t>Biannual World Bank Policy Reform Matrix monitoring missions</w:t>
            </w:r>
          </w:p>
        </w:tc>
        <w:tc>
          <w:tcPr>
            <w:tcW w:w="1701" w:type="dxa"/>
            <w:vMerge w:val="restart"/>
            <w:tcBorders>
              <w:top w:val="single" w:sz="4" w:space="0" w:color="auto"/>
              <w:left w:val="single" w:sz="4" w:space="0" w:color="auto"/>
              <w:right w:val="single" w:sz="4" w:space="0" w:color="auto"/>
            </w:tcBorders>
            <w:shd w:val="clear" w:color="auto" w:fill="auto"/>
            <w:hideMark/>
          </w:tcPr>
          <w:p w:rsidR="006320A9" w:rsidRPr="0011273B" w:rsidRDefault="006320A9" w:rsidP="000D4ECF">
            <w:pPr>
              <w:jc w:val="left"/>
              <w:rPr>
                <w:rFonts w:asciiTheme="minorHAnsi" w:hAnsiTheme="minorHAnsi" w:cstheme="minorHAnsi"/>
                <w:i/>
                <w:iCs/>
                <w:color w:val="FF0000"/>
                <w:sz w:val="20"/>
                <w:szCs w:val="20"/>
              </w:rPr>
            </w:pPr>
            <w:r w:rsidRPr="0011273B">
              <w:rPr>
                <w:rFonts w:asciiTheme="minorHAnsi" w:hAnsiTheme="minorHAnsi" w:cstheme="minorHAnsi"/>
                <w:i/>
                <w:iCs/>
                <w:color w:val="FF0000"/>
                <w:sz w:val="20"/>
                <w:szCs w:val="20"/>
              </w:rPr>
              <w:t> </w:t>
            </w:r>
          </w:p>
        </w:tc>
        <w:tc>
          <w:tcPr>
            <w:tcW w:w="850" w:type="dxa"/>
            <w:tcBorders>
              <w:top w:val="single" w:sz="4" w:space="0" w:color="auto"/>
              <w:left w:val="nil"/>
              <w:bottom w:val="single" w:sz="4" w:space="0" w:color="auto"/>
              <w:right w:val="single" w:sz="4" w:space="0" w:color="auto"/>
            </w:tcBorders>
            <w:shd w:val="clear" w:color="000000" w:fill="FFFF00"/>
            <w:hideMark/>
          </w:tcPr>
          <w:p w:rsidR="006320A9" w:rsidRPr="0011273B" w:rsidRDefault="006320A9" w:rsidP="000D4ECF">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0D4ECF">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0D4ECF">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0D4ECF">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0D4ECF">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r>
      <w:tr w:rsidR="006320A9" w:rsidRPr="0011273B" w:rsidTr="00C415C7">
        <w:trPr>
          <w:trHeight w:val="812"/>
        </w:trPr>
        <w:tc>
          <w:tcPr>
            <w:tcW w:w="2268" w:type="dxa"/>
            <w:vMerge/>
            <w:tcBorders>
              <w:left w:val="single" w:sz="4" w:space="0" w:color="auto"/>
              <w:bottom w:val="single" w:sz="4" w:space="0" w:color="auto"/>
              <w:right w:val="single" w:sz="4" w:space="0" w:color="auto"/>
            </w:tcBorders>
            <w:shd w:val="clear" w:color="000000" w:fill="C4D79B"/>
          </w:tcPr>
          <w:p w:rsidR="006320A9" w:rsidRPr="0011273B" w:rsidRDefault="006320A9" w:rsidP="000D4ECF">
            <w:pPr>
              <w:jc w:val="left"/>
              <w:rPr>
                <w:rFonts w:asciiTheme="minorHAnsi" w:hAnsiTheme="minorHAnsi" w:cstheme="minorHAnsi"/>
                <w:b/>
                <w:bCs/>
                <w:color w:val="000000"/>
                <w:sz w:val="20"/>
                <w:szCs w:val="20"/>
              </w:rPr>
            </w:pPr>
          </w:p>
        </w:tc>
        <w:tc>
          <w:tcPr>
            <w:tcW w:w="2268" w:type="dxa"/>
            <w:gridSpan w:val="2"/>
            <w:vMerge/>
            <w:tcBorders>
              <w:left w:val="single" w:sz="4" w:space="0" w:color="auto"/>
              <w:bottom w:val="single" w:sz="4" w:space="0" w:color="auto"/>
              <w:right w:val="single" w:sz="4" w:space="0" w:color="auto"/>
            </w:tcBorders>
            <w:shd w:val="clear" w:color="auto" w:fill="auto"/>
          </w:tcPr>
          <w:p w:rsidR="006320A9" w:rsidRPr="001E0DDF" w:rsidRDefault="006320A9" w:rsidP="00E92376">
            <w:pPr>
              <w:jc w:val="left"/>
              <w:rPr>
                <w:rFonts w:ascii="Calibri" w:hAnsi="Calibri" w:cs="Calibri"/>
                <w:i/>
                <w:iCs/>
                <w:color w:val="000000"/>
                <w:sz w:val="20"/>
                <w:szCs w:val="20"/>
              </w:rPr>
            </w:pPr>
          </w:p>
        </w:tc>
        <w:tc>
          <w:tcPr>
            <w:tcW w:w="1560" w:type="dxa"/>
            <w:vMerge/>
            <w:tcBorders>
              <w:left w:val="single" w:sz="4" w:space="0" w:color="auto"/>
              <w:bottom w:val="single" w:sz="4" w:space="0" w:color="auto"/>
              <w:right w:val="single" w:sz="4" w:space="0" w:color="auto"/>
            </w:tcBorders>
            <w:shd w:val="clear" w:color="auto" w:fill="auto"/>
          </w:tcPr>
          <w:p w:rsidR="006320A9" w:rsidRPr="0011273B" w:rsidRDefault="006320A9" w:rsidP="00202972">
            <w:pPr>
              <w:jc w:val="left"/>
              <w:rPr>
                <w:rFonts w:asciiTheme="minorHAnsi" w:hAnsiTheme="minorHAnsi" w:cstheme="minorHAnsi"/>
                <w:color w:val="000000"/>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
                <w:iCs/>
                <w:color w:val="FF0000"/>
                <w:sz w:val="20"/>
                <w:szCs w:val="20"/>
              </w:rPr>
            </w:pPr>
          </w:p>
        </w:tc>
        <w:tc>
          <w:tcPr>
            <w:tcW w:w="850" w:type="dxa"/>
            <w:tcBorders>
              <w:top w:val="single" w:sz="4" w:space="0" w:color="auto"/>
              <w:left w:val="nil"/>
              <w:bottom w:val="single" w:sz="4" w:space="0" w:color="auto"/>
              <w:right w:val="single" w:sz="4" w:space="0" w:color="auto"/>
            </w:tcBorders>
            <w:shd w:val="clear" w:color="000000" w:fill="FFFF00"/>
          </w:tcPr>
          <w:p w:rsidR="006320A9" w:rsidRPr="0011273B" w:rsidRDefault="006320A9" w:rsidP="000D4ECF">
            <w:pPr>
              <w:jc w:val="left"/>
              <w:rPr>
                <w:rFonts w:asciiTheme="minorHAnsi" w:hAnsiTheme="minorHAnsi" w:cstheme="minorHAnsi"/>
                <w:b/>
                <w:bCs/>
                <w:color w:val="000000"/>
                <w:sz w:val="20"/>
                <w:szCs w:val="20"/>
              </w:rPr>
            </w:pPr>
            <w:r>
              <w:rPr>
                <w:rFonts w:asciiTheme="minorHAnsi" w:hAnsiTheme="minorHAnsi" w:cstheme="minorHAnsi"/>
                <w:b/>
                <w:bCs/>
                <w:color w:val="000000"/>
                <w:sz w:val="20"/>
                <w:szCs w:val="20"/>
              </w:rPr>
              <w:t>Actual:</w:t>
            </w: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color w:val="000000"/>
                <w:sz w:val="20"/>
                <w:szCs w:val="20"/>
              </w:rPr>
            </w:pPr>
          </w:p>
        </w:tc>
      </w:tr>
      <w:tr w:rsidR="006320A9" w:rsidRPr="0011273B" w:rsidTr="00C415C7">
        <w:trPr>
          <w:trHeight w:val="605"/>
        </w:trPr>
        <w:tc>
          <w:tcPr>
            <w:tcW w:w="2268" w:type="dxa"/>
            <w:vMerge w:val="restart"/>
            <w:tcBorders>
              <w:top w:val="single" w:sz="4" w:space="0" w:color="auto"/>
              <w:left w:val="single" w:sz="4" w:space="0" w:color="auto"/>
              <w:bottom w:val="single" w:sz="4" w:space="0" w:color="auto"/>
              <w:right w:val="single" w:sz="4" w:space="0" w:color="auto"/>
            </w:tcBorders>
            <w:shd w:val="clear" w:color="000000" w:fill="C4D79B"/>
            <w:hideMark/>
          </w:tcPr>
          <w:p w:rsidR="006320A9" w:rsidRPr="0011273B" w:rsidRDefault="006320A9" w:rsidP="000C7304">
            <w:pPr>
              <w:jc w:val="left"/>
              <w:rPr>
                <w:rFonts w:asciiTheme="minorHAnsi" w:hAnsiTheme="minorHAnsi" w:cstheme="minorHAnsi"/>
                <w:b/>
                <w:bCs/>
                <w:color w:val="000000"/>
                <w:sz w:val="20"/>
                <w:szCs w:val="20"/>
              </w:rPr>
            </w:pPr>
            <w:r>
              <w:rPr>
                <w:rFonts w:asciiTheme="minorHAnsi" w:hAnsiTheme="minorHAnsi" w:cstheme="minorHAnsi"/>
                <w:b/>
                <w:bCs/>
                <w:color w:val="000000"/>
                <w:sz w:val="20"/>
                <w:szCs w:val="20"/>
              </w:rPr>
              <w:t>Intermediate outcome</w:t>
            </w:r>
            <w:r w:rsidRPr="0011273B">
              <w:rPr>
                <w:rFonts w:asciiTheme="minorHAnsi" w:hAnsiTheme="minorHAnsi" w:cstheme="minorHAnsi"/>
                <w:b/>
                <w:bCs/>
                <w:color w:val="000000"/>
                <w:sz w:val="20"/>
                <w:szCs w:val="20"/>
              </w:rPr>
              <w:t xml:space="preserve">: </w:t>
            </w:r>
            <w:r w:rsidRPr="0011273B">
              <w:rPr>
                <w:rFonts w:asciiTheme="minorHAnsi" w:hAnsiTheme="minorHAnsi" w:cstheme="minorHAnsi"/>
                <w:bCs/>
                <w:color w:val="000000"/>
                <w:sz w:val="20"/>
                <w:szCs w:val="20"/>
              </w:rPr>
              <w:t>Improved public sector procurement practices.</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C415C7">
            <w:pPr>
              <w:spacing w:after="240"/>
              <w:jc w:val="left"/>
              <w:rPr>
                <w:rFonts w:asciiTheme="minorHAnsi" w:hAnsiTheme="minorHAnsi" w:cstheme="minorHAnsi"/>
                <w:i/>
                <w:iCs/>
                <w:color w:val="000000"/>
                <w:sz w:val="20"/>
                <w:szCs w:val="20"/>
              </w:rPr>
            </w:pPr>
            <w:r w:rsidRPr="0011273B">
              <w:rPr>
                <w:rFonts w:asciiTheme="minorHAnsi" w:hAnsiTheme="minorHAnsi" w:cstheme="minorHAnsi"/>
                <w:i/>
                <w:iCs/>
                <w:color w:val="000000"/>
                <w:sz w:val="20"/>
                <w:szCs w:val="20"/>
              </w:rPr>
              <w:t>Procurement Reform Action Plan</w:t>
            </w:r>
            <w:r>
              <w:rPr>
                <w:rFonts w:asciiTheme="minorHAnsi" w:hAnsiTheme="minorHAnsi" w:cstheme="minorHAnsi"/>
                <w:i/>
                <w:iCs/>
                <w:color w:val="000000"/>
                <w:sz w:val="20"/>
                <w:szCs w:val="20"/>
              </w:rPr>
              <w:t xml:space="preserve"> (PRAP)</w:t>
            </w:r>
            <w:r w:rsidRPr="0011273B">
              <w:rPr>
                <w:rFonts w:asciiTheme="minorHAnsi" w:hAnsiTheme="minorHAnsi" w:cstheme="minorHAnsi"/>
                <w:i/>
                <w:iCs/>
                <w:color w:val="000000"/>
                <w:sz w:val="20"/>
                <w:szCs w:val="20"/>
              </w:rPr>
              <w:t xml:space="preserve"> is </w:t>
            </w:r>
            <w:r w:rsidRPr="00E426FE">
              <w:rPr>
                <w:rFonts w:asciiTheme="minorHAnsi" w:hAnsiTheme="minorHAnsi" w:cstheme="minorHAnsi"/>
                <w:i/>
                <w:iCs/>
                <w:color w:val="000000"/>
                <w:sz w:val="20"/>
                <w:szCs w:val="20"/>
              </w:rPr>
              <w:t xml:space="preserve">endorsed by Cabinet </w:t>
            </w:r>
            <w:r w:rsidR="0074625B">
              <w:rPr>
                <w:rFonts w:asciiTheme="minorHAnsi" w:hAnsiTheme="minorHAnsi" w:cstheme="minorHAnsi"/>
                <w:i/>
                <w:iCs/>
                <w:color w:val="000000"/>
                <w:sz w:val="20"/>
                <w:szCs w:val="20"/>
              </w:rPr>
              <w:t xml:space="preserve">by August 2013 </w:t>
            </w:r>
            <w:r w:rsidRPr="00E426FE">
              <w:rPr>
                <w:rFonts w:asciiTheme="minorHAnsi" w:hAnsiTheme="minorHAnsi" w:cstheme="minorHAnsi"/>
                <w:i/>
                <w:iCs/>
                <w:color w:val="000000"/>
                <w:sz w:val="20"/>
                <w:szCs w:val="20"/>
              </w:rPr>
              <w:t>and adhered to; all</w:t>
            </w:r>
            <w:r>
              <w:rPr>
                <w:rFonts w:asciiTheme="minorHAnsi" w:hAnsiTheme="minorHAnsi" w:cstheme="minorHAnsi"/>
                <w:i/>
                <w:iCs/>
                <w:color w:val="000000"/>
                <w:sz w:val="20"/>
                <w:szCs w:val="20"/>
              </w:rPr>
              <w:t xml:space="preserve"> procurements are undertaken in line with GoT regulations and AusAID risk mitigation measures.</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320A9" w:rsidRPr="0011273B" w:rsidRDefault="006320A9" w:rsidP="000C7304">
            <w:pPr>
              <w:jc w:val="left"/>
              <w:rPr>
                <w:rFonts w:asciiTheme="minorHAnsi" w:hAnsiTheme="minorHAnsi" w:cstheme="minorHAnsi"/>
                <w:color w:val="000000"/>
                <w:sz w:val="20"/>
                <w:szCs w:val="20"/>
              </w:rPr>
            </w:pPr>
            <w:r>
              <w:rPr>
                <w:rFonts w:asciiTheme="minorHAnsi" w:hAnsiTheme="minorHAnsi" w:cstheme="minorHAnsi"/>
                <w:color w:val="000000"/>
                <w:sz w:val="20"/>
                <w:szCs w:val="20"/>
              </w:rPr>
              <w:t>AusAID and GoT supervision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320A9" w:rsidRPr="0011273B" w:rsidRDefault="006320A9" w:rsidP="000C7304">
            <w:pPr>
              <w:jc w:val="left"/>
              <w:rPr>
                <w:rFonts w:asciiTheme="minorHAnsi" w:hAnsiTheme="minorHAnsi" w:cstheme="minorHAnsi"/>
                <w:i/>
                <w:iCs/>
                <w:color w:val="FF0000"/>
                <w:sz w:val="20"/>
                <w:szCs w:val="20"/>
              </w:rPr>
            </w:pPr>
            <w:r w:rsidRPr="0011273B">
              <w:rPr>
                <w:rFonts w:asciiTheme="minorHAnsi" w:hAnsiTheme="minorHAnsi" w:cstheme="minorHAnsi"/>
                <w:i/>
                <w:iCs/>
                <w:color w:val="FF0000"/>
                <w:sz w:val="20"/>
                <w:szCs w:val="20"/>
              </w:rPr>
              <w:t> </w:t>
            </w:r>
          </w:p>
        </w:tc>
        <w:tc>
          <w:tcPr>
            <w:tcW w:w="850" w:type="dxa"/>
            <w:tcBorders>
              <w:top w:val="single" w:sz="4" w:space="0" w:color="auto"/>
              <w:left w:val="nil"/>
              <w:bottom w:val="single" w:sz="4" w:space="0" w:color="auto"/>
              <w:right w:val="single" w:sz="4" w:space="0" w:color="auto"/>
            </w:tcBorders>
            <w:shd w:val="clear" w:color="000000" w:fill="FFFF00"/>
            <w:hideMark/>
          </w:tcPr>
          <w:p w:rsidR="006320A9" w:rsidRPr="0011273B" w:rsidRDefault="006320A9" w:rsidP="000C7304">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0C7304">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r>
              <w:rPr>
                <w:rFonts w:asciiTheme="minorHAnsi" w:hAnsiTheme="minorHAnsi" w:cstheme="minorHAnsi"/>
                <w:color w:val="000000"/>
                <w:sz w:val="20"/>
                <w:szCs w:val="20"/>
              </w:rPr>
              <w:t>PRAP endorsed by Cabinet</w:t>
            </w: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0C7304">
            <w:pPr>
              <w:jc w:val="left"/>
              <w:rPr>
                <w:rFonts w:asciiTheme="minorHAnsi" w:hAnsiTheme="minorHAnsi" w:cstheme="minorHAnsi"/>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0C7304">
            <w:pPr>
              <w:jc w:val="left"/>
              <w:rPr>
                <w:rFonts w:asciiTheme="minorHAnsi" w:hAnsiTheme="minorHAnsi" w:cstheme="minorHAns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0C7304">
            <w:pPr>
              <w:jc w:val="left"/>
              <w:rPr>
                <w:rFonts w:asciiTheme="minorHAnsi" w:hAnsiTheme="minorHAnsi" w:cstheme="minorHAnsi"/>
                <w:color w:val="000000"/>
                <w:sz w:val="20"/>
                <w:szCs w:val="20"/>
              </w:rPr>
            </w:pPr>
          </w:p>
        </w:tc>
      </w:tr>
      <w:tr w:rsidR="006320A9" w:rsidRPr="0011273B" w:rsidTr="00C415C7">
        <w:trPr>
          <w:trHeight w:val="558"/>
        </w:trPr>
        <w:tc>
          <w:tcPr>
            <w:tcW w:w="2268" w:type="dxa"/>
            <w:vMerge/>
            <w:tcBorders>
              <w:top w:val="single" w:sz="4" w:space="0" w:color="auto"/>
              <w:left w:val="single" w:sz="4" w:space="0" w:color="auto"/>
              <w:bottom w:val="single" w:sz="4" w:space="0" w:color="auto"/>
              <w:right w:val="single" w:sz="4" w:space="0" w:color="auto"/>
            </w:tcBorders>
            <w:shd w:val="clear" w:color="000000" w:fill="C4D79B"/>
          </w:tcPr>
          <w:p w:rsidR="006320A9" w:rsidRPr="0011273B" w:rsidRDefault="006320A9" w:rsidP="000C7304">
            <w:pPr>
              <w:jc w:val="left"/>
              <w:rPr>
                <w:rFonts w:asciiTheme="minorHAnsi" w:hAnsiTheme="minorHAnsi" w:cstheme="minorHAnsi"/>
                <w:b/>
                <w:bCs/>
                <w:color w:val="000000"/>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0C7304">
            <w:pPr>
              <w:jc w:val="left"/>
              <w:rPr>
                <w:rFonts w:asciiTheme="minorHAnsi" w:hAnsiTheme="minorHAnsi" w:cstheme="minorHAnsi"/>
                <w:i/>
                <w:iCs/>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0C7304">
            <w:pPr>
              <w:jc w:val="left"/>
              <w:rPr>
                <w:rFonts w:asciiTheme="minorHAnsi" w:hAnsiTheme="minorHAnsi" w:cstheme="minorHAnsi"/>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0C7304">
            <w:pPr>
              <w:jc w:val="left"/>
              <w:rPr>
                <w:rFonts w:asciiTheme="minorHAnsi" w:hAnsiTheme="minorHAnsi" w:cstheme="minorHAnsi"/>
                <w:i/>
                <w:iCs/>
                <w:color w:val="FF0000"/>
                <w:sz w:val="20"/>
                <w:szCs w:val="20"/>
              </w:rPr>
            </w:pPr>
          </w:p>
        </w:tc>
        <w:tc>
          <w:tcPr>
            <w:tcW w:w="850" w:type="dxa"/>
            <w:tcBorders>
              <w:top w:val="single" w:sz="4" w:space="0" w:color="auto"/>
              <w:left w:val="nil"/>
              <w:bottom w:val="single" w:sz="4" w:space="0" w:color="auto"/>
              <w:right w:val="single" w:sz="4" w:space="0" w:color="auto"/>
            </w:tcBorders>
            <w:shd w:val="clear" w:color="000000" w:fill="FFFF00"/>
          </w:tcPr>
          <w:p w:rsidR="006320A9" w:rsidRPr="0011273B" w:rsidRDefault="006320A9" w:rsidP="000C7304">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Actual:</w:t>
            </w: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0C7304">
            <w:pPr>
              <w:jc w:val="left"/>
              <w:rPr>
                <w:rFonts w:asciiTheme="minorHAnsi" w:hAnsiTheme="minorHAnsi" w:cstheme="minorHAns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0C7304">
            <w:pPr>
              <w:jc w:val="left"/>
              <w:rPr>
                <w:rFonts w:asciiTheme="minorHAnsi" w:hAnsiTheme="minorHAnsi" w:cstheme="minorHAnsi"/>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0C7304">
            <w:pPr>
              <w:jc w:val="left"/>
              <w:rPr>
                <w:rFonts w:asciiTheme="minorHAnsi" w:hAnsiTheme="minorHAnsi" w:cstheme="minorHAns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0C7304">
            <w:pPr>
              <w:jc w:val="left"/>
              <w:rPr>
                <w:rFonts w:asciiTheme="minorHAnsi" w:hAnsiTheme="minorHAnsi" w:cstheme="minorHAnsi"/>
                <w:color w:val="000000"/>
                <w:sz w:val="20"/>
                <w:szCs w:val="20"/>
              </w:rPr>
            </w:pPr>
          </w:p>
        </w:tc>
      </w:tr>
      <w:tr w:rsidR="00B059CC" w:rsidRPr="007619C3" w:rsidTr="00B059CC">
        <w:trPr>
          <w:trHeight w:val="1225"/>
        </w:trPr>
        <w:tc>
          <w:tcPr>
            <w:tcW w:w="2268" w:type="dxa"/>
            <w:tcBorders>
              <w:top w:val="single" w:sz="4" w:space="0" w:color="auto"/>
              <w:left w:val="single" w:sz="4" w:space="0" w:color="auto"/>
              <w:bottom w:val="single" w:sz="4" w:space="0" w:color="auto"/>
              <w:right w:val="single" w:sz="4" w:space="0" w:color="auto"/>
            </w:tcBorders>
            <w:shd w:val="clear" w:color="000000" w:fill="C4D79B"/>
          </w:tcPr>
          <w:p w:rsidR="006320A9" w:rsidRPr="007619C3" w:rsidRDefault="006320A9" w:rsidP="00C415C7">
            <w:pPr>
              <w:spacing w:after="240"/>
              <w:jc w:val="left"/>
              <w:rPr>
                <w:rFonts w:ascii="Calibri" w:hAnsi="Calibri" w:cs="Calibri"/>
                <w:b/>
                <w:bCs/>
                <w:color w:val="000000"/>
              </w:rPr>
            </w:pPr>
            <w:r w:rsidRPr="0011273B">
              <w:rPr>
                <w:rFonts w:asciiTheme="minorHAnsi" w:hAnsiTheme="minorHAnsi" w:cstheme="minorHAnsi"/>
                <w:b/>
                <w:bCs/>
                <w:color w:val="000000"/>
                <w:sz w:val="20"/>
                <w:szCs w:val="20"/>
              </w:rPr>
              <w:t xml:space="preserve">Intermediate outcome: </w:t>
            </w:r>
            <w:r w:rsidRPr="008D7B62">
              <w:rPr>
                <w:rFonts w:asciiTheme="minorHAnsi" w:hAnsiTheme="minorHAnsi" w:cstheme="minorHAnsi"/>
                <w:iCs/>
                <w:color w:val="000000"/>
                <w:sz w:val="20"/>
                <w:szCs w:val="20"/>
              </w:rPr>
              <w:t>Strengthened audit capacity</w:t>
            </w:r>
            <w:r>
              <w:rPr>
                <w:rFonts w:asciiTheme="minorHAnsi" w:hAnsiTheme="minorHAnsi" w:cstheme="minorHAnsi"/>
                <w:iCs/>
                <w:color w:val="000000"/>
                <w:sz w:val="20"/>
                <w:szCs w:val="20"/>
              </w:rPr>
              <w:t xml:space="preserve"> and improved auditing of AusAID funds.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059CC" w:rsidRDefault="0029266A" w:rsidP="00C415C7">
            <w:pPr>
              <w:spacing w:after="240"/>
              <w:jc w:val="left"/>
              <w:rPr>
                <w:rFonts w:ascii="Calibri" w:hAnsi="Calibri" w:cs="Calibri"/>
                <w:i/>
                <w:iCs/>
                <w:color w:val="000000"/>
                <w:sz w:val="20"/>
                <w:szCs w:val="20"/>
              </w:rPr>
            </w:pPr>
            <w:r>
              <w:rPr>
                <w:rFonts w:asciiTheme="minorHAnsi" w:hAnsiTheme="minorHAnsi" w:cstheme="minorHAnsi"/>
                <w:i/>
                <w:iCs/>
                <w:color w:val="000000"/>
                <w:sz w:val="20"/>
                <w:szCs w:val="20"/>
              </w:rPr>
              <w:t>Timeliness of annual audits of programs/ministries/departments/agencies; evidence of follow up on audit recommendations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320A9" w:rsidRDefault="006320A9" w:rsidP="00C415C7">
            <w:pPr>
              <w:spacing w:after="240"/>
              <w:jc w:val="left"/>
              <w:rPr>
                <w:rFonts w:asciiTheme="minorHAnsi" w:hAnsiTheme="minorHAnsi" w:cstheme="minorHAnsi"/>
                <w:color w:val="000000"/>
                <w:sz w:val="20"/>
                <w:szCs w:val="20"/>
              </w:rPr>
            </w:pPr>
            <w:r w:rsidRPr="003B76F4">
              <w:rPr>
                <w:rFonts w:asciiTheme="minorHAnsi" w:hAnsiTheme="minorHAnsi" w:cstheme="minorHAnsi"/>
                <w:color w:val="000000"/>
                <w:sz w:val="20"/>
                <w:szCs w:val="20"/>
              </w:rPr>
              <w:t>AusAID annual sample audit of procurement transactions;</w:t>
            </w:r>
            <w:r>
              <w:rPr>
                <w:rFonts w:asciiTheme="minorHAnsi" w:hAnsiTheme="minorHAnsi" w:cstheme="minorHAnsi"/>
                <w:color w:val="000000"/>
                <w:sz w:val="20"/>
                <w:szCs w:val="20"/>
              </w:rPr>
              <w:t xml:space="preserve"> MoFNP supervision of GoT PFM Roadmap; biennial PEFA assessments</w:t>
            </w:r>
          </w:p>
          <w:p w:rsidR="00BA20D5" w:rsidRDefault="00BA20D5" w:rsidP="00C415C7">
            <w:pPr>
              <w:spacing w:after="240"/>
              <w:jc w:val="left"/>
              <w:rPr>
                <w:rFonts w:asciiTheme="minorHAnsi" w:hAnsiTheme="minorHAnsi" w:cstheme="minorHAnsi"/>
                <w:color w:val="000000"/>
                <w:sz w:val="20"/>
                <w:szCs w:val="20"/>
              </w:rPr>
            </w:pPr>
          </w:p>
          <w:p w:rsidR="00BA20D5" w:rsidRPr="008D34B3" w:rsidRDefault="00BA20D5" w:rsidP="00C415C7">
            <w:pPr>
              <w:spacing w:after="240"/>
              <w:jc w:val="left"/>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320A9" w:rsidRDefault="006320A9" w:rsidP="00C415C7">
            <w:pPr>
              <w:spacing w:after="240"/>
              <w:jc w:val="left"/>
              <w:rPr>
                <w:rFonts w:ascii="Calibri" w:hAnsi="Calibri" w:cs="Calibri"/>
                <w:iCs/>
                <w:sz w:val="20"/>
                <w:szCs w:val="20"/>
              </w:rPr>
            </w:pPr>
            <w:r w:rsidRPr="005915EA">
              <w:rPr>
                <w:rFonts w:ascii="Calibri" w:hAnsi="Calibri" w:cs="Calibri"/>
                <w:iCs/>
                <w:sz w:val="20"/>
                <w:szCs w:val="20"/>
              </w:rPr>
              <w:t xml:space="preserve">Ratings for the relevant PEFA criteria (2010): </w:t>
            </w:r>
          </w:p>
          <w:p w:rsidR="006320A9" w:rsidRPr="00CD49EB" w:rsidRDefault="006320A9" w:rsidP="00C415C7">
            <w:pPr>
              <w:spacing w:after="240"/>
              <w:jc w:val="left"/>
              <w:rPr>
                <w:rFonts w:ascii="Calibri" w:hAnsi="Calibri" w:cs="Calibri"/>
                <w:iCs/>
                <w:color w:val="FF0000"/>
                <w:sz w:val="20"/>
                <w:szCs w:val="20"/>
              </w:rPr>
            </w:pPr>
            <w:r w:rsidRPr="005915EA">
              <w:rPr>
                <w:rFonts w:ascii="Calibri" w:hAnsi="Calibri" w:cs="Calibri"/>
                <w:iCs/>
                <w:sz w:val="20"/>
                <w:szCs w:val="20"/>
              </w:rPr>
              <w:t>P1-21(i) D, P1-21(ii) C, P1(iii) D</w:t>
            </w:r>
          </w:p>
        </w:tc>
        <w:tc>
          <w:tcPr>
            <w:tcW w:w="850" w:type="dxa"/>
            <w:tcBorders>
              <w:top w:val="single" w:sz="4" w:space="0" w:color="auto"/>
              <w:left w:val="nil"/>
              <w:bottom w:val="single" w:sz="4" w:space="0" w:color="auto"/>
              <w:right w:val="single" w:sz="4" w:space="0" w:color="auto"/>
            </w:tcBorders>
            <w:shd w:val="clear" w:color="000000" w:fill="FFFF00"/>
          </w:tcPr>
          <w:p w:rsidR="006320A9" w:rsidRPr="001122AE" w:rsidRDefault="006320A9" w:rsidP="00C415C7">
            <w:pPr>
              <w:spacing w:after="240"/>
              <w:jc w:val="left"/>
              <w:rPr>
                <w:rFonts w:asciiTheme="minorHAnsi" w:hAnsiTheme="minorHAnsi" w:cstheme="minorHAnsi"/>
                <w:b/>
                <w:bCs/>
                <w:color w:val="000000"/>
                <w:sz w:val="20"/>
                <w:szCs w:val="20"/>
              </w:rPr>
            </w:pPr>
            <w:r w:rsidRPr="001122AE">
              <w:rPr>
                <w:rFonts w:asciiTheme="minorHAnsi" w:hAnsiTheme="minorHAnsi" w:cstheme="minorHAnsi"/>
                <w:b/>
                <w:bCs/>
                <w:color w:val="000000"/>
                <w:sz w:val="20"/>
                <w:szCs w:val="20"/>
              </w:rPr>
              <w:t>Target:</w:t>
            </w:r>
          </w:p>
        </w:tc>
        <w:tc>
          <w:tcPr>
            <w:tcW w:w="1418" w:type="dxa"/>
            <w:tcBorders>
              <w:top w:val="single" w:sz="4" w:space="0" w:color="auto"/>
              <w:left w:val="nil"/>
              <w:bottom w:val="single" w:sz="4" w:space="0" w:color="auto"/>
              <w:right w:val="single" w:sz="4" w:space="0" w:color="auto"/>
            </w:tcBorders>
            <w:shd w:val="clear" w:color="auto" w:fill="auto"/>
          </w:tcPr>
          <w:p w:rsidR="006320A9" w:rsidRDefault="006320A9" w:rsidP="00C415C7">
            <w:pPr>
              <w:spacing w:after="240"/>
              <w:jc w:val="left"/>
              <w:rPr>
                <w:rFonts w:ascii="Calibri" w:hAnsi="Calibri" w:cs="Calibri"/>
                <w:iCs/>
                <w:sz w:val="20"/>
                <w:szCs w:val="20"/>
              </w:rPr>
            </w:pPr>
            <w:r>
              <w:rPr>
                <w:rFonts w:ascii="Calibri" w:hAnsi="Calibri" w:cs="Calibri"/>
                <w:iCs/>
                <w:sz w:val="20"/>
                <w:szCs w:val="20"/>
              </w:rPr>
              <w:t>GoT r</w:t>
            </w:r>
            <w:r w:rsidRPr="005915EA">
              <w:rPr>
                <w:rFonts w:ascii="Calibri" w:hAnsi="Calibri" w:cs="Calibri"/>
                <w:iCs/>
                <w:sz w:val="20"/>
                <w:szCs w:val="20"/>
              </w:rPr>
              <w:t xml:space="preserve">atings </w:t>
            </w:r>
            <w:r>
              <w:rPr>
                <w:rFonts w:ascii="Calibri" w:hAnsi="Calibri" w:cs="Calibri"/>
                <w:iCs/>
                <w:sz w:val="20"/>
                <w:szCs w:val="20"/>
              </w:rPr>
              <w:t xml:space="preserve">goal </w:t>
            </w:r>
            <w:r w:rsidRPr="005915EA">
              <w:rPr>
                <w:rFonts w:ascii="Calibri" w:hAnsi="Calibri" w:cs="Calibri"/>
                <w:iCs/>
                <w:sz w:val="20"/>
                <w:szCs w:val="20"/>
              </w:rPr>
              <w:t>for the relevant PEFA criteria (201</w:t>
            </w:r>
            <w:r>
              <w:rPr>
                <w:rFonts w:ascii="Calibri" w:hAnsi="Calibri" w:cs="Calibri"/>
                <w:iCs/>
                <w:sz w:val="20"/>
                <w:szCs w:val="20"/>
              </w:rPr>
              <w:t>4</w:t>
            </w:r>
            <w:r w:rsidRPr="005915EA">
              <w:rPr>
                <w:rFonts w:ascii="Calibri" w:hAnsi="Calibri" w:cs="Calibri"/>
                <w:iCs/>
                <w:sz w:val="20"/>
                <w:szCs w:val="20"/>
              </w:rPr>
              <w:t xml:space="preserve">): </w:t>
            </w:r>
          </w:p>
          <w:p w:rsidR="006320A9" w:rsidRDefault="006320A9" w:rsidP="00C415C7">
            <w:pPr>
              <w:spacing w:after="240"/>
              <w:jc w:val="left"/>
              <w:rPr>
                <w:rFonts w:ascii="Calibri" w:hAnsi="Calibri" w:cs="Calibri"/>
                <w:color w:val="000000"/>
                <w:sz w:val="20"/>
                <w:szCs w:val="20"/>
              </w:rPr>
            </w:pPr>
            <w:r>
              <w:rPr>
                <w:rFonts w:ascii="Calibri" w:hAnsi="Calibri" w:cs="Calibri"/>
                <w:iCs/>
                <w:sz w:val="20"/>
                <w:szCs w:val="20"/>
              </w:rPr>
              <w:t>P1-21(i) B</w:t>
            </w:r>
            <w:r w:rsidRPr="005915EA">
              <w:rPr>
                <w:rFonts w:ascii="Calibri" w:hAnsi="Calibri" w:cs="Calibri"/>
                <w:iCs/>
                <w:sz w:val="20"/>
                <w:szCs w:val="20"/>
              </w:rPr>
              <w:t xml:space="preserve">, P1-21(ii) </w:t>
            </w:r>
            <w:r>
              <w:rPr>
                <w:rFonts w:ascii="Calibri" w:hAnsi="Calibri" w:cs="Calibri"/>
                <w:iCs/>
                <w:sz w:val="20"/>
                <w:szCs w:val="20"/>
              </w:rPr>
              <w:t>B, P1(iii) B</w:t>
            </w:r>
          </w:p>
        </w:tc>
        <w:tc>
          <w:tcPr>
            <w:tcW w:w="1417" w:type="dxa"/>
            <w:tcBorders>
              <w:top w:val="single" w:sz="4" w:space="0" w:color="auto"/>
              <w:left w:val="nil"/>
              <w:bottom w:val="single" w:sz="4" w:space="0" w:color="auto"/>
              <w:right w:val="single" w:sz="4" w:space="0" w:color="auto"/>
            </w:tcBorders>
            <w:shd w:val="clear" w:color="auto" w:fill="auto"/>
          </w:tcPr>
          <w:p w:rsidR="006320A9" w:rsidRPr="007619C3" w:rsidRDefault="006320A9" w:rsidP="00C415C7">
            <w:pPr>
              <w:spacing w:after="240"/>
              <w:jc w:val="left"/>
              <w:rPr>
                <w:rFonts w:ascii="Calibri" w:hAnsi="Calibri" w:cs="Calibri"/>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rsidR="006320A9" w:rsidRPr="007619C3" w:rsidRDefault="006320A9" w:rsidP="00C415C7">
            <w:pPr>
              <w:spacing w:after="240"/>
              <w:jc w:val="left"/>
              <w:rPr>
                <w:rFonts w:ascii="Calibri" w:hAnsi="Calibri" w:cs="Calibri"/>
                <w:color w:val="00000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7619C3" w:rsidRDefault="006320A9" w:rsidP="00C415C7">
            <w:pPr>
              <w:spacing w:after="240"/>
              <w:jc w:val="left"/>
              <w:rPr>
                <w:rFonts w:ascii="Calibri" w:hAnsi="Calibri" w:cs="Calibri"/>
                <w:color w:val="000000"/>
              </w:rPr>
            </w:pPr>
          </w:p>
        </w:tc>
      </w:tr>
      <w:tr w:rsidR="006320A9" w:rsidRPr="0011273B" w:rsidTr="00C415C7">
        <w:trPr>
          <w:trHeight w:val="499"/>
        </w:trPr>
        <w:tc>
          <w:tcPr>
            <w:tcW w:w="14317" w:type="dxa"/>
            <w:gridSpan w:val="10"/>
            <w:tcBorders>
              <w:top w:val="single" w:sz="4" w:space="0" w:color="auto"/>
              <w:left w:val="single" w:sz="4" w:space="0" w:color="auto"/>
              <w:bottom w:val="single" w:sz="4" w:space="0" w:color="000000"/>
              <w:right w:val="single" w:sz="4" w:space="0" w:color="auto"/>
            </w:tcBorders>
            <w:shd w:val="clear" w:color="000000" w:fill="DBE5F1" w:themeFill="accent1" w:themeFillTint="33"/>
          </w:tcPr>
          <w:p w:rsidR="006320A9" w:rsidRPr="001122AE" w:rsidRDefault="006320A9" w:rsidP="000D4ECF">
            <w:pPr>
              <w:jc w:val="left"/>
              <w:rPr>
                <w:rFonts w:asciiTheme="minorHAnsi" w:hAnsiTheme="minorHAnsi" w:cstheme="minorHAnsi"/>
                <w:b/>
                <w:bCs/>
                <w:color w:val="000000"/>
                <w:sz w:val="20"/>
                <w:szCs w:val="20"/>
              </w:rPr>
            </w:pPr>
            <w:r w:rsidRPr="001122AE">
              <w:rPr>
                <w:rFonts w:asciiTheme="minorHAnsi" w:hAnsiTheme="minorHAnsi" w:cstheme="minorHAnsi"/>
                <w:b/>
                <w:bCs/>
                <w:color w:val="000000"/>
                <w:sz w:val="20"/>
                <w:szCs w:val="20"/>
              </w:rPr>
              <w:t>End-of-strategy outcome three – Business enabling environment</w:t>
            </w:r>
          </w:p>
        </w:tc>
      </w:tr>
      <w:tr w:rsidR="006320A9" w:rsidRPr="0011273B" w:rsidTr="00C415C7">
        <w:trPr>
          <w:trHeight w:val="745"/>
        </w:trPr>
        <w:tc>
          <w:tcPr>
            <w:tcW w:w="2268" w:type="dxa"/>
            <w:vMerge w:val="restart"/>
            <w:tcBorders>
              <w:top w:val="single" w:sz="4" w:space="0" w:color="auto"/>
              <w:left w:val="single" w:sz="4" w:space="0" w:color="auto"/>
              <w:bottom w:val="single" w:sz="4" w:space="0" w:color="auto"/>
              <w:right w:val="single" w:sz="4" w:space="0" w:color="auto"/>
            </w:tcBorders>
            <w:shd w:val="clear" w:color="auto" w:fill="92D050"/>
            <w:hideMark/>
          </w:tcPr>
          <w:p w:rsidR="006320A9" w:rsidRPr="0011273B" w:rsidRDefault="006320A9" w:rsidP="00B40754">
            <w:pPr>
              <w:jc w:val="left"/>
              <w:rPr>
                <w:rFonts w:asciiTheme="minorHAnsi" w:hAnsiTheme="minorHAnsi" w:cstheme="minorHAnsi"/>
                <w:i/>
                <w:iCs/>
                <w:color w:val="000000"/>
                <w:sz w:val="20"/>
                <w:szCs w:val="20"/>
              </w:rPr>
            </w:pPr>
            <w:r w:rsidRPr="0011273B">
              <w:rPr>
                <w:rFonts w:asciiTheme="minorHAnsi" w:hAnsiTheme="minorHAnsi" w:cstheme="minorHAnsi"/>
                <w:b/>
                <w:bCs/>
                <w:color w:val="000000"/>
                <w:sz w:val="20"/>
                <w:szCs w:val="20"/>
              </w:rPr>
              <w:t xml:space="preserve">End-of-strategy outcome: </w:t>
            </w:r>
            <w:r w:rsidRPr="0011273B">
              <w:rPr>
                <w:rFonts w:asciiTheme="minorHAnsi" w:hAnsiTheme="minorHAnsi" w:cstheme="minorHAnsi"/>
                <w:bCs/>
                <w:color w:val="000000"/>
                <w:sz w:val="20"/>
                <w:szCs w:val="20"/>
              </w:rPr>
              <w:t>The majority of public enterprises reform and GoT agencies enable measureable development of the private sector</w:t>
            </w:r>
          </w:p>
        </w:tc>
        <w:tc>
          <w:tcPr>
            <w:tcW w:w="1985" w:type="dxa"/>
            <w:vMerge w:val="restart"/>
            <w:tcBorders>
              <w:top w:val="single" w:sz="4" w:space="0" w:color="auto"/>
              <w:left w:val="nil"/>
              <w:right w:val="nil"/>
            </w:tcBorders>
            <w:shd w:val="clear" w:color="auto" w:fill="auto"/>
            <w:noWrap/>
          </w:tcPr>
          <w:p w:rsidR="006320A9" w:rsidRPr="0011273B" w:rsidRDefault="006320A9" w:rsidP="000D4ECF">
            <w:pPr>
              <w:spacing w:after="240"/>
              <w:jc w:val="left"/>
              <w:rPr>
                <w:rFonts w:asciiTheme="minorHAnsi" w:hAnsiTheme="minorHAnsi" w:cstheme="minorHAnsi"/>
                <w:i/>
                <w:iCs/>
                <w:color w:val="000000"/>
                <w:sz w:val="20"/>
                <w:szCs w:val="20"/>
              </w:rPr>
            </w:pPr>
            <w:r w:rsidRPr="0011273B">
              <w:rPr>
                <w:rFonts w:asciiTheme="minorHAnsi" w:hAnsiTheme="minorHAnsi" w:cstheme="minorHAnsi"/>
                <w:i/>
                <w:iCs/>
                <w:color w:val="000000"/>
                <w:sz w:val="20"/>
                <w:szCs w:val="20"/>
              </w:rPr>
              <w:t>Tonga rankings in annual World Bank Doing Business Survey</w:t>
            </w:r>
          </w:p>
        </w:tc>
        <w:tc>
          <w:tcPr>
            <w:tcW w:w="1843" w:type="dxa"/>
            <w:gridSpan w:val="2"/>
            <w:vMerge w:val="restart"/>
            <w:tcBorders>
              <w:top w:val="single" w:sz="4" w:space="0" w:color="auto"/>
              <w:left w:val="single" w:sz="4" w:space="0" w:color="auto"/>
              <w:right w:val="single" w:sz="4" w:space="0" w:color="auto"/>
            </w:tcBorders>
            <w:shd w:val="clear" w:color="auto" w:fill="auto"/>
            <w:vAlign w:val="center"/>
            <w:hideMark/>
          </w:tcPr>
          <w:p w:rsidR="006320A9" w:rsidRPr="0011273B" w:rsidRDefault="006320A9" w:rsidP="00B40754">
            <w:pPr>
              <w:jc w:val="left"/>
              <w:rPr>
                <w:rFonts w:asciiTheme="minorHAnsi" w:hAnsiTheme="minorHAnsi" w:cstheme="minorHAnsi"/>
                <w:sz w:val="20"/>
                <w:szCs w:val="20"/>
              </w:rPr>
            </w:pPr>
            <w:r w:rsidRPr="0011273B">
              <w:rPr>
                <w:rFonts w:asciiTheme="minorHAnsi" w:hAnsiTheme="minorHAnsi" w:cstheme="minorHAnsi"/>
                <w:sz w:val="20"/>
                <w:szCs w:val="20"/>
              </w:rPr>
              <w:t>Annual World Bank Doing Business Survey</w:t>
            </w:r>
          </w:p>
        </w:tc>
        <w:tc>
          <w:tcPr>
            <w:tcW w:w="1701" w:type="dxa"/>
            <w:vMerge w:val="restart"/>
            <w:tcBorders>
              <w:top w:val="single" w:sz="4" w:space="0" w:color="auto"/>
              <w:left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Cs/>
                <w:color w:val="000000"/>
                <w:sz w:val="20"/>
                <w:szCs w:val="20"/>
              </w:rPr>
            </w:pPr>
          </w:p>
          <w:p w:rsidR="006320A9" w:rsidRPr="0011273B" w:rsidRDefault="006320A9" w:rsidP="000D4ECF">
            <w:pPr>
              <w:jc w:val="left"/>
              <w:rPr>
                <w:rFonts w:asciiTheme="minorHAnsi" w:hAnsiTheme="minorHAnsi" w:cstheme="minorHAnsi"/>
                <w:iCs/>
                <w:color w:val="000000"/>
                <w:sz w:val="20"/>
                <w:szCs w:val="20"/>
              </w:rPr>
            </w:pPr>
          </w:p>
        </w:tc>
        <w:tc>
          <w:tcPr>
            <w:tcW w:w="850" w:type="dxa"/>
            <w:tcBorders>
              <w:top w:val="single" w:sz="4" w:space="0" w:color="auto"/>
              <w:left w:val="nil"/>
              <w:bottom w:val="single" w:sz="4" w:space="0" w:color="auto"/>
              <w:right w:val="single" w:sz="4" w:space="0" w:color="auto"/>
            </w:tcBorders>
            <w:shd w:val="clear" w:color="000000" w:fill="FFFF00"/>
            <w:hideMark/>
          </w:tcPr>
          <w:p w:rsidR="006320A9" w:rsidRPr="0011273B" w:rsidRDefault="006320A9" w:rsidP="000D4ECF">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pStyle w:val="ListBullet"/>
              <w:spacing w:before="0" w:after="0"/>
              <w:ind w:left="0"/>
              <w:jc w:val="left"/>
              <w:rPr>
                <w:rFonts w:asciiTheme="minorHAnsi" w:hAnsiTheme="minorHAnsi" w:cstheme="minorHAnsi"/>
                <w:sz w:val="20"/>
                <w:lang w:val="en-GB"/>
              </w:rPr>
            </w:pP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
                <w:i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
                <w:iCs/>
                <w:color w:val="000000"/>
                <w:sz w:val="20"/>
                <w:szCs w:val="20"/>
              </w:rPr>
            </w:pPr>
          </w:p>
        </w:tc>
      </w:tr>
      <w:tr w:rsidR="006320A9" w:rsidRPr="0011273B" w:rsidTr="00C415C7">
        <w:trPr>
          <w:trHeight w:val="840"/>
        </w:trPr>
        <w:tc>
          <w:tcPr>
            <w:tcW w:w="2268" w:type="dxa"/>
            <w:vMerge/>
            <w:tcBorders>
              <w:left w:val="single" w:sz="4" w:space="0" w:color="auto"/>
              <w:bottom w:val="single" w:sz="4" w:space="0" w:color="auto"/>
              <w:right w:val="single" w:sz="4" w:space="0" w:color="auto"/>
            </w:tcBorders>
            <w:shd w:val="clear" w:color="auto" w:fill="92D050"/>
          </w:tcPr>
          <w:p w:rsidR="006320A9" w:rsidRPr="0011273B" w:rsidRDefault="006320A9" w:rsidP="000D4ECF">
            <w:pPr>
              <w:jc w:val="left"/>
              <w:rPr>
                <w:rFonts w:asciiTheme="minorHAnsi" w:hAnsiTheme="minorHAnsi" w:cstheme="minorHAnsi"/>
                <w:b/>
                <w:bCs/>
                <w:color w:val="000000"/>
                <w:sz w:val="20"/>
                <w:szCs w:val="20"/>
              </w:rPr>
            </w:pPr>
          </w:p>
        </w:tc>
        <w:tc>
          <w:tcPr>
            <w:tcW w:w="1985" w:type="dxa"/>
            <w:vMerge/>
            <w:tcBorders>
              <w:left w:val="nil"/>
              <w:bottom w:val="single" w:sz="4" w:space="0" w:color="auto"/>
              <w:right w:val="nil"/>
            </w:tcBorders>
            <w:shd w:val="clear" w:color="auto" w:fill="auto"/>
            <w:noWrap/>
          </w:tcPr>
          <w:p w:rsidR="006320A9" w:rsidRPr="0011273B" w:rsidRDefault="006320A9" w:rsidP="000D4ECF">
            <w:pPr>
              <w:jc w:val="left"/>
              <w:rPr>
                <w:rFonts w:asciiTheme="minorHAnsi" w:hAnsiTheme="minorHAnsi" w:cstheme="minorHAnsi"/>
                <w:i/>
                <w:sz w:val="20"/>
                <w:szCs w:val="20"/>
                <w:lang w:val="en-GB"/>
              </w:rPr>
            </w:pPr>
          </w:p>
        </w:tc>
        <w:tc>
          <w:tcPr>
            <w:tcW w:w="1843" w:type="dxa"/>
            <w:gridSpan w:val="2"/>
            <w:vMerge/>
            <w:tcBorders>
              <w:left w:val="single" w:sz="4" w:space="0" w:color="auto"/>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Cs/>
                <w:color w:val="000000"/>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
                <w:iCs/>
                <w:color w:val="000000"/>
                <w:sz w:val="20"/>
                <w:szCs w:val="20"/>
              </w:rPr>
            </w:pPr>
          </w:p>
        </w:tc>
        <w:tc>
          <w:tcPr>
            <w:tcW w:w="850" w:type="dxa"/>
            <w:tcBorders>
              <w:top w:val="nil"/>
              <w:left w:val="nil"/>
              <w:right w:val="single" w:sz="4" w:space="0" w:color="auto"/>
            </w:tcBorders>
            <w:shd w:val="clear" w:color="000000" w:fill="FFFF00"/>
          </w:tcPr>
          <w:p w:rsidR="006320A9" w:rsidRPr="0011273B" w:rsidRDefault="006320A9" w:rsidP="000D4ECF">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Actual:</w:t>
            </w: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0D4ECF">
            <w:pPr>
              <w:pStyle w:val="ListBullet"/>
              <w:spacing w:before="0" w:after="0"/>
              <w:ind w:left="0"/>
              <w:jc w:val="left"/>
              <w:rPr>
                <w:rFonts w:asciiTheme="minorHAnsi" w:hAnsiTheme="minorHAnsi" w:cstheme="minorHAnsi"/>
                <w:sz w:val="20"/>
                <w:lang w:val="en-GB"/>
              </w:rPr>
            </w:pP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
                <w:i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
                <w:iCs/>
                <w:color w:val="000000"/>
                <w:sz w:val="20"/>
                <w:szCs w:val="20"/>
              </w:rPr>
            </w:pPr>
          </w:p>
        </w:tc>
      </w:tr>
      <w:tr w:rsidR="006320A9" w:rsidRPr="0011273B" w:rsidTr="00C415C7">
        <w:trPr>
          <w:trHeight w:val="699"/>
        </w:trPr>
        <w:tc>
          <w:tcPr>
            <w:tcW w:w="2268" w:type="dxa"/>
            <w:vMerge w:val="restart"/>
            <w:tcBorders>
              <w:top w:val="single" w:sz="4" w:space="0" w:color="auto"/>
              <w:left w:val="single" w:sz="4" w:space="0" w:color="auto"/>
              <w:bottom w:val="single" w:sz="4" w:space="0" w:color="auto"/>
              <w:right w:val="single" w:sz="4" w:space="0" w:color="auto"/>
            </w:tcBorders>
            <w:shd w:val="clear" w:color="000000" w:fill="C4D79B"/>
            <w:hideMark/>
          </w:tcPr>
          <w:p w:rsidR="006320A9" w:rsidRPr="0011273B" w:rsidRDefault="006320A9" w:rsidP="006405B8">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Intermediate outcome</w:t>
            </w:r>
            <w:r>
              <w:rPr>
                <w:rFonts w:asciiTheme="minorHAnsi" w:hAnsiTheme="minorHAnsi" w:cstheme="minorHAnsi"/>
                <w:b/>
                <w:bCs/>
                <w:color w:val="000000"/>
                <w:sz w:val="20"/>
                <w:szCs w:val="20"/>
              </w:rPr>
              <w:t>:</w:t>
            </w:r>
            <w:r>
              <w:rPr>
                <w:rFonts w:ascii="Calibri" w:hAnsi="Calibri" w:cs="Calibri"/>
                <w:iCs/>
                <w:color w:val="000000"/>
                <w:sz w:val="20"/>
                <w:szCs w:val="20"/>
              </w:rPr>
              <w:t xml:space="preserve"> Reform of public enterprises by MoPE, including corporatisation/privatisation of inefficient SOEs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6320A9" w:rsidRPr="00DF2B53" w:rsidRDefault="006320A9" w:rsidP="0024070E">
            <w:pPr>
              <w:jc w:val="left"/>
              <w:rPr>
                <w:rFonts w:ascii="Calibri" w:hAnsi="Calibri" w:cs="Calibri"/>
                <w:i/>
                <w:iCs/>
                <w:color w:val="000000"/>
                <w:sz w:val="20"/>
                <w:szCs w:val="20"/>
              </w:rPr>
            </w:pPr>
            <w:r w:rsidRPr="001E0DDF">
              <w:rPr>
                <w:rFonts w:ascii="Calibri" w:hAnsi="Calibri" w:cs="Calibri"/>
                <w:i/>
                <w:iCs/>
                <w:color w:val="000000"/>
                <w:sz w:val="20"/>
                <w:szCs w:val="20"/>
              </w:rPr>
              <w:t xml:space="preserve">Key </w:t>
            </w:r>
            <w:r>
              <w:rPr>
                <w:rFonts w:ascii="Calibri" w:hAnsi="Calibri" w:cs="Calibri"/>
                <w:i/>
                <w:iCs/>
                <w:color w:val="000000"/>
                <w:sz w:val="20"/>
                <w:szCs w:val="20"/>
              </w:rPr>
              <w:t xml:space="preserve">structural </w:t>
            </w:r>
            <w:r w:rsidRPr="001E0DDF">
              <w:rPr>
                <w:rFonts w:ascii="Calibri" w:hAnsi="Calibri" w:cs="Calibri"/>
                <w:i/>
                <w:iCs/>
                <w:color w:val="000000"/>
                <w:sz w:val="20"/>
                <w:szCs w:val="20"/>
              </w:rPr>
              <w:t>reforms identified in the PFM Roadmap are progressed by M</w:t>
            </w:r>
            <w:r>
              <w:rPr>
                <w:rFonts w:ascii="Calibri" w:hAnsi="Calibri" w:cs="Calibri"/>
                <w:i/>
                <w:iCs/>
                <w:color w:val="000000"/>
                <w:sz w:val="20"/>
                <w:szCs w:val="20"/>
              </w:rPr>
              <w:t>oPE</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320A9" w:rsidRPr="0011273B" w:rsidRDefault="006320A9" w:rsidP="003C103F">
            <w:pPr>
              <w:jc w:val="left"/>
              <w:rPr>
                <w:rFonts w:asciiTheme="minorHAnsi" w:hAnsiTheme="minorHAnsi" w:cstheme="minorHAnsi"/>
                <w:color w:val="000000"/>
                <w:sz w:val="20"/>
                <w:szCs w:val="20"/>
              </w:rPr>
            </w:pPr>
            <w:r>
              <w:rPr>
                <w:rFonts w:asciiTheme="minorHAnsi" w:hAnsiTheme="minorHAnsi" w:cstheme="minorHAnsi"/>
                <w:color w:val="000000"/>
                <w:sz w:val="20"/>
                <w:szCs w:val="20"/>
              </w:rPr>
              <w:t>Biannual World Bank Policy Reform Matrix monitoring missions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320A9" w:rsidRPr="0011273B" w:rsidRDefault="006320A9" w:rsidP="000D4ECF">
            <w:pPr>
              <w:jc w:val="left"/>
              <w:rPr>
                <w:rFonts w:asciiTheme="minorHAnsi" w:hAnsiTheme="minorHAnsi" w:cstheme="minorHAnsi"/>
                <w:i/>
                <w:iCs/>
                <w:color w:val="FF0000"/>
                <w:sz w:val="20"/>
                <w:szCs w:val="20"/>
              </w:rPr>
            </w:pPr>
            <w:r w:rsidRPr="0011273B">
              <w:rPr>
                <w:rFonts w:asciiTheme="minorHAnsi" w:hAnsiTheme="minorHAnsi" w:cstheme="minorHAnsi"/>
                <w:i/>
                <w:iCs/>
                <w:color w:val="FF0000"/>
                <w:sz w:val="20"/>
                <w:szCs w:val="20"/>
              </w:rPr>
              <w:t> </w:t>
            </w:r>
          </w:p>
          <w:p w:rsidR="006320A9" w:rsidRPr="0011273B" w:rsidRDefault="006320A9" w:rsidP="000D4ECF">
            <w:pPr>
              <w:jc w:val="left"/>
              <w:rPr>
                <w:rFonts w:asciiTheme="minorHAnsi" w:hAnsiTheme="minorHAnsi" w:cstheme="minorHAnsi"/>
                <w:i/>
                <w:iCs/>
                <w:color w:val="FF0000"/>
                <w:sz w:val="20"/>
                <w:szCs w:val="20"/>
              </w:rPr>
            </w:pPr>
          </w:p>
          <w:p w:rsidR="006320A9" w:rsidRPr="0011273B" w:rsidRDefault="006320A9" w:rsidP="000D4ECF">
            <w:pPr>
              <w:jc w:val="left"/>
              <w:rPr>
                <w:rFonts w:asciiTheme="minorHAnsi" w:hAnsiTheme="minorHAnsi" w:cstheme="minorHAnsi"/>
                <w:i/>
                <w:iCs/>
                <w:color w:val="FF0000"/>
                <w:sz w:val="20"/>
                <w:szCs w:val="20"/>
              </w:rPr>
            </w:pPr>
          </w:p>
          <w:p w:rsidR="006320A9" w:rsidRPr="0011273B" w:rsidRDefault="006320A9" w:rsidP="000D4ECF">
            <w:pPr>
              <w:jc w:val="left"/>
              <w:rPr>
                <w:rFonts w:asciiTheme="minorHAnsi" w:hAnsiTheme="minorHAnsi" w:cstheme="minorHAnsi"/>
                <w:i/>
                <w:iCs/>
                <w:color w:val="FF0000"/>
                <w:sz w:val="20"/>
                <w:szCs w:val="20"/>
              </w:rPr>
            </w:pPr>
          </w:p>
          <w:p w:rsidR="006320A9" w:rsidRPr="0011273B" w:rsidRDefault="006320A9" w:rsidP="000D4ECF">
            <w:pPr>
              <w:jc w:val="left"/>
              <w:rPr>
                <w:rFonts w:asciiTheme="minorHAnsi" w:hAnsiTheme="minorHAnsi" w:cstheme="minorHAnsi"/>
                <w:i/>
                <w:iCs/>
                <w:color w:val="FF0000"/>
                <w:sz w:val="20"/>
                <w:szCs w:val="20"/>
              </w:rPr>
            </w:pPr>
          </w:p>
          <w:p w:rsidR="006320A9" w:rsidRPr="0011273B" w:rsidRDefault="006320A9" w:rsidP="000D4ECF">
            <w:pPr>
              <w:jc w:val="left"/>
              <w:rPr>
                <w:rFonts w:asciiTheme="minorHAnsi" w:hAnsiTheme="minorHAnsi" w:cstheme="minorHAnsi"/>
                <w:i/>
                <w:iCs/>
                <w:color w:val="FF0000"/>
                <w:sz w:val="20"/>
                <w:szCs w:val="20"/>
              </w:rPr>
            </w:pPr>
          </w:p>
        </w:tc>
        <w:tc>
          <w:tcPr>
            <w:tcW w:w="850" w:type="dxa"/>
            <w:tcBorders>
              <w:top w:val="single" w:sz="4" w:space="0" w:color="auto"/>
              <w:left w:val="nil"/>
              <w:bottom w:val="single" w:sz="4" w:space="0" w:color="auto"/>
              <w:right w:val="single" w:sz="4" w:space="0" w:color="auto"/>
            </w:tcBorders>
            <w:shd w:val="clear" w:color="000000" w:fill="FFFF00"/>
            <w:hideMark/>
          </w:tcPr>
          <w:p w:rsidR="006320A9" w:rsidRPr="0011273B" w:rsidRDefault="006320A9" w:rsidP="000D4ECF">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0D4ECF">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0D4ECF">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0D4ECF">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0D4ECF">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r>
      <w:tr w:rsidR="006320A9" w:rsidRPr="0011273B" w:rsidTr="00C415C7">
        <w:trPr>
          <w:trHeight w:val="698"/>
        </w:trPr>
        <w:tc>
          <w:tcPr>
            <w:tcW w:w="2268" w:type="dxa"/>
            <w:vMerge/>
            <w:tcBorders>
              <w:top w:val="single" w:sz="4" w:space="0" w:color="auto"/>
              <w:left w:val="single" w:sz="4" w:space="0" w:color="auto"/>
              <w:bottom w:val="single" w:sz="4" w:space="0" w:color="auto"/>
              <w:right w:val="single" w:sz="4" w:space="0" w:color="auto"/>
            </w:tcBorders>
            <w:shd w:val="clear" w:color="000000" w:fill="C4D79B"/>
          </w:tcPr>
          <w:p w:rsidR="006320A9" w:rsidRPr="0011273B" w:rsidRDefault="006320A9" w:rsidP="001F19A8">
            <w:pPr>
              <w:jc w:val="left"/>
              <w:rPr>
                <w:rFonts w:asciiTheme="minorHAnsi" w:hAnsiTheme="minorHAnsi" w:cstheme="minorHAnsi"/>
                <w:b/>
                <w:bCs/>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6320A9" w:rsidRPr="001E0DDF" w:rsidRDefault="006320A9" w:rsidP="0024070E">
            <w:pPr>
              <w:jc w:val="left"/>
              <w:rPr>
                <w:rFonts w:ascii="Calibri" w:hAnsi="Calibri" w:cs="Calibri"/>
                <w:i/>
                <w:iCs/>
                <w:color w:val="000000"/>
                <w:sz w:val="20"/>
                <w:szCs w:val="20"/>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tcPr>
          <w:p w:rsidR="006320A9" w:rsidRDefault="006320A9" w:rsidP="003C103F">
            <w:pPr>
              <w:jc w:val="left"/>
              <w:rPr>
                <w:rFonts w:asciiTheme="minorHAnsi" w:hAnsiTheme="minorHAnsi" w:cstheme="minorHAnsi"/>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
                <w:iCs/>
                <w:color w:val="FF0000"/>
                <w:sz w:val="20"/>
                <w:szCs w:val="20"/>
              </w:rPr>
            </w:pPr>
          </w:p>
        </w:tc>
        <w:tc>
          <w:tcPr>
            <w:tcW w:w="850" w:type="dxa"/>
            <w:tcBorders>
              <w:top w:val="single" w:sz="4" w:space="0" w:color="auto"/>
              <w:left w:val="nil"/>
              <w:bottom w:val="single" w:sz="4" w:space="0" w:color="auto"/>
              <w:right w:val="single" w:sz="4" w:space="0" w:color="auto"/>
            </w:tcBorders>
            <w:shd w:val="clear" w:color="000000" w:fill="FFFF00"/>
          </w:tcPr>
          <w:p w:rsidR="006320A9" w:rsidRPr="0011273B" w:rsidRDefault="006320A9" w:rsidP="000D4ECF">
            <w:pPr>
              <w:jc w:val="left"/>
              <w:rPr>
                <w:rFonts w:asciiTheme="minorHAnsi" w:hAnsiTheme="minorHAnsi" w:cstheme="minorHAnsi"/>
                <w:b/>
                <w:bCs/>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color w:val="000000"/>
                <w:sz w:val="20"/>
                <w:szCs w:val="20"/>
              </w:rPr>
            </w:pPr>
          </w:p>
        </w:tc>
      </w:tr>
      <w:tr w:rsidR="006320A9" w:rsidRPr="0011273B" w:rsidTr="00C415C7">
        <w:trPr>
          <w:trHeight w:val="416"/>
        </w:trPr>
        <w:tc>
          <w:tcPr>
            <w:tcW w:w="14317" w:type="dxa"/>
            <w:gridSpan w:val="10"/>
            <w:tcBorders>
              <w:top w:val="single" w:sz="4" w:space="0" w:color="auto"/>
              <w:left w:val="single" w:sz="4" w:space="0" w:color="auto"/>
              <w:bottom w:val="single" w:sz="4" w:space="0" w:color="000000"/>
              <w:right w:val="single" w:sz="4" w:space="0" w:color="auto"/>
            </w:tcBorders>
            <w:shd w:val="clear" w:color="000000" w:fill="DBE5F1" w:themeFill="accent1" w:themeFillTint="33"/>
          </w:tcPr>
          <w:p w:rsidR="006320A9" w:rsidRPr="001122AE" w:rsidRDefault="006320A9" w:rsidP="000D4ECF">
            <w:pPr>
              <w:jc w:val="left"/>
              <w:rPr>
                <w:rFonts w:asciiTheme="minorHAnsi" w:hAnsiTheme="minorHAnsi" w:cstheme="minorHAnsi"/>
                <w:b/>
                <w:bCs/>
                <w:color w:val="000000"/>
                <w:sz w:val="20"/>
                <w:szCs w:val="20"/>
              </w:rPr>
            </w:pPr>
            <w:r w:rsidRPr="001122AE">
              <w:rPr>
                <w:rFonts w:asciiTheme="minorHAnsi" w:hAnsiTheme="minorHAnsi" w:cstheme="minorHAnsi"/>
                <w:b/>
                <w:bCs/>
                <w:color w:val="000000"/>
                <w:sz w:val="20"/>
                <w:szCs w:val="20"/>
              </w:rPr>
              <w:t xml:space="preserve">End-of-strategy outcome four – Effective aid through alignment, harmonisation and mutual accountability </w:t>
            </w:r>
          </w:p>
        </w:tc>
      </w:tr>
      <w:tr w:rsidR="006320A9" w:rsidRPr="0011273B" w:rsidTr="00C415C7">
        <w:trPr>
          <w:trHeight w:val="975"/>
        </w:trPr>
        <w:tc>
          <w:tcPr>
            <w:tcW w:w="2268" w:type="dxa"/>
            <w:vMerge w:val="restart"/>
            <w:tcBorders>
              <w:top w:val="single" w:sz="4" w:space="0" w:color="auto"/>
              <w:left w:val="single" w:sz="4" w:space="0" w:color="auto"/>
              <w:bottom w:val="single" w:sz="4" w:space="0" w:color="auto"/>
              <w:right w:val="single" w:sz="4" w:space="0" w:color="auto"/>
            </w:tcBorders>
            <w:shd w:val="clear" w:color="auto" w:fill="92D050"/>
            <w:hideMark/>
          </w:tcPr>
          <w:p w:rsidR="006320A9" w:rsidRPr="0011273B" w:rsidRDefault="006320A9" w:rsidP="00F46B96">
            <w:pPr>
              <w:jc w:val="left"/>
              <w:rPr>
                <w:rFonts w:asciiTheme="minorHAnsi" w:hAnsiTheme="minorHAnsi" w:cstheme="minorHAnsi"/>
                <w:i/>
                <w:iCs/>
                <w:color w:val="000000"/>
                <w:sz w:val="20"/>
                <w:szCs w:val="20"/>
              </w:rPr>
            </w:pPr>
            <w:r w:rsidRPr="0011273B">
              <w:rPr>
                <w:rFonts w:asciiTheme="minorHAnsi" w:hAnsiTheme="minorHAnsi" w:cstheme="minorHAnsi"/>
                <w:b/>
                <w:bCs/>
                <w:color w:val="000000"/>
                <w:sz w:val="20"/>
                <w:szCs w:val="20"/>
              </w:rPr>
              <w:t xml:space="preserve">End-of-strategy outcome: </w:t>
            </w:r>
            <w:r w:rsidRPr="0011273B">
              <w:rPr>
                <w:rFonts w:asciiTheme="minorHAnsi" w:hAnsiTheme="minorHAnsi" w:cstheme="minorHAnsi"/>
                <w:bCs/>
                <w:color w:val="000000"/>
                <w:sz w:val="20"/>
                <w:szCs w:val="20"/>
              </w:rPr>
              <w:t>GoT agencies and development partners ensure a more coordinated whole of government approach to partnership for PFM reforms.</w:t>
            </w:r>
          </w:p>
        </w:tc>
        <w:tc>
          <w:tcPr>
            <w:tcW w:w="1985" w:type="dxa"/>
            <w:vMerge w:val="restart"/>
            <w:tcBorders>
              <w:top w:val="single" w:sz="4" w:space="0" w:color="auto"/>
              <w:left w:val="nil"/>
              <w:right w:val="nil"/>
            </w:tcBorders>
            <w:shd w:val="clear" w:color="auto" w:fill="auto"/>
            <w:noWrap/>
          </w:tcPr>
          <w:p w:rsidR="006320A9" w:rsidRPr="00D510EE" w:rsidRDefault="006320A9" w:rsidP="00CC04B0">
            <w:pPr>
              <w:spacing w:after="240"/>
              <w:jc w:val="left"/>
              <w:rPr>
                <w:rFonts w:ascii="Calibri" w:hAnsi="Calibri" w:cs="Calibri"/>
                <w:i/>
                <w:iCs/>
                <w:color w:val="000000"/>
                <w:sz w:val="20"/>
                <w:szCs w:val="20"/>
                <w:highlight w:val="green"/>
              </w:rPr>
            </w:pPr>
            <w:r>
              <w:rPr>
                <w:rFonts w:ascii="Calibri" w:hAnsi="Calibri" w:cs="Calibri"/>
                <w:i/>
                <w:iCs/>
                <w:color w:val="000000"/>
                <w:sz w:val="20"/>
                <w:szCs w:val="20"/>
              </w:rPr>
              <w:t>Success of Policy Reform Matrix in coordinating donor support and in providing momentum to the GoT’s reform program</w:t>
            </w:r>
          </w:p>
        </w:tc>
        <w:tc>
          <w:tcPr>
            <w:tcW w:w="1843" w:type="dxa"/>
            <w:gridSpan w:val="2"/>
            <w:vMerge w:val="restart"/>
            <w:tcBorders>
              <w:top w:val="single" w:sz="4" w:space="0" w:color="auto"/>
              <w:left w:val="single" w:sz="4" w:space="0" w:color="auto"/>
              <w:right w:val="single" w:sz="4" w:space="0" w:color="auto"/>
            </w:tcBorders>
            <w:shd w:val="clear" w:color="auto" w:fill="auto"/>
            <w:hideMark/>
          </w:tcPr>
          <w:p w:rsidR="006320A9" w:rsidRPr="0011273B" w:rsidRDefault="006320A9" w:rsidP="00202972">
            <w:pPr>
              <w:jc w:val="left"/>
              <w:rPr>
                <w:rFonts w:asciiTheme="minorHAnsi" w:hAnsiTheme="minorHAnsi" w:cstheme="minorHAnsi"/>
                <w:color w:val="000000"/>
                <w:sz w:val="20"/>
                <w:szCs w:val="20"/>
              </w:rPr>
            </w:pPr>
            <w:r>
              <w:rPr>
                <w:rFonts w:asciiTheme="minorHAnsi" w:hAnsiTheme="minorHAnsi" w:cstheme="minorHAnsi"/>
                <w:color w:val="000000"/>
                <w:sz w:val="20"/>
                <w:szCs w:val="20"/>
              </w:rPr>
              <w:t>Biannual World Bank Policy Reform Matrix monitoring missions</w:t>
            </w:r>
          </w:p>
        </w:tc>
        <w:tc>
          <w:tcPr>
            <w:tcW w:w="1701" w:type="dxa"/>
            <w:vMerge w:val="restart"/>
            <w:tcBorders>
              <w:top w:val="single" w:sz="4" w:space="0" w:color="auto"/>
              <w:left w:val="single" w:sz="4" w:space="0" w:color="auto"/>
              <w:right w:val="single" w:sz="4" w:space="0" w:color="auto"/>
            </w:tcBorders>
            <w:shd w:val="clear" w:color="auto" w:fill="auto"/>
          </w:tcPr>
          <w:p w:rsidR="006320A9" w:rsidRPr="0011273B" w:rsidRDefault="006320A9" w:rsidP="00F46B96">
            <w:pPr>
              <w:jc w:val="left"/>
              <w:rPr>
                <w:rFonts w:asciiTheme="minorHAnsi" w:hAnsiTheme="minorHAnsi" w:cstheme="minorHAnsi"/>
                <w:i/>
                <w:iCs/>
                <w:color w:val="000000"/>
                <w:sz w:val="20"/>
                <w:szCs w:val="20"/>
              </w:rPr>
            </w:pPr>
          </w:p>
        </w:tc>
        <w:tc>
          <w:tcPr>
            <w:tcW w:w="850" w:type="dxa"/>
            <w:tcBorders>
              <w:top w:val="single" w:sz="4" w:space="0" w:color="auto"/>
              <w:left w:val="nil"/>
              <w:bottom w:val="single" w:sz="4" w:space="0" w:color="auto"/>
              <w:right w:val="single" w:sz="4" w:space="0" w:color="auto"/>
            </w:tcBorders>
            <w:shd w:val="clear" w:color="000000" w:fill="FFFF00"/>
            <w:hideMark/>
          </w:tcPr>
          <w:p w:rsidR="006320A9" w:rsidRPr="0011273B" w:rsidRDefault="006320A9" w:rsidP="00F46B96">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F46B96">
            <w:pPr>
              <w:jc w:val="left"/>
              <w:rPr>
                <w:rFonts w:asciiTheme="minorHAnsi" w:hAnsiTheme="minorHAnsi" w:cstheme="minorHAnsi"/>
                <w:i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F46B96">
            <w:pPr>
              <w:pStyle w:val="ListBullet"/>
              <w:spacing w:before="0" w:after="0"/>
              <w:ind w:left="0"/>
              <w:jc w:val="left"/>
              <w:rPr>
                <w:rFonts w:asciiTheme="minorHAnsi" w:hAnsiTheme="minorHAnsi" w:cstheme="minorHAnsi"/>
                <w:sz w:val="20"/>
                <w:lang w:val="en-GB"/>
              </w:rPr>
            </w:pP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F46B96">
            <w:pPr>
              <w:jc w:val="left"/>
              <w:rPr>
                <w:rFonts w:asciiTheme="minorHAnsi" w:hAnsiTheme="minorHAnsi" w:cstheme="minorHAnsi"/>
                <w:i/>
                <w:i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F46B96">
            <w:pPr>
              <w:jc w:val="left"/>
              <w:rPr>
                <w:rFonts w:asciiTheme="minorHAnsi" w:hAnsiTheme="minorHAnsi" w:cstheme="minorHAnsi"/>
                <w:i/>
                <w:iCs/>
                <w:color w:val="000000"/>
                <w:sz w:val="20"/>
                <w:szCs w:val="20"/>
              </w:rPr>
            </w:pPr>
          </w:p>
        </w:tc>
      </w:tr>
      <w:tr w:rsidR="006320A9" w:rsidRPr="0011273B" w:rsidTr="00C415C7">
        <w:trPr>
          <w:trHeight w:val="485"/>
        </w:trPr>
        <w:tc>
          <w:tcPr>
            <w:tcW w:w="2268" w:type="dxa"/>
            <w:vMerge/>
            <w:tcBorders>
              <w:left w:val="single" w:sz="4" w:space="0" w:color="auto"/>
              <w:bottom w:val="single" w:sz="4" w:space="0" w:color="auto"/>
              <w:right w:val="single" w:sz="4" w:space="0" w:color="auto"/>
            </w:tcBorders>
            <w:shd w:val="clear" w:color="auto" w:fill="92D050"/>
          </w:tcPr>
          <w:p w:rsidR="006320A9" w:rsidRPr="0011273B" w:rsidRDefault="006320A9" w:rsidP="000D4ECF">
            <w:pPr>
              <w:jc w:val="left"/>
              <w:rPr>
                <w:rFonts w:asciiTheme="minorHAnsi" w:hAnsiTheme="minorHAnsi" w:cstheme="minorHAnsi"/>
                <w:b/>
                <w:bCs/>
                <w:color w:val="000000"/>
                <w:sz w:val="20"/>
                <w:szCs w:val="20"/>
              </w:rPr>
            </w:pPr>
          </w:p>
        </w:tc>
        <w:tc>
          <w:tcPr>
            <w:tcW w:w="1985" w:type="dxa"/>
            <w:vMerge/>
            <w:tcBorders>
              <w:left w:val="nil"/>
              <w:bottom w:val="single" w:sz="4" w:space="0" w:color="auto"/>
              <w:right w:val="nil"/>
            </w:tcBorders>
            <w:shd w:val="clear" w:color="auto" w:fill="auto"/>
            <w:noWrap/>
          </w:tcPr>
          <w:p w:rsidR="006320A9" w:rsidRPr="0011273B" w:rsidRDefault="006320A9" w:rsidP="000D4ECF">
            <w:pPr>
              <w:jc w:val="left"/>
              <w:rPr>
                <w:rFonts w:asciiTheme="minorHAnsi" w:hAnsiTheme="minorHAnsi" w:cstheme="minorHAnsi"/>
                <w:i/>
                <w:sz w:val="20"/>
                <w:szCs w:val="20"/>
                <w:lang w:val="en-GB"/>
              </w:rPr>
            </w:pPr>
          </w:p>
        </w:tc>
        <w:tc>
          <w:tcPr>
            <w:tcW w:w="1843" w:type="dxa"/>
            <w:gridSpan w:val="2"/>
            <w:vMerge/>
            <w:tcBorders>
              <w:left w:val="single" w:sz="4" w:space="0" w:color="auto"/>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Cs/>
                <w:color w:val="000000"/>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
                <w:iCs/>
                <w:color w:val="000000"/>
                <w:sz w:val="20"/>
                <w:szCs w:val="20"/>
              </w:rPr>
            </w:pPr>
          </w:p>
        </w:tc>
        <w:tc>
          <w:tcPr>
            <w:tcW w:w="850" w:type="dxa"/>
            <w:tcBorders>
              <w:top w:val="nil"/>
              <w:left w:val="nil"/>
              <w:bottom w:val="single" w:sz="4" w:space="0" w:color="auto"/>
              <w:right w:val="single" w:sz="4" w:space="0" w:color="auto"/>
            </w:tcBorders>
            <w:shd w:val="clear" w:color="000000" w:fill="FFFF00"/>
          </w:tcPr>
          <w:p w:rsidR="006320A9" w:rsidRPr="0011273B" w:rsidRDefault="006320A9" w:rsidP="000D4ECF">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Actual:</w:t>
            </w: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0D4ECF">
            <w:pPr>
              <w:pStyle w:val="ListBullet"/>
              <w:spacing w:before="0" w:after="0"/>
              <w:ind w:left="0"/>
              <w:jc w:val="left"/>
              <w:rPr>
                <w:rFonts w:asciiTheme="minorHAnsi" w:hAnsiTheme="minorHAnsi" w:cstheme="minorHAnsi"/>
                <w:sz w:val="20"/>
                <w:lang w:val="en-GB"/>
              </w:rPr>
            </w:pP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
                <w:i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
                <w:iCs/>
                <w:color w:val="000000"/>
                <w:sz w:val="20"/>
                <w:szCs w:val="20"/>
              </w:rPr>
            </w:pPr>
          </w:p>
        </w:tc>
      </w:tr>
      <w:tr w:rsidR="006320A9" w:rsidRPr="0011273B" w:rsidTr="00C415C7">
        <w:trPr>
          <w:trHeight w:val="699"/>
        </w:trPr>
        <w:tc>
          <w:tcPr>
            <w:tcW w:w="2268" w:type="dxa"/>
            <w:vMerge w:val="restart"/>
            <w:tcBorders>
              <w:top w:val="single" w:sz="4" w:space="0" w:color="auto"/>
              <w:left w:val="single" w:sz="4" w:space="0" w:color="auto"/>
              <w:bottom w:val="single" w:sz="4" w:space="0" w:color="auto"/>
              <w:right w:val="single" w:sz="4" w:space="0" w:color="auto"/>
            </w:tcBorders>
            <w:shd w:val="clear" w:color="000000" w:fill="C4D79B"/>
            <w:hideMark/>
          </w:tcPr>
          <w:p w:rsidR="006320A9" w:rsidRPr="006D48EF" w:rsidRDefault="006320A9" w:rsidP="00E12C45">
            <w:pPr>
              <w:jc w:val="left"/>
              <w:rPr>
                <w:rFonts w:ascii="Calibri" w:hAnsi="Calibri" w:cs="Calibri"/>
                <w:iCs/>
                <w:color w:val="000000"/>
                <w:sz w:val="20"/>
                <w:szCs w:val="20"/>
              </w:rPr>
            </w:pPr>
            <w:r w:rsidRPr="0011273B">
              <w:rPr>
                <w:rFonts w:asciiTheme="minorHAnsi" w:hAnsiTheme="minorHAnsi" w:cstheme="minorHAnsi"/>
                <w:b/>
                <w:bCs/>
                <w:color w:val="000000"/>
                <w:sz w:val="20"/>
                <w:szCs w:val="20"/>
              </w:rPr>
              <w:t>Intermediate outcome</w:t>
            </w:r>
            <w:r>
              <w:rPr>
                <w:rFonts w:asciiTheme="minorHAnsi" w:hAnsiTheme="minorHAnsi" w:cstheme="minorHAnsi"/>
                <w:b/>
                <w:bCs/>
                <w:color w:val="000000"/>
                <w:sz w:val="20"/>
                <w:szCs w:val="20"/>
              </w:rPr>
              <w:t>:</w:t>
            </w:r>
            <w:r>
              <w:rPr>
                <w:rFonts w:ascii="Calibri" w:hAnsi="Calibri" w:cs="Calibri"/>
                <w:iCs/>
                <w:color w:val="000000"/>
                <w:sz w:val="20"/>
                <w:szCs w:val="20"/>
              </w:rPr>
              <w:t xml:space="preserve"> GoT and donors hold each other mutually accountable for agreed development results.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6320A9" w:rsidRPr="00DF2B53" w:rsidRDefault="006320A9" w:rsidP="000D4ECF">
            <w:pPr>
              <w:jc w:val="left"/>
              <w:rPr>
                <w:rFonts w:ascii="Calibri" w:hAnsi="Calibri" w:cs="Calibri"/>
                <w:i/>
                <w:iCs/>
                <w:color w:val="000000"/>
                <w:sz w:val="20"/>
                <w:szCs w:val="20"/>
              </w:rPr>
            </w:pPr>
            <w:r>
              <w:rPr>
                <w:rFonts w:ascii="Calibri" w:hAnsi="Calibri" w:cs="Calibri"/>
                <w:i/>
                <w:iCs/>
                <w:color w:val="000000"/>
                <w:sz w:val="20"/>
                <w:szCs w:val="20"/>
              </w:rPr>
              <w:t>% of acquittals (for the use of AusAID funds) that are completed and provided on time by the GoT to AusAID</w:t>
            </w:r>
          </w:p>
        </w:tc>
        <w:tc>
          <w:tcPr>
            <w:tcW w:w="1843" w:type="dxa"/>
            <w:gridSpan w:val="2"/>
            <w:vMerge w:val="restart"/>
            <w:tcBorders>
              <w:top w:val="single" w:sz="4" w:space="0" w:color="auto"/>
              <w:left w:val="single" w:sz="4" w:space="0" w:color="auto"/>
              <w:right w:val="single" w:sz="4" w:space="0" w:color="auto"/>
            </w:tcBorders>
            <w:shd w:val="clear" w:color="auto" w:fill="auto"/>
            <w:hideMark/>
          </w:tcPr>
          <w:p w:rsidR="006320A9" w:rsidRPr="0011273B" w:rsidRDefault="006320A9" w:rsidP="009C318F">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r>
              <w:rPr>
                <w:rFonts w:asciiTheme="minorHAnsi" w:hAnsiTheme="minorHAnsi" w:cstheme="minorHAnsi"/>
                <w:color w:val="000000"/>
                <w:sz w:val="20"/>
                <w:szCs w:val="20"/>
              </w:rPr>
              <w:t>GoT, AusAID and implementing partners (TA)</w:t>
            </w:r>
          </w:p>
        </w:tc>
        <w:tc>
          <w:tcPr>
            <w:tcW w:w="1701" w:type="dxa"/>
            <w:vMerge w:val="restart"/>
            <w:tcBorders>
              <w:top w:val="single" w:sz="4" w:space="0" w:color="auto"/>
              <w:left w:val="single" w:sz="4" w:space="0" w:color="auto"/>
              <w:right w:val="single" w:sz="4" w:space="0" w:color="auto"/>
            </w:tcBorders>
            <w:shd w:val="clear" w:color="auto" w:fill="auto"/>
            <w:hideMark/>
          </w:tcPr>
          <w:p w:rsidR="006320A9" w:rsidRPr="0011273B" w:rsidRDefault="006320A9" w:rsidP="000D4ECF">
            <w:pPr>
              <w:jc w:val="left"/>
              <w:rPr>
                <w:rFonts w:asciiTheme="minorHAnsi" w:hAnsiTheme="minorHAnsi" w:cstheme="minorHAnsi"/>
                <w:i/>
                <w:iCs/>
                <w:color w:val="FF0000"/>
                <w:sz w:val="20"/>
                <w:szCs w:val="20"/>
              </w:rPr>
            </w:pPr>
            <w:r w:rsidRPr="0011273B">
              <w:rPr>
                <w:rFonts w:asciiTheme="minorHAnsi" w:hAnsiTheme="minorHAnsi" w:cstheme="minorHAnsi"/>
                <w:i/>
                <w:iCs/>
                <w:color w:val="FF0000"/>
                <w:sz w:val="20"/>
                <w:szCs w:val="20"/>
              </w:rPr>
              <w:t> </w:t>
            </w:r>
          </w:p>
        </w:tc>
        <w:tc>
          <w:tcPr>
            <w:tcW w:w="850" w:type="dxa"/>
            <w:tcBorders>
              <w:top w:val="single" w:sz="4" w:space="0" w:color="auto"/>
              <w:left w:val="nil"/>
              <w:bottom w:val="single" w:sz="4" w:space="0" w:color="auto"/>
              <w:right w:val="single" w:sz="4" w:space="0" w:color="auto"/>
            </w:tcBorders>
            <w:shd w:val="clear" w:color="000000" w:fill="FFFF00"/>
            <w:hideMark/>
          </w:tcPr>
          <w:p w:rsidR="006320A9" w:rsidRPr="0011273B" w:rsidRDefault="006320A9" w:rsidP="000D4ECF">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0D4ECF">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0D4ECF">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0D4ECF">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0D4ECF">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r>
      <w:tr w:rsidR="006320A9" w:rsidRPr="0011273B" w:rsidTr="00C415C7">
        <w:trPr>
          <w:trHeight w:val="698"/>
        </w:trPr>
        <w:tc>
          <w:tcPr>
            <w:tcW w:w="2268" w:type="dxa"/>
            <w:vMerge/>
            <w:tcBorders>
              <w:top w:val="single" w:sz="4" w:space="0" w:color="auto"/>
              <w:left w:val="single" w:sz="4" w:space="0" w:color="auto"/>
              <w:bottom w:val="single" w:sz="4" w:space="0" w:color="auto"/>
              <w:right w:val="single" w:sz="4" w:space="0" w:color="auto"/>
            </w:tcBorders>
            <w:shd w:val="clear" w:color="000000" w:fill="C4D79B"/>
          </w:tcPr>
          <w:p w:rsidR="006320A9" w:rsidRDefault="006320A9" w:rsidP="0024070E">
            <w:pPr>
              <w:jc w:val="left"/>
              <w:rPr>
                <w:rFonts w:asciiTheme="minorHAnsi" w:hAnsiTheme="minorHAnsi" w:cstheme="minorHAnsi"/>
                <w:b/>
                <w:bCs/>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6320A9" w:rsidRDefault="006320A9" w:rsidP="000D4ECF">
            <w:pPr>
              <w:jc w:val="left"/>
              <w:rPr>
                <w:rFonts w:ascii="Calibri" w:hAnsi="Calibri" w:cs="Calibri"/>
                <w:i/>
                <w:iCs/>
                <w:color w:val="000000"/>
                <w:sz w:val="20"/>
                <w:szCs w:val="20"/>
              </w:rPr>
            </w:pPr>
          </w:p>
        </w:tc>
        <w:tc>
          <w:tcPr>
            <w:tcW w:w="1843" w:type="dxa"/>
            <w:gridSpan w:val="2"/>
            <w:vMerge/>
            <w:tcBorders>
              <w:left w:val="single" w:sz="4" w:space="0" w:color="auto"/>
              <w:bottom w:val="single" w:sz="4" w:space="0" w:color="auto"/>
              <w:right w:val="single" w:sz="4" w:space="0" w:color="auto"/>
            </w:tcBorders>
            <w:shd w:val="clear" w:color="auto" w:fill="auto"/>
          </w:tcPr>
          <w:p w:rsidR="006320A9" w:rsidRPr="0011273B" w:rsidRDefault="006320A9" w:rsidP="009C318F">
            <w:pPr>
              <w:jc w:val="left"/>
              <w:rPr>
                <w:rFonts w:asciiTheme="minorHAnsi" w:hAnsiTheme="minorHAnsi" w:cstheme="minorHAnsi"/>
                <w:color w:val="000000"/>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
                <w:iCs/>
                <w:color w:val="FF0000"/>
                <w:sz w:val="20"/>
                <w:szCs w:val="20"/>
              </w:rPr>
            </w:pPr>
          </w:p>
        </w:tc>
        <w:tc>
          <w:tcPr>
            <w:tcW w:w="850" w:type="dxa"/>
            <w:tcBorders>
              <w:top w:val="single" w:sz="4" w:space="0" w:color="auto"/>
              <w:left w:val="nil"/>
              <w:bottom w:val="single" w:sz="4" w:space="0" w:color="auto"/>
              <w:right w:val="single" w:sz="4" w:space="0" w:color="auto"/>
            </w:tcBorders>
            <w:shd w:val="clear" w:color="000000" w:fill="FFFF00"/>
          </w:tcPr>
          <w:p w:rsidR="006320A9" w:rsidRPr="0011273B" w:rsidRDefault="006320A9" w:rsidP="000D4ECF">
            <w:pPr>
              <w:jc w:val="left"/>
              <w:rPr>
                <w:rFonts w:asciiTheme="minorHAnsi" w:hAnsiTheme="minorHAnsi" w:cstheme="minorHAnsi"/>
                <w:b/>
                <w:bCs/>
                <w:color w:val="000000"/>
                <w:sz w:val="20"/>
                <w:szCs w:val="20"/>
              </w:rPr>
            </w:pPr>
            <w:r>
              <w:rPr>
                <w:rFonts w:asciiTheme="minorHAnsi" w:hAnsiTheme="minorHAnsi" w:cstheme="minorHAnsi"/>
                <w:b/>
                <w:bCs/>
                <w:color w:val="000000"/>
                <w:sz w:val="20"/>
                <w:szCs w:val="20"/>
              </w:rPr>
              <w:t>Actual:</w:t>
            </w: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color w:val="000000"/>
                <w:sz w:val="20"/>
                <w:szCs w:val="20"/>
              </w:rPr>
            </w:pPr>
          </w:p>
        </w:tc>
      </w:tr>
      <w:tr w:rsidR="006320A9" w:rsidRPr="0011273B" w:rsidTr="00C415C7">
        <w:trPr>
          <w:trHeight w:val="416"/>
        </w:trPr>
        <w:tc>
          <w:tcPr>
            <w:tcW w:w="14317" w:type="dxa"/>
            <w:gridSpan w:val="10"/>
            <w:tcBorders>
              <w:top w:val="single" w:sz="4" w:space="0" w:color="auto"/>
              <w:left w:val="single" w:sz="4" w:space="0" w:color="auto"/>
              <w:bottom w:val="single" w:sz="4" w:space="0" w:color="auto"/>
              <w:right w:val="single" w:sz="4" w:space="0" w:color="auto"/>
            </w:tcBorders>
            <w:shd w:val="clear" w:color="000000" w:fill="DBE5F1" w:themeFill="accent1" w:themeFillTint="33"/>
          </w:tcPr>
          <w:p w:rsidR="006320A9" w:rsidRPr="001122AE" w:rsidRDefault="006320A9" w:rsidP="00E54718">
            <w:pPr>
              <w:jc w:val="left"/>
              <w:rPr>
                <w:rFonts w:asciiTheme="minorHAnsi" w:hAnsiTheme="minorHAnsi" w:cstheme="minorHAnsi"/>
                <w:b/>
                <w:bCs/>
                <w:color w:val="000000"/>
                <w:sz w:val="20"/>
                <w:szCs w:val="20"/>
              </w:rPr>
            </w:pPr>
            <w:r w:rsidRPr="001122AE">
              <w:rPr>
                <w:rFonts w:asciiTheme="minorHAnsi" w:hAnsiTheme="minorHAnsi" w:cstheme="minorHAnsi"/>
                <w:b/>
                <w:bCs/>
                <w:color w:val="000000"/>
                <w:sz w:val="20"/>
                <w:szCs w:val="20"/>
              </w:rPr>
              <w:t>Political governance</w:t>
            </w:r>
          </w:p>
        </w:tc>
      </w:tr>
      <w:tr w:rsidR="006320A9" w:rsidRPr="0011273B" w:rsidTr="00C415C7">
        <w:trPr>
          <w:trHeight w:val="975"/>
        </w:trPr>
        <w:tc>
          <w:tcPr>
            <w:tcW w:w="2268" w:type="dxa"/>
            <w:vMerge w:val="restart"/>
            <w:tcBorders>
              <w:top w:val="single" w:sz="4" w:space="0" w:color="auto"/>
              <w:left w:val="single" w:sz="4" w:space="0" w:color="auto"/>
              <w:bottom w:val="single" w:sz="4" w:space="0" w:color="auto"/>
              <w:right w:val="single" w:sz="4" w:space="0" w:color="auto"/>
            </w:tcBorders>
            <w:shd w:val="clear" w:color="auto" w:fill="92D050"/>
            <w:hideMark/>
          </w:tcPr>
          <w:p w:rsidR="006320A9" w:rsidRPr="0011273B" w:rsidRDefault="006320A9" w:rsidP="00E54718">
            <w:pPr>
              <w:jc w:val="left"/>
              <w:rPr>
                <w:rFonts w:asciiTheme="minorHAnsi" w:hAnsiTheme="minorHAnsi" w:cstheme="minorHAnsi"/>
                <w:i/>
                <w:iCs/>
                <w:color w:val="000000"/>
                <w:sz w:val="20"/>
                <w:szCs w:val="20"/>
              </w:rPr>
            </w:pPr>
            <w:r w:rsidRPr="0011273B">
              <w:rPr>
                <w:rFonts w:asciiTheme="minorHAnsi" w:hAnsiTheme="minorHAnsi" w:cstheme="minorHAnsi"/>
                <w:b/>
                <w:bCs/>
                <w:color w:val="000000"/>
                <w:sz w:val="20"/>
                <w:szCs w:val="20"/>
              </w:rPr>
              <w:t xml:space="preserve">End-of-strategy outcome: </w:t>
            </w:r>
            <w:r>
              <w:rPr>
                <w:rFonts w:ascii="Calibri" w:hAnsi="Calibri" w:cs="Calibri"/>
                <w:bCs/>
                <w:color w:val="000000"/>
                <w:sz w:val="20"/>
                <w:szCs w:val="20"/>
              </w:rPr>
              <w:t>Strengthened governance institutions and democratic processes that are transparent, accountable and responsive to citizens’ needs and interests.</w:t>
            </w:r>
          </w:p>
        </w:tc>
        <w:tc>
          <w:tcPr>
            <w:tcW w:w="1985" w:type="dxa"/>
            <w:vMerge w:val="restart"/>
            <w:tcBorders>
              <w:top w:val="single" w:sz="4" w:space="0" w:color="auto"/>
              <w:left w:val="nil"/>
              <w:bottom w:val="single" w:sz="4" w:space="0" w:color="auto"/>
              <w:right w:val="nil"/>
            </w:tcBorders>
            <w:shd w:val="clear" w:color="auto" w:fill="auto"/>
            <w:noWrap/>
          </w:tcPr>
          <w:p w:rsidR="006320A9" w:rsidRPr="00D510EE" w:rsidRDefault="006320A9" w:rsidP="00E54718">
            <w:pPr>
              <w:spacing w:after="240"/>
              <w:jc w:val="left"/>
              <w:rPr>
                <w:rFonts w:ascii="Calibri" w:hAnsi="Calibri" w:cs="Calibri"/>
                <w:i/>
                <w:iCs/>
                <w:color w:val="000000"/>
                <w:sz w:val="20"/>
                <w:szCs w:val="20"/>
                <w:highlight w:val="green"/>
              </w:rPr>
            </w:pP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i/>
                <w:iCs/>
                <w:color w:val="000000"/>
                <w:sz w:val="20"/>
                <w:szCs w:val="20"/>
              </w:rPr>
            </w:pPr>
          </w:p>
        </w:tc>
        <w:tc>
          <w:tcPr>
            <w:tcW w:w="850" w:type="dxa"/>
            <w:tcBorders>
              <w:top w:val="single" w:sz="4" w:space="0" w:color="auto"/>
              <w:left w:val="nil"/>
              <w:bottom w:val="single" w:sz="4" w:space="0" w:color="auto"/>
              <w:right w:val="single" w:sz="4" w:space="0" w:color="auto"/>
            </w:tcBorders>
            <w:shd w:val="clear" w:color="000000" w:fill="FFFF00"/>
            <w:hideMark/>
          </w:tcPr>
          <w:p w:rsidR="006320A9" w:rsidRPr="0011273B" w:rsidRDefault="006320A9" w:rsidP="00E54718">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i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E54718">
            <w:pPr>
              <w:pStyle w:val="ListBullet"/>
              <w:spacing w:before="0" w:after="0"/>
              <w:ind w:left="0"/>
              <w:jc w:val="left"/>
              <w:rPr>
                <w:rFonts w:asciiTheme="minorHAnsi" w:hAnsiTheme="minorHAnsi" w:cstheme="minorHAnsi"/>
                <w:sz w:val="20"/>
                <w:lang w:val="en-GB"/>
              </w:rPr>
            </w:pP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i/>
                <w:i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i/>
                <w:iCs/>
                <w:color w:val="000000"/>
                <w:sz w:val="20"/>
                <w:szCs w:val="20"/>
              </w:rPr>
            </w:pPr>
          </w:p>
        </w:tc>
      </w:tr>
      <w:tr w:rsidR="006320A9" w:rsidRPr="0011273B" w:rsidTr="00C415C7">
        <w:trPr>
          <w:trHeight w:val="485"/>
        </w:trPr>
        <w:tc>
          <w:tcPr>
            <w:tcW w:w="2268" w:type="dxa"/>
            <w:vMerge/>
            <w:tcBorders>
              <w:top w:val="single" w:sz="4" w:space="0" w:color="auto"/>
              <w:left w:val="single" w:sz="4" w:space="0" w:color="auto"/>
              <w:bottom w:val="single" w:sz="4" w:space="0" w:color="auto"/>
              <w:right w:val="single" w:sz="4" w:space="0" w:color="auto"/>
            </w:tcBorders>
            <w:shd w:val="clear" w:color="auto" w:fill="92D050"/>
          </w:tcPr>
          <w:p w:rsidR="006320A9" w:rsidRPr="0011273B" w:rsidRDefault="006320A9" w:rsidP="00E54718">
            <w:pPr>
              <w:jc w:val="left"/>
              <w:rPr>
                <w:rFonts w:asciiTheme="minorHAnsi" w:hAnsiTheme="minorHAnsi" w:cstheme="minorHAnsi"/>
                <w:b/>
                <w:bCs/>
                <w:color w:val="000000"/>
                <w:sz w:val="20"/>
                <w:szCs w:val="20"/>
              </w:rPr>
            </w:pPr>
          </w:p>
        </w:tc>
        <w:tc>
          <w:tcPr>
            <w:tcW w:w="1985" w:type="dxa"/>
            <w:vMerge/>
            <w:tcBorders>
              <w:top w:val="single" w:sz="4" w:space="0" w:color="auto"/>
              <w:left w:val="nil"/>
              <w:bottom w:val="single" w:sz="4" w:space="0" w:color="auto"/>
              <w:right w:val="nil"/>
            </w:tcBorders>
            <w:shd w:val="clear" w:color="auto" w:fill="auto"/>
            <w:noWrap/>
          </w:tcPr>
          <w:p w:rsidR="006320A9" w:rsidRPr="0011273B" w:rsidRDefault="006320A9" w:rsidP="00E54718">
            <w:pPr>
              <w:jc w:val="left"/>
              <w:rPr>
                <w:rFonts w:asciiTheme="minorHAnsi" w:hAnsiTheme="minorHAnsi" w:cstheme="minorHAnsi"/>
                <w:i/>
                <w:sz w:val="20"/>
                <w:szCs w:val="20"/>
                <w:lang w:val="en-GB"/>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i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i/>
                <w:iCs/>
                <w:color w:val="000000"/>
                <w:sz w:val="20"/>
                <w:szCs w:val="20"/>
              </w:rPr>
            </w:pPr>
          </w:p>
        </w:tc>
        <w:tc>
          <w:tcPr>
            <w:tcW w:w="850" w:type="dxa"/>
            <w:tcBorders>
              <w:top w:val="single" w:sz="4" w:space="0" w:color="auto"/>
              <w:left w:val="nil"/>
              <w:bottom w:val="single" w:sz="4" w:space="0" w:color="auto"/>
              <w:right w:val="single" w:sz="4" w:space="0" w:color="auto"/>
            </w:tcBorders>
            <w:shd w:val="clear" w:color="000000" w:fill="FFFF00"/>
          </w:tcPr>
          <w:p w:rsidR="006320A9" w:rsidRPr="0011273B" w:rsidRDefault="006320A9" w:rsidP="00E54718">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Actual:</w:t>
            </w: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pStyle w:val="ListBullet"/>
              <w:spacing w:before="0" w:after="0"/>
              <w:ind w:left="0"/>
              <w:jc w:val="left"/>
              <w:rPr>
                <w:rFonts w:asciiTheme="minorHAnsi" w:hAnsiTheme="minorHAnsi" w:cstheme="minorHAnsi"/>
                <w:sz w:val="20"/>
                <w:lang w:val="en-GB"/>
              </w:rPr>
            </w:pP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i/>
                <w:i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i/>
                <w:iCs/>
                <w:color w:val="000000"/>
                <w:sz w:val="20"/>
                <w:szCs w:val="20"/>
              </w:rPr>
            </w:pPr>
          </w:p>
        </w:tc>
      </w:tr>
      <w:tr w:rsidR="006320A9" w:rsidRPr="0011273B" w:rsidTr="00C415C7">
        <w:trPr>
          <w:trHeight w:val="813"/>
        </w:trPr>
        <w:tc>
          <w:tcPr>
            <w:tcW w:w="2268" w:type="dxa"/>
            <w:vMerge w:val="restart"/>
            <w:tcBorders>
              <w:top w:val="single" w:sz="4" w:space="0" w:color="auto"/>
              <w:left w:val="single" w:sz="4" w:space="0" w:color="auto"/>
              <w:right w:val="single" w:sz="4" w:space="0" w:color="auto"/>
            </w:tcBorders>
            <w:shd w:val="clear" w:color="000000" w:fill="C4D79B"/>
            <w:hideMark/>
          </w:tcPr>
          <w:p w:rsidR="006320A9" w:rsidRPr="006D48EF" w:rsidRDefault="006320A9" w:rsidP="00E54718">
            <w:pPr>
              <w:jc w:val="left"/>
              <w:rPr>
                <w:rFonts w:ascii="Calibri" w:hAnsi="Calibri" w:cs="Calibri"/>
                <w:iCs/>
                <w:color w:val="000000"/>
                <w:sz w:val="20"/>
                <w:szCs w:val="20"/>
              </w:rPr>
            </w:pPr>
            <w:r w:rsidRPr="0011273B">
              <w:rPr>
                <w:rFonts w:asciiTheme="minorHAnsi" w:hAnsiTheme="minorHAnsi" w:cstheme="minorHAnsi"/>
                <w:b/>
                <w:bCs/>
                <w:color w:val="000000"/>
                <w:sz w:val="20"/>
                <w:szCs w:val="20"/>
              </w:rPr>
              <w:t>Intermediate outcome</w:t>
            </w:r>
            <w:r>
              <w:rPr>
                <w:rFonts w:asciiTheme="minorHAnsi" w:hAnsiTheme="minorHAnsi" w:cstheme="minorHAnsi"/>
                <w:b/>
                <w:bCs/>
                <w:color w:val="000000"/>
                <w:sz w:val="20"/>
                <w:szCs w:val="20"/>
              </w:rPr>
              <w:t>:</w:t>
            </w:r>
            <w:r>
              <w:rPr>
                <w:rFonts w:asciiTheme="minorHAnsi" w:hAnsiTheme="minorHAnsi" w:cstheme="minorHAnsi"/>
                <w:bCs/>
                <w:color w:val="000000"/>
                <w:sz w:val="20"/>
                <w:szCs w:val="20"/>
              </w:rPr>
              <w:t xml:space="preserve"> </w:t>
            </w:r>
            <w:r>
              <w:rPr>
                <w:rFonts w:ascii="Calibri" w:hAnsi="Calibri" w:cs="Calibri"/>
                <w:iCs/>
                <w:color w:val="000000"/>
                <w:sz w:val="20"/>
                <w:szCs w:val="20"/>
              </w:rPr>
              <w:t xml:space="preserve"> </w:t>
            </w:r>
            <w:r w:rsidRPr="00E12C45">
              <w:rPr>
                <w:rFonts w:ascii="Calibri" w:hAnsi="Calibri" w:cs="Calibri"/>
                <w:iCs/>
                <w:color w:val="000000"/>
                <w:sz w:val="20"/>
                <w:szCs w:val="20"/>
              </w:rPr>
              <w:t>Legislative Asse</w:t>
            </w:r>
            <w:r>
              <w:rPr>
                <w:rFonts w:ascii="Calibri" w:hAnsi="Calibri" w:cs="Calibri"/>
                <w:iCs/>
                <w:color w:val="000000"/>
                <w:sz w:val="20"/>
                <w:szCs w:val="20"/>
              </w:rPr>
              <w:t xml:space="preserve">mbly </w:t>
            </w:r>
            <w:r w:rsidRPr="00E12C45">
              <w:rPr>
                <w:rFonts w:ascii="Calibri" w:hAnsi="Calibri" w:cs="Calibri"/>
                <w:iCs/>
                <w:color w:val="000000"/>
                <w:sz w:val="20"/>
                <w:szCs w:val="20"/>
              </w:rPr>
              <w:t>strengthened to effectively carry out  its oversight, representative and legislative functions</w:t>
            </w:r>
            <w:r>
              <w:rPr>
                <w:rFonts w:ascii="Calibri" w:hAnsi="Calibri" w:cs="Calibri"/>
                <w:iCs/>
                <w:color w:val="000000"/>
                <w:sz w:val="20"/>
                <w:szCs w:val="20"/>
              </w:rPr>
              <w: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6320A9" w:rsidRPr="00DF2B53" w:rsidRDefault="006320A9" w:rsidP="008E3F7E">
            <w:pPr>
              <w:jc w:val="left"/>
              <w:rPr>
                <w:rFonts w:ascii="Calibri" w:hAnsi="Calibri" w:cs="Calibri"/>
                <w:i/>
                <w:iCs/>
                <w:color w:val="000000"/>
                <w:sz w:val="20"/>
                <w:szCs w:val="20"/>
              </w:rPr>
            </w:pPr>
            <w:r w:rsidRPr="00E12C45">
              <w:rPr>
                <w:rFonts w:ascii="Calibri" w:hAnsi="Calibri" w:cs="Calibri"/>
                <w:i/>
                <w:iCs/>
                <w:color w:val="000000"/>
                <w:sz w:val="20"/>
                <w:szCs w:val="20"/>
              </w:rPr>
              <w:t>Parliamentarians’ perception on the effectiveness of the Parliament Secretariat in providing administrative, technical and procedural support to Members</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4C6BB8">
            <w:pPr>
              <w:jc w:val="left"/>
              <w:rPr>
                <w:rFonts w:asciiTheme="minorHAnsi" w:hAnsiTheme="minorHAnsi" w:cstheme="minorHAnsi"/>
                <w:color w:val="000000"/>
                <w:sz w:val="20"/>
                <w:szCs w:val="20"/>
              </w:rPr>
            </w:pPr>
            <w:r>
              <w:rPr>
                <w:rFonts w:asciiTheme="minorHAnsi" w:hAnsiTheme="minorHAnsi" w:cstheme="minorHAnsi"/>
                <w:color w:val="000000"/>
                <w:sz w:val="20"/>
                <w:szCs w:val="20"/>
              </w:rPr>
              <w:t>UN</w:t>
            </w:r>
            <w:r w:rsidRPr="000A7693">
              <w:rPr>
                <w:rFonts w:asciiTheme="minorHAnsi" w:hAnsiTheme="minorHAnsi" w:cstheme="minorHAnsi"/>
                <w:color w:val="000000"/>
                <w:sz w:val="20"/>
                <w:szCs w:val="20"/>
              </w:rPr>
              <w:t>DP</w:t>
            </w:r>
            <w:r>
              <w:rPr>
                <w:rFonts w:asciiTheme="minorHAnsi" w:hAnsiTheme="minorHAnsi" w:cstheme="minorHAnsi"/>
                <w:color w:val="000000"/>
                <w:sz w:val="20"/>
                <w:szCs w:val="20"/>
              </w:rPr>
              <w:t>-led</w:t>
            </w:r>
            <w:r w:rsidRPr="000A7693">
              <w:rPr>
                <w:rFonts w:asciiTheme="minorHAnsi" w:hAnsiTheme="minorHAnsi" w:cstheme="minorHAnsi"/>
                <w:color w:val="000000"/>
                <w:sz w:val="20"/>
                <w:szCs w:val="20"/>
              </w:rPr>
              <w:t xml:space="preserve"> </w:t>
            </w:r>
            <w:r>
              <w:rPr>
                <w:rFonts w:asciiTheme="minorHAnsi" w:hAnsiTheme="minorHAnsi" w:cstheme="minorHAnsi"/>
                <w:color w:val="000000"/>
                <w:sz w:val="20"/>
                <w:szCs w:val="20"/>
              </w:rPr>
              <w:t>p</w:t>
            </w:r>
            <w:r w:rsidRPr="000A7693">
              <w:rPr>
                <w:rFonts w:asciiTheme="minorHAnsi" w:hAnsiTheme="minorHAnsi" w:cstheme="minorHAnsi"/>
                <w:color w:val="000000"/>
                <w:sz w:val="20"/>
                <w:szCs w:val="20"/>
              </w:rPr>
              <w:t xml:space="preserve">erception </w:t>
            </w:r>
            <w:r>
              <w:rPr>
                <w:rFonts w:asciiTheme="minorHAnsi" w:hAnsiTheme="minorHAnsi" w:cstheme="minorHAnsi"/>
                <w:color w:val="000000"/>
                <w:sz w:val="20"/>
                <w:szCs w:val="20"/>
              </w:rPr>
              <w:t>s</w:t>
            </w:r>
            <w:r w:rsidRPr="000A7693">
              <w:rPr>
                <w:rFonts w:asciiTheme="minorHAnsi" w:hAnsiTheme="minorHAnsi" w:cstheme="minorHAnsi"/>
                <w:color w:val="000000"/>
                <w:sz w:val="20"/>
                <w:szCs w:val="20"/>
              </w:rPr>
              <w:t xml:space="preserve">urveys </w:t>
            </w:r>
            <w:r>
              <w:rPr>
                <w:rFonts w:asciiTheme="minorHAnsi" w:hAnsiTheme="minorHAnsi" w:cstheme="minorHAnsi"/>
                <w:color w:val="000000"/>
                <w:sz w:val="20"/>
                <w:szCs w:val="20"/>
              </w:rPr>
              <w:t xml:space="preserve">conducted </w:t>
            </w:r>
            <w:r w:rsidRPr="000A7693">
              <w:rPr>
                <w:rFonts w:asciiTheme="minorHAnsi" w:hAnsiTheme="minorHAnsi" w:cstheme="minorHAnsi"/>
                <w:color w:val="000000"/>
                <w:sz w:val="20"/>
                <w:szCs w:val="20"/>
              </w:rPr>
              <w:t xml:space="preserve">in partnership with the </w:t>
            </w:r>
            <w:r>
              <w:rPr>
                <w:rFonts w:asciiTheme="minorHAnsi" w:hAnsiTheme="minorHAnsi" w:cstheme="minorHAnsi"/>
                <w:color w:val="000000"/>
                <w:sz w:val="20"/>
                <w:szCs w:val="20"/>
              </w:rPr>
              <w:t xml:space="preserve">Tonga </w:t>
            </w:r>
            <w:r w:rsidRPr="000A7693">
              <w:rPr>
                <w:rFonts w:asciiTheme="minorHAnsi" w:hAnsiTheme="minorHAnsi" w:cstheme="minorHAnsi"/>
                <w:color w:val="000000"/>
                <w:sz w:val="20"/>
                <w:szCs w:val="20"/>
              </w:rPr>
              <w:t>Statistics</w:t>
            </w:r>
            <w:r>
              <w:rPr>
                <w:rFonts w:asciiTheme="minorHAnsi" w:hAnsiTheme="minorHAnsi" w:cstheme="minorHAnsi"/>
                <w:color w:val="000000"/>
                <w:sz w:val="20"/>
                <w:szCs w:val="20"/>
              </w:rPr>
              <w:t xml:space="preserve"> Department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i/>
                <w:iCs/>
                <w:color w:val="FF0000"/>
                <w:sz w:val="20"/>
                <w:szCs w:val="20"/>
              </w:rPr>
            </w:pPr>
            <w:r w:rsidRPr="001122AE">
              <w:rPr>
                <w:rFonts w:asciiTheme="minorHAnsi" w:hAnsiTheme="minorHAnsi" w:cstheme="minorHAnsi"/>
                <w:i/>
                <w:iCs/>
                <w:sz w:val="20"/>
                <w:szCs w:val="20"/>
              </w:rPr>
              <w:t>Absence of perception study</w:t>
            </w:r>
          </w:p>
        </w:tc>
        <w:tc>
          <w:tcPr>
            <w:tcW w:w="850" w:type="dxa"/>
            <w:tcBorders>
              <w:top w:val="single" w:sz="4" w:space="0" w:color="auto"/>
              <w:left w:val="single" w:sz="4" w:space="0" w:color="auto"/>
              <w:bottom w:val="single" w:sz="4" w:space="0" w:color="auto"/>
              <w:right w:val="single" w:sz="4" w:space="0" w:color="auto"/>
            </w:tcBorders>
            <w:shd w:val="clear" w:color="000000" w:fill="FFFF00"/>
            <w:hideMark/>
          </w:tcPr>
          <w:p w:rsidR="006320A9" w:rsidRPr="0011273B" w:rsidRDefault="006320A9" w:rsidP="00E54718">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320A9" w:rsidRPr="0011273B" w:rsidRDefault="006320A9" w:rsidP="00E54718">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320A9" w:rsidRPr="0011273B" w:rsidRDefault="006320A9" w:rsidP="00E54718">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320A9" w:rsidRPr="0011273B" w:rsidRDefault="006320A9" w:rsidP="00E54718">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320A9" w:rsidRPr="0011273B" w:rsidRDefault="006320A9" w:rsidP="00E54718">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r>
      <w:tr w:rsidR="006320A9" w:rsidRPr="0011273B" w:rsidTr="00C415C7">
        <w:trPr>
          <w:trHeight w:val="812"/>
        </w:trPr>
        <w:tc>
          <w:tcPr>
            <w:tcW w:w="2268" w:type="dxa"/>
            <w:vMerge/>
            <w:tcBorders>
              <w:left w:val="single" w:sz="4" w:space="0" w:color="auto"/>
              <w:right w:val="single" w:sz="4" w:space="0" w:color="auto"/>
            </w:tcBorders>
            <w:shd w:val="clear" w:color="000000" w:fill="C4D79B"/>
          </w:tcPr>
          <w:p w:rsidR="006320A9" w:rsidRPr="0011273B" w:rsidRDefault="006320A9" w:rsidP="00E54718">
            <w:pPr>
              <w:jc w:val="left"/>
              <w:rPr>
                <w:rFonts w:asciiTheme="minorHAnsi" w:hAnsiTheme="minorHAnsi" w:cstheme="minorHAnsi"/>
                <w:b/>
                <w:bCs/>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6320A9" w:rsidRPr="00E12C45" w:rsidRDefault="006320A9" w:rsidP="008E3F7E">
            <w:pPr>
              <w:jc w:val="left"/>
              <w:rPr>
                <w:rFonts w:ascii="Calibri" w:hAnsi="Calibri" w:cs="Calibri"/>
                <w:i/>
                <w:iCs/>
                <w:color w:val="000000"/>
                <w:sz w:val="20"/>
                <w:szCs w:val="20"/>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i/>
                <w:iCs/>
                <w:color w:val="FF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00"/>
          </w:tcPr>
          <w:p w:rsidR="006320A9" w:rsidRPr="0011273B" w:rsidRDefault="006320A9" w:rsidP="000A7693">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Actual: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r>
      <w:tr w:rsidR="006320A9" w:rsidRPr="0011273B" w:rsidTr="00C415C7">
        <w:trPr>
          <w:trHeight w:val="1041"/>
        </w:trPr>
        <w:tc>
          <w:tcPr>
            <w:tcW w:w="2268" w:type="dxa"/>
            <w:vMerge/>
            <w:tcBorders>
              <w:left w:val="single" w:sz="4" w:space="0" w:color="auto"/>
              <w:right w:val="single" w:sz="4" w:space="0" w:color="auto"/>
            </w:tcBorders>
            <w:shd w:val="clear" w:color="000000" w:fill="C4D79B"/>
          </w:tcPr>
          <w:p w:rsidR="006320A9" w:rsidRDefault="006320A9" w:rsidP="00E54718">
            <w:pPr>
              <w:jc w:val="left"/>
              <w:rPr>
                <w:rFonts w:asciiTheme="minorHAnsi" w:hAnsiTheme="minorHAnsi" w:cstheme="minorHAnsi"/>
                <w:b/>
                <w:bCs/>
                <w:color w:val="000000"/>
                <w:sz w:val="20"/>
                <w:szCs w:val="20"/>
              </w:rPr>
            </w:pPr>
          </w:p>
        </w:tc>
        <w:tc>
          <w:tcPr>
            <w:tcW w:w="1985" w:type="dxa"/>
            <w:vMerge w:val="restart"/>
            <w:tcBorders>
              <w:top w:val="single" w:sz="4" w:space="0" w:color="auto"/>
              <w:left w:val="single" w:sz="4" w:space="0" w:color="auto"/>
              <w:right w:val="single" w:sz="4" w:space="0" w:color="auto"/>
            </w:tcBorders>
            <w:shd w:val="clear" w:color="auto" w:fill="auto"/>
          </w:tcPr>
          <w:p w:rsidR="006320A9" w:rsidRDefault="006320A9" w:rsidP="001D433F">
            <w:pPr>
              <w:jc w:val="left"/>
              <w:rPr>
                <w:rFonts w:ascii="Calibri" w:hAnsi="Calibri" w:cs="Calibri"/>
                <w:i/>
                <w:iCs/>
                <w:color w:val="000000"/>
                <w:sz w:val="20"/>
                <w:szCs w:val="20"/>
              </w:rPr>
            </w:pPr>
            <w:r w:rsidRPr="00E12C45">
              <w:rPr>
                <w:rFonts w:ascii="Calibri" w:hAnsi="Calibri" w:cs="Calibri"/>
                <w:i/>
                <w:iCs/>
                <w:color w:val="000000"/>
                <w:sz w:val="20"/>
                <w:szCs w:val="20"/>
              </w:rPr>
              <w:t>Perception of the constituents on the effectiveness of Parliament to perform its legislative and financial oversight functions disaggregated by gend</w:t>
            </w:r>
            <w:r>
              <w:rPr>
                <w:rFonts w:ascii="Calibri" w:hAnsi="Calibri" w:cs="Calibri"/>
                <w:i/>
                <w:iCs/>
                <w:color w:val="000000"/>
                <w:sz w:val="20"/>
                <w:szCs w:val="20"/>
              </w:rPr>
              <w:t>er, population, &amp; geography</w:t>
            </w:r>
          </w:p>
        </w:tc>
        <w:tc>
          <w:tcPr>
            <w:tcW w:w="1843" w:type="dxa"/>
            <w:gridSpan w:val="2"/>
            <w:vMerge w:val="restart"/>
            <w:tcBorders>
              <w:top w:val="single" w:sz="4" w:space="0" w:color="auto"/>
              <w:left w:val="single" w:sz="4" w:space="0" w:color="auto"/>
              <w:right w:val="single" w:sz="4" w:space="0" w:color="auto"/>
            </w:tcBorders>
            <w:shd w:val="clear" w:color="auto" w:fill="auto"/>
          </w:tcPr>
          <w:p w:rsidR="006320A9" w:rsidRPr="0011273B" w:rsidRDefault="006320A9" w:rsidP="000A7693">
            <w:pPr>
              <w:jc w:val="left"/>
              <w:rPr>
                <w:rFonts w:asciiTheme="minorHAnsi" w:hAnsiTheme="minorHAnsi" w:cstheme="minorHAnsi"/>
                <w:color w:val="000000"/>
                <w:sz w:val="20"/>
                <w:szCs w:val="20"/>
              </w:rPr>
            </w:pPr>
            <w:r>
              <w:rPr>
                <w:rFonts w:asciiTheme="minorHAnsi" w:hAnsiTheme="minorHAnsi" w:cstheme="minorHAnsi"/>
                <w:color w:val="000000"/>
                <w:sz w:val="20"/>
                <w:szCs w:val="20"/>
              </w:rPr>
              <w:t>UNDP-led progress reviews in the 4</w:t>
            </w:r>
            <w:r w:rsidRPr="000A7693">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quarter of each year</w:t>
            </w:r>
          </w:p>
        </w:tc>
        <w:tc>
          <w:tcPr>
            <w:tcW w:w="1701" w:type="dxa"/>
            <w:vMerge w:val="restart"/>
            <w:tcBorders>
              <w:top w:val="single" w:sz="4" w:space="0" w:color="auto"/>
              <w:left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i/>
                <w:iCs/>
                <w:color w:val="FF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00"/>
          </w:tcPr>
          <w:p w:rsidR="006320A9" w:rsidRPr="0011273B" w:rsidRDefault="006320A9" w:rsidP="00E54718">
            <w:pPr>
              <w:jc w:val="left"/>
              <w:rPr>
                <w:rFonts w:asciiTheme="minorHAnsi" w:hAnsiTheme="minorHAnsi" w:cstheme="minorHAnsi"/>
                <w:b/>
                <w:bCs/>
                <w:color w:val="000000"/>
                <w:sz w:val="20"/>
                <w:szCs w:val="20"/>
              </w:rPr>
            </w:pPr>
            <w:r>
              <w:rPr>
                <w:rFonts w:asciiTheme="minorHAnsi" w:hAnsiTheme="minorHAnsi" w:cstheme="minorHAnsi"/>
                <w:b/>
                <w:bCs/>
                <w:color w:val="000000"/>
                <w:sz w:val="20"/>
                <w:szCs w:val="20"/>
              </w:rPr>
              <w:t>Target: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r>
      <w:tr w:rsidR="006320A9" w:rsidRPr="0011273B" w:rsidTr="00C415C7">
        <w:trPr>
          <w:trHeight w:val="1041"/>
        </w:trPr>
        <w:tc>
          <w:tcPr>
            <w:tcW w:w="2268" w:type="dxa"/>
            <w:vMerge/>
            <w:tcBorders>
              <w:left w:val="single" w:sz="4" w:space="0" w:color="auto"/>
              <w:right w:val="single" w:sz="4" w:space="0" w:color="auto"/>
            </w:tcBorders>
            <w:shd w:val="clear" w:color="000000" w:fill="C4D79B"/>
          </w:tcPr>
          <w:p w:rsidR="006320A9" w:rsidRDefault="006320A9" w:rsidP="00E54718">
            <w:pPr>
              <w:jc w:val="left"/>
              <w:rPr>
                <w:rFonts w:asciiTheme="minorHAnsi" w:hAnsiTheme="minorHAnsi" w:cstheme="minorHAnsi"/>
                <w:b/>
                <w:bCs/>
                <w:color w:val="000000"/>
                <w:sz w:val="20"/>
                <w:szCs w:val="20"/>
              </w:rPr>
            </w:pPr>
          </w:p>
        </w:tc>
        <w:tc>
          <w:tcPr>
            <w:tcW w:w="1985" w:type="dxa"/>
            <w:vMerge/>
            <w:tcBorders>
              <w:left w:val="single" w:sz="4" w:space="0" w:color="auto"/>
              <w:bottom w:val="single" w:sz="4" w:space="0" w:color="auto"/>
              <w:right w:val="single" w:sz="4" w:space="0" w:color="auto"/>
            </w:tcBorders>
            <w:shd w:val="clear" w:color="auto" w:fill="auto"/>
          </w:tcPr>
          <w:p w:rsidR="006320A9" w:rsidRPr="00E12C45" w:rsidRDefault="006320A9" w:rsidP="001D433F">
            <w:pPr>
              <w:jc w:val="left"/>
              <w:rPr>
                <w:rFonts w:ascii="Calibri" w:hAnsi="Calibri" w:cs="Calibri"/>
                <w:i/>
                <w:iCs/>
                <w:color w:val="000000"/>
                <w:sz w:val="20"/>
                <w:szCs w:val="20"/>
              </w:rPr>
            </w:pPr>
          </w:p>
        </w:tc>
        <w:tc>
          <w:tcPr>
            <w:tcW w:w="1843" w:type="dxa"/>
            <w:gridSpan w:val="2"/>
            <w:vMerge/>
            <w:tcBorders>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i/>
                <w:iCs/>
                <w:color w:val="FF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00"/>
          </w:tcPr>
          <w:p w:rsidR="006320A9" w:rsidRPr="0011273B" w:rsidRDefault="006320A9" w:rsidP="000A7693">
            <w:pPr>
              <w:jc w:val="left"/>
              <w:rPr>
                <w:rFonts w:asciiTheme="minorHAnsi" w:hAnsiTheme="minorHAnsi" w:cstheme="minorHAnsi"/>
                <w:b/>
                <w:bCs/>
                <w:color w:val="000000"/>
                <w:sz w:val="20"/>
                <w:szCs w:val="20"/>
              </w:rPr>
            </w:pPr>
            <w:r>
              <w:rPr>
                <w:rFonts w:asciiTheme="minorHAnsi" w:hAnsiTheme="minorHAnsi" w:cstheme="minorHAnsi"/>
                <w:b/>
                <w:bCs/>
                <w:color w:val="000000"/>
                <w:sz w:val="20"/>
                <w:szCs w:val="20"/>
              </w:rPr>
              <w:t>Actual: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r>
      <w:tr w:rsidR="006320A9" w:rsidRPr="0011273B" w:rsidTr="00C415C7">
        <w:trPr>
          <w:trHeight w:val="1041"/>
        </w:trPr>
        <w:tc>
          <w:tcPr>
            <w:tcW w:w="2268" w:type="dxa"/>
            <w:vMerge/>
            <w:tcBorders>
              <w:left w:val="single" w:sz="4" w:space="0" w:color="auto"/>
              <w:right w:val="single" w:sz="4" w:space="0" w:color="auto"/>
            </w:tcBorders>
            <w:shd w:val="clear" w:color="000000" w:fill="C4D79B"/>
          </w:tcPr>
          <w:p w:rsidR="006320A9" w:rsidRDefault="006320A9" w:rsidP="00E54718">
            <w:pPr>
              <w:jc w:val="left"/>
              <w:rPr>
                <w:rFonts w:asciiTheme="minorHAnsi" w:hAnsiTheme="minorHAnsi" w:cstheme="minorHAnsi"/>
                <w:b/>
                <w:bCs/>
                <w:color w:val="000000"/>
                <w:sz w:val="20"/>
                <w:szCs w:val="20"/>
              </w:rPr>
            </w:pPr>
          </w:p>
        </w:tc>
        <w:tc>
          <w:tcPr>
            <w:tcW w:w="1985" w:type="dxa"/>
            <w:vMerge w:val="restart"/>
            <w:tcBorders>
              <w:top w:val="single" w:sz="4" w:space="0" w:color="auto"/>
              <w:left w:val="single" w:sz="4" w:space="0" w:color="auto"/>
              <w:right w:val="single" w:sz="4" w:space="0" w:color="auto"/>
            </w:tcBorders>
            <w:shd w:val="clear" w:color="auto" w:fill="auto"/>
          </w:tcPr>
          <w:p w:rsidR="006320A9" w:rsidRDefault="006320A9" w:rsidP="008E3F7E">
            <w:pPr>
              <w:jc w:val="left"/>
              <w:rPr>
                <w:rFonts w:ascii="Calibri" w:hAnsi="Calibri" w:cs="Calibri"/>
                <w:i/>
                <w:iCs/>
                <w:color w:val="000000"/>
                <w:sz w:val="20"/>
                <w:szCs w:val="20"/>
              </w:rPr>
            </w:pPr>
            <w:r w:rsidRPr="00E12C45">
              <w:rPr>
                <w:rFonts w:ascii="Calibri" w:hAnsi="Calibri" w:cs="Calibri"/>
                <w:i/>
                <w:iCs/>
                <w:color w:val="000000"/>
                <w:sz w:val="20"/>
                <w:szCs w:val="20"/>
              </w:rPr>
              <w:t xml:space="preserve">Level of constituents understanding of the roles and functions of Parliament including their rights and civic responsibilities   disaggregated by </w:t>
            </w:r>
            <w:r>
              <w:rPr>
                <w:rFonts w:ascii="Calibri" w:hAnsi="Calibri" w:cs="Calibri"/>
                <w:i/>
                <w:iCs/>
                <w:color w:val="000000"/>
                <w:sz w:val="20"/>
                <w:szCs w:val="20"/>
              </w:rPr>
              <w:t>gender, population, &amp; geography</w:t>
            </w:r>
          </w:p>
        </w:tc>
        <w:tc>
          <w:tcPr>
            <w:tcW w:w="1843" w:type="dxa"/>
            <w:gridSpan w:val="2"/>
            <w:vMerge w:val="restart"/>
            <w:tcBorders>
              <w:top w:val="single" w:sz="4" w:space="0" w:color="auto"/>
              <w:left w:val="single" w:sz="4" w:space="0" w:color="auto"/>
              <w:right w:val="single" w:sz="4" w:space="0" w:color="auto"/>
            </w:tcBorders>
            <w:shd w:val="clear" w:color="auto" w:fill="auto"/>
          </w:tcPr>
          <w:p w:rsidR="006320A9" w:rsidRPr="0011273B" w:rsidRDefault="006320A9" w:rsidP="004C6BB8">
            <w:pPr>
              <w:jc w:val="left"/>
              <w:rPr>
                <w:rFonts w:asciiTheme="minorHAnsi" w:hAnsiTheme="minorHAnsi" w:cstheme="minorHAnsi"/>
                <w:color w:val="000000"/>
                <w:sz w:val="20"/>
                <w:szCs w:val="20"/>
              </w:rPr>
            </w:pPr>
            <w:r>
              <w:rPr>
                <w:rFonts w:asciiTheme="minorHAnsi" w:hAnsiTheme="minorHAnsi" w:cstheme="minorHAnsi"/>
                <w:color w:val="000000"/>
                <w:sz w:val="20"/>
                <w:szCs w:val="20"/>
              </w:rPr>
              <w:t>UNDP-led field monitoring visits</w:t>
            </w:r>
          </w:p>
        </w:tc>
        <w:tc>
          <w:tcPr>
            <w:tcW w:w="1701" w:type="dxa"/>
            <w:vMerge w:val="restart"/>
            <w:tcBorders>
              <w:top w:val="single" w:sz="4" w:space="0" w:color="auto"/>
              <w:left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i/>
                <w:iCs/>
                <w:color w:val="FF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00"/>
          </w:tcPr>
          <w:p w:rsidR="006320A9" w:rsidRPr="0011273B" w:rsidRDefault="006320A9" w:rsidP="000A7693">
            <w:pPr>
              <w:jc w:val="left"/>
              <w:rPr>
                <w:rFonts w:asciiTheme="minorHAnsi" w:hAnsiTheme="minorHAnsi" w:cstheme="minorHAnsi"/>
                <w:b/>
                <w:bCs/>
                <w:color w:val="000000"/>
                <w:sz w:val="20"/>
                <w:szCs w:val="20"/>
              </w:rPr>
            </w:pPr>
            <w:r>
              <w:rPr>
                <w:rFonts w:asciiTheme="minorHAnsi" w:hAnsiTheme="minorHAnsi" w:cstheme="minorHAnsi"/>
                <w:b/>
                <w:bCs/>
                <w:color w:val="000000"/>
                <w:sz w:val="20"/>
                <w:szCs w:val="20"/>
              </w:rPr>
              <w:t>Target: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r>
      <w:tr w:rsidR="006320A9" w:rsidRPr="0011273B" w:rsidTr="00C415C7">
        <w:trPr>
          <w:trHeight w:val="1041"/>
        </w:trPr>
        <w:tc>
          <w:tcPr>
            <w:tcW w:w="2268" w:type="dxa"/>
            <w:vMerge/>
            <w:tcBorders>
              <w:left w:val="single" w:sz="4" w:space="0" w:color="auto"/>
              <w:bottom w:val="single" w:sz="4" w:space="0" w:color="auto"/>
              <w:right w:val="single" w:sz="4" w:space="0" w:color="auto"/>
            </w:tcBorders>
            <w:shd w:val="clear" w:color="000000" w:fill="C4D79B"/>
          </w:tcPr>
          <w:p w:rsidR="006320A9" w:rsidRDefault="006320A9" w:rsidP="00E54718">
            <w:pPr>
              <w:jc w:val="left"/>
              <w:rPr>
                <w:rFonts w:asciiTheme="minorHAnsi" w:hAnsiTheme="minorHAnsi" w:cstheme="minorHAnsi"/>
                <w:b/>
                <w:bCs/>
                <w:color w:val="000000"/>
                <w:sz w:val="20"/>
                <w:szCs w:val="20"/>
              </w:rPr>
            </w:pPr>
          </w:p>
        </w:tc>
        <w:tc>
          <w:tcPr>
            <w:tcW w:w="1985" w:type="dxa"/>
            <w:vMerge/>
            <w:tcBorders>
              <w:left w:val="single" w:sz="4" w:space="0" w:color="auto"/>
              <w:bottom w:val="single" w:sz="4" w:space="0" w:color="auto"/>
              <w:right w:val="single" w:sz="4" w:space="0" w:color="auto"/>
            </w:tcBorders>
            <w:shd w:val="clear" w:color="auto" w:fill="auto"/>
          </w:tcPr>
          <w:p w:rsidR="006320A9" w:rsidRPr="00E12C45" w:rsidRDefault="006320A9" w:rsidP="008E3F7E">
            <w:pPr>
              <w:jc w:val="left"/>
              <w:rPr>
                <w:rFonts w:ascii="Calibri" w:hAnsi="Calibri" w:cs="Calibri"/>
                <w:i/>
                <w:iCs/>
                <w:color w:val="000000"/>
                <w:sz w:val="20"/>
                <w:szCs w:val="20"/>
              </w:rPr>
            </w:pPr>
          </w:p>
        </w:tc>
        <w:tc>
          <w:tcPr>
            <w:tcW w:w="1843" w:type="dxa"/>
            <w:gridSpan w:val="2"/>
            <w:vMerge/>
            <w:tcBorders>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i/>
                <w:iCs/>
                <w:color w:val="FF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00"/>
          </w:tcPr>
          <w:p w:rsidR="006320A9" w:rsidRPr="0011273B" w:rsidRDefault="006320A9" w:rsidP="000A7693">
            <w:pPr>
              <w:jc w:val="left"/>
              <w:rPr>
                <w:rFonts w:asciiTheme="minorHAnsi" w:hAnsiTheme="minorHAnsi" w:cstheme="minorHAnsi"/>
                <w:b/>
                <w:bCs/>
                <w:color w:val="000000"/>
                <w:sz w:val="20"/>
                <w:szCs w:val="20"/>
              </w:rPr>
            </w:pPr>
            <w:r>
              <w:rPr>
                <w:rFonts w:asciiTheme="minorHAnsi" w:hAnsiTheme="minorHAnsi" w:cstheme="minorHAnsi"/>
                <w:b/>
                <w:bCs/>
                <w:color w:val="000000"/>
                <w:sz w:val="20"/>
                <w:szCs w:val="20"/>
              </w:rPr>
              <w:t>Actual: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r>
      <w:tr w:rsidR="006320A9" w:rsidRPr="0011273B" w:rsidTr="00C415C7">
        <w:trPr>
          <w:trHeight w:val="1523"/>
        </w:trPr>
        <w:tc>
          <w:tcPr>
            <w:tcW w:w="2268" w:type="dxa"/>
            <w:vMerge w:val="restart"/>
            <w:tcBorders>
              <w:top w:val="single" w:sz="4" w:space="0" w:color="auto"/>
              <w:left w:val="single" w:sz="4" w:space="0" w:color="auto"/>
              <w:right w:val="single" w:sz="4" w:space="0" w:color="auto"/>
            </w:tcBorders>
            <w:shd w:val="clear" w:color="000000" w:fill="C4D79B"/>
            <w:hideMark/>
          </w:tcPr>
          <w:p w:rsidR="006320A9" w:rsidRPr="006D48EF" w:rsidRDefault="006320A9" w:rsidP="00E54718">
            <w:pPr>
              <w:jc w:val="left"/>
              <w:rPr>
                <w:rFonts w:ascii="Calibri" w:hAnsi="Calibri" w:cs="Calibri"/>
                <w:iCs/>
                <w:color w:val="000000"/>
                <w:sz w:val="20"/>
                <w:szCs w:val="20"/>
              </w:rPr>
            </w:pPr>
            <w:r w:rsidRPr="0011273B">
              <w:rPr>
                <w:rFonts w:asciiTheme="minorHAnsi" w:hAnsiTheme="minorHAnsi" w:cstheme="minorHAnsi"/>
                <w:b/>
                <w:bCs/>
                <w:color w:val="000000"/>
                <w:sz w:val="20"/>
                <w:szCs w:val="20"/>
              </w:rPr>
              <w:t>Intermediate outcome</w:t>
            </w:r>
            <w:r>
              <w:rPr>
                <w:rFonts w:asciiTheme="minorHAnsi" w:hAnsiTheme="minorHAnsi" w:cstheme="minorHAnsi"/>
                <w:b/>
                <w:bCs/>
                <w:color w:val="000000"/>
                <w:sz w:val="20"/>
                <w:szCs w:val="20"/>
              </w:rPr>
              <w:t>:</w:t>
            </w:r>
            <w:r>
              <w:rPr>
                <w:rFonts w:asciiTheme="minorHAnsi" w:hAnsiTheme="minorHAnsi" w:cstheme="minorHAnsi"/>
                <w:bCs/>
                <w:color w:val="000000"/>
                <w:sz w:val="20"/>
                <w:szCs w:val="20"/>
              </w:rPr>
              <w:t xml:space="preserve"> </w:t>
            </w:r>
            <w:r>
              <w:rPr>
                <w:rFonts w:ascii="Calibri" w:hAnsi="Calibri" w:cs="Calibri"/>
                <w:iCs/>
                <w:color w:val="000000"/>
                <w:sz w:val="20"/>
                <w:szCs w:val="20"/>
              </w:rPr>
              <w:t xml:space="preserve"> </w:t>
            </w:r>
            <w:r w:rsidRPr="00E12C45">
              <w:rPr>
                <w:rFonts w:ascii="Calibri" w:hAnsi="Calibri" w:cs="Calibri"/>
                <w:iCs/>
                <w:color w:val="000000"/>
                <w:sz w:val="20"/>
                <w:szCs w:val="20"/>
              </w:rPr>
              <w:t>Capacity of CSOs, education providers and communities strengthened for increased participation in law making, policy and oversight processes</w:t>
            </w:r>
            <w:r>
              <w:rPr>
                <w:rFonts w:ascii="Calibri" w:hAnsi="Calibri" w:cs="Calibri"/>
                <w:iCs/>
                <w:color w:val="000000"/>
                <w:sz w:val="20"/>
                <w:szCs w:val="20"/>
              </w:rPr>
              <w:t xml:space="preserve">. </w:t>
            </w:r>
          </w:p>
        </w:tc>
        <w:tc>
          <w:tcPr>
            <w:tcW w:w="1985" w:type="dxa"/>
            <w:vMerge w:val="restart"/>
            <w:tcBorders>
              <w:top w:val="single" w:sz="4" w:space="0" w:color="auto"/>
              <w:left w:val="single" w:sz="4" w:space="0" w:color="auto"/>
              <w:right w:val="single" w:sz="4" w:space="0" w:color="auto"/>
            </w:tcBorders>
            <w:shd w:val="clear" w:color="auto" w:fill="auto"/>
          </w:tcPr>
          <w:p w:rsidR="006320A9" w:rsidRPr="00DF2B53" w:rsidRDefault="006320A9" w:rsidP="008E3F7E">
            <w:pPr>
              <w:jc w:val="left"/>
              <w:rPr>
                <w:rFonts w:ascii="Calibri" w:hAnsi="Calibri" w:cs="Calibri"/>
                <w:i/>
                <w:iCs/>
                <w:color w:val="000000"/>
                <w:sz w:val="20"/>
                <w:szCs w:val="20"/>
              </w:rPr>
            </w:pPr>
            <w:r>
              <w:rPr>
                <w:rFonts w:ascii="Calibri" w:hAnsi="Calibri" w:cs="Calibri"/>
                <w:i/>
                <w:iCs/>
                <w:color w:val="000000"/>
                <w:sz w:val="20"/>
                <w:szCs w:val="20"/>
              </w:rPr>
              <w:t xml:space="preserve">% </w:t>
            </w:r>
            <w:r w:rsidRPr="00E12C45">
              <w:rPr>
                <w:rFonts w:ascii="Calibri" w:hAnsi="Calibri" w:cs="Calibri"/>
                <w:i/>
                <w:iCs/>
                <w:color w:val="000000"/>
                <w:sz w:val="20"/>
                <w:szCs w:val="20"/>
              </w:rPr>
              <w:t xml:space="preserve"> of  constituents’ participating in the law making, oversight and national planning and budgeting processes through an agreed formal engagement mechanism disaggregated by ge</w:t>
            </w:r>
            <w:r>
              <w:rPr>
                <w:rFonts w:ascii="Calibri" w:hAnsi="Calibri" w:cs="Calibri"/>
                <w:i/>
                <w:iCs/>
                <w:color w:val="000000"/>
                <w:sz w:val="20"/>
                <w:szCs w:val="20"/>
              </w:rPr>
              <w:t>nder, population, &amp; geography</w:t>
            </w:r>
          </w:p>
        </w:tc>
        <w:tc>
          <w:tcPr>
            <w:tcW w:w="1843" w:type="dxa"/>
            <w:gridSpan w:val="2"/>
            <w:vMerge w:val="restart"/>
            <w:tcBorders>
              <w:top w:val="single" w:sz="4" w:space="0" w:color="auto"/>
              <w:left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r>
              <w:rPr>
                <w:rFonts w:asciiTheme="minorHAnsi" w:hAnsiTheme="minorHAnsi" w:cstheme="minorHAnsi"/>
                <w:color w:val="000000"/>
                <w:sz w:val="20"/>
                <w:szCs w:val="20"/>
              </w:rPr>
              <w:t>UNDP-led perception surveys</w:t>
            </w:r>
          </w:p>
        </w:tc>
        <w:tc>
          <w:tcPr>
            <w:tcW w:w="1701" w:type="dxa"/>
            <w:vMerge w:val="restart"/>
            <w:tcBorders>
              <w:top w:val="single" w:sz="4" w:space="0" w:color="auto"/>
              <w:left w:val="single" w:sz="4" w:space="0" w:color="auto"/>
              <w:right w:val="single" w:sz="4" w:space="0" w:color="auto"/>
            </w:tcBorders>
            <w:shd w:val="clear" w:color="auto" w:fill="auto"/>
          </w:tcPr>
          <w:p w:rsidR="006320A9" w:rsidRPr="001122AE" w:rsidRDefault="006320A9" w:rsidP="001122AE">
            <w:pPr>
              <w:jc w:val="left"/>
              <w:rPr>
                <w:rFonts w:asciiTheme="minorHAnsi" w:hAnsiTheme="minorHAnsi" w:cstheme="minorHAnsi"/>
                <w:i/>
                <w:iCs/>
                <w:sz w:val="20"/>
                <w:szCs w:val="20"/>
              </w:rPr>
            </w:pPr>
          </w:p>
        </w:tc>
        <w:tc>
          <w:tcPr>
            <w:tcW w:w="850" w:type="dxa"/>
            <w:tcBorders>
              <w:top w:val="single" w:sz="4" w:space="0" w:color="auto"/>
              <w:left w:val="nil"/>
              <w:bottom w:val="single" w:sz="4" w:space="0" w:color="auto"/>
              <w:right w:val="single" w:sz="4" w:space="0" w:color="auto"/>
            </w:tcBorders>
            <w:shd w:val="clear" w:color="000000" w:fill="FFFF00"/>
            <w:hideMark/>
          </w:tcPr>
          <w:p w:rsidR="006320A9" w:rsidRPr="0011273B" w:rsidRDefault="006320A9" w:rsidP="00E54718">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E54718">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E54718">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E54718">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E54718">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r>
      <w:tr w:rsidR="006320A9" w:rsidRPr="0011273B" w:rsidTr="00C415C7">
        <w:trPr>
          <w:trHeight w:val="1276"/>
        </w:trPr>
        <w:tc>
          <w:tcPr>
            <w:tcW w:w="2268" w:type="dxa"/>
            <w:vMerge/>
            <w:tcBorders>
              <w:left w:val="single" w:sz="4" w:space="0" w:color="auto"/>
              <w:right w:val="single" w:sz="4" w:space="0" w:color="auto"/>
            </w:tcBorders>
            <w:shd w:val="clear" w:color="000000" w:fill="C4D79B"/>
          </w:tcPr>
          <w:p w:rsidR="006320A9" w:rsidRPr="0011273B" w:rsidRDefault="006320A9" w:rsidP="00E54718">
            <w:pPr>
              <w:jc w:val="left"/>
              <w:rPr>
                <w:rFonts w:asciiTheme="minorHAnsi" w:hAnsiTheme="minorHAnsi" w:cstheme="minorHAnsi"/>
                <w:b/>
                <w:bCs/>
                <w:color w:val="000000"/>
                <w:sz w:val="20"/>
                <w:szCs w:val="20"/>
              </w:rPr>
            </w:pPr>
          </w:p>
        </w:tc>
        <w:tc>
          <w:tcPr>
            <w:tcW w:w="1985" w:type="dxa"/>
            <w:vMerge/>
            <w:tcBorders>
              <w:left w:val="single" w:sz="4" w:space="0" w:color="auto"/>
              <w:bottom w:val="single" w:sz="4" w:space="0" w:color="auto"/>
              <w:right w:val="single" w:sz="4" w:space="0" w:color="auto"/>
            </w:tcBorders>
            <w:shd w:val="clear" w:color="auto" w:fill="auto"/>
          </w:tcPr>
          <w:p w:rsidR="006320A9" w:rsidRDefault="006320A9" w:rsidP="008E3F7E">
            <w:pPr>
              <w:jc w:val="left"/>
              <w:rPr>
                <w:rFonts w:ascii="Calibri" w:hAnsi="Calibri" w:cs="Calibri"/>
                <w:i/>
                <w:iCs/>
                <w:color w:val="000000"/>
                <w:sz w:val="20"/>
                <w:szCs w:val="20"/>
              </w:rPr>
            </w:pPr>
          </w:p>
        </w:tc>
        <w:tc>
          <w:tcPr>
            <w:tcW w:w="1843" w:type="dxa"/>
            <w:gridSpan w:val="2"/>
            <w:vMerge/>
            <w:tcBorders>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6320A9" w:rsidRPr="001122AE" w:rsidRDefault="006320A9" w:rsidP="00E54718">
            <w:pPr>
              <w:jc w:val="left"/>
              <w:rPr>
                <w:rFonts w:asciiTheme="minorHAnsi" w:hAnsiTheme="minorHAnsi" w:cstheme="minorHAnsi"/>
                <w:i/>
                <w:iCs/>
                <w:sz w:val="20"/>
                <w:szCs w:val="20"/>
              </w:rPr>
            </w:pPr>
          </w:p>
        </w:tc>
        <w:tc>
          <w:tcPr>
            <w:tcW w:w="850" w:type="dxa"/>
            <w:tcBorders>
              <w:top w:val="single" w:sz="4" w:space="0" w:color="auto"/>
              <w:left w:val="nil"/>
              <w:bottom w:val="single" w:sz="4" w:space="0" w:color="auto"/>
              <w:right w:val="single" w:sz="4" w:space="0" w:color="auto"/>
            </w:tcBorders>
            <w:shd w:val="clear" w:color="000000" w:fill="FFFF00"/>
          </w:tcPr>
          <w:p w:rsidR="006320A9" w:rsidRPr="0011273B" w:rsidRDefault="006320A9" w:rsidP="000A7693">
            <w:pPr>
              <w:jc w:val="left"/>
              <w:rPr>
                <w:rFonts w:asciiTheme="minorHAnsi" w:hAnsiTheme="minorHAnsi" w:cstheme="minorHAnsi"/>
                <w:b/>
                <w:bCs/>
                <w:color w:val="000000"/>
                <w:sz w:val="20"/>
                <w:szCs w:val="20"/>
              </w:rPr>
            </w:pPr>
            <w:r>
              <w:rPr>
                <w:rFonts w:asciiTheme="minorHAnsi" w:hAnsiTheme="minorHAnsi" w:cstheme="minorHAnsi"/>
                <w:b/>
                <w:bCs/>
                <w:color w:val="000000"/>
                <w:sz w:val="20"/>
                <w:szCs w:val="20"/>
              </w:rPr>
              <w:t>Actual:</w:t>
            </w: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r>
      <w:tr w:rsidR="006320A9" w:rsidRPr="0011273B" w:rsidTr="00C415C7">
        <w:trPr>
          <w:trHeight w:val="945"/>
        </w:trPr>
        <w:tc>
          <w:tcPr>
            <w:tcW w:w="2268" w:type="dxa"/>
            <w:vMerge/>
            <w:tcBorders>
              <w:left w:val="single" w:sz="4" w:space="0" w:color="auto"/>
              <w:right w:val="single" w:sz="4" w:space="0" w:color="auto"/>
            </w:tcBorders>
            <w:shd w:val="clear" w:color="000000" w:fill="C4D79B"/>
          </w:tcPr>
          <w:p w:rsidR="006320A9" w:rsidRDefault="006320A9" w:rsidP="00E54718">
            <w:pPr>
              <w:jc w:val="left"/>
              <w:rPr>
                <w:rFonts w:asciiTheme="minorHAnsi" w:hAnsiTheme="minorHAnsi" w:cstheme="minorHAnsi"/>
                <w:b/>
                <w:bCs/>
                <w:color w:val="000000"/>
                <w:sz w:val="20"/>
                <w:szCs w:val="20"/>
              </w:rPr>
            </w:pPr>
          </w:p>
        </w:tc>
        <w:tc>
          <w:tcPr>
            <w:tcW w:w="1985" w:type="dxa"/>
            <w:vMerge w:val="restart"/>
            <w:tcBorders>
              <w:top w:val="single" w:sz="4" w:space="0" w:color="auto"/>
              <w:left w:val="single" w:sz="4" w:space="0" w:color="auto"/>
              <w:right w:val="single" w:sz="4" w:space="0" w:color="auto"/>
            </w:tcBorders>
            <w:shd w:val="clear" w:color="auto" w:fill="auto"/>
          </w:tcPr>
          <w:p w:rsidR="006320A9" w:rsidRDefault="006320A9" w:rsidP="008E3F7E">
            <w:pPr>
              <w:jc w:val="left"/>
              <w:rPr>
                <w:rFonts w:ascii="Calibri" w:hAnsi="Calibri" w:cs="Calibri"/>
                <w:i/>
                <w:iCs/>
                <w:color w:val="000000"/>
                <w:sz w:val="20"/>
                <w:szCs w:val="20"/>
              </w:rPr>
            </w:pPr>
            <w:r>
              <w:rPr>
                <w:rFonts w:ascii="Calibri" w:hAnsi="Calibri" w:cs="Calibri"/>
                <w:i/>
                <w:iCs/>
                <w:color w:val="000000"/>
                <w:sz w:val="20"/>
                <w:szCs w:val="20"/>
              </w:rPr>
              <w:t>%</w:t>
            </w:r>
            <w:r w:rsidRPr="00E12C45">
              <w:rPr>
                <w:rFonts w:ascii="Calibri" w:hAnsi="Calibri" w:cs="Calibri"/>
                <w:i/>
                <w:iCs/>
                <w:color w:val="000000"/>
                <w:sz w:val="20"/>
                <w:szCs w:val="20"/>
              </w:rPr>
              <w:t xml:space="preserve"> of CSOs with increased  capacity to design, mobilize, coordinate and deliver civic education and advocacy activities in the communities</w:t>
            </w:r>
          </w:p>
        </w:tc>
        <w:tc>
          <w:tcPr>
            <w:tcW w:w="1843" w:type="dxa"/>
            <w:gridSpan w:val="2"/>
            <w:vMerge w:val="restart"/>
            <w:tcBorders>
              <w:top w:val="single" w:sz="4" w:space="0" w:color="auto"/>
              <w:left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r>
              <w:rPr>
                <w:rFonts w:asciiTheme="minorHAnsi" w:hAnsiTheme="minorHAnsi" w:cstheme="minorHAnsi"/>
                <w:color w:val="000000"/>
                <w:sz w:val="20"/>
                <w:szCs w:val="20"/>
              </w:rPr>
              <w:t>UNDP-managed annual progress reports</w:t>
            </w:r>
          </w:p>
        </w:tc>
        <w:tc>
          <w:tcPr>
            <w:tcW w:w="1701" w:type="dxa"/>
            <w:vMerge w:val="restart"/>
            <w:tcBorders>
              <w:top w:val="single" w:sz="4" w:space="0" w:color="auto"/>
              <w:left w:val="single" w:sz="4" w:space="0" w:color="auto"/>
              <w:right w:val="single" w:sz="4" w:space="0" w:color="auto"/>
            </w:tcBorders>
            <w:shd w:val="clear" w:color="auto" w:fill="auto"/>
          </w:tcPr>
          <w:p w:rsidR="006320A9" w:rsidRPr="001122AE" w:rsidRDefault="006320A9" w:rsidP="001122AE">
            <w:pPr>
              <w:jc w:val="left"/>
              <w:rPr>
                <w:rFonts w:asciiTheme="minorHAnsi" w:hAnsiTheme="minorHAnsi" w:cstheme="minorHAnsi"/>
                <w:i/>
                <w:iCs/>
                <w:sz w:val="20"/>
                <w:szCs w:val="20"/>
              </w:rPr>
            </w:pPr>
            <w:r w:rsidRPr="001122AE">
              <w:rPr>
                <w:rFonts w:asciiTheme="minorHAnsi" w:hAnsiTheme="minorHAnsi" w:cstheme="minorHAnsi"/>
                <w:i/>
                <w:iCs/>
                <w:sz w:val="20"/>
                <w:szCs w:val="20"/>
              </w:rPr>
              <w:t xml:space="preserve"> </w:t>
            </w:r>
          </w:p>
          <w:p w:rsidR="006320A9" w:rsidRPr="001122AE" w:rsidRDefault="006320A9" w:rsidP="001122AE">
            <w:pPr>
              <w:jc w:val="left"/>
              <w:rPr>
                <w:rFonts w:asciiTheme="minorHAnsi" w:hAnsiTheme="minorHAnsi" w:cstheme="minorHAnsi"/>
                <w:i/>
                <w:i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00"/>
          </w:tcPr>
          <w:p w:rsidR="006320A9" w:rsidRPr="0011273B" w:rsidRDefault="006320A9" w:rsidP="000A7693">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0A7693">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0A7693">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0A7693">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0A7693">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r>
      <w:tr w:rsidR="006320A9" w:rsidRPr="0011273B" w:rsidTr="00C415C7">
        <w:trPr>
          <w:trHeight w:val="698"/>
        </w:trPr>
        <w:tc>
          <w:tcPr>
            <w:tcW w:w="2268" w:type="dxa"/>
            <w:vMerge/>
            <w:tcBorders>
              <w:left w:val="single" w:sz="4" w:space="0" w:color="auto"/>
              <w:bottom w:val="single" w:sz="4" w:space="0" w:color="auto"/>
              <w:right w:val="single" w:sz="4" w:space="0" w:color="auto"/>
            </w:tcBorders>
            <w:shd w:val="clear" w:color="000000" w:fill="C4D79B"/>
          </w:tcPr>
          <w:p w:rsidR="006320A9" w:rsidRDefault="006320A9" w:rsidP="00E54718">
            <w:pPr>
              <w:jc w:val="left"/>
              <w:rPr>
                <w:rFonts w:asciiTheme="minorHAnsi" w:hAnsiTheme="minorHAnsi" w:cstheme="minorHAnsi"/>
                <w:b/>
                <w:bCs/>
                <w:color w:val="000000"/>
                <w:sz w:val="20"/>
                <w:szCs w:val="20"/>
              </w:rPr>
            </w:pPr>
          </w:p>
        </w:tc>
        <w:tc>
          <w:tcPr>
            <w:tcW w:w="1985" w:type="dxa"/>
            <w:vMerge/>
            <w:tcBorders>
              <w:left w:val="single" w:sz="4" w:space="0" w:color="auto"/>
              <w:bottom w:val="single" w:sz="4" w:space="0" w:color="auto"/>
              <w:right w:val="single" w:sz="4" w:space="0" w:color="auto"/>
            </w:tcBorders>
            <w:shd w:val="clear" w:color="auto" w:fill="auto"/>
          </w:tcPr>
          <w:p w:rsidR="006320A9" w:rsidRDefault="006320A9" w:rsidP="008E3F7E">
            <w:pPr>
              <w:jc w:val="left"/>
              <w:rPr>
                <w:rFonts w:ascii="Calibri" w:hAnsi="Calibri" w:cs="Calibri"/>
                <w:i/>
                <w:iCs/>
                <w:color w:val="000000"/>
                <w:sz w:val="20"/>
                <w:szCs w:val="20"/>
              </w:rPr>
            </w:pPr>
          </w:p>
        </w:tc>
        <w:tc>
          <w:tcPr>
            <w:tcW w:w="1843" w:type="dxa"/>
            <w:gridSpan w:val="2"/>
            <w:vMerge/>
            <w:tcBorders>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6320A9" w:rsidRPr="001122AE" w:rsidRDefault="006320A9" w:rsidP="00E54718">
            <w:pPr>
              <w:jc w:val="left"/>
              <w:rPr>
                <w:rFonts w:asciiTheme="minorHAnsi" w:hAnsiTheme="minorHAnsi" w:cstheme="minorHAnsi"/>
                <w:i/>
                <w:i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00"/>
          </w:tcPr>
          <w:p w:rsidR="006320A9" w:rsidRPr="0011273B" w:rsidRDefault="006320A9" w:rsidP="000A7693">
            <w:pPr>
              <w:jc w:val="left"/>
              <w:rPr>
                <w:rFonts w:asciiTheme="minorHAnsi" w:hAnsiTheme="minorHAnsi" w:cstheme="minorHAnsi"/>
                <w:b/>
                <w:bCs/>
                <w:color w:val="000000"/>
                <w:sz w:val="20"/>
                <w:szCs w:val="20"/>
              </w:rPr>
            </w:pPr>
            <w:r>
              <w:rPr>
                <w:rFonts w:asciiTheme="minorHAnsi" w:hAnsiTheme="minorHAnsi" w:cstheme="minorHAnsi"/>
                <w:b/>
                <w:bCs/>
                <w:color w:val="000000"/>
                <w:sz w:val="20"/>
                <w:szCs w:val="20"/>
              </w:rPr>
              <w:t>Actual: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0A7693">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0A7693">
            <w:pPr>
              <w:jc w:val="left"/>
              <w:rPr>
                <w:rFonts w:asciiTheme="minorHAnsi" w:hAnsiTheme="minorHAnsi" w:cstheme="minorHAns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0A7693">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0A7693">
            <w:pPr>
              <w:jc w:val="left"/>
              <w:rPr>
                <w:rFonts w:asciiTheme="minorHAnsi" w:hAnsiTheme="minorHAnsi" w:cstheme="minorHAnsi"/>
                <w:color w:val="000000"/>
                <w:sz w:val="20"/>
                <w:szCs w:val="20"/>
              </w:rPr>
            </w:pPr>
          </w:p>
        </w:tc>
      </w:tr>
      <w:tr w:rsidR="006320A9" w:rsidRPr="0011273B" w:rsidTr="00C415C7">
        <w:trPr>
          <w:trHeight w:val="2094"/>
        </w:trPr>
        <w:tc>
          <w:tcPr>
            <w:tcW w:w="2268" w:type="dxa"/>
            <w:vMerge/>
            <w:tcBorders>
              <w:top w:val="single" w:sz="4" w:space="0" w:color="auto"/>
              <w:left w:val="single" w:sz="4" w:space="0" w:color="auto"/>
              <w:bottom w:val="single" w:sz="4" w:space="0" w:color="auto"/>
              <w:right w:val="single" w:sz="4" w:space="0" w:color="auto"/>
            </w:tcBorders>
            <w:shd w:val="clear" w:color="000000" w:fill="C4D79B"/>
          </w:tcPr>
          <w:p w:rsidR="006320A9" w:rsidRDefault="006320A9" w:rsidP="00E54718">
            <w:pPr>
              <w:jc w:val="left"/>
              <w:rPr>
                <w:rFonts w:asciiTheme="minorHAnsi" w:hAnsiTheme="minorHAnsi" w:cstheme="minorHAnsi"/>
                <w:b/>
                <w:bCs/>
                <w:color w:val="000000"/>
                <w:sz w:val="20"/>
                <w:szCs w:val="20"/>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6320A9" w:rsidRDefault="006320A9" w:rsidP="00E54718">
            <w:pPr>
              <w:jc w:val="left"/>
              <w:rPr>
                <w:rFonts w:ascii="Calibri" w:hAnsi="Calibri" w:cs="Calibri"/>
                <w:i/>
                <w:iCs/>
                <w:color w:val="000000"/>
                <w:sz w:val="20"/>
                <w:szCs w:val="20"/>
              </w:rPr>
            </w:pPr>
            <w:r w:rsidRPr="00E12C45">
              <w:rPr>
                <w:rFonts w:ascii="Calibri" w:hAnsi="Calibri" w:cs="Calibri"/>
                <w:i/>
                <w:iCs/>
                <w:color w:val="000000"/>
                <w:sz w:val="20"/>
                <w:szCs w:val="20"/>
              </w:rPr>
              <w:t>Level of understanding amongst students attending formal and informal schools system of democracy, human rights, civic responsibility and reforms to date disaggregated by g</w:t>
            </w:r>
            <w:r>
              <w:rPr>
                <w:rFonts w:ascii="Calibri" w:hAnsi="Calibri" w:cs="Calibri"/>
                <w:i/>
                <w:iCs/>
                <w:color w:val="000000"/>
                <w:sz w:val="20"/>
                <w:szCs w:val="20"/>
              </w:rPr>
              <w:t>ender, population, &amp; geography</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r>
              <w:rPr>
                <w:rFonts w:asciiTheme="minorHAnsi" w:hAnsiTheme="minorHAnsi" w:cstheme="minorHAnsi"/>
                <w:color w:val="000000"/>
                <w:sz w:val="20"/>
                <w:szCs w:val="20"/>
              </w:rPr>
              <w:t>Field monitoring visits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6320A9" w:rsidRDefault="006320A9" w:rsidP="001122AE">
            <w:pPr>
              <w:jc w:val="left"/>
              <w:rPr>
                <w:rFonts w:asciiTheme="minorHAnsi" w:hAnsiTheme="minorHAnsi" w:cstheme="minorHAnsi"/>
                <w:i/>
                <w:iCs/>
                <w:sz w:val="20"/>
                <w:szCs w:val="20"/>
              </w:rPr>
            </w:pPr>
            <w:r w:rsidRPr="001122AE">
              <w:rPr>
                <w:rFonts w:asciiTheme="minorHAnsi" w:hAnsiTheme="minorHAnsi" w:cstheme="minorHAnsi"/>
                <w:i/>
                <w:iCs/>
                <w:sz w:val="20"/>
                <w:szCs w:val="20"/>
              </w:rPr>
              <w:t xml:space="preserve">Absence of curriculum framework for addressing Civic, Democracy </w:t>
            </w:r>
            <w:r w:rsidR="00B059CC">
              <w:rPr>
                <w:rFonts w:asciiTheme="minorHAnsi" w:hAnsiTheme="minorHAnsi" w:cstheme="minorHAnsi"/>
                <w:i/>
                <w:iCs/>
                <w:sz w:val="20"/>
                <w:szCs w:val="20"/>
              </w:rPr>
              <w:t>&amp;</w:t>
            </w:r>
            <w:r w:rsidR="00B059CC" w:rsidRPr="001122AE">
              <w:rPr>
                <w:rFonts w:asciiTheme="minorHAnsi" w:hAnsiTheme="minorHAnsi" w:cstheme="minorHAnsi"/>
                <w:i/>
                <w:iCs/>
                <w:sz w:val="20"/>
                <w:szCs w:val="20"/>
              </w:rPr>
              <w:t xml:space="preserve"> </w:t>
            </w:r>
            <w:r w:rsidRPr="001122AE">
              <w:rPr>
                <w:rFonts w:asciiTheme="minorHAnsi" w:hAnsiTheme="minorHAnsi" w:cstheme="minorHAnsi"/>
                <w:i/>
                <w:iCs/>
                <w:sz w:val="20"/>
                <w:szCs w:val="20"/>
              </w:rPr>
              <w:t>Human Rights Education in formal and informal school systems</w:t>
            </w:r>
            <w:r>
              <w:rPr>
                <w:rFonts w:asciiTheme="minorHAnsi" w:hAnsiTheme="minorHAnsi" w:cstheme="minorHAnsi"/>
                <w:i/>
                <w:iCs/>
                <w:sz w:val="20"/>
                <w:szCs w:val="20"/>
              </w:rPr>
              <w:t>;</w:t>
            </w:r>
          </w:p>
          <w:p w:rsidR="006320A9" w:rsidRPr="001122AE" w:rsidRDefault="006320A9" w:rsidP="00B74E4F">
            <w:pPr>
              <w:jc w:val="left"/>
              <w:rPr>
                <w:rFonts w:asciiTheme="minorHAnsi" w:hAnsiTheme="minorHAnsi" w:cstheme="minorHAnsi"/>
                <w:i/>
                <w:iCs/>
                <w:sz w:val="20"/>
                <w:szCs w:val="20"/>
              </w:rPr>
            </w:pPr>
            <w:r w:rsidRPr="001122AE">
              <w:rPr>
                <w:rFonts w:asciiTheme="minorHAnsi" w:hAnsiTheme="minorHAnsi" w:cstheme="minorHAnsi"/>
                <w:i/>
                <w:iCs/>
                <w:sz w:val="20"/>
                <w:szCs w:val="20"/>
              </w:rPr>
              <w:t xml:space="preserve"> </w:t>
            </w:r>
          </w:p>
          <w:p w:rsidR="006320A9" w:rsidRPr="001122AE" w:rsidRDefault="006320A9" w:rsidP="001122AE">
            <w:pPr>
              <w:jc w:val="left"/>
              <w:rPr>
                <w:rFonts w:asciiTheme="minorHAnsi" w:hAnsiTheme="minorHAnsi" w:cstheme="minorHAnsi"/>
                <w:i/>
                <w:i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00"/>
          </w:tcPr>
          <w:p w:rsidR="006320A9" w:rsidRPr="0011273B" w:rsidRDefault="006320A9" w:rsidP="000A7693">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0A7693">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r>
      <w:tr w:rsidR="006320A9" w:rsidRPr="0011273B" w:rsidTr="00C415C7">
        <w:trPr>
          <w:trHeight w:val="1162"/>
        </w:trPr>
        <w:tc>
          <w:tcPr>
            <w:tcW w:w="2268" w:type="dxa"/>
            <w:vMerge/>
            <w:tcBorders>
              <w:top w:val="single" w:sz="4" w:space="0" w:color="auto"/>
              <w:left w:val="single" w:sz="4" w:space="0" w:color="auto"/>
              <w:bottom w:val="single" w:sz="4" w:space="0" w:color="auto"/>
              <w:right w:val="single" w:sz="4" w:space="0" w:color="auto"/>
            </w:tcBorders>
            <w:shd w:val="clear" w:color="000000" w:fill="C4D79B"/>
          </w:tcPr>
          <w:p w:rsidR="006320A9" w:rsidRDefault="006320A9" w:rsidP="00E54718">
            <w:pPr>
              <w:jc w:val="left"/>
              <w:rPr>
                <w:rFonts w:asciiTheme="minorHAnsi" w:hAnsiTheme="minorHAnsi" w:cstheme="minorHAnsi"/>
                <w:b/>
                <w:bCs/>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6320A9" w:rsidRPr="00E12C45" w:rsidRDefault="006320A9" w:rsidP="00E54718">
            <w:pPr>
              <w:jc w:val="left"/>
              <w:rPr>
                <w:rFonts w:ascii="Calibri" w:hAnsi="Calibri" w:cs="Calibri"/>
                <w:i/>
                <w:iCs/>
                <w:color w:val="000000"/>
                <w:sz w:val="20"/>
                <w:szCs w:val="20"/>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6320A9" w:rsidRPr="001122AE" w:rsidRDefault="006320A9" w:rsidP="00E54718">
            <w:pPr>
              <w:jc w:val="left"/>
              <w:rPr>
                <w:rFonts w:asciiTheme="minorHAnsi" w:hAnsiTheme="minorHAnsi" w:cstheme="minorHAnsi"/>
                <w:i/>
                <w:i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00"/>
          </w:tcPr>
          <w:p w:rsidR="006320A9" w:rsidRPr="0011273B" w:rsidRDefault="006320A9" w:rsidP="000A7693">
            <w:pPr>
              <w:jc w:val="left"/>
              <w:rPr>
                <w:rFonts w:asciiTheme="minorHAnsi" w:hAnsiTheme="minorHAnsi" w:cstheme="minorHAnsi"/>
                <w:b/>
                <w:bCs/>
                <w:color w:val="000000"/>
                <w:sz w:val="20"/>
                <w:szCs w:val="20"/>
              </w:rPr>
            </w:pPr>
            <w:r>
              <w:rPr>
                <w:rFonts w:asciiTheme="minorHAnsi" w:hAnsiTheme="minorHAnsi" w:cstheme="minorHAnsi"/>
                <w:b/>
                <w:bCs/>
                <w:color w:val="000000"/>
                <w:sz w:val="20"/>
                <w:szCs w:val="20"/>
              </w:rPr>
              <w:t>Actual: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0A7693">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r>
      <w:tr w:rsidR="006320A9" w:rsidRPr="0011273B" w:rsidTr="00C415C7">
        <w:trPr>
          <w:trHeight w:val="1368"/>
        </w:trPr>
        <w:tc>
          <w:tcPr>
            <w:tcW w:w="2268" w:type="dxa"/>
            <w:vMerge w:val="restart"/>
            <w:tcBorders>
              <w:top w:val="single" w:sz="4" w:space="0" w:color="auto"/>
              <w:left w:val="single" w:sz="4" w:space="0" w:color="auto"/>
              <w:right w:val="single" w:sz="4" w:space="0" w:color="auto"/>
            </w:tcBorders>
            <w:shd w:val="clear" w:color="000000" w:fill="C4D79B"/>
            <w:hideMark/>
          </w:tcPr>
          <w:p w:rsidR="006320A9" w:rsidRPr="006D48EF" w:rsidRDefault="006320A9" w:rsidP="00E54718">
            <w:pPr>
              <w:jc w:val="left"/>
              <w:rPr>
                <w:rFonts w:ascii="Calibri" w:hAnsi="Calibri" w:cs="Calibri"/>
                <w:iCs/>
                <w:color w:val="000000"/>
                <w:sz w:val="20"/>
                <w:szCs w:val="20"/>
              </w:rPr>
            </w:pPr>
            <w:r w:rsidRPr="0011273B">
              <w:rPr>
                <w:rFonts w:asciiTheme="minorHAnsi" w:hAnsiTheme="minorHAnsi" w:cstheme="minorHAnsi"/>
                <w:b/>
                <w:bCs/>
                <w:color w:val="000000"/>
                <w:sz w:val="20"/>
                <w:szCs w:val="20"/>
              </w:rPr>
              <w:t>Intermediate outcome</w:t>
            </w:r>
            <w:r>
              <w:rPr>
                <w:rFonts w:asciiTheme="minorHAnsi" w:hAnsiTheme="minorHAnsi" w:cstheme="minorHAnsi"/>
                <w:b/>
                <w:bCs/>
                <w:color w:val="000000"/>
                <w:sz w:val="20"/>
                <w:szCs w:val="20"/>
              </w:rPr>
              <w:t>:</w:t>
            </w:r>
            <w:r>
              <w:rPr>
                <w:rFonts w:ascii="Calibri" w:hAnsi="Calibri" w:cs="Calibri"/>
                <w:iCs/>
                <w:color w:val="000000"/>
                <w:sz w:val="20"/>
                <w:szCs w:val="20"/>
              </w:rPr>
              <w:t xml:space="preserve"> </w:t>
            </w:r>
            <w:r w:rsidRPr="00E12C45">
              <w:rPr>
                <w:rFonts w:ascii="Calibri" w:hAnsi="Calibri" w:cs="Calibri"/>
                <w:iCs/>
                <w:color w:val="000000"/>
                <w:sz w:val="20"/>
                <w:szCs w:val="20"/>
              </w:rPr>
              <w:t>Capacity of Tonga Electoral Commission enhanced to ensure the effective conduct of free and fair national and local elections</w:t>
            </w:r>
            <w:r>
              <w:rPr>
                <w:rFonts w:ascii="Calibri" w:hAnsi="Calibri" w:cs="Calibri"/>
                <w:iCs/>
                <w:color w:val="000000"/>
                <w:sz w:val="20"/>
                <w:szCs w:val="20"/>
              </w:rPr>
              <w:t>.</w:t>
            </w:r>
          </w:p>
        </w:tc>
        <w:tc>
          <w:tcPr>
            <w:tcW w:w="1985" w:type="dxa"/>
            <w:vMerge w:val="restart"/>
            <w:tcBorders>
              <w:top w:val="single" w:sz="4" w:space="0" w:color="auto"/>
              <w:left w:val="single" w:sz="4" w:space="0" w:color="auto"/>
              <w:right w:val="single" w:sz="4" w:space="0" w:color="auto"/>
            </w:tcBorders>
            <w:shd w:val="clear" w:color="auto" w:fill="auto"/>
          </w:tcPr>
          <w:p w:rsidR="006320A9" w:rsidRPr="00E12C45" w:rsidRDefault="006320A9" w:rsidP="00BA20D5">
            <w:pPr>
              <w:jc w:val="left"/>
              <w:rPr>
                <w:rFonts w:ascii="Calibri" w:hAnsi="Calibri" w:cs="Calibri"/>
                <w:i/>
                <w:iCs/>
                <w:color w:val="000000"/>
                <w:sz w:val="20"/>
                <w:szCs w:val="20"/>
              </w:rPr>
            </w:pPr>
            <w:r w:rsidRPr="00E12C45">
              <w:rPr>
                <w:rFonts w:ascii="Calibri" w:hAnsi="Calibri" w:cs="Calibri"/>
                <w:i/>
                <w:iCs/>
                <w:color w:val="000000"/>
                <w:sz w:val="20"/>
                <w:szCs w:val="20"/>
              </w:rPr>
              <w:t xml:space="preserve">Public </w:t>
            </w:r>
            <w:r w:rsidR="00BA20D5">
              <w:rPr>
                <w:rFonts w:ascii="Calibri" w:hAnsi="Calibri" w:cs="Calibri"/>
                <w:i/>
                <w:iCs/>
                <w:color w:val="000000"/>
                <w:sz w:val="20"/>
                <w:szCs w:val="20"/>
              </w:rPr>
              <w:t>p</w:t>
            </w:r>
            <w:r w:rsidRPr="00E12C45">
              <w:rPr>
                <w:rFonts w:ascii="Calibri" w:hAnsi="Calibri" w:cs="Calibri"/>
                <w:i/>
                <w:iCs/>
                <w:color w:val="000000"/>
                <w:sz w:val="20"/>
                <w:szCs w:val="20"/>
              </w:rPr>
              <w:t xml:space="preserve">erception on capacity of national electoral authority to administer free, transparent and democratic manner National and local elections disaggregated by gender, population, &amp; </w:t>
            </w:r>
            <w:r>
              <w:rPr>
                <w:rFonts w:ascii="Calibri" w:hAnsi="Calibri" w:cs="Calibri"/>
                <w:i/>
                <w:iCs/>
                <w:color w:val="000000"/>
                <w:sz w:val="20"/>
                <w:szCs w:val="20"/>
              </w:rPr>
              <w:t>geography</w:t>
            </w:r>
          </w:p>
        </w:tc>
        <w:tc>
          <w:tcPr>
            <w:tcW w:w="1843" w:type="dxa"/>
            <w:gridSpan w:val="2"/>
            <w:vMerge w:val="restart"/>
            <w:tcBorders>
              <w:top w:val="single" w:sz="4" w:space="0" w:color="auto"/>
              <w:left w:val="single" w:sz="4" w:space="0" w:color="auto"/>
              <w:right w:val="single" w:sz="4" w:space="0" w:color="auto"/>
            </w:tcBorders>
            <w:shd w:val="clear" w:color="auto" w:fill="auto"/>
          </w:tcPr>
          <w:p w:rsidR="006320A9" w:rsidRPr="0011273B" w:rsidRDefault="006320A9" w:rsidP="00CC05F2">
            <w:pPr>
              <w:jc w:val="left"/>
              <w:rPr>
                <w:rFonts w:asciiTheme="minorHAnsi" w:hAnsiTheme="minorHAnsi" w:cstheme="minorHAnsi"/>
                <w:color w:val="000000"/>
                <w:sz w:val="20"/>
                <w:szCs w:val="20"/>
              </w:rPr>
            </w:pPr>
            <w:r>
              <w:rPr>
                <w:rFonts w:asciiTheme="minorHAnsi" w:hAnsiTheme="minorHAnsi" w:cstheme="minorHAnsi"/>
                <w:color w:val="000000"/>
                <w:sz w:val="20"/>
                <w:szCs w:val="20"/>
              </w:rPr>
              <w:t>UNDP-led perception surveys</w:t>
            </w:r>
          </w:p>
        </w:tc>
        <w:tc>
          <w:tcPr>
            <w:tcW w:w="1701" w:type="dxa"/>
            <w:vMerge w:val="restart"/>
            <w:tcBorders>
              <w:top w:val="single" w:sz="4" w:space="0" w:color="auto"/>
              <w:left w:val="single" w:sz="4" w:space="0" w:color="auto"/>
              <w:right w:val="single" w:sz="4" w:space="0" w:color="auto"/>
            </w:tcBorders>
            <w:shd w:val="clear" w:color="auto" w:fill="auto"/>
          </w:tcPr>
          <w:p w:rsidR="006320A9" w:rsidRPr="001122AE" w:rsidRDefault="006320A9" w:rsidP="001122AE">
            <w:pPr>
              <w:jc w:val="left"/>
              <w:rPr>
                <w:rFonts w:asciiTheme="minorHAnsi" w:hAnsiTheme="minorHAnsi" w:cstheme="minorHAnsi"/>
                <w:i/>
                <w:iCs/>
                <w:sz w:val="20"/>
                <w:szCs w:val="20"/>
              </w:rPr>
            </w:pPr>
            <w:r w:rsidRPr="001122AE">
              <w:rPr>
                <w:rFonts w:asciiTheme="minorHAnsi" w:hAnsiTheme="minorHAnsi" w:cstheme="minorHAnsi"/>
                <w:i/>
                <w:iCs/>
                <w:sz w:val="20"/>
                <w:szCs w:val="20"/>
              </w:rPr>
              <w:t>There is a need to strengthen the technical, logistical and support capacity of the T</w:t>
            </w:r>
            <w:r>
              <w:rPr>
                <w:rFonts w:asciiTheme="minorHAnsi" w:hAnsiTheme="minorHAnsi" w:cstheme="minorHAnsi"/>
                <w:i/>
                <w:iCs/>
                <w:sz w:val="20"/>
                <w:szCs w:val="20"/>
              </w:rPr>
              <w:t>EC</w:t>
            </w:r>
            <w:r w:rsidRPr="001122AE">
              <w:rPr>
                <w:rFonts w:asciiTheme="minorHAnsi" w:hAnsiTheme="minorHAnsi" w:cstheme="minorHAnsi"/>
                <w:i/>
                <w:iCs/>
                <w:sz w:val="20"/>
                <w:szCs w:val="20"/>
              </w:rPr>
              <w:t xml:space="preserve"> </w:t>
            </w:r>
          </w:p>
          <w:p w:rsidR="006320A9" w:rsidRPr="001122AE" w:rsidRDefault="006320A9" w:rsidP="00E54718">
            <w:pPr>
              <w:jc w:val="left"/>
              <w:rPr>
                <w:rFonts w:asciiTheme="minorHAnsi" w:hAnsiTheme="minorHAnsi" w:cstheme="minorHAnsi"/>
                <w:i/>
                <w:iCs/>
                <w:sz w:val="20"/>
                <w:szCs w:val="20"/>
              </w:rPr>
            </w:pPr>
          </w:p>
        </w:tc>
        <w:tc>
          <w:tcPr>
            <w:tcW w:w="850" w:type="dxa"/>
            <w:tcBorders>
              <w:top w:val="single" w:sz="4" w:space="0" w:color="auto"/>
              <w:left w:val="nil"/>
              <w:bottom w:val="single" w:sz="4" w:space="0" w:color="auto"/>
              <w:right w:val="single" w:sz="4" w:space="0" w:color="auto"/>
            </w:tcBorders>
            <w:shd w:val="clear" w:color="000000" w:fill="FFFF00"/>
            <w:hideMark/>
          </w:tcPr>
          <w:p w:rsidR="006320A9" w:rsidRPr="0011273B" w:rsidRDefault="006320A9" w:rsidP="00E54718">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E54718">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E54718">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E54718">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E54718">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r>
      <w:tr w:rsidR="006320A9" w:rsidRPr="0011273B" w:rsidTr="00C415C7">
        <w:trPr>
          <w:trHeight w:val="698"/>
        </w:trPr>
        <w:tc>
          <w:tcPr>
            <w:tcW w:w="2268" w:type="dxa"/>
            <w:vMerge/>
            <w:tcBorders>
              <w:left w:val="single" w:sz="4" w:space="0" w:color="auto"/>
              <w:bottom w:val="single" w:sz="4" w:space="0" w:color="auto"/>
              <w:right w:val="single" w:sz="4" w:space="0" w:color="auto"/>
            </w:tcBorders>
            <w:shd w:val="clear" w:color="000000" w:fill="C4D79B"/>
          </w:tcPr>
          <w:p w:rsidR="006320A9" w:rsidRDefault="006320A9" w:rsidP="00E54718">
            <w:pPr>
              <w:jc w:val="left"/>
              <w:rPr>
                <w:rFonts w:asciiTheme="minorHAnsi" w:hAnsiTheme="minorHAnsi" w:cstheme="minorHAnsi"/>
                <w:b/>
                <w:bCs/>
                <w:color w:val="000000"/>
                <w:sz w:val="20"/>
                <w:szCs w:val="20"/>
              </w:rPr>
            </w:pPr>
          </w:p>
        </w:tc>
        <w:tc>
          <w:tcPr>
            <w:tcW w:w="1985" w:type="dxa"/>
            <w:vMerge/>
            <w:tcBorders>
              <w:left w:val="single" w:sz="4" w:space="0" w:color="auto"/>
              <w:bottom w:val="single" w:sz="4" w:space="0" w:color="auto"/>
              <w:right w:val="single" w:sz="4" w:space="0" w:color="auto"/>
            </w:tcBorders>
            <w:shd w:val="clear" w:color="auto" w:fill="auto"/>
          </w:tcPr>
          <w:p w:rsidR="006320A9" w:rsidRDefault="006320A9" w:rsidP="00E54718">
            <w:pPr>
              <w:jc w:val="left"/>
              <w:rPr>
                <w:rFonts w:ascii="Calibri" w:hAnsi="Calibri" w:cs="Calibri"/>
                <w:i/>
                <w:iCs/>
                <w:color w:val="000000"/>
                <w:sz w:val="20"/>
                <w:szCs w:val="20"/>
              </w:rPr>
            </w:pPr>
          </w:p>
        </w:tc>
        <w:tc>
          <w:tcPr>
            <w:tcW w:w="1843" w:type="dxa"/>
            <w:gridSpan w:val="2"/>
            <w:vMerge/>
            <w:tcBorders>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6320A9" w:rsidRPr="001122AE" w:rsidRDefault="006320A9" w:rsidP="00E54718">
            <w:pPr>
              <w:jc w:val="left"/>
              <w:rPr>
                <w:rFonts w:asciiTheme="minorHAnsi" w:hAnsiTheme="minorHAnsi" w:cstheme="minorHAnsi"/>
                <w:i/>
                <w:i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00"/>
          </w:tcPr>
          <w:p w:rsidR="006320A9" w:rsidRPr="0011273B" w:rsidRDefault="006320A9" w:rsidP="00E54718">
            <w:pPr>
              <w:jc w:val="left"/>
              <w:rPr>
                <w:rFonts w:asciiTheme="minorHAnsi" w:hAnsiTheme="minorHAnsi" w:cstheme="minorHAnsi"/>
                <w:b/>
                <w:bCs/>
                <w:color w:val="000000"/>
                <w:sz w:val="20"/>
                <w:szCs w:val="20"/>
              </w:rPr>
            </w:pPr>
            <w:r>
              <w:rPr>
                <w:rFonts w:asciiTheme="minorHAnsi" w:hAnsiTheme="minorHAnsi" w:cstheme="minorHAnsi"/>
                <w:b/>
                <w:bCs/>
                <w:color w:val="000000"/>
                <w:sz w:val="20"/>
                <w:szCs w:val="20"/>
              </w:rPr>
              <w:t>Actual: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r>
      <w:tr w:rsidR="006320A9" w:rsidRPr="0011273B" w:rsidTr="00C415C7">
        <w:trPr>
          <w:trHeight w:val="1363"/>
        </w:trPr>
        <w:tc>
          <w:tcPr>
            <w:tcW w:w="2268" w:type="dxa"/>
            <w:vMerge w:val="restart"/>
            <w:tcBorders>
              <w:top w:val="single" w:sz="4" w:space="0" w:color="auto"/>
              <w:left w:val="single" w:sz="4" w:space="0" w:color="auto"/>
              <w:right w:val="single" w:sz="4" w:space="0" w:color="auto"/>
            </w:tcBorders>
            <w:shd w:val="clear" w:color="000000" w:fill="C4D79B"/>
            <w:hideMark/>
          </w:tcPr>
          <w:p w:rsidR="006320A9" w:rsidRPr="006D48EF" w:rsidRDefault="006320A9" w:rsidP="00E54718">
            <w:pPr>
              <w:jc w:val="left"/>
              <w:rPr>
                <w:rFonts w:ascii="Calibri" w:hAnsi="Calibri" w:cs="Calibri"/>
                <w:iCs/>
                <w:color w:val="000000"/>
                <w:sz w:val="20"/>
                <w:szCs w:val="20"/>
              </w:rPr>
            </w:pPr>
            <w:r w:rsidRPr="0011273B">
              <w:rPr>
                <w:rFonts w:asciiTheme="minorHAnsi" w:hAnsiTheme="minorHAnsi" w:cstheme="minorHAnsi"/>
                <w:b/>
                <w:bCs/>
                <w:color w:val="000000"/>
                <w:sz w:val="20"/>
                <w:szCs w:val="20"/>
              </w:rPr>
              <w:t>Intermediate outcome</w:t>
            </w:r>
            <w:r>
              <w:rPr>
                <w:rFonts w:asciiTheme="minorHAnsi" w:hAnsiTheme="minorHAnsi" w:cstheme="minorHAnsi"/>
                <w:b/>
                <w:bCs/>
                <w:color w:val="000000"/>
                <w:sz w:val="20"/>
                <w:szCs w:val="20"/>
              </w:rPr>
              <w:t>:</w:t>
            </w:r>
            <w:r>
              <w:rPr>
                <w:rFonts w:ascii="Calibri" w:hAnsi="Calibri" w:cs="Calibri"/>
                <w:iCs/>
                <w:color w:val="000000"/>
                <w:sz w:val="20"/>
                <w:szCs w:val="20"/>
              </w:rPr>
              <w:t xml:space="preserve"> </w:t>
            </w:r>
            <w:r w:rsidRPr="00E12C45">
              <w:rPr>
                <w:rFonts w:ascii="Calibri" w:hAnsi="Calibri" w:cs="Calibri"/>
                <w:iCs/>
                <w:color w:val="000000"/>
                <w:sz w:val="20"/>
                <w:szCs w:val="20"/>
              </w:rPr>
              <w:t xml:space="preserve">Program </w:t>
            </w:r>
            <w:r>
              <w:rPr>
                <w:rFonts w:ascii="Calibri" w:hAnsi="Calibri" w:cs="Calibri"/>
                <w:iCs/>
                <w:color w:val="000000"/>
                <w:sz w:val="20"/>
                <w:szCs w:val="20"/>
              </w:rPr>
              <w:t>e</w:t>
            </w:r>
            <w:r w:rsidRPr="00E12C45">
              <w:rPr>
                <w:rFonts w:ascii="Calibri" w:hAnsi="Calibri" w:cs="Calibri"/>
                <w:iCs/>
                <w:color w:val="000000"/>
                <w:sz w:val="20"/>
                <w:szCs w:val="20"/>
              </w:rPr>
              <w:t>fficient</w:t>
            </w:r>
            <w:r>
              <w:rPr>
                <w:rFonts w:ascii="Calibri" w:hAnsi="Calibri" w:cs="Calibri"/>
                <w:iCs/>
                <w:color w:val="000000"/>
                <w:sz w:val="20"/>
                <w:szCs w:val="20"/>
              </w:rPr>
              <w:t>ly</w:t>
            </w:r>
            <w:r w:rsidRPr="00E12C45">
              <w:rPr>
                <w:rFonts w:ascii="Calibri" w:hAnsi="Calibri" w:cs="Calibri"/>
                <w:iCs/>
                <w:color w:val="000000"/>
                <w:sz w:val="20"/>
                <w:szCs w:val="20"/>
              </w:rPr>
              <w:t xml:space="preserve"> and effectively managed</w:t>
            </w:r>
            <w:r>
              <w:rPr>
                <w:rFonts w:ascii="Calibri" w:hAnsi="Calibri" w:cs="Calibri"/>
                <w:iCs/>
                <w:color w:val="000000"/>
                <w:sz w:val="20"/>
                <w:szCs w:val="20"/>
              </w:rPr>
              <w:t>.</w:t>
            </w:r>
          </w:p>
        </w:tc>
        <w:tc>
          <w:tcPr>
            <w:tcW w:w="1985" w:type="dxa"/>
            <w:vMerge w:val="restart"/>
            <w:tcBorders>
              <w:top w:val="single" w:sz="4" w:space="0" w:color="auto"/>
              <w:left w:val="single" w:sz="4" w:space="0" w:color="auto"/>
              <w:right w:val="single" w:sz="4" w:space="0" w:color="auto"/>
            </w:tcBorders>
            <w:shd w:val="clear" w:color="auto" w:fill="auto"/>
          </w:tcPr>
          <w:p w:rsidR="006320A9" w:rsidRPr="00DF2B53" w:rsidRDefault="006320A9" w:rsidP="00E54718">
            <w:pPr>
              <w:jc w:val="left"/>
              <w:rPr>
                <w:rFonts w:ascii="Calibri" w:hAnsi="Calibri" w:cs="Calibri"/>
                <w:i/>
                <w:iCs/>
                <w:color w:val="000000"/>
                <w:sz w:val="20"/>
                <w:szCs w:val="20"/>
              </w:rPr>
            </w:pPr>
            <w:r w:rsidRPr="00E35584">
              <w:rPr>
                <w:rFonts w:ascii="Calibri" w:hAnsi="Calibri" w:cs="Calibri"/>
                <w:i/>
                <w:iCs/>
                <w:color w:val="000000"/>
                <w:sz w:val="20"/>
                <w:szCs w:val="20"/>
              </w:rPr>
              <w:t>Recipients perception on the effectiveness and usefulness of the flexible fund as a means to respond to unforeseen and urgent need to support governance initiatives</w:t>
            </w:r>
          </w:p>
        </w:tc>
        <w:tc>
          <w:tcPr>
            <w:tcW w:w="1843" w:type="dxa"/>
            <w:gridSpan w:val="2"/>
            <w:vMerge w:val="restart"/>
            <w:tcBorders>
              <w:top w:val="single" w:sz="4" w:space="0" w:color="auto"/>
              <w:left w:val="single" w:sz="4" w:space="0" w:color="auto"/>
              <w:right w:val="single" w:sz="4" w:space="0" w:color="auto"/>
            </w:tcBorders>
            <w:shd w:val="clear" w:color="auto" w:fill="auto"/>
          </w:tcPr>
          <w:p w:rsidR="006320A9" w:rsidRPr="0011273B" w:rsidRDefault="006320A9" w:rsidP="00CC05F2">
            <w:pPr>
              <w:jc w:val="left"/>
              <w:rPr>
                <w:rFonts w:asciiTheme="minorHAnsi" w:hAnsiTheme="minorHAnsi" w:cstheme="minorHAnsi"/>
                <w:color w:val="000000"/>
                <w:sz w:val="20"/>
                <w:szCs w:val="20"/>
              </w:rPr>
            </w:pPr>
            <w:r>
              <w:rPr>
                <w:rFonts w:asciiTheme="minorHAnsi" w:hAnsiTheme="minorHAnsi" w:cstheme="minorHAnsi"/>
                <w:color w:val="000000"/>
                <w:sz w:val="20"/>
                <w:szCs w:val="20"/>
              </w:rPr>
              <w:t>UNDP-led perception surveys</w:t>
            </w:r>
          </w:p>
        </w:tc>
        <w:tc>
          <w:tcPr>
            <w:tcW w:w="1701" w:type="dxa"/>
            <w:vMerge w:val="restart"/>
            <w:tcBorders>
              <w:top w:val="single" w:sz="4" w:space="0" w:color="auto"/>
              <w:left w:val="single" w:sz="4" w:space="0" w:color="auto"/>
              <w:right w:val="single" w:sz="4" w:space="0" w:color="auto"/>
            </w:tcBorders>
            <w:shd w:val="clear" w:color="auto" w:fill="auto"/>
          </w:tcPr>
          <w:p w:rsidR="006320A9" w:rsidRPr="001122AE" w:rsidRDefault="006320A9" w:rsidP="00E54718">
            <w:pPr>
              <w:jc w:val="left"/>
              <w:rPr>
                <w:rFonts w:asciiTheme="minorHAnsi" w:hAnsiTheme="minorHAnsi" w:cstheme="minorHAnsi"/>
                <w:i/>
                <w:iCs/>
                <w:sz w:val="20"/>
                <w:szCs w:val="20"/>
              </w:rPr>
            </w:pPr>
            <w:r w:rsidRPr="001122AE">
              <w:rPr>
                <w:rFonts w:asciiTheme="minorHAnsi" w:hAnsiTheme="minorHAnsi" w:cstheme="minorHAnsi"/>
                <w:i/>
                <w:iCs/>
                <w:sz w:val="20"/>
                <w:szCs w:val="20"/>
              </w:rPr>
              <w:t xml:space="preserve">Need for  flexibility and responsive funding for strengthening governance institutions &amp; processes in Tonga </w:t>
            </w:r>
          </w:p>
        </w:tc>
        <w:tc>
          <w:tcPr>
            <w:tcW w:w="850" w:type="dxa"/>
            <w:tcBorders>
              <w:top w:val="single" w:sz="4" w:space="0" w:color="auto"/>
              <w:left w:val="nil"/>
              <w:bottom w:val="single" w:sz="4" w:space="0" w:color="auto"/>
              <w:right w:val="single" w:sz="4" w:space="0" w:color="auto"/>
            </w:tcBorders>
            <w:shd w:val="clear" w:color="000000" w:fill="FFFF00"/>
            <w:hideMark/>
          </w:tcPr>
          <w:p w:rsidR="006320A9" w:rsidRPr="0011273B" w:rsidRDefault="006320A9" w:rsidP="00E54718">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E54718">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E54718">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8"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E54718">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E54718">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r>
      <w:tr w:rsidR="006320A9" w:rsidRPr="0011273B" w:rsidTr="00C415C7">
        <w:trPr>
          <w:trHeight w:val="698"/>
        </w:trPr>
        <w:tc>
          <w:tcPr>
            <w:tcW w:w="2268" w:type="dxa"/>
            <w:vMerge/>
            <w:tcBorders>
              <w:left w:val="single" w:sz="4" w:space="0" w:color="auto"/>
              <w:bottom w:val="single" w:sz="4" w:space="0" w:color="auto"/>
              <w:right w:val="single" w:sz="4" w:space="0" w:color="auto"/>
            </w:tcBorders>
            <w:shd w:val="clear" w:color="000000" w:fill="C4D79B"/>
          </w:tcPr>
          <w:p w:rsidR="006320A9" w:rsidRDefault="006320A9" w:rsidP="00E54718">
            <w:pPr>
              <w:jc w:val="left"/>
              <w:rPr>
                <w:rFonts w:asciiTheme="minorHAnsi" w:hAnsiTheme="minorHAnsi" w:cstheme="minorHAnsi"/>
                <w:b/>
                <w:bCs/>
                <w:color w:val="000000"/>
                <w:sz w:val="20"/>
                <w:szCs w:val="20"/>
              </w:rPr>
            </w:pPr>
          </w:p>
        </w:tc>
        <w:tc>
          <w:tcPr>
            <w:tcW w:w="1985" w:type="dxa"/>
            <w:vMerge/>
            <w:tcBorders>
              <w:left w:val="single" w:sz="4" w:space="0" w:color="auto"/>
              <w:bottom w:val="single" w:sz="4" w:space="0" w:color="auto"/>
              <w:right w:val="single" w:sz="4" w:space="0" w:color="auto"/>
            </w:tcBorders>
            <w:shd w:val="clear" w:color="auto" w:fill="auto"/>
          </w:tcPr>
          <w:p w:rsidR="006320A9" w:rsidRDefault="006320A9" w:rsidP="00E54718">
            <w:pPr>
              <w:jc w:val="left"/>
              <w:rPr>
                <w:rFonts w:ascii="Calibri" w:hAnsi="Calibri" w:cs="Calibri"/>
                <w:i/>
                <w:iCs/>
                <w:color w:val="000000"/>
                <w:sz w:val="20"/>
                <w:szCs w:val="20"/>
              </w:rPr>
            </w:pPr>
          </w:p>
        </w:tc>
        <w:tc>
          <w:tcPr>
            <w:tcW w:w="1843" w:type="dxa"/>
            <w:gridSpan w:val="2"/>
            <w:vMerge/>
            <w:tcBorders>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701" w:type="dxa"/>
            <w:vMerge/>
            <w:tcBorders>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i/>
                <w:iCs/>
                <w:color w:val="FF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00"/>
          </w:tcPr>
          <w:p w:rsidR="006320A9" w:rsidRPr="0011273B" w:rsidRDefault="006320A9" w:rsidP="00E54718">
            <w:pPr>
              <w:jc w:val="left"/>
              <w:rPr>
                <w:rFonts w:asciiTheme="minorHAnsi" w:hAnsiTheme="minorHAnsi" w:cstheme="minorHAnsi"/>
                <w:b/>
                <w:bCs/>
                <w:color w:val="000000"/>
                <w:sz w:val="20"/>
                <w:szCs w:val="20"/>
              </w:rPr>
            </w:pPr>
            <w:r>
              <w:rPr>
                <w:rFonts w:asciiTheme="minorHAnsi" w:hAnsiTheme="minorHAnsi" w:cstheme="minorHAnsi"/>
                <w:b/>
                <w:bCs/>
                <w:color w:val="000000"/>
                <w:sz w:val="20"/>
                <w:szCs w:val="20"/>
              </w:rPr>
              <w:t>Actual: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20A9" w:rsidRPr="0011273B" w:rsidRDefault="006320A9" w:rsidP="00E54718">
            <w:pPr>
              <w:jc w:val="left"/>
              <w:rPr>
                <w:rFonts w:asciiTheme="minorHAnsi" w:hAnsiTheme="minorHAnsi" w:cstheme="minorHAnsi"/>
                <w:color w:val="000000"/>
                <w:sz w:val="20"/>
                <w:szCs w:val="20"/>
              </w:rPr>
            </w:pPr>
          </w:p>
        </w:tc>
      </w:tr>
      <w:tr w:rsidR="006320A9" w:rsidRPr="0011273B" w:rsidTr="00C415C7">
        <w:trPr>
          <w:trHeight w:val="239"/>
        </w:trPr>
        <w:tc>
          <w:tcPr>
            <w:tcW w:w="14317" w:type="dxa"/>
            <w:gridSpan w:val="10"/>
            <w:tcBorders>
              <w:top w:val="single" w:sz="4" w:space="0" w:color="auto"/>
              <w:left w:val="single" w:sz="4" w:space="0" w:color="auto"/>
              <w:bottom w:val="single" w:sz="4" w:space="0" w:color="auto"/>
              <w:right w:val="single" w:sz="4" w:space="0" w:color="auto"/>
            </w:tcBorders>
            <w:shd w:val="clear" w:color="000000" w:fill="auto"/>
          </w:tcPr>
          <w:p w:rsidR="006320A9" w:rsidRPr="001122AE" w:rsidRDefault="006320A9" w:rsidP="000D4ECF">
            <w:pPr>
              <w:jc w:val="left"/>
              <w:rPr>
                <w:rFonts w:asciiTheme="minorHAnsi" w:hAnsiTheme="minorHAnsi" w:cstheme="minorHAnsi"/>
                <w:b/>
                <w:bCs/>
                <w:color w:val="000000"/>
                <w:sz w:val="20"/>
                <w:szCs w:val="20"/>
              </w:rPr>
            </w:pPr>
          </w:p>
        </w:tc>
      </w:tr>
      <w:tr w:rsidR="006320A9" w:rsidRPr="0011273B" w:rsidTr="00C415C7">
        <w:trPr>
          <w:trHeight w:val="1842"/>
        </w:trPr>
        <w:tc>
          <w:tcPr>
            <w:tcW w:w="2268" w:type="dxa"/>
            <w:vMerge w:val="restart"/>
            <w:tcBorders>
              <w:top w:val="single" w:sz="4" w:space="0" w:color="auto"/>
              <w:left w:val="single" w:sz="4" w:space="0" w:color="auto"/>
              <w:bottom w:val="single" w:sz="4" w:space="0" w:color="000000"/>
              <w:right w:val="single" w:sz="4" w:space="0" w:color="auto"/>
            </w:tcBorders>
            <w:shd w:val="clear" w:color="000000" w:fill="76933C"/>
            <w:hideMark/>
          </w:tcPr>
          <w:p w:rsidR="006320A9" w:rsidRPr="0011273B" w:rsidRDefault="006320A9" w:rsidP="00317577">
            <w:pPr>
              <w:jc w:val="left"/>
              <w:rPr>
                <w:rFonts w:asciiTheme="minorHAnsi" w:hAnsiTheme="minorHAnsi" w:cstheme="minorHAnsi"/>
                <w:b/>
                <w:bCs/>
                <w:color w:val="000000"/>
                <w:sz w:val="20"/>
                <w:szCs w:val="20"/>
              </w:rPr>
            </w:pPr>
            <w:r>
              <w:rPr>
                <w:rFonts w:asciiTheme="minorHAnsi" w:hAnsiTheme="minorHAnsi" w:cstheme="minorHAnsi"/>
                <w:b/>
                <w:bCs/>
                <w:color w:val="000000"/>
                <w:sz w:val="20"/>
                <w:szCs w:val="20"/>
              </w:rPr>
              <w:t>Program Milestones</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tcPr>
          <w:p w:rsidR="006320A9" w:rsidRPr="0011273B" w:rsidRDefault="006320A9" w:rsidP="000D4ECF">
            <w:pPr>
              <w:jc w:val="left"/>
              <w:rPr>
                <w:rFonts w:asciiTheme="minorHAnsi" w:hAnsiTheme="minorHAnsi" w:cstheme="minorHAnsi"/>
                <w:i/>
                <w:iCs/>
                <w:color w:val="FF0000"/>
                <w:sz w:val="20"/>
                <w:szCs w:val="20"/>
              </w:rPr>
            </w:pPr>
          </w:p>
        </w:tc>
        <w:tc>
          <w:tcPr>
            <w:tcW w:w="1843"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6320A9" w:rsidRPr="0011273B" w:rsidRDefault="006320A9" w:rsidP="000D4ECF">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320A9" w:rsidRPr="0011273B" w:rsidRDefault="006320A9" w:rsidP="000D4ECF">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c>
          <w:tcPr>
            <w:tcW w:w="850" w:type="dxa"/>
            <w:tcBorders>
              <w:top w:val="single" w:sz="4" w:space="0" w:color="auto"/>
              <w:left w:val="nil"/>
              <w:bottom w:val="single" w:sz="4" w:space="0" w:color="auto"/>
              <w:right w:val="single" w:sz="4" w:space="0" w:color="auto"/>
            </w:tcBorders>
            <w:shd w:val="clear" w:color="000000" w:fill="FFFF00"/>
            <w:hideMark/>
          </w:tcPr>
          <w:p w:rsidR="006320A9" w:rsidRPr="0011273B" w:rsidRDefault="006320A9" w:rsidP="000D4ECF">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Target:</w:t>
            </w:r>
          </w:p>
        </w:tc>
        <w:tc>
          <w:tcPr>
            <w:tcW w:w="1418" w:type="dxa"/>
            <w:tcBorders>
              <w:top w:val="single" w:sz="4" w:space="0" w:color="auto"/>
              <w:left w:val="nil"/>
              <w:bottom w:val="single" w:sz="4" w:space="0" w:color="auto"/>
              <w:right w:val="single" w:sz="4" w:space="0" w:color="auto"/>
            </w:tcBorders>
            <w:shd w:val="clear" w:color="auto" w:fill="auto"/>
            <w:hideMark/>
          </w:tcPr>
          <w:p w:rsidR="006320A9" w:rsidRPr="0011273B" w:rsidRDefault="006320A9" w:rsidP="000D4ECF">
            <w:pPr>
              <w:jc w:val="left"/>
              <w:rPr>
                <w:rFonts w:asciiTheme="minorHAnsi" w:hAnsiTheme="minorHAnsi" w:cstheme="minorHAnsi"/>
                <w:i/>
                <w:iCs/>
                <w:color w:val="000000"/>
                <w:sz w:val="20"/>
                <w:szCs w:val="20"/>
              </w:rPr>
            </w:pPr>
            <w:r w:rsidRPr="0011273B">
              <w:rPr>
                <w:rFonts w:asciiTheme="minorHAnsi" w:hAnsiTheme="minorHAnsi" w:cstheme="minorHAnsi"/>
                <w:i/>
                <w:iCs/>
                <w:color w:val="000000"/>
                <w:sz w:val="20"/>
                <w:szCs w:val="20"/>
              </w:rPr>
              <w:t xml:space="preserve">1. PLA </w:t>
            </w:r>
            <w:r w:rsidR="00BA20D5" w:rsidRPr="0011273B">
              <w:rPr>
                <w:rFonts w:asciiTheme="minorHAnsi" w:hAnsiTheme="minorHAnsi" w:cstheme="minorHAnsi"/>
                <w:i/>
                <w:iCs/>
                <w:color w:val="000000"/>
                <w:sz w:val="20"/>
                <w:szCs w:val="20"/>
              </w:rPr>
              <w:t xml:space="preserve">design </w:t>
            </w:r>
            <w:r w:rsidRPr="0011273B">
              <w:rPr>
                <w:rFonts w:asciiTheme="minorHAnsi" w:hAnsiTheme="minorHAnsi" w:cstheme="minorHAnsi"/>
                <w:i/>
                <w:iCs/>
                <w:color w:val="000000"/>
                <w:sz w:val="20"/>
                <w:szCs w:val="20"/>
              </w:rPr>
              <w:t>completed</w:t>
            </w:r>
          </w:p>
          <w:p w:rsidR="006320A9" w:rsidRPr="0011273B" w:rsidRDefault="006320A9" w:rsidP="000D4ECF">
            <w:pPr>
              <w:jc w:val="left"/>
              <w:rPr>
                <w:rFonts w:asciiTheme="minorHAnsi" w:hAnsiTheme="minorHAnsi" w:cstheme="minorHAnsi"/>
                <w:i/>
                <w:iCs/>
                <w:color w:val="000000"/>
                <w:sz w:val="20"/>
                <w:szCs w:val="20"/>
              </w:rPr>
            </w:pPr>
            <w:r w:rsidRPr="0011273B">
              <w:rPr>
                <w:rFonts w:asciiTheme="minorHAnsi" w:hAnsiTheme="minorHAnsi" w:cstheme="minorHAnsi"/>
                <w:i/>
                <w:iCs/>
                <w:color w:val="000000"/>
                <w:sz w:val="20"/>
                <w:szCs w:val="20"/>
              </w:rPr>
              <w:t>3. EPSR III  FMA9/10</w:t>
            </w:r>
          </w:p>
          <w:p w:rsidR="006320A9" w:rsidRPr="0011273B" w:rsidRDefault="006320A9" w:rsidP="000D4ECF">
            <w:pPr>
              <w:jc w:val="left"/>
              <w:rPr>
                <w:rFonts w:asciiTheme="minorHAnsi" w:hAnsiTheme="minorHAnsi" w:cstheme="minorHAnsi"/>
                <w:i/>
                <w:iCs/>
                <w:color w:val="000000"/>
                <w:sz w:val="20"/>
                <w:szCs w:val="20"/>
              </w:rPr>
            </w:pPr>
            <w:r w:rsidRPr="0011273B">
              <w:rPr>
                <w:rFonts w:asciiTheme="minorHAnsi" w:hAnsiTheme="minorHAnsi" w:cstheme="minorHAnsi"/>
                <w:i/>
                <w:iCs/>
                <w:color w:val="000000"/>
                <w:sz w:val="20"/>
                <w:szCs w:val="20"/>
              </w:rPr>
              <w:t>1. Budget support is disbursed for 2013 (Dec)</w:t>
            </w: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0D4ECF">
            <w:pPr>
              <w:jc w:val="left"/>
              <w:rPr>
                <w:rFonts w:asciiTheme="minorHAnsi" w:hAnsiTheme="minorHAnsi" w:cstheme="minorHAnsi"/>
                <w:i/>
                <w:iCs/>
                <w:color w:val="000000"/>
                <w:sz w:val="20"/>
                <w:szCs w:val="20"/>
              </w:rPr>
            </w:pPr>
            <w:r w:rsidRPr="0011273B">
              <w:rPr>
                <w:rFonts w:asciiTheme="minorHAnsi" w:hAnsiTheme="minorHAnsi" w:cstheme="minorHAnsi"/>
                <w:i/>
                <w:iCs/>
                <w:color w:val="000000"/>
                <w:sz w:val="20"/>
                <w:szCs w:val="20"/>
              </w:rPr>
              <w:t>1. Budget support is disbursed for 2014 (Dec)</w:t>
            </w:r>
          </w:p>
          <w:p w:rsidR="006320A9" w:rsidRPr="0011273B" w:rsidRDefault="006320A9" w:rsidP="000D4ECF">
            <w:pPr>
              <w:jc w:val="left"/>
              <w:rPr>
                <w:rFonts w:asciiTheme="minorHAnsi" w:hAnsiTheme="minorHAnsi" w:cstheme="minorHAnsi"/>
                <w:i/>
                <w:iCs/>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rsidR="006320A9" w:rsidRPr="0011273B" w:rsidRDefault="006320A9" w:rsidP="00BA20D5">
            <w:pPr>
              <w:jc w:val="left"/>
              <w:rPr>
                <w:rFonts w:asciiTheme="minorHAnsi" w:hAnsiTheme="minorHAnsi" w:cstheme="minorHAnsi"/>
                <w:i/>
                <w:iCs/>
                <w:color w:val="000000"/>
                <w:sz w:val="20"/>
                <w:szCs w:val="20"/>
              </w:rPr>
            </w:pPr>
            <w:r w:rsidRPr="0011273B">
              <w:rPr>
                <w:rFonts w:asciiTheme="minorHAnsi" w:hAnsiTheme="minorHAnsi" w:cstheme="minorHAnsi"/>
                <w:i/>
                <w:iCs/>
                <w:color w:val="000000"/>
                <w:sz w:val="20"/>
                <w:szCs w:val="20"/>
              </w:rPr>
              <w:t>1. Budget support is disbursed for 2015 (Jan)</w:t>
            </w:r>
          </w:p>
        </w:tc>
        <w:tc>
          <w:tcPr>
            <w:tcW w:w="1417" w:type="dxa"/>
            <w:tcBorders>
              <w:top w:val="single" w:sz="4" w:space="0" w:color="auto"/>
              <w:left w:val="nil"/>
              <w:bottom w:val="single" w:sz="4" w:space="0" w:color="auto"/>
              <w:right w:val="single" w:sz="4" w:space="0" w:color="auto"/>
            </w:tcBorders>
            <w:shd w:val="clear" w:color="auto" w:fill="auto"/>
          </w:tcPr>
          <w:p w:rsidR="006320A9" w:rsidRPr="0011273B" w:rsidRDefault="006320A9" w:rsidP="00BA20D5">
            <w:pPr>
              <w:jc w:val="left"/>
              <w:rPr>
                <w:rFonts w:asciiTheme="minorHAnsi" w:hAnsiTheme="minorHAnsi" w:cstheme="minorHAnsi"/>
                <w:i/>
                <w:iCs/>
                <w:color w:val="000000"/>
                <w:sz w:val="20"/>
                <w:szCs w:val="20"/>
              </w:rPr>
            </w:pPr>
            <w:r w:rsidRPr="0011273B">
              <w:rPr>
                <w:rFonts w:asciiTheme="minorHAnsi" w:hAnsiTheme="minorHAnsi" w:cstheme="minorHAnsi"/>
                <w:i/>
                <w:iCs/>
                <w:color w:val="000000"/>
                <w:sz w:val="20"/>
                <w:szCs w:val="20"/>
              </w:rPr>
              <w:t>1. Budget support is disbursed for 2016 (Jan 2016)</w:t>
            </w:r>
          </w:p>
        </w:tc>
      </w:tr>
      <w:tr w:rsidR="006320A9" w:rsidRPr="0011273B" w:rsidTr="00C415C7">
        <w:trPr>
          <w:trHeight w:val="416"/>
        </w:trPr>
        <w:tc>
          <w:tcPr>
            <w:tcW w:w="2268" w:type="dxa"/>
            <w:vMerge/>
            <w:tcBorders>
              <w:top w:val="nil"/>
              <w:left w:val="single" w:sz="4" w:space="0" w:color="auto"/>
              <w:bottom w:val="single" w:sz="4" w:space="0" w:color="000000"/>
              <w:right w:val="single" w:sz="4" w:space="0" w:color="auto"/>
            </w:tcBorders>
            <w:vAlign w:val="center"/>
            <w:hideMark/>
          </w:tcPr>
          <w:p w:rsidR="006320A9" w:rsidRPr="0011273B" w:rsidRDefault="006320A9" w:rsidP="000D4ECF">
            <w:pPr>
              <w:jc w:val="left"/>
              <w:rPr>
                <w:rFonts w:asciiTheme="minorHAnsi" w:hAnsiTheme="minorHAnsi" w:cstheme="minorHAnsi"/>
                <w:b/>
                <w:bCs/>
                <w:color w:val="000000"/>
                <w:sz w:val="20"/>
                <w:szCs w:val="20"/>
              </w:rPr>
            </w:pPr>
          </w:p>
        </w:tc>
        <w:tc>
          <w:tcPr>
            <w:tcW w:w="1985" w:type="dxa"/>
            <w:vMerge/>
            <w:tcBorders>
              <w:top w:val="nil"/>
              <w:left w:val="single" w:sz="4" w:space="0" w:color="auto"/>
              <w:bottom w:val="single" w:sz="4" w:space="0" w:color="000000"/>
              <w:right w:val="single" w:sz="4" w:space="0" w:color="auto"/>
            </w:tcBorders>
            <w:vAlign w:val="center"/>
            <w:hideMark/>
          </w:tcPr>
          <w:p w:rsidR="006320A9" w:rsidRPr="0011273B" w:rsidRDefault="006320A9" w:rsidP="000D4ECF">
            <w:pPr>
              <w:jc w:val="left"/>
              <w:rPr>
                <w:rFonts w:asciiTheme="minorHAnsi" w:hAnsiTheme="minorHAnsi" w:cstheme="minorHAnsi"/>
                <w:i/>
                <w:iCs/>
                <w:color w:val="FF0000"/>
                <w:sz w:val="20"/>
                <w:szCs w:val="20"/>
              </w:rPr>
            </w:pPr>
          </w:p>
        </w:tc>
        <w:tc>
          <w:tcPr>
            <w:tcW w:w="1843" w:type="dxa"/>
            <w:gridSpan w:val="2"/>
            <w:vMerge/>
            <w:tcBorders>
              <w:top w:val="nil"/>
              <w:left w:val="single" w:sz="4" w:space="0" w:color="auto"/>
              <w:bottom w:val="single" w:sz="4" w:space="0" w:color="000000"/>
              <w:right w:val="single" w:sz="4" w:space="0" w:color="auto"/>
            </w:tcBorders>
            <w:vAlign w:val="center"/>
            <w:hideMark/>
          </w:tcPr>
          <w:p w:rsidR="006320A9" w:rsidRPr="0011273B" w:rsidRDefault="006320A9" w:rsidP="000D4ECF">
            <w:pPr>
              <w:jc w:val="left"/>
              <w:rPr>
                <w:rFonts w:asciiTheme="minorHAnsi" w:hAnsiTheme="minorHAnsi" w:cstheme="minorHAnsi"/>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6320A9" w:rsidRPr="0011273B" w:rsidRDefault="006320A9" w:rsidP="000D4ECF">
            <w:pPr>
              <w:jc w:val="left"/>
              <w:rPr>
                <w:rFonts w:asciiTheme="minorHAnsi" w:hAnsiTheme="minorHAnsi" w:cstheme="minorHAnsi"/>
                <w:color w:val="000000"/>
                <w:sz w:val="20"/>
                <w:szCs w:val="20"/>
              </w:rPr>
            </w:pPr>
          </w:p>
        </w:tc>
        <w:tc>
          <w:tcPr>
            <w:tcW w:w="850" w:type="dxa"/>
            <w:tcBorders>
              <w:top w:val="nil"/>
              <w:left w:val="nil"/>
              <w:bottom w:val="single" w:sz="4" w:space="0" w:color="auto"/>
              <w:right w:val="single" w:sz="4" w:space="0" w:color="auto"/>
            </w:tcBorders>
            <w:shd w:val="clear" w:color="000000" w:fill="FFFF00"/>
            <w:hideMark/>
          </w:tcPr>
          <w:p w:rsidR="006320A9" w:rsidRPr="0011273B" w:rsidRDefault="006320A9" w:rsidP="000D4ECF">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Actual:</w:t>
            </w:r>
          </w:p>
        </w:tc>
        <w:tc>
          <w:tcPr>
            <w:tcW w:w="1418" w:type="dxa"/>
            <w:tcBorders>
              <w:top w:val="nil"/>
              <w:left w:val="nil"/>
              <w:bottom w:val="single" w:sz="4" w:space="0" w:color="auto"/>
              <w:right w:val="single" w:sz="4" w:space="0" w:color="auto"/>
            </w:tcBorders>
            <w:shd w:val="clear" w:color="000000" w:fill="FFFFCC"/>
          </w:tcPr>
          <w:p w:rsidR="006320A9" w:rsidRPr="0011273B" w:rsidRDefault="006320A9" w:rsidP="000D4ECF">
            <w:pPr>
              <w:jc w:val="left"/>
              <w:rPr>
                <w:rFonts w:asciiTheme="minorHAnsi" w:hAnsiTheme="minorHAnsi" w:cstheme="minorHAnsi"/>
                <w:iCs/>
                <w:color w:val="000000"/>
                <w:sz w:val="20"/>
                <w:szCs w:val="20"/>
              </w:rPr>
            </w:pPr>
          </w:p>
        </w:tc>
        <w:tc>
          <w:tcPr>
            <w:tcW w:w="1417" w:type="dxa"/>
            <w:tcBorders>
              <w:top w:val="nil"/>
              <w:left w:val="nil"/>
              <w:bottom w:val="single" w:sz="4" w:space="0" w:color="auto"/>
              <w:right w:val="single" w:sz="4" w:space="0" w:color="auto"/>
            </w:tcBorders>
            <w:shd w:val="clear" w:color="000000" w:fill="FFFFCC"/>
          </w:tcPr>
          <w:p w:rsidR="006320A9" w:rsidRPr="0011273B" w:rsidRDefault="006320A9" w:rsidP="000D4ECF">
            <w:pPr>
              <w:jc w:val="left"/>
              <w:rPr>
                <w:rFonts w:asciiTheme="minorHAnsi" w:hAnsiTheme="minorHAnsi" w:cstheme="minorHAnsi"/>
                <w:i/>
                <w:iCs/>
                <w:color w:val="000000"/>
                <w:sz w:val="20"/>
                <w:szCs w:val="20"/>
              </w:rPr>
            </w:pPr>
          </w:p>
        </w:tc>
        <w:tc>
          <w:tcPr>
            <w:tcW w:w="1418" w:type="dxa"/>
            <w:tcBorders>
              <w:top w:val="nil"/>
              <w:left w:val="nil"/>
              <w:bottom w:val="single" w:sz="4" w:space="0" w:color="auto"/>
              <w:right w:val="single" w:sz="4" w:space="0" w:color="auto"/>
            </w:tcBorders>
            <w:shd w:val="clear" w:color="000000" w:fill="FFFFCC"/>
          </w:tcPr>
          <w:p w:rsidR="006320A9" w:rsidRPr="0011273B" w:rsidRDefault="006320A9" w:rsidP="000D4ECF">
            <w:pPr>
              <w:jc w:val="left"/>
              <w:rPr>
                <w:rFonts w:asciiTheme="minorHAnsi" w:hAnsiTheme="minorHAnsi" w:cstheme="minorHAnsi"/>
                <w:i/>
                <w:iCs/>
                <w:color w:val="000000"/>
                <w:sz w:val="20"/>
                <w:szCs w:val="20"/>
              </w:rPr>
            </w:pPr>
          </w:p>
        </w:tc>
        <w:tc>
          <w:tcPr>
            <w:tcW w:w="1417" w:type="dxa"/>
            <w:tcBorders>
              <w:top w:val="nil"/>
              <w:left w:val="nil"/>
              <w:bottom w:val="single" w:sz="4" w:space="0" w:color="auto"/>
              <w:right w:val="single" w:sz="4" w:space="0" w:color="auto"/>
            </w:tcBorders>
            <w:shd w:val="clear" w:color="000000" w:fill="FFFFCC"/>
            <w:hideMark/>
          </w:tcPr>
          <w:p w:rsidR="006320A9" w:rsidRPr="0011273B" w:rsidRDefault="006320A9" w:rsidP="000D4ECF">
            <w:pPr>
              <w:jc w:val="left"/>
              <w:rPr>
                <w:rFonts w:asciiTheme="minorHAnsi" w:hAnsiTheme="minorHAnsi" w:cstheme="minorHAnsi"/>
                <w:color w:val="000000"/>
                <w:sz w:val="20"/>
                <w:szCs w:val="20"/>
              </w:rPr>
            </w:pPr>
            <w:r w:rsidRPr="0011273B">
              <w:rPr>
                <w:rFonts w:asciiTheme="minorHAnsi" w:hAnsiTheme="minorHAnsi" w:cstheme="minorHAnsi"/>
                <w:color w:val="000000"/>
                <w:sz w:val="20"/>
                <w:szCs w:val="20"/>
              </w:rPr>
              <w:t> </w:t>
            </w:r>
          </w:p>
        </w:tc>
      </w:tr>
    </w:tbl>
    <w:p w:rsidR="00702BD2" w:rsidRPr="0011273B" w:rsidRDefault="00702BD2" w:rsidP="000D4ECF">
      <w:pPr>
        <w:jc w:val="left"/>
        <w:rPr>
          <w:rFonts w:asciiTheme="minorHAnsi" w:hAnsiTheme="minorHAnsi" w:cstheme="minorHAnsi"/>
          <w:sz w:val="20"/>
          <w:szCs w:val="20"/>
        </w:rPr>
      </w:pPr>
    </w:p>
    <w:p w:rsidR="00702BD2" w:rsidRPr="00AE5643" w:rsidRDefault="00702BD2" w:rsidP="00A11CCA">
      <w:pPr>
        <w:pStyle w:val="Heading2"/>
        <w:numPr>
          <w:ilvl w:val="1"/>
          <w:numId w:val="26"/>
        </w:numPr>
        <w:jc w:val="left"/>
        <w:rPr>
          <w:rFonts w:asciiTheme="minorHAnsi" w:hAnsiTheme="minorHAnsi" w:cstheme="minorHAnsi"/>
          <w:sz w:val="24"/>
          <w:szCs w:val="20"/>
          <w:lang w:val="en-GB"/>
        </w:rPr>
      </w:pPr>
      <w:r w:rsidRPr="00AE5643">
        <w:rPr>
          <w:rFonts w:asciiTheme="minorHAnsi" w:hAnsiTheme="minorHAnsi" w:cstheme="minorHAnsi"/>
          <w:sz w:val="24"/>
          <w:szCs w:val="20"/>
        </w:rPr>
        <w:br w:type="column"/>
      </w:r>
      <w:bookmarkStart w:id="34" w:name="_Toc356389387"/>
      <w:r w:rsidRPr="00AE5643">
        <w:rPr>
          <w:rFonts w:asciiTheme="minorHAnsi" w:hAnsiTheme="minorHAnsi" w:cstheme="minorHAnsi"/>
          <w:sz w:val="24"/>
          <w:szCs w:val="20"/>
          <w:lang w:val="en-GB"/>
        </w:rPr>
        <w:t>Program performance</w:t>
      </w:r>
      <w:bookmarkEnd w:id="34"/>
    </w:p>
    <w:p w:rsidR="00702BD2" w:rsidRPr="0011273B" w:rsidRDefault="00702BD2" w:rsidP="00702BD2">
      <w:pPr>
        <w:rPr>
          <w:rFonts w:asciiTheme="minorHAnsi" w:hAnsiTheme="minorHAnsi" w:cstheme="minorHAnsi"/>
          <w:sz w:val="20"/>
          <w:szCs w:val="20"/>
        </w:rPr>
      </w:pPr>
    </w:p>
    <w:tbl>
      <w:tblPr>
        <w:tblW w:w="14540" w:type="dxa"/>
        <w:tblLook w:val="04A0" w:firstRow="1" w:lastRow="0" w:firstColumn="1" w:lastColumn="0" w:noHBand="0" w:noVBand="1"/>
      </w:tblPr>
      <w:tblGrid>
        <w:gridCol w:w="9240"/>
        <w:gridCol w:w="5300"/>
      </w:tblGrid>
      <w:tr w:rsidR="00702BD2" w:rsidRPr="0011273B" w:rsidTr="000D4ECF">
        <w:trPr>
          <w:trHeight w:val="372"/>
        </w:trPr>
        <w:tc>
          <w:tcPr>
            <w:tcW w:w="14540" w:type="dxa"/>
            <w:gridSpan w:val="2"/>
            <w:tcBorders>
              <w:top w:val="single" w:sz="4" w:space="0" w:color="auto"/>
              <w:left w:val="single" w:sz="4" w:space="0" w:color="auto"/>
              <w:bottom w:val="single" w:sz="4" w:space="0" w:color="auto"/>
              <w:right w:val="single" w:sz="4" w:space="0" w:color="auto"/>
            </w:tcBorders>
            <w:shd w:val="clear" w:color="000000" w:fill="9BBB59"/>
            <w:hideMark/>
          </w:tcPr>
          <w:p w:rsidR="00702BD2" w:rsidRPr="0011273B" w:rsidRDefault="00702BD2" w:rsidP="00202972">
            <w:pPr>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Delivering Aid Efficiently and Effectively</w:t>
            </w:r>
          </w:p>
        </w:tc>
      </w:tr>
      <w:tr w:rsidR="00702BD2" w:rsidRPr="0011273B" w:rsidTr="000D4ECF">
        <w:trPr>
          <w:trHeight w:val="300"/>
        </w:trPr>
        <w:tc>
          <w:tcPr>
            <w:tcW w:w="9240" w:type="dxa"/>
            <w:vMerge w:val="restart"/>
            <w:tcBorders>
              <w:top w:val="single" w:sz="4" w:space="0" w:color="auto"/>
              <w:left w:val="single" w:sz="4" w:space="0" w:color="auto"/>
              <w:bottom w:val="single" w:sz="4" w:space="0" w:color="auto"/>
              <w:right w:val="single" w:sz="4" w:space="0" w:color="auto"/>
            </w:tcBorders>
            <w:shd w:val="clear" w:color="000000" w:fill="B8CCE4"/>
            <w:hideMark/>
          </w:tcPr>
          <w:p w:rsidR="00702BD2" w:rsidRPr="0011273B" w:rsidRDefault="00702BD2" w:rsidP="00615C1F">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Program delivery objectives (operational effectiveness and efficiency)</w:t>
            </w:r>
          </w:p>
        </w:tc>
        <w:tc>
          <w:tcPr>
            <w:tcW w:w="5300" w:type="dxa"/>
            <w:vMerge w:val="restart"/>
            <w:tcBorders>
              <w:top w:val="single" w:sz="4" w:space="0" w:color="auto"/>
              <w:left w:val="single" w:sz="4" w:space="0" w:color="auto"/>
              <w:bottom w:val="single" w:sz="4" w:space="0" w:color="auto"/>
              <w:right w:val="single" w:sz="4" w:space="0" w:color="auto"/>
            </w:tcBorders>
            <w:shd w:val="clear" w:color="000000" w:fill="B8CCE4"/>
            <w:hideMark/>
          </w:tcPr>
          <w:p w:rsidR="00702BD2" w:rsidRPr="0011273B" w:rsidRDefault="00702BD2" w:rsidP="00615C1F">
            <w:pPr>
              <w:jc w:val="left"/>
              <w:rPr>
                <w:rFonts w:asciiTheme="minorHAnsi" w:hAnsiTheme="minorHAnsi" w:cstheme="minorHAnsi"/>
                <w:b/>
                <w:bCs/>
                <w:color w:val="000000"/>
                <w:sz w:val="20"/>
                <w:szCs w:val="20"/>
              </w:rPr>
            </w:pPr>
            <w:r w:rsidRPr="0011273B">
              <w:rPr>
                <w:rFonts w:asciiTheme="minorHAnsi" w:hAnsiTheme="minorHAnsi" w:cstheme="minorHAnsi"/>
                <w:b/>
                <w:bCs/>
                <w:color w:val="000000"/>
                <w:sz w:val="20"/>
                <w:szCs w:val="20"/>
              </w:rPr>
              <w:t xml:space="preserve">Source of evidence </w:t>
            </w:r>
          </w:p>
        </w:tc>
      </w:tr>
      <w:tr w:rsidR="00702BD2" w:rsidRPr="00274970" w:rsidTr="000D4ECF">
        <w:trPr>
          <w:trHeight w:val="293"/>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702BD2" w:rsidRPr="00274970" w:rsidRDefault="00702BD2" w:rsidP="00202972">
            <w:pPr>
              <w:rPr>
                <w:rFonts w:ascii="Calibri" w:hAnsi="Calibri" w:cs="Calibri"/>
                <w:b/>
                <w:bCs/>
                <w:color w:val="000000"/>
              </w:rPr>
            </w:pPr>
          </w:p>
        </w:tc>
        <w:tc>
          <w:tcPr>
            <w:tcW w:w="5300" w:type="dxa"/>
            <w:vMerge/>
            <w:tcBorders>
              <w:top w:val="single" w:sz="4" w:space="0" w:color="auto"/>
              <w:left w:val="single" w:sz="4" w:space="0" w:color="auto"/>
              <w:bottom w:val="single" w:sz="4" w:space="0" w:color="auto"/>
              <w:right w:val="single" w:sz="4" w:space="0" w:color="auto"/>
            </w:tcBorders>
            <w:vAlign w:val="center"/>
            <w:hideMark/>
          </w:tcPr>
          <w:p w:rsidR="00702BD2" w:rsidRPr="00274970" w:rsidRDefault="00702BD2" w:rsidP="00202972">
            <w:pPr>
              <w:rPr>
                <w:rFonts w:ascii="Calibri" w:hAnsi="Calibri" w:cs="Calibri"/>
                <w:b/>
                <w:bCs/>
                <w:color w:val="000000"/>
              </w:rPr>
            </w:pPr>
          </w:p>
        </w:tc>
      </w:tr>
      <w:tr w:rsidR="00702BD2" w:rsidRPr="0011273B" w:rsidTr="000D4ECF">
        <w:trPr>
          <w:trHeight w:val="405"/>
        </w:trPr>
        <w:tc>
          <w:tcPr>
            <w:tcW w:w="14540" w:type="dxa"/>
            <w:gridSpan w:val="2"/>
            <w:tcBorders>
              <w:top w:val="single" w:sz="4" w:space="0" w:color="auto"/>
              <w:left w:val="single" w:sz="4" w:space="0" w:color="auto"/>
              <w:bottom w:val="single" w:sz="4" w:space="0" w:color="auto"/>
              <w:right w:val="single" w:sz="4" w:space="0" w:color="auto"/>
            </w:tcBorders>
            <w:shd w:val="clear" w:color="000000" w:fill="8DB4E2"/>
            <w:hideMark/>
          </w:tcPr>
          <w:p w:rsidR="00702BD2" w:rsidRPr="0011273B" w:rsidRDefault="00702BD2" w:rsidP="00202972">
            <w:pPr>
              <w:rPr>
                <w:rFonts w:asciiTheme="minorHAnsi" w:hAnsiTheme="minorHAnsi" w:cstheme="minorHAnsi"/>
                <w:b/>
                <w:iCs/>
                <w:color w:val="000000"/>
                <w:sz w:val="20"/>
              </w:rPr>
            </w:pPr>
            <w:r w:rsidRPr="0011273B">
              <w:rPr>
                <w:rFonts w:asciiTheme="minorHAnsi" w:hAnsiTheme="minorHAnsi" w:cstheme="minorHAnsi"/>
                <w:b/>
                <w:iCs/>
                <w:color w:val="000000"/>
                <w:sz w:val="20"/>
              </w:rPr>
              <w:t>A clear strategy</w:t>
            </w:r>
          </w:p>
        </w:tc>
      </w:tr>
      <w:tr w:rsidR="00702BD2" w:rsidRPr="0011273B" w:rsidTr="000D4ECF">
        <w:trPr>
          <w:trHeight w:val="978"/>
        </w:trPr>
        <w:tc>
          <w:tcPr>
            <w:tcW w:w="9240" w:type="dxa"/>
            <w:tcBorders>
              <w:top w:val="single" w:sz="4" w:space="0" w:color="auto"/>
              <w:left w:val="single" w:sz="4" w:space="0" w:color="auto"/>
              <w:bottom w:val="single" w:sz="4" w:space="0" w:color="auto"/>
              <w:right w:val="single" w:sz="4" w:space="0" w:color="auto"/>
            </w:tcBorders>
            <w:shd w:val="clear" w:color="000000" w:fill="FFFFFF"/>
            <w:hideMark/>
          </w:tcPr>
          <w:p w:rsidR="00A770C6" w:rsidRPr="0011273B" w:rsidRDefault="00702BD2" w:rsidP="00643968">
            <w:pPr>
              <w:jc w:val="left"/>
              <w:rPr>
                <w:rFonts w:asciiTheme="minorHAnsi" w:hAnsiTheme="minorHAnsi" w:cstheme="minorHAnsi"/>
                <w:iCs/>
                <w:color w:val="000000"/>
                <w:sz w:val="20"/>
              </w:rPr>
            </w:pPr>
            <w:r w:rsidRPr="0011273B">
              <w:rPr>
                <w:rFonts w:asciiTheme="minorHAnsi" w:hAnsiTheme="minorHAnsi" w:cstheme="minorHAnsi"/>
                <w:iCs/>
                <w:color w:val="000000"/>
                <w:sz w:val="20"/>
              </w:rPr>
              <w:t xml:space="preserve">Is </w:t>
            </w:r>
            <w:r w:rsidR="006A4F95">
              <w:rPr>
                <w:rFonts w:asciiTheme="minorHAnsi" w:hAnsiTheme="minorHAnsi" w:cstheme="minorHAnsi"/>
                <w:iCs/>
                <w:color w:val="000000"/>
                <w:sz w:val="20"/>
              </w:rPr>
              <w:t xml:space="preserve">the </w:t>
            </w:r>
            <w:r w:rsidR="006E1D20">
              <w:rPr>
                <w:rFonts w:asciiTheme="minorHAnsi" w:hAnsiTheme="minorHAnsi" w:cstheme="minorHAnsi"/>
                <w:iCs/>
                <w:color w:val="000000"/>
                <w:sz w:val="20"/>
              </w:rPr>
              <w:t>Delivery Strategy</w:t>
            </w:r>
            <w:r w:rsidRPr="0011273B">
              <w:rPr>
                <w:rFonts w:asciiTheme="minorHAnsi" w:hAnsiTheme="minorHAnsi" w:cstheme="minorHAnsi"/>
                <w:iCs/>
                <w:color w:val="000000"/>
                <w:sz w:val="20"/>
              </w:rPr>
              <w:t xml:space="preserve"> helping to guide effective investment decisions?</w:t>
            </w:r>
          </w:p>
        </w:tc>
        <w:tc>
          <w:tcPr>
            <w:tcW w:w="5300" w:type="dxa"/>
            <w:tcBorders>
              <w:top w:val="single" w:sz="4" w:space="0" w:color="auto"/>
              <w:left w:val="nil"/>
              <w:bottom w:val="single" w:sz="4" w:space="0" w:color="auto"/>
              <w:right w:val="single" w:sz="4" w:space="0" w:color="auto"/>
            </w:tcBorders>
            <w:shd w:val="clear" w:color="auto" w:fill="auto"/>
          </w:tcPr>
          <w:p w:rsidR="00702BD2" w:rsidRPr="0011273B" w:rsidRDefault="00702BD2" w:rsidP="00643968">
            <w:pPr>
              <w:jc w:val="left"/>
              <w:rPr>
                <w:rFonts w:asciiTheme="minorHAnsi" w:hAnsiTheme="minorHAnsi" w:cstheme="minorHAnsi"/>
                <w:color w:val="000000"/>
                <w:sz w:val="20"/>
              </w:rPr>
            </w:pPr>
            <w:r w:rsidRPr="0011273B">
              <w:rPr>
                <w:rFonts w:asciiTheme="minorHAnsi" w:hAnsiTheme="minorHAnsi" w:cstheme="minorHAnsi"/>
                <w:color w:val="000000"/>
                <w:sz w:val="20"/>
              </w:rPr>
              <w:t xml:space="preserve">Views of AusAID and implementing partner staff; APPR discussions; planned EPSG </w:t>
            </w:r>
            <w:r w:rsidR="006E1D20">
              <w:rPr>
                <w:rFonts w:asciiTheme="minorHAnsi" w:hAnsiTheme="minorHAnsi" w:cstheme="minorHAnsi"/>
                <w:color w:val="000000"/>
                <w:sz w:val="20"/>
              </w:rPr>
              <w:t>Delivery Strategy</w:t>
            </w:r>
            <w:r w:rsidRPr="0011273B">
              <w:rPr>
                <w:rFonts w:asciiTheme="minorHAnsi" w:hAnsiTheme="minorHAnsi" w:cstheme="minorHAnsi"/>
                <w:color w:val="000000"/>
                <w:sz w:val="20"/>
              </w:rPr>
              <w:t xml:space="preserve"> evaluation (2017)</w:t>
            </w:r>
          </w:p>
        </w:tc>
      </w:tr>
      <w:tr w:rsidR="00702BD2" w:rsidRPr="0011273B" w:rsidTr="000D4ECF">
        <w:trPr>
          <w:trHeight w:val="405"/>
        </w:trPr>
        <w:tc>
          <w:tcPr>
            <w:tcW w:w="14540" w:type="dxa"/>
            <w:gridSpan w:val="2"/>
            <w:tcBorders>
              <w:top w:val="single" w:sz="4" w:space="0" w:color="auto"/>
              <w:left w:val="single" w:sz="4" w:space="0" w:color="auto"/>
              <w:bottom w:val="single" w:sz="4" w:space="0" w:color="auto"/>
              <w:right w:val="single" w:sz="4" w:space="0" w:color="auto"/>
            </w:tcBorders>
            <w:shd w:val="clear" w:color="000000" w:fill="8DB4E2"/>
            <w:hideMark/>
          </w:tcPr>
          <w:p w:rsidR="00702BD2" w:rsidRPr="0011273B" w:rsidRDefault="00702BD2" w:rsidP="00643968">
            <w:pPr>
              <w:jc w:val="left"/>
              <w:rPr>
                <w:rFonts w:asciiTheme="minorHAnsi" w:hAnsiTheme="minorHAnsi" w:cstheme="minorHAnsi"/>
                <w:b/>
                <w:iCs/>
                <w:color w:val="000000"/>
                <w:sz w:val="20"/>
              </w:rPr>
            </w:pPr>
            <w:r w:rsidRPr="0011273B">
              <w:rPr>
                <w:rFonts w:asciiTheme="minorHAnsi" w:hAnsiTheme="minorHAnsi" w:cstheme="minorHAnsi"/>
                <w:b/>
                <w:iCs/>
                <w:color w:val="000000"/>
                <w:sz w:val="20"/>
              </w:rPr>
              <w:t>Value for money and consolidation</w:t>
            </w:r>
          </w:p>
        </w:tc>
      </w:tr>
      <w:tr w:rsidR="00702BD2" w:rsidRPr="0011273B" w:rsidTr="000D4ECF">
        <w:trPr>
          <w:trHeight w:val="570"/>
        </w:trPr>
        <w:tc>
          <w:tcPr>
            <w:tcW w:w="9240" w:type="dxa"/>
            <w:tcBorders>
              <w:top w:val="single" w:sz="4" w:space="0" w:color="auto"/>
              <w:left w:val="single" w:sz="4" w:space="0" w:color="auto"/>
              <w:bottom w:val="single" w:sz="4" w:space="0" w:color="auto"/>
              <w:right w:val="single" w:sz="4" w:space="0" w:color="auto"/>
            </w:tcBorders>
            <w:shd w:val="clear" w:color="auto" w:fill="auto"/>
            <w:hideMark/>
          </w:tcPr>
          <w:p w:rsidR="00702BD2" w:rsidRPr="0011273B" w:rsidRDefault="00702BD2" w:rsidP="00643968">
            <w:pPr>
              <w:jc w:val="left"/>
              <w:rPr>
                <w:rFonts w:asciiTheme="minorHAnsi" w:hAnsiTheme="minorHAnsi" w:cstheme="minorHAnsi"/>
                <w:iCs/>
                <w:color w:val="000000"/>
                <w:sz w:val="20"/>
              </w:rPr>
            </w:pPr>
            <w:r w:rsidRPr="0011273B">
              <w:rPr>
                <w:rFonts w:asciiTheme="minorHAnsi" w:hAnsiTheme="minorHAnsi" w:cstheme="minorHAnsi"/>
                <w:iCs/>
                <w:color w:val="000000"/>
                <w:sz w:val="20"/>
              </w:rPr>
              <w:t>Consolidation of six economic and public sector governance initiatives into three</w:t>
            </w:r>
            <w:r w:rsidR="00315FFF">
              <w:rPr>
                <w:rFonts w:asciiTheme="minorHAnsi" w:hAnsiTheme="minorHAnsi" w:cstheme="minorHAnsi"/>
                <w:iCs/>
                <w:color w:val="000000"/>
                <w:sz w:val="20"/>
              </w:rPr>
              <w:t xml:space="preserve"> initiatives</w:t>
            </w:r>
          </w:p>
        </w:tc>
        <w:tc>
          <w:tcPr>
            <w:tcW w:w="5300" w:type="dxa"/>
            <w:tcBorders>
              <w:top w:val="single" w:sz="4" w:space="0" w:color="auto"/>
              <w:left w:val="nil"/>
              <w:bottom w:val="single" w:sz="4" w:space="0" w:color="auto"/>
              <w:right w:val="single" w:sz="4" w:space="0" w:color="auto"/>
            </w:tcBorders>
            <w:shd w:val="clear" w:color="auto" w:fill="auto"/>
            <w:hideMark/>
          </w:tcPr>
          <w:p w:rsidR="00702BD2" w:rsidRPr="0011273B" w:rsidRDefault="00EF64E2" w:rsidP="00643968">
            <w:pPr>
              <w:jc w:val="left"/>
              <w:rPr>
                <w:rFonts w:asciiTheme="minorHAnsi" w:hAnsiTheme="minorHAnsi" w:cstheme="minorHAnsi"/>
                <w:color w:val="000000"/>
                <w:sz w:val="20"/>
              </w:rPr>
            </w:pPr>
            <w:r>
              <w:rPr>
                <w:rFonts w:asciiTheme="minorHAnsi" w:hAnsiTheme="minorHAnsi" w:cstheme="minorHAnsi"/>
                <w:color w:val="000000"/>
                <w:sz w:val="20"/>
              </w:rPr>
              <w:t>AidW</w:t>
            </w:r>
            <w:r w:rsidR="00702BD2" w:rsidRPr="0011273B">
              <w:rPr>
                <w:rFonts w:asciiTheme="minorHAnsi" w:hAnsiTheme="minorHAnsi" w:cstheme="minorHAnsi"/>
                <w:color w:val="000000"/>
                <w:sz w:val="20"/>
              </w:rPr>
              <w:t>orks data</w:t>
            </w:r>
          </w:p>
          <w:p w:rsidR="00702BD2" w:rsidRPr="0011273B" w:rsidRDefault="00702BD2" w:rsidP="00643968">
            <w:pPr>
              <w:jc w:val="left"/>
              <w:rPr>
                <w:rFonts w:asciiTheme="minorHAnsi" w:hAnsiTheme="minorHAnsi" w:cstheme="minorHAnsi"/>
                <w:color w:val="000000"/>
                <w:sz w:val="20"/>
              </w:rPr>
            </w:pPr>
          </w:p>
        </w:tc>
      </w:tr>
      <w:tr w:rsidR="00702BD2" w:rsidRPr="0011273B" w:rsidTr="000D4ECF">
        <w:trPr>
          <w:trHeight w:val="300"/>
        </w:trPr>
        <w:tc>
          <w:tcPr>
            <w:tcW w:w="14540" w:type="dxa"/>
            <w:gridSpan w:val="2"/>
            <w:tcBorders>
              <w:top w:val="single" w:sz="4" w:space="0" w:color="auto"/>
              <w:left w:val="single" w:sz="4" w:space="0" w:color="auto"/>
              <w:bottom w:val="single" w:sz="4" w:space="0" w:color="auto"/>
              <w:right w:val="single" w:sz="4" w:space="0" w:color="auto"/>
            </w:tcBorders>
            <w:shd w:val="clear" w:color="000000" w:fill="8DB4E2"/>
            <w:hideMark/>
          </w:tcPr>
          <w:p w:rsidR="00702BD2" w:rsidRPr="0011273B" w:rsidRDefault="00702BD2" w:rsidP="00643968">
            <w:pPr>
              <w:jc w:val="left"/>
              <w:rPr>
                <w:rFonts w:asciiTheme="minorHAnsi" w:hAnsiTheme="minorHAnsi" w:cstheme="minorHAnsi"/>
                <w:b/>
                <w:bCs/>
                <w:color w:val="000000"/>
                <w:sz w:val="20"/>
              </w:rPr>
            </w:pPr>
            <w:r w:rsidRPr="0011273B">
              <w:rPr>
                <w:rFonts w:asciiTheme="minorHAnsi" w:hAnsiTheme="minorHAnsi" w:cstheme="minorHAnsi"/>
                <w:b/>
                <w:bCs/>
                <w:color w:val="000000"/>
                <w:sz w:val="20"/>
              </w:rPr>
              <w:t>Risk management and performance oversight</w:t>
            </w:r>
          </w:p>
        </w:tc>
      </w:tr>
      <w:tr w:rsidR="00702BD2" w:rsidRPr="0011273B" w:rsidTr="000D4ECF">
        <w:trPr>
          <w:trHeight w:val="864"/>
        </w:trPr>
        <w:tc>
          <w:tcPr>
            <w:tcW w:w="9240" w:type="dxa"/>
            <w:tcBorders>
              <w:top w:val="single" w:sz="4" w:space="0" w:color="auto"/>
              <w:left w:val="single" w:sz="4" w:space="0" w:color="auto"/>
              <w:bottom w:val="single" w:sz="4" w:space="0" w:color="auto"/>
              <w:right w:val="single" w:sz="4" w:space="0" w:color="auto"/>
            </w:tcBorders>
            <w:shd w:val="clear" w:color="auto" w:fill="auto"/>
            <w:hideMark/>
          </w:tcPr>
          <w:p w:rsidR="00702BD2" w:rsidRPr="0011273B" w:rsidRDefault="00702BD2" w:rsidP="00643968">
            <w:pPr>
              <w:jc w:val="left"/>
              <w:rPr>
                <w:rFonts w:asciiTheme="minorHAnsi" w:hAnsiTheme="minorHAnsi" w:cstheme="minorHAnsi"/>
                <w:color w:val="000000"/>
                <w:sz w:val="20"/>
              </w:rPr>
            </w:pPr>
            <w:r w:rsidRPr="0011273B">
              <w:rPr>
                <w:rFonts w:asciiTheme="minorHAnsi" w:hAnsiTheme="minorHAnsi" w:cstheme="minorHAnsi"/>
                <w:color w:val="000000"/>
                <w:sz w:val="20"/>
              </w:rPr>
              <w:t>Is the quality of initiative evaluations improving, and are lessons from evaluations informing design and implementation?</w:t>
            </w:r>
          </w:p>
        </w:tc>
        <w:tc>
          <w:tcPr>
            <w:tcW w:w="5300" w:type="dxa"/>
            <w:tcBorders>
              <w:top w:val="single" w:sz="4" w:space="0" w:color="auto"/>
              <w:left w:val="nil"/>
              <w:bottom w:val="single" w:sz="4" w:space="0" w:color="auto"/>
              <w:right w:val="single" w:sz="4" w:space="0" w:color="auto"/>
            </w:tcBorders>
            <w:shd w:val="clear" w:color="auto" w:fill="auto"/>
            <w:hideMark/>
          </w:tcPr>
          <w:p w:rsidR="00702BD2" w:rsidRPr="0011273B" w:rsidRDefault="00702BD2" w:rsidP="00643968">
            <w:pPr>
              <w:jc w:val="left"/>
              <w:rPr>
                <w:rFonts w:asciiTheme="minorHAnsi" w:hAnsiTheme="minorHAnsi" w:cstheme="minorHAnsi"/>
                <w:color w:val="000000"/>
                <w:sz w:val="20"/>
              </w:rPr>
            </w:pPr>
            <w:r w:rsidRPr="0011273B">
              <w:rPr>
                <w:rFonts w:asciiTheme="minorHAnsi" w:hAnsiTheme="minorHAnsi" w:cstheme="minorHAnsi"/>
                <w:color w:val="000000"/>
                <w:sz w:val="20"/>
              </w:rPr>
              <w:t xml:space="preserve">Views of program staff and advice from PEP Division; planned assessment of quality of evaluations by M&amp;E contractor in 2014. </w:t>
            </w:r>
          </w:p>
        </w:tc>
      </w:tr>
      <w:tr w:rsidR="00702BD2" w:rsidRPr="0011273B" w:rsidTr="000D4ECF">
        <w:trPr>
          <w:trHeight w:val="405"/>
        </w:trPr>
        <w:tc>
          <w:tcPr>
            <w:tcW w:w="14540" w:type="dxa"/>
            <w:gridSpan w:val="2"/>
            <w:tcBorders>
              <w:top w:val="single" w:sz="4" w:space="0" w:color="auto"/>
              <w:left w:val="single" w:sz="4" w:space="0" w:color="auto"/>
              <w:bottom w:val="single" w:sz="4" w:space="0" w:color="auto"/>
              <w:right w:val="single" w:sz="4" w:space="0" w:color="auto"/>
            </w:tcBorders>
            <w:shd w:val="clear" w:color="000000" w:fill="8DB4E2"/>
            <w:hideMark/>
          </w:tcPr>
          <w:p w:rsidR="00702BD2" w:rsidRPr="0011273B" w:rsidRDefault="00702BD2" w:rsidP="00643968">
            <w:pPr>
              <w:jc w:val="left"/>
              <w:rPr>
                <w:rFonts w:asciiTheme="minorHAnsi" w:hAnsiTheme="minorHAnsi" w:cstheme="minorHAnsi"/>
                <w:b/>
                <w:iCs/>
                <w:color w:val="000000"/>
                <w:sz w:val="20"/>
              </w:rPr>
            </w:pPr>
            <w:r w:rsidRPr="0011273B">
              <w:rPr>
                <w:rFonts w:asciiTheme="minorHAnsi" w:hAnsiTheme="minorHAnsi" w:cstheme="minorHAnsi"/>
                <w:b/>
                <w:iCs/>
                <w:color w:val="000000"/>
                <w:sz w:val="20"/>
              </w:rPr>
              <w:t>Transparency and results</w:t>
            </w:r>
          </w:p>
        </w:tc>
      </w:tr>
      <w:tr w:rsidR="00702BD2" w:rsidRPr="0011273B" w:rsidTr="000D4ECF">
        <w:trPr>
          <w:trHeight w:val="570"/>
        </w:trPr>
        <w:tc>
          <w:tcPr>
            <w:tcW w:w="9240" w:type="dxa"/>
            <w:tcBorders>
              <w:top w:val="single" w:sz="4" w:space="0" w:color="auto"/>
              <w:left w:val="single" w:sz="4" w:space="0" w:color="auto"/>
              <w:bottom w:val="single" w:sz="4" w:space="0" w:color="auto"/>
              <w:right w:val="single" w:sz="4" w:space="0" w:color="auto"/>
            </w:tcBorders>
            <w:shd w:val="clear" w:color="auto" w:fill="auto"/>
            <w:hideMark/>
          </w:tcPr>
          <w:p w:rsidR="00702BD2" w:rsidRPr="0011273B" w:rsidRDefault="00702BD2" w:rsidP="00643968">
            <w:pPr>
              <w:jc w:val="left"/>
              <w:rPr>
                <w:rFonts w:asciiTheme="minorHAnsi" w:hAnsiTheme="minorHAnsi" w:cstheme="minorHAnsi"/>
                <w:iCs/>
                <w:color w:val="000000"/>
                <w:sz w:val="20"/>
              </w:rPr>
            </w:pPr>
            <w:r w:rsidRPr="0011273B">
              <w:rPr>
                <w:rFonts w:asciiTheme="minorHAnsi" w:hAnsiTheme="minorHAnsi" w:cstheme="minorHAnsi"/>
                <w:iCs/>
                <w:color w:val="000000"/>
                <w:sz w:val="20"/>
              </w:rPr>
              <w:t>Improved partner dialogue and mutual accountability processes by supporting partner government</w:t>
            </w:r>
          </w:p>
        </w:tc>
        <w:tc>
          <w:tcPr>
            <w:tcW w:w="5300" w:type="dxa"/>
            <w:tcBorders>
              <w:top w:val="single" w:sz="4" w:space="0" w:color="auto"/>
              <w:left w:val="nil"/>
              <w:bottom w:val="single" w:sz="4" w:space="0" w:color="auto"/>
              <w:right w:val="single" w:sz="4" w:space="0" w:color="auto"/>
            </w:tcBorders>
            <w:shd w:val="clear" w:color="auto" w:fill="auto"/>
            <w:hideMark/>
          </w:tcPr>
          <w:p w:rsidR="00702BD2" w:rsidRPr="0011273B" w:rsidRDefault="00702BD2" w:rsidP="00643968">
            <w:pPr>
              <w:jc w:val="left"/>
              <w:rPr>
                <w:rFonts w:asciiTheme="minorHAnsi" w:hAnsiTheme="minorHAnsi" w:cstheme="minorHAnsi"/>
                <w:color w:val="000000"/>
                <w:sz w:val="20"/>
              </w:rPr>
            </w:pPr>
            <w:r w:rsidRPr="0011273B">
              <w:rPr>
                <w:rFonts w:asciiTheme="minorHAnsi" w:hAnsiTheme="minorHAnsi" w:cstheme="minorHAnsi"/>
                <w:color w:val="000000"/>
                <w:sz w:val="20"/>
              </w:rPr>
              <w:t>Australian an</w:t>
            </w:r>
            <w:r w:rsidR="001F19A8">
              <w:rPr>
                <w:rFonts w:asciiTheme="minorHAnsi" w:hAnsiTheme="minorHAnsi" w:cstheme="minorHAnsi"/>
                <w:color w:val="000000"/>
                <w:sz w:val="20"/>
              </w:rPr>
              <w:t>d partner government viewpoints</w:t>
            </w:r>
          </w:p>
        </w:tc>
      </w:tr>
    </w:tbl>
    <w:p w:rsidR="00702BD2" w:rsidRDefault="00702BD2" w:rsidP="00702BD2"/>
    <w:p w:rsidR="00DD5A1A" w:rsidRPr="009C5897" w:rsidRDefault="00DD5A1A" w:rsidP="00DD5A1A">
      <w:pPr>
        <w:rPr>
          <w:sz w:val="16"/>
          <w:szCs w:val="16"/>
          <w:lang w:val="en-GB"/>
        </w:rPr>
      </w:pPr>
    </w:p>
    <w:p w:rsidR="0038546F" w:rsidRPr="0038546F" w:rsidRDefault="0038546F" w:rsidP="0038546F">
      <w:pPr>
        <w:sectPr w:rsidR="0038546F" w:rsidRPr="0038546F" w:rsidSect="005A579F">
          <w:pgSz w:w="16838" w:h="11906" w:orient="landscape"/>
          <w:pgMar w:top="1440" w:right="1440" w:bottom="1440" w:left="1440" w:header="709" w:footer="709" w:gutter="0"/>
          <w:cols w:space="708"/>
          <w:docGrid w:linePitch="360"/>
        </w:sectPr>
      </w:pPr>
    </w:p>
    <w:p w:rsidR="003C3F9E" w:rsidRPr="00FF50FE" w:rsidRDefault="006D21E3" w:rsidP="00FF50FE">
      <w:pPr>
        <w:pStyle w:val="Heading1"/>
        <w:spacing w:before="0" w:after="240" w:line="276" w:lineRule="auto"/>
        <w:ind w:left="142"/>
        <w:jc w:val="left"/>
        <w:rPr>
          <w:sz w:val="24"/>
        </w:rPr>
      </w:pPr>
      <w:bookmarkStart w:id="35" w:name="_Toc356389388"/>
      <w:r>
        <w:rPr>
          <w:sz w:val="24"/>
        </w:rPr>
        <w:t xml:space="preserve">Annex </w:t>
      </w:r>
      <w:r w:rsidR="008231EF">
        <w:rPr>
          <w:sz w:val="24"/>
        </w:rPr>
        <w:t>2</w:t>
      </w:r>
      <w:r>
        <w:rPr>
          <w:sz w:val="24"/>
        </w:rPr>
        <w:t xml:space="preserve">: </w:t>
      </w:r>
      <w:r w:rsidR="00BE642B">
        <w:rPr>
          <w:sz w:val="24"/>
        </w:rPr>
        <w:t>Risk Management Matrix</w:t>
      </w:r>
      <w:bookmarkEnd w:id="35"/>
    </w:p>
    <w:tbl>
      <w:tblPr>
        <w:tblW w:w="4938" w:type="pct"/>
        <w:tblLayout w:type="fixed"/>
        <w:tblLook w:val="04A0" w:firstRow="1" w:lastRow="0" w:firstColumn="1" w:lastColumn="0" w:noHBand="0" w:noVBand="1"/>
      </w:tblPr>
      <w:tblGrid>
        <w:gridCol w:w="2234"/>
        <w:gridCol w:w="708"/>
        <w:gridCol w:w="3119"/>
        <w:gridCol w:w="3688"/>
        <w:gridCol w:w="1557"/>
        <w:gridCol w:w="1277"/>
        <w:gridCol w:w="1417"/>
      </w:tblGrid>
      <w:tr w:rsidR="00AA0AD8" w:rsidRPr="00553AAE" w:rsidTr="00626D18">
        <w:trPr>
          <w:trHeight w:val="564"/>
        </w:trPr>
        <w:tc>
          <w:tcPr>
            <w:tcW w:w="798" w:type="pct"/>
            <w:vMerge w:val="restart"/>
            <w:tcBorders>
              <w:top w:val="single" w:sz="4" w:space="0" w:color="auto"/>
              <w:left w:val="single" w:sz="4" w:space="0" w:color="auto"/>
              <w:bottom w:val="single" w:sz="4" w:space="0" w:color="000000"/>
              <w:right w:val="single" w:sz="4" w:space="0" w:color="auto"/>
            </w:tcBorders>
            <w:shd w:val="clear" w:color="auto" w:fill="C5D9F1"/>
            <w:vAlign w:val="center"/>
            <w:hideMark/>
          </w:tcPr>
          <w:p w:rsidR="00553AAE" w:rsidRPr="00553AAE" w:rsidRDefault="00553AAE">
            <w:pPr>
              <w:jc w:val="center"/>
              <w:rPr>
                <w:rFonts w:asciiTheme="minorHAnsi" w:hAnsiTheme="minorHAnsi" w:cstheme="minorHAnsi"/>
                <w:b/>
                <w:szCs w:val="20"/>
              </w:rPr>
            </w:pPr>
            <w:r w:rsidRPr="00553AAE">
              <w:rPr>
                <w:rFonts w:asciiTheme="minorHAnsi" w:hAnsiTheme="minorHAnsi" w:cstheme="minorHAnsi"/>
                <w:b/>
                <w:szCs w:val="20"/>
              </w:rPr>
              <w:t>Objective/s</w:t>
            </w:r>
          </w:p>
        </w:tc>
        <w:tc>
          <w:tcPr>
            <w:tcW w:w="253" w:type="pct"/>
            <w:vMerge w:val="restart"/>
            <w:tcBorders>
              <w:top w:val="single" w:sz="4" w:space="0" w:color="auto"/>
              <w:left w:val="single" w:sz="4" w:space="0" w:color="auto"/>
              <w:bottom w:val="single" w:sz="4" w:space="0" w:color="000000"/>
              <w:right w:val="single" w:sz="4" w:space="0" w:color="auto"/>
            </w:tcBorders>
            <w:shd w:val="clear" w:color="auto" w:fill="C5D9F1"/>
            <w:vAlign w:val="center"/>
            <w:hideMark/>
          </w:tcPr>
          <w:p w:rsidR="00553AAE" w:rsidRPr="00553AAE" w:rsidRDefault="00553AAE">
            <w:pPr>
              <w:jc w:val="center"/>
              <w:rPr>
                <w:rFonts w:asciiTheme="minorHAnsi" w:hAnsiTheme="minorHAnsi" w:cstheme="minorHAnsi"/>
                <w:b/>
                <w:szCs w:val="20"/>
              </w:rPr>
            </w:pPr>
            <w:r w:rsidRPr="00553AAE">
              <w:rPr>
                <w:rFonts w:asciiTheme="minorHAnsi" w:hAnsiTheme="minorHAnsi" w:cstheme="minorHAnsi"/>
                <w:b/>
                <w:szCs w:val="20"/>
              </w:rPr>
              <w:t>Risk No.</w:t>
            </w:r>
          </w:p>
        </w:tc>
        <w:tc>
          <w:tcPr>
            <w:tcW w:w="1114" w:type="pct"/>
            <w:vMerge w:val="restart"/>
            <w:tcBorders>
              <w:top w:val="single" w:sz="4" w:space="0" w:color="auto"/>
              <w:left w:val="single" w:sz="4" w:space="0" w:color="auto"/>
              <w:bottom w:val="single" w:sz="4" w:space="0" w:color="000000"/>
              <w:right w:val="single" w:sz="4" w:space="0" w:color="auto"/>
            </w:tcBorders>
            <w:shd w:val="clear" w:color="auto" w:fill="C5D9F1"/>
            <w:vAlign w:val="center"/>
            <w:hideMark/>
          </w:tcPr>
          <w:p w:rsidR="00553AAE" w:rsidRPr="00553AAE" w:rsidRDefault="00553AAE">
            <w:pPr>
              <w:jc w:val="center"/>
              <w:rPr>
                <w:rFonts w:asciiTheme="minorHAnsi" w:hAnsiTheme="minorHAnsi" w:cstheme="minorHAnsi"/>
                <w:b/>
                <w:sz w:val="20"/>
                <w:szCs w:val="20"/>
              </w:rPr>
            </w:pPr>
            <w:r w:rsidRPr="00553AAE">
              <w:rPr>
                <w:rFonts w:asciiTheme="minorHAnsi" w:hAnsiTheme="minorHAnsi" w:cstheme="minorHAnsi"/>
                <w:b/>
                <w:szCs w:val="20"/>
              </w:rPr>
              <w:t>Risk</w:t>
            </w:r>
            <w:r w:rsidRPr="00553AAE">
              <w:rPr>
                <w:rFonts w:asciiTheme="minorHAnsi" w:hAnsiTheme="minorHAnsi" w:cstheme="minorHAnsi"/>
                <w:b/>
                <w:sz w:val="20"/>
                <w:szCs w:val="20"/>
              </w:rPr>
              <w:br/>
              <w:t xml:space="preserve"> (what will prevent you achieving the objective/s?)</w:t>
            </w:r>
          </w:p>
        </w:tc>
        <w:tc>
          <w:tcPr>
            <w:tcW w:w="1317" w:type="pct"/>
            <w:vMerge w:val="restart"/>
            <w:tcBorders>
              <w:top w:val="single" w:sz="4" w:space="0" w:color="auto"/>
              <w:left w:val="single" w:sz="4" w:space="0" w:color="auto"/>
              <w:bottom w:val="single" w:sz="4" w:space="0" w:color="000000"/>
              <w:right w:val="single" w:sz="4" w:space="0" w:color="auto"/>
            </w:tcBorders>
            <w:shd w:val="clear" w:color="auto" w:fill="C5D9F1"/>
            <w:vAlign w:val="center"/>
            <w:hideMark/>
          </w:tcPr>
          <w:p w:rsidR="00553AAE" w:rsidRPr="00553AAE" w:rsidRDefault="00C77EAE">
            <w:pPr>
              <w:jc w:val="center"/>
              <w:rPr>
                <w:rFonts w:asciiTheme="minorHAnsi" w:hAnsiTheme="minorHAnsi" w:cstheme="minorHAnsi"/>
                <w:b/>
                <w:sz w:val="20"/>
                <w:szCs w:val="20"/>
              </w:rPr>
            </w:pPr>
            <w:r>
              <w:rPr>
                <w:rFonts w:asciiTheme="minorHAnsi" w:hAnsiTheme="minorHAnsi" w:cstheme="minorHAnsi"/>
                <w:b/>
                <w:szCs w:val="20"/>
              </w:rPr>
              <w:t>Existing c</w:t>
            </w:r>
            <w:r w:rsidR="00553AAE" w:rsidRPr="00553AAE">
              <w:rPr>
                <w:rFonts w:asciiTheme="minorHAnsi" w:hAnsiTheme="minorHAnsi" w:cstheme="minorHAnsi"/>
                <w:b/>
                <w:szCs w:val="20"/>
              </w:rPr>
              <w:t xml:space="preserve">ontrols </w:t>
            </w:r>
            <w:r w:rsidR="00553AAE" w:rsidRPr="00553AAE">
              <w:rPr>
                <w:rFonts w:asciiTheme="minorHAnsi" w:hAnsiTheme="minorHAnsi" w:cstheme="minorHAnsi"/>
                <w:b/>
                <w:sz w:val="20"/>
                <w:szCs w:val="20"/>
              </w:rPr>
              <w:br/>
              <w:t>(what's currently in place?)</w:t>
            </w:r>
          </w:p>
        </w:tc>
        <w:tc>
          <w:tcPr>
            <w:tcW w:w="1518" w:type="pct"/>
            <w:gridSpan w:val="3"/>
            <w:tcBorders>
              <w:top w:val="single" w:sz="4" w:space="0" w:color="auto"/>
              <w:left w:val="nil"/>
              <w:bottom w:val="single" w:sz="4" w:space="0" w:color="auto"/>
              <w:right w:val="single" w:sz="4" w:space="0" w:color="000000"/>
            </w:tcBorders>
            <w:shd w:val="clear" w:color="auto" w:fill="95B3D7"/>
            <w:vAlign w:val="center"/>
            <w:hideMark/>
          </w:tcPr>
          <w:p w:rsidR="00553AAE" w:rsidRPr="00553AAE" w:rsidRDefault="00553AAE">
            <w:pPr>
              <w:jc w:val="center"/>
              <w:rPr>
                <w:rFonts w:asciiTheme="minorHAnsi" w:hAnsiTheme="minorHAnsi" w:cstheme="minorHAnsi"/>
                <w:b/>
                <w:szCs w:val="20"/>
              </w:rPr>
            </w:pPr>
            <w:r w:rsidRPr="00553AAE">
              <w:rPr>
                <w:rFonts w:asciiTheme="minorHAnsi" w:hAnsiTheme="minorHAnsi" w:cstheme="minorHAnsi"/>
                <w:b/>
                <w:szCs w:val="20"/>
              </w:rPr>
              <w:t xml:space="preserve">Risk rating with existing </w:t>
            </w:r>
            <w:r w:rsidRPr="00553AAE">
              <w:rPr>
                <w:rFonts w:asciiTheme="minorHAnsi" w:hAnsiTheme="minorHAnsi" w:cstheme="minorHAnsi"/>
                <w:b/>
                <w:szCs w:val="20"/>
              </w:rPr>
              <w:br/>
              <w:t>controls in place</w:t>
            </w:r>
          </w:p>
        </w:tc>
      </w:tr>
      <w:tr w:rsidR="00553AAE" w:rsidTr="00626D18">
        <w:trPr>
          <w:trHeight w:val="390"/>
        </w:trPr>
        <w:tc>
          <w:tcPr>
            <w:tcW w:w="798" w:type="pct"/>
            <w:vMerge/>
            <w:tcBorders>
              <w:top w:val="single" w:sz="4" w:space="0" w:color="auto"/>
              <w:left w:val="single" w:sz="4" w:space="0" w:color="auto"/>
              <w:bottom w:val="single" w:sz="4" w:space="0" w:color="000000"/>
              <w:right w:val="single" w:sz="4" w:space="0" w:color="auto"/>
            </w:tcBorders>
            <w:vAlign w:val="center"/>
            <w:hideMark/>
          </w:tcPr>
          <w:p w:rsidR="00553AAE" w:rsidRDefault="00553AAE">
            <w:pPr>
              <w:rPr>
                <w:rFonts w:cs="Calibri"/>
                <w:b/>
                <w:bCs/>
                <w:color w:val="000000"/>
              </w:rPr>
            </w:pPr>
          </w:p>
        </w:tc>
        <w:tc>
          <w:tcPr>
            <w:tcW w:w="253" w:type="pct"/>
            <w:vMerge/>
            <w:tcBorders>
              <w:top w:val="single" w:sz="4" w:space="0" w:color="auto"/>
              <w:left w:val="single" w:sz="4" w:space="0" w:color="auto"/>
              <w:bottom w:val="single" w:sz="4" w:space="0" w:color="000000"/>
              <w:right w:val="single" w:sz="4" w:space="0" w:color="auto"/>
            </w:tcBorders>
            <w:vAlign w:val="center"/>
            <w:hideMark/>
          </w:tcPr>
          <w:p w:rsidR="00553AAE" w:rsidRDefault="00553AAE">
            <w:pPr>
              <w:rPr>
                <w:rFonts w:cs="Calibri"/>
                <w:b/>
                <w:bCs/>
                <w:color w:val="000000"/>
              </w:rPr>
            </w:pPr>
          </w:p>
        </w:tc>
        <w:tc>
          <w:tcPr>
            <w:tcW w:w="1114" w:type="pct"/>
            <w:vMerge/>
            <w:tcBorders>
              <w:top w:val="single" w:sz="4" w:space="0" w:color="auto"/>
              <w:left w:val="single" w:sz="4" w:space="0" w:color="auto"/>
              <w:bottom w:val="single" w:sz="4" w:space="0" w:color="000000"/>
              <w:right w:val="single" w:sz="4" w:space="0" w:color="auto"/>
            </w:tcBorders>
            <w:vAlign w:val="center"/>
            <w:hideMark/>
          </w:tcPr>
          <w:p w:rsidR="00553AAE" w:rsidRDefault="00553AAE">
            <w:pPr>
              <w:rPr>
                <w:rFonts w:cs="Calibri"/>
                <w:b/>
                <w:bCs/>
                <w:color w:val="000000"/>
              </w:rPr>
            </w:pPr>
          </w:p>
        </w:tc>
        <w:tc>
          <w:tcPr>
            <w:tcW w:w="1317" w:type="pct"/>
            <w:vMerge/>
            <w:tcBorders>
              <w:top w:val="single" w:sz="4" w:space="0" w:color="auto"/>
              <w:left w:val="single" w:sz="4" w:space="0" w:color="auto"/>
              <w:bottom w:val="single" w:sz="4" w:space="0" w:color="000000"/>
              <w:right w:val="single" w:sz="4" w:space="0" w:color="auto"/>
            </w:tcBorders>
            <w:vAlign w:val="center"/>
            <w:hideMark/>
          </w:tcPr>
          <w:p w:rsidR="00553AAE" w:rsidRDefault="00553AAE">
            <w:pPr>
              <w:rPr>
                <w:rFonts w:cs="Calibri"/>
                <w:b/>
                <w:bCs/>
                <w:color w:val="000000"/>
              </w:rPr>
            </w:pPr>
          </w:p>
        </w:tc>
        <w:tc>
          <w:tcPr>
            <w:tcW w:w="556" w:type="pct"/>
            <w:tcBorders>
              <w:top w:val="nil"/>
              <w:left w:val="nil"/>
              <w:bottom w:val="nil"/>
              <w:right w:val="single" w:sz="4" w:space="0" w:color="auto"/>
            </w:tcBorders>
            <w:shd w:val="clear" w:color="auto" w:fill="C5D9F1"/>
            <w:hideMark/>
          </w:tcPr>
          <w:p w:rsidR="00553AAE" w:rsidRPr="00553AAE" w:rsidRDefault="00553AAE" w:rsidP="00626D18">
            <w:pPr>
              <w:jc w:val="center"/>
              <w:rPr>
                <w:rFonts w:asciiTheme="minorHAnsi" w:hAnsiTheme="minorHAnsi" w:cstheme="minorHAnsi"/>
                <w:b/>
                <w:sz w:val="20"/>
                <w:szCs w:val="20"/>
              </w:rPr>
            </w:pPr>
            <w:r w:rsidRPr="00553AAE">
              <w:rPr>
                <w:rFonts w:asciiTheme="minorHAnsi" w:hAnsiTheme="minorHAnsi" w:cstheme="minorHAnsi"/>
                <w:b/>
                <w:szCs w:val="20"/>
              </w:rPr>
              <w:t>Consequence</w:t>
            </w:r>
          </w:p>
        </w:tc>
        <w:tc>
          <w:tcPr>
            <w:tcW w:w="456" w:type="pct"/>
            <w:tcBorders>
              <w:top w:val="nil"/>
              <w:left w:val="nil"/>
              <w:bottom w:val="nil"/>
              <w:right w:val="single" w:sz="4" w:space="0" w:color="auto"/>
            </w:tcBorders>
            <w:shd w:val="clear" w:color="auto" w:fill="C5D9F1"/>
            <w:hideMark/>
          </w:tcPr>
          <w:p w:rsidR="00553AAE" w:rsidRPr="00553AAE" w:rsidRDefault="00553AAE" w:rsidP="00626D18">
            <w:pPr>
              <w:jc w:val="center"/>
              <w:rPr>
                <w:rFonts w:asciiTheme="minorHAnsi" w:hAnsiTheme="minorHAnsi" w:cstheme="minorHAnsi"/>
                <w:b/>
                <w:sz w:val="20"/>
                <w:szCs w:val="20"/>
              </w:rPr>
            </w:pPr>
            <w:r w:rsidRPr="00553AAE">
              <w:rPr>
                <w:rFonts w:asciiTheme="minorHAnsi" w:hAnsiTheme="minorHAnsi" w:cstheme="minorHAnsi"/>
                <w:b/>
                <w:szCs w:val="20"/>
              </w:rPr>
              <w:t>Likelihood</w:t>
            </w:r>
          </w:p>
        </w:tc>
        <w:tc>
          <w:tcPr>
            <w:tcW w:w="506" w:type="pct"/>
            <w:tcBorders>
              <w:top w:val="nil"/>
              <w:left w:val="nil"/>
              <w:bottom w:val="nil"/>
              <w:right w:val="single" w:sz="4" w:space="0" w:color="auto"/>
            </w:tcBorders>
            <w:shd w:val="clear" w:color="auto" w:fill="C5D9F1"/>
            <w:hideMark/>
          </w:tcPr>
          <w:p w:rsidR="00553AAE" w:rsidRDefault="00874831" w:rsidP="00626D18">
            <w:pPr>
              <w:jc w:val="center"/>
              <w:rPr>
                <w:rFonts w:cs="Calibri"/>
                <w:b/>
                <w:bCs/>
                <w:color w:val="000000"/>
              </w:rPr>
            </w:pPr>
            <w:r>
              <w:rPr>
                <w:rFonts w:asciiTheme="minorHAnsi" w:hAnsiTheme="minorHAnsi" w:cstheme="minorHAnsi"/>
                <w:b/>
                <w:szCs w:val="20"/>
              </w:rPr>
              <w:t>Risk Rating</w:t>
            </w:r>
          </w:p>
        </w:tc>
      </w:tr>
      <w:tr w:rsidR="00553AAE" w:rsidRPr="00553AAE" w:rsidTr="00626D18">
        <w:trPr>
          <w:trHeight w:val="1152"/>
        </w:trPr>
        <w:tc>
          <w:tcPr>
            <w:tcW w:w="798" w:type="pct"/>
            <w:tcBorders>
              <w:top w:val="nil"/>
              <w:left w:val="single" w:sz="4" w:space="0" w:color="auto"/>
              <w:bottom w:val="single" w:sz="4" w:space="0" w:color="auto"/>
              <w:right w:val="single" w:sz="4" w:space="0" w:color="auto"/>
            </w:tcBorders>
            <w:hideMark/>
          </w:tcPr>
          <w:p w:rsidR="00553AAE" w:rsidRPr="00553AAE" w:rsidRDefault="00553AAE"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1.  GoT agencies demonstrate  measureable improvement in the efficiency of public service delivery</w:t>
            </w:r>
          </w:p>
        </w:tc>
        <w:tc>
          <w:tcPr>
            <w:tcW w:w="253" w:type="pct"/>
            <w:tcBorders>
              <w:top w:val="nil"/>
              <w:left w:val="nil"/>
              <w:bottom w:val="single" w:sz="4" w:space="0" w:color="auto"/>
              <w:right w:val="single" w:sz="4" w:space="0" w:color="auto"/>
            </w:tcBorders>
            <w:vAlign w:val="center"/>
            <w:hideMark/>
          </w:tcPr>
          <w:p w:rsidR="00553AAE" w:rsidRPr="00553AAE" w:rsidRDefault="00553AAE"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1.1</w:t>
            </w:r>
          </w:p>
        </w:tc>
        <w:tc>
          <w:tcPr>
            <w:tcW w:w="1114" w:type="pct"/>
            <w:tcBorders>
              <w:top w:val="nil"/>
              <w:left w:val="nil"/>
              <w:bottom w:val="single" w:sz="4" w:space="0" w:color="auto"/>
              <w:right w:val="single" w:sz="4" w:space="0" w:color="auto"/>
            </w:tcBorders>
            <w:hideMark/>
          </w:tcPr>
          <w:p w:rsidR="00553AAE" w:rsidRPr="00553AAE" w:rsidRDefault="00553AAE"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Program delays due to lack of planning, corporate knowledge and capacity within GoT leads to program underspend and poor program delivery</w:t>
            </w:r>
          </w:p>
        </w:tc>
        <w:tc>
          <w:tcPr>
            <w:tcW w:w="1317" w:type="pct"/>
            <w:tcBorders>
              <w:top w:val="nil"/>
              <w:left w:val="nil"/>
              <w:bottom w:val="single" w:sz="4" w:space="0" w:color="auto"/>
              <w:right w:val="single" w:sz="4" w:space="0" w:color="auto"/>
            </w:tcBorders>
            <w:hideMark/>
          </w:tcPr>
          <w:p w:rsidR="00C57960" w:rsidRPr="009343D5" w:rsidRDefault="00553AAE" w:rsidP="009343D5">
            <w:pPr>
              <w:spacing w:before="120"/>
              <w:jc w:val="left"/>
              <w:rPr>
                <w:rFonts w:asciiTheme="minorHAnsi" w:hAnsiTheme="minorHAnsi" w:cstheme="minorHAnsi"/>
                <w:sz w:val="20"/>
                <w:szCs w:val="20"/>
              </w:rPr>
            </w:pPr>
            <w:r w:rsidRPr="009343D5">
              <w:rPr>
                <w:rFonts w:asciiTheme="minorHAnsi" w:hAnsiTheme="minorHAnsi" w:cstheme="minorHAnsi"/>
                <w:sz w:val="20"/>
                <w:szCs w:val="20"/>
              </w:rPr>
              <w:t xml:space="preserve">Bi-annual </w:t>
            </w:r>
            <w:r w:rsidR="00C77EAE">
              <w:rPr>
                <w:rFonts w:asciiTheme="minorHAnsi" w:hAnsiTheme="minorHAnsi" w:cstheme="minorHAnsi"/>
                <w:sz w:val="20"/>
                <w:szCs w:val="20"/>
              </w:rPr>
              <w:t>AusAID and GoT policy dialogue</w:t>
            </w:r>
          </w:p>
          <w:p w:rsidR="00553AAE" w:rsidRPr="009343D5" w:rsidRDefault="00553AAE" w:rsidP="009343D5">
            <w:pPr>
              <w:spacing w:before="120"/>
              <w:jc w:val="left"/>
              <w:rPr>
                <w:rFonts w:cstheme="minorHAnsi"/>
                <w:sz w:val="20"/>
                <w:szCs w:val="20"/>
              </w:rPr>
            </w:pPr>
            <w:r w:rsidRPr="009343D5">
              <w:rPr>
                <w:rFonts w:asciiTheme="minorHAnsi" w:hAnsiTheme="minorHAnsi" w:cstheme="minorHAnsi"/>
                <w:sz w:val="20"/>
                <w:szCs w:val="20"/>
              </w:rPr>
              <w:t>Public Service Commission Corporate Plan</w:t>
            </w:r>
          </w:p>
        </w:tc>
        <w:tc>
          <w:tcPr>
            <w:tcW w:w="556" w:type="pct"/>
            <w:tcBorders>
              <w:top w:val="single" w:sz="4" w:space="0" w:color="auto"/>
              <w:left w:val="nil"/>
              <w:bottom w:val="single" w:sz="4" w:space="0" w:color="auto"/>
              <w:right w:val="single" w:sz="4" w:space="0" w:color="auto"/>
            </w:tcBorders>
            <w:vAlign w:val="center"/>
            <w:hideMark/>
          </w:tcPr>
          <w:p w:rsidR="00553AAE" w:rsidRPr="00553AAE" w:rsidRDefault="009343D5" w:rsidP="009343D5">
            <w:pPr>
              <w:spacing w:before="120"/>
              <w:jc w:val="center"/>
              <w:rPr>
                <w:rFonts w:asciiTheme="minorHAnsi" w:hAnsiTheme="minorHAnsi" w:cstheme="minorHAnsi"/>
                <w:sz w:val="20"/>
                <w:szCs w:val="20"/>
              </w:rPr>
            </w:pPr>
            <w:r>
              <w:rPr>
                <w:rFonts w:asciiTheme="minorHAnsi" w:hAnsiTheme="minorHAnsi" w:cstheme="minorHAnsi"/>
                <w:sz w:val="20"/>
                <w:szCs w:val="20"/>
              </w:rPr>
              <w:t>Minor</w:t>
            </w:r>
          </w:p>
        </w:tc>
        <w:tc>
          <w:tcPr>
            <w:tcW w:w="456" w:type="pct"/>
            <w:tcBorders>
              <w:top w:val="single" w:sz="4" w:space="0" w:color="auto"/>
              <w:left w:val="nil"/>
              <w:bottom w:val="single" w:sz="4" w:space="0" w:color="auto"/>
              <w:right w:val="single" w:sz="4" w:space="0" w:color="auto"/>
            </w:tcBorders>
            <w:vAlign w:val="center"/>
            <w:hideMark/>
          </w:tcPr>
          <w:p w:rsidR="00553AAE" w:rsidRPr="00553AAE" w:rsidRDefault="009343D5" w:rsidP="009343D5">
            <w:pPr>
              <w:spacing w:before="120"/>
              <w:jc w:val="center"/>
              <w:rPr>
                <w:rFonts w:asciiTheme="minorHAnsi" w:hAnsiTheme="minorHAnsi" w:cstheme="minorHAnsi"/>
                <w:sz w:val="20"/>
                <w:szCs w:val="20"/>
              </w:rPr>
            </w:pPr>
            <w:r>
              <w:rPr>
                <w:rFonts w:asciiTheme="minorHAnsi" w:hAnsiTheme="minorHAnsi" w:cstheme="minorHAnsi"/>
                <w:sz w:val="20"/>
                <w:szCs w:val="20"/>
              </w:rPr>
              <w:t>Possible</w:t>
            </w:r>
          </w:p>
        </w:tc>
        <w:tc>
          <w:tcPr>
            <w:tcW w:w="506" w:type="pct"/>
            <w:tcBorders>
              <w:top w:val="single" w:sz="4" w:space="0" w:color="auto"/>
              <w:left w:val="nil"/>
              <w:bottom w:val="single" w:sz="4" w:space="0" w:color="auto"/>
              <w:right w:val="single" w:sz="4" w:space="0" w:color="auto"/>
            </w:tcBorders>
            <w:vAlign w:val="center"/>
            <w:hideMark/>
          </w:tcPr>
          <w:p w:rsidR="00553AAE" w:rsidRPr="00553AAE" w:rsidRDefault="009343D5" w:rsidP="009343D5">
            <w:pPr>
              <w:spacing w:before="120"/>
              <w:jc w:val="center"/>
              <w:rPr>
                <w:rFonts w:asciiTheme="minorHAnsi" w:hAnsiTheme="minorHAnsi" w:cstheme="minorHAnsi"/>
                <w:sz w:val="20"/>
                <w:szCs w:val="20"/>
              </w:rPr>
            </w:pPr>
            <w:r>
              <w:rPr>
                <w:rFonts w:asciiTheme="minorHAnsi" w:hAnsiTheme="minorHAnsi" w:cstheme="minorHAnsi"/>
                <w:sz w:val="20"/>
                <w:szCs w:val="20"/>
              </w:rPr>
              <w:t>Moderate</w:t>
            </w:r>
          </w:p>
        </w:tc>
      </w:tr>
      <w:tr w:rsidR="00626D18" w:rsidRPr="00553AAE" w:rsidTr="00924AAF">
        <w:trPr>
          <w:trHeight w:val="274"/>
        </w:trPr>
        <w:tc>
          <w:tcPr>
            <w:tcW w:w="798" w:type="pct"/>
            <w:tcBorders>
              <w:top w:val="single" w:sz="4" w:space="0" w:color="auto"/>
              <w:left w:val="single" w:sz="4" w:space="0" w:color="auto"/>
              <w:bottom w:val="single" w:sz="4" w:space="0" w:color="auto"/>
              <w:right w:val="single" w:sz="4" w:space="0" w:color="auto"/>
            </w:tcBorders>
          </w:tcPr>
          <w:p w:rsidR="00626D18" w:rsidRPr="00553AAE" w:rsidRDefault="00626D18" w:rsidP="00553AAE">
            <w:pPr>
              <w:spacing w:before="120"/>
              <w:jc w:val="left"/>
              <w:rPr>
                <w:rFonts w:asciiTheme="minorHAnsi" w:hAnsiTheme="minorHAnsi" w:cstheme="minorHAnsi"/>
                <w:sz w:val="20"/>
                <w:szCs w:val="20"/>
              </w:rPr>
            </w:pPr>
          </w:p>
        </w:tc>
        <w:tc>
          <w:tcPr>
            <w:tcW w:w="253" w:type="pct"/>
            <w:tcBorders>
              <w:top w:val="single" w:sz="4" w:space="0" w:color="auto"/>
              <w:left w:val="single" w:sz="4" w:space="0" w:color="auto"/>
              <w:bottom w:val="single" w:sz="4" w:space="0" w:color="auto"/>
              <w:right w:val="single" w:sz="4" w:space="0" w:color="auto"/>
            </w:tcBorders>
            <w:vAlign w:val="center"/>
          </w:tcPr>
          <w:p w:rsidR="00626D18" w:rsidRPr="00553AAE" w:rsidRDefault="00DE3C04" w:rsidP="00553AAE">
            <w:pPr>
              <w:spacing w:before="120"/>
              <w:jc w:val="left"/>
              <w:rPr>
                <w:rFonts w:asciiTheme="minorHAnsi" w:hAnsiTheme="minorHAnsi" w:cstheme="minorHAnsi"/>
                <w:sz w:val="20"/>
                <w:szCs w:val="20"/>
              </w:rPr>
            </w:pPr>
            <w:r>
              <w:rPr>
                <w:rFonts w:asciiTheme="minorHAnsi" w:hAnsiTheme="minorHAnsi" w:cstheme="minorHAnsi"/>
                <w:sz w:val="20"/>
                <w:szCs w:val="20"/>
              </w:rPr>
              <w:t>1.2</w:t>
            </w:r>
          </w:p>
        </w:tc>
        <w:tc>
          <w:tcPr>
            <w:tcW w:w="1114" w:type="pct"/>
            <w:tcBorders>
              <w:top w:val="single" w:sz="4" w:space="0" w:color="auto"/>
              <w:left w:val="single" w:sz="4" w:space="0" w:color="auto"/>
              <w:bottom w:val="single" w:sz="4" w:space="0" w:color="auto"/>
              <w:right w:val="single" w:sz="4" w:space="0" w:color="auto"/>
            </w:tcBorders>
          </w:tcPr>
          <w:p w:rsidR="00626D18" w:rsidRPr="00553AAE" w:rsidRDefault="00626D18" w:rsidP="00B771A8">
            <w:pPr>
              <w:spacing w:before="120"/>
              <w:jc w:val="left"/>
              <w:rPr>
                <w:rFonts w:asciiTheme="minorHAnsi" w:hAnsiTheme="minorHAnsi" w:cstheme="minorHAnsi"/>
                <w:sz w:val="20"/>
                <w:szCs w:val="20"/>
              </w:rPr>
            </w:pPr>
            <w:r>
              <w:rPr>
                <w:rFonts w:asciiTheme="minorHAnsi" w:hAnsiTheme="minorHAnsi" w:cstheme="minorHAnsi"/>
                <w:sz w:val="20"/>
                <w:szCs w:val="20"/>
              </w:rPr>
              <w:t>Capacity development programs (including training, advisory support or work attachments if relevant) fail to contribute in any systematic way to organisational capacity development or the achievement of wider public sector reforms</w:t>
            </w:r>
            <w:r w:rsidR="00F06DDB">
              <w:rPr>
                <w:rFonts w:asciiTheme="minorHAnsi" w:hAnsiTheme="minorHAnsi" w:cstheme="minorHAnsi"/>
                <w:sz w:val="20"/>
                <w:szCs w:val="20"/>
              </w:rPr>
              <w:t>.</w:t>
            </w:r>
            <w:r w:rsidR="00B771A8">
              <w:rPr>
                <w:rFonts w:asciiTheme="minorHAnsi" w:hAnsiTheme="minorHAnsi" w:cstheme="minorHAnsi"/>
                <w:sz w:val="20"/>
                <w:szCs w:val="20"/>
              </w:rPr>
              <w:t xml:space="preserve"> For instance, there is a risk that a</w:t>
            </w:r>
            <w:r w:rsidR="00B771A8" w:rsidRPr="00057A44">
              <w:rPr>
                <w:rFonts w:asciiTheme="minorHAnsi" w:hAnsiTheme="minorHAnsi" w:cstheme="minorHAnsi"/>
                <w:sz w:val="20"/>
                <w:szCs w:val="20"/>
              </w:rPr>
              <w:t>dvisers are drawn away from their ToRs</w:t>
            </w:r>
            <w:r w:rsidR="00B771A8">
              <w:rPr>
                <w:rFonts w:asciiTheme="minorHAnsi" w:hAnsiTheme="minorHAnsi" w:cstheme="minorHAnsi"/>
                <w:sz w:val="20"/>
                <w:szCs w:val="20"/>
              </w:rPr>
              <w:t xml:space="preserve"> to respond to requests from senior levels of Tongan Government, resulting in AusAID being drawn </w:t>
            </w:r>
            <w:r w:rsidR="00B771A8" w:rsidRPr="00057A44">
              <w:rPr>
                <w:rFonts w:asciiTheme="minorHAnsi" w:hAnsiTheme="minorHAnsi" w:cstheme="minorHAnsi"/>
                <w:sz w:val="20"/>
                <w:szCs w:val="20"/>
              </w:rPr>
              <w:t>into politically sensitive areas</w:t>
            </w:r>
            <w:r w:rsidR="00B771A8">
              <w:rPr>
                <w:rFonts w:asciiTheme="minorHAnsi" w:hAnsiTheme="minorHAnsi" w:cstheme="minorHAnsi"/>
                <w:sz w:val="20"/>
                <w:szCs w:val="20"/>
              </w:rPr>
              <w:t>, and advisers not realising</w:t>
            </w:r>
            <w:r w:rsidR="000C7A9B">
              <w:rPr>
                <w:rFonts w:asciiTheme="minorHAnsi" w:hAnsiTheme="minorHAnsi" w:cstheme="minorHAnsi"/>
                <w:sz w:val="20"/>
                <w:szCs w:val="20"/>
              </w:rPr>
              <w:t xml:space="preserve"> their intended</w:t>
            </w:r>
            <w:r w:rsidR="00B771A8">
              <w:rPr>
                <w:rFonts w:asciiTheme="minorHAnsi" w:hAnsiTheme="minorHAnsi" w:cstheme="minorHAnsi"/>
                <w:sz w:val="20"/>
                <w:szCs w:val="20"/>
              </w:rPr>
              <w:t xml:space="preserve"> outcomes.</w:t>
            </w:r>
          </w:p>
        </w:tc>
        <w:tc>
          <w:tcPr>
            <w:tcW w:w="1317" w:type="pct"/>
            <w:tcBorders>
              <w:top w:val="single" w:sz="4" w:space="0" w:color="auto"/>
              <w:left w:val="single" w:sz="4" w:space="0" w:color="auto"/>
              <w:bottom w:val="single" w:sz="4" w:space="0" w:color="auto"/>
              <w:right w:val="single" w:sz="4" w:space="0" w:color="auto"/>
            </w:tcBorders>
          </w:tcPr>
          <w:p w:rsidR="00626D18" w:rsidRDefault="00626D18" w:rsidP="00553AAE">
            <w:pPr>
              <w:spacing w:before="120"/>
              <w:jc w:val="left"/>
              <w:rPr>
                <w:rFonts w:asciiTheme="minorHAnsi" w:hAnsiTheme="minorHAnsi" w:cstheme="minorHAnsi"/>
                <w:sz w:val="20"/>
                <w:szCs w:val="20"/>
              </w:rPr>
            </w:pPr>
            <w:r>
              <w:rPr>
                <w:rFonts w:asciiTheme="minorHAnsi" w:hAnsiTheme="minorHAnsi" w:cstheme="minorHAnsi"/>
                <w:sz w:val="20"/>
                <w:szCs w:val="20"/>
              </w:rPr>
              <w:t>PSC Corporate Plan</w:t>
            </w:r>
          </w:p>
          <w:p w:rsidR="00B771A8" w:rsidRDefault="00B771A8" w:rsidP="00B771A8">
            <w:pPr>
              <w:spacing w:before="120"/>
              <w:jc w:val="left"/>
              <w:rPr>
                <w:rFonts w:asciiTheme="minorHAnsi" w:hAnsiTheme="minorHAnsi" w:cstheme="minorHAnsi"/>
                <w:sz w:val="20"/>
                <w:szCs w:val="20"/>
              </w:rPr>
            </w:pPr>
            <w:r>
              <w:rPr>
                <w:rFonts w:asciiTheme="minorHAnsi" w:hAnsiTheme="minorHAnsi" w:cstheme="minorHAnsi"/>
                <w:sz w:val="20"/>
                <w:szCs w:val="20"/>
              </w:rPr>
              <w:t xml:space="preserve">Quarterly discussions between advisers and Post </w:t>
            </w:r>
            <w:r w:rsidR="000C7A9B">
              <w:rPr>
                <w:rFonts w:asciiTheme="minorHAnsi" w:hAnsiTheme="minorHAnsi" w:cstheme="minorHAnsi"/>
                <w:sz w:val="20"/>
                <w:szCs w:val="20"/>
              </w:rPr>
              <w:t>as well as</w:t>
            </w:r>
            <w:r>
              <w:rPr>
                <w:rFonts w:asciiTheme="minorHAnsi" w:hAnsiTheme="minorHAnsi" w:cstheme="minorHAnsi"/>
                <w:sz w:val="20"/>
                <w:szCs w:val="20"/>
              </w:rPr>
              <w:t xml:space="preserve"> biannual reporting on work outputs.</w:t>
            </w:r>
          </w:p>
          <w:p w:rsidR="00626D18" w:rsidRPr="00553AAE" w:rsidRDefault="00626D18" w:rsidP="00553AAE">
            <w:pPr>
              <w:spacing w:before="120"/>
              <w:jc w:val="left"/>
              <w:rPr>
                <w:rFonts w:asciiTheme="minorHAnsi" w:hAnsiTheme="minorHAnsi" w:cstheme="minorHAnsi"/>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rsidR="00626D18" w:rsidRDefault="00626D18" w:rsidP="009343D5">
            <w:pPr>
              <w:spacing w:before="120"/>
              <w:jc w:val="center"/>
              <w:rPr>
                <w:rFonts w:asciiTheme="minorHAnsi" w:hAnsiTheme="minorHAnsi" w:cstheme="minorHAnsi"/>
                <w:sz w:val="20"/>
                <w:szCs w:val="20"/>
              </w:rPr>
            </w:pPr>
            <w:r>
              <w:rPr>
                <w:rFonts w:asciiTheme="minorHAnsi" w:hAnsiTheme="minorHAnsi" w:cstheme="minorHAnsi"/>
                <w:sz w:val="20"/>
                <w:szCs w:val="20"/>
              </w:rPr>
              <w:t>Minor</w:t>
            </w:r>
          </w:p>
        </w:tc>
        <w:tc>
          <w:tcPr>
            <w:tcW w:w="456" w:type="pct"/>
            <w:tcBorders>
              <w:top w:val="single" w:sz="4" w:space="0" w:color="auto"/>
              <w:left w:val="single" w:sz="4" w:space="0" w:color="auto"/>
              <w:bottom w:val="single" w:sz="4" w:space="0" w:color="auto"/>
              <w:right w:val="single" w:sz="4" w:space="0" w:color="auto"/>
            </w:tcBorders>
            <w:vAlign w:val="center"/>
          </w:tcPr>
          <w:p w:rsidR="00626D18" w:rsidRDefault="00626D18" w:rsidP="009343D5">
            <w:pPr>
              <w:spacing w:before="120"/>
              <w:jc w:val="center"/>
              <w:rPr>
                <w:rFonts w:asciiTheme="minorHAnsi" w:hAnsiTheme="minorHAnsi" w:cstheme="minorHAnsi"/>
                <w:sz w:val="20"/>
                <w:szCs w:val="20"/>
              </w:rPr>
            </w:pPr>
            <w:r>
              <w:rPr>
                <w:rFonts w:asciiTheme="minorHAnsi" w:hAnsiTheme="minorHAnsi" w:cstheme="minorHAnsi"/>
                <w:sz w:val="20"/>
                <w:szCs w:val="20"/>
              </w:rPr>
              <w:t>Possible</w:t>
            </w:r>
          </w:p>
        </w:tc>
        <w:tc>
          <w:tcPr>
            <w:tcW w:w="506" w:type="pct"/>
            <w:tcBorders>
              <w:top w:val="single" w:sz="4" w:space="0" w:color="auto"/>
              <w:left w:val="single" w:sz="4" w:space="0" w:color="auto"/>
              <w:bottom w:val="single" w:sz="4" w:space="0" w:color="auto"/>
              <w:right w:val="single" w:sz="4" w:space="0" w:color="auto"/>
            </w:tcBorders>
            <w:vAlign w:val="center"/>
          </w:tcPr>
          <w:p w:rsidR="00626D18" w:rsidRDefault="00626D18" w:rsidP="009343D5">
            <w:pPr>
              <w:spacing w:before="120"/>
              <w:jc w:val="center"/>
              <w:rPr>
                <w:rFonts w:asciiTheme="minorHAnsi" w:hAnsiTheme="minorHAnsi" w:cstheme="minorHAnsi"/>
                <w:sz w:val="20"/>
                <w:szCs w:val="20"/>
              </w:rPr>
            </w:pPr>
            <w:r>
              <w:rPr>
                <w:rFonts w:asciiTheme="minorHAnsi" w:hAnsiTheme="minorHAnsi" w:cstheme="minorHAnsi"/>
                <w:sz w:val="20"/>
                <w:szCs w:val="20"/>
              </w:rPr>
              <w:t>Moderate</w:t>
            </w:r>
          </w:p>
        </w:tc>
      </w:tr>
      <w:tr w:rsidR="00DE3C04" w:rsidRPr="00553AAE" w:rsidTr="009275E5">
        <w:trPr>
          <w:trHeight w:val="416"/>
        </w:trPr>
        <w:tc>
          <w:tcPr>
            <w:tcW w:w="798" w:type="pct"/>
            <w:tcBorders>
              <w:top w:val="single" w:sz="4" w:space="0" w:color="auto"/>
              <w:left w:val="single" w:sz="4" w:space="0" w:color="auto"/>
              <w:bottom w:val="single" w:sz="4" w:space="0" w:color="auto"/>
              <w:right w:val="single" w:sz="4" w:space="0" w:color="auto"/>
            </w:tcBorders>
            <w:hideMark/>
          </w:tcPr>
          <w:p w:rsidR="00DE3C04" w:rsidRPr="00553AAE" w:rsidRDefault="00DE3C04" w:rsidP="00462362">
            <w:pPr>
              <w:spacing w:before="120"/>
              <w:jc w:val="left"/>
              <w:rPr>
                <w:rFonts w:asciiTheme="minorHAnsi" w:hAnsiTheme="minorHAnsi" w:cstheme="minorHAnsi"/>
                <w:sz w:val="20"/>
                <w:szCs w:val="20"/>
              </w:rPr>
            </w:pPr>
            <w:r w:rsidRPr="00553AAE">
              <w:rPr>
                <w:rFonts w:asciiTheme="minorHAnsi" w:hAnsiTheme="minorHAnsi" w:cstheme="minorHAnsi"/>
                <w:sz w:val="20"/>
                <w:szCs w:val="20"/>
              </w:rPr>
              <w:t>2.  GoT agencies demonstrate measureable improvement in the allocation and use of public expenditure for TSDF priorities as well as sustainable revenue collection</w:t>
            </w:r>
          </w:p>
        </w:tc>
        <w:tc>
          <w:tcPr>
            <w:tcW w:w="253"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462362">
            <w:pPr>
              <w:spacing w:before="120"/>
              <w:jc w:val="left"/>
              <w:rPr>
                <w:rFonts w:asciiTheme="minorHAnsi" w:hAnsiTheme="minorHAnsi" w:cstheme="minorHAnsi"/>
                <w:sz w:val="20"/>
                <w:szCs w:val="20"/>
              </w:rPr>
            </w:pPr>
            <w:r>
              <w:rPr>
                <w:rFonts w:asciiTheme="minorHAnsi" w:hAnsiTheme="minorHAnsi" w:cstheme="minorHAnsi"/>
                <w:sz w:val="20"/>
                <w:szCs w:val="20"/>
              </w:rPr>
              <w:t>2.1</w:t>
            </w:r>
          </w:p>
        </w:tc>
        <w:tc>
          <w:tcPr>
            <w:tcW w:w="1114" w:type="pct"/>
            <w:tcBorders>
              <w:top w:val="single" w:sz="4" w:space="0" w:color="auto"/>
              <w:left w:val="single" w:sz="4" w:space="0" w:color="auto"/>
              <w:bottom w:val="single" w:sz="4" w:space="0" w:color="auto"/>
              <w:right w:val="single" w:sz="4" w:space="0" w:color="auto"/>
            </w:tcBorders>
            <w:hideMark/>
          </w:tcPr>
          <w:p w:rsidR="00DE3C04" w:rsidRPr="00553AAE" w:rsidRDefault="00DE3C04" w:rsidP="00462362">
            <w:pPr>
              <w:spacing w:before="120"/>
              <w:jc w:val="left"/>
              <w:rPr>
                <w:rFonts w:asciiTheme="minorHAnsi" w:hAnsiTheme="minorHAnsi" w:cstheme="minorHAnsi"/>
                <w:sz w:val="20"/>
                <w:szCs w:val="20"/>
              </w:rPr>
            </w:pPr>
            <w:r w:rsidRPr="00553AAE">
              <w:rPr>
                <w:rFonts w:asciiTheme="minorHAnsi" w:hAnsiTheme="minorHAnsi" w:cstheme="minorHAnsi"/>
                <w:sz w:val="20"/>
                <w:szCs w:val="20"/>
              </w:rPr>
              <w:t>A shock to Tonga’s macroeconomic stability due to natural disasters, deterioration of global economic conditions, domestic policy, decrease in external assistance, etc. could undermine cash management and disrupt service delivery.</w:t>
            </w:r>
          </w:p>
        </w:tc>
        <w:tc>
          <w:tcPr>
            <w:tcW w:w="1317" w:type="pct"/>
            <w:tcBorders>
              <w:top w:val="single" w:sz="4" w:space="0" w:color="auto"/>
              <w:left w:val="single" w:sz="4" w:space="0" w:color="auto"/>
              <w:bottom w:val="single" w:sz="4" w:space="0" w:color="auto"/>
              <w:right w:val="single" w:sz="4" w:space="0" w:color="auto"/>
            </w:tcBorders>
            <w:hideMark/>
          </w:tcPr>
          <w:p w:rsidR="00DE3C04" w:rsidRDefault="00DE3C04" w:rsidP="00462362">
            <w:pPr>
              <w:spacing w:before="120"/>
              <w:jc w:val="left"/>
              <w:rPr>
                <w:rFonts w:asciiTheme="minorHAnsi" w:hAnsiTheme="minorHAnsi" w:cstheme="minorHAnsi"/>
                <w:sz w:val="20"/>
                <w:szCs w:val="20"/>
              </w:rPr>
            </w:pPr>
            <w:r w:rsidRPr="00553AAE">
              <w:rPr>
                <w:rFonts w:asciiTheme="minorHAnsi" w:hAnsiTheme="minorHAnsi" w:cstheme="minorHAnsi"/>
                <w:sz w:val="20"/>
                <w:szCs w:val="20"/>
              </w:rPr>
              <w:t>Conservative tax revenue forecasts adopted by the MoFNP, which are consistent with IMF projections</w:t>
            </w:r>
          </w:p>
          <w:p w:rsidR="00DE3C04" w:rsidRDefault="00DE3C04" w:rsidP="00462362">
            <w:pPr>
              <w:spacing w:before="120"/>
              <w:jc w:val="left"/>
              <w:rPr>
                <w:rFonts w:asciiTheme="minorHAnsi" w:hAnsiTheme="minorHAnsi" w:cstheme="minorHAnsi"/>
                <w:sz w:val="20"/>
                <w:szCs w:val="20"/>
              </w:rPr>
            </w:pPr>
            <w:r w:rsidRPr="00553AAE">
              <w:rPr>
                <w:rFonts w:asciiTheme="minorHAnsi" w:hAnsiTheme="minorHAnsi" w:cstheme="minorHAnsi"/>
                <w:sz w:val="20"/>
                <w:szCs w:val="20"/>
              </w:rPr>
              <w:br/>
              <w:t>Development partners contributing critical resources to support the budget in challenging fiscal circumstances, allowing the accumulation of cash reserves to manage shocks over the medium-term</w:t>
            </w:r>
          </w:p>
          <w:p w:rsidR="00DE3C04" w:rsidRPr="00553AAE" w:rsidRDefault="00DE3C04" w:rsidP="009275E5">
            <w:pPr>
              <w:spacing w:before="120"/>
              <w:jc w:val="left"/>
              <w:rPr>
                <w:rFonts w:asciiTheme="minorHAnsi" w:hAnsiTheme="minorHAnsi" w:cstheme="minorHAnsi"/>
                <w:sz w:val="20"/>
                <w:szCs w:val="20"/>
              </w:rPr>
            </w:pPr>
            <w:r w:rsidRPr="00553AAE">
              <w:rPr>
                <w:rFonts w:asciiTheme="minorHAnsi" w:hAnsiTheme="minorHAnsi" w:cstheme="minorHAnsi"/>
                <w:sz w:val="20"/>
                <w:szCs w:val="20"/>
              </w:rPr>
              <w:br/>
              <w:t xml:space="preserve">World Bank’s dialogue with Government on appropriate ways to approach and manage expenditure or revenue shocks </w:t>
            </w:r>
          </w:p>
        </w:tc>
        <w:tc>
          <w:tcPr>
            <w:tcW w:w="55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462362">
            <w:pPr>
              <w:spacing w:before="120"/>
              <w:jc w:val="center"/>
              <w:rPr>
                <w:rFonts w:asciiTheme="minorHAnsi" w:hAnsiTheme="minorHAnsi" w:cstheme="minorHAnsi"/>
                <w:sz w:val="20"/>
                <w:szCs w:val="20"/>
              </w:rPr>
            </w:pPr>
            <w:r>
              <w:rPr>
                <w:rFonts w:asciiTheme="minorHAnsi" w:hAnsiTheme="minorHAnsi" w:cstheme="minorHAnsi"/>
                <w:sz w:val="20"/>
                <w:szCs w:val="20"/>
              </w:rPr>
              <w:t>Moderate</w:t>
            </w:r>
          </w:p>
        </w:tc>
        <w:tc>
          <w:tcPr>
            <w:tcW w:w="45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462362">
            <w:pPr>
              <w:spacing w:before="120"/>
              <w:jc w:val="center"/>
              <w:rPr>
                <w:rFonts w:asciiTheme="minorHAnsi" w:hAnsiTheme="minorHAnsi" w:cstheme="minorHAnsi"/>
                <w:sz w:val="20"/>
                <w:szCs w:val="20"/>
              </w:rPr>
            </w:pPr>
            <w:r>
              <w:rPr>
                <w:rFonts w:asciiTheme="minorHAnsi" w:hAnsiTheme="minorHAnsi" w:cstheme="minorHAnsi"/>
                <w:sz w:val="20"/>
                <w:szCs w:val="20"/>
              </w:rPr>
              <w:t>Possible</w:t>
            </w:r>
          </w:p>
        </w:tc>
        <w:tc>
          <w:tcPr>
            <w:tcW w:w="50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462362">
            <w:pPr>
              <w:spacing w:before="120"/>
              <w:jc w:val="center"/>
              <w:rPr>
                <w:rFonts w:asciiTheme="minorHAnsi" w:hAnsiTheme="minorHAnsi" w:cstheme="minorHAnsi"/>
                <w:sz w:val="20"/>
                <w:szCs w:val="20"/>
              </w:rPr>
            </w:pPr>
            <w:r>
              <w:rPr>
                <w:rFonts w:asciiTheme="minorHAnsi" w:hAnsiTheme="minorHAnsi" w:cstheme="minorHAnsi"/>
                <w:sz w:val="20"/>
                <w:szCs w:val="20"/>
              </w:rPr>
              <w:t>High</w:t>
            </w:r>
          </w:p>
        </w:tc>
      </w:tr>
      <w:tr w:rsidR="000965F7" w:rsidRPr="006241B3" w:rsidTr="00DE3C04">
        <w:trPr>
          <w:trHeight w:val="841"/>
        </w:trPr>
        <w:tc>
          <w:tcPr>
            <w:tcW w:w="798" w:type="pct"/>
            <w:tcBorders>
              <w:top w:val="single" w:sz="4" w:space="0" w:color="auto"/>
              <w:left w:val="single" w:sz="4" w:space="0" w:color="auto"/>
              <w:bottom w:val="single" w:sz="4" w:space="0" w:color="auto"/>
              <w:right w:val="single" w:sz="4" w:space="0" w:color="auto"/>
            </w:tcBorders>
          </w:tcPr>
          <w:p w:rsidR="000965F7" w:rsidRPr="006241B3" w:rsidRDefault="000965F7" w:rsidP="00553AAE">
            <w:pPr>
              <w:spacing w:before="120"/>
              <w:jc w:val="left"/>
              <w:rPr>
                <w:rFonts w:asciiTheme="minorHAnsi" w:hAnsiTheme="minorHAnsi" w:cstheme="minorHAnsi"/>
                <w:sz w:val="20"/>
                <w:szCs w:val="20"/>
              </w:rPr>
            </w:pPr>
          </w:p>
        </w:tc>
        <w:tc>
          <w:tcPr>
            <w:tcW w:w="253" w:type="pct"/>
            <w:tcBorders>
              <w:top w:val="single" w:sz="4" w:space="0" w:color="auto"/>
              <w:left w:val="single" w:sz="4" w:space="0" w:color="auto"/>
              <w:bottom w:val="single" w:sz="4" w:space="0" w:color="auto"/>
              <w:right w:val="single" w:sz="4" w:space="0" w:color="auto"/>
            </w:tcBorders>
            <w:vAlign w:val="center"/>
          </w:tcPr>
          <w:p w:rsidR="000965F7" w:rsidRPr="006241B3" w:rsidRDefault="000965F7" w:rsidP="00553AAE">
            <w:pPr>
              <w:spacing w:before="120"/>
              <w:jc w:val="left"/>
              <w:rPr>
                <w:rFonts w:asciiTheme="minorHAnsi" w:hAnsiTheme="minorHAnsi" w:cstheme="minorHAnsi"/>
                <w:sz w:val="20"/>
                <w:szCs w:val="20"/>
              </w:rPr>
            </w:pPr>
            <w:r w:rsidRPr="006241B3">
              <w:rPr>
                <w:rFonts w:asciiTheme="minorHAnsi" w:hAnsiTheme="minorHAnsi" w:cstheme="minorHAnsi"/>
                <w:sz w:val="20"/>
                <w:szCs w:val="20"/>
              </w:rPr>
              <w:t>2.2</w:t>
            </w:r>
          </w:p>
        </w:tc>
        <w:tc>
          <w:tcPr>
            <w:tcW w:w="1114" w:type="pct"/>
            <w:tcBorders>
              <w:top w:val="single" w:sz="4" w:space="0" w:color="auto"/>
              <w:left w:val="single" w:sz="4" w:space="0" w:color="auto"/>
              <w:bottom w:val="single" w:sz="4" w:space="0" w:color="auto"/>
              <w:right w:val="single" w:sz="4" w:space="0" w:color="auto"/>
            </w:tcBorders>
          </w:tcPr>
          <w:p w:rsidR="007B5705" w:rsidRPr="006241B3" w:rsidRDefault="006D3316" w:rsidP="006D3316">
            <w:pPr>
              <w:spacing w:before="120"/>
              <w:jc w:val="left"/>
              <w:rPr>
                <w:rFonts w:asciiTheme="minorHAnsi" w:hAnsiTheme="minorHAnsi" w:cstheme="minorHAnsi"/>
                <w:sz w:val="20"/>
                <w:szCs w:val="20"/>
              </w:rPr>
            </w:pPr>
            <w:r w:rsidRPr="006241B3">
              <w:rPr>
                <w:rFonts w:asciiTheme="minorHAnsi" w:hAnsiTheme="minorHAnsi" w:cstheme="minorHAnsi"/>
                <w:sz w:val="20"/>
                <w:szCs w:val="20"/>
              </w:rPr>
              <w:t>GoT does not progress key public financial management or economic reforms resulting in further debt or poor quality expenditure, and therefore not meeting targets to trigger next payment.</w:t>
            </w:r>
          </w:p>
        </w:tc>
        <w:tc>
          <w:tcPr>
            <w:tcW w:w="1317" w:type="pct"/>
            <w:tcBorders>
              <w:top w:val="single" w:sz="4" w:space="0" w:color="auto"/>
              <w:left w:val="single" w:sz="4" w:space="0" w:color="auto"/>
              <w:bottom w:val="single" w:sz="4" w:space="0" w:color="auto"/>
              <w:right w:val="single" w:sz="4" w:space="0" w:color="auto"/>
            </w:tcBorders>
          </w:tcPr>
          <w:p w:rsidR="000973CE" w:rsidRPr="006241B3" w:rsidRDefault="006D3316" w:rsidP="006D3316">
            <w:pPr>
              <w:spacing w:before="120"/>
              <w:jc w:val="left"/>
              <w:rPr>
                <w:rFonts w:asciiTheme="minorHAnsi" w:hAnsiTheme="minorHAnsi" w:cstheme="minorHAnsi"/>
                <w:sz w:val="20"/>
                <w:szCs w:val="20"/>
              </w:rPr>
            </w:pPr>
            <w:r w:rsidRPr="006241B3">
              <w:rPr>
                <w:rFonts w:asciiTheme="minorHAnsi" w:hAnsiTheme="minorHAnsi" w:cstheme="minorHAnsi"/>
                <w:sz w:val="20"/>
                <w:szCs w:val="20"/>
              </w:rPr>
              <w:t>The joint reform policy matrix that underpins Tonga's own economic reform program that is linked to budget support and technical assistance from development partners, including Australia, incentivises and enables Tonga to progress these reforms.</w:t>
            </w:r>
          </w:p>
        </w:tc>
        <w:tc>
          <w:tcPr>
            <w:tcW w:w="556" w:type="pct"/>
            <w:tcBorders>
              <w:top w:val="single" w:sz="4" w:space="0" w:color="auto"/>
              <w:left w:val="single" w:sz="4" w:space="0" w:color="auto"/>
              <w:bottom w:val="single" w:sz="4" w:space="0" w:color="auto"/>
              <w:right w:val="single" w:sz="4" w:space="0" w:color="auto"/>
            </w:tcBorders>
            <w:vAlign w:val="center"/>
          </w:tcPr>
          <w:p w:rsidR="000965F7" w:rsidRPr="006241B3" w:rsidRDefault="006D3316" w:rsidP="00605055">
            <w:pPr>
              <w:spacing w:before="120"/>
              <w:jc w:val="center"/>
              <w:rPr>
                <w:rFonts w:asciiTheme="minorHAnsi" w:hAnsiTheme="minorHAnsi" w:cstheme="minorHAnsi"/>
                <w:sz w:val="20"/>
                <w:szCs w:val="20"/>
              </w:rPr>
            </w:pPr>
            <w:r w:rsidRPr="006241B3">
              <w:rPr>
                <w:rFonts w:asciiTheme="minorHAnsi" w:hAnsiTheme="minorHAnsi" w:cstheme="minorHAnsi"/>
                <w:sz w:val="20"/>
                <w:szCs w:val="20"/>
              </w:rPr>
              <w:t>Moderate</w:t>
            </w:r>
          </w:p>
        </w:tc>
        <w:tc>
          <w:tcPr>
            <w:tcW w:w="456" w:type="pct"/>
            <w:tcBorders>
              <w:top w:val="single" w:sz="4" w:space="0" w:color="auto"/>
              <w:left w:val="single" w:sz="4" w:space="0" w:color="auto"/>
              <w:bottom w:val="single" w:sz="4" w:space="0" w:color="auto"/>
              <w:right w:val="single" w:sz="4" w:space="0" w:color="auto"/>
            </w:tcBorders>
            <w:vAlign w:val="center"/>
          </w:tcPr>
          <w:p w:rsidR="000965F7" w:rsidRPr="006241B3" w:rsidRDefault="006D3316" w:rsidP="00605055">
            <w:pPr>
              <w:spacing w:before="120"/>
              <w:jc w:val="center"/>
              <w:rPr>
                <w:rFonts w:asciiTheme="minorHAnsi" w:hAnsiTheme="minorHAnsi" w:cstheme="minorHAnsi"/>
                <w:sz w:val="20"/>
                <w:szCs w:val="20"/>
              </w:rPr>
            </w:pPr>
            <w:r w:rsidRPr="006241B3">
              <w:rPr>
                <w:rFonts w:asciiTheme="minorHAnsi" w:hAnsiTheme="minorHAnsi" w:cstheme="minorHAnsi"/>
                <w:sz w:val="20"/>
                <w:szCs w:val="20"/>
              </w:rPr>
              <w:t>Unlikely</w:t>
            </w:r>
          </w:p>
        </w:tc>
        <w:tc>
          <w:tcPr>
            <w:tcW w:w="506" w:type="pct"/>
            <w:tcBorders>
              <w:top w:val="single" w:sz="4" w:space="0" w:color="auto"/>
              <w:left w:val="single" w:sz="4" w:space="0" w:color="auto"/>
              <w:bottom w:val="single" w:sz="4" w:space="0" w:color="auto"/>
              <w:right w:val="single" w:sz="4" w:space="0" w:color="auto"/>
            </w:tcBorders>
            <w:vAlign w:val="center"/>
          </w:tcPr>
          <w:p w:rsidR="000965F7" w:rsidRPr="006241B3" w:rsidRDefault="006D3316" w:rsidP="00605055">
            <w:pPr>
              <w:spacing w:before="120"/>
              <w:jc w:val="center"/>
              <w:rPr>
                <w:rFonts w:asciiTheme="minorHAnsi" w:hAnsiTheme="minorHAnsi" w:cstheme="minorHAnsi"/>
                <w:sz w:val="20"/>
                <w:szCs w:val="20"/>
              </w:rPr>
            </w:pPr>
            <w:r w:rsidRPr="006241B3">
              <w:rPr>
                <w:rFonts w:asciiTheme="minorHAnsi" w:hAnsiTheme="minorHAnsi" w:cstheme="minorHAnsi"/>
                <w:sz w:val="20"/>
                <w:szCs w:val="20"/>
              </w:rPr>
              <w:t>Moderate</w:t>
            </w:r>
          </w:p>
        </w:tc>
      </w:tr>
      <w:tr w:rsidR="00DE3C04" w:rsidRPr="00553AAE" w:rsidTr="00DE3C04">
        <w:trPr>
          <w:trHeight w:val="841"/>
        </w:trPr>
        <w:tc>
          <w:tcPr>
            <w:tcW w:w="798" w:type="pct"/>
            <w:tcBorders>
              <w:top w:val="single" w:sz="4" w:space="0" w:color="auto"/>
              <w:left w:val="single" w:sz="4" w:space="0" w:color="auto"/>
              <w:bottom w:val="single" w:sz="4" w:space="0" w:color="auto"/>
              <w:right w:val="single" w:sz="4" w:space="0" w:color="auto"/>
            </w:tcBorders>
          </w:tcPr>
          <w:p w:rsidR="00DE3C04" w:rsidRPr="00553AAE" w:rsidRDefault="00DE3C04" w:rsidP="00553AAE">
            <w:pPr>
              <w:spacing w:before="120"/>
              <w:jc w:val="left"/>
              <w:rPr>
                <w:rFonts w:asciiTheme="minorHAnsi" w:hAnsiTheme="minorHAnsi" w:cstheme="minorHAnsi"/>
                <w:sz w:val="20"/>
                <w:szCs w:val="20"/>
              </w:rPr>
            </w:pPr>
          </w:p>
        </w:tc>
        <w:tc>
          <w:tcPr>
            <w:tcW w:w="253"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553AAE">
            <w:pPr>
              <w:spacing w:before="120"/>
              <w:jc w:val="left"/>
              <w:rPr>
                <w:rFonts w:asciiTheme="minorHAnsi" w:hAnsiTheme="minorHAnsi" w:cstheme="minorHAnsi"/>
                <w:sz w:val="20"/>
                <w:szCs w:val="20"/>
              </w:rPr>
            </w:pPr>
            <w:r>
              <w:rPr>
                <w:rFonts w:asciiTheme="minorHAnsi" w:hAnsiTheme="minorHAnsi" w:cstheme="minorHAnsi"/>
                <w:sz w:val="20"/>
                <w:szCs w:val="20"/>
              </w:rPr>
              <w:t>2.</w:t>
            </w:r>
            <w:r w:rsidR="000965F7">
              <w:rPr>
                <w:rFonts w:asciiTheme="minorHAnsi" w:hAnsiTheme="minorHAnsi" w:cstheme="minorHAnsi"/>
                <w:sz w:val="20"/>
                <w:szCs w:val="20"/>
              </w:rPr>
              <w:t>3</w:t>
            </w:r>
          </w:p>
        </w:tc>
        <w:tc>
          <w:tcPr>
            <w:tcW w:w="1114" w:type="pct"/>
            <w:tcBorders>
              <w:top w:val="single" w:sz="4" w:space="0" w:color="auto"/>
              <w:left w:val="single" w:sz="4" w:space="0" w:color="auto"/>
              <w:bottom w:val="single" w:sz="4" w:space="0" w:color="auto"/>
              <w:right w:val="single" w:sz="4" w:space="0" w:color="auto"/>
            </w:tcBorders>
            <w:hideMark/>
          </w:tcPr>
          <w:p w:rsidR="00DE3C04" w:rsidRPr="00553AAE" w:rsidRDefault="00DE3C04" w:rsidP="00D12BDB">
            <w:pPr>
              <w:spacing w:before="120"/>
              <w:jc w:val="left"/>
              <w:rPr>
                <w:rFonts w:asciiTheme="minorHAnsi" w:hAnsiTheme="minorHAnsi" w:cstheme="minorHAnsi"/>
                <w:sz w:val="20"/>
                <w:szCs w:val="20"/>
              </w:rPr>
            </w:pPr>
            <w:r w:rsidRPr="00553AAE">
              <w:rPr>
                <w:rFonts w:asciiTheme="minorHAnsi" w:hAnsiTheme="minorHAnsi" w:cstheme="minorHAnsi"/>
                <w:sz w:val="20"/>
                <w:szCs w:val="20"/>
              </w:rPr>
              <w:t xml:space="preserve">Backlog of delayed acquittals and return of funds from GoT due to poor financial system practices and capacity results in AusAID being unable to account for funds and ensure funds </w:t>
            </w:r>
            <w:r>
              <w:rPr>
                <w:rFonts w:asciiTheme="minorHAnsi" w:hAnsiTheme="minorHAnsi" w:cstheme="minorHAnsi"/>
                <w:sz w:val="20"/>
                <w:szCs w:val="20"/>
              </w:rPr>
              <w:t>are</w:t>
            </w:r>
            <w:r w:rsidRPr="00553AAE">
              <w:rPr>
                <w:rFonts w:asciiTheme="minorHAnsi" w:hAnsiTheme="minorHAnsi" w:cstheme="minorHAnsi"/>
                <w:sz w:val="20"/>
                <w:szCs w:val="20"/>
              </w:rPr>
              <w:t xml:space="preserve"> used as agreed</w:t>
            </w:r>
          </w:p>
        </w:tc>
        <w:tc>
          <w:tcPr>
            <w:tcW w:w="1317" w:type="pct"/>
            <w:tcBorders>
              <w:top w:val="single" w:sz="4" w:space="0" w:color="auto"/>
              <w:left w:val="single" w:sz="4" w:space="0" w:color="auto"/>
              <w:bottom w:val="single" w:sz="4" w:space="0" w:color="auto"/>
              <w:right w:val="single" w:sz="4" w:space="0" w:color="auto"/>
            </w:tcBorders>
            <w:hideMark/>
          </w:tcPr>
          <w:p w:rsidR="00DE3C04" w:rsidRDefault="00DE3C04"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Short-term technical assistance</w:t>
            </w:r>
          </w:p>
          <w:p w:rsidR="00DE3C04" w:rsidRPr="00553AAE" w:rsidRDefault="00DE3C04"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br/>
              <w:t>With-holding of disbursement of funds until reporting obligations have been met</w:t>
            </w:r>
          </w:p>
        </w:tc>
        <w:tc>
          <w:tcPr>
            <w:tcW w:w="55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605055">
            <w:pPr>
              <w:spacing w:before="120"/>
              <w:jc w:val="center"/>
              <w:rPr>
                <w:rFonts w:asciiTheme="minorHAnsi" w:hAnsiTheme="minorHAnsi" w:cstheme="minorHAnsi"/>
                <w:sz w:val="20"/>
                <w:szCs w:val="20"/>
              </w:rPr>
            </w:pPr>
            <w:r>
              <w:rPr>
                <w:rFonts w:asciiTheme="minorHAnsi" w:hAnsiTheme="minorHAnsi" w:cstheme="minorHAnsi"/>
                <w:sz w:val="20"/>
                <w:szCs w:val="20"/>
              </w:rPr>
              <w:t>Moderate</w:t>
            </w:r>
          </w:p>
        </w:tc>
        <w:tc>
          <w:tcPr>
            <w:tcW w:w="45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605055">
            <w:pPr>
              <w:spacing w:before="120"/>
              <w:jc w:val="center"/>
              <w:rPr>
                <w:rFonts w:asciiTheme="minorHAnsi" w:hAnsiTheme="minorHAnsi" w:cstheme="minorHAnsi"/>
                <w:sz w:val="20"/>
                <w:szCs w:val="20"/>
              </w:rPr>
            </w:pPr>
            <w:r>
              <w:rPr>
                <w:rFonts w:asciiTheme="minorHAnsi" w:hAnsiTheme="minorHAnsi" w:cstheme="minorHAnsi"/>
                <w:sz w:val="20"/>
                <w:szCs w:val="20"/>
              </w:rPr>
              <w:t>Possible</w:t>
            </w:r>
          </w:p>
        </w:tc>
        <w:tc>
          <w:tcPr>
            <w:tcW w:w="50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605055">
            <w:pPr>
              <w:spacing w:before="120"/>
              <w:jc w:val="center"/>
              <w:rPr>
                <w:rFonts w:asciiTheme="minorHAnsi" w:hAnsiTheme="minorHAnsi" w:cstheme="minorHAnsi"/>
                <w:sz w:val="20"/>
                <w:szCs w:val="20"/>
              </w:rPr>
            </w:pPr>
            <w:r>
              <w:rPr>
                <w:rFonts w:asciiTheme="minorHAnsi" w:hAnsiTheme="minorHAnsi" w:cstheme="minorHAnsi"/>
                <w:sz w:val="20"/>
                <w:szCs w:val="20"/>
              </w:rPr>
              <w:t>High</w:t>
            </w:r>
          </w:p>
        </w:tc>
      </w:tr>
      <w:tr w:rsidR="00DE3C04" w:rsidRPr="00553AAE" w:rsidTr="00626D18">
        <w:trPr>
          <w:trHeight w:val="1440"/>
        </w:trPr>
        <w:tc>
          <w:tcPr>
            <w:tcW w:w="798" w:type="pct"/>
            <w:tcBorders>
              <w:top w:val="single" w:sz="4" w:space="0" w:color="auto"/>
              <w:left w:val="single" w:sz="4" w:space="0" w:color="auto"/>
              <w:bottom w:val="single" w:sz="4" w:space="0" w:color="auto"/>
              <w:right w:val="single" w:sz="4" w:space="0" w:color="auto"/>
            </w:tcBorders>
            <w:hideMark/>
          </w:tcPr>
          <w:p w:rsidR="00DE3C04" w:rsidRPr="00553AAE" w:rsidRDefault="00DE3C04"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 </w:t>
            </w:r>
          </w:p>
        </w:tc>
        <w:tc>
          <w:tcPr>
            <w:tcW w:w="253"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553AAE">
            <w:pPr>
              <w:spacing w:before="120"/>
              <w:jc w:val="left"/>
              <w:rPr>
                <w:rFonts w:asciiTheme="minorHAnsi" w:hAnsiTheme="minorHAnsi" w:cstheme="minorHAnsi"/>
                <w:sz w:val="20"/>
                <w:szCs w:val="20"/>
              </w:rPr>
            </w:pPr>
            <w:r>
              <w:rPr>
                <w:rFonts w:asciiTheme="minorHAnsi" w:hAnsiTheme="minorHAnsi" w:cstheme="minorHAnsi"/>
                <w:sz w:val="20"/>
                <w:szCs w:val="20"/>
              </w:rPr>
              <w:t>2.</w:t>
            </w:r>
            <w:r w:rsidR="000965F7">
              <w:rPr>
                <w:rFonts w:asciiTheme="minorHAnsi" w:hAnsiTheme="minorHAnsi" w:cstheme="minorHAnsi"/>
                <w:sz w:val="20"/>
                <w:szCs w:val="20"/>
              </w:rPr>
              <w:t>4</w:t>
            </w:r>
          </w:p>
        </w:tc>
        <w:tc>
          <w:tcPr>
            <w:tcW w:w="1114" w:type="pct"/>
            <w:tcBorders>
              <w:top w:val="single" w:sz="4" w:space="0" w:color="auto"/>
              <w:left w:val="single" w:sz="4" w:space="0" w:color="auto"/>
              <w:bottom w:val="single" w:sz="4" w:space="0" w:color="auto"/>
              <w:right w:val="single" w:sz="4" w:space="0" w:color="auto"/>
            </w:tcBorders>
            <w:hideMark/>
          </w:tcPr>
          <w:p w:rsidR="00DE3C04" w:rsidRPr="00553AAE" w:rsidRDefault="00DE3C04"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Poor procurement practices due to lack of understanding of and capacity to implement processes results in AusAID being unable to ensure best value for money and could lead to corrupt practices</w:t>
            </w:r>
          </w:p>
        </w:tc>
        <w:tc>
          <w:tcPr>
            <w:tcW w:w="1317" w:type="pct"/>
            <w:tcBorders>
              <w:top w:val="single" w:sz="4" w:space="0" w:color="auto"/>
              <w:left w:val="single" w:sz="4" w:space="0" w:color="auto"/>
              <w:bottom w:val="single" w:sz="4" w:space="0" w:color="auto"/>
              <w:right w:val="single" w:sz="4" w:space="0" w:color="auto"/>
            </w:tcBorders>
            <w:hideMark/>
          </w:tcPr>
          <w:p w:rsidR="00DE3C04" w:rsidRPr="00553AAE" w:rsidRDefault="00DE3C04"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Annual sample audit</w:t>
            </w:r>
            <w:r w:rsidR="002E75FF">
              <w:rPr>
                <w:rFonts w:asciiTheme="minorHAnsi" w:hAnsiTheme="minorHAnsi" w:cstheme="minorHAnsi"/>
                <w:sz w:val="20"/>
                <w:szCs w:val="20"/>
              </w:rPr>
              <w:t xml:space="preserve"> of AusAID-funded GoT procurements</w:t>
            </w:r>
          </w:p>
        </w:tc>
        <w:tc>
          <w:tcPr>
            <w:tcW w:w="55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605055">
            <w:pPr>
              <w:spacing w:before="120"/>
              <w:jc w:val="center"/>
              <w:rPr>
                <w:rFonts w:asciiTheme="minorHAnsi" w:hAnsiTheme="minorHAnsi" w:cstheme="minorHAnsi"/>
                <w:sz w:val="20"/>
                <w:szCs w:val="20"/>
              </w:rPr>
            </w:pPr>
            <w:r>
              <w:rPr>
                <w:rFonts w:asciiTheme="minorHAnsi" w:hAnsiTheme="minorHAnsi" w:cstheme="minorHAnsi"/>
                <w:sz w:val="20"/>
                <w:szCs w:val="20"/>
              </w:rPr>
              <w:t>Moderate</w:t>
            </w:r>
          </w:p>
        </w:tc>
        <w:tc>
          <w:tcPr>
            <w:tcW w:w="45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605055">
            <w:pPr>
              <w:spacing w:before="120"/>
              <w:jc w:val="center"/>
              <w:rPr>
                <w:rFonts w:asciiTheme="minorHAnsi" w:hAnsiTheme="minorHAnsi" w:cstheme="minorHAnsi"/>
                <w:sz w:val="20"/>
                <w:szCs w:val="20"/>
              </w:rPr>
            </w:pPr>
            <w:r>
              <w:rPr>
                <w:rFonts w:asciiTheme="minorHAnsi" w:hAnsiTheme="minorHAnsi" w:cstheme="minorHAnsi"/>
                <w:sz w:val="20"/>
                <w:szCs w:val="20"/>
              </w:rPr>
              <w:t>Possible</w:t>
            </w:r>
          </w:p>
        </w:tc>
        <w:tc>
          <w:tcPr>
            <w:tcW w:w="50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605055">
            <w:pPr>
              <w:spacing w:before="120"/>
              <w:jc w:val="center"/>
              <w:rPr>
                <w:rFonts w:asciiTheme="minorHAnsi" w:hAnsiTheme="minorHAnsi" w:cstheme="minorHAnsi"/>
                <w:sz w:val="20"/>
                <w:szCs w:val="20"/>
              </w:rPr>
            </w:pPr>
            <w:r>
              <w:rPr>
                <w:rFonts w:asciiTheme="minorHAnsi" w:hAnsiTheme="minorHAnsi" w:cstheme="minorHAnsi"/>
                <w:sz w:val="20"/>
                <w:szCs w:val="20"/>
              </w:rPr>
              <w:t>High</w:t>
            </w:r>
          </w:p>
        </w:tc>
      </w:tr>
      <w:tr w:rsidR="00DE3C04" w:rsidRPr="00553AAE" w:rsidTr="00626D18">
        <w:trPr>
          <w:trHeight w:val="416"/>
        </w:trPr>
        <w:tc>
          <w:tcPr>
            <w:tcW w:w="798" w:type="pct"/>
            <w:tcBorders>
              <w:top w:val="single" w:sz="4" w:space="0" w:color="auto"/>
              <w:left w:val="single" w:sz="4" w:space="0" w:color="auto"/>
              <w:bottom w:val="single" w:sz="4" w:space="0" w:color="auto"/>
              <w:right w:val="single" w:sz="4" w:space="0" w:color="auto"/>
            </w:tcBorders>
            <w:hideMark/>
          </w:tcPr>
          <w:p w:rsidR="00DE3C04" w:rsidRPr="00553AAE" w:rsidRDefault="00DE3C04"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 </w:t>
            </w:r>
          </w:p>
        </w:tc>
        <w:tc>
          <w:tcPr>
            <w:tcW w:w="253"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553AAE">
            <w:pPr>
              <w:spacing w:before="120"/>
              <w:jc w:val="left"/>
              <w:rPr>
                <w:rFonts w:asciiTheme="minorHAnsi" w:hAnsiTheme="minorHAnsi" w:cstheme="minorHAnsi"/>
                <w:sz w:val="20"/>
                <w:szCs w:val="20"/>
              </w:rPr>
            </w:pPr>
            <w:r>
              <w:rPr>
                <w:rFonts w:asciiTheme="minorHAnsi" w:hAnsiTheme="minorHAnsi" w:cstheme="minorHAnsi"/>
                <w:sz w:val="20"/>
                <w:szCs w:val="20"/>
              </w:rPr>
              <w:t>2.</w:t>
            </w:r>
            <w:r w:rsidR="000965F7">
              <w:rPr>
                <w:rFonts w:asciiTheme="minorHAnsi" w:hAnsiTheme="minorHAnsi" w:cstheme="minorHAnsi"/>
                <w:sz w:val="20"/>
                <w:szCs w:val="20"/>
              </w:rPr>
              <w:t>5</w:t>
            </w:r>
          </w:p>
        </w:tc>
        <w:tc>
          <w:tcPr>
            <w:tcW w:w="1114" w:type="pct"/>
            <w:tcBorders>
              <w:top w:val="single" w:sz="4" w:space="0" w:color="auto"/>
              <w:left w:val="single" w:sz="4" w:space="0" w:color="auto"/>
              <w:bottom w:val="single" w:sz="4" w:space="0" w:color="auto"/>
              <w:right w:val="single" w:sz="4" w:space="0" w:color="auto"/>
            </w:tcBorders>
            <w:hideMark/>
          </w:tcPr>
          <w:p w:rsidR="00DE3C04" w:rsidRPr="00553AAE" w:rsidRDefault="00DE3C04"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Expenditure to priority areas is diverted due to poor planning (such as the impending loan repayments to China) resulting in delays and failure to achieve improvements</w:t>
            </w:r>
          </w:p>
        </w:tc>
        <w:tc>
          <w:tcPr>
            <w:tcW w:w="1317" w:type="pct"/>
            <w:tcBorders>
              <w:top w:val="single" w:sz="4" w:space="0" w:color="auto"/>
              <w:left w:val="single" w:sz="4" w:space="0" w:color="auto"/>
              <w:bottom w:val="single" w:sz="4" w:space="0" w:color="auto"/>
              <w:right w:val="single" w:sz="4" w:space="0" w:color="auto"/>
            </w:tcBorders>
            <w:hideMark/>
          </w:tcPr>
          <w:p w:rsidR="00DE3C04" w:rsidRDefault="00DE3C04"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Linking of budget support to c</w:t>
            </w:r>
            <w:r>
              <w:rPr>
                <w:rFonts w:asciiTheme="minorHAnsi" w:hAnsiTheme="minorHAnsi" w:cstheme="minorHAnsi"/>
                <w:sz w:val="20"/>
                <w:szCs w:val="20"/>
              </w:rPr>
              <w:t>ore services sector expenditure</w:t>
            </w:r>
          </w:p>
          <w:p w:rsidR="00DE3C04" w:rsidRDefault="00DE3C04" w:rsidP="00626D18">
            <w:pPr>
              <w:jc w:val="left"/>
              <w:rPr>
                <w:rFonts w:asciiTheme="minorHAnsi" w:hAnsiTheme="minorHAnsi" w:cstheme="minorHAnsi"/>
                <w:sz w:val="20"/>
                <w:szCs w:val="20"/>
              </w:rPr>
            </w:pPr>
            <w:r w:rsidRPr="00553AAE">
              <w:rPr>
                <w:rFonts w:asciiTheme="minorHAnsi" w:hAnsiTheme="minorHAnsi" w:cstheme="minorHAnsi"/>
                <w:sz w:val="20"/>
                <w:szCs w:val="20"/>
              </w:rPr>
              <w:br/>
              <w:t>The World Bank monitor</w:t>
            </w:r>
            <w:r w:rsidR="002E75FF">
              <w:rPr>
                <w:rFonts w:asciiTheme="minorHAnsi" w:hAnsiTheme="minorHAnsi" w:cstheme="minorHAnsi"/>
                <w:sz w:val="20"/>
                <w:szCs w:val="20"/>
              </w:rPr>
              <w:t>s</w:t>
            </w:r>
            <w:r w:rsidRPr="00553AAE">
              <w:rPr>
                <w:rFonts w:asciiTheme="minorHAnsi" w:hAnsiTheme="minorHAnsi" w:cstheme="minorHAnsi"/>
                <w:sz w:val="20"/>
                <w:szCs w:val="20"/>
              </w:rPr>
              <w:t xml:space="preserve"> the GoT’s budget closely and, through ongoing dialogue with the GoT, help</w:t>
            </w:r>
            <w:r w:rsidR="002E75FF">
              <w:rPr>
                <w:rFonts w:asciiTheme="minorHAnsi" w:hAnsiTheme="minorHAnsi" w:cstheme="minorHAnsi"/>
                <w:sz w:val="20"/>
                <w:szCs w:val="20"/>
              </w:rPr>
              <w:t>s</w:t>
            </w:r>
            <w:r w:rsidRPr="00553AAE">
              <w:rPr>
                <w:rFonts w:asciiTheme="minorHAnsi" w:hAnsiTheme="minorHAnsi" w:cstheme="minorHAnsi"/>
                <w:sz w:val="20"/>
                <w:szCs w:val="20"/>
              </w:rPr>
              <w:t xml:space="preserve"> ensure that all donor budget support/sector budget support funds are being used for their intended purpose</w:t>
            </w:r>
          </w:p>
          <w:p w:rsidR="00DE3C04" w:rsidRDefault="00DE3C04" w:rsidP="00626D18">
            <w:pPr>
              <w:jc w:val="left"/>
              <w:rPr>
                <w:rFonts w:asciiTheme="minorHAnsi" w:hAnsiTheme="minorHAnsi" w:cstheme="minorHAnsi"/>
                <w:sz w:val="20"/>
                <w:szCs w:val="20"/>
              </w:rPr>
            </w:pPr>
            <w:r w:rsidRPr="00553AAE">
              <w:rPr>
                <w:rFonts w:asciiTheme="minorHAnsi" w:hAnsiTheme="minorHAnsi" w:cstheme="minorHAnsi"/>
                <w:sz w:val="20"/>
                <w:szCs w:val="20"/>
              </w:rPr>
              <w:br/>
              <w:t>Linking</w:t>
            </w:r>
            <w:r w:rsidR="002E75FF">
              <w:rPr>
                <w:rFonts w:asciiTheme="minorHAnsi" w:hAnsiTheme="minorHAnsi" w:cstheme="minorHAnsi"/>
                <w:sz w:val="20"/>
                <w:szCs w:val="20"/>
              </w:rPr>
              <w:t xml:space="preserve"> of</w:t>
            </w:r>
            <w:r w:rsidRPr="00553AAE">
              <w:rPr>
                <w:rFonts w:asciiTheme="minorHAnsi" w:hAnsiTheme="minorHAnsi" w:cstheme="minorHAnsi"/>
                <w:sz w:val="20"/>
                <w:szCs w:val="20"/>
              </w:rPr>
              <w:t xml:space="preserve"> the PLA measure to the World Bank Tonga Public Finance and Structural Reform Operation</w:t>
            </w:r>
          </w:p>
          <w:p w:rsidR="00DE3C04" w:rsidRDefault="00DE3C04" w:rsidP="00626D18">
            <w:pPr>
              <w:jc w:val="left"/>
              <w:rPr>
                <w:rFonts w:asciiTheme="minorHAnsi" w:hAnsiTheme="minorHAnsi" w:cstheme="minorHAnsi"/>
                <w:sz w:val="20"/>
                <w:szCs w:val="20"/>
              </w:rPr>
            </w:pPr>
            <w:r>
              <w:rPr>
                <w:rFonts w:asciiTheme="minorHAnsi" w:hAnsiTheme="minorHAnsi" w:cstheme="minorHAnsi"/>
                <w:sz w:val="20"/>
                <w:szCs w:val="20"/>
              </w:rPr>
              <w:br/>
            </w:r>
            <w:r w:rsidR="002E75FF">
              <w:rPr>
                <w:rFonts w:asciiTheme="minorHAnsi" w:hAnsiTheme="minorHAnsi" w:cstheme="minorHAnsi"/>
                <w:sz w:val="20"/>
                <w:szCs w:val="20"/>
              </w:rPr>
              <w:t>AusAID p</w:t>
            </w:r>
            <w:r>
              <w:rPr>
                <w:rFonts w:asciiTheme="minorHAnsi" w:hAnsiTheme="minorHAnsi" w:cstheme="minorHAnsi"/>
                <w:sz w:val="20"/>
                <w:szCs w:val="20"/>
              </w:rPr>
              <w:t>articipati</w:t>
            </w:r>
            <w:r w:rsidR="002E75FF">
              <w:rPr>
                <w:rFonts w:asciiTheme="minorHAnsi" w:hAnsiTheme="minorHAnsi" w:cstheme="minorHAnsi"/>
                <w:sz w:val="20"/>
                <w:szCs w:val="20"/>
              </w:rPr>
              <w:t>on</w:t>
            </w:r>
            <w:r w:rsidRPr="00553AAE">
              <w:rPr>
                <w:rFonts w:asciiTheme="minorHAnsi" w:hAnsiTheme="minorHAnsi" w:cstheme="minorHAnsi"/>
                <w:sz w:val="20"/>
                <w:szCs w:val="20"/>
              </w:rPr>
              <w:t xml:space="preserve"> in the World Bank’s </w:t>
            </w:r>
            <w:r w:rsidR="002E75FF">
              <w:rPr>
                <w:rFonts w:asciiTheme="minorHAnsi" w:hAnsiTheme="minorHAnsi" w:cstheme="minorHAnsi"/>
                <w:sz w:val="20"/>
                <w:szCs w:val="20"/>
              </w:rPr>
              <w:t>biannual monitoring</w:t>
            </w:r>
            <w:r w:rsidRPr="00553AAE">
              <w:rPr>
                <w:rFonts w:asciiTheme="minorHAnsi" w:hAnsiTheme="minorHAnsi" w:cstheme="minorHAnsi"/>
                <w:sz w:val="20"/>
                <w:szCs w:val="20"/>
              </w:rPr>
              <w:t xml:space="preserve"> missions</w:t>
            </w:r>
          </w:p>
          <w:p w:rsidR="00DE3C04" w:rsidRPr="00553AAE" w:rsidRDefault="00DE3C04" w:rsidP="00434C27">
            <w:pPr>
              <w:spacing w:before="120"/>
              <w:jc w:val="left"/>
              <w:rPr>
                <w:rFonts w:asciiTheme="minorHAnsi" w:hAnsiTheme="minorHAnsi" w:cstheme="minorHAnsi"/>
                <w:sz w:val="20"/>
                <w:szCs w:val="20"/>
              </w:rPr>
            </w:pPr>
            <w:r w:rsidRPr="00553AAE">
              <w:rPr>
                <w:rFonts w:asciiTheme="minorHAnsi" w:hAnsiTheme="minorHAnsi" w:cstheme="minorHAnsi"/>
                <w:sz w:val="20"/>
                <w:szCs w:val="20"/>
              </w:rPr>
              <w:t>Ministry of Revenue Corporate Plan</w:t>
            </w:r>
          </w:p>
        </w:tc>
        <w:tc>
          <w:tcPr>
            <w:tcW w:w="55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8E7DCF">
            <w:pPr>
              <w:spacing w:before="120"/>
              <w:jc w:val="center"/>
              <w:rPr>
                <w:rFonts w:asciiTheme="minorHAnsi" w:hAnsiTheme="minorHAnsi" w:cstheme="minorHAnsi"/>
                <w:sz w:val="20"/>
                <w:szCs w:val="20"/>
              </w:rPr>
            </w:pPr>
            <w:r>
              <w:rPr>
                <w:rFonts w:asciiTheme="minorHAnsi" w:hAnsiTheme="minorHAnsi" w:cstheme="minorHAnsi"/>
                <w:sz w:val="20"/>
                <w:szCs w:val="20"/>
              </w:rPr>
              <w:t>Moderate</w:t>
            </w:r>
          </w:p>
        </w:tc>
        <w:tc>
          <w:tcPr>
            <w:tcW w:w="45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8E7DCF">
            <w:pPr>
              <w:spacing w:before="120"/>
              <w:jc w:val="center"/>
              <w:rPr>
                <w:rFonts w:asciiTheme="minorHAnsi" w:hAnsiTheme="minorHAnsi" w:cstheme="minorHAnsi"/>
                <w:sz w:val="20"/>
                <w:szCs w:val="20"/>
              </w:rPr>
            </w:pPr>
            <w:r>
              <w:rPr>
                <w:rFonts w:asciiTheme="minorHAnsi" w:hAnsiTheme="minorHAnsi" w:cstheme="minorHAnsi"/>
                <w:sz w:val="20"/>
                <w:szCs w:val="20"/>
              </w:rPr>
              <w:t xml:space="preserve">Possible </w:t>
            </w:r>
          </w:p>
        </w:tc>
        <w:tc>
          <w:tcPr>
            <w:tcW w:w="50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8E7DCF">
            <w:pPr>
              <w:spacing w:before="120"/>
              <w:jc w:val="center"/>
              <w:rPr>
                <w:rFonts w:asciiTheme="minorHAnsi" w:hAnsiTheme="minorHAnsi" w:cstheme="minorHAnsi"/>
                <w:sz w:val="20"/>
                <w:szCs w:val="20"/>
              </w:rPr>
            </w:pPr>
            <w:r>
              <w:rPr>
                <w:rFonts w:asciiTheme="minorHAnsi" w:hAnsiTheme="minorHAnsi" w:cstheme="minorHAnsi"/>
                <w:sz w:val="20"/>
                <w:szCs w:val="20"/>
              </w:rPr>
              <w:t>High</w:t>
            </w:r>
          </w:p>
        </w:tc>
      </w:tr>
      <w:tr w:rsidR="00DE3C04" w:rsidRPr="00553AAE" w:rsidTr="00626D18">
        <w:trPr>
          <w:trHeight w:val="1833"/>
        </w:trPr>
        <w:tc>
          <w:tcPr>
            <w:tcW w:w="798" w:type="pct"/>
            <w:tcBorders>
              <w:top w:val="single" w:sz="4" w:space="0" w:color="auto"/>
              <w:left w:val="single" w:sz="4" w:space="0" w:color="auto"/>
              <w:bottom w:val="single" w:sz="4" w:space="0" w:color="auto"/>
              <w:right w:val="single" w:sz="4" w:space="0" w:color="auto"/>
            </w:tcBorders>
          </w:tcPr>
          <w:p w:rsidR="00DE3C04" w:rsidRPr="00553AAE" w:rsidRDefault="00DE3C04" w:rsidP="00553AAE">
            <w:pPr>
              <w:spacing w:before="120"/>
              <w:jc w:val="left"/>
              <w:rPr>
                <w:rFonts w:asciiTheme="minorHAnsi" w:hAnsiTheme="minorHAnsi" w:cstheme="minorHAnsi"/>
                <w:sz w:val="20"/>
                <w:szCs w:val="20"/>
              </w:rPr>
            </w:pPr>
          </w:p>
        </w:tc>
        <w:tc>
          <w:tcPr>
            <w:tcW w:w="253" w:type="pct"/>
            <w:tcBorders>
              <w:top w:val="single" w:sz="4" w:space="0" w:color="auto"/>
              <w:left w:val="single" w:sz="4" w:space="0" w:color="auto"/>
              <w:bottom w:val="single" w:sz="4" w:space="0" w:color="auto"/>
              <w:right w:val="single" w:sz="4" w:space="0" w:color="auto"/>
            </w:tcBorders>
            <w:vAlign w:val="center"/>
          </w:tcPr>
          <w:p w:rsidR="00DE3C04" w:rsidRPr="00553AAE" w:rsidRDefault="00DE3C04" w:rsidP="00553AAE">
            <w:pPr>
              <w:spacing w:before="120"/>
              <w:jc w:val="left"/>
              <w:rPr>
                <w:rFonts w:asciiTheme="minorHAnsi" w:hAnsiTheme="minorHAnsi" w:cstheme="minorHAnsi"/>
                <w:sz w:val="20"/>
                <w:szCs w:val="20"/>
              </w:rPr>
            </w:pPr>
            <w:r>
              <w:rPr>
                <w:rFonts w:asciiTheme="minorHAnsi" w:hAnsiTheme="minorHAnsi" w:cstheme="minorHAnsi"/>
                <w:sz w:val="20"/>
                <w:szCs w:val="20"/>
              </w:rPr>
              <w:t>2.</w:t>
            </w:r>
            <w:r w:rsidR="00B771A8">
              <w:rPr>
                <w:rFonts w:asciiTheme="minorHAnsi" w:hAnsiTheme="minorHAnsi" w:cstheme="minorHAnsi"/>
                <w:sz w:val="20"/>
                <w:szCs w:val="20"/>
              </w:rPr>
              <w:t>6</w:t>
            </w:r>
          </w:p>
        </w:tc>
        <w:tc>
          <w:tcPr>
            <w:tcW w:w="1114" w:type="pct"/>
            <w:tcBorders>
              <w:top w:val="single" w:sz="4" w:space="0" w:color="auto"/>
              <w:left w:val="single" w:sz="4" w:space="0" w:color="auto"/>
              <w:bottom w:val="single" w:sz="4" w:space="0" w:color="auto"/>
              <w:right w:val="single" w:sz="4" w:space="0" w:color="auto"/>
            </w:tcBorders>
          </w:tcPr>
          <w:p w:rsidR="00DE3C04" w:rsidRPr="00553AAE" w:rsidRDefault="00DE3C04" w:rsidP="00142814">
            <w:pPr>
              <w:spacing w:before="120"/>
              <w:jc w:val="left"/>
              <w:rPr>
                <w:rFonts w:asciiTheme="minorHAnsi" w:hAnsiTheme="minorHAnsi" w:cstheme="minorHAnsi"/>
                <w:sz w:val="20"/>
                <w:szCs w:val="20"/>
              </w:rPr>
            </w:pPr>
            <w:r>
              <w:rPr>
                <w:rFonts w:asciiTheme="minorHAnsi" w:hAnsiTheme="minorHAnsi" w:cstheme="minorHAnsi"/>
                <w:sz w:val="20"/>
                <w:szCs w:val="20"/>
              </w:rPr>
              <w:t>The skills and resources in the Statistics Department remain weak resulting in poor GoT data collection, analysis and reporting, and providing a limited body of evidence to inform partnership and policy dialogue.</w:t>
            </w:r>
          </w:p>
        </w:tc>
        <w:tc>
          <w:tcPr>
            <w:tcW w:w="1317" w:type="pct"/>
            <w:tcBorders>
              <w:top w:val="single" w:sz="4" w:space="0" w:color="auto"/>
              <w:left w:val="single" w:sz="4" w:space="0" w:color="auto"/>
              <w:bottom w:val="single" w:sz="4" w:space="0" w:color="auto"/>
              <w:right w:val="single" w:sz="4" w:space="0" w:color="auto"/>
            </w:tcBorders>
          </w:tcPr>
          <w:p w:rsidR="00DE3C04" w:rsidRPr="00553AAE" w:rsidRDefault="00DE3C04" w:rsidP="00553AAE">
            <w:pPr>
              <w:spacing w:before="120"/>
              <w:jc w:val="left"/>
              <w:rPr>
                <w:rFonts w:asciiTheme="minorHAnsi" w:hAnsiTheme="minorHAnsi" w:cstheme="minorHAnsi"/>
                <w:sz w:val="20"/>
                <w:szCs w:val="20"/>
              </w:rPr>
            </w:pPr>
            <w:r>
              <w:rPr>
                <w:rFonts w:asciiTheme="minorHAnsi" w:hAnsiTheme="minorHAnsi" w:cstheme="minorHAnsi"/>
                <w:sz w:val="20"/>
                <w:szCs w:val="20"/>
              </w:rPr>
              <w:t>Statistics Department Corporate Plans</w:t>
            </w:r>
          </w:p>
        </w:tc>
        <w:tc>
          <w:tcPr>
            <w:tcW w:w="556" w:type="pct"/>
            <w:tcBorders>
              <w:top w:val="single" w:sz="4" w:space="0" w:color="auto"/>
              <w:left w:val="single" w:sz="4" w:space="0" w:color="auto"/>
              <w:bottom w:val="single" w:sz="4" w:space="0" w:color="auto"/>
              <w:right w:val="single" w:sz="4" w:space="0" w:color="auto"/>
            </w:tcBorders>
            <w:vAlign w:val="center"/>
          </w:tcPr>
          <w:p w:rsidR="00DE3C04" w:rsidRDefault="00DE3C04" w:rsidP="008E7DCF">
            <w:pPr>
              <w:spacing w:before="120"/>
              <w:jc w:val="center"/>
              <w:rPr>
                <w:rFonts w:asciiTheme="minorHAnsi" w:hAnsiTheme="minorHAnsi" w:cstheme="minorHAnsi"/>
                <w:sz w:val="20"/>
                <w:szCs w:val="20"/>
              </w:rPr>
            </w:pPr>
            <w:r>
              <w:rPr>
                <w:rFonts w:asciiTheme="minorHAnsi" w:hAnsiTheme="minorHAnsi" w:cstheme="minorHAnsi"/>
                <w:sz w:val="20"/>
                <w:szCs w:val="20"/>
              </w:rPr>
              <w:t>Minor</w:t>
            </w:r>
          </w:p>
        </w:tc>
        <w:tc>
          <w:tcPr>
            <w:tcW w:w="456" w:type="pct"/>
            <w:tcBorders>
              <w:top w:val="single" w:sz="4" w:space="0" w:color="auto"/>
              <w:left w:val="single" w:sz="4" w:space="0" w:color="auto"/>
              <w:bottom w:val="single" w:sz="4" w:space="0" w:color="auto"/>
              <w:right w:val="single" w:sz="4" w:space="0" w:color="auto"/>
            </w:tcBorders>
            <w:vAlign w:val="center"/>
          </w:tcPr>
          <w:p w:rsidR="00DE3C04" w:rsidRDefault="00DE3C04" w:rsidP="008E7DCF">
            <w:pPr>
              <w:spacing w:before="120"/>
              <w:jc w:val="center"/>
              <w:rPr>
                <w:rFonts w:asciiTheme="minorHAnsi" w:hAnsiTheme="minorHAnsi" w:cstheme="minorHAnsi"/>
                <w:sz w:val="20"/>
                <w:szCs w:val="20"/>
              </w:rPr>
            </w:pPr>
            <w:r>
              <w:rPr>
                <w:rFonts w:asciiTheme="minorHAnsi" w:hAnsiTheme="minorHAnsi" w:cstheme="minorHAnsi"/>
                <w:sz w:val="20"/>
                <w:szCs w:val="20"/>
              </w:rPr>
              <w:t>Likely</w:t>
            </w:r>
          </w:p>
        </w:tc>
        <w:tc>
          <w:tcPr>
            <w:tcW w:w="506" w:type="pct"/>
            <w:tcBorders>
              <w:top w:val="single" w:sz="4" w:space="0" w:color="auto"/>
              <w:left w:val="single" w:sz="4" w:space="0" w:color="auto"/>
              <w:bottom w:val="single" w:sz="4" w:space="0" w:color="auto"/>
              <w:right w:val="single" w:sz="4" w:space="0" w:color="auto"/>
            </w:tcBorders>
            <w:vAlign w:val="center"/>
          </w:tcPr>
          <w:p w:rsidR="00DE3C04" w:rsidRDefault="00DE3C04" w:rsidP="008E7DCF">
            <w:pPr>
              <w:spacing w:before="120"/>
              <w:jc w:val="center"/>
              <w:rPr>
                <w:rFonts w:asciiTheme="minorHAnsi" w:hAnsiTheme="minorHAnsi" w:cstheme="minorHAnsi"/>
                <w:sz w:val="20"/>
                <w:szCs w:val="20"/>
              </w:rPr>
            </w:pPr>
            <w:r>
              <w:rPr>
                <w:rFonts w:asciiTheme="minorHAnsi" w:hAnsiTheme="minorHAnsi" w:cstheme="minorHAnsi"/>
                <w:sz w:val="20"/>
                <w:szCs w:val="20"/>
              </w:rPr>
              <w:t>Moderate</w:t>
            </w:r>
          </w:p>
        </w:tc>
      </w:tr>
      <w:tr w:rsidR="00DE3C04" w:rsidRPr="00553AAE" w:rsidTr="00626D18">
        <w:trPr>
          <w:trHeight w:val="274"/>
        </w:trPr>
        <w:tc>
          <w:tcPr>
            <w:tcW w:w="798" w:type="pct"/>
            <w:tcBorders>
              <w:top w:val="single" w:sz="4" w:space="0" w:color="auto"/>
              <w:left w:val="single" w:sz="4" w:space="0" w:color="auto"/>
              <w:bottom w:val="single" w:sz="4" w:space="0" w:color="auto"/>
              <w:right w:val="single" w:sz="4" w:space="0" w:color="auto"/>
            </w:tcBorders>
            <w:hideMark/>
          </w:tcPr>
          <w:p w:rsidR="00DE3C04" w:rsidRPr="00553AAE" w:rsidRDefault="00DE3C04"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3.  The majority of public enterprises reform and GoT agencies enable measureable development of the private sector</w:t>
            </w:r>
          </w:p>
        </w:tc>
        <w:tc>
          <w:tcPr>
            <w:tcW w:w="253"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 </w:t>
            </w:r>
          </w:p>
        </w:tc>
        <w:tc>
          <w:tcPr>
            <w:tcW w:w="1114" w:type="pct"/>
            <w:tcBorders>
              <w:top w:val="single" w:sz="4" w:space="0" w:color="auto"/>
              <w:left w:val="single" w:sz="4" w:space="0" w:color="auto"/>
              <w:bottom w:val="single" w:sz="4" w:space="0" w:color="auto"/>
              <w:right w:val="single" w:sz="4" w:space="0" w:color="auto"/>
            </w:tcBorders>
            <w:hideMark/>
          </w:tcPr>
          <w:p w:rsidR="00DE3C04" w:rsidRPr="00553AAE" w:rsidRDefault="00DE3C04"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 </w:t>
            </w:r>
          </w:p>
        </w:tc>
        <w:tc>
          <w:tcPr>
            <w:tcW w:w="1317" w:type="pct"/>
            <w:tcBorders>
              <w:top w:val="single" w:sz="4" w:space="0" w:color="auto"/>
              <w:left w:val="single" w:sz="4" w:space="0" w:color="auto"/>
              <w:bottom w:val="single" w:sz="4" w:space="0" w:color="auto"/>
              <w:right w:val="single" w:sz="4" w:space="0" w:color="auto"/>
            </w:tcBorders>
            <w:hideMark/>
          </w:tcPr>
          <w:p w:rsidR="00DE3C04" w:rsidRPr="00553AAE" w:rsidRDefault="00DE3C04"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 </w:t>
            </w:r>
          </w:p>
        </w:tc>
        <w:tc>
          <w:tcPr>
            <w:tcW w:w="55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8E7DCF">
            <w:pPr>
              <w:spacing w:before="120"/>
              <w:jc w:val="center"/>
              <w:rPr>
                <w:rFonts w:asciiTheme="minorHAnsi" w:hAnsiTheme="minorHAnsi" w:cstheme="minorHAnsi"/>
                <w:sz w:val="20"/>
                <w:szCs w:val="20"/>
              </w:rPr>
            </w:pPr>
          </w:p>
        </w:tc>
        <w:tc>
          <w:tcPr>
            <w:tcW w:w="45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8E7DCF">
            <w:pPr>
              <w:spacing w:before="120"/>
              <w:jc w:val="center"/>
              <w:rPr>
                <w:rFonts w:asciiTheme="minorHAnsi" w:hAnsiTheme="minorHAnsi" w:cstheme="minorHAnsi"/>
                <w:sz w:val="20"/>
                <w:szCs w:val="20"/>
              </w:rPr>
            </w:pPr>
          </w:p>
        </w:tc>
        <w:tc>
          <w:tcPr>
            <w:tcW w:w="50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8E7DCF">
            <w:pPr>
              <w:spacing w:before="120"/>
              <w:jc w:val="center"/>
              <w:rPr>
                <w:rFonts w:asciiTheme="minorHAnsi" w:hAnsiTheme="minorHAnsi" w:cstheme="minorHAnsi"/>
                <w:sz w:val="20"/>
                <w:szCs w:val="20"/>
              </w:rPr>
            </w:pPr>
          </w:p>
        </w:tc>
      </w:tr>
      <w:tr w:rsidR="00DE3C04" w:rsidRPr="00553AAE" w:rsidTr="00626D18">
        <w:trPr>
          <w:trHeight w:val="1837"/>
        </w:trPr>
        <w:tc>
          <w:tcPr>
            <w:tcW w:w="798" w:type="pct"/>
            <w:tcBorders>
              <w:top w:val="single" w:sz="4" w:space="0" w:color="auto"/>
              <w:left w:val="single" w:sz="4" w:space="0" w:color="auto"/>
              <w:bottom w:val="single" w:sz="4" w:space="0" w:color="auto"/>
              <w:right w:val="single" w:sz="4" w:space="0" w:color="auto"/>
            </w:tcBorders>
            <w:hideMark/>
          </w:tcPr>
          <w:p w:rsidR="00DE3C04" w:rsidRPr="00553AAE" w:rsidRDefault="00DE3C04"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4.  GoT agencies and development partners ensure a more coordinated approach to partnership for PFM reforms</w:t>
            </w:r>
          </w:p>
        </w:tc>
        <w:tc>
          <w:tcPr>
            <w:tcW w:w="253"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4.1</w:t>
            </w:r>
          </w:p>
        </w:tc>
        <w:tc>
          <w:tcPr>
            <w:tcW w:w="1114" w:type="pct"/>
            <w:tcBorders>
              <w:top w:val="single" w:sz="4" w:space="0" w:color="auto"/>
              <w:left w:val="single" w:sz="4" w:space="0" w:color="auto"/>
              <w:bottom w:val="single" w:sz="4" w:space="0" w:color="auto"/>
              <w:right w:val="single" w:sz="4" w:space="0" w:color="auto"/>
            </w:tcBorders>
            <w:hideMark/>
          </w:tcPr>
          <w:p w:rsidR="00DE3C04" w:rsidRPr="00553AAE" w:rsidRDefault="00DE3C04" w:rsidP="001D2D21">
            <w:pPr>
              <w:spacing w:before="120"/>
              <w:jc w:val="left"/>
              <w:rPr>
                <w:rFonts w:asciiTheme="minorHAnsi" w:hAnsiTheme="minorHAnsi" w:cstheme="minorHAnsi"/>
                <w:sz w:val="20"/>
                <w:szCs w:val="20"/>
              </w:rPr>
            </w:pPr>
            <w:r w:rsidRPr="00553AAE">
              <w:rPr>
                <w:rFonts w:asciiTheme="minorHAnsi" w:hAnsiTheme="minorHAnsi" w:cstheme="minorHAnsi"/>
                <w:sz w:val="20"/>
                <w:szCs w:val="20"/>
              </w:rPr>
              <w:t>Current technical assistance model underperforms due to the wrong people, wrong approach</w:t>
            </w:r>
            <w:r>
              <w:rPr>
                <w:rFonts w:asciiTheme="minorHAnsi" w:hAnsiTheme="minorHAnsi" w:cstheme="minorHAnsi"/>
                <w:sz w:val="20"/>
                <w:szCs w:val="20"/>
              </w:rPr>
              <w:t>, ineffective performance management</w:t>
            </w:r>
            <w:r w:rsidRPr="00553AAE">
              <w:rPr>
                <w:rFonts w:asciiTheme="minorHAnsi" w:hAnsiTheme="minorHAnsi" w:cstheme="minorHAnsi"/>
                <w:sz w:val="20"/>
                <w:szCs w:val="20"/>
              </w:rPr>
              <w:t xml:space="preserve"> and lack of oversight resulting in lack of evidence of successful capacity building</w:t>
            </w:r>
          </w:p>
        </w:tc>
        <w:tc>
          <w:tcPr>
            <w:tcW w:w="1317" w:type="pct"/>
            <w:tcBorders>
              <w:top w:val="single" w:sz="4" w:space="0" w:color="auto"/>
              <w:left w:val="single" w:sz="4" w:space="0" w:color="auto"/>
              <w:bottom w:val="single" w:sz="4" w:space="0" w:color="auto"/>
              <w:right w:val="single" w:sz="4" w:space="0" w:color="auto"/>
            </w:tcBorders>
            <w:hideMark/>
          </w:tcPr>
          <w:p w:rsidR="00DE3C04" w:rsidRDefault="00DE3C04" w:rsidP="00553AAE">
            <w:pPr>
              <w:spacing w:before="120"/>
              <w:jc w:val="left"/>
              <w:rPr>
                <w:rFonts w:asciiTheme="minorHAnsi" w:hAnsiTheme="minorHAnsi" w:cstheme="minorHAnsi"/>
                <w:sz w:val="20"/>
                <w:szCs w:val="20"/>
              </w:rPr>
            </w:pPr>
            <w:r>
              <w:rPr>
                <w:rFonts w:asciiTheme="minorHAnsi" w:hAnsiTheme="minorHAnsi" w:cstheme="minorHAnsi"/>
                <w:sz w:val="20"/>
                <w:szCs w:val="20"/>
              </w:rPr>
              <w:t>Adviser Terms of Reference</w:t>
            </w:r>
          </w:p>
          <w:p w:rsidR="00DE3C04" w:rsidRPr="00553AAE" w:rsidRDefault="00E343DE" w:rsidP="00E343DE">
            <w:pPr>
              <w:spacing w:before="120"/>
              <w:jc w:val="left"/>
              <w:rPr>
                <w:rFonts w:asciiTheme="minorHAnsi" w:hAnsiTheme="minorHAnsi" w:cstheme="minorHAnsi"/>
                <w:sz w:val="20"/>
                <w:szCs w:val="20"/>
              </w:rPr>
            </w:pPr>
            <w:r>
              <w:rPr>
                <w:rFonts w:asciiTheme="minorHAnsi" w:hAnsiTheme="minorHAnsi" w:cstheme="minorHAnsi"/>
                <w:sz w:val="20"/>
                <w:szCs w:val="20"/>
              </w:rPr>
              <w:t>Annual A</w:t>
            </w:r>
            <w:r w:rsidR="00DE3C04">
              <w:rPr>
                <w:rFonts w:asciiTheme="minorHAnsi" w:hAnsiTheme="minorHAnsi" w:cstheme="minorHAnsi"/>
                <w:sz w:val="20"/>
                <w:szCs w:val="20"/>
              </w:rPr>
              <w:t>dviser Perfor</w:t>
            </w:r>
            <w:r w:rsidR="00AA1ADF">
              <w:rPr>
                <w:rFonts w:asciiTheme="minorHAnsi" w:hAnsiTheme="minorHAnsi" w:cstheme="minorHAnsi"/>
                <w:sz w:val="20"/>
                <w:szCs w:val="20"/>
              </w:rPr>
              <w:t>mance Assessments</w:t>
            </w:r>
          </w:p>
        </w:tc>
        <w:tc>
          <w:tcPr>
            <w:tcW w:w="55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6E7427">
            <w:pPr>
              <w:spacing w:before="120"/>
              <w:jc w:val="center"/>
              <w:rPr>
                <w:rFonts w:asciiTheme="minorHAnsi" w:hAnsiTheme="minorHAnsi" w:cstheme="minorHAnsi"/>
                <w:sz w:val="20"/>
                <w:szCs w:val="20"/>
              </w:rPr>
            </w:pPr>
            <w:r>
              <w:rPr>
                <w:rFonts w:asciiTheme="minorHAnsi" w:hAnsiTheme="minorHAnsi" w:cstheme="minorHAnsi"/>
                <w:sz w:val="20"/>
                <w:szCs w:val="20"/>
              </w:rPr>
              <w:t>Minor</w:t>
            </w:r>
          </w:p>
        </w:tc>
        <w:tc>
          <w:tcPr>
            <w:tcW w:w="45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6E7427">
            <w:pPr>
              <w:spacing w:before="120"/>
              <w:jc w:val="center"/>
              <w:rPr>
                <w:rFonts w:asciiTheme="minorHAnsi" w:hAnsiTheme="minorHAnsi" w:cstheme="minorHAnsi"/>
                <w:sz w:val="20"/>
                <w:szCs w:val="20"/>
              </w:rPr>
            </w:pPr>
            <w:r>
              <w:rPr>
                <w:rFonts w:asciiTheme="minorHAnsi" w:hAnsiTheme="minorHAnsi" w:cstheme="minorHAnsi"/>
                <w:sz w:val="20"/>
                <w:szCs w:val="20"/>
              </w:rPr>
              <w:t>Possible</w:t>
            </w:r>
          </w:p>
        </w:tc>
        <w:tc>
          <w:tcPr>
            <w:tcW w:w="506" w:type="pct"/>
            <w:tcBorders>
              <w:top w:val="single" w:sz="4" w:space="0" w:color="auto"/>
              <w:left w:val="single" w:sz="4" w:space="0" w:color="auto"/>
              <w:bottom w:val="single" w:sz="4" w:space="0" w:color="auto"/>
              <w:right w:val="single" w:sz="4" w:space="0" w:color="auto"/>
            </w:tcBorders>
            <w:vAlign w:val="center"/>
            <w:hideMark/>
          </w:tcPr>
          <w:p w:rsidR="00DE3C04" w:rsidRPr="00553AAE" w:rsidRDefault="00DE3C04" w:rsidP="006E7427">
            <w:pPr>
              <w:spacing w:before="120"/>
              <w:jc w:val="center"/>
              <w:rPr>
                <w:rFonts w:asciiTheme="minorHAnsi" w:hAnsiTheme="minorHAnsi" w:cstheme="minorHAnsi"/>
                <w:sz w:val="20"/>
                <w:szCs w:val="20"/>
              </w:rPr>
            </w:pPr>
            <w:r>
              <w:rPr>
                <w:rFonts w:asciiTheme="minorHAnsi" w:hAnsiTheme="minorHAnsi" w:cstheme="minorHAnsi"/>
                <w:sz w:val="20"/>
                <w:szCs w:val="20"/>
              </w:rPr>
              <w:t>Moderate</w:t>
            </w:r>
          </w:p>
        </w:tc>
      </w:tr>
      <w:tr w:rsidR="00DE3C04" w:rsidRPr="00553AAE" w:rsidTr="00107A18">
        <w:trPr>
          <w:trHeight w:val="274"/>
        </w:trPr>
        <w:tc>
          <w:tcPr>
            <w:tcW w:w="798" w:type="pct"/>
            <w:tcBorders>
              <w:top w:val="single" w:sz="4" w:space="0" w:color="auto"/>
              <w:left w:val="single" w:sz="4" w:space="0" w:color="auto"/>
              <w:bottom w:val="single" w:sz="4" w:space="0" w:color="auto"/>
              <w:right w:val="single" w:sz="4" w:space="0" w:color="auto"/>
            </w:tcBorders>
            <w:hideMark/>
          </w:tcPr>
          <w:p w:rsidR="00DE3C04" w:rsidRPr="00553AAE" w:rsidRDefault="00DE3C04"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 </w:t>
            </w:r>
          </w:p>
        </w:tc>
        <w:tc>
          <w:tcPr>
            <w:tcW w:w="253" w:type="pct"/>
            <w:tcBorders>
              <w:top w:val="single" w:sz="4" w:space="0" w:color="auto"/>
              <w:left w:val="nil"/>
              <w:bottom w:val="single" w:sz="4" w:space="0" w:color="auto"/>
              <w:right w:val="single" w:sz="4" w:space="0" w:color="auto"/>
            </w:tcBorders>
            <w:vAlign w:val="center"/>
            <w:hideMark/>
          </w:tcPr>
          <w:p w:rsidR="00DE3C04" w:rsidRPr="00553AAE" w:rsidRDefault="00DE3C04"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4.2</w:t>
            </w:r>
          </w:p>
        </w:tc>
        <w:tc>
          <w:tcPr>
            <w:tcW w:w="1114" w:type="pct"/>
            <w:tcBorders>
              <w:top w:val="single" w:sz="4" w:space="0" w:color="auto"/>
              <w:left w:val="nil"/>
              <w:bottom w:val="single" w:sz="4" w:space="0" w:color="auto"/>
              <w:right w:val="single" w:sz="4" w:space="0" w:color="auto"/>
            </w:tcBorders>
            <w:hideMark/>
          </w:tcPr>
          <w:p w:rsidR="00DE3C04" w:rsidRPr="00553AAE" w:rsidRDefault="00DE3C04" w:rsidP="00553AAE">
            <w:pPr>
              <w:spacing w:before="120"/>
              <w:jc w:val="left"/>
              <w:rPr>
                <w:rFonts w:asciiTheme="minorHAnsi" w:hAnsiTheme="minorHAnsi" w:cstheme="minorHAnsi"/>
                <w:sz w:val="20"/>
                <w:szCs w:val="20"/>
              </w:rPr>
            </w:pPr>
            <w:r w:rsidRPr="00553AAE">
              <w:rPr>
                <w:rFonts w:asciiTheme="minorHAnsi" w:hAnsiTheme="minorHAnsi" w:cstheme="minorHAnsi"/>
                <w:sz w:val="20"/>
                <w:szCs w:val="20"/>
              </w:rPr>
              <w:t>The program becomes ad hoc and lacks strategic direction due to the EPSG program lacking accountability resulting in poor efficiency in the delivery of Australian aid</w:t>
            </w:r>
          </w:p>
        </w:tc>
        <w:tc>
          <w:tcPr>
            <w:tcW w:w="1317" w:type="pct"/>
            <w:tcBorders>
              <w:top w:val="single" w:sz="4" w:space="0" w:color="auto"/>
              <w:left w:val="nil"/>
              <w:bottom w:val="single" w:sz="4" w:space="0" w:color="auto"/>
              <w:right w:val="single" w:sz="4" w:space="0" w:color="auto"/>
            </w:tcBorders>
            <w:hideMark/>
          </w:tcPr>
          <w:p w:rsidR="00DE3C04" w:rsidRPr="00553AAE" w:rsidRDefault="00703198" w:rsidP="00703198">
            <w:pPr>
              <w:spacing w:before="120"/>
              <w:jc w:val="left"/>
              <w:rPr>
                <w:rFonts w:asciiTheme="minorHAnsi" w:hAnsiTheme="minorHAnsi" w:cstheme="minorHAnsi"/>
                <w:sz w:val="20"/>
                <w:szCs w:val="20"/>
              </w:rPr>
            </w:pPr>
            <w:r>
              <w:rPr>
                <w:rFonts w:asciiTheme="minorHAnsi" w:hAnsiTheme="minorHAnsi" w:cstheme="minorHAnsi"/>
                <w:sz w:val="20"/>
                <w:szCs w:val="20"/>
              </w:rPr>
              <w:t>The j</w:t>
            </w:r>
            <w:r w:rsidR="00DE3C04" w:rsidRPr="00553AAE">
              <w:rPr>
                <w:rFonts w:asciiTheme="minorHAnsi" w:hAnsiTheme="minorHAnsi" w:cstheme="minorHAnsi"/>
                <w:sz w:val="20"/>
                <w:szCs w:val="20"/>
              </w:rPr>
              <w:t xml:space="preserve">oint </w:t>
            </w:r>
            <w:r w:rsidR="00DE3C04">
              <w:rPr>
                <w:rFonts w:asciiTheme="minorHAnsi" w:hAnsiTheme="minorHAnsi" w:cstheme="minorHAnsi"/>
                <w:sz w:val="20"/>
                <w:szCs w:val="20"/>
              </w:rPr>
              <w:t>P</w:t>
            </w:r>
            <w:r w:rsidR="00DE3C04" w:rsidRPr="00553AAE">
              <w:rPr>
                <w:rFonts w:asciiTheme="minorHAnsi" w:hAnsiTheme="minorHAnsi" w:cstheme="minorHAnsi"/>
                <w:sz w:val="20"/>
                <w:szCs w:val="20"/>
              </w:rPr>
              <w:t xml:space="preserve">olicy </w:t>
            </w:r>
            <w:r w:rsidR="00DE3C04">
              <w:rPr>
                <w:rFonts w:asciiTheme="minorHAnsi" w:hAnsiTheme="minorHAnsi" w:cstheme="minorHAnsi"/>
                <w:sz w:val="20"/>
                <w:szCs w:val="20"/>
              </w:rPr>
              <w:t>Reform M</w:t>
            </w:r>
            <w:r w:rsidR="00DE3C04" w:rsidRPr="00553AAE">
              <w:rPr>
                <w:rFonts w:asciiTheme="minorHAnsi" w:hAnsiTheme="minorHAnsi" w:cstheme="minorHAnsi"/>
                <w:sz w:val="20"/>
                <w:szCs w:val="20"/>
              </w:rPr>
              <w:t>atrix</w:t>
            </w:r>
            <w:r>
              <w:rPr>
                <w:rFonts w:asciiTheme="minorHAnsi" w:hAnsiTheme="minorHAnsi" w:cstheme="minorHAnsi"/>
                <w:sz w:val="20"/>
                <w:szCs w:val="20"/>
              </w:rPr>
              <w:t xml:space="preserve"> provides the cornerstone for AusAID’s engagement in the economic and public sector reform sector</w:t>
            </w:r>
          </w:p>
        </w:tc>
        <w:tc>
          <w:tcPr>
            <w:tcW w:w="556" w:type="pct"/>
            <w:tcBorders>
              <w:top w:val="single" w:sz="4" w:space="0" w:color="auto"/>
              <w:left w:val="nil"/>
              <w:bottom w:val="single" w:sz="4" w:space="0" w:color="auto"/>
              <w:right w:val="single" w:sz="4" w:space="0" w:color="auto"/>
            </w:tcBorders>
            <w:vAlign w:val="center"/>
            <w:hideMark/>
          </w:tcPr>
          <w:p w:rsidR="00DE3C04" w:rsidRPr="00553AAE" w:rsidRDefault="00DE3C04" w:rsidP="006E7427">
            <w:pPr>
              <w:spacing w:before="120"/>
              <w:jc w:val="center"/>
              <w:rPr>
                <w:rFonts w:asciiTheme="minorHAnsi" w:hAnsiTheme="minorHAnsi" w:cstheme="minorHAnsi"/>
                <w:sz w:val="20"/>
                <w:szCs w:val="20"/>
              </w:rPr>
            </w:pPr>
            <w:r>
              <w:rPr>
                <w:rFonts w:asciiTheme="minorHAnsi" w:hAnsiTheme="minorHAnsi" w:cstheme="minorHAnsi"/>
                <w:sz w:val="20"/>
                <w:szCs w:val="20"/>
              </w:rPr>
              <w:t>Minor</w:t>
            </w:r>
          </w:p>
        </w:tc>
        <w:tc>
          <w:tcPr>
            <w:tcW w:w="456" w:type="pct"/>
            <w:tcBorders>
              <w:top w:val="single" w:sz="4" w:space="0" w:color="auto"/>
              <w:left w:val="nil"/>
              <w:bottom w:val="single" w:sz="4" w:space="0" w:color="auto"/>
              <w:right w:val="single" w:sz="4" w:space="0" w:color="auto"/>
            </w:tcBorders>
            <w:vAlign w:val="center"/>
            <w:hideMark/>
          </w:tcPr>
          <w:p w:rsidR="00DE3C04" w:rsidRPr="00553AAE" w:rsidRDefault="00DE3C04" w:rsidP="006E7427">
            <w:pPr>
              <w:spacing w:before="120"/>
              <w:jc w:val="center"/>
              <w:rPr>
                <w:rFonts w:asciiTheme="minorHAnsi" w:hAnsiTheme="minorHAnsi" w:cstheme="minorHAnsi"/>
                <w:sz w:val="20"/>
                <w:szCs w:val="20"/>
              </w:rPr>
            </w:pPr>
            <w:r>
              <w:rPr>
                <w:rFonts w:asciiTheme="minorHAnsi" w:hAnsiTheme="minorHAnsi" w:cstheme="minorHAnsi"/>
                <w:sz w:val="20"/>
                <w:szCs w:val="20"/>
              </w:rPr>
              <w:t>Unlikely</w:t>
            </w:r>
          </w:p>
        </w:tc>
        <w:tc>
          <w:tcPr>
            <w:tcW w:w="506" w:type="pct"/>
            <w:tcBorders>
              <w:top w:val="single" w:sz="4" w:space="0" w:color="auto"/>
              <w:left w:val="nil"/>
              <w:bottom w:val="single" w:sz="4" w:space="0" w:color="auto"/>
              <w:right w:val="single" w:sz="4" w:space="0" w:color="auto"/>
            </w:tcBorders>
            <w:vAlign w:val="center"/>
            <w:hideMark/>
          </w:tcPr>
          <w:p w:rsidR="00DE3C04" w:rsidRPr="00553AAE" w:rsidRDefault="00DE3C04" w:rsidP="006E7427">
            <w:pPr>
              <w:spacing w:before="120"/>
              <w:jc w:val="center"/>
              <w:rPr>
                <w:rFonts w:asciiTheme="minorHAnsi" w:hAnsiTheme="minorHAnsi" w:cstheme="minorHAnsi"/>
                <w:sz w:val="20"/>
                <w:szCs w:val="20"/>
              </w:rPr>
            </w:pPr>
            <w:r>
              <w:rPr>
                <w:rFonts w:asciiTheme="minorHAnsi" w:hAnsiTheme="minorHAnsi" w:cstheme="minorHAnsi"/>
                <w:sz w:val="20"/>
                <w:szCs w:val="20"/>
              </w:rPr>
              <w:t>Low</w:t>
            </w:r>
          </w:p>
        </w:tc>
      </w:tr>
      <w:tr w:rsidR="00DE3C04" w:rsidRPr="00553AAE" w:rsidTr="00626D18">
        <w:trPr>
          <w:trHeight w:val="416"/>
        </w:trPr>
        <w:tc>
          <w:tcPr>
            <w:tcW w:w="798" w:type="pct"/>
            <w:tcBorders>
              <w:top w:val="single" w:sz="4" w:space="0" w:color="auto"/>
              <w:left w:val="single" w:sz="4" w:space="0" w:color="auto"/>
              <w:bottom w:val="single" w:sz="4" w:space="0" w:color="auto"/>
              <w:right w:val="single" w:sz="4" w:space="0" w:color="auto"/>
            </w:tcBorders>
          </w:tcPr>
          <w:p w:rsidR="00DE3C04" w:rsidRPr="00553AAE" w:rsidRDefault="00DE3C04" w:rsidP="00553AAE">
            <w:pPr>
              <w:spacing w:before="120"/>
              <w:jc w:val="left"/>
              <w:rPr>
                <w:rFonts w:asciiTheme="minorHAnsi" w:hAnsiTheme="minorHAnsi" w:cstheme="minorHAnsi"/>
                <w:sz w:val="20"/>
                <w:szCs w:val="20"/>
              </w:rPr>
            </w:pPr>
            <w:r>
              <w:rPr>
                <w:rFonts w:asciiTheme="minorHAnsi" w:hAnsiTheme="minorHAnsi" w:cstheme="minorHAnsi"/>
                <w:sz w:val="20"/>
                <w:szCs w:val="20"/>
              </w:rPr>
              <w:t xml:space="preserve">5. </w:t>
            </w:r>
            <w:r>
              <w:rPr>
                <w:rFonts w:ascii="Calibri" w:hAnsi="Calibri" w:cs="Calibri"/>
                <w:bCs/>
                <w:color w:val="000000"/>
                <w:sz w:val="20"/>
                <w:szCs w:val="20"/>
              </w:rPr>
              <w:t>Strengthened governance institutions and democratic processes that are transparent, accountable and responsive to citizens’ needs and interests.</w:t>
            </w:r>
          </w:p>
        </w:tc>
        <w:tc>
          <w:tcPr>
            <w:tcW w:w="253" w:type="pct"/>
            <w:tcBorders>
              <w:top w:val="single" w:sz="4" w:space="0" w:color="auto"/>
              <w:left w:val="nil"/>
              <w:bottom w:val="single" w:sz="4" w:space="0" w:color="auto"/>
              <w:right w:val="single" w:sz="4" w:space="0" w:color="auto"/>
            </w:tcBorders>
            <w:vAlign w:val="center"/>
          </w:tcPr>
          <w:p w:rsidR="00DE3C04" w:rsidRPr="00553AAE" w:rsidRDefault="00DE3C04" w:rsidP="00553AAE">
            <w:pPr>
              <w:spacing w:before="120"/>
              <w:jc w:val="left"/>
              <w:rPr>
                <w:rFonts w:asciiTheme="minorHAnsi" w:hAnsiTheme="minorHAnsi" w:cstheme="minorHAnsi"/>
                <w:sz w:val="20"/>
                <w:szCs w:val="20"/>
              </w:rPr>
            </w:pPr>
            <w:r>
              <w:rPr>
                <w:rFonts w:asciiTheme="minorHAnsi" w:hAnsiTheme="minorHAnsi" w:cstheme="minorHAnsi"/>
                <w:sz w:val="20"/>
                <w:szCs w:val="20"/>
              </w:rPr>
              <w:t>5.1</w:t>
            </w:r>
          </w:p>
        </w:tc>
        <w:tc>
          <w:tcPr>
            <w:tcW w:w="1114" w:type="pct"/>
            <w:tcBorders>
              <w:top w:val="single" w:sz="4" w:space="0" w:color="auto"/>
              <w:left w:val="nil"/>
              <w:bottom w:val="single" w:sz="4" w:space="0" w:color="auto"/>
              <w:right w:val="single" w:sz="4" w:space="0" w:color="auto"/>
            </w:tcBorders>
          </w:tcPr>
          <w:p w:rsidR="00DE3C04" w:rsidRPr="00553AAE" w:rsidRDefault="00DE3C04" w:rsidP="001468A3">
            <w:pPr>
              <w:spacing w:before="120"/>
              <w:jc w:val="left"/>
              <w:rPr>
                <w:rFonts w:asciiTheme="minorHAnsi" w:hAnsiTheme="minorHAnsi" w:cstheme="minorHAnsi"/>
                <w:sz w:val="20"/>
                <w:szCs w:val="20"/>
              </w:rPr>
            </w:pPr>
            <w:r>
              <w:rPr>
                <w:rFonts w:asciiTheme="minorHAnsi" w:hAnsiTheme="minorHAnsi" w:cstheme="minorHAnsi"/>
                <w:sz w:val="20"/>
                <w:szCs w:val="20"/>
              </w:rPr>
              <w:t>Achievement of program objectives is delayed or hindered by changes in the political environment (including elections in 2014)</w:t>
            </w:r>
          </w:p>
        </w:tc>
        <w:tc>
          <w:tcPr>
            <w:tcW w:w="1317" w:type="pct"/>
            <w:tcBorders>
              <w:top w:val="single" w:sz="4" w:space="0" w:color="auto"/>
              <w:left w:val="nil"/>
              <w:bottom w:val="single" w:sz="4" w:space="0" w:color="auto"/>
              <w:right w:val="single" w:sz="4" w:space="0" w:color="auto"/>
            </w:tcBorders>
          </w:tcPr>
          <w:p w:rsidR="00DE3C04" w:rsidRPr="00553AAE" w:rsidRDefault="00DE3C04" w:rsidP="001468A3">
            <w:pPr>
              <w:spacing w:before="120"/>
              <w:jc w:val="left"/>
              <w:rPr>
                <w:rFonts w:asciiTheme="minorHAnsi" w:hAnsiTheme="minorHAnsi" w:cstheme="minorHAnsi"/>
                <w:sz w:val="20"/>
                <w:szCs w:val="20"/>
              </w:rPr>
            </w:pPr>
            <w:r>
              <w:rPr>
                <w:rFonts w:asciiTheme="minorHAnsi" w:hAnsiTheme="minorHAnsi" w:cstheme="minorHAnsi"/>
                <w:sz w:val="20"/>
                <w:szCs w:val="20"/>
              </w:rPr>
              <w:t xml:space="preserve">Should a change of Government occur, AusAID will work with UNDP to develop contingency plans </w:t>
            </w:r>
          </w:p>
        </w:tc>
        <w:tc>
          <w:tcPr>
            <w:tcW w:w="556" w:type="pct"/>
            <w:tcBorders>
              <w:top w:val="single" w:sz="4" w:space="0" w:color="auto"/>
              <w:left w:val="nil"/>
              <w:bottom w:val="single" w:sz="4" w:space="0" w:color="auto"/>
              <w:right w:val="single" w:sz="4" w:space="0" w:color="auto"/>
            </w:tcBorders>
            <w:vAlign w:val="center"/>
          </w:tcPr>
          <w:p w:rsidR="00DE3C04" w:rsidRPr="00553AAE" w:rsidRDefault="00B97095" w:rsidP="006E7427">
            <w:pPr>
              <w:spacing w:before="120"/>
              <w:jc w:val="center"/>
              <w:rPr>
                <w:rFonts w:asciiTheme="minorHAnsi" w:hAnsiTheme="minorHAnsi" w:cstheme="minorHAnsi"/>
                <w:sz w:val="20"/>
                <w:szCs w:val="20"/>
              </w:rPr>
            </w:pPr>
            <w:r>
              <w:rPr>
                <w:rFonts w:asciiTheme="minorHAnsi" w:hAnsiTheme="minorHAnsi" w:cstheme="minorHAnsi"/>
                <w:sz w:val="20"/>
                <w:szCs w:val="20"/>
              </w:rPr>
              <w:t>Major</w:t>
            </w:r>
          </w:p>
        </w:tc>
        <w:tc>
          <w:tcPr>
            <w:tcW w:w="456" w:type="pct"/>
            <w:tcBorders>
              <w:top w:val="single" w:sz="4" w:space="0" w:color="auto"/>
              <w:left w:val="nil"/>
              <w:bottom w:val="single" w:sz="4" w:space="0" w:color="auto"/>
              <w:right w:val="single" w:sz="4" w:space="0" w:color="auto"/>
            </w:tcBorders>
            <w:vAlign w:val="center"/>
          </w:tcPr>
          <w:p w:rsidR="00DE3C04" w:rsidRPr="00553AAE" w:rsidRDefault="00B97095" w:rsidP="006E7427">
            <w:pPr>
              <w:spacing w:before="120"/>
              <w:jc w:val="center"/>
              <w:rPr>
                <w:rFonts w:asciiTheme="minorHAnsi" w:hAnsiTheme="minorHAnsi" w:cstheme="minorHAnsi"/>
                <w:sz w:val="20"/>
                <w:szCs w:val="20"/>
              </w:rPr>
            </w:pPr>
            <w:r>
              <w:rPr>
                <w:rFonts w:asciiTheme="minorHAnsi" w:hAnsiTheme="minorHAnsi" w:cstheme="minorHAnsi"/>
                <w:sz w:val="20"/>
                <w:szCs w:val="20"/>
              </w:rPr>
              <w:t>Likely</w:t>
            </w:r>
          </w:p>
        </w:tc>
        <w:tc>
          <w:tcPr>
            <w:tcW w:w="506" w:type="pct"/>
            <w:tcBorders>
              <w:top w:val="single" w:sz="4" w:space="0" w:color="auto"/>
              <w:left w:val="nil"/>
              <w:bottom w:val="single" w:sz="4" w:space="0" w:color="auto"/>
              <w:right w:val="single" w:sz="4" w:space="0" w:color="auto"/>
            </w:tcBorders>
            <w:vAlign w:val="center"/>
          </w:tcPr>
          <w:p w:rsidR="00DE3C04" w:rsidRPr="00553AAE" w:rsidRDefault="00DE3C04" w:rsidP="006E7427">
            <w:pPr>
              <w:spacing w:before="120"/>
              <w:jc w:val="center"/>
              <w:rPr>
                <w:rFonts w:asciiTheme="minorHAnsi" w:hAnsiTheme="minorHAnsi" w:cstheme="minorHAnsi"/>
                <w:sz w:val="20"/>
                <w:szCs w:val="20"/>
              </w:rPr>
            </w:pPr>
            <w:r>
              <w:rPr>
                <w:rFonts w:asciiTheme="minorHAnsi" w:hAnsiTheme="minorHAnsi" w:cstheme="minorHAnsi"/>
                <w:sz w:val="20"/>
                <w:szCs w:val="20"/>
              </w:rPr>
              <w:t>High</w:t>
            </w:r>
          </w:p>
        </w:tc>
      </w:tr>
      <w:tr w:rsidR="00DE3C04" w:rsidRPr="00553AAE" w:rsidTr="00626D18">
        <w:trPr>
          <w:trHeight w:val="841"/>
        </w:trPr>
        <w:tc>
          <w:tcPr>
            <w:tcW w:w="798" w:type="pct"/>
            <w:tcBorders>
              <w:top w:val="single" w:sz="4" w:space="0" w:color="auto"/>
              <w:left w:val="single" w:sz="4" w:space="0" w:color="auto"/>
              <w:bottom w:val="single" w:sz="4" w:space="0" w:color="auto"/>
              <w:right w:val="single" w:sz="4" w:space="0" w:color="auto"/>
            </w:tcBorders>
          </w:tcPr>
          <w:p w:rsidR="00DE3C04" w:rsidRDefault="00DE3C04" w:rsidP="00553AAE">
            <w:pPr>
              <w:spacing w:before="120"/>
              <w:jc w:val="left"/>
              <w:rPr>
                <w:rFonts w:asciiTheme="minorHAnsi" w:hAnsiTheme="minorHAnsi" w:cstheme="minorHAnsi"/>
                <w:sz w:val="20"/>
                <w:szCs w:val="20"/>
              </w:rPr>
            </w:pPr>
          </w:p>
        </w:tc>
        <w:tc>
          <w:tcPr>
            <w:tcW w:w="253" w:type="pct"/>
            <w:tcBorders>
              <w:top w:val="single" w:sz="4" w:space="0" w:color="auto"/>
              <w:left w:val="nil"/>
              <w:bottom w:val="single" w:sz="4" w:space="0" w:color="auto"/>
              <w:right w:val="single" w:sz="4" w:space="0" w:color="auto"/>
            </w:tcBorders>
            <w:vAlign w:val="center"/>
          </w:tcPr>
          <w:p w:rsidR="00DE3C04" w:rsidRDefault="00DE3C04" w:rsidP="00553AAE">
            <w:pPr>
              <w:spacing w:before="120"/>
              <w:jc w:val="left"/>
              <w:rPr>
                <w:rFonts w:asciiTheme="minorHAnsi" w:hAnsiTheme="minorHAnsi" w:cstheme="minorHAnsi"/>
                <w:sz w:val="20"/>
                <w:szCs w:val="20"/>
              </w:rPr>
            </w:pPr>
            <w:r>
              <w:rPr>
                <w:rFonts w:asciiTheme="minorHAnsi" w:hAnsiTheme="minorHAnsi" w:cstheme="minorHAnsi"/>
                <w:sz w:val="20"/>
                <w:szCs w:val="20"/>
              </w:rPr>
              <w:t>5.2</w:t>
            </w:r>
          </w:p>
        </w:tc>
        <w:tc>
          <w:tcPr>
            <w:tcW w:w="1114" w:type="pct"/>
            <w:tcBorders>
              <w:top w:val="single" w:sz="4" w:space="0" w:color="auto"/>
              <w:left w:val="nil"/>
              <w:bottom w:val="single" w:sz="4" w:space="0" w:color="auto"/>
              <w:right w:val="single" w:sz="4" w:space="0" w:color="auto"/>
            </w:tcBorders>
          </w:tcPr>
          <w:p w:rsidR="00DE3C04" w:rsidRDefault="00DE3C04" w:rsidP="001468A3">
            <w:pPr>
              <w:spacing w:before="120"/>
              <w:jc w:val="left"/>
              <w:rPr>
                <w:rFonts w:asciiTheme="minorHAnsi" w:hAnsiTheme="minorHAnsi" w:cstheme="minorHAnsi"/>
                <w:sz w:val="20"/>
                <w:szCs w:val="20"/>
              </w:rPr>
            </w:pPr>
            <w:r>
              <w:rPr>
                <w:rFonts w:asciiTheme="minorHAnsi" w:hAnsiTheme="minorHAnsi" w:cstheme="minorHAnsi"/>
                <w:sz w:val="20"/>
                <w:szCs w:val="20"/>
              </w:rPr>
              <w:t>UNDP institutional processes and procedures impact on program delivery and delay implementation of key activities</w:t>
            </w:r>
          </w:p>
        </w:tc>
        <w:tc>
          <w:tcPr>
            <w:tcW w:w="1317" w:type="pct"/>
            <w:tcBorders>
              <w:top w:val="single" w:sz="4" w:space="0" w:color="auto"/>
              <w:left w:val="nil"/>
              <w:bottom w:val="single" w:sz="4" w:space="0" w:color="auto"/>
              <w:right w:val="single" w:sz="4" w:space="0" w:color="auto"/>
            </w:tcBorders>
          </w:tcPr>
          <w:p w:rsidR="00DE3C04" w:rsidRDefault="00DE3C04" w:rsidP="005808EA">
            <w:pPr>
              <w:spacing w:before="120"/>
              <w:jc w:val="left"/>
              <w:rPr>
                <w:rFonts w:asciiTheme="minorHAnsi" w:hAnsiTheme="minorHAnsi" w:cstheme="minorHAnsi"/>
                <w:sz w:val="20"/>
                <w:szCs w:val="20"/>
              </w:rPr>
            </w:pPr>
            <w:r w:rsidRPr="005808EA">
              <w:rPr>
                <w:rFonts w:asciiTheme="minorHAnsi" w:hAnsiTheme="minorHAnsi" w:cstheme="minorHAnsi"/>
                <w:sz w:val="20"/>
                <w:szCs w:val="20"/>
              </w:rPr>
              <w:t>Tonga Post has partly mitigated this risk by requesting Program Board Meetings be increased from one to two times per year to ensure issues are identified and resolved quickly. The project also includes a project assistant for</w:t>
            </w:r>
            <w:r>
              <w:rPr>
                <w:rFonts w:asciiTheme="minorHAnsi" w:hAnsiTheme="minorHAnsi" w:cstheme="minorHAnsi"/>
                <w:sz w:val="20"/>
                <w:szCs w:val="20"/>
              </w:rPr>
              <w:t xml:space="preserve"> the Tonga UNDP Country Office</w:t>
            </w:r>
          </w:p>
        </w:tc>
        <w:tc>
          <w:tcPr>
            <w:tcW w:w="556" w:type="pct"/>
            <w:tcBorders>
              <w:top w:val="single" w:sz="4" w:space="0" w:color="auto"/>
              <w:left w:val="nil"/>
              <w:bottom w:val="single" w:sz="4" w:space="0" w:color="auto"/>
              <w:right w:val="single" w:sz="4" w:space="0" w:color="auto"/>
            </w:tcBorders>
            <w:vAlign w:val="center"/>
          </w:tcPr>
          <w:p w:rsidR="00DE3C04" w:rsidRPr="00553AAE" w:rsidRDefault="00B97095" w:rsidP="006E7427">
            <w:pPr>
              <w:spacing w:before="120"/>
              <w:jc w:val="center"/>
              <w:rPr>
                <w:rFonts w:asciiTheme="minorHAnsi" w:hAnsiTheme="minorHAnsi" w:cstheme="minorHAnsi"/>
                <w:sz w:val="20"/>
                <w:szCs w:val="20"/>
              </w:rPr>
            </w:pPr>
            <w:r>
              <w:rPr>
                <w:rFonts w:asciiTheme="minorHAnsi" w:hAnsiTheme="minorHAnsi" w:cstheme="minorHAnsi"/>
                <w:sz w:val="20"/>
                <w:szCs w:val="20"/>
              </w:rPr>
              <w:t>Minor</w:t>
            </w:r>
          </w:p>
        </w:tc>
        <w:tc>
          <w:tcPr>
            <w:tcW w:w="456" w:type="pct"/>
            <w:tcBorders>
              <w:top w:val="single" w:sz="4" w:space="0" w:color="auto"/>
              <w:left w:val="nil"/>
              <w:bottom w:val="single" w:sz="4" w:space="0" w:color="auto"/>
              <w:right w:val="single" w:sz="4" w:space="0" w:color="auto"/>
            </w:tcBorders>
            <w:vAlign w:val="center"/>
          </w:tcPr>
          <w:p w:rsidR="00DE3C04" w:rsidRPr="00553AAE" w:rsidRDefault="00B97095" w:rsidP="006E7427">
            <w:pPr>
              <w:spacing w:before="120"/>
              <w:jc w:val="center"/>
              <w:rPr>
                <w:rFonts w:asciiTheme="minorHAnsi" w:hAnsiTheme="minorHAnsi" w:cstheme="minorHAnsi"/>
                <w:sz w:val="20"/>
                <w:szCs w:val="20"/>
              </w:rPr>
            </w:pPr>
            <w:r>
              <w:rPr>
                <w:rFonts w:asciiTheme="minorHAnsi" w:hAnsiTheme="minorHAnsi" w:cstheme="minorHAnsi"/>
                <w:sz w:val="20"/>
                <w:szCs w:val="20"/>
              </w:rPr>
              <w:t>Likely</w:t>
            </w:r>
          </w:p>
        </w:tc>
        <w:tc>
          <w:tcPr>
            <w:tcW w:w="506" w:type="pct"/>
            <w:tcBorders>
              <w:top w:val="single" w:sz="4" w:space="0" w:color="auto"/>
              <w:left w:val="nil"/>
              <w:bottom w:val="single" w:sz="4" w:space="0" w:color="auto"/>
              <w:right w:val="single" w:sz="4" w:space="0" w:color="auto"/>
            </w:tcBorders>
            <w:vAlign w:val="center"/>
          </w:tcPr>
          <w:p w:rsidR="00DE3C04" w:rsidRPr="00553AAE" w:rsidRDefault="00DE3C04" w:rsidP="006E7427">
            <w:pPr>
              <w:spacing w:before="120"/>
              <w:jc w:val="center"/>
              <w:rPr>
                <w:rFonts w:asciiTheme="minorHAnsi" w:hAnsiTheme="minorHAnsi" w:cstheme="minorHAnsi"/>
                <w:sz w:val="20"/>
                <w:szCs w:val="20"/>
              </w:rPr>
            </w:pPr>
            <w:r>
              <w:rPr>
                <w:rFonts w:asciiTheme="minorHAnsi" w:hAnsiTheme="minorHAnsi" w:cstheme="minorHAnsi"/>
                <w:sz w:val="20"/>
                <w:szCs w:val="20"/>
              </w:rPr>
              <w:t>Moderate</w:t>
            </w:r>
          </w:p>
        </w:tc>
      </w:tr>
    </w:tbl>
    <w:p w:rsidR="003C3F9E" w:rsidRPr="00553AAE" w:rsidRDefault="003C3F9E" w:rsidP="00553AAE">
      <w:pPr>
        <w:spacing w:before="120"/>
        <w:jc w:val="left"/>
        <w:rPr>
          <w:rFonts w:asciiTheme="minorHAnsi" w:hAnsiTheme="minorHAnsi" w:cstheme="minorHAnsi"/>
          <w:sz w:val="20"/>
          <w:szCs w:val="20"/>
          <w:lang w:val="en-US"/>
        </w:rPr>
      </w:pPr>
    </w:p>
    <w:p w:rsidR="00891D7B" w:rsidRDefault="000D7A3B" w:rsidP="00FF50FE">
      <w:pPr>
        <w:pStyle w:val="Heading1"/>
        <w:spacing w:before="0" w:after="240" w:line="276" w:lineRule="auto"/>
        <w:jc w:val="left"/>
        <w:rPr>
          <w:sz w:val="24"/>
        </w:rPr>
      </w:pPr>
      <w:r>
        <w:rPr>
          <w:rFonts w:asciiTheme="minorHAnsi" w:hAnsiTheme="minorHAnsi" w:cstheme="minorHAnsi"/>
        </w:rPr>
        <w:br w:type="column"/>
      </w:r>
      <w:r w:rsidRPr="000D7A3B">
        <w:rPr>
          <w:sz w:val="24"/>
        </w:rPr>
        <w:t>Annex 3: Policy Dialogue and Partnership Engagement Framework</w:t>
      </w:r>
    </w:p>
    <w:tbl>
      <w:tblPr>
        <w:tblStyle w:val="TableGrid"/>
        <w:tblW w:w="0" w:type="auto"/>
        <w:tblLook w:val="04A0" w:firstRow="1" w:lastRow="0" w:firstColumn="1" w:lastColumn="0" w:noHBand="0" w:noVBand="1"/>
      </w:tblPr>
      <w:tblGrid>
        <w:gridCol w:w="1742"/>
        <w:gridCol w:w="1401"/>
        <w:gridCol w:w="2777"/>
        <w:gridCol w:w="1843"/>
        <w:gridCol w:w="1701"/>
        <w:gridCol w:w="1701"/>
        <w:gridCol w:w="1134"/>
        <w:gridCol w:w="1875"/>
      </w:tblGrid>
      <w:tr w:rsidR="005265AC" w:rsidRPr="00C477D7" w:rsidTr="00F12F0E">
        <w:tc>
          <w:tcPr>
            <w:tcW w:w="1742" w:type="dxa"/>
            <w:shd w:val="clear" w:color="auto" w:fill="D9D9D9" w:themeFill="background1" w:themeFillShade="D9"/>
          </w:tcPr>
          <w:p w:rsidR="005265AC" w:rsidRDefault="005265AC" w:rsidP="00C477D7">
            <w:pPr>
              <w:jc w:val="left"/>
              <w:rPr>
                <w:rFonts w:asciiTheme="minorHAnsi" w:hAnsiTheme="minorHAnsi" w:cstheme="minorHAnsi"/>
                <w:sz w:val="22"/>
              </w:rPr>
            </w:pPr>
            <w:r>
              <w:rPr>
                <w:rFonts w:asciiTheme="minorHAnsi" w:hAnsiTheme="minorHAnsi" w:cstheme="minorHAnsi"/>
                <w:sz w:val="22"/>
              </w:rPr>
              <w:t>Development objective</w:t>
            </w:r>
          </w:p>
        </w:tc>
        <w:tc>
          <w:tcPr>
            <w:tcW w:w="1401" w:type="dxa"/>
            <w:shd w:val="clear" w:color="auto" w:fill="D9D9D9" w:themeFill="background1" w:themeFillShade="D9"/>
          </w:tcPr>
          <w:p w:rsidR="005265AC" w:rsidRDefault="005265AC" w:rsidP="00C477D7">
            <w:pPr>
              <w:jc w:val="left"/>
              <w:rPr>
                <w:rFonts w:asciiTheme="minorHAnsi" w:hAnsiTheme="minorHAnsi" w:cstheme="minorHAnsi"/>
                <w:sz w:val="22"/>
              </w:rPr>
            </w:pPr>
            <w:r>
              <w:rPr>
                <w:rFonts w:asciiTheme="minorHAnsi" w:hAnsiTheme="minorHAnsi" w:cstheme="minorHAnsi"/>
                <w:sz w:val="22"/>
              </w:rPr>
              <w:t>Area of policy interest</w:t>
            </w:r>
          </w:p>
        </w:tc>
        <w:tc>
          <w:tcPr>
            <w:tcW w:w="2777" w:type="dxa"/>
            <w:shd w:val="clear" w:color="auto" w:fill="D9D9D9" w:themeFill="background1" w:themeFillShade="D9"/>
          </w:tcPr>
          <w:p w:rsidR="005265AC" w:rsidRDefault="005265AC" w:rsidP="00791C2C">
            <w:pPr>
              <w:jc w:val="left"/>
              <w:rPr>
                <w:rFonts w:asciiTheme="minorHAnsi" w:hAnsiTheme="minorHAnsi" w:cstheme="minorHAnsi"/>
                <w:sz w:val="22"/>
              </w:rPr>
            </w:pPr>
            <w:r>
              <w:rPr>
                <w:rFonts w:asciiTheme="minorHAnsi" w:hAnsiTheme="minorHAnsi" w:cstheme="minorHAnsi"/>
                <w:sz w:val="22"/>
              </w:rPr>
              <w:t>Policy outcome sought</w:t>
            </w:r>
          </w:p>
        </w:tc>
        <w:tc>
          <w:tcPr>
            <w:tcW w:w="1843" w:type="dxa"/>
            <w:shd w:val="clear" w:color="auto" w:fill="D9D9D9" w:themeFill="background1" w:themeFillShade="D9"/>
          </w:tcPr>
          <w:p w:rsidR="005265AC" w:rsidRPr="00C477D7" w:rsidRDefault="00D17B40" w:rsidP="00C477D7">
            <w:pPr>
              <w:jc w:val="left"/>
              <w:rPr>
                <w:rFonts w:asciiTheme="minorHAnsi" w:hAnsiTheme="minorHAnsi" w:cstheme="minorHAnsi"/>
                <w:sz w:val="22"/>
              </w:rPr>
            </w:pPr>
            <w:r>
              <w:rPr>
                <w:rFonts w:asciiTheme="minorHAnsi" w:hAnsiTheme="minorHAnsi" w:cstheme="minorHAnsi"/>
                <w:sz w:val="22"/>
              </w:rPr>
              <w:t>E</w:t>
            </w:r>
            <w:r w:rsidR="005265AC">
              <w:rPr>
                <w:rFonts w:asciiTheme="minorHAnsi" w:hAnsiTheme="minorHAnsi" w:cstheme="minorHAnsi"/>
                <w:sz w:val="22"/>
              </w:rPr>
              <w:t>ntry points for policy dialogue</w:t>
            </w:r>
          </w:p>
        </w:tc>
        <w:tc>
          <w:tcPr>
            <w:tcW w:w="1701" w:type="dxa"/>
            <w:shd w:val="clear" w:color="auto" w:fill="D9D9D9" w:themeFill="background1" w:themeFillShade="D9"/>
          </w:tcPr>
          <w:p w:rsidR="005265AC" w:rsidRPr="00C477D7" w:rsidRDefault="005265AC" w:rsidP="00791C2C">
            <w:pPr>
              <w:jc w:val="left"/>
              <w:rPr>
                <w:rFonts w:asciiTheme="minorHAnsi" w:hAnsiTheme="minorHAnsi" w:cstheme="minorHAnsi"/>
                <w:sz w:val="22"/>
              </w:rPr>
            </w:pPr>
            <w:r>
              <w:rPr>
                <w:rFonts w:asciiTheme="minorHAnsi" w:hAnsiTheme="minorHAnsi" w:cstheme="minorHAnsi"/>
                <w:sz w:val="22"/>
              </w:rPr>
              <w:t>Influential stakeholders</w:t>
            </w:r>
          </w:p>
        </w:tc>
        <w:tc>
          <w:tcPr>
            <w:tcW w:w="1701" w:type="dxa"/>
            <w:shd w:val="clear" w:color="auto" w:fill="D9D9D9" w:themeFill="background1" w:themeFillShade="D9"/>
          </w:tcPr>
          <w:p w:rsidR="005265AC" w:rsidRPr="00C477D7" w:rsidRDefault="005265AC" w:rsidP="00C477D7">
            <w:pPr>
              <w:jc w:val="left"/>
              <w:rPr>
                <w:rFonts w:asciiTheme="minorHAnsi" w:hAnsiTheme="minorHAnsi" w:cstheme="minorHAnsi"/>
                <w:sz w:val="22"/>
              </w:rPr>
            </w:pPr>
            <w:r>
              <w:rPr>
                <w:rFonts w:asciiTheme="minorHAnsi" w:hAnsiTheme="minorHAnsi" w:cstheme="minorHAnsi"/>
                <w:sz w:val="22"/>
              </w:rPr>
              <w:t>Resources required</w:t>
            </w:r>
          </w:p>
        </w:tc>
        <w:tc>
          <w:tcPr>
            <w:tcW w:w="1134" w:type="dxa"/>
            <w:shd w:val="clear" w:color="auto" w:fill="D9D9D9" w:themeFill="background1" w:themeFillShade="D9"/>
          </w:tcPr>
          <w:p w:rsidR="005265AC" w:rsidRDefault="005265AC" w:rsidP="00C477D7">
            <w:pPr>
              <w:jc w:val="left"/>
              <w:rPr>
                <w:rFonts w:asciiTheme="minorHAnsi" w:hAnsiTheme="minorHAnsi" w:cstheme="minorHAnsi"/>
                <w:sz w:val="22"/>
              </w:rPr>
            </w:pPr>
            <w:r>
              <w:rPr>
                <w:rFonts w:asciiTheme="minorHAnsi" w:hAnsiTheme="minorHAnsi" w:cstheme="minorHAnsi"/>
                <w:sz w:val="22"/>
              </w:rPr>
              <w:t>Policy dialogue lead for AusAID</w:t>
            </w:r>
          </w:p>
        </w:tc>
        <w:tc>
          <w:tcPr>
            <w:tcW w:w="1875" w:type="dxa"/>
            <w:shd w:val="clear" w:color="auto" w:fill="D9D9D9" w:themeFill="background1" w:themeFillShade="D9"/>
          </w:tcPr>
          <w:p w:rsidR="005265AC" w:rsidRPr="00C477D7" w:rsidRDefault="005265AC" w:rsidP="00C477D7">
            <w:pPr>
              <w:jc w:val="left"/>
              <w:rPr>
                <w:rFonts w:asciiTheme="minorHAnsi" w:hAnsiTheme="minorHAnsi" w:cstheme="minorHAnsi"/>
                <w:sz w:val="22"/>
              </w:rPr>
            </w:pPr>
            <w:r>
              <w:rPr>
                <w:rFonts w:asciiTheme="minorHAnsi" w:hAnsiTheme="minorHAnsi" w:cstheme="minorHAnsi"/>
                <w:sz w:val="22"/>
              </w:rPr>
              <w:t>Management  responsibility</w:t>
            </w:r>
          </w:p>
        </w:tc>
      </w:tr>
      <w:tr w:rsidR="005265AC" w:rsidRPr="00991DCE" w:rsidTr="00F12F0E">
        <w:trPr>
          <w:trHeight w:val="577"/>
        </w:trPr>
        <w:tc>
          <w:tcPr>
            <w:tcW w:w="1742" w:type="dxa"/>
          </w:tcPr>
          <w:p w:rsidR="005265AC" w:rsidRPr="00991DCE" w:rsidRDefault="00547802" w:rsidP="00547802">
            <w:pPr>
              <w:jc w:val="left"/>
              <w:rPr>
                <w:rFonts w:asciiTheme="minorHAnsi" w:hAnsiTheme="minorHAnsi" w:cstheme="minorHAnsi"/>
                <w:sz w:val="20"/>
                <w:szCs w:val="20"/>
              </w:rPr>
            </w:pPr>
            <w:r>
              <w:rPr>
                <w:rFonts w:asciiTheme="minorHAnsi" w:hAnsiTheme="minorHAnsi" w:cstheme="minorHAnsi"/>
                <w:sz w:val="20"/>
                <w:szCs w:val="20"/>
              </w:rPr>
              <w:t xml:space="preserve">Improved </w:t>
            </w:r>
            <w:r w:rsidR="005265AC" w:rsidRPr="00991DCE">
              <w:rPr>
                <w:rFonts w:asciiTheme="minorHAnsi" w:hAnsiTheme="minorHAnsi" w:cstheme="minorHAnsi"/>
                <w:sz w:val="20"/>
                <w:szCs w:val="20"/>
              </w:rPr>
              <w:t>efficiency of public service delivery</w:t>
            </w:r>
          </w:p>
        </w:tc>
        <w:tc>
          <w:tcPr>
            <w:tcW w:w="1401" w:type="dxa"/>
          </w:tcPr>
          <w:p w:rsidR="005265AC" w:rsidRPr="00991DCE" w:rsidRDefault="005265AC" w:rsidP="00991DCE">
            <w:pPr>
              <w:jc w:val="left"/>
              <w:rPr>
                <w:rFonts w:asciiTheme="minorHAnsi" w:hAnsiTheme="minorHAnsi" w:cstheme="minorHAnsi"/>
                <w:sz w:val="20"/>
                <w:szCs w:val="20"/>
              </w:rPr>
            </w:pPr>
            <w:r>
              <w:rPr>
                <w:rFonts w:asciiTheme="minorHAnsi" w:hAnsiTheme="minorHAnsi" w:cstheme="minorHAnsi"/>
                <w:sz w:val="20"/>
                <w:szCs w:val="20"/>
              </w:rPr>
              <w:t>Public sector governance</w:t>
            </w:r>
          </w:p>
        </w:tc>
        <w:tc>
          <w:tcPr>
            <w:tcW w:w="2777" w:type="dxa"/>
          </w:tcPr>
          <w:p w:rsidR="008F75ED" w:rsidRPr="008F75ED" w:rsidRDefault="008F75ED" w:rsidP="00A11CCA">
            <w:pPr>
              <w:pStyle w:val="ListParagraph"/>
              <w:numPr>
                <w:ilvl w:val="0"/>
                <w:numId w:val="30"/>
              </w:numPr>
              <w:rPr>
                <w:rFonts w:cstheme="minorHAnsi"/>
                <w:sz w:val="20"/>
                <w:szCs w:val="20"/>
              </w:rPr>
            </w:pPr>
            <w:r>
              <w:rPr>
                <w:rFonts w:cstheme="minorHAnsi"/>
                <w:sz w:val="20"/>
                <w:szCs w:val="20"/>
              </w:rPr>
              <w:t>Improved capacity and operating environment of the Tonga public service (including better human resource planning)</w:t>
            </w:r>
          </w:p>
        </w:tc>
        <w:tc>
          <w:tcPr>
            <w:tcW w:w="1843" w:type="dxa"/>
          </w:tcPr>
          <w:p w:rsidR="005265AC" w:rsidRDefault="005265AC" w:rsidP="00A11CCA">
            <w:pPr>
              <w:pStyle w:val="ListParagraph"/>
              <w:numPr>
                <w:ilvl w:val="0"/>
                <w:numId w:val="30"/>
              </w:numPr>
              <w:rPr>
                <w:rFonts w:cstheme="minorHAnsi"/>
                <w:sz w:val="20"/>
                <w:szCs w:val="20"/>
              </w:rPr>
            </w:pPr>
            <w:r>
              <w:rPr>
                <w:rFonts w:cstheme="minorHAnsi"/>
                <w:sz w:val="20"/>
                <w:szCs w:val="20"/>
              </w:rPr>
              <w:t>GoT PFM Roadmap</w:t>
            </w:r>
          </w:p>
          <w:p w:rsidR="00BA6996" w:rsidRPr="006E3F48" w:rsidRDefault="00BA6996" w:rsidP="00A11CCA">
            <w:pPr>
              <w:pStyle w:val="ListParagraph"/>
              <w:numPr>
                <w:ilvl w:val="0"/>
                <w:numId w:val="30"/>
              </w:numPr>
              <w:rPr>
                <w:rFonts w:cstheme="minorHAnsi"/>
                <w:sz w:val="20"/>
                <w:szCs w:val="20"/>
              </w:rPr>
            </w:pPr>
            <w:r>
              <w:rPr>
                <w:rFonts w:cstheme="minorHAnsi"/>
                <w:sz w:val="20"/>
                <w:szCs w:val="20"/>
              </w:rPr>
              <w:t>GoT Corporate Plans</w:t>
            </w:r>
          </w:p>
        </w:tc>
        <w:tc>
          <w:tcPr>
            <w:tcW w:w="1701" w:type="dxa"/>
          </w:tcPr>
          <w:p w:rsidR="005265AC" w:rsidRDefault="005265AC" w:rsidP="00A11CCA">
            <w:pPr>
              <w:pStyle w:val="ListParagraph"/>
              <w:numPr>
                <w:ilvl w:val="0"/>
                <w:numId w:val="30"/>
              </w:numPr>
              <w:rPr>
                <w:rFonts w:cstheme="minorHAnsi"/>
              </w:rPr>
            </w:pPr>
            <w:r w:rsidRPr="00DF0A72">
              <w:rPr>
                <w:rFonts w:cstheme="minorHAnsi"/>
              </w:rPr>
              <w:t>MoFNP</w:t>
            </w:r>
          </w:p>
          <w:p w:rsidR="005265AC" w:rsidRDefault="005265AC" w:rsidP="00A11CCA">
            <w:pPr>
              <w:pStyle w:val="ListParagraph"/>
              <w:numPr>
                <w:ilvl w:val="0"/>
                <w:numId w:val="30"/>
              </w:numPr>
              <w:rPr>
                <w:rFonts w:cstheme="minorHAnsi"/>
              </w:rPr>
            </w:pPr>
            <w:r w:rsidRPr="00DF0A72">
              <w:rPr>
                <w:rFonts w:cstheme="minorHAnsi"/>
              </w:rPr>
              <w:t>PSC</w:t>
            </w:r>
          </w:p>
          <w:p w:rsidR="005265AC" w:rsidRDefault="005265AC" w:rsidP="00A11CCA">
            <w:pPr>
              <w:pStyle w:val="ListParagraph"/>
              <w:numPr>
                <w:ilvl w:val="0"/>
                <w:numId w:val="30"/>
              </w:numPr>
              <w:rPr>
                <w:rFonts w:cstheme="minorHAnsi"/>
              </w:rPr>
            </w:pPr>
            <w:r w:rsidRPr="00DF0A72">
              <w:rPr>
                <w:rFonts w:cstheme="minorHAnsi"/>
              </w:rPr>
              <w:t>World Bank</w:t>
            </w:r>
          </w:p>
          <w:p w:rsidR="005265AC" w:rsidRPr="00DF0A72" w:rsidRDefault="005265AC" w:rsidP="00A11CCA">
            <w:pPr>
              <w:pStyle w:val="ListParagraph"/>
              <w:numPr>
                <w:ilvl w:val="0"/>
                <w:numId w:val="30"/>
              </w:numPr>
              <w:rPr>
                <w:rFonts w:cstheme="minorHAnsi"/>
              </w:rPr>
            </w:pPr>
            <w:r w:rsidRPr="00DF0A72">
              <w:rPr>
                <w:rFonts w:cstheme="minorHAnsi"/>
              </w:rPr>
              <w:t>ADB</w:t>
            </w:r>
          </w:p>
        </w:tc>
        <w:tc>
          <w:tcPr>
            <w:tcW w:w="1701" w:type="dxa"/>
          </w:tcPr>
          <w:p w:rsidR="005265AC" w:rsidRPr="00991DCE" w:rsidRDefault="00121AA0" w:rsidP="00B00CA8">
            <w:pPr>
              <w:jc w:val="left"/>
              <w:rPr>
                <w:rFonts w:asciiTheme="minorHAnsi" w:hAnsiTheme="minorHAnsi" w:cstheme="minorHAnsi"/>
                <w:sz w:val="20"/>
                <w:szCs w:val="20"/>
              </w:rPr>
            </w:pPr>
            <w:r>
              <w:rPr>
                <w:rFonts w:asciiTheme="minorHAnsi" w:hAnsiTheme="minorHAnsi" w:cstheme="minorHAnsi"/>
                <w:sz w:val="20"/>
                <w:szCs w:val="20"/>
              </w:rPr>
              <w:t>Moderate</w:t>
            </w:r>
            <w:r w:rsidR="005265AC">
              <w:rPr>
                <w:rFonts w:asciiTheme="minorHAnsi" w:hAnsiTheme="minorHAnsi" w:cstheme="minorHAnsi"/>
                <w:sz w:val="20"/>
                <w:szCs w:val="20"/>
              </w:rPr>
              <w:t>:</w:t>
            </w:r>
            <w:r w:rsidR="000F20E5">
              <w:rPr>
                <w:rFonts w:asciiTheme="minorHAnsi" w:hAnsiTheme="minorHAnsi" w:cstheme="minorHAnsi"/>
                <w:sz w:val="20"/>
                <w:szCs w:val="20"/>
              </w:rPr>
              <w:t xml:space="preserve"> </w:t>
            </w:r>
            <w:r w:rsidR="005265AC">
              <w:rPr>
                <w:rFonts w:asciiTheme="minorHAnsi" w:hAnsiTheme="minorHAnsi" w:cstheme="minorHAnsi"/>
                <w:sz w:val="20"/>
                <w:szCs w:val="20"/>
              </w:rPr>
              <w:t xml:space="preserve"> </w:t>
            </w:r>
            <w:r>
              <w:rPr>
                <w:rFonts w:asciiTheme="minorHAnsi" w:hAnsiTheme="minorHAnsi" w:cstheme="minorHAnsi"/>
                <w:sz w:val="20"/>
                <w:szCs w:val="20"/>
              </w:rPr>
              <w:t>government and implementing partner meetings</w:t>
            </w:r>
          </w:p>
        </w:tc>
        <w:tc>
          <w:tcPr>
            <w:tcW w:w="1134" w:type="dxa"/>
          </w:tcPr>
          <w:p w:rsidR="005265AC" w:rsidRPr="00991DCE" w:rsidRDefault="005265AC" w:rsidP="00991DCE">
            <w:pPr>
              <w:jc w:val="left"/>
              <w:rPr>
                <w:rFonts w:asciiTheme="minorHAnsi" w:hAnsiTheme="minorHAnsi" w:cstheme="minorHAnsi"/>
                <w:sz w:val="20"/>
                <w:szCs w:val="20"/>
              </w:rPr>
            </w:pPr>
            <w:r>
              <w:rPr>
                <w:rFonts w:asciiTheme="minorHAnsi" w:hAnsiTheme="minorHAnsi" w:cstheme="minorHAnsi"/>
                <w:sz w:val="20"/>
                <w:szCs w:val="20"/>
              </w:rPr>
              <w:t>First Secretary, Nuku’alofa</w:t>
            </w:r>
          </w:p>
        </w:tc>
        <w:tc>
          <w:tcPr>
            <w:tcW w:w="1875" w:type="dxa"/>
          </w:tcPr>
          <w:p w:rsidR="005265AC" w:rsidRPr="00991DCE" w:rsidRDefault="005265AC" w:rsidP="00991DCE">
            <w:pPr>
              <w:jc w:val="left"/>
              <w:rPr>
                <w:rFonts w:asciiTheme="minorHAnsi" w:hAnsiTheme="minorHAnsi" w:cstheme="minorHAnsi"/>
                <w:sz w:val="20"/>
                <w:szCs w:val="20"/>
              </w:rPr>
            </w:pPr>
            <w:r>
              <w:rPr>
                <w:rFonts w:asciiTheme="minorHAnsi" w:hAnsiTheme="minorHAnsi" w:cstheme="minorHAnsi"/>
                <w:sz w:val="20"/>
                <w:szCs w:val="20"/>
              </w:rPr>
              <w:t xml:space="preserve">Senior Program Manager, Economic and Public Sector Governance </w:t>
            </w:r>
          </w:p>
        </w:tc>
      </w:tr>
      <w:tr w:rsidR="005265AC" w:rsidRPr="00991DCE" w:rsidTr="00F12F0E">
        <w:trPr>
          <w:trHeight w:val="570"/>
        </w:trPr>
        <w:tc>
          <w:tcPr>
            <w:tcW w:w="1742" w:type="dxa"/>
          </w:tcPr>
          <w:p w:rsidR="005265AC" w:rsidRPr="00991DCE" w:rsidRDefault="00547802" w:rsidP="00547802">
            <w:pPr>
              <w:jc w:val="left"/>
              <w:rPr>
                <w:rFonts w:asciiTheme="minorHAnsi" w:hAnsiTheme="minorHAnsi" w:cstheme="minorHAnsi"/>
                <w:sz w:val="20"/>
                <w:szCs w:val="20"/>
              </w:rPr>
            </w:pPr>
            <w:r>
              <w:rPr>
                <w:rFonts w:asciiTheme="minorHAnsi" w:hAnsiTheme="minorHAnsi" w:cstheme="minorHAnsi"/>
                <w:sz w:val="20"/>
                <w:szCs w:val="20"/>
              </w:rPr>
              <w:t xml:space="preserve">Improved </w:t>
            </w:r>
            <w:r w:rsidR="005265AC" w:rsidRPr="00991DCE">
              <w:rPr>
                <w:rFonts w:asciiTheme="minorHAnsi" w:hAnsiTheme="minorHAnsi" w:cstheme="minorHAnsi"/>
                <w:sz w:val="20"/>
                <w:szCs w:val="20"/>
              </w:rPr>
              <w:t>allocation and use of public expenditure for TSDF priorities as well as sustainable revenue collection</w:t>
            </w:r>
          </w:p>
        </w:tc>
        <w:tc>
          <w:tcPr>
            <w:tcW w:w="1401" w:type="dxa"/>
          </w:tcPr>
          <w:p w:rsidR="005265AC" w:rsidRPr="00991DCE" w:rsidRDefault="005265AC" w:rsidP="00991DCE">
            <w:pPr>
              <w:jc w:val="left"/>
              <w:rPr>
                <w:rFonts w:asciiTheme="minorHAnsi" w:hAnsiTheme="minorHAnsi" w:cstheme="minorHAnsi"/>
                <w:sz w:val="20"/>
                <w:szCs w:val="20"/>
              </w:rPr>
            </w:pPr>
            <w:r>
              <w:rPr>
                <w:rFonts w:asciiTheme="minorHAnsi" w:hAnsiTheme="minorHAnsi" w:cstheme="minorHAnsi"/>
                <w:sz w:val="20"/>
                <w:szCs w:val="20"/>
              </w:rPr>
              <w:t>Economic and financial governance</w:t>
            </w:r>
          </w:p>
        </w:tc>
        <w:tc>
          <w:tcPr>
            <w:tcW w:w="2777" w:type="dxa"/>
          </w:tcPr>
          <w:p w:rsidR="005265AC" w:rsidRDefault="00AB7D44" w:rsidP="00A11CCA">
            <w:pPr>
              <w:pStyle w:val="ListParagraph"/>
              <w:numPr>
                <w:ilvl w:val="0"/>
                <w:numId w:val="30"/>
              </w:numPr>
              <w:rPr>
                <w:rFonts w:cstheme="minorHAnsi"/>
                <w:sz w:val="20"/>
                <w:szCs w:val="20"/>
              </w:rPr>
            </w:pPr>
            <w:r>
              <w:rPr>
                <w:rFonts w:cstheme="minorHAnsi"/>
                <w:sz w:val="20"/>
                <w:szCs w:val="20"/>
              </w:rPr>
              <w:t>Improved quality and management of expenditure</w:t>
            </w:r>
          </w:p>
          <w:p w:rsidR="00AB7D44" w:rsidRDefault="00AB7D44" w:rsidP="00A11CCA">
            <w:pPr>
              <w:pStyle w:val="ListParagraph"/>
              <w:numPr>
                <w:ilvl w:val="0"/>
                <w:numId w:val="30"/>
              </w:numPr>
              <w:rPr>
                <w:rFonts w:cstheme="minorHAnsi"/>
                <w:sz w:val="20"/>
                <w:szCs w:val="20"/>
              </w:rPr>
            </w:pPr>
            <w:r>
              <w:rPr>
                <w:rFonts w:cstheme="minorHAnsi"/>
                <w:sz w:val="20"/>
                <w:szCs w:val="20"/>
              </w:rPr>
              <w:t>Improved revenue policy and administration</w:t>
            </w:r>
          </w:p>
          <w:p w:rsidR="00AB7D44" w:rsidRDefault="00AB7D44" w:rsidP="00A11CCA">
            <w:pPr>
              <w:pStyle w:val="ListParagraph"/>
              <w:numPr>
                <w:ilvl w:val="0"/>
                <w:numId w:val="30"/>
              </w:numPr>
              <w:rPr>
                <w:rFonts w:cstheme="minorHAnsi"/>
                <w:sz w:val="20"/>
                <w:szCs w:val="20"/>
              </w:rPr>
            </w:pPr>
            <w:r>
              <w:rPr>
                <w:rFonts w:cstheme="minorHAnsi"/>
                <w:sz w:val="20"/>
                <w:szCs w:val="20"/>
              </w:rPr>
              <w:t>Improved public sector procurement practices and strengthened audit capacity</w:t>
            </w:r>
          </w:p>
          <w:p w:rsidR="00AB7D44" w:rsidRPr="006E3F48" w:rsidRDefault="00AB7D44" w:rsidP="00A11CCA">
            <w:pPr>
              <w:pStyle w:val="ListParagraph"/>
              <w:numPr>
                <w:ilvl w:val="0"/>
                <w:numId w:val="30"/>
              </w:numPr>
              <w:rPr>
                <w:rFonts w:cstheme="minorHAnsi"/>
                <w:sz w:val="20"/>
                <w:szCs w:val="20"/>
              </w:rPr>
            </w:pPr>
            <w:r>
              <w:rPr>
                <w:rFonts w:cstheme="minorHAnsi"/>
                <w:sz w:val="20"/>
                <w:szCs w:val="20"/>
              </w:rPr>
              <w:t>Improved national statistics</w:t>
            </w:r>
          </w:p>
        </w:tc>
        <w:tc>
          <w:tcPr>
            <w:tcW w:w="1843" w:type="dxa"/>
          </w:tcPr>
          <w:p w:rsidR="005265AC" w:rsidRDefault="005265AC" w:rsidP="00A11CCA">
            <w:pPr>
              <w:pStyle w:val="ListParagraph"/>
              <w:numPr>
                <w:ilvl w:val="0"/>
                <w:numId w:val="30"/>
              </w:numPr>
              <w:rPr>
                <w:rFonts w:cstheme="minorHAnsi"/>
                <w:sz w:val="20"/>
                <w:szCs w:val="20"/>
              </w:rPr>
            </w:pPr>
            <w:r w:rsidRPr="006E3F48">
              <w:rPr>
                <w:rFonts w:cstheme="minorHAnsi"/>
                <w:sz w:val="20"/>
                <w:szCs w:val="20"/>
              </w:rPr>
              <w:t>Policy Reform Matrix (World Bank-led)</w:t>
            </w:r>
          </w:p>
          <w:p w:rsidR="005265AC" w:rsidRDefault="005265AC" w:rsidP="00A11CCA">
            <w:pPr>
              <w:pStyle w:val="ListParagraph"/>
              <w:numPr>
                <w:ilvl w:val="0"/>
                <w:numId w:val="30"/>
              </w:numPr>
              <w:rPr>
                <w:rFonts w:cstheme="minorHAnsi"/>
                <w:sz w:val="20"/>
                <w:szCs w:val="20"/>
              </w:rPr>
            </w:pPr>
            <w:r>
              <w:rPr>
                <w:rFonts w:cstheme="minorHAnsi"/>
                <w:sz w:val="20"/>
                <w:szCs w:val="20"/>
              </w:rPr>
              <w:t>GoT PFM Roadmap</w:t>
            </w:r>
          </w:p>
          <w:p w:rsidR="00BA6996" w:rsidRDefault="00BA6996" w:rsidP="00A11CCA">
            <w:pPr>
              <w:pStyle w:val="ListParagraph"/>
              <w:numPr>
                <w:ilvl w:val="0"/>
                <w:numId w:val="30"/>
              </w:numPr>
              <w:rPr>
                <w:rFonts w:cstheme="minorHAnsi"/>
                <w:sz w:val="20"/>
                <w:szCs w:val="20"/>
              </w:rPr>
            </w:pPr>
            <w:r>
              <w:rPr>
                <w:rFonts w:cstheme="minorHAnsi"/>
                <w:sz w:val="20"/>
                <w:szCs w:val="20"/>
              </w:rPr>
              <w:t>GoT Corporate Plans</w:t>
            </w:r>
          </w:p>
          <w:p w:rsidR="005265AC" w:rsidRDefault="005265AC" w:rsidP="00A11CCA">
            <w:pPr>
              <w:pStyle w:val="ListParagraph"/>
              <w:numPr>
                <w:ilvl w:val="0"/>
                <w:numId w:val="30"/>
              </w:numPr>
              <w:rPr>
                <w:rFonts w:cstheme="minorHAnsi"/>
                <w:sz w:val="20"/>
                <w:szCs w:val="20"/>
              </w:rPr>
            </w:pPr>
            <w:r>
              <w:rPr>
                <w:rFonts w:cstheme="minorHAnsi"/>
                <w:sz w:val="20"/>
                <w:szCs w:val="20"/>
              </w:rPr>
              <w:t xml:space="preserve">PFTAC </w:t>
            </w:r>
            <w:r w:rsidR="00C664CC">
              <w:rPr>
                <w:rFonts w:cstheme="minorHAnsi"/>
                <w:sz w:val="20"/>
                <w:szCs w:val="20"/>
              </w:rPr>
              <w:t xml:space="preserve">Revenue </w:t>
            </w:r>
            <w:r w:rsidR="00E12C85">
              <w:rPr>
                <w:rFonts w:cstheme="minorHAnsi"/>
                <w:sz w:val="20"/>
                <w:szCs w:val="20"/>
              </w:rPr>
              <w:t xml:space="preserve">Policy and </w:t>
            </w:r>
            <w:r w:rsidR="00C664CC">
              <w:rPr>
                <w:rFonts w:cstheme="minorHAnsi"/>
                <w:sz w:val="20"/>
                <w:szCs w:val="20"/>
              </w:rPr>
              <w:t>Administration Review</w:t>
            </w:r>
          </w:p>
          <w:p w:rsidR="00BA6996" w:rsidRPr="006E3F48" w:rsidRDefault="00BA6996" w:rsidP="00A11CCA">
            <w:pPr>
              <w:pStyle w:val="ListParagraph"/>
              <w:numPr>
                <w:ilvl w:val="0"/>
                <w:numId w:val="30"/>
              </w:numPr>
              <w:rPr>
                <w:rFonts w:cstheme="minorHAnsi"/>
                <w:sz w:val="20"/>
                <w:szCs w:val="20"/>
              </w:rPr>
            </w:pPr>
            <w:r>
              <w:rPr>
                <w:rFonts w:cstheme="minorHAnsi"/>
                <w:sz w:val="20"/>
                <w:szCs w:val="20"/>
              </w:rPr>
              <w:t>Procurement Action Plan</w:t>
            </w:r>
          </w:p>
        </w:tc>
        <w:tc>
          <w:tcPr>
            <w:tcW w:w="1701" w:type="dxa"/>
          </w:tcPr>
          <w:p w:rsidR="005265AC" w:rsidRDefault="005265AC" w:rsidP="00A11CCA">
            <w:pPr>
              <w:pStyle w:val="ListParagraph"/>
              <w:numPr>
                <w:ilvl w:val="0"/>
                <w:numId w:val="30"/>
              </w:numPr>
              <w:rPr>
                <w:rFonts w:cstheme="minorHAnsi"/>
              </w:rPr>
            </w:pPr>
            <w:r w:rsidRPr="00DF0A72">
              <w:rPr>
                <w:rFonts w:cstheme="minorHAnsi"/>
              </w:rPr>
              <w:t>MOFNP</w:t>
            </w:r>
          </w:p>
          <w:p w:rsidR="005265AC" w:rsidRDefault="005265AC" w:rsidP="00A11CCA">
            <w:pPr>
              <w:pStyle w:val="ListParagraph"/>
              <w:numPr>
                <w:ilvl w:val="0"/>
                <w:numId w:val="30"/>
              </w:numPr>
              <w:rPr>
                <w:rFonts w:cstheme="minorHAnsi"/>
              </w:rPr>
            </w:pPr>
            <w:r w:rsidRPr="00DF0A72">
              <w:rPr>
                <w:rFonts w:cstheme="minorHAnsi"/>
              </w:rPr>
              <w:t>MoR</w:t>
            </w:r>
          </w:p>
          <w:p w:rsidR="005265AC" w:rsidRDefault="005265AC" w:rsidP="00A11CCA">
            <w:pPr>
              <w:pStyle w:val="ListParagraph"/>
              <w:numPr>
                <w:ilvl w:val="0"/>
                <w:numId w:val="30"/>
              </w:numPr>
              <w:rPr>
                <w:rFonts w:cstheme="minorHAnsi"/>
              </w:rPr>
            </w:pPr>
            <w:r w:rsidRPr="00DF0A72">
              <w:rPr>
                <w:rFonts w:cstheme="minorHAnsi"/>
              </w:rPr>
              <w:t>Statistics</w:t>
            </w:r>
            <w:r>
              <w:rPr>
                <w:rFonts w:cstheme="minorHAnsi"/>
              </w:rPr>
              <w:t xml:space="preserve"> Department</w:t>
            </w:r>
          </w:p>
          <w:p w:rsidR="005265AC" w:rsidRDefault="005265AC" w:rsidP="00A11CCA">
            <w:pPr>
              <w:pStyle w:val="ListParagraph"/>
              <w:numPr>
                <w:ilvl w:val="0"/>
                <w:numId w:val="30"/>
              </w:numPr>
              <w:rPr>
                <w:rFonts w:cstheme="minorHAnsi"/>
              </w:rPr>
            </w:pPr>
            <w:r w:rsidRPr="00DF0A72">
              <w:rPr>
                <w:rFonts w:cstheme="minorHAnsi"/>
              </w:rPr>
              <w:t>Audit Office</w:t>
            </w:r>
          </w:p>
          <w:p w:rsidR="005265AC" w:rsidRDefault="005265AC" w:rsidP="00A11CCA">
            <w:pPr>
              <w:pStyle w:val="ListParagraph"/>
              <w:numPr>
                <w:ilvl w:val="0"/>
                <w:numId w:val="30"/>
              </w:numPr>
              <w:rPr>
                <w:rFonts w:cstheme="minorHAnsi"/>
              </w:rPr>
            </w:pPr>
            <w:r w:rsidRPr="00DF0A72">
              <w:rPr>
                <w:rFonts w:cstheme="minorHAnsi"/>
              </w:rPr>
              <w:t>World Bank</w:t>
            </w:r>
          </w:p>
          <w:p w:rsidR="005265AC" w:rsidRDefault="005265AC" w:rsidP="00A11CCA">
            <w:pPr>
              <w:pStyle w:val="ListParagraph"/>
              <w:numPr>
                <w:ilvl w:val="0"/>
                <w:numId w:val="30"/>
              </w:numPr>
              <w:rPr>
                <w:rFonts w:cstheme="minorHAnsi"/>
              </w:rPr>
            </w:pPr>
            <w:r w:rsidRPr="00DF0A72">
              <w:rPr>
                <w:rFonts w:cstheme="minorHAnsi"/>
              </w:rPr>
              <w:t>ADB</w:t>
            </w:r>
            <w:r>
              <w:rPr>
                <w:rFonts w:cstheme="minorHAnsi"/>
              </w:rPr>
              <w:t xml:space="preserve"> </w:t>
            </w:r>
          </w:p>
          <w:p w:rsidR="005265AC" w:rsidRPr="00DF0A72" w:rsidRDefault="005265AC" w:rsidP="00A11CCA">
            <w:pPr>
              <w:pStyle w:val="ListParagraph"/>
              <w:numPr>
                <w:ilvl w:val="0"/>
                <w:numId w:val="30"/>
              </w:numPr>
              <w:rPr>
                <w:rFonts w:cstheme="minorHAnsi"/>
              </w:rPr>
            </w:pPr>
            <w:r w:rsidRPr="00DF0A72">
              <w:rPr>
                <w:rFonts w:cstheme="minorHAnsi"/>
              </w:rPr>
              <w:t>IMF (PFTAC)</w:t>
            </w:r>
          </w:p>
        </w:tc>
        <w:tc>
          <w:tcPr>
            <w:tcW w:w="1701" w:type="dxa"/>
          </w:tcPr>
          <w:p w:rsidR="005265AC" w:rsidRPr="00991DCE" w:rsidRDefault="00121AA0" w:rsidP="00121AA0">
            <w:pPr>
              <w:jc w:val="left"/>
              <w:rPr>
                <w:rFonts w:asciiTheme="minorHAnsi" w:hAnsiTheme="minorHAnsi" w:cstheme="minorHAnsi"/>
                <w:sz w:val="20"/>
                <w:szCs w:val="20"/>
              </w:rPr>
            </w:pPr>
            <w:r>
              <w:rPr>
                <w:rFonts w:asciiTheme="minorHAnsi" w:hAnsiTheme="minorHAnsi" w:cstheme="minorHAnsi"/>
                <w:sz w:val="20"/>
                <w:szCs w:val="20"/>
              </w:rPr>
              <w:t>Moderate</w:t>
            </w:r>
            <w:r w:rsidR="005265AC">
              <w:rPr>
                <w:rFonts w:asciiTheme="minorHAnsi" w:hAnsiTheme="minorHAnsi" w:cstheme="minorHAnsi"/>
                <w:sz w:val="20"/>
                <w:szCs w:val="20"/>
              </w:rPr>
              <w:t>:</w:t>
            </w:r>
            <w:r w:rsidR="00F126C3">
              <w:rPr>
                <w:rFonts w:asciiTheme="minorHAnsi" w:hAnsiTheme="minorHAnsi" w:cstheme="minorHAnsi"/>
                <w:sz w:val="20"/>
                <w:szCs w:val="20"/>
              </w:rPr>
              <w:t xml:space="preserve"> </w:t>
            </w:r>
            <w:r w:rsidR="005265AC">
              <w:rPr>
                <w:rFonts w:asciiTheme="minorHAnsi" w:hAnsiTheme="minorHAnsi" w:cstheme="minorHAnsi"/>
                <w:sz w:val="20"/>
                <w:szCs w:val="20"/>
              </w:rPr>
              <w:t xml:space="preserve"> </w:t>
            </w:r>
            <w:r w:rsidR="0018410A">
              <w:rPr>
                <w:rFonts w:asciiTheme="minorHAnsi" w:hAnsiTheme="minorHAnsi" w:cstheme="minorHAnsi"/>
                <w:sz w:val="20"/>
                <w:szCs w:val="20"/>
              </w:rPr>
              <w:t xml:space="preserve">government and implementing partner meetings; Canberra-based economist to monitor progress on Policy Reform Matrix  </w:t>
            </w:r>
          </w:p>
        </w:tc>
        <w:tc>
          <w:tcPr>
            <w:tcW w:w="1134" w:type="dxa"/>
          </w:tcPr>
          <w:p w:rsidR="005265AC" w:rsidRPr="00991DCE" w:rsidRDefault="005265AC" w:rsidP="00791C2C">
            <w:pPr>
              <w:jc w:val="left"/>
              <w:rPr>
                <w:rFonts w:asciiTheme="minorHAnsi" w:hAnsiTheme="minorHAnsi" w:cstheme="minorHAnsi"/>
                <w:sz w:val="20"/>
                <w:szCs w:val="20"/>
              </w:rPr>
            </w:pPr>
            <w:r>
              <w:rPr>
                <w:rFonts w:asciiTheme="minorHAnsi" w:hAnsiTheme="minorHAnsi" w:cstheme="minorHAnsi"/>
                <w:sz w:val="20"/>
                <w:szCs w:val="20"/>
              </w:rPr>
              <w:t>First Secretary, Nuku’alofa</w:t>
            </w:r>
          </w:p>
        </w:tc>
        <w:tc>
          <w:tcPr>
            <w:tcW w:w="1875" w:type="dxa"/>
          </w:tcPr>
          <w:p w:rsidR="005265AC" w:rsidRPr="00991DCE" w:rsidRDefault="005265AC" w:rsidP="00791C2C">
            <w:pPr>
              <w:jc w:val="left"/>
              <w:rPr>
                <w:rFonts w:asciiTheme="minorHAnsi" w:hAnsiTheme="minorHAnsi" w:cstheme="minorHAnsi"/>
                <w:sz w:val="20"/>
                <w:szCs w:val="20"/>
              </w:rPr>
            </w:pPr>
            <w:r>
              <w:rPr>
                <w:rFonts w:asciiTheme="minorHAnsi" w:hAnsiTheme="minorHAnsi" w:cstheme="minorHAnsi"/>
                <w:sz w:val="20"/>
                <w:szCs w:val="20"/>
              </w:rPr>
              <w:t xml:space="preserve">Senior Program Manager, Economic and Public Sector Governance </w:t>
            </w:r>
          </w:p>
        </w:tc>
      </w:tr>
      <w:tr w:rsidR="005265AC" w:rsidRPr="00991DCE" w:rsidTr="00F12F0E">
        <w:trPr>
          <w:trHeight w:val="570"/>
        </w:trPr>
        <w:tc>
          <w:tcPr>
            <w:tcW w:w="1742" w:type="dxa"/>
          </w:tcPr>
          <w:p w:rsidR="005265AC" w:rsidRPr="00991DCE" w:rsidRDefault="00547802" w:rsidP="00287310">
            <w:pPr>
              <w:jc w:val="left"/>
              <w:rPr>
                <w:rFonts w:asciiTheme="minorHAnsi" w:hAnsiTheme="minorHAnsi" w:cstheme="minorHAnsi"/>
                <w:sz w:val="20"/>
                <w:szCs w:val="20"/>
              </w:rPr>
            </w:pPr>
            <w:r>
              <w:rPr>
                <w:rFonts w:asciiTheme="minorHAnsi" w:hAnsiTheme="minorHAnsi" w:cstheme="minorHAnsi"/>
                <w:sz w:val="20"/>
                <w:szCs w:val="20"/>
              </w:rPr>
              <w:t>Reform of t</w:t>
            </w:r>
            <w:r w:rsidR="005265AC" w:rsidRPr="00991DCE">
              <w:rPr>
                <w:rFonts w:asciiTheme="minorHAnsi" w:hAnsiTheme="minorHAnsi" w:cstheme="minorHAnsi"/>
                <w:sz w:val="20"/>
                <w:szCs w:val="20"/>
              </w:rPr>
              <w:t>he majority of public enterprises and development of the private sector</w:t>
            </w:r>
          </w:p>
        </w:tc>
        <w:tc>
          <w:tcPr>
            <w:tcW w:w="1401" w:type="dxa"/>
          </w:tcPr>
          <w:p w:rsidR="005265AC" w:rsidRPr="00991DCE" w:rsidRDefault="005265AC" w:rsidP="00991DCE">
            <w:pPr>
              <w:jc w:val="left"/>
              <w:rPr>
                <w:rFonts w:asciiTheme="minorHAnsi" w:hAnsiTheme="minorHAnsi" w:cstheme="minorHAnsi"/>
                <w:sz w:val="20"/>
                <w:szCs w:val="20"/>
              </w:rPr>
            </w:pPr>
            <w:r>
              <w:rPr>
                <w:rFonts w:asciiTheme="minorHAnsi" w:hAnsiTheme="minorHAnsi" w:cstheme="minorHAnsi"/>
                <w:sz w:val="20"/>
                <w:szCs w:val="20"/>
              </w:rPr>
              <w:t>Business enabling environment</w:t>
            </w:r>
          </w:p>
        </w:tc>
        <w:tc>
          <w:tcPr>
            <w:tcW w:w="2777" w:type="dxa"/>
          </w:tcPr>
          <w:p w:rsidR="005265AC" w:rsidRDefault="008F75ED" w:rsidP="00A11CCA">
            <w:pPr>
              <w:pStyle w:val="ListParagraph"/>
              <w:numPr>
                <w:ilvl w:val="0"/>
                <w:numId w:val="30"/>
              </w:numPr>
              <w:rPr>
                <w:rFonts w:cstheme="minorHAnsi"/>
                <w:sz w:val="20"/>
                <w:szCs w:val="20"/>
              </w:rPr>
            </w:pPr>
            <w:r>
              <w:rPr>
                <w:rFonts w:cstheme="minorHAnsi"/>
                <w:sz w:val="20"/>
                <w:szCs w:val="20"/>
              </w:rPr>
              <w:t>Reform of the majority of public enterprises</w:t>
            </w:r>
          </w:p>
          <w:p w:rsidR="008F75ED" w:rsidRPr="006E3F48" w:rsidRDefault="008F75ED" w:rsidP="00A11CCA">
            <w:pPr>
              <w:pStyle w:val="ListParagraph"/>
              <w:numPr>
                <w:ilvl w:val="0"/>
                <w:numId w:val="30"/>
              </w:numPr>
              <w:rPr>
                <w:rFonts w:cstheme="minorHAnsi"/>
                <w:sz w:val="20"/>
                <w:szCs w:val="20"/>
              </w:rPr>
            </w:pPr>
            <w:r>
              <w:rPr>
                <w:rFonts w:cstheme="minorHAnsi"/>
                <w:sz w:val="20"/>
                <w:szCs w:val="20"/>
              </w:rPr>
              <w:t>Reform of the business environment leading to measurable development of the private sector</w:t>
            </w:r>
          </w:p>
        </w:tc>
        <w:tc>
          <w:tcPr>
            <w:tcW w:w="1843" w:type="dxa"/>
          </w:tcPr>
          <w:p w:rsidR="005265AC" w:rsidRPr="006E3F48" w:rsidRDefault="005265AC" w:rsidP="00A11CCA">
            <w:pPr>
              <w:pStyle w:val="ListParagraph"/>
              <w:numPr>
                <w:ilvl w:val="0"/>
                <w:numId w:val="30"/>
              </w:numPr>
              <w:rPr>
                <w:rFonts w:cstheme="minorHAnsi"/>
                <w:sz w:val="20"/>
                <w:szCs w:val="20"/>
              </w:rPr>
            </w:pPr>
            <w:r w:rsidRPr="006E3F48">
              <w:rPr>
                <w:rFonts w:cstheme="minorHAnsi"/>
                <w:sz w:val="20"/>
                <w:szCs w:val="20"/>
              </w:rPr>
              <w:t>Policy Reform Matrix (World Bank-led)</w:t>
            </w:r>
          </w:p>
        </w:tc>
        <w:tc>
          <w:tcPr>
            <w:tcW w:w="1701" w:type="dxa"/>
          </w:tcPr>
          <w:p w:rsidR="005265AC" w:rsidRDefault="005265AC" w:rsidP="00A11CCA">
            <w:pPr>
              <w:pStyle w:val="ListParagraph"/>
              <w:numPr>
                <w:ilvl w:val="0"/>
                <w:numId w:val="30"/>
              </w:numPr>
              <w:rPr>
                <w:rFonts w:cstheme="minorHAnsi"/>
              </w:rPr>
            </w:pPr>
            <w:r>
              <w:rPr>
                <w:rFonts w:cstheme="minorHAnsi"/>
              </w:rPr>
              <w:t>MCTL</w:t>
            </w:r>
          </w:p>
          <w:p w:rsidR="005265AC" w:rsidRDefault="005265AC" w:rsidP="00A11CCA">
            <w:pPr>
              <w:pStyle w:val="ListParagraph"/>
              <w:numPr>
                <w:ilvl w:val="0"/>
                <w:numId w:val="30"/>
              </w:numPr>
              <w:rPr>
                <w:rFonts w:cstheme="minorHAnsi"/>
              </w:rPr>
            </w:pPr>
            <w:r w:rsidRPr="00DF0A72">
              <w:rPr>
                <w:rFonts w:cstheme="minorHAnsi"/>
              </w:rPr>
              <w:t>World Bank</w:t>
            </w:r>
          </w:p>
          <w:p w:rsidR="005265AC" w:rsidRPr="00DF0A72" w:rsidRDefault="005265AC" w:rsidP="00A11CCA">
            <w:pPr>
              <w:pStyle w:val="ListParagraph"/>
              <w:numPr>
                <w:ilvl w:val="0"/>
                <w:numId w:val="30"/>
              </w:numPr>
              <w:rPr>
                <w:rFonts w:cstheme="minorHAnsi"/>
              </w:rPr>
            </w:pPr>
            <w:r w:rsidRPr="00DF0A72">
              <w:rPr>
                <w:rFonts w:cstheme="minorHAnsi"/>
              </w:rPr>
              <w:t>ADB (PSDI)</w:t>
            </w:r>
          </w:p>
        </w:tc>
        <w:tc>
          <w:tcPr>
            <w:tcW w:w="1701" w:type="dxa"/>
          </w:tcPr>
          <w:p w:rsidR="005265AC" w:rsidRPr="00991DCE" w:rsidRDefault="0018410A" w:rsidP="00121AA0">
            <w:pPr>
              <w:jc w:val="left"/>
              <w:rPr>
                <w:rFonts w:asciiTheme="minorHAnsi" w:hAnsiTheme="minorHAnsi" w:cstheme="minorHAnsi"/>
                <w:sz w:val="20"/>
                <w:szCs w:val="20"/>
              </w:rPr>
            </w:pPr>
            <w:r>
              <w:rPr>
                <w:rFonts w:asciiTheme="minorHAnsi" w:hAnsiTheme="minorHAnsi" w:cstheme="minorHAnsi"/>
                <w:sz w:val="20"/>
                <w:szCs w:val="20"/>
              </w:rPr>
              <w:t>Moderate</w:t>
            </w:r>
            <w:r w:rsidR="005265AC">
              <w:rPr>
                <w:rFonts w:asciiTheme="minorHAnsi" w:hAnsiTheme="minorHAnsi" w:cstheme="minorHAnsi"/>
                <w:sz w:val="20"/>
                <w:szCs w:val="20"/>
              </w:rPr>
              <w:t>:</w:t>
            </w:r>
            <w:r w:rsidR="00932202">
              <w:rPr>
                <w:rFonts w:asciiTheme="minorHAnsi" w:hAnsiTheme="minorHAnsi" w:cstheme="minorHAnsi"/>
                <w:sz w:val="20"/>
                <w:szCs w:val="20"/>
              </w:rPr>
              <w:t xml:space="preserve"> </w:t>
            </w:r>
            <w:r>
              <w:rPr>
                <w:rFonts w:asciiTheme="minorHAnsi" w:hAnsiTheme="minorHAnsi" w:cstheme="minorHAnsi"/>
                <w:sz w:val="20"/>
                <w:szCs w:val="20"/>
              </w:rPr>
              <w:t>government and implementing partner meetings; Canberra-based economist to monitor progress on Policy Reform Matrix</w:t>
            </w:r>
            <w:r w:rsidR="000159E2">
              <w:rPr>
                <w:rFonts w:asciiTheme="minorHAnsi" w:hAnsiTheme="minorHAnsi" w:cstheme="minorHAnsi"/>
                <w:sz w:val="20"/>
                <w:szCs w:val="20"/>
              </w:rPr>
              <w:t xml:space="preserve"> </w:t>
            </w:r>
            <w:r w:rsidR="005265AC">
              <w:rPr>
                <w:rFonts w:asciiTheme="minorHAnsi" w:hAnsiTheme="minorHAnsi" w:cstheme="minorHAnsi"/>
                <w:sz w:val="20"/>
                <w:szCs w:val="20"/>
              </w:rPr>
              <w:t xml:space="preserve"> </w:t>
            </w:r>
          </w:p>
        </w:tc>
        <w:tc>
          <w:tcPr>
            <w:tcW w:w="1134" w:type="dxa"/>
          </w:tcPr>
          <w:p w:rsidR="005265AC" w:rsidRPr="00991DCE" w:rsidRDefault="005265AC" w:rsidP="00791C2C">
            <w:pPr>
              <w:jc w:val="left"/>
              <w:rPr>
                <w:rFonts w:asciiTheme="minorHAnsi" w:hAnsiTheme="minorHAnsi" w:cstheme="minorHAnsi"/>
                <w:sz w:val="20"/>
                <w:szCs w:val="20"/>
              </w:rPr>
            </w:pPr>
            <w:r>
              <w:rPr>
                <w:rFonts w:asciiTheme="minorHAnsi" w:hAnsiTheme="minorHAnsi" w:cstheme="minorHAnsi"/>
                <w:sz w:val="20"/>
                <w:szCs w:val="20"/>
              </w:rPr>
              <w:t>First Secretary, Nuku’alofa</w:t>
            </w:r>
          </w:p>
        </w:tc>
        <w:tc>
          <w:tcPr>
            <w:tcW w:w="1875" w:type="dxa"/>
          </w:tcPr>
          <w:p w:rsidR="005265AC" w:rsidRPr="00991DCE" w:rsidRDefault="005265AC" w:rsidP="00791C2C">
            <w:pPr>
              <w:jc w:val="left"/>
              <w:rPr>
                <w:rFonts w:asciiTheme="minorHAnsi" w:hAnsiTheme="minorHAnsi" w:cstheme="minorHAnsi"/>
                <w:sz w:val="20"/>
                <w:szCs w:val="20"/>
              </w:rPr>
            </w:pPr>
            <w:r>
              <w:rPr>
                <w:rFonts w:asciiTheme="minorHAnsi" w:hAnsiTheme="minorHAnsi" w:cstheme="minorHAnsi"/>
                <w:sz w:val="20"/>
                <w:szCs w:val="20"/>
              </w:rPr>
              <w:t xml:space="preserve">Senior Program Manager, Economic and Public Sector Governance </w:t>
            </w:r>
          </w:p>
        </w:tc>
      </w:tr>
      <w:tr w:rsidR="005265AC" w:rsidRPr="00991DCE" w:rsidTr="00F12F0E">
        <w:trPr>
          <w:trHeight w:val="570"/>
        </w:trPr>
        <w:tc>
          <w:tcPr>
            <w:tcW w:w="1742" w:type="dxa"/>
          </w:tcPr>
          <w:p w:rsidR="005265AC" w:rsidRPr="00991DCE" w:rsidRDefault="00547802" w:rsidP="00547802">
            <w:pPr>
              <w:jc w:val="left"/>
              <w:rPr>
                <w:rFonts w:asciiTheme="minorHAnsi" w:hAnsiTheme="minorHAnsi" w:cstheme="minorHAnsi"/>
                <w:sz w:val="20"/>
                <w:szCs w:val="20"/>
              </w:rPr>
            </w:pPr>
            <w:r>
              <w:rPr>
                <w:rFonts w:asciiTheme="minorHAnsi" w:hAnsiTheme="minorHAnsi" w:cstheme="minorHAnsi"/>
                <w:sz w:val="20"/>
                <w:szCs w:val="20"/>
              </w:rPr>
              <w:t>A</w:t>
            </w:r>
            <w:r w:rsidR="005265AC" w:rsidRPr="00991DCE">
              <w:rPr>
                <w:rFonts w:asciiTheme="minorHAnsi" w:hAnsiTheme="minorHAnsi" w:cstheme="minorHAnsi"/>
                <w:sz w:val="20"/>
                <w:szCs w:val="20"/>
              </w:rPr>
              <w:t xml:space="preserve"> more coordinated whole of government approach to partnership for PFM reforms</w:t>
            </w:r>
          </w:p>
        </w:tc>
        <w:tc>
          <w:tcPr>
            <w:tcW w:w="1401" w:type="dxa"/>
          </w:tcPr>
          <w:p w:rsidR="005265AC" w:rsidRPr="00991DCE" w:rsidRDefault="005265AC" w:rsidP="005265AC">
            <w:pPr>
              <w:jc w:val="left"/>
              <w:rPr>
                <w:rFonts w:asciiTheme="minorHAnsi" w:hAnsiTheme="minorHAnsi" w:cstheme="minorHAnsi"/>
                <w:sz w:val="20"/>
                <w:szCs w:val="20"/>
              </w:rPr>
            </w:pPr>
            <w:r>
              <w:rPr>
                <w:rFonts w:asciiTheme="minorHAnsi" w:hAnsiTheme="minorHAnsi" w:cstheme="minorHAnsi"/>
                <w:sz w:val="20"/>
                <w:szCs w:val="20"/>
              </w:rPr>
              <w:t>Effective aid through alignment, harmonisation and mutual accountability</w:t>
            </w:r>
          </w:p>
        </w:tc>
        <w:tc>
          <w:tcPr>
            <w:tcW w:w="2777" w:type="dxa"/>
          </w:tcPr>
          <w:p w:rsidR="00791C2C" w:rsidRDefault="00DA3A54" w:rsidP="00A11CCA">
            <w:pPr>
              <w:pStyle w:val="ListParagraph"/>
              <w:numPr>
                <w:ilvl w:val="0"/>
                <w:numId w:val="30"/>
              </w:numPr>
              <w:rPr>
                <w:rFonts w:cstheme="minorHAnsi"/>
                <w:sz w:val="20"/>
                <w:szCs w:val="20"/>
              </w:rPr>
            </w:pPr>
            <w:r>
              <w:rPr>
                <w:rFonts w:cstheme="minorHAnsi"/>
                <w:sz w:val="20"/>
                <w:szCs w:val="20"/>
              </w:rPr>
              <w:t xml:space="preserve">Coordinated policy dialogue between GoT and donor partners </w:t>
            </w:r>
          </w:p>
          <w:p w:rsidR="005265AC" w:rsidRPr="006E3F48" w:rsidRDefault="00791C2C" w:rsidP="00A11CCA">
            <w:pPr>
              <w:pStyle w:val="ListParagraph"/>
              <w:numPr>
                <w:ilvl w:val="0"/>
                <w:numId w:val="30"/>
              </w:numPr>
              <w:rPr>
                <w:rFonts w:cstheme="minorHAnsi"/>
                <w:sz w:val="20"/>
                <w:szCs w:val="20"/>
              </w:rPr>
            </w:pPr>
            <w:r>
              <w:rPr>
                <w:rFonts w:cstheme="minorHAnsi"/>
                <w:sz w:val="20"/>
                <w:szCs w:val="20"/>
              </w:rPr>
              <w:t>Improved monitoring arrangements</w:t>
            </w:r>
            <w:r w:rsidR="00524390">
              <w:rPr>
                <w:rFonts w:cstheme="minorHAnsi"/>
                <w:sz w:val="20"/>
                <w:szCs w:val="20"/>
              </w:rPr>
              <w:t xml:space="preserve"> between AusAID and GoT</w:t>
            </w:r>
          </w:p>
        </w:tc>
        <w:tc>
          <w:tcPr>
            <w:tcW w:w="1843" w:type="dxa"/>
          </w:tcPr>
          <w:p w:rsidR="005265AC" w:rsidRPr="006E3F48" w:rsidRDefault="005265AC" w:rsidP="00A11CCA">
            <w:pPr>
              <w:pStyle w:val="ListParagraph"/>
              <w:numPr>
                <w:ilvl w:val="0"/>
                <w:numId w:val="30"/>
              </w:numPr>
              <w:rPr>
                <w:rFonts w:cstheme="minorHAnsi"/>
                <w:sz w:val="20"/>
                <w:szCs w:val="20"/>
              </w:rPr>
            </w:pPr>
            <w:r w:rsidRPr="006E3F48">
              <w:rPr>
                <w:rFonts w:cstheme="minorHAnsi"/>
                <w:sz w:val="20"/>
                <w:szCs w:val="20"/>
              </w:rPr>
              <w:t>Policy Reform Matrix (World Bank-led)</w:t>
            </w:r>
          </w:p>
        </w:tc>
        <w:tc>
          <w:tcPr>
            <w:tcW w:w="1701" w:type="dxa"/>
          </w:tcPr>
          <w:p w:rsidR="005265AC" w:rsidRDefault="005265AC" w:rsidP="00A11CCA">
            <w:pPr>
              <w:pStyle w:val="ListParagraph"/>
              <w:numPr>
                <w:ilvl w:val="0"/>
                <w:numId w:val="30"/>
              </w:numPr>
              <w:rPr>
                <w:rFonts w:cstheme="minorHAnsi"/>
              </w:rPr>
            </w:pPr>
            <w:r>
              <w:rPr>
                <w:rFonts w:cstheme="minorHAnsi"/>
              </w:rPr>
              <w:t>MoFNP</w:t>
            </w:r>
          </w:p>
          <w:p w:rsidR="005265AC" w:rsidRDefault="005265AC" w:rsidP="00A11CCA">
            <w:pPr>
              <w:pStyle w:val="ListParagraph"/>
              <w:numPr>
                <w:ilvl w:val="0"/>
                <w:numId w:val="30"/>
              </w:numPr>
              <w:rPr>
                <w:rFonts w:cstheme="minorHAnsi"/>
              </w:rPr>
            </w:pPr>
            <w:r w:rsidRPr="00DF0A72">
              <w:rPr>
                <w:rFonts w:cstheme="minorHAnsi"/>
              </w:rPr>
              <w:t>World Bank</w:t>
            </w:r>
          </w:p>
          <w:p w:rsidR="005265AC" w:rsidRPr="00DF0A72" w:rsidRDefault="005265AC" w:rsidP="00A11CCA">
            <w:pPr>
              <w:pStyle w:val="ListParagraph"/>
              <w:numPr>
                <w:ilvl w:val="0"/>
                <w:numId w:val="30"/>
              </w:numPr>
              <w:rPr>
                <w:rFonts w:cstheme="minorHAnsi"/>
              </w:rPr>
            </w:pPr>
            <w:r w:rsidRPr="00DF0A72">
              <w:rPr>
                <w:rFonts w:cstheme="minorHAnsi"/>
              </w:rPr>
              <w:t xml:space="preserve">ADB </w:t>
            </w:r>
          </w:p>
        </w:tc>
        <w:tc>
          <w:tcPr>
            <w:tcW w:w="1701" w:type="dxa"/>
          </w:tcPr>
          <w:p w:rsidR="005265AC" w:rsidRPr="00991DCE" w:rsidRDefault="00A634D3" w:rsidP="00121AA0">
            <w:pPr>
              <w:jc w:val="left"/>
              <w:rPr>
                <w:rFonts w:asciiTheme="minorHAnsi" w:hAnsiTheme="minorHAnsi" w:cstheme="minorHAnsi"/>
                <w:sz w:val="20"/>
                <w:szCs w:val="20"/>
              </w:rPr>
            </w:pPr>
            <w:r>
              <w:rPr>
                <w:rFonts w:asciiTheme="minorHAnsi" w:hAnsiTheme="minorHAnsi" w:cstheme="minorHAnsi"/>
                <w:sz w:val="20"/>
                <w:szCs w:val="20"/>
              </w:rPr>
              <w:t>Moderate</w:t>
            </w:r>
            <w:r w:rsidR="005265AC">
              <w:rPr>
                <w:rFonts w:asciiTheme="minorHAnsi" w:hAnsiTheme="minorHAnsi" w:cstheme="minorHAnsi"/>
                <w:sz w:val="20"/>
                <w:szCs w:val="20"/>
              </w:rPr>
              <w:t>:</w:t>
            </w:r>
            <w:r>
              <w:rPr>
                <w:rFonts w:asciiTheme="minorHAnsi" w:hAnsiTheme="minorHAnsi" w:cstheme="minorHAnsi"/>
                <w:sz w:val="20"/>
                <w:szCs w:val="20"/>
              </w:rPr>
              <w:t xml:space="preserve"> </w:t>
            </w:r>
            <w:r w:rsidR="00F02D19">
              <w:rPr>
                <w:rFonts w:asciiTheme="minorHAnsi" w:hAnsiTheme="minorHAnsi" w:cstheme="minorHAnsi"/>
                <w:sz w:val="20"/>
                <w:szCs w:val="20"/>
              </w:rPr>
              <w:t>government and implementing partner meetings (including biannual AusAID and GoT meetings to assess performance at a whole-of-strategy level</w:t>
            </w:r>
            <w:r w:rsidR="000159E2">
              <w:rPr>
                <w:rFonts w:asciiTheme="minorHAnsi" w:hAnsiTheme="minorHAnsi" w:cstheme="minorHAnsi"/>
                <w:sz w:val="20"/>
                <w:szCs w:val="20"/>
              </w:rPr>
              <w:t>;</w:t>
            </w:r>
            <w:r w:rsidR="00F02D19">
              <w:rPr>
                <w:rFonts w:asciiTheme="minorHAnsi" w:hAnsiTheme="minorHAnsi" w:cstheme="minorHAnsi"/>
                <w:sz w:val="20"/>
                <w:szCs w:val="20"/>
              </w:rPr>
              <w:t xml:space="preserve"> and quarterly AusAID and GoT meetings to ensure program coherence and oversight)</w:t>
            </w:r>
          </w:p>
        </w:tc>
        <w:tc>
          <w:tcPr>
            <w:tcW w:w="1134" w:type="dxa"/>
          </w:tcPr>
          <w:p w:rsidR="005265AC" w:rsidRPr="00991DCE" w:rsidRDefault="005265AC" w:rsidP="00791C2C">
            <w:pPr>
              <w:jc w:val="left"/>
              <w:rPr>
                <w:rFonts w:asciiTheme="minorHAnsi" w:hAnsiTheme="minorHAnsi" w:cstheme="minorHAnsi"/>
                <w:sz w:val="20"/>
                <w:szCs w:val="20"/>
              </w:rPr>
            </w:pPr>
            <w:r>
              <w:rPr>
                <w:rFonts w:asciiTheme="minorHAnsi" w:hAnsiTheme="minorHAnsi" w:cstheme="minorHAnsi"/>
                <w:sz w:val="20"/>
                <w:szCs w:val="20"/>
              </w:rPr>
              <w:t>First Secretary, Nuku’alofa</w:t>
            </w:r>
          </w:p>
        </w:tc>
        <w:tc>
          <w:tcPr>
            <w:tcW w:w="1875" w:type="dxa"/>
          </w:tcPr>
          <w:p w:rsidR="005265AC" w:rsidRPr="00991DCE" w:rsidRDefault="005265AC" w:rsidP="00791C2C">
            <w:pPr>
              <w:jc w:val="left"/>
              <w:rPr>
                <w:rFonts w:asciiTheme="minorHAnsi" w:hAnsiTheme="minorHAnsi" w:cstheme="minorHAnsi"/>
                <w:sz w:val="20"/>
                <w:szCs w:val="20"/>
              </w:rPr>
            </w:pPr>
            <w:r>
              <w:rPr>
                <w:rFonts w:asciiTheme="minorHAnsi" w:hAnsiTheme="minorHAnsi" w:cstheme="minorHAnsi"/>
                <w:sz w:val="20"/>
                <w:szCs w:val="20"/>
              </w:rPr>
              <w:t xml:space="preserve">Senior Program Manager, Economic and Public Sector Governance </w:t>
            </w:r>
          </w:p>
        </w:tc>
      </w:tr>
      <w:tr w:rsidR="00A67D8C" w:rsidRPr="00991DCE" w:rsidTr="00F12F0E">
        <w:trPr>
          <w:trHeight w:val="570"/>
        </w:trPr>
        <w:tc>
          <w:tcPr>
            <w:tcW w:w="1742" w:type="dxa"/>
          </w:tcPr>
          <w:p w:rsidR="00A67D8C" w:rsidRDefault="00A67D8C" w:rsidP="00547802">
            <w:pPr>
              <w:jc w:val="left"/>
              <w:rPr>
                <w:rFonts w:asciiTheme="minorHAnsi" w:hAnsiTheme="minorHAnsi" w:cstheme="minorHAnsi"/>
                <w:sz w:val="20"/>
                <w:szCs w:val="20"/>
              </w:rPr>
            </w:pPr>
            <w:r>
              <w:rPr>
                <w:rFonts w:asciiTheme="minorHAnsi" w:hAnsiTheme="minorHAnsi" w:cstheme="minorHAnsi"/>
                <w:sz w:val="20"/>
                <w:szCs w:val="20"/>
              </w:rPr>
              <w:t xml:space="preserve">Improved political and institutional environment </w:t>
            </w:r>
          </w:p>
        </w:tc>
        <w:tc>
          <w:tcPr>
            <w:tcW w:w="1401" w:type="dxa"/>
          </w:tcPr>
          <w:p w:rsidR="00A67D8C" w:rsidRDefault="00A67D8C" w:rsidP="005265AC">
            <w:pPr>
              <w:jc w:val="left"/>
              <w:rPr>
                <w:rFonts w:asciiTheme="minorHAnsi" w:hAnsiTheme="minorHAnsi" w:cstheme="minorHAnsi"/>
                <w:sz w:val="20"/>
                <w:szCs w:val="20"/>
              </w:rPr>
            </w:pPr>
            <w:r>
              <w:rPr>
                <w:rFonts w:asciiTheme="minorHAnsi" w:hAnsiTheme="minorHAnsi" w:cstheme="minorHAnsi"/>
                <w:sz w:val="20"/>
                <w:szCs w:val="20"/>
              </w:rPr>
              <w:t>Political governance</w:t>
            </w:r>
          </w:p>
        </w:tc>
        <w:tc>
          <w:tcPr>
            <w:tcW w:w="2777" w:type="dxa"/>
          </w:tcPr>
          <w:p w:rsidR="00A67D8C" w:rsidRPr="00A67D8C" w:rsidRDefault="00A67D8C" w:rsidP="00A11CCA">
            <w:pPr>
              <w:pStyle w:val="ListParagraph"/>
              <w:numPr>
                <w:ilvl w:val="0"/>
                <w:numId w:val="31"/>
              </w:numPr>
              <w:rPr>
                <w:rFonts w:cstheme="minorHAnsi"/>
                <w:sz w:val="20"/>
                <w:szCs w:val="20"/>
              </w:rPr>
            </w:pPr>
            <w:r w:rsidRPr="00A67D8C">
              <w:rPr>
                <w:rFonts w:cstheme="minorHAnsi"/>
                <w:sz w:val="20"/>
                <w:szCs w:val="20"/>
              </w:rPr>
              <w:t>A more accountable, responsive and effective government</w:t>
            </w:r>
          </w:p>
        </w:tc>
        <w:tc>
          <w:tcPr>
            <w:tcW w:w="1843" w:type="dxa"/>
          </w:tcPr>
          <w:p w:rsidR="00A67D8C" w:rsidRDefault="00A67D8C" w:rsidP="00A11CCA">
            <w:pPr>
              <w:pStyle w:val="ListParagraph"/>
              <w:numPr>
                <w:ilvl w:val="0"/>
                <w:numId w:val="30"/>
              </w:numPr>
              <w:rPr>
                <w:rFonts w:cstheme="minorHAnsi"/>
                <w:sz w:val="20"/>
                <w:szCs w:val="20"/>
              </w:rPr>
            </w:pPr>
            <w:r>
              <w:rPr>
                <w:rFonts w:cstheme="minorHAnsi"/>
                <w:sz w:val="20"/>
                <w:szCs w:val="20"/>
              </w:rPr>
              <w:t>Tonga Governance Strengthening Program</w:t>
            </w:r>
          </w:p>
          <w:p w:rsidR="00A67D8C" w:rsidRPr="006E3F48" w:rsidRDefault="00A67D8C" w:rsidP="00BA1DC7">
            <w:pPr>
              <w:pStyle w:val="ListParagraph"/>
              <w:ind w:left="360"/>
              <w:rPr>
                <w:rFonts w:cstheme="minorHAnsi"/>
                <w:sz w:val="20"/>
                <w:szCs w:val="20"/>
              </w:rPr>
            </w:pPr>
          </w:p>
        </w:tc>
        <w:tc>
          <w:tcPr>
            <w:tcW w:w="1701" w:type="dxa"/>
          </w:tcPr>
          <w:p w:rsidR="00A67D8C" w:rsidRDefault="006E7855" w:rsidP="00A11CCA">
            <w:pPr>
              <w:pStyle w:val="ListParagraph"/>
              <w:numPr>
                <w:ilvl w:val="0"/>
                <w:numId w:val="30"/>
              </w:numPr>
              <w:rPr>
                <w:rFonts w:cstheme="minorHAnsi"/>
              </w:rPr>
            </w:pPr>
            <w:r>
              <w:rPr>
                <w:rFonts w:cstheme="minorHAnsi"/>
              </w:rPr>
              <w:t>Tonga Legislative Assembly</w:t>
            </w:r>
          </w:p>
          <w:p w:rsidR="00A67D8C" w:rsidRDefault="00A67D8C" w:rsidP="00A11CCA">
            <w:pPr>
              <w:pStyle w:val="ListParagraph"/>
              <w:numPr>
                <w:ilvl w:val="0"/>
                <w:numId w:val="30"/>
              </w:numPr>
              <w:rPr>
                <w:rFonts w:cstheme="minorHAnsi"/>
              </w:rPr>
            </w:pPr>
            <w:r>
              <w:rPr>
                <w:rFonts w:cstheme="minorHAnsi"/>
              </w:rPr>
              <w:t>TEC</w:t>
            </w:r>
          </w:p>
          <w:p w:rsidR="00A67D8C" w:rsidRDefault="00A67D8C" w:rsidP="00A11CCA">
            <w:pPr>
              <w:pStyle w:val="ListParagraph"/>
              <w:numPr>
                <w:ilvl w:val="0"/>
                <w:numId w:val="30"/>
              </w:numPr>
              <w:rPr>
                <w:rFonts w:cstheme="minorHAnsi"/>
              </w:rPr>
            </w:pPr>
            <w:r>
              <w:rPr>
                <w:rFonts w:cstheme="minorHAnsi"/>
              </w:rPr>
              <w:t>CSFT</w:t>
            </w:r>
          </w:p>
          <w:p w:rsidR="00A67D8C" w:rsidRDefault="00A67D8C" w:rsidP="00A11CCA">
            <w:pPr>
              <w:pStyle w:val="ListParagraph"/>
              <w:numPr>
                <w:ilvl w:val="0"/>
                <w:numId w:val="30"/>
              </w:numPr>
              <w:rPr>
                <w:rFonts w:cstheme="minorHAnsi"/>
              </w:rPr>
            </w:pPr>
            <w:r>
              <w:rPr>
                <w:rFonts w:cstheme="minorHAnsi"/>
              </w:rPr>
              <w:t>UNDP</w:t>
            </w:r>
          </w:p>
          <w:p w:rsidR="00A67D8C" w:rsidRDefault="00A67D8C" w:rsidP="00A11CCA">
            <w:pPr>
              <w:pStyle w:val="ListParagraph"/>
              <w:numPr>
                <w:ilvl w:val="0"/>
                <w:numId w:val="30"/>
              </w:numPr>
              <w:rPr>
                <w:rFonts w:cstheme="minorHAnsi"/>
              </w:rPr>
            </w:pPr>
            <w:r>
              <w:rPr>
                <w:rFonts w:cstheme="minorHAnsi"/>
              </w:rPr>
              <w:t>AEC</w:t>
            </w:r>
          </w:p>
        </w:tc>
        <w:tc>
          <w:tcPr>
            <w:tcW w:w="1701" w:type="dxa"/>
          </w:tcPr>
          <w:p w:rsidR="00A67D8C" w:rsidRPr="00991DCE" w:rsidRDefault="00E45037" w:rsidP="00E45037">
            <w:pPr>
              <w:jc w:val="left"/>
              <w:rPr>
                <w:rFonts w:asciiTheme="minorHAnsi" w:hAnsiTheme="minorHAnsi" w:cstheme="minorHAnsi"/>
                <w:sz w:val="20"/>
                <w:szCs w:val="20"/>
              </w:rPr>
            </w:pPr>
            <w:r>
              <w:rPr>
                <w:rFonts w:asciiTheme="minorHAnsi" w:hAnsiTheme="minorHAnsi" w:cstheme="minorHAnsi"/>
                <w:sz w:val="20"/>
                <w:szCs w:val="20"/>
              </w:rPr>
              <w:t>Minimal</w:t>
            </w:r>
            <w:r w:rsidR="00A67D8C">
              <w:rPr>
                <w:rFonts w:asciiTheme="minorHAnsi" w:hAnsiTheme="minorHAnsi" w:cstheme="minorHAnsi"/>
                <w:sz w:val="20"/>
                <w:szCs w:val="20"/>
              </w:rPr>
              <w:t xml:space="preserve">: </w:t>
            </w:r>
            <w:r w:rsidR="000F20E5">
              <w:rPr>
                <w:rFonts w:asciiTheme="minorHAnsi" w:hAnsiTheme="minorHAnsi" w:cstheme="minorHAnsi"/>
                <w:sz w:val="20"/>
                <w:szCs w:val="20"/>
              </w:rPr>
              <w:t xml:space="preserve">some government and implementing partner meetings; </w:t>
            </w:r>
            <w:r w:rsidR="00D52EAD">
              <w:rPr>
                <w:rFonts w:asciiTheme="minorHAnsi" w:hAnsiTheme="minorHAnsi" w:cstheme="minorHAnsi"/>
                <w:sz w:val="20"/>
                <w:szCs w:val="20"/>
              </w:rPr>
              <w:t xml:space="preserve">participation in </w:t>
            </w:r>
            <w:r w:rsidR="000A57CF">
              <w:rPr>
                <w:rFonts w:asciiTheme="minorHAnsi" w:hAnsiTheme="minorHAnsi" w:cstheme="minorHAnsi"/>
                <w:sz w:val="20"/>
                <w:szCs w:val="20"/>
              </w:rPr>
              <w:t>in-country monitoring visits</w:t>
            </w:r>
          </w:p>
        </w:tc>
        <w:tc>
          <w:tcPr>
            <w:tcW w:w="1134" w:type="dxa"/>
          </w:tcPr>
          <w:p w:rsidR="00A67D8C" w:rsidRPr="00991DCE" w:rsidRDefault="00A67D8C" w:rsidP="00D379F0">
            <w:pPr>
              <w:jc w:val="left"/>
              <w:rPr>
                <w:rFonts w:asciiTheme="minorHAnsi" w:hAnsiTheme="minorHAnsi" w:cstheme="minorHAnsi"/>
                <w:sz w:val="20"/>
                <w:szCs w:val="20"/>
              </w:rPr>
            </w:pPr>
            <w:r>
              <w:rPr>
                <w:rFonts w:asciiTheme="minorHAnsi" w:hAnsiTheme="minorHAnsi" w:cstheme="minorHAnsi"/>
                <w:sz w:val="20"/>
                <w:szCs w:val="20"/>
              </w:rPr>
              <w:t xml:space="preserve">First Secretary, Nuku’alofa </w:t>
            </w:r>
          </w:p>
        </w:tc>
        <w:tc>
          <w:tcPr>
            <w:tcW w:w="1875" w:type="dxa"/>
          </w:tcPr>
          <w:p w:rsidR="00A67D8C" w:rsidRDefault="00A67D8C" w:rsidP="00BA1DC7">
            <w:pPr>
              <w:jc w:val="left"/>
              <w:rPr>
                <w:rFonts w:asciiTheme="minorHAnsi" w:hAnsiTheme="minorHAnsi" w:cstheme="minorHAnsi"/>
                <w:sz w:val="20"/>
                <w:szCs w:val="20"/>
              </w:rPr>
            </w:pPr>
            <w:r>
              <w:rPr>
                <w:rFonts w:asciiTheme="minorHAnsi" w:hAnsiTheme="minorHAnsi" w:cstheme="minorHAnsi"/>
                <w:sz w:val="20"/>
                <w:szCs w:val="20"/>
              </w:rPr>
              <w:t xml:space="preserve">Second Secretary, Nuku’alofa </w:t>
            </w:r>
          </w:p>
        </w:tc>
      </w:tr>
    </w:tbl>
    <w:p w:rsidR="00F121BB" w:rsidRPr="00C477D7" w:rsidRDefault="00F121BB" w:rsidP="00C477D7">
      <w:pPr>
        <w:sectPr w:rsidR="00F121BB" w:rsidRPr="00C477D7" w:rsidSect="00AB7D44">
          <w:pgSz w:w="16840" w:h="11907" w:orient="landscape" w:code="9"/>
          <w:pgMar w:top="1440" w:right="1440" w:bottom="1440" w:left="1440" w:header="709" w:footer="709" w:gutter="0"/>
          <w:cols w:space="708"/>
          <w:docGrid w:linePitch="360"/>
        </w:sectPr>
      </w:pPr>
    </w:p>
    <w:p w:rsidR="007F3C0D" w:rsidRDefault="000D7A3B" w:rsidP="007F3C0D">
      <w:pPr>
        <w:pStyle w:val="Heading1"/>
        <w:spacing w:before="0" w:line="276" w:lineRule="auto"/>
        <w:jc w:val="left"/>
        <w:rPr>
          <w:sz w:val="24"/>
        </w:rPr>
      </w:pPr>
      <w:bookmarkStart w:id="36" w:name="_Toc356389389"/>
      <w:r>
        <w:rPr>
          <w:sz w:val="24"/>
        </w:rPr>
        <w:t>Annex 4</w:t>
      </w:r>
      <w:r w:rsidR="007F3C0D" w:rsidRPr="00464EA0">
        <w:rPr>
          <w:sz w:val="24"/>
        </w:rPr>
        <w:t>: Draft implementation schedule for pipeline programming</w:t>
      </w:r>
      <w:bookmarkEnd w:id="36"/>
    </w:p>
    <w:p w:rsidR="007F3C0D" w:rsidRDefault="007F3C0D" w:rsidP="007F3C0D"/>
    <w:tbl>
      <w:tblPr>
        <w:tblStyle w:val="TableGrid"/>
        <w:tblW w:w="20520" w:type="dxa"/>
        <w:tblLayout w:type="fixed"/>
        <w:tblLook w:val="04A0" w:firstRow="1" w:lastRow="0" w:firstColumn="1" w:lastColumn="0" w:noHBand="0" w:noVBand="1"/>
      </w:tblPr>
      <w:tblGrid>
        <w:gridCol w:w="2943"/>
        <w:gridCol w:w="2835"/>
        <w:gridCol w:w="1701"/>
        <w:gridCol w:w="1641"/>
        <w:gridCol w:w="1893"/>
        <w:gridCol w:w="1893"/>
        <w:gridCol w:w="1893"/>
        <w:gridCol w:w="1894"/>
        <w:gridCol w:w="3827"/>
      </w:tblGrid>
      <w:tr w:rsidR="007F3C0D" w:rsidRPr="00CF242A" w:rsidTr="0097063B">
        <w:tc>
          <w:tcPr>
            <w:tcW w:w="2943" w:type="dxa"/>
            <w:shd w:val="clear" w:color="auto" w:fill="D9D9D9" w:themeFill="background1" w:themeFillShade="D9"/>
          </w:tcPr>
          <w:p w:rsidR="007F3C0D" w:rsidRPr="00CF242A" w:rsidRDefault="007F3C0D" w:rsidP="001369BF">
            <w:pPr>
              <w:rPr>
                <w:rFonts w:asciiTheme="minorHAnsi" w:hAnsiTheme="minorHAnsi" w:cstheme="minorHAnsi"/>
                <w:b/>
                <w:szCs w:val="20"/>
              </w:rPr>
            </w:pPr>
            <w:r w:rsidRPr="00CF242A">
              <w:rPr>
                <w:rFonts w:asciiTheme="minorHAnsi" w:hAnsiTheme="minorHAnsi" w:cstheme="minorHAnsi"/>
                <w:b/>
                <w:szCs w:val="20"/>
              </w:rPr>
              <w:t>Objective</w:t>
            </w:r>
          </w:p>
        </w:tc>
        <w:tc>
          <w:tcPr>
            <w:tcW w:w="2835" w:type="dxa"/>
            <w:shd w:val="clear" w:color="auto" w:fill="D9D9D9" w:themeFill="background1" w:themeFillShade="D9"/>
          </w:tcPr>
          <w:p w:rsidR="007F3C0D" w:rsidRPr="00CF242A" w:rsidRDefault="007F3C0D" w:rsidP="001369BF">
            <w:pPr>
              <w:rPr>
                <w:rFonts w:asciiTheme="minorHAnsi" w:hAnsiTheme="minorHAnsi" w:cstheme="minorHAnsi"/>
                <w:b/>
                <w:szCs w:val="20"/>
              </w:rPr>
            </w:pPr>
            <w:r w:rsidRPr="00CF242A">
              <w:rPr>
                <w:rFonts w:asciiTheme="minorHAnsi" w:hAnsiTheme="minorHAnsi" w:cstheme="minorHAnsi"/>
                <w:b/>
                <w:szCs w:val="20"/>
              </w:rPr>
              <w:t>Activity/ task</w:t>
            </w:r>
          </w:p>
        </w:tc>
        <w:tc>
          <w:tcPr>
            <w:tcW w:w="1701" w:type="dxa"/>
            <w:shd w:val="clear" w:color="auto" w:fill="D9D9D9" w:themeFill="background1" w:themeFillShade="D9"/>
          </w:tcPr>
          <w:p w:rsidR="007F3C0D" w:rsidRPr="00CF242A" w:rsidRDefault="007F3C0D" w:rsidP="0097063B">
            <w:pPr>
              <w:jc w:val="left"/>
              <w:rPr>
                <w:rFonts w:asciiTheme="minorHAnsi" w:hAnsiTheme="minorHAnsi" w:cstheme="minorHAnsi"/>
                <w:b/>
                <w:szCs w:val="20"/>
              </w:rPr>
            </w:pPr>
            <w:r w:rsidRPr="00CF242A">
              <w:rPr>
                <w:rFonts w:asciiTheme="minorHAnsi" w:hAnsiTheme="minorHAnsi" w:cstheme="minorHAnsi"/>
                <w:b/>
                <w:szCs w:val="20"/>
              </w:rPr>
              <w:t xml:space="preserve">Start </w:t>
            </w:r>
          </w:p>
        </w:tc>
        <w:tc>
          <w:tcPr>
            <w:tcW w:w="1641" w:type="dxa"/>
            <w:shd w:val="clear" w:color="auto" w:fill="D9D9D9" w:themeFill="background1" w:themeFillShade="D9"/>
          </w:tcPr>
          <w:p w:rsidR="007F3C0D" w:rsidRPr="00CF242A" w:rsidRDefault="007F3C0D" w:rsidP="001369BF">
            <w:pPr>
              <w:rPr>
                <w:rFonts w:asciiTheme="minorHAnsi" w:hAnsiTheme="minorHAnsi" w:cstheme="minorHAnsi"/>
                <w:b/>
                <w:szCs w:val="20"/>
              </w:rPr>
            </w:pPr>
            <w:r w:rsidRPr="00CF242A">
              <w:rPr>
                <w:rFonts w:asciiTheme="minorHAnsi" w:hAnsiTheme="minorHAnsi" w:cstheme="minorHAnsi"/>
                <w:b/>
                <w:szCs w:val="20"/>
              </w:rPr>
              <w:t>End</w:t>
            </w:r>
          </w:p>
        </w:tc>
        <w:tc>
          <w:tcPr>
            <w:tcW w:w="1893" w:type="dxa"/>
            <w:shd w:val="clear" w:color="auto" w:fill="D9D9D9" w:themeFill="background1" w:themeFillShade="D9"/>
          </w:tcPr>
          <w:p w:rsidR="007F3C0D" w:rsidRPr="00CF242A" w:rsidRDefault="007F3C0D" w:rsidP="001369BF">
            <w:pPr>
              <w:rPr>
                <w:rFonts w:asciiTheme="minorHAnsi" w:hAnsiTheme="minorHAnsi" w:cstheme="minorHAnsi"/>
                <w:b/>
                <w:szCs w:val="20"/>
              </w:rPr>
            </w:pPr>
            <w:r w:rsidRPr="00CF242A">
              <w:rPr>
                <w:rFonts w:asciiTheme="minorHAnsi" w:hAnsiTheme="minorHAnsi" w:cstheme="minorHAnsi"/>
                <w:b/>
                <w:szCs w:val="20"/>
              </w:rPr>
              <w:t>2013/14</w:t>
            </w:r>
          </w:p>
        </w:tc>
        <w:tc>
          <w:tcPr>
            <w:tcW w:w="1893" w:type="dxa"/>
            <w:shd w:val="clear" w:color="auto" w:fill="D9D9D9" w:themeFill="background1" w:themeFillShade="D9"/>
          </w:tcPr>
          <w:p w:rsidR="007F3C0D" w:rsidRPr="00CF242A" w:rsidRDefault="007F3C0D" w:rsidP="001369BF">
            <w:pPr>
              <w:rPr>
                <w:rFonts w:asciiTheme="minorHAnsi" w:hAnsiTheme="minorHAnsi" w:cstheme="minorHAnsi"/>
                <w:b/>
                <w:szCs w:val="20"/>
              </w:rPr>
            </w:pPr>
            <w:r w:rsidRPr="00CF242A">
              <w:rPr>
                <w:rFonts w:asciiTheme="minorHAnsi" w:hAnsiTheme="minorHAnsi" w:cstheme="minorHAnsi"/>
                <w:b/>
                <w:szCs w:val="20"/>
              </w:rPr>
              <w:t>2014/15</w:t>
            </w:r>
          </w:p>
        </w:tc>
        <w:tc>
          <w:tcPr>
            <w:tcW w:w="1893" w:type="dxa"/>
            <w:shd w:val="clear" w:color="auto" w:fill="D9D9D9" w:themeFill="background1" w:themeFillShade="D9"/>
          </w:tcPr>
          <w:p w:rsidR="007F3C0D" w:rsidRPr="00CF242A" w:rsidRDefault="007F3C0D" w:rsidP="001369BF">
            <w:pPr>
              <w:rPr>
                <w:rFonts w:asciiTheme="minorHAnsi" w:hAnsiTheme="minorHAnsi" w:cstheme="minorHAnsi"/>
                <w:b/>
                <w:szCs w:val="20"/>
              </w:rPr>
            </w:pPr>
            <w:r w:rsidRPr="00CF242A">
              <w:rPr>
                <w:rFonts w:asciiTheme="minorHAnsi" w:hAnsiTheme="minorHAnsi" w:cstheme="minorHAnsi"/>
                <w:b/>
                <w:szCs w:val="20"/>
              </w:rPr>
              <w:t>2015/16</w:t>
            </w:r>
          </w:p>
        </w:tc>
        <w:tc>
          <w:tcPr>
            <w:tcW w:w="1894" w:type="dxa"/>
            <w:shd w:val="clear" w:color="auto" w:fill="D9D9D9" w:themeFill="background1" w:themeFillShade="D9"/>
          </w:tcPr>
          <w:p w:rsidR="007F3C0D" w:rsidRPr="00CF242A" w:rsidRDefault="007F3C0D" w:rsidP="001369BF">
            <w:pPr>
              <w:rPr>
                <w:rFonts w:asciiTheme="minorHAnsi" w:hAnsiTheme="minorHAnsi" w:cstheme="minorHAnsi"/>
                <w:b/>
                <w:szCs w:val="20"/>
              </w:rPr>
            </w:pPr>
            <w:r w:rsidRPr="00CF242A">
              <w:rPr>
                <w:rFonts w:asciiTheme="minorHAnsi" w:hAnsiTheme="minorHAnsi" w:cstheme="minorHAnsi"/>
                <w:b/>
                <w:szCs w:val="20"/>
              </w:rPr>
              <w:t>2016/17</w:t>
            </w:r>
          </w:p>
        </w:tc>
        <w:tc>
          <w:tcPr>
            <w:tcW w:w="3827" w:type="dxa"/>
            <w:shd w:val="clear" w:color="auto" w:fill="D9D9D9" w:themeFill="background1" w:themeFillShade="D9"/>
          </w:tcPr>
          <w:p w:rsidR="007F3C0D" w:rsidRPr="00CF242A" w:rsidRDefault="007F3C0D" w:rsidP="001369BF">
            <w:pPr>
              <w:rPr>
                <w:rFonts w:asciiTheme="minorHAnsi" w:hAnsiTheme="minorHAnsi" w:cstheme="minorHAnsi"/>
                <w:b/>
                <w:szCs w:val="20"/>
              </w:rPr>
            </w:pPr>
            <w:r w:rsidRPr="00CF242A">
              <w:rPr>
                <w:rFonts w:asciiTheme="minorHAnsi" w:hAnsiTheme="minorHAnsi" w:cstheme="minorHAnsi"/>
                <w:b/>
                <w:szCs w:val="20"/>
              </w:rPr>
              <w:t>Resources required</w:t>
            </w:r>
          </w:p>
        </w:tc>
      </w:tr>
      <w:tr w:rsidR="007F3C0D" w:rsidRPr="00CF242A" w:rsidTr="0097063B">
        <w:tc>
          <w:tcPr>
            <w:tcW w:w="2943" w:type="dxa"/>
            <w:shd w:val="clear" w:color="auto" w:fill="B8CCE4" w:themeFill="accent1" w:themeFillTint="66"/>
          </w:tcPr>
          <w:p w:rsidR="007F3C0D" w:rsidRPr="00C415C7" w:rsidRDefault="007F3C0D" w:rsidP="001369BF">
            <w:pPr>
              <w:jc w:val="left"/>
              <w:rPr>
                <w:rFonts w:asciiTheme="minorHAnsi" w:hAnsiTheme="minorHAnsi" w:cstheme="minorHAnsi"/>
              </w:rPr>
            </w:pPr>
            <w:r w:rsidRPr="00C415C7">
              <w:rPr>
                <w:rFonts w:asciiTheme="minorHAnsi" w:hAnsiTheme="minorHAnsi" w:cstheme="minorHAnsi"/>
              </w:rPr>
              <w:t>Public sector governance</w:t>
            </w:r>
          </w:p>
        </w:tc>
        <w:tc>
          <w:tcPr>
            <w:tcW w:w="2835" w:type="dxa"/>
            <w:shd w:val="clear" w:color="auto" w:fill="B8CCE4" w:themeFill="accent1" w:themeFillTint="66"/>
          </w:tcPr>
          <w:p w:rsidR="007F3C0D" w:rsidRPr="00C415C7" w:rsidRDefault="007F3C0D" w:rsidP="001369BF">
            <w:pPr>
              <w:jc w:val="left"/>
              <w:rPr>
                <w:rFonts w:asciiTheme="minorHAnsi" w:hAnsiTheme="minorHAnsi" w:cstheme="minorHAnsi"/>
              </w:rPr>
            </w:pPr>
          </w:p>
        </w:tc>
        <w:tc>
          <w:tcPr>
            <w:tcW w:w="1701" w:type="dxa"/>
            <w:shd w:val="clear" w:color="auto" w:fill="B8CCE4" w:themeFill="accent1" w:themeFillTint="66"/>
          </w:tcPr>
          <w:p w:rsidR="007F3C0D" w:rsidRPr="00C415C7" w:rsidRDefault="007F3C0D" w:rsidP="0097063B">
            <w:pPr>
              <w:jc w:val="left"/>
              <w:rPr>
                <w:rFonts w:asciiTheme="minorHAnsi" w:hAnsiTheme="minorHAnsi" w:cstheme="minorHAnsi"/>
              </w:rPr>
            </w:pPr>
          </w:p>
        </w:tc>
        <w:tc>
          <w:tcPr>
            <w:tcW w:w="1641" w:type="dxa"/>
            <w:shd w:val="clear" w:color="auto" w:fill="B8CCE4" w:themeFill="accent1" w:themeFillTint="66"/>
          </w:tcPr>
          <w:p w:rsidR="007F3C0D" w:rsidRPr="00C415C7" w:rsidRDefault="007F3C0D" w:rsidP="001369BF">
            <w:pPr>
              <w:jc w:val="left"/>
              <w:rPr>
                <w:rFonts w:asciiTheme="minorHAnsi" w:hAnsiTheme="minorHAnsi" w:cstheme="minorHAnsi"/>
              </w:rPr>
            </w:pPr>
          </w:p>
        </w:tc>
        <w:tc>
          <w:tcPr>
            <w:tcW w:w="1893" w:type="dxa"/>
            <w:shd w:val="clear" w:color="auto" w:fill="B8CCE4" w:themeFill="accent1" w:themeFillTint="66"/>
          </w:tcPr>
          <w:p w:rsidR="007F3C0D" w:rsidRPr="00C415C7" w:rsidRDefault="007F3C0D" w:rsidP="001369BF">
            <w:pPr>
              <w:jc w:val="left"/>
              <w:rPr>
                <w:rFonts w:asciiTheme="minorHAnsi" w:hAnsiTheme="minorHAnsi" w:cstheme="minorHAnsi"/>
              </w:rPr>
            </w:pPr>
          </w:p>
        </w:tc>
        <w:tc>
          <w:tcPr>
            <w:tcW w:w="1893" w:type="dxa"/>
            <w:shd w:val="clear" w:color="auto" w:fill="B8CCE4" w:themeFill="accent1" w:themeFillTint="66"/>
          </w:tcPr>
          <w:p w:rsidR="007F3C0D" w:rsidRPr="00C415C7" w:rsidRDefault="007F3C0D" w:rsidP="001369BF">
            <w:pPr>
              <w:jc w:val="left"/>
              <w:rPr>
                <w:rFonts w:asciiTheme="minorHAnsi" w:hAnsiTheme="minorHAnsi" w:cstheme="minorHAnsi"/>
              </w:rPr>
            </w:pPr>
          </w:p>
        </w:tc>
        <w:tc>
          <w:tcPr>
            <w:tcW w:w="1893" w:type="dxa"/>
            <w:shd w:val="clear" w:color="auto" w:fill="B8CCE4" w:themeFill="accent1" w:themeFillTint="66"/>
          </w:tcPr>
          <w:p w:rsidR="007F3C0D" w:rsidRPr="00C415C7" w:rsidRDefault="007F3C0D" w:rsidP="001369BF">
            <w:pPr>
              <w:jc w:val="left"/>
              <w:rPr>
                <w:rFonts w:asciiTheme="minorHAnsi" w:hAnsiTheme="minorHAnsi" w:cstheme="minorHAnsi"/>
              </w:rPr>
            </w:pPr>
          </w:p>
        </w:tc>
        <w:tc>
          <w:tcPr>
            <w:tcW w:w="1894" w:type="dxa"/>
            <w:shd w:val="clear" w:color="auto" w:fill="B8CCE4" w:themeFill="accent1" w:themeFillTint="66"/>
          </w:tcPr>
          <w:p w:rsidR="007F3C0D" w:rsidRPr="00C415C7" w:rsidRDefault="007F3C0D" w:rsidP="001369BF">
            <w:pPr>
              <w:jc w:val="left"/>
              <w:rPr>
                <w:rFonts w:asciiTheme="minorHAnsi" w:hAnsiTheme="minorHAnsi" w:cstheme="minorHAnsi"/>
              </w:rPr>
            </w:pPr>
          </w:p>
        </w:tc>
        <w:tc>
          <w:tcPr>
            <w:tcW w:w="3827" w:type="dxa"/>
            <w:shd w:val="clear" w:color="auto" w:fill="B8CCE4" w:themeFill="accent1" w:themeFillTint="66"/>
          </w:tcPr>
          <w:p w:rsidR="007F3C0D" w:rsidRPr="00C415C7" w:rsidRDefault="007F3C0D" w:rsidP="001369BF">
            <w:pPr>
              <w:jc w:val="left"/>
              <w:rPr>
                <w:rFonts w:asciiTheme="minorHAnsi" w:hAnsiTheme="minorHAnsi" w:cstheme="minorHAnsi"/>
              </w:rPr>
            </w:pPr>
          </w:p>
        </w:tc>
      </w:tr>
      <w:tr w:rsidR="00C951E5" w:rsidRPr="004E733A" w:rsidTr="0097063B">
        <w:tc>
          <w:tcPr>
            <w:tcW w:w="2943" w:type="dxa"/>
            <w:shd w:val="clear" w:color="auto" w:fill="auto"/>
          </w:tcPr>
          <w:p w:rsidR="00C951E5" w:rsidRPr="00857578" w:rsidRDefault="00C951E5" w:rsidP="00C951E5">
            <w:pPr>
              <w:jc w:val="left"/>
              <w:rPr>
                <w:rFonts w:asciiTheme="minorHAnsi" w:hAnsiTheme="minorHAnsi" w:cstheme="minorHAnsi"/>
              </w:rPr>
            </w:pPr>
            <w:r w:rsidRPr="00857578">
              <w:rPr>
                <w:rFonts w:asciiTheme="minorHAnsi" w:hAnsiTheme="minorHAnsi" w:cstheme="minorHAnsi"/>
              </w:rPr>
              <w:t>Improved human resource planning and capacity building</w:t>
            </w:r>
          </w:p>
        </w:tc>
        <w:tc>
          <w:tcPr>
            <w:tcW w:w="2835" w:type="dxa"/>
            <w:shd w:val="clear" w:color="auto" w:fill="auto"/>
          </w:tcPr>
          <w:p w:rsidR="00C951E5" w:rsidRPr="00857578" w:rsidRDefault="00C951E5" w:rsidP="00C951E5">
            <w:pPr>
              <w:jc w:val="left"/>
              <w:rPr>
                <w:rFonts w:asciiTheme="minorHAnsi" w:hAnsiTheme="minorHAnsi" w:cstheme="minorHAnsi"/>
              </w:rPr>
            </w:pPr>
            <w:r w:rsidRPr="00857578">
              <w:rPr>
                <w:rFonts w:asciiTheme="minorHAnsi" w:hAnsiTheme="minorHAnsi" w:cstheme="minorHAnsi"/>
              </w:rPr>
              <w:t>Collaboration with PICPA</w:t>
            </w:r>
          </w:p>
        </w:tc>
        <w:tc>
          <w:tcPr>
            <w:tcW w:w="1701" w:type="dxa"/>
            <w:shd w:val="clear" w:color="auto" w:fill="auto"/>
          </w:tcPr>
          <w:p w:rsidR="00C951E5" w:rsidRPr="00857578" w:rsidRDefault="00857578" w:rsidP="0097063B">
            <w:pPr>
              <w:jc w:val="left"/>
              <w:rPr>
                <w:rFonts w:asciiTheme="minorHAnsi" w:hAnsiTheme="minorHAnsi" w:cstheme="minorHAnsi"/>
              </w:rPr>
            </w:pPr>
            <w:r w:rsidRPr="00C415C7">
              <w:rPr>
                <w:rFonts w:asciiTheme="minorHAnsi" w:hAnsiTheme="minorHAnsi" w:cstheme="minorHAnsi"/>
              </w:rPr>
              <w:t>July 2013</w:t>
            </w:r>
          </w:p>
        </w:tc>
        <w:tc>
          <w:tcPr>
            <w:tcW w:w="1641" w:type="dxa"/>
            <w:shd w:val="clear" w:color="auto" w:fill="auto"/>
          </w:tcPr>
          <w:p w:rsidR="00C951E5" w:rsidRPr="00857578" w:rsidRDefault="00857578" w:rsidP="001369BF">
            <w:pPr>
              <w:jc w:val="left"/>
              <w:rPr>
                <w:rFonts w:asciiTheme="minorHAnsi" w:hAnsiTheme="minorHAnsi" w:cstheme="minorHAnsi"/>
              </w:rPr>
            </w:pPr>
            <w:r w:rsidRPr="00C415C7">
              <w:rPr>
                <w:rFonts w:asciiTheme="minorHAnsi" w:hAnsiTheme="minorHAnsi" w:cstheme="minorHAnsi"/>
              </w:rPr>
              <w:t>TBC</w:t>
            </w:r>
          </w:p>
        </w:tc>
        <w:tc>
          <w:tcPr>
            <w:tcW w:w="1893" w:type="dxa"/>
            <w:shd w:val="clear" w:color="auto" w:fill="auto"/>
          </w:tcPr>
          <w:p w:rsidR="00C951E5" w:rsidRPr="00857578" w:rsidRDefault="00C951E5" w:rsidP="00C415C7">
            <w:pPr>
              <w:jc w:val="center"/>
              <w:rPr>
                <w:rFonts w:asciiTheme="minorHAnsi" w:hAnsiTheme="minorHAnsi" w:cstheme="minorHAnsi"/>
              </w:rPr>
            </w:pPr>
            <w:r w:rsidRPr="00857578">
              <w:rPr>
                <w:rFonts w:asciiTheme="minorHAnsi" w:hAnsiTheme="minorHAnsi" w:cstheme="minorHAnsi"/>
              </w:rPr>
              <w:t>X</w:t>
            </w:r>
          </w:p>
        </w:tc>
        <w:tc>
          <w:tcPr>
            <w:tcW w:w="1893" w:type="dxa"/>
            <w:shd w:val="clear" w:color="auto" w:fill="auto"/>
          </w:tcPr>
          <w:p w:rsidR="00C951E5" w:rsidRPr="00857578" w:rsidRDefault="00C951E5" w:rsidP="00C415C7">
            <w:pPr>
              <w:jc w:val="center"/>
              <w:rPr>
                <w:rFonts w:asciiTheme="minorHAnsi" w:hAnsiTheme="minorHAnsi" w:cstheme="minorHAnsi"/>
              </w:rPr>
            </w:pPr>
            <w:r w:rsidRPr="00857578">
              <w:rPr>
                <w:rFonts w:asciiTheme="minorHAnsi" w:hAnsiTheme="minorHAnsi" w:cstheme="minorHAnsi"/>
              </w:rPr>
              <w:t>X</w:t>
            </w:r>
          </w:p>
        </w:tc>
        <w:tc>
          <w:tcPr>
            <w:tcW w:w="1893" w:type="dxa"/>
            <w:shd w:val="clear" w:color="auto" w:fill="auto"/>
          </w:tcPr>
          <w:p w:rsidR="00C951E5" w:rsidRPr="00857578" w:rsidRDefault="00C951E5" w:rsidP="00C415C7">
            <w:pPr>
              <w:jc w:val="center"/>
              <w:rPr>
                <w:rFonts w:asciiTheme="minorHAnsi" w:hAnsiTheme="minorHAnsi" w:cstheme="minorHAnsi"/>
              </w:rPr>
            </w:pPr>
            <w:r w:rsidRPr="00857578">
              <w:rPr>
                <w:rFonts w:asciiTheme="minorHAnsi" w:hAnsiTheme="minorHAnsi" w:cstheme="minorHAnsi"/>
              </w:rPr>
              <w:t>X</w:t>
            </w:r>
          </w:p>
        </w:tc>
        <w:tc>
          <w:tcPr>
            <w:tcW w:w="1894" w:type="dxa"/>
            <w:shd w:val="clear" w:color="auto" w:fill="auto"/>
          </w:tcPr>
          <w:p w:rsidR="00C951E5" w:rsidRPr="004E733A" w:rsidRDefault="00C951E5" w:rsidP="00C415C7">
            <w:pPr>
              <w:jc w:val="center"/>
              <w:rPr>
                <w:rFonts w:asciiTheme="minorHAnsi" w:hAnsiTheme="minorHAnsi" w:cstheme="minorHAnsi"/>
              </w:rPr>
            </w:pPr>
          </w:p>
        </w:tc>
        <w:tc>
          <w:tcPr>
            <w:tcW w:w="3827" w:type="dxa"/>
            <w:shd w:val="clear" w:color="auto" w:fill="auto"/>
          </w:tcPr>
          <w:p w:rsidR="00C951E5" w:rsidRPr="004E733A" w:rsidRDefault="00857578" w:rsidP="001369BF">
            <w:pPr>
              <w:jc w:val="left"/>
              <w:rPr>
                <w:rFonts w:asciiTheme="minorHAnsi" w:hAnsiTheme="minorHAnsi" w:cstheme="minorHAnsi"/>
              </w:rPr>
            </w:pPr>
            <w:r>
              <w:rPr>
                <w:rFonts w:asciiTheme="minorHAnsi" w:hAnsiTheme="minorHAnsi" w:cstheme="minorHAnsi"/>
              </w:rPr>
              <w:t>TBC</w:t>
            </w:r>
          </w:p>
        </w:tc>
      </w:tr>
      <w:tr w:rsidR="00C951E5" w:rsidRPr="00CF242A" w:rsidTr="0097063B">
        <w:tc>
          <w:tcPr>
            <w:tcW w:w="2943" w:type="dxa"/>
            <w:shd w:val="clear" w:color="auto" w:fill="B8CCE4" w:themeFill="accent1" w:themeFillTint="66"/>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Economic and financial governance</w:t>
            </w:r>
          </w:p>
        </w:tc>
        <w:tc>
          <w:tcPr>
            <w:tcW w:w="2835"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701" w:type="dxa"/>
            <w:shd w:val="clear" w:color="auto" w:fill="B8CCE4" w:themeFill="accent1" w:themeFillTint="66"/>
          </w:tcPr>
          <w:p w:rsidR="00C951E5" w:rsidRPr="00C415C7" w:rsidRDefault="00C951E5" w:rsidP="0097063B">
            <w:pPr>
              <w:jc w:val="left"/>
              <w:rPr>
                <w:rFonts w:asciiTheme="minorHAnsi" w:hAnsiTheme="minorHAnsi" w:cstheme="minorHAnsi"/>
              </w:rPr>
            </w:pPr>
          </w:p>
        </w:tc>
        <w:tc>
          <w:tcPr>
            <w:tcW w:w="1641"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893"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893"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893"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894"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3827" w:type="dxa"/>
            <w:shd w:val="clear" w:color="auto" w:fill="B8CCE4" w:themeFill="accent1" w:themeFillTint="66"/>
          </w:tcPr>
          <w:p w:rsidR="00C951E5" w:rsidRPr="00C415C7" w:rsidRDefault="00C951E5" w:rsidP="001369BF">
            <w:pPr>
              <w:jc w:val="left"/>
              <w:rPr>
                <w:rFonts w:asciiTheme="minorHAnsi" w:hAnsiTheme="minorHAnsi" w:cstheme="minorHAnsi"/>
              </w:rPr>
            </w:pPr>
          </w:p>
        </w:tc>
      </w:tr>
      <w:tr w:rsidR="00C951E5" w:rsidRPr="00CF242A" w:rsidTr="0097063B">
        <w:tc>
          <w:tcPr>
            <w:tcW w:w="2943"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Strengthened public financial management and strengthened fiscal policy (Policy Reform Matrix)</w:t>
            </w:r>
          </w:p>
        </w:tc>
        <w:tc>
          <w:tcPr>
            <w:tcW w:w="2835"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Performance-linked aid</w:t>
            </w:r>
          </w:p>
        </w:tc>
        <w:tc>
          <w:tcPr>
            <w:tcW w:w="1701" w:type="dxa"/>
          </w:tcPr>
          <w:p w:rsidR="00C951E5" w:rsidRPr="00C415C7" w:rsidRDefault="00C951E5" w:rsidP="0097063B">
            <w:pPr>
              <w:jc w:val="left"/>
              <w:rPr>
                <w:rFonts w:asciiTheme="minorHAnsi" w:hAnsiTheme="minorHAnsi" w:cstheme="minorHAnsi"/>
              </w:rPr>
            </w:pPr>
          </w:p>
        </w:tc>
        <w:tc>
          <w:tcPr>
            <w:tcW w:w="1641" w:type="dxa"/>
          </w:tcPr>
          <w:p w:rsidR="00C951E5" w:rsidRPr="00C415C7" w:rsidRDefault="00C951E5" w:rsidP="001369BF">
            <w:pPr>
              <w:jc w:val="left"/>
              <w:rPr>
                <w:rFonts w:asciiTheme="minorHAnsi" w:hAnsiTheme="minorHAnsi" w:cstheme="minorHAnsi"/>
              </w:rPr>
            </w:pPr>
          </w:p>
        </w:tc>
        <w:tc>
          <w:tcPr>
            <w:tcW w:w="1893" w:type="dxa"/>
          </w:tcPr>
          <w:p w:rsidR="00C951E5" w:rsidRPr="00C415C7" w:rsidRDefault="00C951E5" w:rsidP="001369BF">
            <w:pPr>
              <w:jc w:val="center"/>
              <w:rPr>
                <w:rFonts w:asciiTheme="minorHAnsi" w:hAnsiTheme="minorHAnsi" w:cstheme="minorHAnsi"/>
              </w:rPr>
            </w:pPr>
            <w:r w:rsidRPr="00C415C7">
              <w:rPr>
                <w:rFonts w:asciiTheme="minorHAnsi" w:hAnsiTheme="minorHAnsi" w:cstheme="minorHAnsi"/>
              </w:rPr>
              <w:t>X</w:t>
            </w:r>
          </w:p>
        </w:tc>
        <w:tc>
          <w:tcPr>
            <w:tcW w:w="1893" w:type="dxa"/>
          </w:tcPr>
          <w:p w:rsidR="00C951E5" w:rsidRPr="00C415C7" w:rsidRDefault="00C951E5" w:rsidP="001369BF">
            <w:pPr>
              <w:jc w:val="center"/>
              <w:rPr>
                <w:rFonts w:asciiTheme="minorHAnsi" w:hAnsiTheme="minorHAnsi" w:cstheme="minorHAnsi"/>
              </w:rPr>
            </w:pPr>
            <w:r w:rsidRPr="00C415C7">
              <w:rPr>
                <w:rFonts w:asciiTheme="minorHAnsi" w:hAnsiTheme="minorHAnsi" w:cstheme="minorHAnsi"/>
              </w:rPr>
              <w:t>X</w:t>
            </w:r>
          </w:p>
        </w:tc>
        <w:tc>
          <w:tcPr>
            <w:tcW w:w="1893" w:type="dxa"/>
          </w:tcPr>
          <w:p w:rsidR="00C951E5" w:rsidRPr="00C415C7" w:rsidRDefault="00C951E5" w:rsidP="001369BF">
            <w:pPr>
              <w:jc w:val="center"/>
              <w:rPr>
                <w:rFonts w:asciiTheme="minorHAnsi" w:hAnsiTheme="minorHAnsi" w:cstheme="minorHAnsi"/>
              </w:rPr>
            </w:pPr>
            <w:r w:rsidRPr="00C415C7">
              <w:rPr>
                <w:rFonts w:asciiTheme="minorHAnsi" w:hAnsiTheme="minorHAnsi" w:cstheme="minorHAnsi"/>
              </w:rPr>
              <w:t>X</w:t>
            </w:r>
          </w:p>
        </w:tc>
        <w:tc>
          <w:tcPr>
            <w:tcW w:w="1894" w:type="dxa"/>
          </w:tcPr>
          <w:p w:rsidR="00C951E5" w:rsidRPr="00C415C7" w:rsidRDefault="00C951E5" w:rsidP="001369BF">
            <w:pPr>
              <w:jc w:val="center"/>
              <w:rPr>
                <w:rFonts w:asciiTheme="minorHAnsi" w:hAnsiTheme="minorHAnsi" w:cstheme="minorHAnsi"/>
              </w:rPr>
            </w:pPr>
            <w:r w:rsidRPr="00C415C7">
              <w:rPr>
                <w:rFonts w:asciiTheme="minorHAnsi" w:hAnsiTheme="minorHAnsi" w:cstheme="minorHAnsi"/>
              </w:rPr>
              <w:t>X</w:t>
            </w:r>
          </w:p>
        </w:tc>
        <w:tc>
          <w:tcPr>
            <w:tcW w:w="3827"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$5 million per year in PLA</w:t>
            </w:r>
          </w:p>
        </w:tc>
      </w:tr>
      <w:tr w:rsidR="00C951E5" w:rsidRPr="00CF242A" w:rsidTr="0097063B">
        <w:tc>
          <w:tcPr>
            <w:tcW w:w="2943" w:type="dxa"/>
          </w:tcPr>
          <w:p w:rsidR="00C951E5" w:rsidRPr="00C415C7" w:rsidRDefault="00C951E5" w:rsidP="001369BF">
            <w:pPr>
              <w:jc w:val="left"/>
              <w:rPr>
                <w:rFonts w:asciiTheme="minorHAnsi" w:hAnsiTheme="minorHAnsi" w:cstheme="minorHAnsi"/>
              </w:rPr>
            </w:pPr>
          </w:p>
        </w:tc>
        <w:tc>
          <w:tcPr>
            <w:tcW w:w="2835"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Economic and Public Expenditure Adviser (MoFNP)</w:t>
            </w:r>
          </w:p>
        </w:tc>
        <w:tc>
          <w:tcPr>
            <w:tcW w:w="1701" w:type="dxa"/>
          </w:tcPr>
          <w:p w:rsidR="00C951E5" w:rsidRPr="00C415C7" w:rsidRDefault="00C951E5" w:rsidP="0097063B">
            <w:pPr>
              <w:jc w:val="left"/>
              <w:rPr>
                <w:rFonts w:asciiTheme="minorHAnsi" w:hAnsiTheme="minorHAnsi" w:cstheme="minorHAnsi"/>
              </w:rPr>
            </w:pPr>
            <w:r w:rsidRPr="00C415C7">
              <w:rPr>
                <w:rFonts w:asciiTheme="minorHAnsi" w:hAnsiTheme="minorHAnsi" w:cstheme="minorHAnsi"/>
              </w:rPr>
              <w:t>February 2011</w:t>
            </w:r>
          </w:p>
        </w:tc>
        <w:tc>
          <w:tcPr>
            <w:tcW w:w="1641"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May 2014</w:t>
            </w:r>
          </w:p>
        </w:tc>
        <w:tc>
          <w:tcPr>
            <w:tcW w:w="1893" w:type="dxa"/>
          </w:tcPr>
          <w:p w:rsidR="00C951E5" w:rsidRPr="00C415C7" w:rsidRDefault="00C951E5" w:rsidP="001369BF">
            <w:pPr>
              <w:jc w:val="center"/>
              <w:rPr>
                <w:rFonts w:asciiTheme="minorHAnsi" w:hAnsiTheme="minorHAnsi" w:cstheme="minorHAnsi"/>
              </w:rPr>
            </w:pPr>
            <w:r w:rsidRPr="00C415C7">
              <w:rPr>
                <w:rFonts w:asciiTheme="minorHAnsi" w:hAnsiTheme="minorHAnsi" w:cstheme="minorHAnsi"/>
              </w:rPr>
              <w:t>X</w:t>
            </w:r>
          </w:p>
        </w:tc>
        <w:tc>
          <w:tcPr>
            <w:tcW w:w="1893" w:type="dxa"/>
          </w:tcPr>
          <w:p w:rsidR="00C951E5" w:rsidRPr="00C415C7" w:rsidRDefault="00C951E5" w:rsidP="001369BF">
            <w:pPr>
              <w:jc w:val="left"/>
              <w:rPr>
                <w:rFonts w:asciiTheme="minorHAnsi" w:hAnsiTheme="minorHAnsi" w:cstheme="minorHAnsi"/>
              </w:rPr>
            </w:pPr>
          </w:p>
        </w:tc>
        <w:tc>
          <w:tcPr>
            <w:tcW w:w="1893" w:type="dxa"/>
          </w:tcPr>
          <w:p w:rsidR="00C951E5" w:rsidRPr="00C415C7" w:rsidRDefault="00C951E5" w:rsidP="001369BF">
            <w:pPr>
              <w:jc w:val="left"/>
              <w:rPr>
                <w:rFonts w:asciiTheme="minorHAnsi" w:hAnsiTheme="minorHAnsi" w:cstheme="minorHAnsi"/>
              </w:rPr>
            </w:pPr>
          </w:p>
        </w:tc>
        <w:tc>
          <w:tcPr>
            <w:tcW w:w="1894" w:type="dxa"/>
          </w:tcPr>
          <w:p w:rsidR="00C951E5" w:rsidRPr="00C415C7" w:rsidRDefault="00C951E5" w:rsidP="001369BF">
            <w:pPr>
              <w:jc w:val="left"/>
              <w:rPr>
                <w:rFonts w:asciiTheme="minorHAnsi" w:hAnsiTheme="minorHAnsi" w:cstheme="minorHAnsi"/>
              </w:rPr>
            </w:pPr>
          </w:p>
        </w:tc>
        <w:tc>
          <w:tcPr>
            <w:tcW w:w="3827"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1 adviser</w:t>
            </w:r>
          </w:p>
        </w:tc>
      </w:tr>
      <w:tr w:rsidR="00C951E5" w:rsidRPr="00CF242A" w:rsidTr="0097063B">
        <w:tc>
          <w:tcPr>
            <w:tcW w:w="2943" w:type="dxa"/>
          </w:tcPr>
          <w:p w:rsidR="00C951E5" w:rsidRPr="00C415C7" w:rsidRDefault="00C951E5" w:rsidP="001369BF">
            <w:pPr>
              <w:jc w:val="left"/>
              <w:rPr>
                <w:rFonts w:asciiTheme="minorHAnsi" w:hAnsiTheme="minorHAnsi" w:cstheme="minorHAnsi"/>
              </w:rPr>
            </w:pPr>
          </w:p>
        </w:tc>
        <w:tc>
          <w:tcPr>
            <w:tcW w:w="2835"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Interim assistance to Deputy Commissioner of Revenue (Head of Customs)</w:t>
            </w:r>
          </w:p>
        </w:tc>
        <w:tc>
          <w:tcPr>
            <w:tcW w:w="1701" w:type="dxa"/>
          </w:tcPr>
          <w:p w:rsidR="00C951E5" w:rsidRPr="00C415C7" w:rsidRDefault="00C951E5" w:rsidP="0097063B">
            <w:pPr>
              <w:jc w:val="left"/>
              <w:rPr>
                <w:rFonts w:asciiTheme="minorHAnsi" w:hAnsiTheme="minorHAnsi" w:cstheme="minorHAnsi"/>
              </w:rPr>
            </w:pPr>
          </w:p>
        </w:tc>
        <w:tc>
          <w:tcPr>
            <w:tcW w:w="1641" w:type="dxa"/>
          </w:tcPr>
          <w:p w:rsidR="00C951E5" w:rsidRPr="00C415C7" w:rsidRDefault="00C951E5" w:rsidP="001369BF">
            <w:pPr>
              <w:jc w:val="left"/>
              <w:rPr>
                <w:rFonts w:asciiTheme="minorHAnsi" w:hAnsiTheme="minorHAnsi" w:cstheme="minorHAnsi"/>
              </w:rPr>
            </w:pPr>
          </w:p>
        </w:tc>
        <w:tc>
          <w:tcPr>
            <w:tcW w:w="1893" w:type="dxa"/>
          </w:tcPr>
          <w:p w:rsidR="00C951E5" w:rsidRPr="00C415C7" w:rsidRDefault="00C951E5" w:rsidP="001369BF">
            <w:pPr>
              <w:jc w:val="center"/>
              <w:rPr>
                <w:rFonts w:asciiTheme="minorHAnsi" w:hAnsiTheme="minorHAnsi" w:cstheme="minorHAnsi"/>
              </w:rPr>
            </w:pPr>
            <w:r w:rsidRPr="00C415C7">
              <w:rPr>
                <w:rFonts w:asciiTheme="minorHAnsi" w:hAnsiTheme="minorHAnsi" w:cstheme="minorHAnsi"/>
              </w:rPr>
              <w:t>X</w:t>
            </w:r>
          </w:p>
        </w:tc>
        <w:tc>
          <w:tcPr>
            <w:tcW w:w="1893" w:type="dxa"/>
          </w:tcPr>
          <w:p w:rsidR="00C951E5" w:rsidRPr="00C415C7" w:rsidRDefault="00C951E5" w:rsidP="001369BF">
            <w:pPr>
              <w:jc w:val="left"/>
              <w:rPr>
                <w:rFonts w:asciiTheme="minorHAnsi" w:hAnsiTheme="minorHAnsi" w:cstheme="minorHAnsi"/>
              </w:rPr>
            </w:pPr>
          </w:p>
        </w:tc>
        <w:tc>
          <w:tcPr>
            <w:tcW w:w="1893" w:type="dxa"/>
          </w:tcPr>
          <w:p w:rsidR="00C951E5" w:rsidRPr="00C415C7" w:rsidRDefault="00C951E5" w:rsidP="001369BF">
            <w:pPr>
              <w:jc w:val="left"/>
              <w:rPr>
                <w:rFonts w:asciiTheme="minorHAnsi" w:hAnsiTheme="minorHAnsi" w:cstheme="minorHAnsi"/>
              </w:rPr>
            </w:pPr>
          </w:p>
        </w:tc>
        <w:tc>
          <w:tcPr>
            <w:tcW w:w="1894" w:type="dxa"/>
          </w:tcPr>
          <w:p w:rsidR="00C951E5" w:rsidRPr="00C415C7" w:rsidRDefault="00C951E5" w:rsidP="001369BF">
            <w:pPr>
              <w:jc w:val="left"/>
              <w:rPr>
                <w:rFonts w:asciiTheme="minorHAnsi" w:hAnsiTheme="minorHAnsi" w:cstheme="minorHAnsi"/>
              </w:rPr>
            </w:pPr>
          </w:p>
        </w:tc>
        <w:tc>
          <w:tcPr>
            <w:tcW w:w="3827"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1 adviser to support transition arrangement</w:t>
            </w:r>
          </w:p>
        </w:tc>
      </w:tr>
      <w:tr w:rsidR="00C951E5" w:rsidRPr="00CF242A" w:rsidTr="0097063B">
        <w:tc>
          <w:tcPr>
            <w:tcW w:w="2943" w:type="dxa"/>
          </w:tcPr>
          <w:p w:rsidR="00C951E5" w:rsidRPr="00C415C7" w:rsidRDefault="00C951E5" w:rsidP="001369BF">
            <w:pPr>
              <w:jc w:val="left"/>
              <w:rPr>
                <w:rFonts w:asciiTheme="minorHAnsi" w:hAnsiTheme="minorHAnsi" w:cstheme="minorHAnsi"/>
              </w:rPr>
            </w:pPr>
          </w:p>
        </w:tc>
        <w:tc>
          <w:tcPr>
            <w:tcW w:w="2835"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FMIS upgrade</w:t>
            </w:r>
          </w:p>
        </w:tc>
        <w:tc>
          <w:tcPr>
            <w:tcW w:w="1701" w:type="dxa"/>
          </w:tcPr>
          <w:p w:rsidR="00C951E5" w:rsidRPr="00C415C7" w:rsidRDefault="00C951E5" w:rsidP="0097063B">
            <w:pPr>
              <w:jc w:val="left"/>
              <w:rPr>
                <w:rFonts w:asciiTheme="minorHAnsi" w:hAnsiTheme="minorHAnsi" w:cstheme="minorHAnsi"/>
              </w:rPr>
            </w:pPr>
            <w:r w:rsidRPr="00C415C7">
              <w:rPr>
                <w:rFonts w:asciiTheme="minorHAnsi" w:hAnsiTheme="minorHAnsi" w:cstheme="minorHAnsi"/>
              </w:rPr>
              <w:t>July 2013</w:t>
            </w:r>
          </w:p>
        </w:tc>
        <w:tc>
          <w:tcPr>
            <w:tcW w:w="1641"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June 2014</w:t>
            </w:r>
          </w:p>
        </w:tc>
        <w:tc>
          <w:tcPr>
            <w:tcW w:w="1893" w:type="dxa"/>
          </w:tcPr>
          <w:p w:rsidR="00C951E5" w:rsidRPr="00C415C7" w:rsidRDefault="00C951E5" w:rsidP="001369BF">
            <w:pPr>
              <w:jc w:val="center"/>
              <w:rPr>
                <w:rFonts w:asciiTheme="minorHAnsi" w:hAnsiTheme="minorHAnsi" w:cstheme="minorHAnsi"/>
              </w:rPr>
            </w:pPr>
            <w:r w:rsidRPr="00C415C7">
              <w:rPr>
                <w:rFonts w:asciiTheme="minorHAnsi" w:hAnsiTheme="minorHAnsi" w:cstheme="minorHAnsi"/>
              </w:rPr>
              <w:t>X</w:t>
            </w:r>
          </w:p>
        </w:tc>
        <w:tc>
          <w:tcPr>
            <w:tcW w:w="1893" w:type="dxa"/>
          </w:tcPr>
          <w:p w:rsidR="00C951E5" w:rsidRPr="00C415C7" w:rsidRDefault="00C951E5" w:rsidP="001369BF">
            <w:pPr>
              <w:jc w:val="left"/>
              <w:rPr>
                <w:rFonts w:asciiTheme="minorHAnsi" w:hAnsiTheme="minorHAnsi" w:cstheme="minorHAnsi"/>
              </w:rPr>
            </w:pPr>
          </w:p>
        </w:tc>
        <w:tc>
          <w:tcPr>
            <w:tcW w:w="1893" w:type="dxa"/>
          </w:tcPr>
          <w:p w:rsidR="00C951E5" w:rsidRPr="00C415C7" w:rsidRDefault="00C951E5" w:rsidP="001369BF">
            <w:pPr>
              <w:jc w:val="left"/>
              <w:rPr>
                <w:rFonts w:asciiTheme="minorHAnsi" w:hAnsiTheme="minorHAnsi" w:cstheme="minorHAnsi"/>
              </w:rPr>
            </w:pPr>
          </w:p>
        </w:tc>
        <w:tc>
          <w:tcPr>
            <w:tcW w:w="1894" w:type="dxa"/>
          </w:tcPr>
          <w:p w:rsidR="00C951E5" w:rsidRPr="00C415C7" w:rsidRDefault="00C951E5" w:rsidP="001369BF">
            <w:pPr>
              <w:jc w:val="left"/>
              <w:rPr>
                <w:rFonts w:asciiTheme="minorHAnsi" w:hAnsiTheme="minorHAnsi" w:cstheme="minorHAnsi"/>
              </w:rPr>
            </w:pPr>
          </w:p>
        </w:tc>
        <w:tc>
          <w:tcPr>
            <w:tcW w:w="3827"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$950,000/ 2yrs</w:t>
            </w:r>
          </w:p>
        </w:tc>
      </w:tr>
      <w:tr w:rsidR="00C951E5" w:rsidRPr="002E0E7C" w:rsidTr="0097063B">
        <w:tc>
          <w:tcPr>
            <w:tcW w:w="2943" w:type="dxa"/>
          </w:tcPr>
          <w:p w:rsidR="00C951E5" w:rsidRPr="002E0E7C" w:rsidRDefault="00C951E5" w:rsidP="00EE1E3C">
            <w:pPr>
              <w:jc w:val="left"/>
              <w:rPr>
                <w:rFonts w:asciiTheme="minorHAnsi" w:hAnsiTheme="minorHAnsi" w:cstheme="minorHAnsi"/>
              </w:rPr>
            </w:pPr>
            <w:r w:rsidRPr="002E0E7C">
              <w:rPr>
                <w:rFonts w:asciiTheme="minorHAnsi" w:hAnsiTheme="minorHAnsi" w:cstheme="minorHAnsi"/>
              </w:rPr>
              <w:t xml:space="preserve">Improved public sector procurement practices (TSDF) </w:t>
            </w:r>
          </w:p>
        </w:tc>
        <w:tc>
          <w:tcPr>
            <w:tcW w:w="2835" w:type="dxa"/>
          </w:tcPr>
          <w:p w:rsidR="00C951E5" w:rsidRPr="002E0E7C" w:rsidRDefault="00C951E5" w:rsidP="00EE1E3C">
            <w:pPr>
              <w:jc w:val="left"/>
              <w:rPr>
                <w:rFonts w:asciiTheme="minorHAnsi" w:hAnsiTheme="minorHAnsi" w:cstheme="minorHAnsi"/>
              </w:rPr>
            </w:pPr>
            <w:r w:rsidRPr="002E0E7C">
              <w:rPr>
                <w:rFonts w:asciiTheme="minorHAnsi" w:hAnsiTheme="minorHAnsi" w:cstheme="minorHAnsi"/>
              </w:rPr>
              <w:t>Procurement Manager (MoFNP)</w:t>
            </w:r>
          </w:p>
        </w:tc>
        <w:tc>
          <w:tcPr>
            <w:tcW w:w="1701" w:type="dxa"/>
          </w:tcPr>
          <w:p w:rsidR="00C951E5" w:rsidRPr="002E0E7C" w:rsidRDefault="00C951E5" w:rsidP="0097063B">
            <w:pPr>
              <w:jc w:val="left"/>
              <w:rPr>
                <w:rFonts w:asciiTheme="minorHAnsi" w:hAnsiTheme="minorHAnsi" w:cstheme="minorHAnsi"/>
              </w:rPr>
            </w:pPr>
            <w:r w:rsidRPr="002E0E7C">
              <w:rPr>
                <w:rFonts w:asciiTheme="minorHAnsi" w:hAnsiTheme="minorHAnsi" w:cstheme="minorHAnsi"/>
              </w:rPr>
              <w:t>February 2013</w:t>
            </w:r>
          </w:p>
        </w:tc>
        <w:tc>
          <w:tcPr>
            <w:tcW w:w="1641" w:type="dxa"/>
          </w:tcPr>
          <w:p w:rsidR="00C951E5" w:rsidRPr="002E0E7C" w:rsidRDefault="00C951E5" w:rsidP="00EE1E3C">
            <w:pPr>
              <w:jc w:val="left"/>
              <w:rPr>
                <w:rFonts w:asciiTheme="minorHAnsi" w:hAnsiTheme="minorHAnsi" w:cstheme="minorHAnsi"/>
              </w:rPr>
            </w:pPr>
            <w:r w:rsidRPr="002E0E7C">
              <w:rPr>
                <w:rFonts w:asciiTheme="minorHAnsi" w:hAnsiTheme="minorHAnsi" w:cstheme="minorHAnsi"/>
              </w:rPr>
              <w:t>December 2013</w:t>
            </w:r>
          </w:p>
        </w:tc>
        <w:tc>
          <w:tcPr>
            <w:tcW w:w="1893" w:type="dxa"/>
          </w:tcPr>
          <w:p w:rsidR="00C951E5" w:rsidRPr="002E0E7C" w:rsidRDefault="00C951E5" w:rsidP="00EE1E3C">
            <w:pPr>
              <w:jc w:val="center"/>
              <w:rPr>
                <w:rFonts w:asciiTheme="minorHAnsi" w:hAnsiTheme="minorHAnsi" w:cstheme="minorHAnsi"/>
              </w:rPr>
            </w:pPr>
            <w:r w:rsidRPr="002E0E7C">
              <w:rPr>
                <w:rFonts w:asciiTheme="minorHAnsi" w:hAnsiTheme="minorHAnsi" w:cstheme="minorHAnsi"/>
              </w:rPr>
              <w:t>X</w:t>
            </w:r>
          </w:p>
        </w:tc>
        <w:tc>
          <w:tcPr>
            <w:tcW w:w="1893" w:type="dxa"/>
          </w:tcPr>
          <w:p w:rsidR="00C951E5" w:rsidRPr="002E0E7C" w:rsidRDefault="00C951E5" w:rsidP="00EE1E3C">
            <w:pPr>
              <w:jc w:val="left"/>
              <w:rPr>
                <w:rFonts w:asciiTheme="minorHAnsi" w:hAnsiTheme="minorHAnsi" w:cstheme="minorHAnsi"/>
              </w:rPr>
            </w:pPr>
          </w:p>
        </w:tc>
        <w:tc>
          <w:tcPr>
            <w:tcW w:w="1893" w:type="dxa"/>
          </w:tcPr>
          <w:p w:rsidR="00C951E5" w:rsidRPr="002E0E7C" w:rsidRDefault="00C951E5" w:rsidP="00EE1E3C">
            <w:pPr>
              <w:jc w:val="left"/>
              <w:rPr>
                <w:rFonts w:asciiTheme="minorHAnsi" w:hAnsiTheme="minorHAnsi" w:cstheme="minorHAnsi"/>
              </w:rPr>
            </w:pPr>
          </w:p>
        </w:tc>
        <w:tc>
          <w:tcPr>
            <w:tcW w:w="1894" w:type="dxa"/>
          </w:tcPr>
          <w:p w:rsidR="00C951E5" w:rsidRPr="002E0E7C" w:rsidRDefault="00C951E5" w:rsidP="00EE1E3C">
            <w:pPr>
              <w:jc w:val="left"/>
              <w:rPr>
                <w:rFonts w:asciiTheme="minorHAnsi" w:hAnsiTheme="minorHAnsi" w:cstheme="minorHAnsi"/>
              </w:rPr>
            </w:pPr>
          </w:p>
        </w:tc>
        <w:tc>
          <w:tcPr>
            <w:tcW w:w="3827" w:type="dxa"/>
          </w:tcPr>
          <w:p w:rsidR="00C951E5" w:rsidRPr="002E0E7C" w:rsidRDefault="00C951E5" w:rsidP="00EE1E3C">
            <w:pPr>
              <w:jc w:val="left"/>
              <w:rPr>
                <w:rFonts w:asciiTheme="minorHAnsi" w:hAnsiTheme="minorHAnsi" w:cstheme="minorHAnsi"/>
              </w:rPr>
            </w:pPr>
            <w:r w:rsidRPr="002E0E7C">
              <w:rPr>
                <w:rFonts w:asciiTheme="minorHAnsi" w:hAnsiTheme="minorHAnsi" w:cstheme="minorHAnsi"/>
              </w:rPr>
              <w:t>1 adviser</w:t>
            </w:r>
          </w:p>
        </w:tc>
      </w:tr>
      <w:tr w:rsidR="00C951E5" w:rsidRPr="002E0E7C" w:rsidTr="0097063B">
        <w:tc>
          <w:tcPr>
            <w:tcW w:w="2943" w:type="dxa"/>
          </w:tcPr>
          <w:p w:rsidR="00C951E5" w:rsidRPr="002E0E7C" w:rsidRDefault="00C951E5" w:rsidP="00EE1E3C">
            <w:pPr>
              <w:jc w:val="left"/>
              <w:rPr>
                <w:rFonts w:asciiTheme="minorHAnsi" w:hAnsiTheme="minorHAnsi" w:cstheme="minorHAnsi"/>
              </w:rPr>
            </w:pPr>
            <w:r w:rsidRPr="002E0E7C">
              <w:rPr>
                <w:rFonts w:asciiTheme="minorHAnsi" w:hAnsiTheme="minorHAnsi" w:cstheme="minorHAnsi"/>
              </w:rPr>
              <w:t xml:space="preserve">Improved public sector procurement practices (TSDF) </w:t>
            </w:r>
          </w:p>
        </w:tc>
        <w:tc>
          <w:tcPr>
            <w:tcW w:w="2835" w:type="dxa"/>
          </w:tcPr>
          <w:p w:rsidR="00C951E5" w:rsidRPr="002E0E7C" w:rsidRDefault="00C951E5" w:rsidP="00EE1E3C">
            <w:pPr>
              <w:jc w:val="left"/>
              <w:rPr>
                <w:rFonts w:asciiTheme="minorHAnsi" w:hAnsiTheme="minorHAnsi" w:cstheme="minorHAnsi"/>
              </w:rPr>
            </w:pPr>
            <w:r w:rsidRPr="002E0E7C">
              <w:rPr>
                <w:rFonts w:asciiTheme="minorHAnsi" w:hAnsiTheme="minorHAnsi" w:cstheme="minorHAnsi"/>
              </w:rPr>
              <w:t>International Procurement Specialists</w:t>
            </w:r>
          </w:p>
        </w:tc>
        <w:tc>
          <w:tcPr>
            <w:tcW w:w="1701" w:type="dxa"/>
          </w:tcPr>
          <w:p w:rsidR="00C951E5" w:rsidRPr="002E0E7C" w:rsidRDefault="00C951E5" w:rsidP="0097063B">
            <w:pPr>
              <w:jc w:val="left"/>
              <w:rPr>
                <w:rFonts w:asciiTheme="minorHAnsi" w:hAnsiTheme="minorHAnsi" w:cstheme="minorHAnsi"/>
              </w:rPr>
            </w:pPr>
            <w:r w:rsidRPr="002E0E7C">
              <w:rPr>
                <w:rFonts w:asciiTheme="minorHAnsi" w:hAnsiTheme="minorHAnsi" w:cstheme="minorHAnsi"/>
              </w:rPr>
              <w:t>January 2014</w:t>
            </w:r>
          </w:p>
        </w:tc>
        <w:tc>
          <w:tcPr>
            <w:tcW w:w="1641" w:type="dxa"/>
          </w:tcPr>
          <w:p w:rsidR="00C951E5" w:rsidRPr="002E0E7C" w:rsidRDefault="00C951E5" w:rsidP="00EE1E3C">
            <w:pPr>
              <w:jc w:val="left"/>
              <w:rPr>
                <w:rFonts w:asciiTheme="minorHAnsi" w:hAnsiTheme="minorHAnsi" w:cstheme="minorHAnsi"/>
              </w:rPr>
            </w:pPr>
            <w:r w:rsidRPr="002E0E7C">
              <w:rPr>
                <w:rFonts w:asciiTheme="minorHAnsi" w:hAnsiTheme="minorHAnsi" w:cstheme="minorHAnsi"/>
              </w:rPr>
              <w:t>January 2016</w:t>
            </w:r>
          </w:p>
        </w:tc>
        <w:tc>
          <w:tcPr>
            <w:tcW w:w="1893" w:type="dxa"/>
          </w:tcPr>
          <w:p w:rsidR="00C951E5" w:rsidRPr="002E0E7C" w:rsidRDefault="00C951E5" w:rsidP="00EE1E3C">
            <w:pPr>
              <w:jc w:val="center"/>
              <w:rPr>
                <w:rFonts w:asciiTheme="minorHAnsi" w:hAnsiTheme="minorHAnsi" w:cstheme="minorHAnsi"/>
              </w:rPr>
            </w:pPr>
            <w:r w:rsidRPr="002E0E7C">
              <w:rPr>
                <w:rFonts w:asciiTheme="minorHAnsi" w:hAnsiTheme="minorHAnsi" w:cstheme="minorHAnsi"/>
              </w:rPr>
              <w:t>X</w:t>
            </w:r>
          </w:p>
        </w:tc>
        <w:tc>
          <w:tcPr>
            <w:tcW w:w="1893" w:type="dxa"/>
          </w:tcPr>
          <w:p w:rsidR="00C951E5" w:rsidRPr="002E0E7C" w:rsidRDefault="00C951E5" w:rsidP="00EE1E3C">
            <w:pPr>
              <w:jc w:val="center"/>
              <w:rPr>
                <w:rFonts w:asciiTheme="minorHAnsi" w:hAnsiTheme="minorHAnsi" w:cstheme="minorHAnsi"/>
              </w:rPr>
            </w:pPr>
            <w:r w:rsidRPr="002E0E7C">
              <w:rPr>
                <w:rFonts w:asciiTheme="minorHAnsi" w:hAnsiTheme="minorHAnsi" w:cstheme="minorHAnsi"/>
              </w:rPr>
              <w:t>X</w:t>
            </w:r>
          </w:p>
        </w:tc>
        <w:tc>
          <w:tcPr>
            <w:tcW w:w="1893" w:type="dxa"/>
          </w:tcPr>
          <w:p w:rsidR="00C951E5" w:rsidRPr="002E0E7C" w:rsidRDefault="00C951E5" w:rsidP="00EE1E3C">
            <w:pPr>
              <w:jc w:val="center"/>
              <w:rPr>
                <w:rFonts w:asciiTheme="minorHAnsi" w:hAnsiTheme="minorHAnsi" w:cstheme="minorHAnsi"/>
              </w:rPr>
            </w:pPr>
            <w:r w:rsidRPr="002E0E7C">
              <w:rPr>
                <w:rFonts w:asciiTheme="minorHAnsi" w:hAnsiTheme="minorHAnsi" w:cstheme="minorHAnsi"/>
              </w:rPr>
              <w:t>X</w:t>
            </w:r>
          </w:p>
        </w:tc>
        <w:tc>
          <w:tcPr>
            <w:tcW w:w="1894" w:type="dxa"/>
          </w:tcPr>
          <w:p w:rsidR="00C951E5" w:rsidRPr="002E0E7C" w:rsidRDefault="00C951E5" w:rsidP="00EE1E3C">
            <w:pPr>
              <w:jc w:val="center"/>
              <w:rPr>
                <w:rFonts w:asciiTheme="minorHAnsi" w:hAnsiTheme="minorHAnsi" w:cstheme="minorHAnsi"/>
              </w:rPr>
            </w:pPr>
          </w:p>
        </w:tc>
        <w:tc>
          <w:tcPr>
            <w:tcW w:w="3827" w:type="dxa"/>
          </w:tcPr>
          <w:p w:rsidR="00C951E5" w:rsidRPr="002E0E7C" w:rsidRDefault="00C951E5" w:rsidP="00EE1E3C">
            <w:pPr>
              <w:jc w:val="left"/>
              <w:rPr>
                <w:rFonts w:asciiTheme="minorHAnsi" w:hAnsiTheme="minorHAnsi" w:cstheme="minorHAnsi"/>
              </w:rPr>
            </w:pPr>
            <w:r w:rsidRPr="002E0E7C">
              <w:rPr>
                <w:rFonts w:asciiTheme="minorHAnsi" w:hAnsiTheme="minorHAnsi" w:cstheme="minorHAnsi"/>
              </w:rPr>
              <w:t>2 advisers</w:t>
            </w:r>
          </w:p>
        </w:tc>
      </w:tr>
      <w:tr w:rsidR="00C951E5" w:rsidRPr="00CF242A" w:rsidTr="0097063B">
        <w:tc>
          <w:tcPr>
            <w:tcW w:w="2943" w:type="dxa"/>
            <w:shd w:val="clear" w:color="auto" w:fill="B8CCE4" w:themeFill="accent1" w:themeFillTint="66"/>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Business enabling environment</w:t>
            </w:r>
          </w:p>
        </w:tc>
        <w:tc>
          <w:tcPr>
            <w:tcW w:w="2835"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701" w:type="dxa"/>
            <w:shd w:val="clear" w:color="auto" w:fill="B8CCE4" w:themeFill="accent1" w:themeFillTint="66"/>
          </w:tcPr>
          <w:p w:rsidR="00C951E5" w:rsidRPr="00C415C7" w:rsidRDefault="00C951E5" w:rsidP="0097063B">
            <w:pPr>
              <w:jc w:val="left"/>
              <w:rPr>
                <w:rFonts w:asciiTheme="minorHAnsi" w:hAnsiTheme="minorHAnsi" w:cstheme="minorHAnsi"/>
              </w:rPr>
            </w:pPr>
          </w:p>
        </w:tc>
        <w:tc>
          <w:tcPr>
            <w:tcW w:w="1641"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893"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893"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893"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894"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3827" w:type="dxa"/>
            <w:shd w:val="clear" w:color="auto" w:fill="B8CCE4" w:themeFill="accent1" w:themeFillTint="66"/>
          </w:tcPr>
          <w:p w:rsidR="00C951E5" w:rsidRPr="00C415C7" w:rsidRDefault="00C951E5" w:rsidP="001369BF">
            <w:pPr>
              <w:jc w:val="left"/>
              <w:rPr>
                <w:rFonts w:asciiTheme="minorHAnsi" w:hAnsiTheme="minorHAnsi" w:cstheme="minorHAnsi"/>
              </w:rPr>
            </w:pPr>
          </w:p>
        </w:tc>
      </w:tr>
      <w:tr w:rsidR="00C951E5" w:rsidRPr="00CF242A" w:rsidTr="0097063B">
        <w:tc>
          <w:tcPr>
            <w:tcW w:w="2943"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Structural reform (PRM)</w:t>
            </w:r>
          </w:p>
        </w:tc>
        <w:tc>
          <w:tcPr>
            <w:tcW w:w="2835"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Performance-linked aid</w:t>
            </w:r>
          </w:p>
        </w:tc>
        <w:tc>
          <w:tcPr>
            <w:tcW w:w="1701" w:type="dxa"/>
          </w:tcPr>
          <w:p w:rsidR="00C951E5" w:rsidRPr="00C415C7" w:rsidRDefault="00C951E5" w:rsidP="0097063B">
            <w:pPr>
              <w:jc w:val="left"/>
              <w:rPr>
                <w:rFonts w:asciiTheme="minorHAnsi" w:hAnsiTheme="minorHAnsi" w:cstheme="minorHAnsi"/>
              </w:rPr>
            </w:pPr>
          </w:p>
        </w:tc>
        <w:tc>
          <w:tcPr>
            <w:tcW w:w="1641" w:type="dxa"/>
          </w:tcPr>
          <w:p w:rsidR="00C951E5" w:rsidRPr="00C415C7" w:rsidRDefault="00C951E5" w:rsidP="001369BF">
            <w:pPr>
              <w:jc w:val="left"/>
              <w:rPr>
                <w:rFonts w:asciiTheme="minorHAnsi" w:hAnsiTheme="minorHAnsi" w:cstheme="minorHAnsi"/>
              </w:rPr>
            </w:pPr>
          </w:p>
        </w:tc>
        <w:tc>
          <w:tcPr>
            <w:tcW w:w="1893" w:type="dxa"/>
          </w:tcPr>
          <w:p w:rsidR="00C951E5" w:rsidRPr="00C415C7" w:rsidRDefault="00C951E5" w:rsidP="001369BF">
            <w:pPr>
              <w:jc w:val="center"/>
              <w:rPr>
                <w:rFonts w:asciiTheme="minorHAnsi" w:hAnsiTheme="minorHAnsi" w:cstheme="minorHAnsi"/>
              </w:rPr>
            </w:pPr>
            <w:r w:rsidRPr="00C415C7">
              <w:rPr>
                <w:rFonts w:asciiTheme="minorHAnsi" w:hAnsiTheme="minorHAnsi" w:cstheme="minorHAnsi"/>
              </w:rPr>
              <w:t>X</w:t>
            </w:r>
          </w:p>
        </w:tc>
        <w:tc>
          <w:tcPr>
            <w:tcW w:w="1893" w:type="dxa"/>
          </w:tcPr>
          <w:p w:rsidR="00C951E5" w:rsidRPr="00C415C7" w:rsidRDefault="00C951E5" w:rsidP="001369BF">
            <w:pPr>
              <w:jc w:val="center"/>
              <w:rPr>
                <w:rFonts w:asciiTheme="minorHAnsi" w:hAnsiTheme="minorHAnsi" w:cstheme="minorHAnsi"/>
              </w:rPr>
            </w:pPr>
            <w:r w:rsidRPr="00C415C7">
              <w:rPr>
                <w:rFonts w:asciiTheme="minorHAnsi" w:hAnsiTheme="minorHAnsi" w:cstheme="minorHAnsi"/>
              </w:rPr>
              <w:t>X</w:t>
            </w:r>
          </w:p>
        </w:tc>
        <w:tc>
          <w:tcPr>
            <w:tcW w:w="1893" w:type="dxa"/>
          </w:tcPr>
          <w:p w:rsidR="00C951E5" w:rsidRPr="00C415C7" w:rsidRDefault="00C951E5" w:rsidP="001369BF">
            <w:pPr>
              <w:jc w:val="center"/>
              <w:rPr>
                <w:rFonts w:asciiTheme="minorHAnsi" w:hAnsiTheme="minorHAnsi" w:cstheme="minorHAnsi"/>
              </w:rPr>
            </w:pPr>
            <w:r w:rsidRPr="00C415C7">
              <w:rPr>
                <w:rFonts w:asciiTheme="minorHAnsi" w:hAnsiTheme="minorHAnsi" w:cstheme="minorHAnsi"/>
              </w:rPr>
              <w:t>X</w:t>
            </w:r>
          </w:p>
        </w:tc>
        <w:tc>
          <w:tcPr>
            <w:tcW w:w="1894" w:type="dxa"/>
          </w:tcPr>
          <w:p w:rsidR="00C951E5" w:rsidRPr="00C415C7" w:rsidRDefault="00C951E5" w:rsidP="001369BF">
            <w:pPr>
              <w:jc w:val="center"/>
              <w:rPr>
                <w:rFonts w:asciiTheme="minorHAnsi" w:hAnsiTheme="minorHAnsi" w:cstheme="minorHAnsi"/>
              </w:rPr>
            </w:pPr>
            <w:r w:rsidRPr="00C415C7">
              <w:rPr>
                <w:rFonts w:asciiTheme="minorHAnsi" w:hAnsiTheme="minorHAnsi" w:cstheme="minorHAnsi"/>
              </w:rPr>
              <w:t>X</w:t>
            </w:r>
          </w:p>
        </w:tc>
        <w:tc>
          <w:tcPr>
            <w:tcW w:w="3827"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$5 million per year in PLA</w:t>
            </w:r>
          </w:p>
        </w:tc>
      </w:tr>
      <w:tr w:rsidR="00C951E5" w:rsidRPr="00CF242A" w:rsidTr="0097063B">
        <w:tc>
          <w:tcPr>
            <w:tcW w:w="2943" w:type="dxa"/>
          </w:tcPr>
          <w:p w:rsidR="00C951E5" w:rsidRPr="00C415C7" w:rsidRDefault="00C951E5" w:rsidP="001369BF">
            <w:pPr>
              <w:jc w:val="left"/>
              <w:rPr>
                <w:rFonts w:asciiTheme="minorHAnsi" w:hAnsiTheme="minorHAnsi" w:cstheme="minorHAnsi"/>
              </w:rPr>
            </w:pPr>
          </w:p>
        </w:tc>
        <w:tc>
          <w:tcPr>
            <w:tcW w:w="2835" w:type="dxa"/>
          </w:tcPr>
          <w:p w:rsidR="00C951E5" w:rsidRPr="00C415C7" w:rsidRDefault="00C951E5" w:rsidP="001369BF">
            <w:pPr>
              <w:jc w:val="left"/>
              <w:rPr>
                <w:rFonts w:asciiTheme="minorHAnsi" w:hAnsiTheme="minorHAnsi" w:cstheme="minorHAnsi"/>
              </w:rPr>
            </w:pPr>
          </w:p>
        </w:tc>
        <w:tc>
          <w:tcPr>
            <w:tcW w:w="1701" w:type="dxa"/>
          </w:tcPr>
          <w:p w:rsidR="00C951E5" w:rsidRPr="00C415C7" w:rsidRDefault="00C951E5" w:rsidP="0097063B">
            <w:pPr>
              <w:jc w:val="left"/>
              <w:rPr>
                <w:rFonts w:asciiTheme="minorHAnsi" w:hAnsiTheme="minorHAnsi" w:cstheme="minorHAnsi"/>
              </w:rPr>
            </w:pPr>
          </w:p>
        </w:tc>
        <w:tc>
          <w:tcPr>
            <w:tcW w:w="1641" w:type="dxa"/>
          </w:tcPr>
          <w:p w:rsidR="00C951E5" w:rsidRPr="00C415C7" w:rsidRDefault="00C951E5" w:rsidP="001369BF">
            <w:pPr>
              <w:jc w:val="left"/>
              <w:rPr>
                <w:rFonts w:asciiTheme="minorHAnsi" w:hAnsiTheme="minorHAnsi" w:cstheme="minorHAnsi"/>
              </w:rPr>
            </w:pPr>
          </w:p>
        </w:tc>
        <w:tc>
          <w:tcPr>
            <w:tcW w:w="1893" w:type="dxa"/>
          </w:tcPr>
          <w:p w:rsidR="00C951E5" w:rsidRPr="00C415C7" w:rsidRDefault="00C951E5" w:rsidP="001369BF">
            <w:pPr>
              <w:jc w:val="left"/>
              <w:rPr>
                <w:rFonts w:asciiTheme="minorHAnsi" w:hAnsiTheme="minorHAnsi" w:cstheme="minorHAnsi"/>
              </w:rPr>
            </w:pPr>
          </w:p>
        </w:tc>
        <w:tc>
          <w:tcPr>
            <w:tcW w:w="1893" w:type="dxa"/>
          </w:tcPr>
          <w:p w:rsidR="00C951E5" w:rsidRPr="00C415C7" w:rsidRDefault="00C951E5" w:rsidP="001369BF">
            <w:pPr>
              <w:jc w:val="left"/>
              <w:rPr>
                <w:rFonts w:asciiTheme="minorHAnsi" w:hAnsiTheme="minorHAnsi" w:cstheme="minorHAnsi"/>
              </w:rPr>
            </w:pPr>
          </w:p>
        </w:tc>
        <w:tc>
          <w:tcPr>
            <w:tcW w:w="1893" w:type="dxa"/>
          </w:tcPr>
          <w:p w:rsidR="00C951E5" w:rsidRPr="00C415C7" w:rsidRDefault="00C951E5" w:rsidP="001369BF">
            <w:pPr>
              <w:jc w:val="left"/>
              <w:rPr>
                <w:rFonts w:asciiTheme="minorHAnsi" w:hAnsiTheme="minorHAnsi" w:cstheme="minorHAnsi"/>
              </w:rPr>
            </w:pPr>
          </w:p>
        </w:tc>
        <w:tc>
          <w:tcPr>
            <w:tcW w:w="1894" w:type="dxa"/>
          </w:tcPr>
          <w:p w:rsidR="00C951E5" w:rsidRPr="00C415C7" w:rsidRDefault="00C951E5" w:rsidP="001369BF">
            <w:pPr>
              <w:jc w:val="left"/>
              <w:rPr>
                <w:rFonts w:asciiTheme="minorHAnsi" w:hAnsiTheme="minorHAnsi" w:cstheme="minorHAnsi"/>
              </w:rPr>
            </w:pPr>
          </w:p>
        </w:tc>
        <w:tc>
          <w:tcPr>
            <w:tcW w:w="3827" w:type="dxa"/>
          </w:tcPr>
          <w:p w:rsidR="00C951E5" w:rsidRPr="00C415C7" w:rsidRDefault="00C951E5" w:rsidP="001369BF">
            <w:pPr>
              <w:jc w:val="left"/>
              <w:rPr>
                <w:rFonts w:asciiTheme="minorHAnsi" w:hAnsiTheme="minorHAnsi" w:cstheme="minorHAnsi"/>
              </w:rPr>
            </w:pPr>
          </w:p>
        </w:tc>
      </w:tr>
      <w:tr w:rsidR="00C951E5" w:rsidRPr="00CF242A" w:rsidTr="0097063B">
        <w:tc>
          <w:tcPr>
            <w:tcW w:w="2943" w:type="dxa"/>
            <w:shd w:val="clear" w:color="auto" w:fill="B8CCE4" w:themeFill="accent1" w:themeFillTint="66"/>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Effective aid through alignment, harmonisation and mutual accountability</w:t>
            </w:r>
          </w:p>
        </w:tc>
        <w:tc>
          <w:tcPr>
            <w:tcW w:w="2835"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701" w:type="dxa"/>
            <w:shd w:val="clear" w:color="auto" w:fill="B8CCE4" w:themeFill="accent1" w:themeFillTint="66"/>
          </w:tcPr>
          <w:p w:rsidR="00C951E5" w:rsidRPr="00C415C7" w:rsidRDefault="00C951E5" w:rsidP="0097063B">
            <w:pPr>
              <w:jc w:val="left"/>
              <w:rPr>
                <w:rFonts w:asciiTheme="minorHAnsi" w:hAnsiTheme="minorHAnsi" w:cstheme="minorHAnsi"/>
              </w:rPr>
            </w:pPr>
          </w:p>
        </w:tc>
        <w:tc>
          <w:tcPr>
            <w:tcW w:w="1641"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893"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893"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893"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894"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3827" w:type="dxa"/>
            <w:shd w:val="clear" w:color="auto" w:fill="B8CCE4" w:themeFill="accent1" w:themeFillTint="66"/>
          </w:tcPr>
          <w:p w:rsidR="00C951E5" w:rsidRPr="00C415C7" w:rsidRDefault="00C951E5" w:rsidP="001369BF">
            <w:pPr>
              <w:jc w:val="left"/>
              <w:rPr>
                <w:rFonts w:asciiTheme="minorHAnsi" w:hAnsiTheme="minorHAnsi" w:cstheme="minorHAnsi"/>
              </w:rPr>
            </w:pPr>
          </w:p>
        </w:tc>
      </w:tr>
      <w:tr w:rsidR="00C951E5" w:rsidRPr="00CF242A" w:rsidTr="0097063B">
        <w:tc>
          <w:tcPr>
            <w:tcW w:w="2943" w:type="dxa"/>
          </w:tcPr>
          <w:p w:rsidR="00C951E5" w:rsidRPr="00C415C7" w:rsidRDefault="00C951E5" w:rsidP="001369BF">
            <w:pPr>
              <w:jc w:val="left"/>
              <w:rPr>
                <w:rFonts w:asciiTheme="minorHAnsi" w:hAnsiTheme="minorHAnsi" w:cstheme="minorHAnsi"/>
              </w:rPr>
            </w:pPr>
          </w:p>
        </w:tc>
        <w:tc>
          <w:tcPr>
            <w:tcW w:w="2835" w:type="dxa"/>
          </w:tcPr>
          <w:p w:rsidR="00C951E5" w:rsidRPr="00C415C7" w:rsidRDefault="00C951E5" w:rsidP="001369BF">
            <w:pPr>
              <w:jc w:val="left"/>
              <w:rPr>
                <w:rFonts w:asciiTheme="minorHAnsi" w:hAnsiTheme="minorHAnsi" w:cstheme="minorHAnsi"/>
              </w:rPr>
            </w:pPr>
          </w:p>
        </w:tc>
        <w:tc>
          <w:tcPr>
            <w:tcW w:w="1701" w:type="dxa"/>
          </w:tcPr>
          <w:p w:rsidR="00C951E5" w:rsidRPr="00C415C7" w:rsidRDefault="00C951E5" w:rsidP="0097063B">
            <w:pPr>
              <w:jc w:val="left"/>
              <w:rPr>
                <w:rFonts w:asciiTheme="minorHAnsi" w:hAnsiTheme="minorHAnsi" w:cstheme="minorHAnsi"/>
              </w:rPr>
            </w:pPr>
          </w:p>
        </w:tc>
        <w:tc>
          <w:tcPr>
            <w:tcW w:w="1641" w:type="dxa"/>
          </w:tcPr>
          <w:p w:rsidR="00C951E5" w:rsidRPr="00C415C7" w:rsidRDefault="00C951E5" w:rsidP="001369BF">
            <w:pPr>
              <w:jc w:val="left"/>
              <w:rPr>
                <w:rFonts w:asciiTheme="minorHAnsi" w:hAnsiTheme="minorHAnsi" w:cstheme="minorHAnsi"/>
              </w:rPr>
            </w:pPr>
          </w:p>
        </w:tc>
        <w:tc>
          <w:tcPr>
            <w:tcW w:w="1893" w:type="dxa"/>
          </w:tcPr>
          <w:p w:rsidR="00C951E5" w:rsidRPr="00C415C7" w:rsidRDefault="00C951E5" w:rsidP="001369BF">
            <w:pPr>
              <w:jc w:val="left"/>
              <w:rPr>
                <w:rFonts w:asciiTheme="minorHAnsi" w:hAnsiTheme="minorHAnsi" w:cstheme="minorHAnsi"/>
              </w:rPr>
            </w:pPr>
          </w:p>
        </w:tc>
        <w:tc>
          <w:tcPr>
            <w:tcW w:w="1893" w:type="dxa"/>
          </w:tcPr>
          <w:p w:rsidR="00C951E5" w:rsidRPr="00C415C7" w:rsidRDefault="00C951E5" w:rsidP="001369BF">
            <w:pPr>
              <w:jc w:val="left"/>
              <w:rPr>
                <w:rFonts w:asciiTheme="minorHAnsi" w:hAnsiTheme="minorHAnsi" w:cstheme="minorHAnsi"/>
              </w:rPr>
            </w:pPr>
          </w:p>
        </w:tc>
        <w:tc>
          <w:tcPr>
            <w:tcW w:w="1893" w:type="dxa"/>
          </w:tcPr>
          <w:p w:rsidR="00C951E5" w:rsidRPr="00C415C7" w:rsidRDefault="00C951E5" w:rsidP="001369BF">
            <w:pPr>
              <w:jc w:val="left"/>
              <w:rPr>
                <w:rFonts w:asciiTheme="minorHAnsi" w:hAnsiTheme="minorHAnsi" w:cstheme="minorHAnsi"/>
              </w:rPr>
            </w:pPr>
          </w:p>
        </w:tc>
        <w:tc>
          <w:tcPr>
            <w:tcW w:w="1894" w:type="dxa"/>
          </w:tcPr>
          <w:p w:rsidR="00C951E5" w:rsidRPr="00C415C7" w:rsidRDefault="00C951E5" w:rsidP="001369BF">
            <w:pPr>
              <w:jc w:val="left"/>
              <w:rPr>
                <w:rFonts w:asciiTheme="minorHAnsi" w:hAnsiTheme="minorHAnsi" w:cstheme="minorHAnsi"/>
              </w:rPr>
            </w:pPr>
          </w:p>
        </w:tc>
        <w:tc>
          <w:tcPr>
            <w:tcW w:w="3827" w:type="dxa"/>
          </w:tcPr>
          <w:p w:rsidR="00C951E5" w:rsidRPr="00C415C7" w:rsidRDefault="00C951E5" w:rsidP="001369BF">
            <w:pPr>
              <w:jc w:val="left"/>
              <w:rPr>
                <w:rFonts w:asciiTheme="minorHAnsi" w:hAnsiTheme="minorHAnsi" w:cstheme="minorHAnsi"/>
              </w:rPr>
            </w:pPr>
          </w:p>
        </w:tc>
      </w:tr>
      <w:tr w:rsidR="00C951E5" w:rsidRPr="00CF242A" w:rsidTr="0097063B">
        <w:tc>
          <w:tcPr>
            <w:tcW w:w="2943" w:type="dxa"/>
            <w:shd w:val="clear" w:color="auto" w:fill="B8CCE4" w:themeFill="accent1" w:themeFillTint="66"/>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Other</w:t>
            </w:r>
          </w:p>
        </w:tc>
        <w:tc>
          <w:tcPr>
            <w:tcW w:w="2835"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701" w:type="dxa"/>
            <w:shd w:val="clear" w:color="auto" w:fill="B8CCE4" w:themeFill="accent1" w:themeFillTint="66"/>
          </w:tcPr>
          <w:p w:rsidR="00C951E5" w:rsidRPr="00C415C7" w:rsidRDefault="00C951E5" w:rsidP="0097063B">
            <w:pPr>
              <w:jc w:val="left"/>
              <w:rPr>
                <w:rFonts w:asciiTheme="minorHAnsi" w:hAnsiTheme="minorHAnsi" w:cstheme="minorHAnsi"/>
              </w:rPr>
            </w:pPr>
          </w:p>
        </w:tc>
        <w:tc>
          <w:tcPr>
            <w:tcW w:w="1641"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893"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893"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893"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1894" w:type="dxa"/>
            <w:shd w:val="clear" w:color="auto" w:fill="B8CCE4" w:themeFill="accent1" w:themeFillTint="66"/>
          </w:tcPr>
          <w:p w:rsidR="00C951E5" w:rsidRPr="00C415C7" w:rsidRDefault="00C951E5" w:rsidP="001369BF">
            <w:pPr>
              <w:jc w:val="left"/>
              <w:rPr>
                <w:rFonts w:asciiTheme="minorHAnsi" w:hAnsiTheme="minorHAnsi" w:cstheme="minorHAnsi"/>
              </w:rPr>
            </w:pPr>
          </w:p>
        </w:tc>
        <w:tc>
          <w:tcPr>
            <w:tcW w:w="3827" w:type="dxa"/>
            <w:shd w:val="clear" w:color="auto" w:fill="B8CCE4" w:themeFill="accent1" w:themeFillTint="66"/>
          </w:tcPr>
          <w:p w:rsidR="00C951E5" w:rsidRPr="00C415C7" w:rsidRDefault="00C951E5" w:rsidP="001369BF">
            <w:pPr>
              <w:jc w:val="left"/>
              <w:rPr>
                <w:rFonts w:asciiTheme="minorHAnsi" w:hAnsiTheme="minorHAnsi" w:cstheme="minorHAnsi"/>
              </w:rPr>
            </w:pPr>
          </w:p>
        </w:tc>
      </w:tr>
      <w:tr w:rsidR="00C951E5" w:rsidRPr="00CF242A" w:rsidTr="0097063B">
        <w:tc>
          <w:tcPr>
            <w:tcW w:w="2943"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Strengthened governance institutions and democratic processes</w:t>
            </w:r>
          </w:p>
        </w:tc>
        <w:tc>
          <w:tcPr>
            <w:tcW w:w="2835"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Tonga Governance Strengthening Program</w:t>
            </w:r>
          </w:p>
        </w:tc>
        <w:tc>
          <w:tcPr>
            <w:tcW w:w="1701" w:type="dxa"/>
          </w:tcPr>
          <w:p w:rsidR="00C951E5" w:rsidRPr="00C415C7" w:rsidRDefault="00C951E5" w:rsidP="0097063B">
            <w:pPr>
              <w:jc w:val="left"/>
              <w:rPr>
                <w:rFonts w:asciiTheme="minorHAnsi" w:hAnsiTheme="minorHAnsi" w:cstheme="minorHAnsi"/>
              </w:rPr>
            </w:pPr>
            <w:r w:rsidRPr="00C415C7">
              <w:rPr>
                <w:rFonts w:asciiTheme="minorHAnsi" w:hAnsiTheme="minorHAnsi" w:cstheme="minorHAnsi"/>
              </w:rPr>
              <w:t>April 2013</w:t>
            </w:r>
          </w:p>
        </w:tc>
        <w:tc>
          <w:tcPr>
            <w:tcW w:w="1641"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June 2016</w:t>
            </w:r>
          </w:p>
        </w:tc>
        <w:tc>
          <w:tcPr>
            <w:tcW w:w="1893" w:type="dxa"/>
          </w:tcPr>
          <w:p w:rsidR="00C951E5" w:rsidRPr="00C415C7" w:rsidRDefault="00C951E5" w:rsidP="001369BF">
            <w:pPr>
              <w:jc w:val="center"/>
              <w:rPr>
                <w:rFonts w:asciiTheme="minorHAnsi" w:hAnsiTheme="minorHAnsi" w:cstheme="minorHAnsi"/>
              </w:rPr>
            </w:pPr>
            <w:r w:rsidRPr="00C415C7">
              <w:rPr>
                <w:rFonts w:asciiTheme="minorHAnsi" w:hAnsiTheme="minorHAnsi" w:cstheme="minorHAnsi"/>
              </w:rPr>
              <w:t>X</w:t>
            </w:r>
          </w:p>
        </w:tc>
        <w:tc>
          <w:tcPr>
            <w:tcW w:w="1893" w:type="dxa"/>
          </w:tcPr>
          <w:p w:rsidR="00C951E5" w:rsidRPr="00C415C7" w:rsidRDefault="00C951E5" w:rsidP="001369BF">
            <w:pPr>
              <w:jc w:val="center"/>
              <w:rPr>
                <w:rFonts w:asciiTheme="minorHAnsi" w:hAnsiTheme="minorHAnsi" w:cstheme="minorHAnsi"/>
              </w:rPr>
            </w:pPr>
            <w:r w:rsidRPr="00C415C7">
              <w:rPr>
                <w:rFonts w:asciiTheme="minorHAnsi" w:hAnsiTheme="minorHAnsi" w:cstheme="minorHAnsi"/>
              </w:rPr>
              <w:t>X</w:t>
            </w:r>
          </w:p>
        </w:tc>
        <w:tc>
          <w:tcPr>
            <w:tcW w:w="1893" w:type="dxa"/>
          </w:tcPr>
          <w:p w:rsidR="00C951E5" w:rsidRPr="00C415C7" w:rsidRDefault="00C951E5" w:rsidP="001369BF">
            <w:pPr>
              <w:jc w:val="center"/>
              <w:rPr>
                <w:rFonts w:asciiTheme="minorHAnsi" w:hAnsiTheme="minorHAnsi" w:cstheme="minorHAnsi"/>
              </w:rPr>
            </w:pPr>
            <w:r w:rsidRPr="00C415C7">
              <w:rPr>
                <w:rFonts w:asciiTheme="minorHAnsi" w:hAnsiTheme="minorHAnsi" w:cstheme="minorHAnsi"/>
              </w:rPr>
              <w:t>X</w:t>
            </w:r>
          </w:p>
        </w:tc>
        <w:tc>
          <w:tcPr>
            <w:tcW w:w="1894" w:type="dxa"/>
          </w:tcPr>
          <w:p w:rsidR="00C951E5" w:rsidRPr="00C415C7" w:rsidRDefault="00C951E5" w:rsidP="001369BF">
            <w:pPr>
              <w:jc w:val="center"/>
              <w:rPr>
                <w:rFonts w:asciiTheme="minorHAnsi" w:hAnsiTheme="minorHAnsi" w:cstheme="minorHAnsi"/>
              </w:rPr>
            </w:pPr>
          </w:p>
        </w:tc>
        <w:tc>
          <w:tcPr>
            <w:tcW w:w="3827" w:type="dxa"/>
          </w:tcPr>
          <w:p w:rsidR="00C951E5" w:rsidRPr="00C415C7" w:rsidRDefault="00C951E5" w:rsidP="001369BF">
            <w:pPr>
              <w:jc w:val="left"/>
              <w:rPr>
                <w:rFonts w:asciiTheme="minorHAnsi" w:hAnsiTheme="minorHAnsi" w:cstheme="minorHAnsi"/>
              </w:rPr>
            </w:pPr>
            <w:r w:rsidRPr="00C415C7">
              <w:rPr>
                <w:rFonts w:asciiTheme="minorHAnsi" w:hAnsiTheme="minorHAnsi" w:cstheme="minorHAnsi"/>
              </w:rPr>
              <w:t>$3.8 million/ 4yrs</w:t>
            </w:r>
          </w:p>
        </w:tc>
      </w:tr>
    </w:tbl>
    <w:p w:rsidR="007F3C0D" w:rsidRDefault="007F3C0D" w:rsidP="007F3C0D">
      <w:pPr>
        <w:sectPr w:rsidR="007F3C0D" w:rsidSect="007F3C0D">
          <w:pgSz w:w="23814" w:h="16840" w:orient="landscape" w:code="8"/>
          <w:pgMar w:top="1440" w:right="1440" w:bottom="1440" w:left="1440" w:header="709" w:footer="709" w:gutter="0"/>
          <w:cols w:space="708"/>
          <w:docGrid w:linePitch="360"/>
        </w:sectPr>
      </w:pPr>
    </w:p>
    <w:p w:rsidR="00D36556" w:rsidRPr="00D36556" w:rsidRDefault="006D21E3" w:rsidP="00D36556">
      <w:pPr>
        <w:pStyle w:val="Heading1"/>
        <w:spacing w:before="0" w:after="240" w:line="276" w:lineRule="auto"/>
        <w:jc w:val="left"/>
        <w:rPr>
          <w:sz w:val="24"/>
        </w:rPr>
      </w:pPr>
      <w:bookmarkStart w:id="37" w:name="_Toc356389390"/>
      <w:r>
        <w:rPr>
          <w:sz w:val="24"/>
        </w:rPr>
        <w:t xml:space="preserve">Annex </w:t>
      </w:r>
      <w:r w:rsidR="000D7A3B">
        <w:rPr>
          <w:sz w:val="24"/>
        </w:rPr>
        <w:t>5</w:t>
      </w:r>
      <w:r>
        <w:rPr>
          <w:sz w:val="24"/>
        </w:rPr>
        <w:t xml:space="preserve">: </w:t>
      </w:r>
      <w:r w:rsidR="00BE642B" w:rsidRPr="00496F18">
        <w:rPr>
          <w:sz w:val="24"/>
        </w:rPr>
        <w:t>Policy Reform Matrix</w:t>
      </w:r>
      <w:bookmarkEnd w:id="37"/>
    </w:p>
    <w:p w:rsidR="00D36556" w:rsidRPr="003014B8" w:rsidRDefault="00D36556" w:rsidP="00D36556">
      <w:pPr>
        <w:jc w:val="center"/>
        <w:rPr>
          <w:rFonts w:cs="Arial"/>
          <w:b/>
          <w:u w:val="single"/>
        </w:rPr>
      </w:pPr>
      <w:r w:rsidRPr="003014B8">
        <w:rPr>
          <w:rFonts w:cs="Arial"/>
          <w:b/>
          <w:u w:val="single"/>
        </w:rPr>
        <w:t>Joint Policy Reform Matrix FY201</w:t>
      </w:r>
      <w:r>
        <w:rPr>
          <w:rFonts w:cs="Arial"/>
          <w:b/>
          <w:u w:val="single"/>
        </w:rPr>
        <w:t>4</w:t>
      </w:r>
      <w:r w:rsidRPr="003014B8">
        <w:rPr>
          <w:rFonts w:cs="Arial"/>
          <w:b/>
          <w:u w:val="single"/>
        </w:rPr>
        <w:t>-1</w:t>
      </w:r>
      <w:r>
        <w:rPr>
          <w:rFonts w:cs="Arial"/>
          <w:b/>
          <w:u w:val="single"/>
        </w:rPr>
        <w:t>5</w:t>
      </w:r>
    </w:p>
    <w:p w:rsidR="00D36556" w:rsidRDefault="00D36556" w:rsidP="00D36556"/>
    <w:tbl>
      <w:tblPr>
        <w:tblStyle w:val="TableGrid"/>
        <w:tblW w:w="14000" w:type="dxa"/>
        <w:tblLayout w:type="fixed"/>
        <w:tblLook w:val="04A0" w:firstRow="1" w:lastRow="0" w:firstColumn="1" w:lastColumn="0" w:noHBand="0" w:noVBand="1"/>
      </w:tblPr>
      <w:tblGrid>
        <w:gridCol w:w="3969"/>
        <w:gridCol w:w="392"/>
        <w:gridCol w:w="2835"/>
        <w:gridCol w:w="2268"/>
        <w:gridCol w:w="1417"/>
        <w:gridCol w:w="3119"/>
      </w:tblGrid>
      <w:tr w:rsidR="001D4AB6" w:rsidRPr="00C77EF1" w:rsidTr="00F17EFC">
        <w:trPr>
          <w:trHeight w:val="180"/>
        </w:trPr>
        <w:tc>
          <w:tcPr>
            <w:tcW w:w="4361" w:type="dxa"/>
            <w:gridSpan w:val="2"/>
            <w:shd w:val="clear" w:color="auto" w:fill="auto"/>
          </w:tcPr>
          <w:p w:rsidR="001D4AB6" w:rsidRPr="001D4AB6" w:rsidRDefault="001D4AB6" w:rsidP="004A1C05">
            <w:pPr>
              <w:rPr>
                <w:rFonts w:cs="Arial"/>
                <w:b/>
                <w:sz w:val="20"/>
                <w:szCs w:val="22"/>
              </w:rPr>
            </w:pPr>
            <w:r w:rsidRPr="001D4AB6">
              <w:rPr>
                <w:rFonts w:cs="Arial"/>
                <w:b/>
                <w:sz w:val="20"/>
                <w:szCs w:val="22"/>
              </w:rPr>
              <w:t>Agreed Reform Actions – for completion August 31</w:t>
            </w:r>
            <w:r w:rsidRPr="001D4AB6">
              <w:rPr>
                <w:rFonts w:cs="Arial"/>
                <w:b/>
                <w:sz w:val="20"/>
                <w:szCs w:val="22"/>
                <w:vertAlign w:val="superscript"/>
              </w:rPr>
              <w:t>st</w:t>
            </w:r>
            <w:r w:rsidRPr="001D4AB6">
              <w:rPr>
                <w:rFonts w:cs="Arial"/>
                <w:b/>
                <w:sz w:val="20"/>
                <w:szCs w:val="22"/>
              </w:rPr>
              <w:t xml:space="preserve"> 2013</w:t>
            </w:r>
            <w:r w:rsidR="00004203">
              <w:rPr>
                <w:rFonts w:cs="Arial"/>
                <w:b/>
                <w:sz w:val="20"/>
                <w:szCs w:val="22"/>
              </w:rPr>
              <w:t xml:space="preserve"> (stakeholders in brackets)</w:t>
            </w:r>
          </w:p>
        </w:tc>
        <w:tc>
          <w:tcPr>
            <w:tcW w:w="2835" w:type="dxa"/>
          </w:tcPr>
          <w:p w:rsidR="001D4AB6" w:rsidRPr="00DC60CB" w:rsidRDefault="00DC60CB" w:rsidP="002B2CF9">
            <w:pPr>
              <w:rPr>
                <w:rFonts w:cs="Arial"/>
                <w:b/>
                <w:i/>
                <w:sz w:val="20"/>
                <w:szCs w:val="22"/>
              </w:rPr>
            </w:pPr>
            <w:r>
              <w:rPr>
                <w:rFonts w:cs="Arial"/>
                <w:b/>
                <w:i/>
                <w:sz w:val="20"/>
                <w:szCs w:val="22"/>
              </w:rPr>
              <w:t xml:space="preserve">Responsibility/ </w:t>
            </w:r>
            <w:r w:rsidR="002B2CF9">
              <w:rPr>
                <w:rFonts w:cs="Arial"/>
                <w:b/>
                <w:i/>
                <w:sz w:val="20"/>
                <w:szCs w:val="22"/>
              </w:rPr>
              <w:t>implementing partners</w:t>
            </w:r>
          </w:p>
        </w:tc>
        <w:tc>
          <w:tcPr>
            <w:tcW w:w="3685" w:type="dxa"/>
            <w:gridSpan w:val="2"/>
            <w:shd w:val="clear" w:color="auto" w:fill="auto"/>
          </w:tcPr>
          <w:p w:rsidR="001D4AB6" w:rsidRPr="00C77EF1" w:rsidRDefault="001D4AB6" w:rsidP="004A1C05">
            <w:pPr>
              <w:rPr>
                <w:rFonts w:cs="Arial"/>
                <w:b/>
                <w:sz w:val="20"/>
                <w:szCs w:val="22"/>
              </w:rPr>
            </w:pPr>
            <w:r w:rsidRPr="00C77EF1">
              <w:rPr>
                <w:rFonts w:cs="Arial"/>
                <w:b/>
                <w:sz w:val="20"/>
                <w:szCs w:val="22"/>
              </w:rPr>
              <w:t>Indicative Reform Actions</w:t>
            </w:r>
            <w:r>
              <w:rPr>
                <w:rFonts w:cs="Arial"/>
                <w:b/>
                <w:sz w:val="20"/>
                <w:szCs w:val="22"/>
              </w:rPr>
              <w:t xml:space="preserve"> – for completion August 31</w:t>
            </w:r>
            <w:r w:rsidRPr="00CF7BFB">
              <w:rPr>
                <w:rFonts w:cs="Arial"/>
                <w:b/>
                <w:sz w:val="20"/>
                <w:szCs w:val="22"/>
                <w:vertAlign w:val="superscript"/>
              </w:rPr>
              <w:t>st</w:t>
            </w:r>
            <w:r w:rsidRPr="00C77EF1">
              <w:rPr>
                <w:rFonts w:cs="Arial"/>
                <w:b/>
                <w:sz w:val="20"/>
                <w:szCs w:val="22"/>
              </w:rPr>
              <w:t xml:space="preserve"> 2014</w:t>
            </w:r>
          </w:p>
        </w:tc>
        <w:tc>
          <w:tcPr>
            <w:tcW w:w="3119" w:type="dxa"/>
          </w:tcPr>
          <w:p w:rsidR="001D4AB6" w:rsidRPr="00C77EF1" w:rsidRDefault="00DC60CB" w:rsidP="00DA604A">
            <w:pPr>
              <w:rPr>
                <w:rFonts w:cs="Arial"/>
                <w:b/>
                <w:sz w:val="20"/>
                <w:szCs w:val="22"/>
              </w:rPr>
            </w:pPr>
            <w:r>
              <w:rPr>
                <w:rFonts w:cs="Arial"/>
                <w:b/>
                <w:i/>
                <w:sz w:val="20"/>
                <w:szCs w:val="22"/>
              </w:rPr>
              <w:t>Responsibility</w:t>
            </w:r>
            <w:r w:rsidR="00DA604A">
              <w:rPr>
                <w:rFonts w:cs="Arial"/>
                <w:b/>
                <w:i/>
                <w:sz w:val="20"/>
                <w:szCs w:val="22"/>
              </w:rPr>
              <w:t>/ implementing partner</w:t>
            </w:r>
          </w:p>
        </w:tc>
      </w:tr>
      <w:tr w:rsidR="001D4AB6" w:rsidRPr="00C77EF1" w:rsidTr="00F17EFC">
        <w:trPr>
          <w:trHeight w:val="179"/>
        </w:trPr>
        <w:tc>
          <w:tcPr>
            <w:tcW w:w="3969" w:type="dxa"/>
            <w:shd w:val="clear" w:color="auto" w:fill="000000" w:themeFill="text1"/>
          </w:tcPr>
          <w:p w:rsidR="001D4AB6" w:rsidRPr="001D4AB6" w:rsidRDefault="001D4AB6" w:rsidP="004A1C05">
            <w:pPr>
              <w:rPr>
                <w:rFonts w:cs="Arial"/>
                <w:b/>
                <w:sz w:val="20"/>
                <w:szCs w:val="22"/>
              </w:rPr>
            </w:pPr>
          </w:p>
        </w:tc>
        <w:tc>
          <w:tcPr>
            <w:tcW w:w="6912" w:type="dxa"/>
            <w:gridSpan w:val="4"/>
            <w:shd w:val="clear" w:color="auto" w:fill="000000" w:themeFill="text1"/>
          </w:tcPr>
          <w:p w:rsidR="001D4AB6" w:rsidRPr="001D4AB6" w:rsidRDefault="001D4AB6" w:rsidP="004A1C05">
            <w:pPr>
              <w:rPr>
                <w:rFonts w:cs="Arial"/>
                <w:b/>
                <w:sz w:val="20"/>
                <w:szCs w:val="22"/>
              </w:rPr>
            </w:pPr>
            <w:r w:rsidRPr="001D4AB6">
              <w:rPr>
                <w:rFonts w:cs="Arial"/>
                <w:b/>
                <w:sz w:val="20"/>
                <w:szCs w:val="22"/>
              </w:rPr>
              <w:t>Strengthening Public Financial Management</w:t>
            </w:r>
          </w:p>
        </w:tc>
        <w:tc>
          <w:tcPr>
            <w:tcW w:w="3119" w:type="dxa"/>
            <w:shd w:val="clear" w:color="auto" w:fill="000000" w:themeFill="text1"/>
          </w:tcPr>
          <w:p w:rsidR="001D4AB6" w:rsidRPr="001D4AB6" w:rsidRDefault="001D4AB6" w:rsidP="004A1C05">
            <w:pPr>
              <w:rPr>
                <w:rFonts w:cs="Arial"/>
                <w:b/>
                <w:sz w:val="20"/>
                <w:szCs w:val="22"/>
              </w:rPr>
            </w:pPr>
          </w:p>
        </w:tc>
      </w:tr>
      <w:tr w:rsidR="001D4AB6" w:rsidRPr="00C77EF1" w:rsidTr="00F17EFC">
        <w:trPr>
          <w:trHeight w:val="719"/>
        </w:trPr>
        <w:tc>
          <w:tcPr>
            <w:tcW w:w="4361" w:type="dxa"/>
            <w:gridSpan w:val="2"/>
            <w:shd w:val="clear" w:color="auto" w:fill="auto"/>
          </w:tcPr>
          <w:p w:rsidR="001D4AB6" w:rsidRPr="001D4AB6" w:rsidRDefault="001D4AB6" w:rsidP="00A11CCA">
            <w:pPr>
              <w:pStyle w:val="ListParagraph"/>
              <w:numPr>
                <w:ilvl w:val="0"/>
                <w:numId w:val="22"/>
              </w:numPr>
              <w:spacing w:after="0" w:line="240" w:lineRule="auto"/>
              <w:ind w:left="450"/>
              <w:jc w:val="both"/>
              <w:rPr>
                <w:rFonts w:ascii="Arial" w:hAnsi="Arial" w:cs="Arial"/>
                <w:sz w:val="20"/>
              </w:rPr>
            </w:pPr>
            <w:r w:rsidRPr="001D4AB6">
              <w:rPr>
                <w:rFonts w:ascii="Arial" w:hAnsi="Arial" w:cs="Arial"/>
                <w:sz w:val="20"/>
              </w:rPr>
              <w:t xml:space="preserve">The Ministry of Finance will reflect new program structures for major ministries in the FY2013/14 budget to improve alignment between expenditure and policy priorities. </w:t>
            </w:r>
            <w:r w:rsidR="007B79E3" w:rsidRPr="001D4AB6">
              <w:rPr>
                <w:rFonts w:ascii="Arial" w:hAnsi="Arial" w:cs="Arial"/>
                <w:sz w:val="20"/>
              </w:rPr>
              <w:t>(ADB, WB &amp; AusAID)</w:t>
            </w:r>
          </w:p>
          <w:p w:rsidR="001D4AB6" w:rsidRDefault="001D4AB6" w:rsidP="004A1C05">
            <w:pPr>
              <w:pStyle w:val="ListParagraph"/>
              <w:ind w:left="450"/>
              <w:jc w:val="both"/>
              <w:rPr>
                <w:rFonts w:ascii="Arial" w:hAnsi="Arial" w:cs="Arial"/>
                <w:sz w:val="20"/>
              </w:rPr>
            </w:pPr>
          </w:p>
          <w:p w:rsidR="00295C86" w:rsidRDefault="00295C86" w:rsidP="00295C86">
            <w:pPr>
              <w:rPr>
                <w:rFonts w:cs="Arial"/>
                <w:sz w:val="20"/>
              </w:rPr>
            </w:pPr>
          </w:p>
          <w:p w:rsidR="00295C86" w:rsidRDefault="00295C86" w:rsidP="00295C86">
            <w:pPr>
              <w:rPr>
                <w:rFonts w:cs="Arial"/>
                <w:sz w:val="20"/>
              </w:rPr>
            </w:pPr>
          </w:p>
          <w:p w:rsidR="00295C86" w:rsidRDefault="00295C86" w:rsidP="00295C86">
            <w:pPr>
              <w:rPr>
                <w:rFonts w:cs="Arial"/>
                <w:sz w:val="20"/>
              </w:rPr>
            </w:pPr>
          </w:p>
          <w:p w:rsidR="00295C86" w:rsidRDefault="00295C86" w:rsidP="00295C86">
            <w:pPr>
              <w:rPr>
                <w:rFonts w:cs="Arial"/>
                <w:sz w:val="20"/>
              </w:rPr>
            </w:pPr>
          </w:p>
          <w:p w:rsidR="00295C86" w:rsidRPr="00295C86" w:rsidRDefault="00295C86" w:rsidP="00295C86">
            <w:pPr>
              <w:rPr>
                <w:rFonts w:cs="Arial"/>
                <w:sz w:val="20"/>
              </w:rPr>
            </w:pPr>
          </w:p>
          <w:p w:rsidR="001D4AB6" w:rsidRPr="001D4AB6" w:rsidRDefault="001D4AB6" w:rsidP="00A11CCA">
            <w:pPr>
              <w:pStyle w:val="ListParagraph"/>
              <w:numPr>
                <w:ilvl w:val="0"/>
                <w:numId w:val="22"/>
              </w:numPr>
              <w:spacing w:after="0" w:line="240" w:lineRule="auto"/>
              <w:ind w:left="450"/>
              <w:jc w:val="both"/>
              <w:rPr>
                <w:rFonts w:ascii="Arial" w:hAnsi="Arial" w:cs="Arial"/>
                <w:sz w:val="20"/>
              </w:rPr>
            </w:pPr>
            <w:r w:rsidRPr="001D4AB6">
              <w:rPr>
                <w:rFonts w:ascii="Arial" w:hAnsi="Arial" w:cs="Arial"/>
                <w:sz w:val="20"/>
              </w:rPr>
              <w:t>Cabinet will approve a Procurement Strategy outlining steps for strengthening of procurement processes based on the recent procurement review. (AusAID)</w:t>
            </w:r>
          </w:p>
        </w:tc>
        <w:tc>
          <w:tcPr>
            <w:tcW w:w="2835" w:type="dxa"/>
          </w:tcPr>
          <w:p w:rsidR="00AB6B07" w:rsidRDefault="00C53280" w:rsidP="001E0677">
            <w:pPr>
              <w:jc w:val="left"/>
              <w:rPr>
                <w:i/>
                <w:sz w:val="20"/>
                <w:szCs w:val="20"/>
              </w:rPr>
            </w:pPr>
            <w:r>
              <w:rPr>
                <w:i/>
                <w:sz w:val="20"/>
                <w:szCs w:val="20"/>
              </w:rPr>
              <w:t>AusAID and</w:t>
            </w:r>
            <w:r w:rsidR="00AB6B07" w:rsidRPr="00AB6B07">
              <w:rPr>
                <w:i/>
                <w:sz w:val="20"/>
                <w:szCs w:val="20"/>
              </w:rPr>
              <w:t xml:space="preserve"> ADB TA </w:t>
            </w:r>
            <w:r w:rsidR="00807C6A">
              <w:rPr>
                <w:i/>
                <w:sz w:val="20"/>
                <w:szCs w:val="20"/>
              </w:rPr>
              <w:t>supporting corporate planning and m</w:t>
            </w:r>
            <w:r w:rsidR="00AB6B07" w:rsidRPr="00AB6B07">
              <w:rPr>
                <w:i/>
                <w:sz w:val="20"/>
                <w:szCs w:val="20"/>
              </w:rPr>
              <w:t>edium-</w:t>
            </w:r>
            <w:r w:rsidR="00807C6A">
              <w:rPr>
                <w:i/>
                <w:sz w:val="20"/>
                <w:szCs w:val="20"/>
              </w:rPr>
              <w:t>t</w:t>
            </w:r>
            <w:r w:rsidR="00AB6B07" w:rsidRPr="00AB6B07">
              <w:rPr>
                <w:i/>
                <w:sz w:val="20"/>
                <w:szCs w:val="20"/>
              </w:rPr>
              <w:t>erm budgeting programs. Ongoing TA provided to assist in preparing budget documents as necessary.</w:t>
            </w:r>
          </w:p>
          <w:p w:rsidR="00807C6A" w:rsidRDefault="00807C6A" w:rsidP="001E0677">
            <w:pPr>
              <w:jc w:val="left"/>
              <w:rPr>
                <w:i/>
                <w:sz w:val="20"/>
                <w:szCs w:val="20"/>
              </w:rPr>
            </w:pPr>
          </w:p>
          <w:p w:rsidR="00807C6A" w:rsidRPr="00AB6B07" w:rsidRDefault="00807C6A" w:rsidP="001E0677">
            <w:pPr>
              <w:jc w:val="left"/>
              <w:rPr>
                <w:i/>
                <w:sz w:val="20"/>
                <w:szCs w:val="20"/>
              </w:rPr>
            </w:pPr>
            <w:r w:rsidRPr="00AB6B07">
              <w:rPr>
                <w:i/>
                <w:sz w:val="20"/>
                <w:szCs w:val="20"/>
              </w:rPr>
              <w:t>Ongoing WB assistance provided to Government restructure.</w:t>
            </w:r>
          </w:p>
          <w:p w:rsidR="00295C86" w:rsidRDefault="00295C86" w:rsidP="001E0677">
            <w:pPr>
              <w:jc w:val="left"/>
              <w:rPr>
                <w:i/>
                <w:sz w:val="20"/>
                <w:szCs w:val="20"/>
              </w:rPr>
            </w:pPr>
          </w:p>
          <w:p w:rsidR="00807C6A" w:rsidRPr="00AB6B07" w:rsidRDefault="00467A40" w:rsidP="001E0677">
            <w:pPr>
              <w:jc w:val="left"/>
              <w:rPr>
                <w:i/>
                <w:sz w:val="20"/>
                <w:szCs w:val="20"/>
              </w:rPr>
            </w:pPr>
            <w:r>
              <w:rPr>
                <w:i/>
                <w:sz w:val="20"/>
                <w:szCs w:val="20"/>
              </w:rPr>
              <w:t xml:space="preserve">Two </w:t>
            </w:r>
            <w:r w:rsidR="00807C6A">
              <w:rPr>
                <w:i/>
                <w:sz w:val="20"/>
                <w:szCs w:val="20"/>
              </w:rPr>
              <w:t>AusAID-funded International Procurement Specialists envisaged.</w:t>
            </w:r>
          </w:p>
          <w:p w:rsidR="001D4AB6" w:rsidRPr="001D4AB6" w:rsidRDefault="001D4AB6" w:rsidP="001E0677">
            <w:pPr>
              <w:jc w:val="left"/>
              <w:rPr>
                <w:rFonts w:cs="Arial"/>
                <w:sz w:val="20"/>
              </w:rPr>
            </w:pPr>
          </w:p>
        </w:tc>
        <w:tc>
          <w:tcPr>
            <w:tcW w:w="3685" w:type="dxa"/>
            <w:gridSpan w:val="2"/>
            <w:shd w:val="clear" w:color="auto" w:fill="auto"/>
          </w:tcPr>
          <w:p w:rsidR="001D4AB6" w:rsidRPr="00665478" w:rsidRDefault="001D4AB6" w:rsidP="00A11CCA">
            <w:pPr>
              <w:pStyle w:val="ListParagraph"/>
              <w:numPr>
                <w:ilvl w:val="0"/>
                <w:numId w:val="23"/>
              </w:numPr>
              <w:spacing w:after="0" w:line="240" w:lineRule="auto"/>
              <w:ind w:left="342" w:hanging="270"/>
              <w:jc w:val="both"/>
              <w:rPr>
                <w:rFonts w:ascii="Arial" w:hAnsi="Arial" w:cs="Arial"/>
                <w:sz w:val="20"/>
              </w:rPr>
            </w:pPr>
            <w:r w:rsidRPr="00665478">
              <w:rPr>
                <w:rFonts w:ascii="Arial" w:hAnsi="Arial" w:cs="Arial"/>
                <w:sz w:val="20"/>
              </w:rPr>
              <w:t>Ministry of Finance will progress key reforms identified in the Public Finance Management Reform Plan to be agreed by Cabinet in mid-2013</w:t>
            </w:r>
            <w:r>
              <w:rPr>
                <w:rFonts w:ascii="Arial" w:hAnsi="Arial" w:cs="Arial"/>
                <w:sz w:val="20"/>
              </w:rPr>
              <w:t xml:space="preserve"> and in the Procurement Strategy </w:t>
            </w:r>
          </w:p>
        </w:tc>
        <w:tc>
          <w:tcPr>
            <w:tcW w:w="3119" w:type="dxa"/>
          </w:tcPr>
          <w:p w:rsidR="001D4AB6" w:rsidRPr="00AB6B07" w:rsidRDefault="00AB6B07" w:rsidP="00AB6B07">
            <w:pPr>
              <w:ind w:left="72"/>
              <w:rPr>
                <w:rFonts w:cs="Arial"/>
                <w:i/>
                <w:sz w:val="20"/>
              </w:rPr>
            </w:pPr>
            <w:r w:rsidRPr="00AB6B07">
              <w:rPr>
                <w:rFonts w:cs="Arial"/>
                <w:i/>
                <w:sz w:val="20"/>
              </w:rPr>
              <w:t>GoT with donor support</w:t>
            </w:r>
            <w:r>
              <w:rPr>
                <w:rFonts w:cs="Arial"/>
                <w:i/>
                <w:sz w:val="20"/>
              </w:rPr>
              <w:t xml:space="preserve"> (ADB, WB &amp; AusAID)</w:t>
            </w:r>
          </w:p>
        </w:tc>
      </w:tr>
      <w:tr w:rsidR="001D4AB6" w:rsidRPr="00C77EF1" w:rsidTr="00F17EFC">
        <w:trPr>
          <w:trHeight w:val="197"/>
        </w:trPr>
        <w:tc>
          <w:tcPr>
            <w:tcW w:w="3969" w:type="dxa"/>
            <w:shd w:val="clear" w:color="auto" w:fill="000000" w:themeFill="text1"/>
          </w:tcPr>
          <w:p w:rsidR="001D4AB6" w:rsidRPr="001D4AB6" w:rsidRDefault="001D4AB6" w:rsidP="004A1C05">
            <w:pPr>
              <w:rPr>
                <w:rFonts w:cs="Arial"/>
                <w:b/>
                <w:sz w:val="20"/>
                <w:szCs w:val="22"/>
              </w:rPr>
            </w:pPr>
          </w:p>
        </w:tc>
        <w:tc>
          <w:tcPr>
            <w:tcW w:w="6912" w:type="dxa"/>
            <w:gridSpan w:val="4"/>
            <w:shd w:val="clear" w:color="auto" w:fill="000000" w:themeFill="text1"/>
          </w:tcPr>
          <w:p w:rsidR="001D4AB6" w:rsidRPr="001D4AB6" w:rsidRDefault="001D4AB6" w:rsidP="001E0677">
            <w:pPr>
              <w:jc w:val="left"/>
              <w:rPr>
                <w:rFonts w:cs="Arial"/>
                <w:b/>
                <w:sz w:val="20"/>
                <w:szCs w:val="22"/>
              </w:rPr>
            </w:pPr>
            <w:r w:rsidRPr="001D4AB6">
              <w:rPr>
                <w:rFonts w:cs="Arial"/>
                <w:b/>
                <w:sz w:val="20"/>
                <w:szCs w:val="22"/>
              </w:rPr>
              <w:t>Strengthening fiscal policy</w:t>
            </w:r>
          </w:p>
        </w:tc>
        <w:tc>
          <w:tcPr>
            <w:tcW w:w="3119" w:type="dxa"/>
            <w:shd w:val="clear" w:color="auto" w:fill="000000" w:themeFill="text1"/>
          </w:tcPr>
          <w:p w:rsidR="001D4AB6" w:rsidRPr="001D4AB6" w:rsidRDefault="001D4AB6" w:rsidP="004A1C05">
            <w:pPr>
              <w:rPr>
                <w:rFonts w:cs="Arial"/>
                <w:b/>
                <w:sz w:val="20"/>
                <w:szCs w:val="22"/>
              </w:rPr>
            </w:pPr>
          </w:p>
        </w:tc>
      </w:tr>
      <w:tr w:rsidR="001D4AB6" w:rsidRPr="00C77EF1" w:rsidTr="00F17EFC">
        <w:trPr>
          <w:trHeight w:val="67"/>
        </w:trPr>
        <w:tc>
          <w:tcPr>
            <w:tcW w:w="4361" w:type="dxa"/>
            <w:gridSpan w:val="2"/>
            <w:shd w:val="clear" w:color="auto" w:fill="auto"/>
          </w:tcPr>
          <w:p w:rsidR="001D4AB6" w:rsidRPr="001D4AB6" w:rsidRDefault="001D4AB6" w:rsidP="00A11CCA">
            <w:pPr>
              <w:pStyle w:val="ListParagraph"/>
              <w:numPr>
                <w:ilvl w:val="0"/>
                <w:numId w:val="22"/>
              </w:numPr>
              <w:spacing w:after="0" w:line="240" w:lineRule="auto"/>
              <w:ind w:left="450"/>
              <w:jc w:val="both"/>
              <w:rPr>
                <w:rFonts w:ascii="Arial" w:hAnsi="Arial" w:cs="Arial"/>
                <w:sz w:val="20"/>
              </w:rPr>
            </w:pPr>
            <w:r w:rsidRPr="001D4AB6">
              <w:rPr>
                <w:rFonts w:ascii="Arial" w:hAnsi="Arial" w:cs="Arial"/>
                <w:sz w:val="20"/>
              </w:rPr>
              <w:t>Cabinet will approve submission to Parliament of legislation to create a presumptive tax regime for SMEs, to reduce administrative burden on Ministry of Revenue and encourage formalization. (ADB, WB &amp; AusAID)</w:t>
            </w:r>
          </w:p>
          <w:p w:rsidR="001D4AB6" w:rsidRPr="001D4AB6" w:rsidRDefault="001D4AB6" w:rsidP="004A1C05">
            <w:pPr>
              <w:pStyle w:val="ListParagraph"/>
              <w:ind w:left="450" w:hanging="360"/>
              <w:jc w:val="both"/>
              <w:rPr>
                <w:rFonts w:ascii="Arial" w:hAnsi="Arial" w:cs="Arial"/>
                <w:sz w:val="20"/>
              </w:rPr>
            </w:pPr>
          </w:p>
          <w:p w:rsidR="00AB6B07" w:rsidRPr="00295C86" w:rsidRDefault="001D4AB6" w:rsidP="00A11CCA">
            <w:pPr>
              <w:pStyle w:val="ListParagraph"/>
              <w:numPr>
                <w:ilvl w:val="0"/>
                <w:numId w:val="22"/>
              </w:numPr>
              <w:spacing w:after="0" w:line="240" w:lineRule="auto"/>
              <w:ind w:left="450"/>
              <w:jc w:val="both"/>
              <w:rPr>
                <w:rFonts w:ascii="Arial" w:hAnsi="Arial" w:cs="Arial"/>
                <w:sz w:val="20"/>
              </w:rPr>
            </w:pPr>
            <w:r w:rsidRPr="001D4AB6">
              <w:rPr>
                <w:rFonts w:ascii="Arial" w:hAnsi="Arial" w:cs="Arial"/>
                <w:sz w:val="20"/>
              </w:rPr>
              <w:t>Cabinet will approve submission to parliament of legislation establishing a natural resource tax regime to ensure equitable sharing of benefits from prospective extractive industry activities. (ADB, WB &amp; AusAID)</w:t>
            </w:r>
          </w:p>
        </w:tc>
        <w:tc>
          <w:tcPr>
            <w:tcW w:w="2835" w:type="dxa"/>
          </w:tcPr>
          <w:p w:rsidR="00B139B8" w:rsidRPr="00B139B8" w:rsidRDefault="00B139B8" w:rsidP="001E0677">
            <w:pPr>
              <w:jc w:val="left"/>
              <w:rPr>
                <w:i/>
                <w:sz w:val="20"/>
                <w:szCs w:val="20"/>
              </w:rPr>
            </w:pPr>
            <w:r w:rsidRPr="00B139B8">
              <w:rPr>
                <w:i/>
                <w:sz w:val="20"/>
                <w:szCs w:val="20"/>
              </w:rPr>
              <w:t xml:space="preserve">PFTAC TA provided to prepare Cabinet papers, consultation papers, and legislation for both reforms. </w:t>
            </w:r>
          </w:p>
          <w:p w:rsidR="00B139B8" w:rsidRPr="00B139B8" w:rsidRDefault="00B139B8" w:rsidP="001E0677">
            <w:pPr>
              <w:jc w:val="left"/>
              <w:rPr>
                <w:i/>
                <w:sz w:val="20"/>
                <w:szCs w:val="20"/>
              </w:rPr>
            </w:pPr>
          </w:p>
          <w:p w:rsidR="00B139B8" w:rsidRPr="00B139B8" w:rsidRDefault="00B139B8" w:rsidP="001E0677">
            <w:pPr>
              <w:jc w:val="left"/>
              <w:rPr>
                <w:i/>
                <w:sz w:val="20"/>
                <w:szCs w:val="20"/>
              </w:rPr>
            </w:pPr>
            <w:r w:rsidRPr="00B139B8">
              <w:rPr>
                <w:i/>
                <w:sz w:val="20"/>
                <w:szCs w:val="20"/>
              </w:rPr>
              <w:t xml:space="preserve">Ongoing PFTAC TA provided to Ministry of Revenue on general strategy and priorities. </w:t>
            </w:r>
          </w:p>
          <w:p w:rsidR="00B139B8" w:rsidRPr="00B139B8" w:rsidRDefault="00B139B8" w:rsidP="001E0677">
            <w:pPr>
              <w:jc w:val="left"/>
              <w:rPr>
                <w:i/>
                <w:sz w:val="20"/>
                <w:szCs w:val="20"/>
              </w:rPr>
            </w:pPr>
          </w:p>
          <w:p w:rsidR="001D4AB6" w:rsidRPr="00295C86" w:rsidRDefault="00B139B8" w:rsidP="00C360B7">
            <w:pPr>
              <w:jc w:val="left"/>
              <w:rPr>
                <w:i/>
                <w:sz w:val="20"/>
                <w:szCs w:val="20"/>
              </w:rPr>
            </w:pPr>
            <w:r w:rsidRPr="00B139B8">
              <w:rPr>
                <w:i/>
                <w:sz w:val="20"/>
                <w:szCs w:val="20"/>
              </w:rPr>
              <w:t>Ongoing TA to be conside</w:t>
            </w:r>
            <w:r w:rsidR="00295C86">
              <w:rPr>
                <w:i/>
                <w:sz w:val="20"/>
                <w:szCs w:val="20"/>
              </w:rPr>
              <w:t>red by ADB, AusAID, World Bank.</w:t>
            </w:r>
          </w:p>
        </w:tc>
        <w:tc>
          <w:tcPr>
            <w:tcW w:w="3685" w:type="dxa"/>
            <w:gridSpan w:val="2"/>
            <w:shd w:val="clear" w:color="auto" w:fill="auto"/>
          </w:tcPr>
          <w:p w:rsidR="001D4AB6" w:rsidRPr="00665478" w:rsidRDefault="001D4AB6" w:rsidP="00A11CCA">
            <w:pPr>
              <w:pStyle w:val="ListParagraph"/>
              <w:numPr>
                <w:ilvl w:val="0"/>
                <w:numId w:val="23"/>
              </w:numPr>
              <w:spacing w:after="0" w:line="240" w:lineRule="auto"/>
              <w:ind w:left="342" w:hanging="270"/>
              <w:jc w:val="both"/>
              <w:rPr>
                <w:rFonts w:ascii="Arial" w:hAnsi="Arial" w:cs="Arial"/>
                <w:sz w:val="20"/>
              </w:rPr>
            </w:pPr>
            <w:r w:rsidRPr="00665478">
              <w:rPr>
                <w:rFonts w:ascii="Arial" w:hAnsi="Arial" w:cs="Arial"/>
                <w:sz w:val="20"/>
              </w:rPr>
              <w:t xml:space="preserve">Cabinet will </w:t>
            </w:r>
            <w:r>
              <w:rPr>
                <w:rFonts w:ascii="Arial" w:hAnsi="Arial" w:cs="Arial"/>
                <w:sz w:val="20"/>
              </w:rPr>
              <w:t xml:space="preserve">agree to an exemptions policy clearly stating criteria to be applied when considering requests for tax exemptions, and </w:t>
            </w:r>
            <w:r w:rsidRPr="00665478">
              <w:rPr>
                <w:rFonts w:ascii="Arial" w:hAnsi="Arial" w:cs="Arial"/>
                <w:sz w:val="20"/>
              </w:rPr>
              <w:t xml:space="preserve">approve </w:t>
            </w:r>
            <w:r>
              <w:rPr>
                <w:rFonts w:ascii="Arial" w:hAnsi="Arial" w:cs="Arial"/>
                <w:sz w:val="20"/>
              </w:rPr>
              <w:t>immediate changes to the existing exemptions regime</w:t>
            </w:r>
            <w:r w:rsidRPr="00665478">
              <w:rPr>
                <w:rFonts w:ascii="Arial" w:hAnsi="Arial" w:cs="Arial"/>
                <w:sz w:val="20"/>
              </w:rPr>
              <w:t xml:space="preserve"> to ensure consistency of tax exemptions with Government policy priorities, with a view to reducing the overall fiscal costs of exemptions.</w:t>
            </w:r>
            <w:r>
              <w:rPr>
                <w:rFonts w:ascii="Arial" w:hAnsi="Arial" w:cs="Arial"/>
                <w:sz w:val="20"/>
              </w:rPr>
              <w:t xml:space="preserve"> </w:t>
            </w:r>
          </w:p>
        </w:tc>
        <w:tc>
          <w:tcPr>
            <w:tcW w:w="3119" w:type="dxa"/>
          </w:tcPr>
          <w:p w:rsidR="001D4AB6" w:rsidRPr="00AB6B07" w:rsidRDefault="00AB6B07" w:rsidP="001D4AB6">
            <w:pPr>
              <w:ind w:left="72"/>
              <w:rPr>
                <w:rFonts w:cs="Arial"/>
                <w:i/>
                <w:sz w:val="20"/>
              </w:rPr>
            </w:pPr>
            <w:r w:rsidRPr="00AB6B07">
              <w:rPr>
                <w:rFonts w:cs="Arial"/>
                <w:i/>
                <w:sz w:val="20"/>
              </w:rPr>
              <w:t>GoT/ Cabinet with donor support (ADB, WB &amp; AusAID)</w:t>
            </w:r>
          </w:p>
        </w:tc>
      </w:tr>
      <w:tr w:rsidR="001D4AB6" w:rsidRPr="00C77EF1" w:rsidTr="00F17EFC">
        <w:trPr>
          <w:trHeight w:val="180"/>
        </w:trPr>
        <w:tc>
          <w:tcPr>
            <w:tcW w:w="4361" w:type="dxa"/>
            <w:gridSpan w:val="2"/>
            <w:shd w:val="clear" w:color="auto" w:fill="000000" w:themeFill="text1"/>
          </w:tcPr>
          <w:p w:rsidR="001D4AB6" w:rsidRPr="001D4AB6" w:rsidRDefault="001D4AB6" w:rsidP="004A1C05">
            <w:pPr>
              <w:rPr>
                <w:rFonts w:cs="Arial"/>
                <w:b/>
                <w:sz w:val="20"/>
                <w:szCs w:val="22"/>
              </w:rPr>
            </w:pPr>
            <w:r w:rsidRPr="001D4AB6">
              <w:rPr>
                <w:rFonts w:cs="Arial"/>
                <w:b/>
                <w:sz w:val="20"/>
                <w:szCs w:val="22"/>
              </w:rPr>
              <w:t>Promoting Structural Reform</w:t>
            </w:r>
          </w:p>
        </w:tc>
        <w:tc>
          <w:tcPr>
            <w:tcW w:w="2835" w:type="dxa"/>
            <w:shd w:val="clear" w:color="auto" w:fill="000000" w:themeFill="text1"/>
          </w:tcPr>
          <w:p w:rsidR="001D4AB6" w:rsidRPr="00C77EF1" w:rsidRDefault="001D4AB6" w:rsidP="004A1C05">
            <w:pPr>
              <w:rPr>
                <w:rFonts w:cs="Arial"/>
                <w:color w:val="FFFFFF" w:themeColor="background1"/>
                <w:sz w:val="20"/>
                <w:szCs w:val="22"/>
              </w:rPr>
            </w:pPr>
          </w:p>
        </w:tc>
        <w:tc>
          <w:tcPr>
            <w:tcW w:w="2268" w:type="dxa"/>
            <w:shd w:val="clear" w:color="auto" w:fill="000000" w:themeFill="text1"/>
          </w:tcPr>
          <w:p w:rsidR="001D4AB6" w:rsidRPr="00C77EF1" w:rsidRDefault="001D4AB6" w:rsidP="004A1C05">
            <w:pPr>
              <w:rPr>
                <w:rFonts w:cs="Arial"/>
                <w:color w:val="FFFFFF" w:themeColor="background1"/>
                <w:sz w:val="20"/>
                <w:szCs w:val="22"/>
              </w:rPr>
            </w:pPr>
          </w:p>
        </w:tc>
        <w:tc>
          <w:tcPr>
            <w:tcW w:w="4536" w:type="dxa"/>
            <w:gridSpan w:val="2"/>
            <w:shd w:val="clear" w:color="auto" w:fill="000000" w:themeFill="text1"/>
          </w:tcPr>
          <w:p w:rsidR="001D4AB6" w:rsidRPr="00C77EF1" w:rsidRDefault="001D4AB6" w:rsidP="004A1C05">
            <w:pPr>
              <w:rPr>
                <w:rFonts w:cs="Arial"/>
                <w:color w:val="FFFFFF" w:themeColor="background1"/>
                <w:sz w:val="20"/>
                <w:szCs w:val="22"/>
              </w:rPr>
            </w:pPr>
          </w:p>
        </w:tc>
      </w:tr>
      <w:tr w:rsidR="001D4AB6" w:rsidRPr="00C77EF1" w:rsidTr="00891D7B">
        <w:trPr>
          <w:trHeight w:val="180"/>
        </w:trPr>
        <w:tc>
          <w:tcPr>
            <w:tcW w:w="14000" w:type="dxa"/>
            <w:gridSpan w:val="6"/>
            <w:shd w:val="clear" w:color="auto" w:fill="D9D9D9" w:themeFill="background1" w:themeFillShade="D9"/>
          </w:tcPr>
          <w:p w:rsidR="001D4AB6" w:rsidRPr="00C77EF1" w:rsidRDefault="001D4AB6" w:rsidP="004A1C05">
            <w:pPr>
              <w:rPr>
                <w:rFonts w:cs="Arial"/>
                <w:sz w:val="20"/>
                <w:szCs w:val="22"/>
              </w:rPr>
            </w:pPr>
            <w:r w:rsidRPr="001D4AB6">
              <w:rPr>
                <w:rFonts w:cs="Arial"/>
                <w:b/>
                <w:sz w:val="20"/>
                <w:szCs w:val="22"/>
              </w:rPr>
              <w:t>Energy Sector</w:t>
            </w:r>
          </w:p>
        </w:tc>
      </w:tr>
      <w:tr w:rsidR="00AB6B07" w:rsidRPr="00C77EF1" w:rsidTr="00F17EFC">
        <w:trPr>
          <w:trHeight w:val="180"/>
        </w:trPr>
        <w:tc>
          <w:tcPr>
            <w:tcW w:w="4361" w:type="dxa"/>
            <w:gridSpan w:val="2"/>
            <w:shd w:val="clear" w:color="auto" w:fill="auto"/>
          </w:tcPr>
          <w:p w:rsidR="00AB6B07" w:rsidRPr="001D4AB6" w:rsidRDefault="00AB6B07" w:rsidP="00A11CCA">
            <w:pPr>
              <w:pStyle w:val="ListParagraph"/>
              <w:numPr>
                <w:ilvl w:val="0"/>
                <w:numId w:val="22"/>
              </w:numPr>
              <w:spacing w:after="0" w:line="240" w:lineRule="auto"/>
              <w:ind w:left="450"/>
              <w:jc w:val="both"/>
              <w:rPr>
                <w:rFonts w:ascii="Arial" w:hAnsi="Arial" w:cs="Arial"/>
                <w:bCs/>
                <w:sz w:val="20"/>
              </w:rPr>
            </w:pPr>
            <w:r w:rsidRPr="001D4AB6">
              <w:rPr>
                <w:rFonts w:ascii="Arial" w:hAnsi="Arial" w:cs="Arial"/>
                <w:bCs/>
                <w:sz w:val="20"/>
              </w:rPr>
              <w:t>Reduction in energy network loss (12% by September 2013 from baseline 14.8%) (EU)</w:t>
            </w:r>
          </w:p>
          <w:p w:rsidR="00AB6B07" w:rsidRPr="001D4AB6" w:rsidRDefault="00AB6B07" w:rsidP="004A1C05">
            <w:pPr>
              <w:ind w:left="450" w:hanging="360"/>
              <w:rPr>
                <w:rFonts w:cs="Arial"/>
                <w:bCs/>
                <w:sz w:val="20"/>
                <w:szCs w:val="22"/>
              </w:rPr>
            </w:pPr>
          </w:p>
          <w:p w:rsidR="00AB6B07" w:rsidRPr="001D4AB6" w:rsidRDefault="00AB6B07" w:rsidP="00A11CCA">
            <w:pPr>
              <w:pStyle w:val="ListParagraph"/>
              <w:numPr>
                <w:ilvl w:val="0"/>
                <w:numId w:val="22"/>
              </w:numPr>
              <w:spacing w:after="0" w:line="240" w:lineRule="auto"/>
              <w:ind w:left="450"/>
              <w:jc w:val="both"/>
              <w:rPr>
                <w:rFonts w:ascii="Arial" w:hAnsi="Arial" w:cs="Arial"/>
                <w:bCs/>
                <w:sz w:val="20"/>
              </w:rPr>
            </w:pPr>
            <w:r w:rsidRPr="001D4AB6">
              <w:rPr>
                <w:rFonts w:ascii="Arial" w:hAnsi="Arial" w:cs="Arial"/>
                <w:bCs/>
                <w:sz w:val="20"/>
              </w:rPr>
              <w:t>Achievement of specified renewable energy generation targets (4% of total energy supplied to the grid by June 2013 from baseline of 0%). (EU)</w:t>
            </w:r>
          </w:p>
          <w:p w:rsidR="00AB6B07" w:rsidRPr="001D4AB6" w:rsidRDefault="00AB6B07" w:rsidP="004A1C05">
            <w:pPr>
              <w:rPr>
                <w:rFonts w:cs="Arial"/>
                <w:bCs/>
                <w:sz w:val="20"/>
                <w:szCs w:val="22"/>
              </w:rPr>
            </w:pPr>
          </w:p>
        </w:tc>
        <w:tc>
          <w:tcPr>
            <w:tcW w:w="2835" w:type="dxa"/>
          </w:tcPr>
          <w:p w:rsidR="00D76E50" w:rsidRPr="00D76E50" w:rsidRDefault="00D76E50" w:rsidP="001E0677">
            <w:pPr>
              <w:jc w:val="left"/>
              <w:rPr>
                <w:i/>
                <w:sz w:val="20"/>
                <w:szCs w:val="20"/>
              </w:rPr>
            </w:pPr>
            <w:r w:rsidRPr="00D76E50">
              <w:rPr>
                <w:i/>
                <w:sz w:val="20"/>
                <w:szCs w:val="20"/>
              </w:rPr>
              <w:t>World Bank providing extensive TA and analytical support for energy sector reform in electricity and petroleum sectors.</w:t>
            </w:r>
          </w:p>
          <w:p w:rsidR="00D76E50" w:rsidRPr="00D76E50" w:rsidRDefault="00D76E50" w:rsidP="001E0677">
            <w:pPr>
              <w:jc w:val="left"/>
              <w:rPr>
                <w:i/>
                <w:sz w:val="20"/>
                <w:szCs w:val="20"/>
              </w:rPr>
            </w:pPr>
          </w:p>
          <w:p w:rsidR="00AB6B07" w:rsidRPr="001D4AB6" w:rsidRDefault="00AB6B07" w:rsidP="001E0677">
            <w:pPr>
              <w:jc w:val="left"/>
              <w:rPr>
                <w:rFonts w:cs="Arial"/>
                <w:bCs/>
                <w:sz w:val="20"/>
              </w:rPr>
            </w:pPr>
          </w:p>
        </w:tc>
        <w:tc>
          <w:tcPr>
            <w:tcW w:w="3685" w:type="dxa"/>
            <w:gridSpan w:val="2"/>
          </w:tcPr>
          <w:p w:rsidR="00AB6B07" w:rsidRPr="00665478" w:rsidRDefault="00AB6B07" w:rsidP="00A11CCA">
            <w:pPr>
              <w:pStyle w:val="ListParagraph"/>
              <w:numPr>
                <w:ilvl w:val="0"/>
                <w:numId w:val="23"/>
              </w:numPr>
              <w:spacing w:after="0" w:line="240" w:lineRule="auto"/>
              <w:ind w:left="342" w:hanging="270"/>
              <w:jc w:val="both"/>
              <w:rPr>
                <w:rFonts w:ascii="Arial" w:hAnsi="Arial" w:cs="Arial"/>
                <w:bCs/>
                <w:sz w:val="20"/>
              </w:rPr>
            </w:pPr>
            <w:r w:rsidRPr="00665478">
              <w:rPr>
                <w:rFonts w:ascii="Arial" w:hAnsi="Arial" w:cs="Arial"/>
                <w:bCs/>
                <w:sz w:val="20"/>
              </w:rPr>
              <w:t>Electricity tariffs will be adjusted to introduce a lifeline tariff and improve incentives for efficient generation, as recommended by the recently completed tariff review.</w:t>
            </w:r>
          </w:p>
          <w:p w:rsidR="00AB6B07" w:rsidRPr="00C77EF1" w:rsidRDefault="00AB6B07" w:rsidP="001D4AB6">
            <w:pPr>
              <w:ind w:left="342" w:hanging="270"/>
              <w:rPr>
                <w:rFonts w:cs="Arial"/>
                <w:bCs/>
                <w:sz w:val="20"/>
                <w:szCs w:val="22"/>
              </w:rPr>
            </w:pPr>
          </w:p>
          <w:p w:rsidR="00AB6B07" w:rsidRPr="00665478" w:rsidRDefault="00AB6B07" w:rsidP="00A11CCA">
            <w:pPr>
              <w:pStyle w:val="ListParagraph"/>
              <w:numPr>
                <w:ilvl w:val="0"/>
                <w:numId w:val="23"/>
              </w:numPr>
              <w:spacing w:after="0" w:line="240" w:lineRule="auto"/>
              <w:ind w:left="342" w:hanging="270"/>
              <w:jc w:val="both"/>
              <w:rPr>
                <w:rFonts w:ascii="Arial" w:hAnsi="Arial" w:cs="Arial"/>
                <w:bCs/>
                <w:sz w:val="20"/>
              </w:rPr>
            </w:pPr>
            <w:r w:rsidRPr="00665478">
              <w:rPr>
                <w:rFonts w:ascii="Arial" w:hAnsi="Arial" w:cs="Arial"/>
                <w:bCs/>
                <w:sz w:val="20"/>
              </w:rPr>
              <w:t>Reduction in energy network loss (11% by September 2014 from baseline 14.8%)</w:t>
            </w:r>
            <w:r>
              <w:rPr>
                <w:rFonts w:ascii="Arial" w:hAnsi="Arial" w:cs="Arial"/>
                <w:bCs/>
                <w:sz w:val="20"/>
              </w:rPr>
              <w:t>.</w:t>
            </w:r>
          </w:p>
          <w:p w:rsidR="00AB6B07" w:rsidRPr="00C77EF1" w:rsidRDefault="00AB6B07" w:rsidP="001D4AB6">
            <w:pPr>
              <w:ind w:left="342" w:hanging="270"/>
              <w:rPr>
                <w:rFonts w:cs="Arial"/>
                <w:bCs/>
                <w:sz w:val="20"/>
                <w:szCs w:val="22"/>
              </w:rPr>
            </w:pPr>
          </w:p>
          <w:p w:rsidR="00AB6B07" w:rsidRPr="001D4AB6" w:rsidRDefault="00AB6B07" w:rsidP="00A11CCA">
            <w:pPr>
              <w:pStyle w:val="ListParagraph"/>
              <w:numPr>
                <w:ilvl w:val="0"/>
                <w:numId w:val="23"/>
              </w:numPr>
              <w:spacing w:after="0" w:line="240" w:lineRule="auto"/>
              <w:ind w:left="342" w:hanging="270"/>
              <w:jc w:val="both"/>
              <w:rPr>
                <w:rFonts w:ascii="Arial" w:hAnsi="Arial" w:cs="Arial"/>
                <w:bCs/>
                <w:sz w:val="20"/>
              </w:rPr>
            </w:pPr>
            <w:r w:rsidRPr="00C934E9">
              <w:rPr>
                <w:rFonts w:ascii="Arial" w:hAnsi="Arial" w:cs="Arial"/>
                <w:bCs/>
                <w:sz w:val="20"/>
              </w:rPr>
              <w:t xml:space="preserve">Achievement of specified renewable energy generation targets (14.5% of total energy supplied to the grid by June 2014 from baseline of 0%). </w:t>
            </w:r>
          </w:p>
        </w:tc>
        <w:tc>
          <w:tcPr>
            <w:tcW w:w="3119" w:type="dxa"/>
            <w:shd w:val="clear" w:color="auto" w:fill="auto"/>
          </w:tcPr>
          <w:p w:rsidR="00AB6B07" w:rsidRDefault="00AB6B07" w:rsidP="00AB6B07">
            <w:pPr>
              <w:ind w:left="72"/>
              <w:rPr>
                <w:rFonts w:cs="Arial"/>
                <w:i/>
                <w:sz w:val="20"/>
              </w:rPr>
            </w:pPr>
            <w:r w:rsidRPr="00AB6B07">
              <w:rPr>
                <w:rFonts w:cs="Arial"/>
                <w:i/>
                <w:sz w:val="20"/>
              </w:rPr>
              <w:t>GoT with donor support (ADB, WB &amp; AusAID)</w:t>
            </w:r>
          </w:p>
          <w:p w:rsidR="00AB6B07" w:rsidRDefault="00AB6B07" w:rsidP="00AB6B07">
            <w:pPr>
              <w:ind w:left="72"/>
              <w:rPr>
                <w:rFonts w:cs="Arial"/>
                <w:i/>
                <w:sz w:val="20"/>
              </w:rPr>
            </w:pPr>
          </w:p>
          <w:p w:rsidR="00AB6B07" w:rsidRDefault="00AB6B07" w:rsidP="00AB6B07">
            <w:pPr>
              <w:ind w:left="72"/>
              <w:rPr>
                <w:rFonts w:cs="Arial"/>
                <w:i/>
                <w:sz w:val="20"/>
              </w:rPr>
            </w:pPr>
          </w:p>
          <w:p w:rsidR="00AB6B07" w:rsidRDefault="00AB6B07" w:rsidP="00AB6B07">
            <w:pPr>
              <w:ind w:left="72"/>
              <w:rPr>
                <w:rFonts w:cs="Arial"/>
                <w:i/>
                <w:sz w:val="20"/>
              </w:rPr>
            </w:pPr>
          </w:p>
          <w:p w:rsidR="00AB6B07" w:rsidRDefault="00AB6B07" w:rsidP="00AB6B07">
            <w:pPr>
              <w:ind w:left="72"/>
              <w:rPr>
                <w:rFonts w:cs="Arial"/>
                <w:i/>
                <w:sz w:val="20"/>
              </w:rPr>
            </w:pPr>
          </w:p>
          <w:p w:rsidR="00AB6B07" w:rsidRDefault="00AB6B07" w:rsidP="00AB6B07">
            <w:pPr>
              <w:ind w:left="72"/>
              <w:rPr>
                <w:rFonts w:cs="Arial"/>
                <w:i/>
                <w:sz w:val="20"/>
              </w:rPr>
            </w:pPr>
          </w:p>
          <w:p w:rsidR="00AB6B07" w:rsidRDefault="00AB6B07" w:rsidP="00AB6B07">
            <w:pPr>
              <w:ind w:left="72"/>
              <w:rPr>
                <w:rFonts w:cs="Arial"/>
                <w:i/>
                <w:sz w:val="20"/>
              </w:rPr>
            </w:pPr>
            <w:r w:rsidRPr="00AB6B07">
              <w:rPr>
                <w:rFonts w:cs="Arial"/>
                <w:i/>
                <w:sz w:val="20"/>
              </w:rPr>
              <w:t>GoT with donor support (</w:t>
            </w:r>
            <w:r>
              <w:rPr>
                <w:rFonts w:cs="Arial"/>
                <w:i/>
                <w:sz w:val="20"/>
              </w:rPr>
              <w:t>EU</w:t>
            </w:r>
            <w:r w:rsidRPr="00AB6B07">
              <w:rPr>
                <w:rFonts w:cs="Arial"/>
                <w:i/>
                <w:sz w:val="20"/>
              </w:rPr>
              <w:t>)</w:t>
            </w:r>
          </w:p>
          <w:p w:rsidR="00AB6B07" w:rsidRDefault="00AB6B07" w:rsidP="00AB6B07">
            <w:pPr>
              <w:ind w:left="72"/>
              <w:rPr>
                <w:rFonts w:cs="Arial"/>
                <w:i/>
                <w:sz w:val="20"/>
              </w:rPr>
            </w:pPr>
          </w:p>
          <w:p w:rsidR="00AB6B07" w:rsidRDefault="00AB6B07" w:rsidP="00AB6B07">
            <w:pPr>
              <w:ind w:left="72"/>
              <w:rPr>
                <w:rFonts w:cs="Arial"/>
                <w:i/>
                <w:sz w:val="20"/>
              </w:rPr>
            </w:pPr>
          </w:p>
          <w:p w:rsidR="00AB6B07" w:rsidRDefault="00AB6B07" w:rsidP="00AB6B07">
            <w:pPr>
              <w:ind w:left="72"/>
              <w:rPr>
                <w:rFonts w:cs="Arial"/>
                <w:i/>
                <w:sz w:val="20"/>
              </w:rPr>
            </w:pPr>
          </w:p>
          <w:p w:rsidR="00AB6B07" w:rsidRPr="00AB6B07" w:rsidRDefault="00AB6B07" w:rsidP="00AB6B07">
            <w:pPr>
              <w:ind w:left="72"/>
              <w:rPr>
                <w:rFonts w:cs="Arial"/>
                <w:i/>
                <w:sz w:val="20"/>
              </w:rPr>
            </w:pPr>
            <w:r w:rsidRPr="00AB6B07">
              <w:rPr>
                <w:rFonts w:cs="Arial"/>
                <w:i/>
                <w:sz w:val="20"/>
              </w:rPr>
              <w:t>GoT with donor support (</w:t>
            </w:r>
            <w:r>
              <w:rPr>
                <w:rFonts w:cs="Arial"/>
                <w:i/>
                <w:sz w:val="20"/>
              </w:rPr>
              <w:t>EU</w:t>
            </w:r>
            <w:r w:rsidRPr="00AB6B07">
              <w:rPr>
                <w:rFonts w:cs="Arial"/>
                <w:i/>
                <w:sz w:val="20"/>
              </w:rPr>
              <w:t>)</w:t>
            </w:r>
          </w:p>
        </w:tc>
      </w:tr>
      <w:tr w:rsidR="00AB6B07" w:rsidRPr="00C77EF1" w:rsidTr="001D4AB6">
        <w:trPr>
          <w:trHeight w:val="180"/>
        </w:trPr>
        <w:tc>
          <w:tcPr>
            <w:tcW w:w="14000" w:type="dxa"/>
            <w:gridSpan w:val="6"/>
            <w:shd w:val="clear" w:color="auto" w:fill="D9D9D9" w:themeFill="background1" w:themeFillShade="D9"/>
          </w:tcPr>
          <w:p w:rsidR="00AB6B07" w:rsidRPr="00C77EF1" w:rsidRDefault="00AB6B07" w:rsidP="001E0677">
            <w:pPr>
              <w:jc w:val="left"/>
              <w:rPr>
                <w:rFonts w:cs="Arial"/>
                <w:b/>
                <w:bCs/>
                <w:sz w:val="20"/>
                <w:szCs w:val="22"/>
              </w:rPr>
            </w:pPr>
            <w:r w:rsidRPr="00C77EF1">
              <w:rPr>
                <w:rFonts w:cs="Arial"/>
                <w:b/>
                <w:bCs/>
                <w:sz w:val="20"/>
                <w:szCs w:val="22"/>
              </w:rPr>
              <w:t xml:space="preserve">SOE Reform </w:t>
            </w:r>
          </w:p>
        </w:tc>
      </w:tr>
      <w:tr w:rsidR="00AB6B07" w:rsidRPr="00C77EF1" w:rsidTr="00F17EFC">
        <w:trPr>
          <w:trHeight w:val="2117"/>
        </w:trPr>
        <w:tc>
          <w:tcPr>
            <w:tcW w:w="4361" w:type="dxa"/>
            <w:gridSpan w:val="2"/>
            <w:shd w:val="clear" w:color="auto" w:fill="auto"/>
          </w:tcPr>
          <w:p w:rsidR="00AB6B07" w:rsidRPr="00665478" w:rsidRDefault="00AB6B07" w:rsidP="00A11CCA">
            <w:pPr>
              <w:pStyle w:val="ListParagraph"/>
              <w:numPr>
                <w:ilvl w:val="0"/>
                <w:numId w:val="22"/>
              </w:numPr>
              <w:spacing w:after="0" w:line="240" w:lineRule="auto"/>
              <w:ind w:left="450"/>
              <w:jc w:val="both"/>
              <w:rPr>
                <w:rFonts w:ascii="Arial" w:hAnsi="Arial" w:cs="Arial"/>
                <w:bCs/>
                <w:sz w:val="20"/>
              </w:rPr>
            </w:pPr>
            <w:r w:rsidRPr="00665478">
              <w:rPr>
                <w:rFonts w:ascii="Arial" w:hAnsi="Arial" w:cs="Arial"/>
                <w:bCs/>
                <w:sz w:val="20"/>
              </w:rPr>
              <w:t xml:space="preserve">Government will develop a policy framework, complete due diligence processes, and issue Requests for Proposals for private participation in operation of the International Dateline Hotel, on a management or lease contract basis. </w:t>
            </w:r>
            <w:r>
              <w:rPr>
                <w:rFonts w:ascii="Arial" w:hAnsi="Arial" w:cs="Arial"/>
                <w:bCs/>
                <w:sz w:val="20"/>
              </w:rPr>
              <w:t>(ADB, WB &amp; AusAID)</w:t>
            </w:r>
          </w:p>
          <w:p w:rsidR="00AB6B07" w:rsidRPr="00C77EF1" w:rsidRDefault="00AB6B07" w:rsidP="004A1C05">
            <w:pPr>
              <w:ind w:left="450" w:hanging="360"/>
              <w:rPr>
                <w:rFonts w:cs="Arial"/>
                <w:bCs/>
                <w:sz w:val="20"/>
                <w:szCs w:val="22"/>
              </w:rPr>
            </w:pPr>
          </w:p>
          <w:p w:rsidR="00AB6B07" w:rsidRPr="00665478" w:rsidRDefault="00AB6B07" w:rsidP="00A11CCA">
            <w:pPr>
              <w:pStyle w:val="ListParagraph"/>
              <w:numPr>
                <w:ilvl w:val="0"/>
                <w:numId w:val="22"/>
              </w:numPr>
              <w:spacing w:after="0" w:line="240" w:lineRule="auto"/>
              <w:ind w:left="450"/>
              <w:jc w:val="both"/>
              <w:rPr>
                <w:rFonts w:ascii="Arial" w:hAnsi="Arial" w:cs="Arial"/>
                <w:bCs/>
                <w:sz w:val="20"/>
              </w:rPr>
            </w:pPr>
            <w:r w:rsidRPr="00665478">
              <w:rPr>
                <w:rFonts w:ascii="Arial" w:hAnsi="Arial" w:cs="Arial"/>
                <w:bCs/>
                <w:sz w:val="20"/>
              </w:rPr>
              <w:t>Liquidation of Tonga Investments Limited and sale of Home Gas Retail operations is completed.</w:t>
            </w:r>
            <w:r>
              <w:rPr>
                <w:rFonts w:ascii="Arial" w:hAnsi="Arial" w:cs="Arial"/>
                <w:bCs/>
                <w:sz w:val="20"/>
              </w:rPr>
              <w:t xml:space="preserve"> (ADB)</w:t>
            </w:r>
          </w:p>
          <w:p w:rsidR="00AB6B07" w:rsidRPr="00C77EF1" w:rsidRDefault="00AB6B07" w:rsidP="004A1C05">
            <w:pPr>
              <w:ind w:left="450" w:hanging="360"/>
              <w:rPr>
                <w:rFonts w:cs="Arial"/>
                <w:bCs/>
                <w:sz w:val="20"/>
                <w:szCs w:val="22"/>
              </w:rPr>
            </w:pPr>
          </w:p>
          <w:p w:rsidR="00AB6B07" w:rsidRPr="00665478" w:rsidRDefault="00AB6B07" w:rsidP="00A11CCA">
            <w:pPr>
              <w:pStyle w:val="ListParagraph"/>
              <w:numPr>
                <w:ilvl w:val="0"/>
                <w:numId w:val="22"/>
              </w:numPr>
              <w:spacing w:after="0" w:line="240" w:lineRule="auto"/>
              <w:ind w:left="450"/>
              <w:jc w:val="both"/>
              <w:rPr>
                <w:rFonts w:ascii="Arial" w:hAnsi="Arial" w:cs="Arial"/>
                <w:bCs/>
                <w:sz w:val="20"/>
              </w:rPr>
            </w:pPr>
            <w:r w:rsidRPr="00665478">
              <w:rPr>
                <w:rFonts w:ascii="Arial" w:hAnsi="Arial" w:cs="Arial"/>
                <w:bCs/>
                <w:sz w:val="20"/>
              </w:rPr>
              <w:t>Liquidate Tonga Print or merge part of its business activities (and relevant assets) with Tonga Post, whichever will achieve the greatest financial value for the shareholder and is consistent with the requirements of the Public Enterprises Act.</w:t>
            </w:r>
            <w:r>
              <w:rPr>
                <w:rFonts w:ascii="Arial" w:hAnsi="Arial" w:cs="Arial"/>
                <w:bCs/>
                <w:sz w:val="20"/>
              </w:rPr>
              <w:t xml:space="preserve"> (ADB)</w:t>
            </w:r>
          </w:p>
          <w:p w:rsidR="00AB6B07" w:rsidRPr="00C77EF1" w:rsidRDefault="00AB6B07" w:rsidP="004A1C05">
            <w:pPr>
              <w:ind w:left="450" w:hanging="360"/>
              <w:rPr>
                <w:rFonts w:cs="Arial"/>
                <w:bCs/>
                <w:sz w:val="20"/>
                <w:szCs w:val="22"/>
              </w:rPr>
            </w:pPr>
          </w:p>
          <w:p w:rsidR="00AB6B07" w:rsidRPr="00665478" w:rsidRDefault="00AB6B07" w:rsidP="00A11CCA">
            <w:pPr>
              <w:pStyle w:val="ListParagraph"/>
              <w:numPr>
                <w:ilvl w:val="0"/>
                <w:numId w:val="22"/>
              </w:numPr>
              <w:spacing w:after="0" w:line="240" w:lineRule="auto"/>
              <w:ind w:left="450"/>
              <w:jc w:val="both"/>
              <w:rPr>
                <w:rFonts w:ascii="Arial" w:hAnsi="Arial" w:cs="Arial"/>
                <w:bCs/>
                <w:sz w:val="20"/>
              </w:rPr>
            </w:pPr>
            <w:r w:rsidRPr="00665478">
              <w:rPr>
                <w:rFonts w:ascii="Arial" w:hAnsi="Arial" w:cs="Arial"/>
                <w:bCs/>
                <w:sz w:val="20"/>
              </w:rPr>
              <w:t>Cabinet will approve a plan enabling TCC to operate as a successful business as defined in the Public Enterprise Act, through restructuring and/or full or partial privatization.</w:t>
            </w:r>
            <w:r>
              <w:rPr>
                <w:rFonts w:ascii="Arial" w:hAnsi="Arial" w:cs="Arial"/>
                <w:bCs/>
                <w:sz w:val="20"/>
              </w:rPr>
              <w:t xml:space="preserve"> (ADB)</w:t>
            </w:r>
          </w:p>
          <w:p w:rsidR="00AB6B07" w:rsidRPr="00C77EF1" w:rsidRDefault="00AB6B07" w:rsidP="004A1C05">
            <w:pPr>
              <w:ind w:left="450" w:hanging="360"/>
              <w:rPr>
                <w:rFonts w:cs="Arial"/>
                <w:bCs/>
                <w:sz w:val="20"/>
                <w:szCs w:val="22"/>
              </w:rPr>
            </w:pPr>
          </w:p>
          <w:p w:rsidR="00AB6B07" w:rsidRPr="00665478" w:rsidRDefault="00AB6B07" w:rsidP="00A11CCA">
            <w:pPr>
              <w:pStyle w:val="ListParagraph"/>
              <w:numPr>
                <w:ilvl w:val="0"/>
                <w:numId w:val="22"/>
              </w:numPr>
              <w:spacing w:after="0" w:line="240" w:lineRule="auto"/>
              <w:ind w:left="450"/>
              <w:jc w:val="both"/>
              <w:rPr>
                <w:rFonts w:ascii="Arial" w:hAnsi="Arial" w:cs="Arial"/>
                <w:bCs/>
                <w:sz w:val="20"/>
              </w:rPr>
            </w:pPr>
            <w:r w:rsidRPr="00665478">
              <w:rPr>
                <w:rFonts w:ascii="Arial" w:hAnsi="Arial" w:cs="Arial"/>
                <w:bCs/>
                <w:sz w:val="20"/>
              </w:rPr>
              <w:t>Progress towards full compliance with the Public Enterprises (PE) Act, including:</w:t>
            </w:r>
          </w:p>
          <w:p w:rsidR="00AB6B07" w:rsidRPr="00C77EF1" w:rsidRDefault="00AB6B07" w:rsidP="00A11CCA">
            <w:pPr>
              <w:pStyle w:val="ListParagraph"/>
              <w:numPr>
                <w:ilvl w:val="0"/>
                <w:numId w:val="20"/>
              </w:numPr>
              <w:spacing w:after="0" w:line="240" w:lineRule="auto"/>
              <w:jc w:val="both"/>
              <w:rPr>
                <w:rFonts w:ascii="Arial" w:hAnsi="Arial" w:cs="Arial"/>
                <w:bCs/>
                <w:sz w:val="20"/>
              </w:rPr>
            </w:pPr>
            <w:r w:rsidRPr="00C77EF1">
              <w:rPr>
                <w:rFonts w:ascii="Arial" w:hAnsi="Arial" w:cs="Arial"/>
                <w:bCs/>
                <w:sz w:val="20"/>
              </w:rPr>
              <w:t>Cabinet</w:t>
            </w:r>
            <w:r w:rsidR="00F17EFC">
              <w:rPr>
                <w:rFonts w:ascii="Arial" w:hAnsi="Arial" w:cs="Arial"/>
                <w:bCs/>
                <w:sz w:val="20"/>
              </w:rPr>
              <w:t xml:space="preserve"> approves a SOE director skills-</w:t>
            </w:r>
            <w:r w:rsidRPr="00C77EF1">
              <w:rPr>
                <w:rFonts w:ascii="Arial" w:hAnsi="Arial" w:cs="Arial"/>
                <w:bCs/>
                <w:sz w:val="20"/>
              </w:rPr>
              <w:t xml:space="preserve">based selection and appointment process consistent with requirements of the PE Act; </w:t>
            </w:r>
          </w:p>
          <w:p w:rsidR="00AB6B07" w:rsidRPr="00C77EF1" w:rsidRDefault="00AB6B07" w:rsidP="00A11CCA">
            <w:pPr>
              <w:pStyle w:val="ListParagraph"/>
              <w:numPr>
                <w:ilvl w:val="0"/>
                <w:numId w:val="20"/>
              </w:numPr>
              <w:spacing w:after="0" w:line="240" w:lineRule="auto"/>
              <w:jc w:val="both"/>
              <w:rPr>
                <w:rFonts w:ascii="Arial" w:hAnsi="Arial" w:cs="Arial"/>
                <w:bCs/>
                <w:sz w:val="20"/>
              </w:rPr>
            </w:pPr>
            <w:r w:rsidRPr="00C77EF1">
              <w:rPr>
                <w:rFonts w:ascii="Arial" w:hAnsi="Arial" w:cs="Arial"/>
                <w:bCs/>
                <w:sz w:val="20"/>
              </w:rPr>
              <w:t>100% of PEs and Cabinet comply with the Go</w:t>
            </w:r>
            <w:r w:rsidR="00F17EFC">
              <w:rPr>
                <w:rFonts w:ascii="Arial" w:hAnsi="Arial" w:cs="Arial"/>
                <w:bCs/>
                <w:sz w:val="20"/>
              </w:rPr>
              <w:t>T</w:t>
            </w:r>
            <w:r w:rsidRPr="00C77EF1">
              <w:rPr>
                <w:rFonts w:ascii="Arial" w:hAnsi="Arial" w:cs="Arial"/>
                <w:bCs/>
                <w:sz w:val="20"/>
              </w:rPr>
              <w:t xml:space="preserve"> Policy Obligation provisions in the PE Act; </w:t>
            </w:r>
          </w:p>
          <w:p w:rsidR="00AB6B07" w:rsidRPr="001D4AB6" w:rsidRDefault="00AB6B07" w:rsidP="00A11CCA">
            <w:pPr>
              <w:pStyle w:val="ListParagraph"/>
              <w:numPr>
                <w:ilvl w:val="0"/>
                <w:numId w:val="20"/>
              </w:numPr>
              <w:spacing w:after="0" w:line="240" w:lineRule="auto"/>
              <w:jc w:val="both"/>
              <w:rPr>
                <w:rFonts w:ascii="Arial" w:hAnsi="Arial" w:cs="Arial"/>
                <w:bCs/>
                <w:sz w:val="20"/>
              </w:rPr>
            </w:pPr>
            <w:r w:rsidRPr="00C77EF1">
              <w:rPr>
                <w:rFonts w:ascii="Arial" w:hAnsi="Arial" w:cs="Arial"/>
                <w:bCs/>
                <w:sz w:val="20"/>
              </w:rPr>
              <w:t xml:space="preserve">60% of SOEs have audited annual accounts for financial year to June 2012 (or December 2012 as appropriate) complete and have published summary results in newspapers as required by PE Act.  </w:t>
            </w:r>
            <w:r>
              <w:rPr>
                <w:rFonts w:ascii="Arial" w:hAnsi="Arial" w:cs="Arial"/>
                <w:bCs/>
                <w:sz w:val="20"/>
              </w:rPr>
              <w:t>(ADB)</w:t>
            </w:r>
          </w:p>
        </w:tc>
        <w:tc>
          <w:tcPr>
            <w:tcW w:w="2835" w:type="dxa"/>
          </w:tcPr>
          <w:p w:rsidR="00D76E50" w:rsidRPr="00D76E50" w:rsidRDefault="00D76E50" w:rsidP="001E0677">
            <w:pPr>
              <w:jc w:val="left"/>
              <w:rPr>
                <w:i/>
                <w:sz w:val="20"/>
                <w:szCs w:val="20"/>
              </w:rPr>
            </w:pPr>
            <w:r w:rsidRPr="00D76E50">
              <w:rPr>
                <w:i/>
                <w:sz w:val="20"/>
                <w:szCs w:val="20"/>
              </w:rPr>
              <w:t xml:space="preserve">IFC to provide transaction advice for IDH process, including advice on PPP options. </w:t>
            </w:r>
          </w:p>
          <w:p w:rsidR="00D76E50" w:rsidRPr="00D76E50" w:rsidRDefault="00D76E50" w:rsidP="001E0677">
            <w:pPr>
              <w:jc w:val="left"/>
              <w:rPr>
                <w:i/>
                <w:sz w:val="20"/>
                <w:szCs w:val="20"/>
              </w:rPr>
            </w:pPr>
          </w:p>
          <w:p w:rsidR="00D76E50" w:rsidRPr="00D76E50" w:rsidRDefault="00D76E50" w:rsidP="001E0677">
            <w:pPr>
              <w:jc w:val="left"/>
              <w:rPr>
                <w:i/>
                <w:sz w:val="20"/>
                <w:szCs w:val="20"/>
              </w:rPr>
            </w:pPr>
            <w:r w:rsidRPr="00D76E50">
              <w:rPr>
                <w:i/>
                <w:sz w:val="20"/>
                <w:szCs w:val="20"/>
              </w:rPr>
              <w:t xml:space="preserve">WB TA provided for private participation in TDB and expansion of TDB operations into commercial banking. </w:t>
            </w:r>
          </w:p>
          <w:p w:rsidR="00D76E50" w:rsidRPr="00D76E50" w:rsidRDefault="00D76E50" w:rsidP="001E0677">
            <w:pPr>
              <w:jc w:val="left"/>
              <w:rPr>
                <w:i/>
                <w:sz w:val="20"/>
                <w:szCs w:val="20"/>
              </w:rPr>
            </w:pPr>
          </w:p>
          <w:p w:rsidR="00D76E50" w:rsidRPr="00D76E50" w:rsidRDefault="00D76E50" w:rsidP="001E0677">
            <w:pPr>
              <w:jc w:val="left"/>
              <w:rPr>
                <w:i/>
                <w:sz w:val="20"/>
                <w:szCs w:val="20"/>
              </w:rPr>
            </w:pPr>
            <w:r w:rsidRPr="00D76E50">
              <w:rPr>
                <w:i/>
                <w:sz w:val="20"/>
                <w:szCs w:val="20"/>
              </w:rPr>
              <w:t xml:space="preserve">ADB PSDI assistance provided to Ministry of Public Enterprises on public enterprise reform. </w:t>
            </w:r>
          </w:p>
          <w:p w:rsidR="00AB6B07" w:rsidRPr="00C77EF1" w:rsidRDefault="00AB6B07" w:rsidP="001E0677">
            <w:pPr>
              <w:jc w:val="left"/>
              <w:rPr>
                <w:rFonts w:cs="Arial"/>
                <w:bCs/>
                <w:sz w:val="20"/>
                <w:szCs w:val="22"/>
              </w:rPr>
            </w:pPr>
          </w:p>
        </w:tc>
        <w:tc>
          <w:tcPr>
            <w:tcW w:w="3685" w:type="dxa"/>
            <w:gridSpan w:val="2"/>
          </w:tcPr>
          <w:p w:rsidR="00AB6B07" w:rsidRPr="00665478" w:rsidRDefault="00AB6B07" w:rsidP="00A11CCA">
            <w:pPr>
              <w:pStyle w:val="ListParagraph"/>
              <w:numPr>
                <w:ilvl w:val="0"/>
                <w:numId w:val="23"/>
              </w:numPr>
              <w:spacing w:after="0" w:line="240" w:lineRule="auto"/>
              <w:ind w:left="432"/>
              <w:jc w:val="both"/>
              <w:rPr>
                <w:rFonts w:ascii="Arial" w:hAnsi="Arial" w:cs="Arial"/>
                <w:sz w:val="20"/>
              </w:rPr>
            </w:pPr>
            <w:r w:rsidRPr="00665478">
              <w:rPr>
                <w:rFonts w:ascii="Arial" w:hAnsi="Arial" w:cs="Arial"/>
                <w:sz w:val="20"/>
              </w:rPr>
              <w:t>Transaction for private participation in the operation of the International Dateline Hotel will be complete.</w:t>
            </w:r>
            <w:r>
              <w:rPr>
                <w:rFonts w:ascii="Arial" w:hAnsi="Arial" w:cs="Arial"/>
                <w:sz w:val="20"/>
              </w:rPr>
              <w:t xml:space="preserve"> </w:t>
            </w:r>
          </w:p>
          <w:p w:rsidR="00AB6B07" w:rsidRPr="00C77EF1" w:rsidRDefault="00AB6B07" w:rsidP="00891D7B">
            <w:pPr>
              <w:ind w:left="432" w:hanging="360"/>
              <w:rPr>
                <w:rFonts w:cs="Arial"/>
                <w:sz w:val="20"/>
                <w:szCs w:val="22"/>
              </w:rPr>
            </w:pPr>
          </w:p>
          <w:p w:rsidR="00AB6B07" w:rsidRPr="00665478" w:rsidRDefault="00AB6B07" w:rsidP="00A11CCA">
            <w:pPr>
              <w:pStyle w:val="ListParagraph"/>
              <w:numPr>
                <w:ilvl w:val="0"/>
                <w:numId w:val="23"/>
              </w:numPr>
              <w:spacing w:after="0" w:line="240" w:lineRule="auto"/>
              <w:ind w:left="432"/>
              <w:jc w:val="both"/>
              <w:rPr>
                <w:rFonts w:ascii="Arial" w:hAnsi="Arial" w:cs="Arial"/>
                <w:sz w:val="20"/>
              </w:rPr>
            </w:pPr>
            <w:r w:rsidRPr="00665478">
              <w:rPr>
                <w:rFonts w:ascii="Arial" w:hAnsi="Arial" w:cs="Arial"/>
                <w:sz w:val="20"/>
              </w:rPr>
              <w:t>Cabinet approve a restructuring plan for Waste Authority Limited a</w:t>
            </w:r>
            <w:r>
              <w:rPr>
                <w:rFonts w:ascii="Arial" w:hAnsi="Arial" w:cs="Arial"/>
                <w:sz w:val="20"/>
              </w:rPr>
              <w:t xml:space="preserve">nd Tonga Water Board for either </w:t>
            </w:r>
            <w:r w:rsidRPr="00665478">
              <w:rPr>
                <w:rFonts w:ascii="Arial" w:hAnsi="Arial" w:cs="Arial"/>
                <w:sz w:val="20"/>
              </w:rPr>
              <w:t>partial privatization, liquidation or operational separation of regulatory and non</w:t>
            </w:r>
            <w:r>
              <w:rPr>
                <w:rFonts w:ascii="Arial" w:hAnsi="Arial" w:cs="Arial"/>
                <w:sz w:val="20"/>
              </w:rPr>
              <w:t>-</w:t>
            </w:r>
            <w:r w:rsidRPr="00665478">
              <w:rPr>
                <w:rFonts w:ascii="Arial" w:hAnsi="Arial" w:cs="Arial"/>
                <w:sz w:val="20"/>
              </w:rPr>
              <w:t>regulatory responsibilities.</w:t>
            </w:r>
            <w:r>
              <w:rPr>
                <w:rFonts w:ascii="Arial" w:hAnsi="Arial" w:cs="Arial"/>
                <w:sz w:val="20"/>
              </w:rPr>
              <w:t xml:space="preserve"> </w:t>
            </w:r>
          </w:p>
          <w:p w:rsidR="00AB6B07" w:rsidRPr="00C77EF1" w:rsidRDefault="00AB6B07" w:rsidP="00891D7B">
            <w:pPr>
              <w:ind w:left="432" w:hanging="360"/>
              <w:rPr>
                <w:rFonts w:cs="Arial"/>
                <w:sz w:val="20"/>
                <w:szCs w:val="22"/>
              </w:rPr>
            </w:pPr>
          </w:p>
          <w:p w:rsidR="00AB6B07" w:rsidRPr="00665478" w:rsidRDefault="00AB6B07" w:rsidP="00A11CCA">
            <w:pPr>
              <w:pStyle w:val="ListParagraph"/>
              <w:numPr>
                <w:ilvl w:val="0"/>
                <w:numId w:val="23"/>
              </w:numPr>
              <w:spacing w:after="0" w:line="240" w:lineRule="auto"/>
              <w:ind w:left="432"/>
              <w:jc w:val="both"/>
              <w:rPr>
                <w:rFonts w:ascii="Arial" w:hAnsi="Arial" w:cs="Arial"/>
                <w:sz w:val="20"/>
              </w:rPr>
            </w:pPr>
            <w:r w:rsidRPr="00665478">
              <w:rPr>
                <w:rFonts w:ascii="Arial" w:hAnsi="Arial" w:cs="Arial"/>
                <w:sz w:val="20"/>
              </w:rPr>
              <w:t>Implementation of the TCC restructuring plan commenced.</w:t>
            </w:r>
            <w:r>
              <w:rPr>
                <w:rFonts w:ascii="Arial" w:hAnsi="Arial" w:cs="Arial"/>
                <w:sz w:val="20"/>
              </w:rPr>
              <w:t xml:space="preserve"> </w:t>
            </w:r>
          </w:p>
          <w:p w:rsidR="00AB6B07" w:rsidRPr="00C77EF1" w:rsidRDefault="00AB6B07" w:rsidP="00891D7B">
            <w:pPr>
              <w:ind w:left="432" w:hanging="360"/>
              <w:rPr>
                <w:rFonts w:cs="Arial"/>
                <w:sz w:val="20"/>
                <w:szCs w:val="22"/>
              </w:rPr>
            </w:pPr>
          </w:p>
          <w:p w:rsidR="00AB6B07" w:rsidRPr="00665478" w:rsidRDefault="00AB6B07" w:rsidP="00A11CCA">
            <w:pPr>
              <w:pStyle w:val="ListParagraph"/>
              <w:numPr>
                <w:ilvl w:val="0"/>
                <w:numId w:val="23"/>
              </w:numPr>
              <w:spacing w:after="0" w:line="240" w:lineRule="auto"/>
              <w:ind w:left="432"/>
              <w:jc w:val="both"/>
              <w:rPr>
                <w:rFonts w:ascii="Arial" w:hAnsi="Arial" w:cs="Arial"/>
                <w:sz w:val="20"/>
              </w:rPr>
            </w:pPr>
            <w:r w:rsidRPr="00665478">
              <w:rPr>
                <w:rFonts w:ascii="Arial" w:hAnsi="Arial" w:cs="Arial"/>
                <w:sz w:val="20"/>
              </w:rPr>
              <w:t>Tonga Communications, Tonga Power Limited, Tonga Development Bank and Ports Authority Limited achieve their target ROE.</w:t>
            </w:r>
            <w:r w:rsidRPr="00C77EF1">
              <w:rPr>
                <w:rStyle w:val="FootnoteReference"/>
                <w:rFonts w:ascii="Arial" w:hAnsi="Arial" w:cs="Arial"/>
                <w:sz w:val="20"/>
              </w:rPr>
              <w:footnoteReference w:id="7"/>
            </w:r>
            <w:r>
              <w:rPr>
                <w:rFonts w:ascii="Arial" w:hAnsi="Arial" w:cs="Arial"/>
                <w:sz w:val="20"/>
              </w:rPr>
              <w:t xml:space="preserve"> </w:t>
            </w:r>
          </w:p>
          <w:p w:rsidR="00AB6B07" w:rsidRPr="00C77EF1" w:rsidRDefault="00AB6B07" w:rsidP="00891D7B">
            <w:pPr>
              <w:ind w:left="432" w:hanging="360"/>
              <w:rPr>
                <w:rFonts w:cs="Arial"/>
                <w:sz w:val="20"/>
                <w:szCs w:val="22"/>
              </w:rPr>
            </w:pPr>
          </w:p>
          <w:p w:rsidR="00AB6B07" w:rsidRPr="00665478" w:rsidRDefault="00AB6B07" w:rsidP="00A11CCA">
            <w:pPr>
              <w:pStyle w:val="ListParagraph"/>
              <w:numPr>
                <w:ilvl w:val="0"/>
                <w:numId w:val="23"/>
              </w:numPr>
              <w:spacing w:after="0" w:line="240" w:lineRule="auto"/>
              <w:ind w:left="432"/>
              <w:jc w:val="both"/>
              <w:rPr>
                <w:rFonts w:ascii="Arial" w:hAnsi="Arial" w:cs="Arial"/>
                <w:sz w:val="20"/>
              </w:rPr>
            </w:pPr>
            <w:r>
              <w:rPr>
                <w:rFonts w:ascii="Arial" w:hAnsi="Arial" w:cs="Arial"/>
                <w:sz w:val="20"/>
              </w:rPr>
              <w:t>F</w:t>
            </w:r>
            <w:r w:rsidRPr="00665478">
              <w:rPr>
                <w:rFonts w:ascii="Arial" w:hAnsi="Arial" w:cs="Arial"/>
                <w:sz w:val="20"/>
              </w:rPr>
              <w:t>ull compliance with the Public Enterprises (PE) Act, including:</w:t>
            </w:r>
          </w:p>
          <w:p w:rsidR="00AB6B07" w:rsidRDefault="00AB6B07" w:rsidP="00A11CCA">
            <w:pPr>
              <w:pStyle w:val="ListParagraph"/>
              <w:numPr>
                <w:ilvl w:val="0"/>
                <w:numId w:val="21"/>
              </w:numPr>
              <w:spacing w:after="0" w:line="240" w:lineRule="auto"/>
              <w:jc w:val="both"/>
              <w:rPr>
                <w:rFonts w:ascii="Arial" w:hAnsi="Arial" w:cs="Arial"/>
                <w:sz w:val="20"/>
              </w:rPr>
            </w:pPr>
            <w:r w:rsidRPr="00665478">
              <w:rPr>
                <w:rFonts w:ascii="Arial" w:hAnsi="Arial" w:cs="Arial"/>
                <w:sz w:val="20"/>
              </w:rPr>
              <w:t>Full compliance with the Cabinet approved skills based director selection and appointment process</w:t>
            </w:r>
          </w:p>
          <w:p w:rsidR="00AB6B07" w:rsidRPr="00665478" w:rsidRDefault="00AB6B07" w:rsidP="00A11CCA">
            <w:pPr>
              <w:pStyle w:val="ListParagraph"/>
              <w:numPr>
                <w:ilvl w:val="0"/>
                <w:numId w:val="21"/>
              </w:numPr>
              <w:spacing w:after="0" w:line="240" w:lineRule="auto"/>
              <w:jc w:val="both"/>
              <w:rPr>
                <w:rFonts w:ascii="Arial" w:hAnsi="Arial" w:cs="Arial"/>
                <w:bCs/>
                <w:sz w:val="20"/>
              </w:rPr>
            </w:pPr>
            <w:r w:rsidRPr="00665478">
              <w:rPr>
                <w:rFonts w:ascii="Arial" w:hAnsi="Arial" w:cs="Arial"/>
                <w:sz w:val="20"/>
              </w:rPr>
              <w:t>100% of SOEs have completed the director performance process and questionnaire.</w:t>
            </w:r>
          </w:p>
          <w:p w:rsidR="00AB6B07" w:rsidRPr="00C77EF1" w:rsidRDefault="00AB6B07" w:rsidP="00A11CCA">
            <w:pPr>
              <w:pStyle w:val="ListParagraph"/>
              <w:numPr>
                <w:ilvl w:val="0"/>
                <w:numId w:val="21"/>
              </w:numPr>
              <w:spacing w:after="0" w:line="240" w:lineRule="auto"/>
              <w:jc w:val="both"/>
              <w:rPr>
                <w:rFonts w:ascii="Arial" w:hAnsi="Arial" w:cs="Arial"/>
                <w:bCs/>
                <w:sz w:val="20"/>
              </w:rPr>
            </w:pPr>
            <w:r w:rsidRPr="00C77EF1">
              <w:rPr>
                <w:rFonts w:ascii="Arial" w:hAnsi="Arial" w:cs="Arial"/>
                <w:sz w:val="20"/>
              </w:rPr>
              <w:t xml:space="preserve">100% of SOEs have audited financial accounts for the financial year to June 2013 (or December 2013 as appropriate) complete and have published summary results in local </w:t>
            </w:r>
            <w:r>
              <w:rPr>
                <w:rFonts w:ascii="Arial" w:hAnsi="Arial" w:cs="Arial"/>
                <w:sz w:val="20"/>
              </w:rPr>
              <w:t>newspapers as required by the P</w:t>
            </w:r>
            <w:r w:rsidRPr="00C77EF1">
              <w:rPr>
                <w:rFonts w:ascii="Arial" w:hAnsi="Arial" w:cs="Arial"/>
                <w:sz w:val="20"/>
              </w:rPr>
              <w:t>E Act.</w:t>
            </w:r>
          </w:p>
        </w:tc>
        <w:tc>
          <w:tcPr>
            <w:tcW w:w="3119" w:type="dxa"/>
            <w:shd w:val="clear" w:color="auto" w:fill="auto"/>
          </w:tcPr>
          <w:p w:rsidR="00AB6B07" w:rsidRDefault="00AB6B07" w:rsidP="00AB6B07">
            <w:pPr>
              <w:rPr>
                <w:rFonts w:cs="Arial"/>
                <w:i/>
                <w:sz w:val="20"/>
              </w:rPr>
            </w:pPr>
            <w:r w:rsidRPr="00AB6B07">
              <w:rPr>
                <w:rFonts w:cs="Arial"/>
                <w:i/>
                <w:sz w:val="20"/>
              </w:rPr>
              <w:t>GoT with donor support (ADB, WB &amp; AusAID)</w:t>
            </w:r>
          </w:p>
          <w:p w:rsidR="00AB6B07" w:rsidRDefault="00AB6B07" w:rsidP="00AB6B07">
            <w:pPr>
              <w:rPr>
                <w:rFonts w:cs="Arial"/>
                <w:i/>
                <w:sz w:val="20"/>
              </w:rPr>
            </w:pPr>
          </w:p>
          <w:p w:rsidR="00AB6B07" w:rsidRDefault="00AB6B07" w:rsidP="00AB6B07">
            <w:pPr>
              <w:rPr>
                <w:rFonts w:cs="Arial"/>
                <w:i/>
                <w:sz w:val="20"/>
              </w:rPr>
            </w:pPr>
          </w:p>
          <w:p w:rsidR="00AB6B07" w:rsidRDefault="00AB6B07" w:rsidP="00AB6B07">
            <w:pPr>
              <w:rPr>
                <w:rFonts w:cs="Arial"/>
                <w:i/>
                <w:sz w:val="20"/>
              </w:rPr>
            </w:pPr>
          </w:p>
          <w:p w:rsidR="00AB6B07" w:rsidRDefault="00AB6B07" w:rsidP="00AB6B07">
            <w:pPr>
              <w:rPr>
                <w:rFonts w:cs="Arial"/>
                <w:i/>
                <w:sz w:val="20"/>
              </w:rPr>
            </w:pPr>
            <w:r>
              <w:rPr>
                <w:rFonts w:cs="Arial"/>
                <w:i/>
                <w:sz w:val="20"/>
              </w:rPr>
              <w:t xml:space="preserve">GoT/Cabinet with </w:t>
            </w:r>
            <w:r w:rsidRPr="00AB6B07">
              <w:rPr>
                <w:rFonts w:cs="Arial"/>
                <w:i/>
                <w:sz w:val="20"/>
              </w:rPr>
              <w:t>donor support (ADB)</w:t>
            </w:r>
          </w:p>
          <w:p w:rsidR="00AB6B07" w:rsidRDefault="00AB6B07" w:rsidP="00AB6B07">
            <w:pPr>
              <w:rPr>
                <w:rFonts w:cs="Arial"/>
                <w:i/>
                <w:sz w:val="20"/>
              </w:rPr>
            </w:pPr>
          </w:p>
          <w:p w:rsidR="00AB6B07" w:rsidRDefault="00AB6B07" w:rsidP="00AB6B07">
            <w:pPr>
              <w:rPr>
                <w:rFonts w:cs="Arial"/>
                <w:i/>
                <w:sz w:val="20"/>
              </w:rPr>
            </w:pPr>
          </w:p>
          <w:p w:rsidR="00AB6B07" w:rsidRDefault="00AB6B07" w:rsidP="00AB6B07">
            <w:pPr>
              <w:rPr>
                <w:rFonts w:cs="Arial"/>
                <w:i/>
                <w:sz w:val="20"/>
              </w:rPr>
            </w:pPr>
          </w:p>
          <w:p w:rsidR="00AB6B07" w:rsidRDefault="00AB6B07" w:rsidP="00AB6B07">
            <w:pPr>
              <w:rPr>
                <w:rFonts w:cs="Arial"/>
                <w:i/>
                <w:sz w:val="20"/>
              </w:rPr>
            </w:pPr>
          </w:p>
          <w:p w:rsidR="00AB6B07" w:rsidRDefault="00AB6B07" w:rsidP="00AB6B07">
            <w:pPr>
              <w:rPr>
                <w:rFonts w:cs="Arial"/>
                <w:i/>
                <w:sz w:val="20"/>
              </w:rPr>
            </w:pPr>
          </w:p>
          <w:p w:rsidR="00AB6B07" w:rsidRDefault="00AB6B07" w:rsidP="00AB6B07">
            <w:pPr>
              <w:rPr>
                <w:rFonts w:cs="Arial"/>
                <w:i/>
                <w:sz w:val="20"/>
              </w:rPr>
            </w:pPr>
          </w:p>
          <w:p w:rsidR="00AB6B07" w:rsidRDefault="00AB6B07" w:rsidP="00AB6B07">
            <w:pPr>
              <w:rPr>
                <w:rFonts w:cs="Arial"/>
                <w:i/>
                <w:sz w:val="20"/>
              </w:rPr>
            </w:pPr>
            <w:r>
              <w:rPr>
                <w:rFonts w:cs="Arial"/>
                <w:i/>
                <w:sz w:val="20"/>
              </w:rPr>
              <w:t xml:space="preserve">GoT with </w:t>
            </w:r>
            <w:r w:rsidRPr="00AB6B07">
              <w:rPr>
                <w:rFonts w:cs="Arial"/>
                <w:i/>
                <w:sz w:val="20"/>
              </w:rPr>
              <w:t>donor support (ADB)</w:t>
            </w:r>
          </w:p>
          <w:p w:rsidR="00AB6B07" w:rsidRDefault="00AB6B07" w:rsidP="00AB6B07">
            <w:pPr>
              <w:rPr>
                <w:rFonts w:cs="Arial"/>
                <w:i/>
                <w:sz w:val="20"/>
              </w:rPr>
            </w:pPr>
          </w:p>
          <w:p w:rsidR="00AB6B07" w:rsidRDefault="00AB6B07" w:rsidP="00AB6B07">
            <w:pPr>
              <w:rPr>
                <w:rFonts w:cs="Arial"/>
                <w:i/>
                <w:sz w:val="20"/>
              </w:rPr>
            </w:pPr>
          </w:p>
          <w:p w:rsidR="00AB6B07" w:rsidRDefault="00AB6B07" w:rsidP="00AB6B07">
            <w:pPr>
              <w:rPr>
                <w:rFonts w:cs="Arial"/>
                <w:i/>
                <w:sz w:val="20"/>
              </w:rPr>
            </w:pPr>
            <w:r>
              <w:rPr>
                <w:rFonts w:cs="Arial"/>
                <w:i/>
                <w:sz w:val="20"/>
              </w:rPr>
              <w:t xml:space="preserve">GoT with </w:t>
            </w:r>
            <w:r w:rsidRPr="00AB6B07">
              <w:rPr>
                <w:rFonts w:cs="Arial"/>
                <w:i/>
                <w:sz w:val="20"/>
              </w:rPr>
              <w:t>donor support (ADB)</w:t>
            </w:r>
          </w:p>
          <w:p w:rsidR="00AB6B07" w:rsidRDefault="00AB6B07" w:rsidP="00AB6B07">
            <w:pPr>
              <w:rPr>
                <w:rFonts w:cs="Arial"/>
                <w:i/>
                <w:sz w:val="20"/>
              </w:rPr>
            </w:pPr>
          </w:p>
          <w:p w:rsidR="00AB6B07" w:rsidRDefault="00AB6B07" w:rsidP="00AB6B07">
            <w:pPr>
              <w:rPr>
                <w:rFonts w:cs="Arial"/>
                <w:i/>
                <w:sz w:val="20"/>
              </w:rPr>
            </w:pPr>
          </w:p>
          <w:p w:rsidR="00AB6B07" w:rsidRDefault="00AB6B07" w:rsidP="00AB6B07">
            <w:pPr>
              <w:rPr>
                <w:rFonts w:cs="Arial"/>
                <w:bCs/>
                <w:sz w:val="20"/>
              </w:rPr>
            </w:pPr>
          </w:p>
          <w:p w:rsidR="00AB6B07" w:rsidRDefault="00AB6B07" w:rsidP="00AB6B07">
            <w:pPr>
              <w:rPr>
                <w:rFonts w:cs="Arial"/>
                <w:bCs/>
                <w:sz w:val="20"/>
              </w:rPr>
            </w:pPr>
          </w:p>
          <w:p w:rsidR="006F3E62" w:rsidRDefault="006F3E62" w:rsidP="00AB6B07">
            <w:pPr>
              <w:rPr>
                <w:rFonts w:cs="Arial"/>
                <w:bCs/>
                <w:sz w:val="20"/>
              </w:rPr>
            </w:pPr>
          </w:p>
          <w:p w:rsidR="00AB6B07" w:rsidRDefault="00AB6B07" w:rsidP="00AB6B07">
            <w:pPr>
              <w:rPr>
                <w:rFonts w:cs="Arial"/>
                <w:i/>
                <w:sz w:val="20"/>
              </w:rPr>
            </w:pPr>
            <w:r>
              <w:rPr>
                <w:rFonts w:cs="Arial"/>
                <w:i/>
                <w:sz w:val="20"/>
              </w:rPr>
              <w:t xml:space="preserve">GoT with </w:t>
            </w:r>
            <w:r w:rsidRPr="00AB6B07">
              <w:rPr>
                <w:rFonts w:cs="Arial"/>
                <w:i/>
                <w:sz w:val="20"/>
              </w:rPr>
              <w:t>donor support (ADB)</w:t>
            </w:r>
          </w:p>
          <w:p w:rsidR="00AB6B07" w:rsidRPr="001D4AB6" w:rsidRDefault="00AB6B07" w:rsidP="00AB6B07">
            <w:pPr>
              <w:rPr>
                <w:rFonts w:cs="Arial"/>
                <w:bCs/>
                <w:sz w:val="20"/>
              </w:rPr>
            </w:pPr>
          </w:p>
        </w:tc>
      </w:tr>
      <w:tr w:rsidR="00AB6B07" w:rsidRPr="00C77EF1" w:rsidTr="00891D7B">
        <w:trPr>
          <w:trHeight w:val="260"/>
        </w:trPr>
        <w:tc>
          <w:tcPr>
            <w:tcW w:w="14000" w:type="dxa"/>
            <w:gridSpan w:val="6"/>
            <w:shd w:val="clear" w:color="auto" w:fill="D9D9D9" w:themeFill="background1" w:themeFillShade="D9"/>
          </w:tcPr>
          <w:p w:rsidR="00AB6B07" w:rsidRPr="00665478" w:rsidRDefault="00AB6B07" w:rsidP="004A1C05">
            <w:pPr>
              <w:rPr>
                <w:rFonts w:cs="Arial"/>
                <w:b/>
                <w:sz w:val="20"/>
                <w:szCs w:val="22"/>
              </w:rPr>
            </w:pPr>
            <w:r w:rsidRPr="00665478">
              <w:rPr>
                <w:rFonts w:cs="Arial"/>
                <w:b/>
                <w:sz w:val="20"/>
                <w:szCs w:val="22"/>
              </w:rPr>
              <w:t xml:space="preserve">Business Environment Reform </w:t>
            </w:r>
          </w:p>
        </w:tc>
      </w:tr>
      <w:tr w:rsidR="00AB6B07" w:rsidRPr="00C77EF1" w:rsidTr="00F17EFC">
        <w:trPr>
          <w:trHeight w:val="557"/>
        </w:trPr>
        <w:tc>
          <w:tcPr>
            <w:tcW w:w="4361" w:type="dxa"/>
            <w:gridSpan w:val="2"/>
            <w:shd w:val="clear" w:color="auto" w:fill="auto"/>
          </w:tcPr>
          <w:p w:rsidR="00AB6B07" w:rsidRPr="003A37C9" w:rsidRDefault="00AB6B07" w:rsidP="00A11CCA">
            <w:pPr>
              <w:pStyle w:val="ListParagraph"/>
              <w:numPr>
                <w:ilvl w:val="0"/>
                <w:numId w:val="22"/>
              </w:numPr>
              <w:spacing w:after="0" w:line="240" w:lineRule="auto"/>
              <w:ind w:left="450" w:hanging="270"/>
              <w:jc w:val="both"/>
              <w:rPr>
                <w:rFonts w:ascii="Arial" w:hAnsi="Arial" w:cs="Arial"/>
                <w:sz w:val="20"/>
              </w:rPr>
            </w:pPr>
            <w:r w:rsidRPr="003A37C9">
              <w:rPr>
                <w:rFonts w:ascii="Arial" w:hAnsi="Arial" w:cs="Arial"/>
                <w:sz w:val="20"/>
              </w:rPr>
              <w:t>Cabinet approves submission to Parliament of Receivership Bill revisions of the Business Names Act.</w:t>
            </w:r>
            <w:r>
              <w:rPr>
                <w:rFonts w:ascii="Arial" w:hAnsi="Arial" w:cs="Arial"/>
                <w:sz w:val="20"/>
              </w:rPr>
              <w:t xml:space="preserve"> (ADB, WB &amp; AusAID)</w:t>
            </w:r>
          </w:p>
          <w:p w:rsidR="00AB6B07" w:rsidRPr="00C77EF1" w:rsidRDefault="00AB6B07" w:rsidP="004A1C05">
            <w:pPr>
              <w:pStyle w:val="ListParagraph"/>
              <w:jc w:val="both"/>
              <w:rPr>
                <w:rFonts w:ascii="Arial" w:hAnsi="Arial" w:cs="Arial"/>
                <w:sz w:val="20"/>
              </w:rPr>
            </w:pPr>
          </w:p>
          <w:p w:rsidR="00AB6B07" w:rsidRPr="00C77EF1" w:rsidRDefault="00AB6B07" w:rsidP="004A1C05">
            <w:pPr>
              <w:rPr>
                <w:rFonts w:cs="Arial"/>
                <w:sz w:val="20"/>
                <w:szCs w:val="22"/>
              </w:rPr>
            </w:pPr>
          </w:p>
        </w:tc>
        <w:tc>
          <w:tcPr>
            <w:tcW w:w="2835" w:type="dxa"/>
          </w:tcPr>
          <w:p w:rsidR="00AB6B07" w:rsidRPr="00D76E50" w:rsidRDefault="00D76E50" w:rsidP="001E0677">
            <w:pPr>
              <w:jc w:val="left"/>
              <w:rPr>
                <w:rFonts w:cs="Arial"/>
                <w:i/>
                <w:sz w:val="20"/>
              </w:rPr>
            </w:pPr>
            <w:r w:rsidRPr="00D76E50">
              <w:rPr>
                <w:i/>
                <w:sz w:val="20"/>
                <w:szCs w:val="20"/>
              </w:rPr>
              <w:t>ADB PSDI assistance being provided to Ministry of Commerce to inform policy decisions, prepare legislative revisions, and draft new legislation.</w:t>
            </w:r>
          </w:p>
        </w:tc>
        <w:tc>
          <w:tcPr>
            <w:tcW w:w="3685" w:type="dxa"/>
            <w:gridSpan w:val="2"/>
          </w:tcPr>
          <w:p w:rsidR="00AB6B07" w:rsidRPr="00665478" w:rsidRDefault="00AB6B07" w:rsidP="00A11CCA">
            <w:pPr>
              <w:pStyle w:val="ListParagraph"/>
              <w:numPr>
                <w:ilvl w:val="0"/>
                <w:numId w:val="23"/>
              </w:numPr>
              <w:spacing w:after="0" w:line="240" w:lineRule="auto"/>
              <w:ind w:left="432"/>
              <w:jc w:val="both"/>
              <w:rPr>
                <w:rFonts w:ascii="Arial" w:hAnsi="Arial" w:cs="Arial"/>
                <w:sz w:val="20"/>
              </w:rPr>
            </w:pPr>
            <w:r w:rsidRPr="00665478">
              <w:rPr>
                <w:rFonts w:ascii="Arial" w:hAnsi="Arial" w:cs="Arial"/>
                <w:sz w:val="20"/>
              </w:rPr>
              <w:t>Cabinet approves Competition Policy.</w:t>
            </w:r>
          </w:p>
          <w:p w:rsidR="00AB6B07" w:rsidRPr="00C77EF1" w:rsidRDefault="00AB6B07" w:rsidP="00891D7B">
            <w:pPr>
              <w:rPr>
                <w:rFonts w:cs="Arial"/>
                <w:sz w:val="20"/>
                <w:szCs w:val="22"/>
              </w:rPr>
            </w:pPr>
          </w:p>
          <w:p w:rsidR="00AB6B07" w:rsidRPr="00665478" w:rsidRDefault="00AB6B07" w:rsidP="00A11CCA">
            <w:pPr>
              <w:pStyle w:val="ListParagraph"/>
              <w:numPr>
                <w:ilvl w:val="0"/>
                <w:numId w:val="23"/>
              </w:numPr>
              <w:spacing w:after="0" w:line="240" w:lineRule="auto"/>
              <w:ind w:left="432"/>
              <w:jc w:val="both"/>
              <w:rPr>
                <w:rFonts w:ascii="Arial" w:hAnsi="Arial" w:cs="Arial"/>
                <w:sz w:val="20"/>
              </w:rPr>
            </w:pPr>
            <w:r w:rsidRPr="00665478">
              <w:rPr>
                <w:rFonts w:ascii="Arial" w:hAnsi="Arial" w:cs="Arial"/>
                <w:sz w:val="20"/>
              </w:rPr>
              <w:t>Cabinet approves submission of Bankruptcy Bill to the Legislative Assembly.</w:t>
            </w:r>
            <w:r>
              <w:rPr>
                <w:rFonts w:ascii="Arial" w:hAnsi="Arial" w:cs="Arial"/>
                <w:sz w:val="20"/>
              </w:rPr>
              <w:t xml:space="preserve"> (ADB)</w:t>
            </w:r>
          </w:p>
          <w:p w:rsidR="00AB6B07" w:rsidRPr="00C77EF1" w:rsidRDefault="00AB6B07" w:rsidP="00891D7B">
            <w:pPr>
              <w:ind w:left="432" w:hanging="360"/>
              <w:rPr>
                <w:rFonts w:cs="Arial"/>
                <w:sz w:val="20"/>
                <w:szCs w:val="22"/>
              </w:rPr>
            </w:pPr>
          </w:p>
          <w:p w:rsidR="00AB6B07" w:rsidRPr="00665478" w:rsidRDefault="00AB6B07" w:rsidP="00A11CCA">
            <w:pPr>
              <w:pStyle w:val="ListParagraph"/>
              <w:numPr>
                <w:ilvl w:val="0"/>
                <w:numId w:val="23"/>
              </w:numPr>
              <w:spacing w:after="0" w:line="240" w:lineRule="auto"/>
              <w:ind w:left="432"/>
              <w:jc w:val="both"/>
              <w:rPr>
                <w:rFonts w:ascii="Arial" w:hAnsi="Arial" w:cs="Arial"/>
                <w:sz w:val="20"/>
              </w:rPr>
            </w:pPr>
            <w:r w:rsidRPr="00665478">
              <w:rPr>
                <w:rFonts w:ascii="Arial" w:hAnsi="Arial" w:cs="Arial"/>
                <w:sz w:val="20"/>
              </w:rPr>
              <w:t>Government will submit to Parliament revisions to enable foreign investment in the fisheries and agriculture sectors.</w:t>
            </w:r>
          </w:p>
        </w:tc>
        <w:tc>
          <w:tcPr>
            <w:tcW w:w="3119" w:type="dxa"/>
            <w:shd w:val="clear" w:color="auto" w:fill="auto"/>
          </w:tcPr>
          <w:p w:rsidR="006F3E62" w:rsidRDefault="006F3E62" w:rsidP="006F3E62">
            <w:pPr>
              <w:rPr>
                <w:rFonts w:cs="Arial"/>
                <w:i/>
                <w:sz w:val="20"/>
              </w:rPr>
            </w:pPr>
            <w:r>
              <w:rPr>
                <w:rFonts w:cs="Arial"/>
                <w:i/>
                <w:sz w:val="20"/>
              </w:rPr>
              <w:t xml:space="preserve">GoT/Cabinet with </w:t>
            </w:r>
            <w:r w:rsidRPr="00AB6B07">
              <w:rPr>
                <w:rFonts w:cs="Arial"/>
                <w:i/>
                <w:sz w:val="20"/>
              </w:rPr>
              <w:t>donor support (ADB)</w:t>
            </w:r>
          </w:p>
          <w:p w:rsidR="00AB6B07" w:rsidRDefault="00AB6B07" w:rsidP="001D4AB6">
            <w:pPr>
              <w:ind w:left="72"/>
              <w:rPr>
                <w:rFonts w:cs="Arial"/>
                <w:sz w:val="20"/>
              </w:rPr>
            </w:pPr>
          </w:p>
          <w:p w:rsidR="006F3E62" w:rsidRDefault="006F3E62" w:rsidP="006F3E62">
            <w:pPr>
              <w:rPr>
                <w:rFonts w:cs="Arial"/>
                <w:i/>
                <w:sz w:val="20"/>
              </w:rPr>
            </w:pPr>
            <w:r>
              <w:rPr>
                <w:rFonts w:cs="Arial"/>
                <w:i/>
                <w:sz w:val="20"/>
              </w:rPr>
              <w:t xml:space="preserve">GoT/Cabinet with </w:t>
            </w:r>
            <w:r w:rsidRPr="00AB6B07">
              <w:rPr>
                <w:rFonts w:cs="Arial"/>
                <w:i/>
                <w:sz w:val="20"/>
              </w:rPr>
              <w:t>donor support (ADB)</w:t>
            </w:r>
          </w:p>
          <w:p w:rsidR="006F3E62" w:rsidRDefault="006F3E62" w:rsidP="001D4AB6">
            <w:pPr>
              <w:ind w:left="72"/>
              <w:rPr>
                <w:rFonts w:cs="Arial"/>
                <w:sz w:val="20"/>
              </w:rPr>
            </w:pPr>
          </w:p>
          <w:p w:rsidR="006F3E62" w:rsidRDefault="006F3E62" w:rsidP="001D4AB6">
            <w:pPr>
              <w:ind w:left="72"/>
              <w:rPr>
                <w:rFonts w:cs="Arial"/>
                <w:sz w:val="20"/>
              </w:rPr>
            </w:pPr>
          </w:p>
          <w:p w:rsidR="006F3E62" w:rsidRDefault="006F3E62" w:rsidP="006F3E62">
            <w:pPr>
              <w:rPr>
                <w:rFonts w:cs="Arial"/>
                <w:i/>
                <w:sz w:val="20"/>
              </w:rPr>
            </w:pPr>
            <w:r>
              <w:rPr>
                <w:rFonts w:cs="Arial"/>
                <w:i/>
                <w:sz w:val="20"/>
              </w:rPr>
              <w:t xml:space="preserve">GoT with </w:t>
            </w:r>
            <w:r w:rsidRPr="00AB6B07">
              <w:rPr>
                <w:rFonts w:cs="Arial"/>
                <w:i/>
                <w:sz w:val="20"/>
              </w:rPr>
              <w:t>donor support (ADB</w:t>
            </w:r>
            <w:r>
              <w:rPr>
                <w:rFonts w:cs="Arial"/>
                <w:i/>
                <w:sz w:val="20"/>
              </w:rPr>
              <w:t>, WB &amp; AusAID</w:t>
            </w:r>
            <w:r w:rsidRPr="00AB6B07">
              <w:rPr>
                <w:rFonts w:cs="Arial"/>
                <w:i/>
                <w:sz w:val="20"/>
              </w:rPr>
              <w:t>)</w:t>
            </w:r>
          </w:p>
          <w:p w:rsidR="006F3E62" w:rsidRPr="001D4AB6" w:rsidRDefault="006F3E62" w:rsidP="001D4AB6">
            <w:pPr>
              <w:ind w:left="72"/>
              <w:rPr>
                <w:rFonts w:cs="Arial"/>
                <w:sz w:val="20"/>
              </w:rPr>
            </w:pPr>
          </w:p>
        </w:tc>
      </w:tr>
    </w:tbl>
    <w:p w:rsidR="00F9014C" w:rsidRDefault="00F9014C" w:rsidP="00F17EFC">
      <w:pPr>
        <w:jc w:val="center"/>
        <w:rPr>
          <w:b/>
          <w:u w:val="single"/>
        </w:rPr>
      </w:pPr>
    </w:p>
    <w:p w:rsidR="00D36556" w:rsidRPr="00CF7BFB" w:rsidRDefault="00F9014C" w:rsidP="00F17EFC">
      <w:pPr>
        <w:jc w:val="center"/>
        <w:rPr>
          <w:b/>
          <w:u w:val="single"/>
        </w:rPr>
      </w:pPr>
      <w:r>
        <w:rPr>
          <w:b/>
          <w:u w:val="single"/>
        </w:rPr>
        <w:br w:type="column"/>
      </w:r>
      <w:r w:rsidR="00D36556" w:rsidRPr="00CF7BFB">
        <w:rPr>
          <w:b/>
          <w:u w:val="single"/>
        </w:rPr>
        <w:t>Extended Government of Tonga Reform Matrix</w:t>
      </w:r>
    </w:p>
    <w:p w:rsidR="00D36556" w:rsidRPr="00CF7BFB" w:rsidRDefault="00D36556" w:rsidP="00D36556">
      <w:pPr>
        <w:jc w:val="center"/>
        <w:rPr>
          <w:b/>
          <w:i/>
        </w:rPr>
      </w:pPr>
      <w:r w:rsidRPr="00CF7BFB">
        <w:rPr>
          <w:b/>
          <w:i/>
        </w:rPr>
        <w:t>(Including non-binding actions and indicative actions for 2015)</w:t>
      </w:r>
    </w:p>
    <w:p w:rsidR="00D36556" w:rsidRDefault="00D36556" w:rsidP="00D36556"/>
    <w:tbl>
      <w:tblPr>
        <w:tblStyle w:val="TableGrid"/>
        <w:tblW w:w="0" w:type="auto"/>
        <w:tblLayout w:type="fixed"/>
        <w:tblLook w:val="04A0" w:firstRow="1" w:lastRow="0" w:firstColumn="1" w:lastColumn="0" w:noHBand="0" w:noVBand="1"/>
      </w:tblPr>
      <w:tblGrid>
        <w:gridCol w:w="4517"/>
        <w:gridCol w:w="4246"/>
        <w:gridCol w:w="4188"/>
      </w:tblGrid>
      <w:tr w:rsidR="00D36556" w:rsidRPr="00C77EF1" w:rsidTr="004A1C05">
        <w:trPr>
          <w:trHeight w:val="181"/>
        </w:trPr>
        <w:tc>
          <w:tcPr>
            <w:tcW w:w="4517" w:type="dxa"/>
            <w:shd w:val="clear" w:color="auto" w:fill="auto"/>
          </w:tcPr>
          <w:p w:rsidR="00D36556" w:rsidRPr="00C77EF1" w:rsidRDefault="00D36556" w:rsidP="004A1C05">
            <w:pPr>
              <w:rPr>
                <w:rFonts w:cs="Arial"/>
                <w:b/>
                <w:sz w:val="20"/>
                <w:szCs w:val="22"/>
              </w:rPr>
            </w:pPr>
            <w:r w:rsidRPr="00C77EF1">
              <w:rPr>
                <w:rFonts w:cs="Arial"/>
                <w:b/>
                <w:sz w:val="20"/>
                <w:szCs w:val="22"/>
              </w:rPr>
              <w:t>Draft Reform Actions 2013</w:t>
            </w:r>
          </w:p>
        </w:tc>
        <w:tc>
          <w:tcPr>
            <w:tcW w:w="4246" w:type="dxa"/>
            <w:shd w:val="clear" w:color="auto" w:fill="auto"/>
          </w:tcPr>
          <w:p w:rsidR="00D36556" w:rsidRPr="00C77EF1" w:rsidRDefault="00D36556" w:rsidP="004A1C05">
            <w:pPr>
              <w:rPr>
                <w:rFonts w:cs="Arial"/>
                <w:b/>
                <w:sz w:val="20"/>
                <w:szCs w:val="22"/>
              </w:rPr>
            </w:pPr>
            <w:r w:rsidRPr="00C77EF1">
              <w:rPr>
                <w:rFonts w:cs="Arial"/>
                <w:b/>
                <w:sz w:val="20"/>
                <w:szCs w:val="22"/>
              </w:rPr>
              <w:t>Indicative Reform Actions 2014</w:t>
            </w:r>
          </w:p>
        </w:tc>
        <w:tc>
          <w:tcPr>
            <w:tcW w:w="4188" w:type="dxa"/>
          </w:tcPr>
          <w:p w:rsidR="00D36556" w:rsidRPr="00C77EF1" w:rsidRDefault="00D36556" w:rsidP="004A1C05">
            <w:pPr>
              <w:rPr>
                <w:rFonts w:cs="Arial"/>
                <w:b/>
                <w:sz w:val="20"/>
                <w:szCs w:val="22"/>
              </w:rPr>
            </w:pPr>
            <w:r>
              <w:rPr>
                <w:rFonts w:cs="Arial"/>
                <w:b/>
                <w:sz w:val="20"/>
                <w:szCs w:val="22"/>
              </w:rPr>
              <w:t>Indicative Reform Actions 2015</w:t>
            </w:r>
          </w:p>
        </w:tc>
      </w:tr>
      <w:tr w:rsidR="00D36556" w:rsidRPr="00C77EF1" w:rsidTr="004A1C05">
        <w:trPr>
          <w:trHeight w:val="180"/>
        </w:trPr>
        <w:tc>
          <w:tcPr>
            <w:tcW w:w="8763" w:type="dxa"/>
            <w:gridSpan w:val="2"/>
            <w:shd w:val="clear" w:color="auto" w:fill="000000" w:themeFill="text1"/>
          </w:tcPr>
          <w:p w:rsidR="00D36556" w:rsidRPr="00C77EF1" w:rsidRDefault="00D36556" w:rsidP="004A1C05">
            <w:pPr>
              <w:rPr>
                <w:rFonts w:cs="Arial"/>
                <w:b/>
                <w:color w:val="FFFFFF" w:themeColor="background1"/>
                <w:sz w:val="20"/>
                <w:szCs w:val="22"/>
              </w:rPr>
            </w:pPr>
            <w:r w:rsidRPr="00C77EF1">
              <w:rPr>
                <w:rFonts w:cs="Arial"/>
                <w:b/>
                <w:color w:val="FFFFFF" w:themeColor="background1"/>
                <w:sz w:val="20"/>
                <w:szCs w:val="22"/>
              </w:rPr>
              <w:t>Strengthening Public Financial Management</w:t>
            </w:r>
          </w:p>
        </w:tc>
        <w:tc>
          <w:tcPr>
            <w:tcW w:w="4188" w:type="dxa"/>
            <w:shd w:val="clear" w:color="auto" w:fill="000000" w:themeFill="text1"/>
          </w:tcPr>
          <w:p w:rsidR="00D36556" w:rsidRPr="00C77EF1" w:rsidRDefault="00D36556" w:rsidP="004A1C05">
            <w:pPr>
              <w:rPr>
                <w:rFonts w:cs="Arial"/>
                <w:b/>
                <w:color w:val="FFFFFF" w:themeColor="background1"/>
                <w:sz w:val="20"/>
                <w:szCs w:val="22"/>
              </w:rPr>
            </w:pPr>
          </w:p>
        </w:tc>
      </w:tr>
      <w:tr w:rsidR="00D36556" w:rsidRPr="00C77EF1" w:rsidTr="004A1C05">
        <w:trPr>
          <w:trHeight w:val="724"/>
        </w:trPr>
        <w:tc>
          <w:tcPr>
            <w:tcW w:w="4517" w:type="dxa"/>
            <w:shd w:val="clear" w:color="auto" w:fill="auto"/>
          </w:tcPr>
          <w:p w:rsidR="00D36556" w:rsidRPr="00CF7BFB" w:rsidRDefault="00D36556" w:rsidP="00687927">
            <w:pPr>
              <w:jc w:val="left"/>
              <w:rPr>
                <w:rFonts w:cs="Arial"/>
                <w:sz w:val="20"/>
                <w:szCs w:val="22"/>
              </w:rPr>
            </w:pPr>
            <w:r w:rsidRPr="00CF7BFB">
              <w:rPr>
                <w:rFonts w:cs="Arial"/>
                <w:sz w:val="20"/>
                <w:szCs w:val="22"/>
              </w:rPr>
              <w:t>The Ministry of Finance will reflect new program structures for major ministries in the FY2013/14 budget to improve alignment between expenditure and policy priorities. (ADB, WB, AusAID)</w:t>
            </w:r>
          </w:p>
          <w:p w:rsidR="00D36556" w:rsidRDefault="00D36556" w:rsidP="00687927">
            <w:pPr>
              <w:pStyle w:val="ListParagraph"/>
              <w:ind w:left="450"/>
              <w:rPr>
                <w:rFonts w:ascii="Arial" w:hAnsi="Arial" w:cs="Arial"/>
                <w:sz w:val="20"/>
              </w:rPr>
            </w:pPr>
          </w:p>
          <w:p w:rsidR="00D36556" w:rsidRPr="00CF7BFB" w:rsidRDefault="00D36556" w:rsidP="00687927">
            <w:pPr>
              <w:jc w:val="left"/>
              <w:rPr>
                <w:rFonts w:cs="Arial"/>
                <w:sz w:val="20"/>
                <w:szCs w:val="22"/>
              </w:rPr>
            </w:pPr>
            <w:r w:rsidRPr="00CF7BFB">
              <w:rPr>
                <w:rFonts w:cs="Arial"/>
                <w:sz w:val="20"/>
                <w:szCs w:val="22"/>
              </w:rPr>
              <w:t>Cabinet will approve a Procurement Strategy outlining steps for strengthening of procurement processes based on the recent procurement review. (AusAID)</w:t>
            </w:r>
          </w:p>
          <w:p w:rsidR="00D36556" w:rsidRPr="00C77EF1" w:rsidRDefault="00D36556" w:rsidP="00687927">
            <w:pPr>
              <w:jc w:val="left"/>
              <w:rPr>
                <w:rFonts w:cs="Arial"/>
                <w:sz w:val="20"/>
                <w:szCs w:val="22"/>
              </w:rPr>
            </w:pPr>
          </w:p>
        </w:tc>
        <w:tc>
          <w:tcPr>
            <w:tcW w:w="4246" w:type="dxa"/>
            <w:shd w:val="clear" w:color="auto" w:fill="auto"/>
          </w:tcPr>
          <w:p w:rsidR="00D36556" w:rsidRDefault="00D36556" w:rsidP="00687927">
            <w:pPr>
              <w:jc w:val="left"/>
              <w:rPr>
                <w:rFonts w:cs="Arial"/>
                <w:sz w:val="20"/>
                <w:szCs w:val="22"/>
              </w:rPr>
            </w:pPr>
            <w:r w:rsidRPr="00CF7BFB">
              <w:rPr>
                <w:rFonts w:cs="Arial"/>
                <w:sz w:val="20"/>
                <w:szCs w:val="22"/>
              </w:rPr>
              <w:t>Ministry of Finance will progress key reforms identified in the Public Finance Management Reform Plan to be agreed by Cabinet in mid-2013 and in the Procurement Strategy (ADB, WB &amp; AusAID)</w:t>
            </w:r>
          </w:p>
          <w:p w:rsidR="00D36556" w:rsidRPr="0020079E" w:rsidRDefault="00D36556" w:rsidP="00687927">
            <w:pPr>
              <w:jc w:val="left"/>
              <w:rPr>
                <w:rFonts w:cs="Arial"/>
                <w:i/>
                <w:sz w:val="20"/>
                <w:szCs w:val="22"/>
              </w:rPr>
            </w:pPr>
          </w:p>
          <w:p w:rsidR="00D36556" w:rsidRPr="00CF7BFB" w:rsidRDefault="00D36556" w:rsidP="00687927">
            <w:pPr>
              <w:jc w:val="left"/>
              <w:rPr>
                <w:rFonts w:cs="Arial"/>
                <w:sz w:val="20"/>
                <w:szCs w:val="22"/>
              </w:rPr>
            </w:pPr>
            <w:r w:rsidRPr="0020079E">
              <w:rPr>
                <w:rFonts w:cs="Arial"/>
                <w:i/>
                <w:sz w:val="20"/>
                <w:szCs w:val="22"/>
              </w:rPr>
              <w:t>New program structures for all Ministries will be reflected in the FY2014/15 budget.</w:t>
            </w:r>
          </w:p>
        </w:tc>
        <w:tc>
          <w:tcPr>
            <w:tcW w:w="4188" w:type="dxa"/>
          </w:tcPr>
          <w:p w:rsidR="00D36556" w:rsidRPr="00CF7BFB" w:rsidRDefault="00D36556" w:rsidP="00687927">
            <w:pPr>
              <w:jc w:val="left"/>
              <w:rPr>
                <w:rFonts w:cs="Arial"/>
                <w:sz w:val="20"/>
                <w:szCs w:val="22"/>
              </w:rPr>
            </w:pPr>
          </w:p>
        </w:tc>
      </w:tr>
      <w:tr w:rsidR="00D36556" w:rsidRPr="00C77EF1" w:rsidTr="004A1C05">
        <w:trPr>
          <w:trHeight w:val="198"/>
        </w:trPr>
        <w:tc>
          <w:tcPr>
            <w:tcW w:w="8763" w:type="dxa"/>
            <w:gridSpan w:val="2"/>
            <w:shd w:val="clear" w:color="auto" w:fill="000000" w:themeFill="text1"/>
          </w:tcPr>
          <w:p w:rsidR="00D36556" w:rsidRPr="00C77EF1" w:rsidRDefault="00D36556" w:rsidP="00687927">
            <w:pPr>
              <w:jc w:val="left"/>
              <w:rPr>
                <w:rFonts w:cs="Arial"/>
                <w:b/>
                <w:sz w:val="20"/>
                <w:szCs w:val="22"/>
              </w:rPr>
            </w:pPr>
            <w:r w:rsidRPr="00C77EF1">
              <w:rPr>
                <w:rFonts w:cs="Arial"/>
                <w:b/>
                <w:sz w:val="20"/>
                <w:szCs w:val="22"/>
              </w:rPr>
              <w:t>Strengthening fiscal policy</w:t>
            </w:r>
          </w:p>
        </w:tc>
        <w:tc>
          <w:tcPr>
            <w:tcW w:w="4188" w:type="dxa"/>
            <w:shd w:val="clear" w:color="auto" w:fill="000000" w:themeFill="text1"/>
          </w:tcPr>
          <w:p w:rsidR="00D36556" w:rsidRPr="00C77EF1" w:rsidRDefault="00D36556" w:rsidP="00687927">
            <w:pPr>
              <w:jc w:val="left"/>
              <w:rPr>
                <w:rFonts w:cs="Arial"/>
                <w:b/>
                <w:sz w:val="20"/>
                <w:szCs w:val="22"/>
              </w:rPr>
            </w:pPr>
          </w:p>
        </w:tc>
      </w:tr>
      <w:tr w:rsidR="00D36556" w:rsidRPr="00C77EF1" w:rsidTr="002C265B">
        <w:trPr>
          <w:trHeight w:val="4602"/>
        </w:trPr>
        <w:tc>
          <w:tcPr>
            <w:tcW w:w="4517" w:type="dxa"/>
            <w:shd w:val="clear" w:color="auto" w:fill="auto"/>
          </w:tcPr>
          <w:p w:rsidR="00D36556" w:rsidRPr="00CF7BFB" w:rsidRDefault="00D36556" w:rsidP="00687927">
            <w:pPr>
              <w:jc w:val="left"/>
              <w:rPr>
                <w:rFonts w:cs="Arial"/>
                <w:sz w:val="20"/>
                <w:szCs w:val="22"/>
              </w:rPr>
            </w:pPr>
            <w:r w:rsidRPr="00CF7BFB">
              <w:rPr>
                <w:rFonts w:cs="Arial"/>
                <w:sz w:val="20"/>
                <w:szCs w:val="22"/>
              </w:rPr>
              <w:t>Cabinet will approve submission to Parliament of legislation to create a presumptive tax regime for SMEs, to reduce administrative burden on Ministry of Revenue and encourage formalization. (ADB, WB &amp; AusAID)</w:t>
            </w:r>
          </w:p>
          <w:p w:rsidR="00D36556" w:rsidRPr="00C77EF1" w:rsidRDefault="00D36556" w:rsidP="00687927">
            <w:pPr>
              <w:pStyle w:val="ListParagraph"/>
              <w:ind w:left="450" w:hanging="360"/>
              <w:rPr>
                <w:rFonts w:ascii="Arial" w:hAnsi="Arial" w:cs="Arial"/>
                <w:sz w:val="20"/>
              </w:rPr>
            </w:pPr>
          </w:p>
          <w:p w:rsidR="00D36556" w:rsidRDefault="00D36556" w:rsidP="00687927">
            <w:pPr>
              <w:jc w:val="left"/>
              <w:rPr>
                <w:rFonts w:cs="Arial"/>
                <w:sz w:val="20"/>
                <w:szCs w:val="22"/>
              </w:rPr>
            </w:pPr>
            <w:r w:rsidRPr="00CF7BFB">
              <w:rPr>
                <w:rFonts w:cs="Arial"/>
                <w:sz w:val="20"/>
                <w:szCs w:val="22"/>
              </w:rPr>
              <w:t>Cabinet will approve submission to parliament of legislation establishing a natural resource tax regime to ensure equitable sharing of benefits from prospective extractive industry activities. (ADB, WB &amp; AusAID)</w:t>
            </w:r>
          </w:p>
          <w:p w:rsidR="00D36556" w:rsidRDefault="00D36556" w:rsidP="00687927">
            <w:pPr>
              <w:jc w:val="left"/>
              <w:rPr>
                <w:rFonts w:cs="Arial"/>
                <w:sz w:val="20"/>
                <w:szCs w:val="22"/>
              </w:rPr>
            </w:pPr>
          </w:p>
          <w:p w:rsidR="00D36556" w:rsidRPr="00CF7BFB" w:rsidRDefault="00D36556" w:rsidP="00687927">
            <w:pPr>
              <w:jc w:val="left"/>
              <w:rPr>
                <w:rFonts w:cs="Arial"/>
                <w:i/>
                <w:sz w:val="20"/>
                <w:szCs w:val="22"/>
              </w:rPr>
            </w:pPr>
            <w:r w:rsidRPr="00CF7BFB">
              <w:rPr>
                <w:rFonts w:cs="Arial"/>
                <w:i/>
                <w:sz w:val="20"/>
                <w:szCs w:val="22"/>
              </w:rPr>
              <w:t>Government will review the existing exemptions regime, drawing on IFC/World Bank TA regarding the role of incentives in attracting investment.</w:t>
            </w:r>
          </w:p>
          <w:p w:rsidR="00D36556" w:rsidRPr="00C77EF1" w:rsidRDefault="00D36556" w:rsidP="00687927">
            <w:pPr>
              <w:jc w:val="left"/>
              <w:rPr>
                <w:rFonts w:cs="Arial"/>
                <w:sz w:val="20"/>
                <w:szCs w:val="22"/>
              </w:rPr>
            </w:pPr>
          </w:p>
          <w:p w:rsidR="00D36556" w:rsidRPr="00C77EF1" w:rsidRDefault="00D36556" w:rsidP="00687927">
            <w:pPr>
              <w:jc w:val="left"/>
              <w:rPr>
                <w:rFonts w:cs="Arial"/>
                <w:sz w:val="20"/>
                <w:szCs w:val="22"/>
              </w:rPr>
            </w:pPr>
          </w:p>
        </w:tc>
        <w:tc>
          <w:tcPr>
            <w:tcW w:w="4246" w:type="dxa"/>
            <w:shd w:val="clear" w:color="auto" w:fill="auto"/>
          </w:tcPr>
          <w:p w:rsidR="00D36556" w:rsidRPr="00CF7BFB" w:rsidRDefault="00D36556" w:rsidP="00687927">
            <w:pPr>
              <w:jc w:val="left"/>
              <w:rPr>
                <w:rFonts w:cs="Arial"/>
                <w:sz w:val="20"/>
                <w:szCs w:val="22"/>
              </w:rPr>
            </w:pPr>
            <w:r w:rsidRPr="00CF7BFB">
              <w:rPr>
                <w:rFonts w:cs="Arial"/>
                <w:sz w:val="20"/>
                <w:szCs w:val="22"/>
              </w:rPr>
              <w:t>Cabinet will agree to an exemptions policy clearly stating criteria to be applied when considering requests for tax exemptions, and approve immediate changes to the existing exemptions regime to ensure consistency of tax exemptions with Government policy priorities, with a view to reducing the overall fiscal costs of exemptions. (ADB, WB &amp; AusAID)</w:t>
            </w:r>
          </w:p>
        </w:tc>
        <w:tc>
          <w:tcPr>
            <w:tcW w:w="4188" w:type="dxa"/>
          </w:tcPr>
          <w:p w:rsidR="00D36556" w:rsidRDefault="00D36556" w:rsidP="00687927">
            <w:pPr>
              <w:jc w:val="left"/>
              <w:rPr>
                <w:rFonts w:cs="Arial"/>
                <w:i/>
                <w:sz w:val="20"/>
                <w:szCs w:val="22"/>
              </w:rPr>
            </w:pPr>
            <w:r w:rsidRPr="0020079E">
              <w:rPr>
                <w:rFonts w:cs="Arial"/>
                <w:i/>
                <w:sz w:val="20"/>
                <w:szCs w:val="22"/>
              </w:rPr>
              <w:t xml:space="preserve">The fiscal cost of tax exemptions will be reduced and remaining exemptions will be justified </w:t>
            </w:r>
            <w:r>
              <w:rPr>
                <w:rFonts w:cs="Arial"/>
                <w:i/>
                <w:sz w:val="20"/>
                <w:szCs w:val="22"/>
              </w:rPr>
              <w:t>under the exemptions policy and subject to</w:t>
            </w:r>
            <w:r w:rsidRPr="0020079E">
              <w:rPr>
                <w:rFonts w:cs="Arial"/>
                <w:i/>
                <w:sz w:val="20"/>
                <w:szCs w:val="22"/>
              </w:rPr>
              <w:t xml:space="preserve"> cost-benefit analysis.</w:t>
            </w:r>
          </w:p>
          <w:p w:rsidR="00D36556" w:rsidRDefault="00D36556" w:rsidP="00687927">
            <w:pPr>
              <w:jc w:val="left"/>
              <w:rPr>
                <w:rFonts w:cs="Arial"/>
                <w:i/>
                <w:sz w:val="20"/>
                <w:szCs w:val="22"/>
              </w:rPr>
            </w:pPr>
          </w:p>
          <w:p w:rsidR="00D36556" w:rsidRDefault="00D36556" w:rsidP="00687927">
            <w:pPr>
              <w:jc w:val="left"/>
              <w:rPr>
                <w:rFonts w:cs="Arial"/>
                <w:i/>
                <w:sz w:val="20"/>
                <w:szCs w:val="22"/>
              </w:rPr>
            </w:pPr>
          </w:p>
          <w:p w:rsidR="00D36556" w:rsidRDefault="00D36556" w:rsidP="00687927">
            <w:pPr>
              <w:jc w:val="left"/>
              <w:rPr>
                <w:rFonts w:cs="Arial"/>
                <w:i/>
                <w:sz w:val="20"/>
                <w:szCs w:val="22"/>
              </w:rPr>
            </w:pPr>
          </w:p>
          <w:p w:rsidR="00D36556" w:rsidRDefault="00D36556" w:rsidP="00687927">
            <w:pPr>
              <w:jc w:val="left"/>
              <w:rPr>
                <w:rFonts w:cs="Arial"/>
                <w:i/>
                <w:sz w:val="20"/>
                <w:szCs w:val="22"/>
              </w:rPr>
            </w:pPr>
          </w:p>
          <w:p w:rsidR="00D36556" w:rsidRDefault="00D36556" w:rsidP="00687927">
            <w:pPr>
              <w:jc w:val="left"/>
              <w:rPr>
                <w:rFonts w:cs="Arial"/>
                <w:i/>
                <w:sz w:val="20"/>
                <w:szCs w:val="22"/>
              </w:rPr>
            </w:pPr>
          </w:p>
          <w:p w:rsidR="00D36556" w:rsidRDefault="00D36556" w:rsidP="00687927">
            <w:pPr>
              <w:jc w:val="left"/>
              <w:rPr>
                <w:rFonts w:cs="Arial"/>
                <w:i/>
                <w:sz w:val="20"/>
                <w:szCs w:val="22"/>
              </w:rPr>
            </w:pPr>
          </w:p>
          <w:p w:rsidR="00D36556" w:rsidRDefault="00D36556" w:rsidP="00687927">
            <w:pPr>
              <w:jc w:val="left"/>
              <w:rPr>
                <w:rFonts w:cs="Arial"/>
                <w:i/>
                <w:sz w:val="20"/>
                <w:szCs w:val="22"/>
              </w:rPr>
            </w:pPr>
          </w:p>
          <w:p w:rsidR="00D36556" w:rsidRDefault="00D36556" w:rsidP="00687927">
            <w:pPr>
              <w:jc w:val="left"/>
              <w:rPr>
                <w:rFonts w:cs="Arial"/>
                <w:i/>
                <w:sz w:val="20"/>
                <w:szCs w:val="22"/>
              </w:rPr>
            </w:pPr>
          </w:p>
          <w:p w:rsidR="00D36556" w:rsidRDefault="00D36556" w:rsidP="00687927">
            <w:pPr>
              <w:jc w:val="left"/>
              <w:rPr>
                <w:rFonts w:cs="Arial"/>
                <w:i/>
                <w:sz w:val="20"/>
                <w:szCs w:val="22"/>
              </w:rPr>
            </w:pPr>
          </w:p>
          <w:p w:rsidR="00D36556" w:rsidRDefault="00D36556" w:rsidP="00687927">
            <w:pPr>
              <w:jc w:val="left"/>
              <w:rPr>
                <w:rFonts w:cs="Arial"/>
                <w:i/>
                <w:sz w:val="20"/>
                <w:szCs w:val="22"/>
              </w:rPr>
            </w:pPr>
          </w:p>
          <w:p w:rsidR="00D36556" w:rsidRDefault="00D36556" w:rsidP="00687927">
            <w:pPr>
              <w:jc w:val="left"/>
              <w:rPr>
                <w:rFonts w:cs="Arial"/>
                <w:i/>
                <w:sz w:val="20"/>
                <w:szCs w:val="22"/>
              </w:rPr>
            </w:pPr>
          </w:p>
          <w:p w:rsidR="00D36556" w:rsidRDefault="00D36556" w:rsidP="00687927">
            <w:pPr>
              <w:jc w:val="left"/>
              <w:rPr>
                <w:rFonts w:cs="Arial"/>
                <w:i/>
                <w:sz w:val="20"/>
                <w:szCs w:val="22"/>
              </w:rPr>
            </w:pPr>
          </w:p>
          <w:p w:rsidR="00D36556" w:rsidRDefault="00D36556" w:rsidP="00687927">
            <w:pPr>
              <w:jc w:val="left"/>
              <w:rPr>
                <w:rFonts w:cs="Arial"/>
                <w:i/>
                <w:sz w:val="20"/>
                <w:szCs w:val="22"/>
              </w:rPr>
            </w:pPr>
          </w:p>
          <w:p w:rsidR="00D36556" w:rsidRDefault="00D36556" w:rsidP="00687927">
            <w:pPr>
              <w:jc w:val="left"/>
              <w:rPr>
                <w:rFonts w:cs="Arial"/>
                <w:i/>
                <w:sz w:val="20"/>
                <w:szCs w:val="22"/>
              </w:rPr>
            </w:pPr>
          </w:p>
          <w:p w:rsidR="00D36556" w:rsidRPr="0020079E" w:rsidRDefault="00D36556" w:rsidP="00687927">
            <w:pPr>
              <w:jc w:val="left"/>
              <w:rPr>
                <w:rFonts w:cs="Arial"/>
                <w:i/>
                <w:sz w:val="20"/>
                <w:szCs w:val="22"/>
              </w:rPr>
            </w:pPr>
          </w:p>
        </w:tc>
      </w:tr>
      <w:tr w:rsidR="00D36556" w:rsidRPr="00C77EF1" w:rsidTr="004A1C05">
        <w:trPr>
          <w:trHeight w:val="181"/>
        </w:trPr>
        <w:tc>
          <w:tcPr>
            <w:tcW w:w="4517" w:type="dxa"/>
            <w:shd w:val="clear" w:color="auto" w:fill="000000" w:themeFill="text1"/>
          </w:tcPr>
          <w:p w:rsidR="00D36556" w:rsidRPr="00C77EF1" w:rsidRDefault="00D36556" w:rsidP="00687927">
            <w:pPr>
              <w:jc w:val="left"/>
              <w:rPr>
                <w:rFonts w:cs="Arial"/>
                <w:b/>
                <w:color w:val="FFFFFF" w:themeColor="background1"/>
                <w:sz w:val="20"/>
                <w:szCs w:val="22"/>
              </w:rPr>
            </w:pPr>
            <w:r w:rsidRPr="00C77EF1">
              <w:rPr>
                <w:rFonts w:cs="Arial"/>
                <w:b/>
                <w:color w:val="FFFFFF" w:themeColor="background1"/>
                <w:sz w:val="20"/>
                <w:szCs w:val="22"/>
              </w:rPr>
              <w:t>Promoting Structural Reform</w:t>
            </w:r>
          </w:p>
        </w:tc>
        <w:tc>
          <w:tcPr>
            <w:tcW w:w="4246" w:type="dxa"/>
            <w:shd w:val="clear" w:color="auto" w:fill="000000" w:themeFill="text1"/>
          </w:tcPr>
          <w:p w:rsidR="00D36556" w:rsidRPr="00C77EF1" w:rsidRDefault="00D36556" w:rsidP="00687927">
            <w:pPr>
              <w:jc w:val="left"/>
              <w:rPr>
                <w:rFonts w:cs="Arial"/>
                <w:color w:val="FFFFFF" w:themeColor="background1"/>
                <w:sz w:val="20"/>
                <w:szCs w:val="22"/>
              </w:rPr>
            </w:pPr>
          </w:p>
        </w:tc>
        <w:tc>
          <w:tcPr>
            <w:tcW w:w="4188" w:type="dxa"/>
            <w:shd w:val="clear" w:color="auto" w:fill="000000" w:themeFill="text1"/>
          </w:tcPr>
          <w:p w:rsidR="00D36556" w:rsidRPr="00C77EF1" w:rsidRDefault="00D36556" w:rsidP="00687927">
            <w:pPr>
              <w:jc w:val="left"/>
              <w:rPr>
                <w:rFonts w:cs="Arial"/>
                <w:color w:val="FFFFFF" w:themeColor="background1"/>
                <w:sz w:val="20"/>
                <w:szCs w:val="22"/>
              </w:rPr>
            </w:pPr>
          </w:p>
        </w:tc>
      </w:tr>
      <w:tr w:rsidR="00D36556" w:rsidRPr="00C77EF1" w:rsidTr="004A1C05">
        <w:trPr>
          <w:trHeight w:val="181"/>
        </w:trPr>
        <w:tc>
          <w:tcPr>
            <w:tcW w:w="4517" w:type="dxa"/>
            <w:shd w:val="clear" w:color="auto" w:fill="D9D9D9" w:themeFill="background1" w:themeFillShade="D9"/>
          </w:tcPr>
          <w:p w:rsidR="00D36556" w:rsidRPr="00C77EF1" w:rsidRDefault="00D36556" w:rsidP="00687927">
            <w:pPr>
              <w:jc w:val="left"/>
              <w:rPr>
                <w:rFonts w:cs="Arial"/>
                <w:b/>
                <w:sz w:val="20"/>
                <w:szCs w:val="22"/>
              </w:rPr>
            </w:pPr>
            <w:r w:rsidRPr="00C77EF1">
              <w:rPr>
                <w:rFonts w:cs="Arial"/>
                <w:b/>
                <w:sz w:val="20"/>
                <w:szCs w:val="22"/>
              </w:rPr>
              <w:t>Energy Sector</w:t>
            </w:r>
          </w:p>
        </w:tc>
        <w:tc>
          <w:tcPr>
            <w:tcW w:w="4246" w:type="dxa"/>
            <w:shd w:val="clear" w:color="auto" w:fill="D9D9D9" w:themeFill="background1" w:themeFillShade="D9"/>
          </w:tcPr>
          <w:p w:rsidR="00D36556" w:rsidRPr="00C77EF1" w:rsidRDefault="00D36556" w:rsidP="00687927">
            <w:pPr>
              <w:jc w:val="left"/>
              <w:rPr>
                <w:rFonts w:cs="Arial"/>
                <w:sz w:val="20"/>
                <w:szCs w:val="22"/>
              </w:rPr>
            </w:pPr>
          </w:p>
        </w:tc>
        <w:tc>
          <w:tcPr>
            <w:tcW w:w="4188" w:type="dxa"/>
            <w:shd w:val="clear" w:color="auto" w:fill="D9D9D9" w:themeFill="background1" w:themeFillShade="D9"/>
          </w:tcPr>
          <w:p w:rsidR="00D36556" w:rsidRPr="00C77EF1" w:rsidRDefault="00D36556" w:rsidP="00687927">
            <w:pPr>
              <w:jc w:val="left"/>
              <w:rPr>
                <w:rFonts w:cs="Arial"/>
                <w:sz w:val="20"/>
                <w:szCs w:val="22"/>
              </w:rPr>
            </w:pPr>
          </w:p>
        </w:tc>
      </w:tr>
      <w:tr w:rsidR="00D36556" w:rsidRPr="00C77EF1" w:rsidTr="004A1C05">
        <w:trPr>
          <w:trHeight w:val="181"/>
        </w:trPr>
        <w:tc>
          <w:tcPr>
            <w:tcW w:w="4517" w:type="dxa"/>
            <w:shd w:val="clear" w:color="auto" w:fill="auto"/>
          </w:tcPr>
          <w:p w:rsidR="00D36556" w:rsidRPr="00CF7BFB" w:rsidRDefault="00D36556" w:rsidP="00687927">
            <w:pPr>
              <w:jc w:val="left"/>
              <w:rPr>
                <w:rFonts w:cs="Arial"/>
                <w:bCs/>
                <w:sz w:val="20"/>
                <w:szCs w:val="22"/>
              </w:rPr>
            </w:pPr>
            <w:r w:rsidRPr="00CF7BFB">
              <w:rPr>
                <w:rFonts w:cs="Arial"/>
                <w:bCs/>
                <w:sz w:val="20"/>
                <w:szCs w:val="22"/>
              </w:rPr>
              <w:t>Reduction in energy network loss (12% by September 2013 from baseline 14.8%) (EU)</w:t>
            </w:r>
          </w:p>
          <w:p w:rsidR="00D36556" w:rsidRPr="00C77EF1" w:rsidRDefault="00D36556" w:rsidP="00687927">
            <w:pPr>
              <w:ind w:left="450" w:hanging="360"/>
              <w:jc w:val="left"/>
              <w:rPr>
                <w:rFonts w:cs="Arial"/>
                <w:bCs/>
                <w:sz w:val="20"/>
                <w:szCs w:val="22"/>
              </w:rPr>
            </w:pPr>
          </w:p>
          <w:p w:rsidR="00D36556" w:rsidRPr="00CF7BFB" w:rsidRDefault="00D36556" w:rsidP="00687927">
            <w:pPr>
              <w:jc w:val="left"/>
              <w:rPr>
                <w:rFonts w:cs="Arial"/>
                <w:bCs/>
                <w:sz w:val="20"/>
                <w:szCs w:val="22"/>
              </w:rPr>
            </w:pPr>
            <w:r w:rsidRPr="00CF7BFB">
              <w:rPr>
                <w:rFonts w:cs="Arial"/>
                <w:bCs/>
                <w:sz w:val="20"/>
                <w:szCs w:val="22"/>
              </w:rPr>
              <w:t>Achievement of specified renewable energy generation targets (4% of total energy supplied to the grid by June 2013 from baseline of 0%). (EU)</w:t>
            </w:r>
          </w:p>
          <w:p w:rsidR="00D36556" w:rsidRPr="00C77EF1" w:rsidRDefault="00D36556" w:rsidP="00687927">
            <w:pPr>
              <w:jc w:val="left"/>
              <w:rPr>
                <w:rFonts w:cs="Arial"/>
                <w:bCs/>
                <w:sz w:val="20"/>
                <w:szCs w:val="22"/>
              </w:rPr>
            </w:pPr>
          </w:p>
        </w:tc>
        <w:tc>
          <w:tcPr>
            <w:tcW w:w="4246" w:type="dxa"/>
            <w:shd w:val="clear" w:color="auto" w:fill="auto"/>
          </w:tcPr>
          <w:p w:rsidR="00D36556" w:rsidRPr="00CF7BFB" w:rsidRDefault="00D36556" w:rsidP="00687927">
            <w:pPr>
              <w:jc w:val="left"/>
              <w:rPr>
                <w:rFonts w:cs="Arial"/>
                <w:bCs/>
                <w:sz w:val="20"/>
                <w:szCs w:val="22"/>
              </w:rPr>
            </w:pPr>
            <w:r w:rsidRPr="00CF7BFB">
              <w:rPr>
                <w:rFonts w:cs="Arial"/>
                <w:bCs/>
                <w:sz w:val="20"/>
                <w:szCs w:val="22"/>
              </w:rPr>
              <w:t>Electricity tariffs will be adjusted to introduce a lifeline tariff and improve incentives for efficient generation, as recommended by the recently completed tariff review. (ADB, WB &amp; AusAID)</w:t>
            </w:r>
          </w:p>
          <w:p w:rsidR="00D36556" w:rsidRPr="00C77EF1" w:rsidRDefault="00D36556" w:rsidP="00687927">
            <w:pPr>
              <w:ind w:left="342" w:hanging="270"/>
              <w:jc w:val="left"/>
              <w:rPr>
                <w:rFonts w:cs="Arial"/>
                <w:bCs/>
                <w:sz w:val="20"/>
                <w:szCs w:val="22"/>
              </w:rPr>
            </w:pPr>
          </w:p>
          <w:p w:rsidR="00D36556" w:rsidRPr="00CF7BFB" w:rsidRDefault="00D36556" w:rsidP="00687927">
            <w:pPr>
              <w:jc w:val="left"/>
              <w:rPr>
                <w:rFonts w:cs="Arial"/>
                <w:bCs/>
                <w:sz w:val="20"/>
                <w:szCs w:val="22"/>
              </w:rPr>
            </w:pPr>
            <w:r w:rsidRPr="00CF7BFB">
              <w:rPr>
                <w:rFonts w:cs="Arial"/>
                <w:bCs/>
                <w:sz w:val="20"/>
                <w:szCs w:val="22"/>
              </w:rPr>
              <w:t>Reduction in energy network loss (11% by September 2014 from baseline 14.8%) (EU)</w:t>
            </w:r>
          </w:p>
          <w:p w:rsidR="00D36556" w:rsidRPr="00C77EF1" w:rsidRDefault="00D36556" w:rsidP="00687927">
            <w:pPr>
              <w:ind w:left="342" w:hanging="270"/>
              <w:jc w:val="left"/>
              <w:rPr>
                <w:rFonts w:cs="Arial"/>
                <w:bCs/>
                <w:sz w:val="20"/>
                <w:szCs w:val="22"/>
              </w:rPr>
            </w:pPr>
          </w:p>
          <w:p w:rsidR="00D36556" w:rsidRPr="00CF7BFB" w:rsidRDefault="00D36556" w:rsidP="00687927">
            <w:pPr>
              <w:jc w:val="left"/>
              <w:rPr>
                <w:rFonts w:cs="Arial"/>
                <w:bCs/>
                <w:sz w:val="20"/>
                <w:szCs w:val="22"/>
              </w:rPr>
            </w:pPr>
            <w:r w:rsidRPr="00CF7BFB">
              <w:rPr>
                <w:rFonts w:cs="Arial"/>
                <w:bCs/>
                <w:sz w:val="20"/>
                <w:szCs w:val="22"/>
              </w:rPr>
              <w:t>Achievement of specified renewable energy generation targets (14.5% of total energy supplied to the grid by June 2014 from baseline of 0%). (EU)</w:t>
            </w:r>
          </w:p>
          <w:p w:rsidR="00D36556" w:rsidRPr="00C77EF1" w:rsidRDefault="00D36556" w:rsidP="00687927">
            <w:pPr>
              <w:jc w:val="left"/>
              <w:rPr>
                <w:rFonts w:cs="Arial"/>
                <w:bCs/>
                <w:sz w:val="20"/>
                <w:szCs w:val="22"/>
              </w:rPr>
            </w:pPr>
          </w:p>
        </w:tc>
        <w:tc>
          <w:tcPr>
            <w:tcW w:w="4188" w:type="dxa"/>
          </w:tcPr>
          <w:p w:rsidR="00D36556" w:rsidRPr="0020079E" w:rsidRDefault="00D36556" w:rsidP="00687927">
            <w:pPr>
              <w:jc w:val="left"/>
              <w:rPr>
                <w:rFonts w:cs="Arial"/>
                <w:bCs/>
                <w:i/>
                <w:sz w:val="20"/>
                <w:szCs w:val="22"/>
              </w:rPr>
            </w:pPr>
            <w:r w:rsidRPr="0020079E">
              <w:rPr>
                <w:rFonts w:cs="Arial"/>
                <w:bCs/>
                <w:i/>
                <w:sz w:val="20"/>
                <w:szCs w:val="22"/>
              </w:rPr>
              <w:t>Further progress towards private participation in the management of storage assets.</w:t>
            </w:r>
          </w:p>
          <w:p w:rsidR="00D36556" w:rsidRPr="0020079E" w:rsidRDefault="00D36556" w:rsidP="00687927">
            <w:pPr>
              <w:jc w:val="left"/>
              <w:rPr>
                <w:rFonts w:cs="Arial"/>
                <w:bCs/>
                <w:i/>
                <w:sz w:val="20"/>
                <w:szCs w:val="22"/>
              </w:rPr>
            </w:pPr>
          </w:p>
          <w:p w:rsidR="00D36556" w:rsidRDefault="00D36556" w:rsidP="00687927">
            <w:pPr>
              <w:jc w:val="left"/>
              <w:rPr>
                <w:rFonts w:cs="Arial"/>
                <w:bCs/>
                <w:i/>
                <w:sz w:val="20"/>
                <w:szCs w:val="22"/>
              </w:rPr>
            </w:pPr>
            <w:r w:rsidRPr="0020079E">
              <w:rPr>
                <w:rFonts w:cs="Arial"/>
                <w:bCs/>
                <w:i/>
                <w:sz w:val="20"/>
                <w:szCs w:val="22"/>
              </w:rPr>
              <w:t>Further improvements in petroleum sector regulation, ensuring a closer alignment between retail prices and the costs of supply.</w:t>
            </w:r>
          </w:p>
          <w:p w:rsidR="00D36556" w:rsidRDefault="00D36556" w:rsidP="00687927">
            <w:pPr>
              <w:jc w:val="left"/>
              <w:rPr>
                <w:rFonts w:cs="Arial"/>
                <w:bCs/>
                <w:i/>
                <w:sz w:val="20"/>
                <w:szCs w:val="22"/>
              </w:rPr>
            </w:pPr>
          </w:p>
          <w:p w:rsidR="00D36556" w:rsidRDefault="00D36556" w:rsidP="00687927">
            <w:pPr>
              <w:jc w:val="left"/>
              <w:rPr>
                <w:rFonts w:cs="Arial"/>
                <w:bCs/>
                <w:i/>
                <w:sz w:val="20"/>
                <w:szCs w:val="22"/>
              </w:rPr>
            </w:pPr>
          </w:p>
          <w:p w:rsidR="00D36556" w:rsidRDefault="00D36556" w:rsidP="00687927">
            <w:pPr>
              <w:jc w:val="left"/>
              <w:rPr>
                <w:rFonts w:cs="Arial"/>
                <w:bCs/>
                <w:i/>
                <w:sz w:val="20"/>
                <w:szCs w:val="22"/>
              </w:rPr>
            </w:pPr>
          </w:p>
          <w:p w:rsidR="00D36556" w:rsidRDefault="00D36556" w:rsidP="00687927">
            <w:pPr>
              <w:jc w:val="left"/>
              <w:rPr>
                <w:rFonts w:cs="Arial"/>
                <w:bCs/>
                <w:i/>
                <w:sz w:val="20"/>
                <w:szCs w:val="22"/>
              </w:rPr>
            </w:pPr>
          </w:p>
          <w:p w:rsidR="00D36556" w:rsidRPr="0020079E" w:rsidRDefault="00D36556" w:rsidP="00687927">
            <w:pPr>
              <w:jc w:val="left"/>
              <w:rPr>
                <w:rFonts w:cs="Arial"/>
                <w:bCs/>
                <w:sz w:val="20"/>
                <w:szCs w:val="22"/>
              </w:rPr>
            </w:pPr>
          </w:p>
        </w:tc>
      </w:tr>
      <w:tr w:rsidR="00D36556" w:rsidRPr="00C77EF1" w:rsidTr="004A1C05">
        <w:trPr>
          <w:trHeight w:val="181"/>
        </w:trPr>
        <w:tc>
          <w:tcPr>
            <w:tcW w:w="8763" w:type="dxa"/>
            <w:gridSpan w:val="2"/>
            <w:shd w:val="clear" w:color="auto" w:fill="D9D9D9" w:themeFill="background1" w:themeFillShade="D9"/>
          </w:tcPr>
          <w:p w:rsidR="00D36556" w:rsidRPr="00C77EF1" w:rsidRDefault="00D36556" w:rsidP="00687927">
            <w:pPr>
              <w:jc w:val="left"/>
              <w:rPr>
                <w:rFonts w:cs="Arial"/>
                <w:b/>
                <w:bCs/>
                <w:sz w:val="20"/>
                <w:szCs w:val="22"/>
              </w:rPr>
            </w:pPr>
            <w:r w:rsidRPr="00C77EF1">
              <w:rPr>
                <w:rFonts w:cs="Arial"/>
                <w:b/>
                <w:bCs/>
                <w:sz w:val="20"/>
                <w:szCs w:val="22"/>
              </w:rPr>
              <w:t xml:space="preserve">SOE Reform </w:t>
            </w:r>
          </w:p>
        </w:tc>
        <w:tc>
          <w:tcPr>
            <w:tcW w:w="4188" w:type="dxa"/>
            <w:shd w:val="clear" w:color="auto" w:fill="D9D9D9" w:themeFill="background1" w:themeFillShade="D9"/>
          </w:tcPr>
          <w:p w:rsidR="00D36556" w:rsidRPr="00C77EF1" w:rsidRDefault="00D36556" w:rsidP="00687927">
            <w:pPr>
              <w:jc w:val="left"/>
              <w:rPr>
                <w:rFonts w:cs="Arial"/>
                <w:b/>
                <w:bCs/>
                <w:sz w:val="20"/>
                <w:szCs w:val="22"/>
              </w:rPr>
            </w:pPr>
          </w:p>
        </w:tc>
      </w:tr>
      <w:tr w:rsidR="00D36556" w:rsidRPr="00C77EF1" w:rsidTr="004A1C05">
        <w:trPr>
          <w:trHeight w:val="800"/>
        </w:trPr>
        <w:tc>
          <w:tcPr>
            <w:tcW w:w="4517" w:type="dxa"/>
            <w:shd w:val="clear" w:color="auto" w:fill="auto"/>
          </w:tcPr>
          <w:p w:rsidR="00D36556" w:rsidRPr="0020079E" w:rsidRDefault="00D36556" w:rsidP="00687927">
            <w:pPr>
              <w:jc w:val="left"/>
              <w:rPr>
                <w:rFonts w:cs="Arial"/>
                <w:bCs/>
                <w:sz w:val="20"/>
                <w:szCs w:val="22"/>
              </w:rPr>
            </w:pPr>
            <w:r w:rsidRPr="0020079E">
              <w:rPr>
                <w:rFonts w:cs="Arial"/>
                <w:bCs/>
                <w:sz w:val="20"/>
                <w:szCs w:val="22"/>
              </w:rPr>
              <w:t>Government will develop a policy framework, complete due diligence processes, and issue Requests for Proposals for private participation in operation of the International Dateline Hotel, on a management or lease contract basis. (ADB, WB &amp; AusAID)</w:t>
            </w:r>
          </w:p>
          <w:p w:rsidR="00D36556" w:rsidRPr="00C77EF1" w:rsidRDefault="00D36556" w:rsidP="00687927">
            <w:pPr>
              <w:ind w:left="450" w:hanging="360"/>
              <w:jc w:val="left"/>
              <w:rPr>
                <w:rFonts w:cs="Arial"/>
                <w:bCs/>
                <w:sz w:val="20"/>
                <w:szCs w:val="22"/>
              </w:rPr>
            </w:pPr>
          </w:p>
          <w:p w:rsidR="00D36556" w:rsidRDefault="00D36556" w:rsidP="00687927">
            <w:pPr>
              <w:jc w:val="left"/>
              <w:rPr>
                <w:rFonts w:cs="Arial"/>
                <w:bCs/>
                <w:sz w:val="20"/>
                <w:szCs w:val="22"/>
              </w:rPr>
            </w:pPr>
            <w:r w:rsidRPr="0020079E">
              <w:rPr>
                <w:rFonts w:cs="Arial"/>
                <w:bCs/>
                <w:sz w:val="20"/>
                <w:szCs w:val="22"/>
              </w:rPr>
              <w:t>Cabinet will approve a plan enabling TCC to operate as a successful business as defined in the Public Enterprise Act, through restructuring and/or full or partial privatization.</w:t>
            </w:r>
            <w:r>
              <w:rPr>
                <w:rFonts w:cs="Arial"/>
                <w:bCs/>
                <w:sz w:val="20"/>
                <w:szCs w:val="22"/>
              </w:rPr>
              <w:t xml:space="preserve"> (ADB, WB &amp; AusAID</w:t>
            </w:r>
            <w:r w:rsidRPr="0020079E">
              <w:rPr>
                <w:rFonts w:cs="Arial"/>
                <w:bCs/>
                <w:sz w:val="20"/>
                <w:szCs w:val="22"/>
              </w:rPr>
              <w:t>)</w:t>
            </w:r>
          </w:p>
          <w:p w:rsidR="00D36556" w:rsidRPr="0020079E" w:rsidRDefault="00D36556" w:rsidP="00687927">
            <w:pPr>
              <w:jc w:val="left"/>
              <w:rPr>
                <w:rFonts w:cs="Arial"/>
                <w:bCs/>
                <w:sz w:val="20"/>
                <w:szCs w:val="22"/>
              </w:rPr>
            </w:pPr>
          </w:p>
          <w:p w:rsidR="00D36556" w:rsidRPr="0020079E" w:rsidRDefault="00D36556" w:rsidP="00687927">
            <w:pPr>
              <w:jc w:val="left"/>
              <w:rPr>
                <w:rFonts w:cs="Arial"/>
                <w:bCs/>
                <w:sz w:val="20"/>
                <w:szCs w:val="22"/>
              </w:rPr>
            </w:pPr>
            <w:r w:rsidRPr="0020079E">
              <w:rPr>
                <w:rFonts w:cs="Arial"/>
                <w:bCs/>
                <w:sz w:val="20"/>
                <w:szCs w:val="22"/>
              </w:rPr>
              <w:t>Liquidation of Tonga Investments Limited and sale of Home Gas Retail operations is completed. (ADB)</w:t>
            </w:r>
          </w:p>
          <w:p w:rsidR="00D36556" w:rsidRPr="00C77EF1" w:rsidRDefault="00D36556" w:rsidP="00687927">
            <w:pPr>
              <w:ind w:left="450" w:hanging="360"/>
              <w:jc w:val="left"/>
              <w:rPr>
                <w:rFonts w:cs="Arial"/>
                <w:bCs/>
                <w:sz w:val="20"/>
                <w:szCs w:val="22"/>
              </w:rPr>
            </w:pPr>
          </w:p>
          <w:p w:rsidR="00D36556" w:rsidRPr="0020079E" w:rsidRDefault="00D36556" w:rsidP="00687927">
            <w:pPr>
              <w:jc w:val="left"/>
              <w:rPr>
                <w:rFonts w:cs="Arial"/>
                <w:bCs/>
                <w:sz w:val="20"/>
                <w:szCs w:val="22"/>
              </w:rPr>
            </w:pPr>
            <w:r w:rsidRPr="0020079E">
              <w:rPr>
                <w:rFonts w:cs="Arial"/>
                <w:bCs/>
                <w:sz w:val="20"/>
                <w:szCs w:val="22"/>
              </w:rPr>
              <w:t>Liquidate Tonga Print or merge part of its business activities (and relevant assets) with Tonga Post, whichever will achieve the greatest financial value for the shareholder and is consistent with the requirements of the Public Enterprises Act. (ADB)</w:t>
            </w:r>
          </w:p>
          <w:p w:rsidR="00D36556" w:rsidRPr="00C77EF1" w:rsidRDefault="00D36556" w:rsidP="00687927">
            <w:pPr>
              <w:ind w:left="450" w:hanging="360"/>
              <w:jc w:val="left"/>
              <w:rPr>
                <w:rFonts w:cs="Arial"/>
                <w:bCs/>
                <w:sz w:val="20"/>
                <w:szCs w:val="22"/>
              </w:rPr>
            </w:pPr>
          </w:p>
          <w:p w:rsidR="00D36556" w:rsidRPr="0020079E" w:rsidRDefault="00D36556" w:rsidP="00687927">
            <w:pPr>
              <w:jc w:val="left"/>
              <w:rPr>
                <w:rFonts w:cs="Arial"/>
                <w:bCs/>
                <w:sz w:val="20"/>
                <w:szCs w:val="22"/>
              </w:rPr>
            </w:pPr>
            <w:r w:rsidRPr="0020079E">
              <w:rPr>
                <w:rFonts w:cs="Arial"/>
                <w:bCs/>
                <w:sz w:val="20"/>
                <w:szCs w:val="22"/>
              </w:rPr>
              <w:t>Progress towards full compliance with the Public Enterprises (PE) Act, including:</w:t>
            </w:r>
          </w:p>
          <w:p w:rsidR="00D36556" w:rsidRPr="009F3471" w:rsidRDefault="00D36556" w:rsidP="00A11CCA">
            <w:pPr>
              <w:pStyle w:val="ListParagraph"/>
              <w:numPr>
                <w:ilvl w:val="0"/>
                <w:numId w:val="24"/>
              </w:numPr>
              <w:spacing w:after="0" w:line="240" w:lineRule="auto"/>
              <w:ind w:left="450" w:hanging="450"/>
              <w:rPr>
                <w:rFonts w:ascii="Arial" w:hAnsi="Arial" w:cs="Arial"/>
                <w:bCs/>
                <w:sz w:val="18"/>
              </w:rPr>
            </w:pPr>
            <w:r w:rsidRPr="009F3471">
              <w:rPr>
                <w:rFonts w:ascii="Arial" w:hAnsi="Arial" w:cs="Arial"/>
                <w:bCs/>
                <w:sz w:val="18"/>
              </w:rPr>
              <w:t xml:space="preserve">Cabinet approves a SOE director skills based selection and appointment process consistent with the requirements of the PE Act; </w:t>
            </w:r>
          </w:p>
          <w:p w:rsidR="00D36556" w:rsidRPr="009F3471" w:rsidRDefault="00D36556" w:rsidP="00A11CCA">
            <w:pPr>
              <w:pStyle w:val="ListParagraph"/>
              <w:numPr>
                <w:ilvl w:val="0"/>
                <w:numId w:val="24"/>
              </w:numPr>
              <w:spacing w:after="0" w:line="240" w:lineRule="auto"/>
              <w:ind w:left="450" w:hanging="450"/>
              <w:rPr>
                <w:rFonts w:ascii="Arial" w:hAnsi="Arial" w:cs="Arial"/>
                <w:bCs/>
                <w:sz w:val="18"/>
              </w:rPr>
            </w:pPr>
            <w:r w:rsidRPr="009F3471">
              <w:rPr>
                <w:rFonts w:ascii="Arial" w:hAnsi="Arial" w:cs="Arial"/>
                <w:bCs/>
                <w:sz w:val="18"/>
              </w:rPr>
              <w:t xml:space="preserve">100% of PEs and Cabinet comply with the Government Policy Obligation provisions in the PE Act; </w:t>
            </w:r>
          </w:p>
          <w:p w:rsidR="00D36556" w:rsidRPr="009F3471" w:rsidRDefault="00D36556" w:rsidP="00A11CCA">
            <w:pPr>
              <w:pStyle w:val="ListParagraph"/>
              <w:numPr>
                <w:ilvl w:val="0"/>
                <w:numId w:val="24"/>
              </w:numPr>
              <w:spacing w:after="0" w:line="240" w:lineRule="auto"/>
              <w:ind w:left="450" w:hanging="450"/>
              <w:rPr>
                <w:rFonts w:ascii="Arial" w:hAnsi="Arial" w:cs="Arial"/>
                <w:bCs/>
                <w:sz w:val="18"/>
              </w:rPr>
            </w:pPr>
            <w:r w:rsidRPr="009F3471">
              <w:rPr>
                <w:rFonts w:ascii="Arial" w:hAnsi="Arial" w:cs="Arial"/>
                <w:bCs/>
                <w:sz w:val="18"/>
              </w:rPr>
              <w:t>60% of SOEs have audited annual accounts for the financial year to June 2012 (or December 2012 as appropriate) complete and have published summary results in newspapers as required by the PE Act.  (ADB)</w:t>
            </w:r>
          </w:p>
          <w:p w:rsidR="00D36556" w:rsidRPr="00665478" w:rsidRDefault="00D36556" w:rsidP="00687927">
            <w:pPr>
              <w:pStyle w:val="ListParagraph"/>
              <w:ind w:left="1080"/>
              <w:rPr>
                <w:rFonts w:ascii="Arial" w:hAnsi="Arial" w:cs="Arial"/>
                <w:bCs/>
                <w:sz w:val="20"/>
              </w:rPr>
            </w:pPr>
          </w:p>
        </w:tc>
        <w:tc>
          <w:tcPr>
            <w:tcW w:w="4246" w:type="dxa"/>
            <w:shd w:val="clear" w:color="auto" w:fill="auto"/>
          </w:tcPr>
          <w:p w:rsidR="00D36556" w:rsidRPr="0020079E" w:rsidRDefault="00D36556" w:rsidP="00687927">
            <w:pPr>
              <w:jc w:val="left"/>
              <w:rPr>
                <w:rFonts w:cs="Arial"/>
                <w:sz w:val="20"/>
                <w:szCs w:val="22"/>
              </w:rPr>
            </w:pPr>
            <w:r w:rsidRPr="0020079E">
              <w:rPr>
                <w:rFonts w:cs="Arial"/>
                <w:sz w:val="20"/>
                <w:szCs w:val="22"/>
              </w:rPr>
              <w:t>Transaction for private participation in the operation of the International Dateline Hotel will be complete. (ADB, WB &amp; AusAID)</w:t>
            </w:r>
          </w:p>
          <w:p w:rsidR="00D36556" w:rsidRPr="00C77EF1" w:rsidRDefault="00D36556" w:rsidP="00687927">
            <w:pPr>
              <w:ind w:left="432" w:hanging="360"/>
              <w:jc w:val="left"/>
              <w:rPr>
                <w:rFonts w:cs="Arial"/>
                <w:sz w:val="20"/>
                <w:szCs w:val="22"/>
              </w:rPr>
            </w:pPr>
          </w:p>
          <w:p w:rsidR="00D36556" w:rsidRPr="0020079E" w:rsidRDefault="00D36556" w:rsidP="00687927">
            <w:pPr>
              <w:jc w:val="left"/>
              <w:rPr>
                <w:rFonts w:cs="Arial"/>
                <w:sz w:val="20"/>
                <w:szCs w:val="22"/>
              </w:rPr>
            </w:pPr>
            <w:r w:rsidRPr="0020079E">
              <w:rPr>
                <w:rFonts w:cs="Arial"/>
                <w:sz w:val="20"/>
                <w:szCs w:val="22"/>
              </w:rPr>
              <w:t>Cabinet approve a restructuring plan for Waste Authority Limited and Tonga Water Board for either partial privatization, liquidation or operational s</w:t>
            </w:r>
            <w:r w:rsidR="00687927">
              <w:rPr>
                <w:rFonts w:cs="Arial"/>
                <w:sz w:val="20"/>
                <w:szCs w:val="22"/>
              </w:rPr>
              <w:t>eparation of regulatory and non-</w:t>
            </w:r>
            <w:r w:rsidRPr="0020079E">
              <w:rPr>
                <w:rFonts w:cs="Arial"/>
                <w:sz w:val="20"/>
                <w:szCs w:val="22"/>
              </w:rPr>
              <w:t>regulatory responsibilities. (ADB)</w:t>
            </w:r>
          </w:p>
          <w:p w:rsidR="00D36556" w:rsidRPr="00C77EF1" w:rsidRDefault="00D36556" w:rsidP="00687927">
            <w:pPr>
              <w:ind w:left="432" w:hanging="360"/>
              <w:jc w:val="left"/>
              <w:rPr>
                <w:rFonts w:cs="Arial"/>
                <w:sz w:val="20"/>
                <w:szCs w:val="22"/>
              </w:rPr>
            </w:pPr>
          </w:p>
          <w:p w:rsidR="00D36556" w:rsidRPr="0020079E" w:rsidRDefault="00D36556" w:rsidP="00687927">
            <w:pPr>
              <w:jc w:val="left"/>
              <w:rPr>
                <w:rFonts w:cs="Arial"/>
                <w:sz w:val="20"/>
                <w:szCs w:val="22"/>
              </w:rPr>
            </w:pPr>
            <w:r w:rsidRPr="0020079E">
              <w:rPr>
                <w:rFonts w:cs="Arial"/>
                <w:sz w:val="20"/>
                <w:szCs w:val="22"/>
              </w:rPr>
              <w:t>Implementation of the TCC restructuring plan commenced. (ADB)</w:t>
            </w:r>
          </w:p>
          <w:p w:rsidR="00D36556" w:rsidRPr="00C77EF1" w:rsidRDefault="00D36556" w:rsidP="00687927">
            <w:pPr>
              <w:ind w:left="432" w:hanging="360"/>
              <w:jc w:val="left"/>
              <w:rPr>
                <w:rFonts w:cs="Arial"/>
                <w:sz w:val="20"/>
                <w:szCs w:val="22"/>
              </w:rPr>
            </w:pPr>
          </w:p>
          <w:p w:rsidR="00D36556" w:rsidRPr="0020079E" w:rsidRDefault="00D36556" w:rsidP="00687927">
            <w:pPr>
              <w:jc w:val="left"/>
              <w:rPr>
                <w:rFonts w:cs="Arial"/>
                <w:sz w:val="20"/>
                <w:szCs w:val="22"/>
              </w:rPr>
            </w:pPr>
            <w:r w:rsidRPr="0020079E">
              <w:rPr>
                <w:rFonts w:cs="Arial"/>
                <w:sz w:val="20"/>
                <w:szCs w:val="22"/>
              </w:rPr>
              <w:t>Tonga Communications, Tonga Power Limited, Tonga Development Bank and Ports Authority Limited achieve their target ROE.</w:t>
            </w:r>
            <w:r w:rsidRPr="00C77EF1">
              <w:rPr>
                <w:rStyle w:val="FootnoteReference"/>
                <w:rFonts w:cs="Arial"/>
                <w:sz w:val="20"/>
                <w:szCs w:val="22"/>
              </w:rPr>
              <w:footnoteReference w:id="8"/>
            </w:r>
            <w:r w:rsidRPr="0020079E">
              <w:rPr>
                <w:rFonts w:cs="Arial"/>
                <w:sz w:val="20"/>
                <w:szCs w:val="22"/>
              </w:rPr>
              <w:t xml:space="preserve"> (ADB)</w:t>
            </w:r>
          </w:p>
          <w:p w:rsidR="00D36556" w:rsidRPr="00C77EF1" w:rsidRDefault="00D36556" w:rsidP="00687927">
            <w:pPr>
              <w:ind w:left="432" w:hanging="360"/>
              <w:jc w:val="left"/>
              <w:rPr>
                <w:rFonts w:cs="Arial"/>
                <w:sz w:val="20"/>
                <w:szCs w:val="22"/>
              </w:rPr>
            </w:pPr>
          </w:p>
          <w:p w:rsidR="00D36556" w:rsidRPr="0020079E" w:rsidRDefault="00D36556" w:rsidP="00687927">
            <w:pPr>
              <w:jc w:val="left"/>
              <w:rPr>
                <w:rFonts w:cs="Arial"/>
                <w:sz w:val="20"/>
                <w:szCs w:val="22"/>
              </w:rPr>
            </w:pPr>
            <w:r w:rsidRPr="0020079E">
              <w:rPr>
                <w:rFonts w:cs="Arial"/>
                <w:sz w:val="20"/>
                <w:szCs w:val="22"/>
              </w:rPr>
              <w:t>Full compliance with the Public Enterprises (PE) Act, including:</w:t>
            </w:r>
          </w:p>
          <w:p w:rsidR="00D36556" w:rsidRDefault="00D36556" w:rsidP="00A11CCA">
            <w:pPr>
              <w:pStyle w:val="ListParagraph"/>
              <w:numPr>
                <w:ilvl w:val="0"/>
                <w:numId w:val="25"/>
              </w:numPr>
              <w:spacing w:after="0" w:line="240" w:lineRule="auto"/>
              <w:rPr>
                <w:rFonts w:ascii="Arial" w:hAnsi="Arial" w:cs="Arial"/>
                <w:sz w:val="20"/>
              </w:rPr>
            </w:pPr>
            <w:r w:rsidRPr="00665478">
              <w:rPr>
                <w:rFonts w:ascii="Arial" w:hAnsi="Arial" w:cs="Arial"/>
                <w:sz w:val="20"/>
              </w:rPr>
              <w:t>Full compliance with the Cabinet approved skills based director selection and appointment process</w:t>
            </w:r>
          </w:p>
          <w:p w:rsidR="00D36556" w:rsidRPr="00665478" w:rsidRDefault="00D36556" w:rsidP="00A11CCA">
            <w:pPr>
              <w:pStyle w:val="ListParagraph"/>
              <w:numPr>
                <w:ilvl w:val="0"/>
                <w:numId w:val="25"/>
              </w:numPr>
              <w:spacing w:after="0" w:line="240" w:lineRule="auto"/>
              <w:rPr>
                <w:rFonts w:ascii="Arial" w:hAnsi="Arial" w:cs="Arial"/>
                <w:bCs/>
                <w:sz w:val="20"/>
              </w:rPr>
            </w:pPr>
            <w:r w:rsidRPr="00665478">
              <w:rPr>
                <w:rFonts w:ascii="Arial" w:hAnsi="Arial" w:cs="Arial"/>
                <w:sz w:val="20"/>
              </w:rPr>
              <w:t>100% of SOEs have completed the director performance process and questionnaire.</w:t>
            </w:r>
          </w:p>
          <w:p w:rsidR="00D36556" w:rsidRPr="00C77EF1" w:rsidRDefault="00D36556" w:rsidP="00A11CCA">
            <w:pPr>
              <w:pStyle w:val="ListParagraph"/>
              <w:numPr>
                <w:ilvl w:val="0"/>
                <w:numId w:val="25"/>
              </w:numPr>
              <w:spacing w:after="0" w:line="240" w:lineRule="auto"/>
              <w:rPr>
                <w:rFonts w:ascii="Arial" w:hAnsi="Arial" w:cs="Arial"/>
                <w:bCs/>
                <w:sz w:val="20"/>
              </w:rPr>
            </w:pPr>
            <w:r w:rsidRPr="00C77EF1">
              <w:rPr>
                <w:rFonts w:ascii="Arial" w:hAnsi="Arial" w:cs="Arial"/>
                <w:sz w:val="20"/>
              </w:rPr>
              <w:t xml:space="preserve">100% of SOEs have audited financial accounts for the financial year to June 2013 (or December 2013 as appropriate) complete and have published summary results in local </w:t>
            </w:r>
            <w:r>
              <w:rPr>
                <w:rFonts w:ascii="Arial" w:hAnsi="Arial" w:cs="Arial"/>
                <w:sz w:val="20"/>
              </w:rPr>
              <w:t>newspapers as required by the P</w:t>
            </w:r>
            <w:r w:rsidRPr="00C77EF1">
              <w:rPr>
                <w:rFonts w:ascii="Arial" w:hAnsi="Arial" w:cs="Arial"/>
                <w:sz w:val="20"/>
              </w:rPr>
              <w:t>E Act.</w:t>
            </w:r>
            <w:r>
              <w:rPr>
                <w:rFonts w:ascii="Arial" w:hAnsi="Arial" w:cs="Arial"/>
                <w:sz w:val="20"/>
              </w:rPr>
              <w:t xml:space="preserve"> (ADB)</w:t>
            </w:r>
          </w:p>
        </w:tc>
        <w:tc>
          <w:tcPr>
            <w:tcW w:w="4188" w:type="dxa"/>
          </w:tcPr>
          <w:p w:rsidR="00D36556" w:rsidRDefault="00D36556" w:rsidP="00687927">
            <w:pPr>
              <w:jc w:val="left"/>
              <w:rPr>
                <w:rFonts w:cs="Arial"/>
                <w:bCs/>
                <w:i/>
                <w:sz w:val="20"/>
                <w:szCs w:val="22"/>
              </w:rPr>
            </w:pPr>
            <w:r w:rsidRPr="0020079E">
              <w:rPr>
                <w:rFonts w:cs="Arial"/>
                <w:bCs/>
                <w:i/>
                <w:sz w:val="20"/>
                <w:szCs w:val="22"/>
              </w:rPr>
              <w:t>Full operational and accounting separation of the regulatory and operational responsibilities of Tonga Water Board and Waste Management Limited.</w:t>
            </w:r>
          </w:p>
          <w:p w:rsidR="00D36556" w:rsidRPr="0020079E" w:rsidRDefault="00D36556" w:rsidP="00687927">
            <w:pPr>
              <w:jc w:val="left"/>
              <w:rPr>
                <w:rFonts w:cs="Arial"/>
                <w:bCs/>
                <w:i/>
                <w:sz w:val="20"/>
                <w:szCs w:val="22"/>
              </w:rPr>
            </w:pPr>
          </w:p>
          <w:p w:rsidR="00D36556" w:rsidRPr="0020079E" w:rsidRDefault="00D36556" w:rsidP="00687927">
            <w:pPr>
              <w:jc w:val="left"/>
              <w:rPr>
                <w:rFonts w:cs="Arial"/>
                <w:bCs/>
                <w:i/>
                <w:sz w:val="20"/>
                <w:szCs w:val="22"/>
              </w:rPr>
            </w:pPr>
            <w:r w:rsidRPr="0020079E">
              <w:rPr>
                <w:rFonts w:cs="Arial"/>
                <w:bCs/>
                <w:i/>
                <w:sz w:val="20"/>
                <w:szCs w:val="22"/>
              </w:rPr>
              <w:t>SOE Holding Company established with a board and management in place and all SOEs transferred into the holding company.</w:t>
            </w:r>
          </w:p>
          <w:p w:rsidR="00D36556" w:rsidRPr="00C77EF1" w:rsidRDefault="00D36556" w:rsidP="00687927">
            <w:pPr>
              <w:jc w:val="left"/>
              <w:rPr>
                <w:rFonts w:cs="Arial"/>
                <w:bCs/>
                <w:sz w:val="20"/>
                <w:szCs w:val="22"/>
              </w:rPr>
            </w:pPr>
            <w:r w:rsidRPr="0020079E">
              <w:rPr>
                <w:rFonts w:cs="Arial"/>
                <w:bCs/>
                <w:i/>
                <w:sz w:val="20"/>
                <w:szCs w:val="22"/>
              </w:rPr>
              <w:t>Business Plan for the SOE Holding Company prepared in accordance with the requirements of the Public Enterprises Act and adopted by the Board.</w:t>
            </w:r>
          </w:p>
        </w:tc>
      </w:tr>
      <w:tr w:rsidR="00D36556" w:rsidRPr="00C77EF1" w:rsidTr="004A1C05">
        <w:trPr>
          <w:trHeight w:val="262"/>
        </w:trPr>
        <w:tc>
          <w:tcPr>
            <w:tcW w:w="8763" w:type="dxa"/>
            <w:gridSpan w:val="2"/>
            <w:shd w:val="clear" w:color="auto" w:fill="D9D9D9" w:themeFill="background1" w:themeFillShade="D9"/>
          </w:tcPr>
          <w:p w:rsidR="00D36556" w:rsidRPr="00665478" w:rsidRDefault="00D36556" w:rsidP="00687927">
            <w:pPr>
              <w:jc w:val="left"/>
              <w:rPr>
                <w:rFonts w:cs="Arial"/>
                <w:b/>
                <w:sz w:val="20"/>
                <w:szCs w:val="22"/>
              </w:rPr>
            </w:pPr>
            <w:r w:rsidRPr="00665478">
              <w:rPr>
                <w:rFonts w:cs="Arial"/>
                <w:b/>
                <w:sz w:val="20"/>
                <w:szCs w:val="22"/>
              </w:rPr>
              <w:t xml:space="preserve">Business Environment Reform </w:t>
            </w:r>
          </w:p>
        </w:tc>
        <w:tc>
          <w:tcPr>
            <w:tcW w:w="4188" w:type="dxa"/>
            <w:shd w:val="clear" w:color="auto" w:fill="D9D9D9" w:themeFill="background1" w:themeFillShade="D9"/>
          </w:tcPr>
          <w:p w:rsidR="00D36556" w:rsidRPr="00665478" w:rsidRDefault="00D36556" w:rsidP="00687927">
            <w:pPr>
              <w:jc w:val="left"/>
              <w:rPr>
                <w:rFonts w:cs="Arial"/>
                <w:b/>
                <w:sz w:val="20"/>
                <w:szCs w:val="22"/>
              </w:rPr>
            </w:pPr>
          </w:p>
        </w:tc>
      </w:tr>
      <w:tr w:rsidR="00D36556" w:rsidRPr="00C77EF1" w:rsidTr="004A1C05">
        <w:trPr>
          <w:trHeight w:val="1803"/>
        </w:trPr>
        <w:tc>
          <w:tcPr>
            <w:tcW w:w="4517" w:type="dxa"/>
            <w:shd w:val="clear" w:color="auto" w:fill="auto"/>
          </w:tcPr>
          <w:p w:rsidR="00D36556" w:rsidRPr="0020079E" w:rsidRDefault="00D36556" w:rsidP="00687927">
            <w:pPr>
              <w:jc w:val="left"/>
              <w:rPr>
                <w:rFonts w:cs="Arial"/>
                <w:sz w:val="20"/>
                <w:szCs w:val="22"/>
              </w:rPr>
            </w:pPr>
            <w:r w:rsidRPr="0020079E">
              <w:rPr>
                <w:rFonts w:cs="Arial"/>
                <w:sz w:val="20"/>
                <w:szCs w:val="22"/>
              </w:rPr>
              <w:t>Cabinet approves submission to Parliament of Receivership Bill revisions of the Business Names Act. (ADB, WB &amp; AusAID)</w:t>
            </w:r>
          </w:p>
          <w:p w:rsidR="00D36556" w:rsidRPr="00C77EF1" w:rsidRDefault="00D36556" w:rsidP="00687927">
            <w:pPr>
              <w:pStyle w:val="ListParagraph"/>
              <w:rPr>
                <w:rFonts w:ascii="Arial" w:hAnsi="Arial" w:cs="Arial"/>
                <w:sz w:val="20"/>
              </w:rPr>
            </w:pPr>
          </w:p>
          <w:p w:rsidR="00D36556" w:rsidRPr="00C77EF1" w:rsidRDefault="00D36556" w:rsidP="00687927">
            <w:pPr>
              <w:jc w:val="left"/>
              <w:rPr>
                <w:rFonts w:cs="Arial"/>
                <w:sz w:val="20"/>
                <w:szCs w:val="22"/>
              </w:rPr>
            </w:pPr>
          </w:p>
        </w:tc>
        <w:tc>
          <w:tcPr>
            <w:tcW w:w="4246" w:type="dxa"/>
            <w:shd w:val="clear" w:color="auto" w:fill="auto"/>
          </w:tcPr>
          <w:p w:rsidR="00D36556" w:rsidRPr="0020079E" w:rsidRDefault="00D36556" w:rsidP="00687927">
            <w:pPr>
              <w:jc w:val="left"/>
              <w:rPr>
                <w:rFonts w:cs="Arial"/>
                <w:sz w:val="20"/>
                <w:szCs w:val="22"/>
              </w:rPr>
            </w:pPr>
            <w:r w:rsidRPr="0020079E">
              <w:rPr>
                <w:rFonts w:cs="Arial"/>
                <w:sz w:val="20"/>
                <w:szCs w:val="22"/>
              </w:rPr>
              <w:t>Cabinet approves Competition Policy.(ADB)</w:t>
            </w:r>
          </w:p>
          <w:p w:rsidR="00D36556" w:rsidRPr="00C77EF1" w:rsidRDefault="00D36556" w:rsidP="00687927">
            <w:pPr>
              <w:jc w:val="left"/>
              <w:rPr>
                <w:rFonts w:cs="Arial"/>
                <w:sz w:val="20"/>
                <w:szCs w:val="22"/>
              </w:rPr>
            </w:pPr>
          </w:p>
          <w:p w:rsidR="00D36556" w:rsidRPr="0020079E" w:rsidRDefault="00D36556" w:rsidP="00687927">
            <w:pPr>
              <w:jc w:val="left"/>
              <w:rPr>
                <w:rFonts w:cs="Arial"/>
                <w:sz w:val="20"/>
                <w:szCs w:val="22"/>
              </w:rPr>
            </w:pPr>
            <w:r w:rsidRPr="0020079E">
              <w:rPr>
                <w:rFonts w:cs="Arial"/>
                <w:sz w:val="20"/>
                <w:szCs w:val="22"/>
              </w:rPr>
              <w:t>Cabinet approves submission of Bankruptcy Bill to the Legislative Assembly. (ADB)</w:t>
            </w:r>
          </w:p>
          <w:p w:rsidR="00D36556" w:rsidRPr="00C77EF1" w:rsidRDefault="00D36556" w:rsidP="00687927">
            <w:pPr>
              <w:ind w:left="432" w:hanging="360"/>
              <w:jc w:val="left"/>
              <w:rPr>
                <w:rFonts w:cs="Arial"/>
                <w:sz w:val="20"/>
                <w:szCs w:val="22"/>
              </w:rPr>
            </w:pPr>
          </w:p>
          <w:p w:rsidR="00D36556" w:rsidRPr="0020079E" w:rsidRDefault="00D36556" w:rsidP="00687927">
            <w:pPr>
              <w:jc w:val="left"/>
              <w:rPr>
                <w:rFonts w:cs="Arial"/>
                <w:sz w:val="20"/>
                <w:szCs w:val="22"/>
              </w:rPr>
            </w:pPr>
            <w:r w:rsidRPr="0020079E">
              <w:rPr>
                <w:rFonts w:cs="Arial"/>
                <w:sz w:val="20"/>
                <w:szCs w:val="22"/>
              </w:rPr>
              <w:t>Government will submit to Parliament revisions to enable foreign investment in the fisheries and agriculture sectors. (ADB, WB &amp; AusAID)</w:t>
            </w:r>
          </w:p>
        </w:tc>
        <w:tc>
          <w:tcPr>
            <w:tcW w:w="4188" w:type="dxa"/>
          </w:tcPr>
          <w:p w:rsidR="00D36556" w:rsidRPr="009F3471" w:rsidRDefault="00D36556" w:rsidP="00687927">
            <w:pPr>
              <w:jc w:val="left"/>
              <w:rPr>
                <w:rFonts w:cs="Arial"/>
                <w:i/>
                <w:sz w:val="20"/>
                <w:szCs w:val="22"/>
              </w:rPr>
            </w:pPr>
            <w:r w:rsidRPr="009F3471">
              <w:rPr>
                <w:rFonts w:cs="Arial"/>
                <w:i/>
                <w:sz w:val="20"/>
                <w:szCs w:val="22"/>
              </w:rPr>
              <w:t>Process improvements resulting in reduced time for the granting of business visas.</w:t>
            </w:r>
          </w:p>
          <w:p w:rsidR="00D36556" w:rsidRPr="009F3471" w:rsidRDefault="00D36556" w:rsidP="00687927">
            <w:pPr>
              <w:jc w:val="left"/>
              <w:rPr>
                <w:rFonts w:cs="Arial"/>
                <w:i/>
                <w:sz w:val="20"/>
                <w:szCs w:val="22"/>
              </w:rPr>
            </w:pPr>
          </w:p>
          <w:p w:rsidR="00D36556" w:rsidRPr="0020079E" w:rsidRDefault="00D36556" w:rsidP="00687927">
            <w:pPr>
              <w:jc w:val="left"/>
              <w:rPr>
                <w:rFonts w:cs="Arial"/>
                <w:sz w:val="20"/>
                <w:szCs w:val="22"/>
              </w:rPr>
            </w:pPr>
            <w:r w:rsidRPr="009F3471">
              <w:rPr>
                <w:rFonts w:cs="Arial"/>
                <w:i/>
                <w:sz w:val="20"/>
                <w:szCs w:val="22"/>
              </w:rPr>
              <w:t>Process improvements in resulting in reduced time and cost for the granting of ancillary licenses for business and investment.</w:t>
            </w:r>
          </w:p>
        </w:tc>
      </w:tr>
    </w:tbl>
    <w:p w:rsidR="00D36556" w:rsidRPr="006D21E3" w:rsidRDefault="00D36556" w:rsidP="006D21E3">
      <w:pPr>
        <w:sectPr w:rsidR="00D36556" w:rsidRPr="006D21E3" w:rsidSect="00A26D7B">
          <w:pgSz w:w="16838" w:h="11906" w:orient="landscape"/>
          <w:pgMar w:top="1440" w:right="1440" w:bottom="1440" w:left="1440" w:header="709" w:footer="709" w:gutter="0"/>
          <w:cols w:space="708"/>
          <w:docGrid w:linePitch="360"/>
        </w:sectPr>
      </w:pPr>
    </w:p>
    <w:p w:rsidR="002106D3" w:rsidRDefault="008E5690" w:rsidP="005D53AE">
      <w:pPr>
        <w:pStyle w:val="Heading1"/>
        <w:spacing w:before="0" w:after="240" w:line="276" w:lineRule="auto"/>
        <w:jc w:val="left"/>
        <w:rPr>
          <w:sz w:val="24"/>
        </w:rPr>
        <w:sectPr w:rsidR="002106D3" w:rsidSect="002106D3">
          <w:pgSz w:w="16840" w:h="11907" w:orient="landscape" w:code="9"/>
          <w:pgMar w:top="1440" w:right="1440" w:bottom="1440" w:left="1440" w:header="709" w:footer="709" w:gutter="0"/>
          <w:cols w:space="708"/>
          <w:docGrid w:linePitch="360"/>
        </w:sectPr>
      </w:pPr>
      <w:bookmarkStart w:id="38" w:name="_Toc356389391"/>
      <w:r>
        <w:rPr>
          <w:sz w:val="24"/>
        </w:rPr>
        <w:t xml:space="preserve">Annex </w:t>
      </w:r>
      <w:r w:rsidR="000D7A3B">
        <w:rPr>
          <w:sz w:val="24"/>
        </w:rPr>
        <w:t>6</w:t>
      </w:r>
      <w:r>
        <w:rPr>
          <w:sz w:val="24"/>
        </w:rPr>
        <w:t>: Root cause analysis</w:t>
      </w:r>
      <w:r w:rsidR="00417E0A">
        <w:rPr>
          <w:noProof/>
        </w:rPr>
        <mc:AlternateContent>
          <mc:Choice Requires="wps">
            <w:drawing>
              <wp:anchor distT="0" distB="0" distL="114300" distR="114300" simplePos="0" relativeHeight="251671552" behindDoc="0" locked="0" layoutInCell="1" allowOverlap="1" wp14:anchorId="0F58EBC1" wp14:editId="61590182">
                <wp:simplePos x="0" y="0"/>
                <wp:positionH relativeFrom="column">
                  <wp:posOffset>4216400</wp:posOffset>
                </wp:positionH>
                <wp:positionV relativeFrom="paragraph">
                  <wp:posOffset>3263737</wp:posOffset>
                </wp:positionV>
                <wp:extent cx="0" cy="217170"/>
                <wp:effectExtent l="0" t="0" r="19050" b="11430"/>
                <wp:wrapNone/>
                <wp:docPr id="14" name="Straight Connector 14"/>
                <wp:cNvGraphicFramePr/>
                <a:graphic xmlns:a="http://schemas.openxmlformats.org/drawingml/2006/main">
                  <a:graphicData uri="http://schemas.microsoft.com/office/word/2010/wordprocessingShape">
                    <wps:wsp>
                      <wps:cNvCnPr/>
                      <wps:spPr>
                        <a:xfrm>
                          <a:off x="0" y="0"/>
                          <a:ext cx="0" cy="21717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pt,257pt" to="332pt,2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" strokecolor="black [3213]"/>
            </w:pict>
          </mc:Fallback>
        </mc:AlternateContent>
      </w:r>
      <w:r w:rsidR="00417E0A">
        <w:rPr>
          <w:noProof/>
        </w:rPr>
        <mc:AlternateContent>
          <mc:Choice Requires="wps">
            <w:drawing>
              <wp:anchor distT="0" distB="0" distL="114300" distR="114300" simplePos="0" relativeHeight="251666432" behindDoc="0" locked="0" layoutInCell="1" allowOverlap="1" wp14:anchorId="2E9BD37C" wp14:editId="2B0D0E2B">
                <wp:simplePos x="0" y="0"/>
                <wp:positionH relativeFrom="column">
                  <wp:posOffset>3121025</wp:posOffset>
                </wp:positionH>
                <wp:positionV relativeFrom="paragraph">
                  <wp:posOffset>3479963</wp:posOffset>
                </wp:positionV>
                <wp:extent cx="1095375" cy="8890"/>
                <wp:effectExtent l="0" t="0" r="28575" b="67310"/>
                <wp:wrapNone/>
                <wp:docPr id="7" name="Straight Connector 7"/>
                <wp:cNvGraphicFramePr/>
                <a:graphic xmlns:a="http://schemas.openxmlformats.org/drawingml/2006/main">
                  <a:graphicData uri="http://schemas.microsoft.com/office/word/2010/wordprocessingShape">
                    <wps:wsp>
                      <wps:cNvCnPr/>
                      <wps:spPr>
                        <a:xfrm>
                          <a:off x="0" y="0"/>
                          <a:ext cx="1095375" cy="8890"/>
                        </a:xfrm>
                        <a:prstGeom prst="line">
                          <a:avLst/>
                        </a:prstGeom>
                        <a:ln>
                          <a:solidFill>
                            <a:schemeClr val="tx1"/>
                          </a:solidFill>
                        </a:ln>
                        <a:effectLst>
                          <a:reflection blurRad="6350" stA="52000" endA="300" endPos="35000" dir="5400000" sy="-100000" algn="bl" rotWithShape="0"/>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5.75pt,274pt" to="332pt,2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" strokecolor="black [3213]"/>
            </w:pict>
          </mc:Fallback>
        </mc:AlternateContent>
      </w:r>
      <w:r w:rsidR="00417E0A">
        <w:rPr>
          <w:noProof/>
        </w:rPr>
        <mc:AlternateContent>
          <mc:Choice Requires="wps">
            <w:drawing>
              <wp:anchor distT="0" distB="0" distL="114300" distR="114300" simplePos="0" relativeHeight="251669504" behindDoc="0" locked="0" layoutInCell="1" allowOverlap="1" wp14:anchorId="2EE56475" wp14:editId="314BB85E">
                <wp:simplePos x="0" y="0"/>
                <wp:positionH relativeFrom="column">
                  <wp:posOffset>3123446</wp:posOffset>
                </wp:positionH>
                <wp:positionV relativeFrom="paragraph">
                  <wp:posOffset>3259248</wp:posOffset>
                </wp:positionV>
                <wp:extent cx="0" cy="217283"/>
                <wp:effectExtent l="0" t="0" r="19050" b="11430"/>
                <wp:wrapNone/>
                <wp:docPr id="13" name="Straight Connector 13"/>
                <wp:cNvGraphicFramePr/>
                <a:graphic xmlns:a="http://schemas.openxmlformats.org/drawingml/2006/main">
                  <a:graphicData uri="http://schemas.microsoft.com/office/word/2010/wordprocessingShape">
                    <wps:wsp>
                      <wps:cNvCnPr/>
                      <wps:spPr>
                        <a:xfrm>
                          <a:off x="0" y="0"/>
                          <a:ext cx="0" cy="217283"/>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45.95pt,256.65pt" to="245.95pt,2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" strokecolor="black [3213]"/>
            </w:pict>
          </mc:Fallback>
        </mc:AlternateContent>
      </w:r>
      <w:r w:rsidR="00417E0A">
        <w:rPr>
          <w:noProof/>
        </w:rPr>
        <mc:AlternateContent>
          <mc:Choice Requires="wps">
            <w:drawing>
              <wp:anchor distT="0" distB="0" distL="114300" distR="114300" simplePos="0" relativeHeight="251668480" behindDoc="0" locked="0" layoutInCell="1" allowOverlap="1" wp14:anchorId="40ECBC26" wp14:editId="54FADB04">
                <wp:simplePos x="0" y="0"/>
                <wp:positionH relativeFrom="column">
                  <wp:posOffset>3119120</wp:posOffset>
                </wp:positionH>
                <wp:positionV relativeFrom="paragraph">
                  <wp:posOffset>3262467</wp:posOffset>
                </wp:positionV>
                <wp:extent cx="1095469" cy="9053"/>
                <wp:effectExtent l="0" t="0" r="28575" b="67310"/>
                <wp:wrapNone/>
                <wp:docPr id="8" name="Straight Connector 8"/>
                <wp:cNvGraphicFramePr/>
                <a:graphic xmlns:a="http://schemas.openxmlformats.org/drawingml/2006/main">
                  <a:graphicData uri="http://schemas.microsoft.com/office/word/2010/wordprocessingShape">
                    <wps:wsp>
                      <wps:cNvCnPr/>
                      <wps:spPr>
                        <a:xfrm>
                          <a:off x="0" y="0"/>
                          <a:ext cx="1095469" cy="9053"/>
                        </a:xfrm>
                        <a:prstGeom prst="line">
                          <a:avLst/>
                        </a:prstGeom>
                        <a:ln>
                          <a:solidFill>
                            <a:schemeClr val="tx1"/>
                          </a:solidFill>
                        </a:ln>
                        <a:effectLst>
                          <a:reflection blurRad="6350" stA="52000" endA="300" endPos="35000" dir="5400000" sy="-100000" algn="bl" rotWithShape="0"/>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45.6pt,256.9pt" to="331.85pt,2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" strokecolor="black [3213]"/>
            </w:pict>
          </mc:Fallback>
        </mc:AlternateContent>
      </w:r>
      <w:bookmarkEnd w:id="38"/>
      <w:r>
        <w:object w:dxaOrig="20528" w:dyaOrig="15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1pt;height:432.65pt" o:ole="">
            <v:imagedata r:id="rId15" o:title=""/>
          </v:shape>
          <o:OLEObject Type="Embed" ProgID="Visio.Drawing.11" ShapeID="_x0000_i1025" DrawAspect="Content" ObjectID="_1514121396" r:id="rId16"/>
        </w:object>
      </w:r>
    </w:p>
    <w:p w:rsidR="002106D3" w:rsidRDefault="002106D3" w:rsidP="00464EA0">
      <w:pPr>
        <w:pStyle w:val="Heading1"/>
        <w:spacing w:before="0" w:line="276" w:lineRule="auto"/>
        <w:jc w:val="left"/>
        <w:rPr>
          <w:sz w:val="24"/>
        </w:rPr>
      </w:pPr>
      <w:bookmarkStart w:id="39" w:name="_Toc356389392"/>
      <w:r>
        <w:rPr>
          <w:sz w:val="24"/>
        </w:rPr>
        <w:t xml:space="preserve">Annex </w:t>
      </w:r>
      <w:r w:rsidR="000D7A3B">
        <w:rPr>
          <w:sz w:val="24"/>
        </w:rPr>
        <w:t>7</w:t>
      </w:r>
      <w:r>
        <w:rPr>
          <w:sz w:val="24"/>
        </w:rPr>
        <w:t>: Results map (program logic)</w:t>
      </w:r>
      <w:bookmarkEnd w:id="39"/>
    </w:p>
    <w:p w:rsidR="002106D3" w:rsidRDefault="002106D3" w:rsidP="002106D3">
      <w:pPr>
        <w:jc w:val="center"/>
        <w:rPr>
          <w:rFonts w:ascii="Arial Narrow" w:hAnsi="Arial Narrow"/>
          <w:b/>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276"/>
        <w:gridCol w:w="1276"/>
        <w:gridCol w:w="283"/>
        <w:gridCol w:w="1985"/>
        <w:gridCol w:w="283"/>
        <w:gridCol w:w="284"/>
        <w:gridCol w:w="2126"/>
        <w:gridCol w:w="236"/>
        <w:gridCol w:w="1040"/>
        <w:gridCol w:w="1134"/>
        <w:gridCol w:w="2409"/>
      </w:tblGrid>
      <w:tr w:rsidR="002106D3" w:rsidRPr="00184667" w:rsidTr="006B62B6">
        <w:trPr>
          <w:jc w:val="center"/>
        </w:trPr>
        <w:tc>
          <w:tcPr>
            <w:tcW w:w="14742" w:type="dxa"/>
            <w:gridSpan w:val="12"/>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106D3" w:rsidRPr="00184667" w:rsidRDefault="002106D3" w:rsidP="006B62B6">
            <w:pPr>
              <w:jc w:val="center"/>
              <w:rPr>
                <w:rFonts w:ascii="Arial Narrow" w:hAnsi="Arial Narrow"/>
                <w:b/>
                <w:sz w:val="20"/>
              </w:rPr>
            </w:pPr>
            <w:r>
              <w:rPr>
                <w:rFonts w:ascii="Arial Narrow" w:hAnsi="Arial Narrow"/>
                <w:b/>
                <w:sz w:val="20"/>
              </w:rPr>
              <w:t>Impact (</w:t>
            </w:r>
            <w:r w:rsidRPr="00184667">
              <w:rPr>
                <w:rFonts w:ascii="Arial Narrow" w:hAnsi="Arial Narrow"/>
                <w:b/>
                <w:sz w:val="20"/>
              </w:rPr>
              <w:t>Goal</w:t>
            </w:r>
            <w:r>
              <w:rPr>
                <w:rFonts w:ascii="Arial Narrow" w:hAnsi="Arial Narrow"/>
                <w:b/>
                <w:sz w:val="20"/>
              </w:rPr>
              <w:t>)</w:t>
            </w:r>
            <w:r w:rsidRPr="00184667">
              <w:rPr>
                <w:rFonts w:ascii="Arial Narrow" w:hAnsi="Arial Narrow"/>
                <w:b/>
                <w:sz w:val="20"/>
              </w:rPr>
              <w:t>:</w:t>
            </w:r>
          </w:p>
          <w:p w:rsidR="002106D3" w:rsidRPr="00184667" w:rsidRDefault="002106D3" w:rsidP="006B62B6">
            <w:pPr>
              <w:jc w:val="center"/>
              <w:rPr>
                <w:rFonts w:ascii="Arial Narrow" w:hAnsi="Arial Narrow"/>
                <w:sz w:val="20"/>
              </w:rPr>
            </w:pPr>
            <w:r>
              <w:rPr>
                <w:rFonts w:ascii="Arial Narrow" w:hAnsi="Arial Narrow"/>
                <w:b/>
                <w:sz w:val="20"/>
              </w:rPr>
              <w:t>A</w:t>
            </w:r>
            <w:r w:rsidRPr="009B2D82">
              <w:rPr>
                <w:rFonts w:ascii="Arial Narrow" w:hAnsi="Arial Narrow"/>
                <w:b/>
                <w:sz w:val="20"/>
              </w:rPr>
              <w:t xml:space="preserve"> just, equitable and progressive society in which the</w:t>
            </w:r>
            <w:r>
              <w:rPr>
                <w:rFonts w:ascii="Arial Narrow" w:hAnsi="Arial Narrow"/>
                <w:b/>
                <w:sz w:val="20"/>
              </w:rPr>
              <w:t xml:space="preserve"> </w:t>
            </w:r>
            <w:r w:rsidRPr="009B2D82">
              <w:rPr>
                <w:rFonts w:ascii="Arial Narrow" w:hAnsi="Arial Narrow"/>
                <w:b/>
                <w:sz w:val="20"/>
              </w:rPr>
              <w:t>people of Tonga enjoy good health, peace, harmony and prosperity</w:t>
            </w:r>
          </w:p>
        </w:tc>
      </w:tr>
      <w:tr w:rsidR="002106D3" w:rsidRPr="00184667" w:rsidTr="006B62B6">
        <w:trPr>
          <w:jc w:val="center"/>
        </w:trPr>
        <w:tc>
          <w:tcPr>
            <w:tcW w:w="7513" w:type="dxa"/>
            <w:gridSpan w:val="6"/>
            <w:tcBorders>
              <w:top w:val="single" w:sz="4" w:space="0" w:color="auto"/>
              <w:left w:val="nil"/>
              <w:bottom w:val="nil"/>
              <w:right w:val="single" w:sz="4" w:space="0" w:color="auto"/>
            </w:tcBorders>
          </w:tcPr>
          <w:p w:rsidR="002106D3" w:rsidRPr="00184667" w:rsidRDefault="002106D3" w:rsidP="006B62B6">
            <w:pPr>
              <w:rPr>
                <w:rFonts w:ascii="Arial Narrow" w:hAnsi="Arial Narrow"/>
                <w:sz w:val="20"/>
              </w:rPr>
            </w:pPr>
          </w:p>
        </w:tc>
        <w:tc>
          <w:tcPr>
            <w:tcW w:w="7229" w:type="dxa"/>
            <w:gridSpan w:val="6"/>
            <w:tcBorders>
              <w:top w:val="single" w:sz="4" w:space="0" w:color="auto"/>
              <w:left w:val="single" w:sz="4" w:space="0" w:color="auto"/>
              <w:bottom w:val="nil"/>
              <w:right w:val="nil"/>
            </w:tcBorders>
          </w:tcPr>
          <w:p w:rsidR="002106D3" w:rsidRPr="00184667" w:rsidRDefault="002106D3" w:rsidP="006B62B6">
            <w:pPr>
              <w:rPr>
                <w:rFonts w:ascii="Arial Narrow" w:hAnsi="Arial Narrow"/>
                <w:sz w:val="20"/>
              </w:rPr>
            </w:pPr>
          </w:p>
        </w:tc>
      </w:tr>
      <w:tr w:rsidR="002106D3" w:rsidRPr="00184667" w:rsidTr="006B62B6">
        <w:trPr>
          <w:jc w:val="center"/>
        </w:trPr>
        <w:tc>
          <w:tcPr>
            <w:tcW w:w="14742" w:type="dxa"/>
            <w:gridSpan w:val="12"/>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106D3" w:rsidRPr="00184667" w:rsidRDefault="002106D3" w:rsidP="006B62B6">
            <w:pPr>
              <w:jc w:val="center"/>
              <w:rPr>
                <w:rFonts w:ascii="Arial Narrow" w:hAnsi="Arial Narrow"/>
                <w:b/>
                <w:sz w:val="20"/>
              </w:rPr>
            </w:pPr>
            <w:r>
              <w:rPr>
                <w:rFonts w:ascii="Arial Narrow" w:hAnsi="Arial Narrow"/>
                <w:b/>
                <w:sz w:val="20"/>
              </w:rPr>
              <w:t>National Outcome (</w:t>
            </w:r>
            <w:r w:rsidRPr="00184667">
              <w:rPr>
                <w:rFonts w:ascii="Arial Narrow" w:hAnsi="Arial Narrow"/>
                <w:b/>
                <w:sz w:val="20"/>
              </w:rPr>
              <w:t>Purpose</w:t>
            </w:r>
            <w:r>
              <w:rPr>
                <w:rFonts w:ascii="Arial Narrow" w:hAnsi="Arial Narrow"/>
                <w:b/>
                <w:sz w:val="20"/>
              </w:rPr>
              <w:t>)</w:t>
            </w:r>
            <w:r w:rsidRPr="00184667">
              <w:rPr>
                <w:rFonts w:ascii="Arial Narrow" w:hAnsi="Arial Narrow"/>
                <w:b/>
                <w:sz w:val="20"/>
              </w:rPr>
              <w:t>:</w:t>
            </w:r>
          </w:p>
          <w:p w:rsidR="002106D3" w:rsidRPr="00184667" w:rsidRDefault="002106D3" w:rsidP="006B62B6">
            <w:pPr>
              <w:jc w:val="center"/>
              <w:rPr>
                <w:rFonts w:ascii="Arial Narrow" w:hAnsi="Arial Narrow"/>
                <w:sz w:val="20"/>
              </w:rPr>
            </w:pPr>
            <w:r w:rsidRPr="00DB3C1E">
              <w:rPr>
                <w:rFonts w:ascii="Arial Narrow" w:hAnsi="Arial Narrow"/>
                <w:b/>
                <w:sz w:val="20"/>
              </w:rPr>
              <w:t>A</w:t>
            </w:r>
            <w:r>
              <w:rPr>
                <w:rFonts w:ascii="Arial Narrow" w:hAnsi="Arial Narrow"/>
                <w:b/>
                <w:sz w:val="20"/>
              </w:rPr>
              <w:t xml:space="preserve"> sustainable,</w:t>
            </w:r>
            <w:r w:rsidRPr="00DB3C1E">
              <w:rPr>
                <w:rFonts w:ascii="Arial Narrow" w:hAnsi="Arial Narrow"/>
                <w:b/>
                <w:sz w:val="20"/>
              </w:rPr>
              <w:t xml:space="preserve"> efficient and effective public sector </w:t>
            </w:r>
            <w:r>
              <w:rPr>
                <w:rFonts w:ascii="Arial Narrow" w:hAnsi="Arial Narrow"/>
                <w:b/>
                <w:sz w:val="20"/>
              </w:rPr>
              <w:t xml:space="preserve">that develops and </w:t>
            </w:r>
            <w:r w:rsidRPr="00DB3C1E">
              <w:rPr>
                <w:rFonts w:ascii="Arial Narrow" w:hAnsi="Arial Narrow"/>
                <w:b/>
                <w:sz w:val="20"/>
              </w:rPr>
              <w:t>implement</w:t>
            </w:r>
            <w:r>
              <w:rPr>
                <w:rFonts w:ascii="Arial Narrow" w:hAnsi="Arial Narrow"/>
                <w:b/>
                <w:sz w:val="20"/>
              </w:rPr>
              <w:t>s</w:t>
            </w:r>
            <w:r w:rsidRPr="00DB3C1E">
              <w:rPr>
                <w:rFonts w:ascii="Arial Narrow" w:hAnsi="Arial Narrow"/>
                <w:b/>
                <w:sz w:val="20"/>
              </w:rPr>
              <w:t xml:space="preserve"> policies and programs </w:t>
            </w:r>
            <w:r>
              <w:rPr>
                <w:rFonts w:ascii="Arial Narrow" w:hAnsi="Arial Narrow"/>
                <w:b/>
                <w:sz w:val="20"/>
              </w:rPr>
              <w:t>to enable private sector growth and deliver quality</w:t>
            </w:r>
            <w:r w:rsidRPr="00DB3C1E">
              <w:rPr>
                <w:rFonts w:ascii="Arial Narrow" w:hAnsi="Arial Narrow"/>
                <w:b/>
                <w:sz w:val="20"/>
              </w:rPr>
              <w:t xml:space="preserve"> </w:t>
            </w:r>
            <w:r>
              <w:rPr>
                <w:rFonts w:ascii="Arial Narrow" w:hAnsi="Arial Narrow"/>
                <w:b/>
                <w:sz w:val="20"/>
              </w:rPr>
              <w:t>public services in Tonga</w:t>
            </w:r>
          </w:p>
        </w:tc>
      </w:tr>
      <w:tr w:rsidR="002106D3" w:rsidRPr="00894DC6" w:rsidTr="006B62B6">
        <w:trPr>
          <w:jc w:val="center"/>
        </w:trPr>
        <w:tc>
          <w:tcPr>
            <w:tcW w:w="7513" w:type="dxa"/>
            <w:gridSpan w:val="6"/>
            <w:tcBorders>
              <w:top w:val="nil"/>
              <w:left w:val="nil"/>
              <w:bottom w:val="nil"/>
              <w:right w:val="single" w:sz="4" w:space="0" w:color="auto"/>
            </w:tcBorders>
          </w:tcPr>
          <w:p w:rsidR="002106D3" w:rsidRPr="00894DC6" w:rsidRDefault="002106D3" w:rsidP="006B62B6">
            <w:pPr>
              <w:rPr>
                <w:rFonts w:ascii="Arial Narrow" w:hAnsi="Arial Narrow"/>
                <w:sz w:val="16"/>
                <w:szCs w:val="16"/>
              </w:rPr>
            </w:pPr>
          </w:p>
        </w:tc>
        <w:tc>
          <w:tcPr>
            <w:tcW w:w="7229" w:type="dxa"/>
            <w:gridSpan w:val="6"/>
            <w:tcBorders>
              <w:top w:val="nil"/>
              <w:left w:val="single" w:sz="4" w:space="0" w:color="auto"/>
              <w:bottom w:val="nil"/>
              <w:right w:val="nil"/>
            </w:tcBorders>
          </w:tcPr>
          <w:p w:rsidR="002106D3" w:rsidRPr="00894DC6" w:rsidRDefault="002106D3" w:rsidP="006B62B6">
            <w:pPr>
              <w:rPr>
                <w:rFonts w:ascii="Arial Narrow" w:hAnsi="Arial Narrow"/>
                <w:sz w:val="16"/>
                <w:szCs w:val="16"/>
              </w:rPr>
            </w:pPr>
          </w:p>
        </w:tc>
      </w:tr>
      <w:tr w:rsidR="002106D3" w:rsidRPr="00894DC6" w:rsidTr="006B62B6">
        <w:trPr>
          <w:jc w:val="center"/>
        </w:trPr>
        <w:tc>
          <w:tcPr>
            <w:tcW w:w="2410" w:type="dxa"/>
            <w:tcBorders>
              <w:top w:val="nil"/>
              <w:left w:val="nil"/>
              <w:bottom w:val="nil"/>
              <w:right w:val="single" w:sz="4" w:space="0" w:color="auto"/>
            </w:tcBorders>
          </w:tcPr>
          <w:p w:rsidR="002106D3" w:rsidRPr="00894DC6" w:rsidRDefault="002106D3" w:rsidP="006B62B6">
            <w:pPr>
              <w:rPr>
                <w:rFonts w:ascii="Arial Narrow" w:hAnsi="Arial Narrow"/>
                <w:sz w:val="16"/>
                <w:szCs w:val="16"/>
              </w:rPr>
            </w:pPr>
          </w:p>
        </w:tc>
        <w:tc>
          <w:tcPr>
            <w:tcW w:w="5103" w:type="dxa"/>
            <w:gridSpan w:val="5"/>
            <w:tcBorders>
              <w:top w:val="single" w:sz="4" w:space="0" w:color="auto"/>
              <w:left w:val="nil"/>
              <w:bottom w:val="nil"/>
              <w:right w:val="single" w:sz="4" w:space="0" w:color="auto"/>
            </w:tcBorders>
          </w:tcPr>
          <w:p w:rsidR="002106D3" w:rsidRPr="00894DC6" w:rsidRDefault="002106D3" w:rsidP="006B62B6">
            <w:pPr>
              <w:rPr>
                <w:rFonts w:ascii="Arial Narrow" w:hAnsi="Arial Narrow"/>
                <w:sz w:val="16"/>
                <w:szCs w:val="16"/>
              </w:rPr>
            </w:pPr>
          </w:p>
        </w:tc>
        <w:tc>
          <w:tcPr>
            <w:tcW w:w="4820" w:type="dxa"/>
            <w:gridSpan w:val="5"/>
            <w:tcBorders>
              <w:top w:val="single" w:sz="4" w:space="0" w:color="auto"/>
              <w:left w:val="nil"/>
              <w:bottom w:val="nil"/>
              <w:right w:val="single" w:sz="4" w:space="0" w:color="auto"/>
            </w:tcBorders>
          </w:tcPr>
          <w:p w:rsidR="002106D3" w:rsidRPr="00894DC6" w:rsidRDefault="002106D3" w:rsidP="006B62B6">
            <w:pPr>
              <w:rPr>
                <w:rFonts w:ascii="Arial Narrow" w:hAnsi="Arial Narrow"/>
                <w:sz w:val="16"/>
                <w:szCs w:val="16"/>
              </w:rPr>
            </w:pPr>
          </w:p>
        </w:tc>
        <w:tc>
          <w:tcPr>
            <w:tcW w:w="2409" w:type="dxa"/>
            <w:tcBorders>
              <w:top w:val="nil"/>
              <w:left w:val="single" w:sz="4" w:space="0" w:color="auto"/>
              <w:bottom w:val="nil"/>
              <w:right w:val="nil"/>
            </w:tcBorders>
          </w:tcPr>
          <w:p w:rsidR="002106D3" w:rsidRPr="00894DC6" w:rsidRDefault="002106D3" w:rsidP="006B62B6">
            <w:pPr>
              <w:rPr>
                <w:rFonts w:ascii="Arial Narrow" w:hAnsi="Arial Narrow"/>
                <w:sz w:val="16"/>
                <w:szCs w:val="16"/>
              </w:rPr>
            </w:pPr>
          </w:p>
        </w:tc>
      </w:tr>
      <w:tr w:rsidR="002106D3" w:rsidRPr="00184667" w:rsidTr="006B62B6">
        <w:trPr>
          <w:jc w:val="center"/>
        </w:trPr>
        <w:tc>
          <w:tcPr>
            <w:tcW w:w="4962"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rsidR="002106D3" w:rsidRDefault="002106D3" w:rsidP="006B62B6">
            <w:pPr>
              <w:jc w:val="left"/>
              <w:rPr>
                <w:rFonts w:ascii="Arial Narrow" w:hAnsi="Arial Narrow"/>
                <w:sz w:val="20"/>
              </w:rPr>
            </w:pPr>
            <w:r w:rsidRPr="00184667">
              <w:rPr>
                <w:rFonts w:ascii="Arial Narrow" w:hAnsi="Arial Narrow"/>
                <w:b/>
                <w:sz w:val="20"/>
              </w:rPr>
              <w:t>End-of-</w:t>
            </w:r>
            <w:r>
              <w:rPr>
                <w:rFonts w:ascii="Arial Narrow" w:hAnsi="Arial Narrow"/>
                <w:b/>
                <w:sz w:val="20"/>
              </w:rPr>
              <w:t>strategy</w:t>
            </w:r>
            <w:r w:rsidRPr="00184667">
              <w:rPr>
                <w:rFonts w:ascii="Arial Narrow" w:hAnsi="Arial Narrow"/>
                <w:b/>
                <w:sz w:val="20"/>
              </w:rPr>
              <w:t xml:space="preserve"> outcome </w:t>
            </w:r>
            <w:r>
              <w:rPr>
                <w:rFonts w:ascii="Arial Narrow" w:hAnsi="Arial Narrow"/>
                <w:b/>
                <w:sz w:val="20"/>
              </w:rPr>
              <w:t>1 (June 2017)</w:t>
            </w:r>
            <w:r w:rsidRPr="00184667">
              <w:rPr>
                <w:rFonts w:ascii="Arial Narrow" w:hAnsi="Arial Narrow"/>
                <w:sz w:val="20"/>
              </w:rPr>
              <w:t>:</w:t>
            </w:r>
          </w:p>
          <w:p w:rsidR="002106D3" w:rsidRPr="00C50376" w:rsidRDefault="002106D3" w:rsidP="006B62B6">
            <w:pPr>
              <w:jc w:val="left"/>
              <w:rPr>
                <w:rFonts w:ascii="Arial Narrow" w:hAnsi="Arial Narrow"/>
                <w:b/>
                <w:sz w:val="20"/>
              </w:rPr>
            </w:pPr>
            <w:r>
              <w:rPr>
                <w:rFonts w:ascii="Arial Narrow" w:hAnsi="Arial Narrow"/>
                <w:b/>
                <w:sz w:val="20"/>
              </w:rPr>
              <w:t>Public sector governance</w:t>
            </w:r>
          </w:p>
          <w:p w:rsidR="002106D3" w:rsidRPr="00184667" w:rsidRDefault="002106D3" w:rsidP="006B62B6">
            <w:pPr>
              <w:jc w:val="left"/>
              <w:rPr>
                <w:rFonts w:ascii="Arial Narrow" w:hAnsi="Arial Narrow"/>
                <w:sz w:val="20"/>
              </w:rPr>
            </w:pPr>
            <w:r>
              <w:rPr>
                <w:rFonts w:ascii="Arial Narrow" w:hAnsi="Arial Narrow"/>
                <w:sz w:val="20"/>
              </w:rPr>
              <w:t xml:space="preserve">GoT agencies demonstrate measureable improvement in the </w:t>
            </w:r>
            <w:r w:rsidRPr="005A56E5">
              <w:rPr>
                <w:rFonts w:ascii="Arial Narrow" w:hAnsi="Arial Narrow"/>
                <w:sz w:val="20"/>
              </w:rPr>
              <w:t>efficien</w:t>
            </w:r>
            <w:r>
              <w:rPr>
                <w:rFonts w:ascii="Arial Narrow" w:hAnsi="Arial Narrow"/>
                <w:sz w:val="20"/>
              </w:rPr>
              <w:t>cy, transparency and accountability of public service delivery</w:t>
            </w:r>
          </w:p>
        </w:tc>
        <w:tc>
          <w:tcPr>
            <w:tcW w:w="283" w:type="dxa"/>
            <w:tcBorders>
              <w:top w:val="nil"/>
              <w:left w:val="single" w:sz="4" w:space="0" w:color="auto"/>
              <w:bottom w:val="nil"/>
              <w:right w:val="single" w:sz="4" w:space="0" w:color="auto"/>
            </w:tcBorders>
          </w:tcPr>
          <w:p w:rsidR="002106D3" w:rsidRDefault="002106D3" w:rsidP="006B62B6">
            <w:pPr>
              <w:jc w:val="left"/>
              <w:rPr>
                <w:rFonts w:ascii="Arial Narrow" w:hAnsi="Arial Narrow"/>
                <w:b/>
                <w:sz w:val="20"/>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tcPr>
          <w:p w:rsidR="002106D3" w:rsidRDefault="002106D3" w:rsidP="006B62B6">
            <w:pPr>
              <w:jc w:val="left"/>
              <w:rPr>
                <w:rFonts w:ascii="Arial Narrow" w:hAnsi="Arial Narrow"/>
                <w:sz w:val="20"/>
              </w:rPr>
            </w:pPr>
            <w:r w:rsidRPr="00184667">
              <w:rPr>
                <w:rFonts w:ascii="Arial Narrow" w:hAnsi="Arial Narrow"/>
                <w:b/>
                <w:sz w:val="20"/>
              </w:rPr>
              <w:t>End-of-</w:t>
            </w:r>
            <w:r>
              <w:rPr>
                <w:rFonts w:ascii="Arial Narrow" w:hAnsi="Arial Narrow"/>
                <w:b/>
                <w:sz w:val="20"/>
              </w:rPr>
              <w:t>strategy</w:t>
            </w:r>
            <w:r w:rsidRPr="00184667">
              <w:rPr>
                <w:rFonts w:ascii="Arial Narrow" w:hAnsi="Arial Narrow"/>
                <w:b/>
                <w:sz w:val="20"/>
              </w:rPr>
              <w:t xml:space="preserve"> outcome </w:t>
            </w:r>
            <w:r>
              <w:rPr>
                <w:rFonts w:ascii="Arial Narrow" w:hAnsi="Arial Narrow"/>
                <w:b/>
                <w:sz w:val="20"/>
              </w:rPr>
              <w:t>2 (June 2017)</w:t>
            </w:r>
            <w:r w:rsidRPr="00184667">
              <w:rPr>
                <w:rFonts w:ascii="Arial Narrow" w:hAnsi="Arial Narrow"/>
                <w:sz w:val="20"/>
              </w:rPr>
              <w:t>:</w:t>
            </w:r>
          </w:p>
          <w:p w:rsidR="002106D3" w:rsidRPr="00C50376" w:rsidRDefault="002106D3" w:rsidP="006B62B6">
            <w:pPr>
              <w:jc w:val="left"/>
              <w:rPr>
                <w:rFonts w:ascii="Arial Narrow" w:hAnsi="Arial Narrow"/>
                <w:b/>
                <w:sz w:val="20"/>
              </w:rPr>
            </w:pPr>
            <w:r>
              <w:rPr>
                <w:rFonts w:ascii="Arial Narrow" w:hAnsi="Arial Narrow"/>
                <w:b/>
                <w:sz w:val="20"/>
              </w:rPr>
              <w:t>Economic</w:t>
            </w:r>
            <w:r w:rsidR="0032796B">
              <w:rPr>
                <w:rFonts w:ascii="Arial Narrow" w:hAnsi="Arial Narrow"/>
                <w:b/>
                <w:sz w:val="20"/>
              </w:rPr>
              <w:t xml:space="preserve"> and financial</w:t>
            </w:r>
            <w:r>
              <w:rPr>
                <w:rFonts w:ascii="Arial Narrow" w:hAnsi="Arial Narrow"/>
                <w:b/>
                <w:sz w:val="20"/>
              </w:rPr>
              <w:t xml:space="preserve"> governance</w:t>
            </w:r>
          </w:p>
          <w:p w:rsidR="002106D3" w:rsidRPr="00184667" w:rsidRDefault="002106D3" w:rsidP="006B62B6">
            <w:pPr>
              <w:jc w:val="left"/>
              <w:rPr>
                <w:rFonts w:ascii="Arial Narrow" w:hAnsi="Arial Narrow"/>
                <w:sz w:val="20"/>
              </w:rPr>
            </w:pPr>
            <w:r>
              <w:rPr>
                <w:rFonts w:ascii="Arial Narrow" w:hAnsi="Arial Narrow"/>
                <w:sz w:val="20"/>
              </w:rPr>
              <w:t>GoT agencies demonstrate measureable improvement in the allocation and use of public expenditure for TSDF priorities as well as appropriate and fair revenue collection</w:t>
            </w:r>
          </w:p>
        </w:tc>
        <w:tc>
          <w:tcPr>
            <w:tcW w:w="236" w:type="dxa"/>
            <w:tcBorders>
              <w:top w:val="nil"/>
              <w:left w:val="nil"/>
              <w:bottom w:val="nil"/>
              <w:right w:val="single" w:sz="4" w:space="0" w:color="auto"/>
            </w:tcBorders>
          </w:tcPr>
          <w:p w:rsidR="002106D3" w:rsidRDefault="002106D3" w:rsidP="006B62B6">
            <w:pPr>
              <w:rPr>
                <w:rFonts w:ascii="Arial Narrow" w:hAnsi="Arial Narrow"/>
                <w:b/>
                <w:sz w:val="20"/>
              </w:rPr>
            </w:pPr>
          </w:p>
        </w:tc>
        <w:tc>
          <w:tcPr>
            <w:tcW w:w="4583" w:type="dxa"/>
            <w:gridSpan w:val="3"/>
            <w:tcBorders>
              <w:top w:val="single" w:sz="4" w:space="0" w:color="auto"/>
              <w:left w:val="nil"/>
              <w:bottom w:val="single" w:sz="4" w:space="0" w:color="auto"/>
              <w:right w:val="single" w:sz="4" w:space="0" w:color="auto"/>
            </w:tcBorders>
            <w:shd w:val="clear" w:color="auto" w:fill="B6DDE8" w:themeFill="accent5" w:themeFillTint="66"/>
          </w:tcPr>
          <w:p w:rsidR="002106D3" w:rsidRPr="00184667" w:rsidRDefault="002106D3" w:rsidP="006B62B6">
            <w:pPr>
              <w:jc w:val="left"/>
              <w:rPr>
                <w:rFonts w:ascii="Arial Narrow" w:hAnsi="Arial Narrow"/>
                <w:sz w:val="20"/>
              </w:rPr>
            </w:pPr>
            <w:r w:rsidRPr="00184667">
              <w:rPr>
                <w:rFonts w:ascii="Arial Narrow" w:hAnsi="Arial Narrow"/>
                <w:b/>
                <w:sz w:val="20"/>
              </w:rPr>
              <w:t>End-of-</w:t>
            </w:r>
            <w:r>
              <w:rPr>
                <w:rFonts w:ascii="Arial Narrow" w:hAnsi="Arial Narrow"/>
                <w:b/>
                <w:sz w:val="20"/>
              </w:rPr>
              <w:t>strategy</w:t>
            </w:r>
            <w:r w:rsidRPr="00184667">
              <w:rPr>
                <w:rFonts w:ascii="Arial Narrow" w:hAnsi="Arial Narrow"/>
                <w:b/>
                <w:sz w:val="20"/>
              </w:rPr>
              <w:t xml:space="preserve"> outcome </w:t>
            </w:r>
            <w:r>
              <w:rPr>
                <w:rFonts w:ascii="Arial Narrow" w:hAnsi="Arial Narrow"/>
                <w:b/>
                <w:sz w:val="20"/>
              </w:rPr>
              <w:t>3 (June 2017)</w:t>
            </w:r>
            <w:r w:rsidRPr="00184667">
              <w:rPr>
                <w:rFonts w:ascii="Arial Narrow" w:hAnsi="Arial Narrow"/>
                <w:sz w:val="20"/>
              </w:rPr>
              <w:t>:</w:t>
            </w:r>
          </w:p>
          <w:p w:rsidR="002106D3" w:rsidRPr="00F32E28" w:rsidRDefault="002106D3" w:rsidP="006B62B6">
            <w:pPr>
              <w:rPr>
                <w:rFonts w:ascii="Arial Narrow" w:hAnsi="Arial Narrow"/>
                <w:b/>
                <w:sz w:val="20"/>
              </w:rPr>
            </w:pPr>
            <w:r>
              <w:rPr>
                <w:rFonts w:ascii="Arial Narrow" w:hAnsi="Arial Narrow"/>
                <w:b/>
                <w:sz w:val="20"/>
              </w:rPr>
              <w:t>Business enabling environment</w:t>
            </w:r>
          </w:p>
          <w:p w:rsidR="002106D3" w:rsidRPr="00184667" w:rsidRDefault="002106D3" w:rsidP="006B62B6">
            <w:pPr>
              <w:jc w:val="left"/>
              <w:rPr>
                <w:rFonts w:ascii="Arial Narrow" w:hAnsi="Arial Narrow"/>
                <w:sz w:val="20"/>
              </w:rPr>
            </w:pPr>
            <w:r>
              <w:rPr>
                <w:rFonts w:ascii="Arial Narrow" w:hAnsi="Arial Narrow"/>
                <w:sz w:val="20"/>
              </w:rPr>
              <w:t>The majority of public enterprises reform and GoT agencies enable measureable development of the private sector</w:t>
            </w:r>
          </w:p>
        </w:tc>
      </w:tr>
      <w:tr w:rsidR="002106D3" w:rsidRPr="00184667" w:rsidTr="006B62B6">
        <w:trPr>
          <w:jc w:val="center"/>
        </w:trPr>
        <w:tc>
          <w:tcPr>
            <w:tcW w:w="2410" w:type="dxa"/>
            <w:tcBorders>
              <w:top w:val="nil"/>
              <w:left w:val="nil"/>
              <w:bottom w:val="nil"/>
              <w:right w:val="single" w:sz="4" w:space="0" w:color="auto"/>
            </w:tcBorders>
          </w:tcPr>
          <w:p w:rsidR="002106D3" w:rsidRPr="00894DC6" w:rsidRDefault="002106D3" w:rsidP="006B62B6">
            <w:pPr>
              <w:rPr>
                <w:rFonts w:ascii="Arial Narrow" w:hAnsi="Arial Narrow"/>
                <w:sz w:val="16"/>
                <w:szCs w:val="16"/>
              </w:rPr>
            </w:pPr>
          </w:p>
        </w:tc>
        <w:tc>
          <w:tcPr>
            <w:tcW w:w="5103" w:type="dxa"/>
            <w:gridSpan w:val="5"/>
            <w:tcBorders>
              <w:top w:val="nil"/>
              <w:left w:val="single" w:sz="4" w:space="0" w:color="auto"/>
              <w:bottom w:val="nil"/>
              <w:right w:val="single" w:sz="4" w:space="0" w:color="auto"/>
            </w:tcBorders>
          </w:tcPr>
          <w:p w:rsidR="002106D3" w:rsidRPr="00894DC6" w:rsidRDefault="002106D3" w:rsidP="006B62B6">
            <w:pPr>
              <w:jc w:val="left"/>
              <w:rPr>
                <w:rFonts w:ascii="Arial Narrow" w:hAnsi="Arial Narrow"/>
                <w:b/>
                <w:sz w:val="16"/>
                <w:szCs w:val="16"/>
              </w:rPr>
            </w:pPr>
          </w:p>
        </w:tc>
        <w:tc>
          <w:tcPr>
            <w:tcW w:w="4820" w:type="dxa"/>
            <w:gridSpan w:val="5"/>
            <w:tcBorders>
              <w:top w:val="nil"/>
              <w:left w:val="single" w:sz="4" w:space="0" w:color="auto"/>
              <w:bottom w:val="nil"/>
              <w:right w:val="single" w:sz="4" w:space="0" w:color="auto"/>
            </w:tcBorders>
          </w:tcPr>
          <w:p w:rsidR="002106D3" w:rsidRPr="00894DC6" w:rsidRDefault="002106D3" w:rsidP="006B62B6">
            <w:pPr>
              <w:rPr>
                <w:rFonts w:ascii="Arial Narrow" w:hAnsi="Arial Narrow"/>
                <w:b/>
                <w:sz w:val="16"/>
                <w:szCs w:val="16"/>
              </w:rPr>
            </w:pPr>
          </w:p>
        </w:tc>
        <w:tc>
          <w:tcPr>
            <w:tcW w:w="2409" w:type="dxa"/>
            <w:tcBorders>
              <w:top w:val="nil"/>
              <w:left w:val="single" w:sz="4" w:space="0" w:color="auto"/>
              <w:bottom w:val="nil"/>
              <w:right w:val="nil"/>
            </w:tcBorders>
          </w:tcPr>
          <w:p w:rsidR="002106D3" w:rsidRPr="00894DC6" w:rsidRDefault="002106D3" w:rsidP="006B62B6">
            <w:pPr>
              <w:rPr>
                <w:rFonts w:ascii="Arial Narrow" w:hAnsi="Arial Narrow"/>
                <w:sz w:val="16"/>
                <w:szCs w:val="16"/>
              </w:rPr>
            </w:pPr>
          </w:p>
        </w:tc>
      </w:tr>
      <w:tr w:rsidR="002106D3" w:rsidRPr="00184667" w:rsidTr="006B62B6">
        <w:trPr>
          <w:jc w:val="center"/>
        </w:trPr>
        <w:tc>
          <w:tcPr>
            <w:tcW w:w="4962"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106D3" w:rsidRPr="009F724B" w:rsidRDefault="002106D3" w:rsidP="006B62B6">
            <w:pPr>
              <w:pStyle w:val="ListBullet"/>
              <w:numPr>
                <w:ilvl w:val="0"/>
                <w:numId w:val="0"/>
              </w:numPr>
              <w:spacing w:before="0" w:after="0"/>
              <w:ind w:left="360" w:hanging="360"/>
              <w:jc w:val="left"/>
              <w:rPr>
                <w:rFonts w:ascii="Arial Narrow" w:hAnsi="Arial Narrow"/>
                <w:b/>
                <w:sz w:val="20"/>
              </w:rPr>
            </w:pPr>
            <w:r>
              <w:rPr>
                <w:rFonts w:ascii="Arial Narrow" w:hAnsi="Arial Narrow"/>
                <w:noProof/>
                <w:sz w:val="20"/>
                <w:lang w:eastAsia="en-AU"/>
              </w:rPr>
              <mc:AlternateContent>
                <mc:Choice Requires="wps">
                  <w:drawing>
                    <wp:anchor distT="0" distB="0" distL="114300" distR="114300" simplePos="0" relativeHeight="251659264" behindDoc="0" locked="0" layoutInCell="1" allowOverlap="1" wp14:anchorId="36B100CB" wp14:editId="3F784B81">
                      <wp:simplePos x="0" y="0"/>
                      <wp:positionH relativeFrom="column">
                        <wp:posOffset>817777</wp:posOffset>
                      </wp:positionH>
                      <wp:positionV relativeFrom="paragraph">
                        <wp:posOffset>7458</wp:posOffset>
                      </wp:positionV>
                      <wp:extent cx="1275080" cy="10526232"/>
                      <wp:effectExtent l="0" t="0" r="1270" b="8890"/>
                      <wp:wrapNone/>
                      <wp:docPr id="9" name="Up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080" cy="10526232"/>
                              </a:xfrm>
                              <a:prstGeom prst="upArrow">
                                <a:avLst/>
                              </a:prstGeom>
                              <a:solidFill>
                                <a:sysClr val="windowText" lastClr="000000">
                                  <a:alpha val="2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64.4pt;margin-top:.6pt;width:100.4pt;height:8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" adj="1308" fillcolor="windowText" stroked="f" strokeweight="2pt">
                      <v:fill opacity="16448f"/>
                      <v:path arrowok="t"/>
                    </v:shape>
                  </w:pict>
                </mc:Fallback>
              </mc:AlternateContent>
            </w:r>
            <w:r w:rsidRPr="009F724B">
              <w:rPr>
                <w:rFonts w:ascii="Arial Narrow" w:hAnsi="Arial Narrow"/>
                <w:b/>
                <w:sz w:val="20"/>
              </w:rPr>
              <w:t xml:space="preserve">Intermediate </w:t>
            </w:r>
            <w:r>
              <w:rPr>
                <w:rFonts w:ascii="Arial Narrow" w:hAnsi="Arial Narrow"/>
                <w:b/>
                <w:sz w:val="20"/>
              </w:rPr>
              <w:t>behaviour changes (O</w:t>
            </w:r>
            <w:r w:rsidRPr="009F724B">
              <w:rPr>
                <w:rFonts w:ascii="Arial Narrow" w:hAnsi="Arial Narrow"/>
                <w:b/>
                <w:sz w:val="20"/>
              </w:rPr>
              <w:t>utcomes</w:t>
            </w:r>
            <w:r>
              <w:rPr>
                <w:rFonts w:ascii="Arial Narrow" w:hAnsi="Arial Narrow"/>
                <w:b/>
                <w:sz w:val="20"/>
              </w:rPr>
              <w:t>)</w:t>
            </w:r>
            <w:r w:rsidRPr="009F724B">
              <w:rPr>
                <w:rFonts w:ascii="Arial Narrow" w:hAnsi="Arial Narrow"/>
                <w:b/>
                <w:sz w:val="20"/>
              </w:rPr>
              <w:t>:</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sidRPr="00D20785">
              <w:rPr>
                <w:rFonts w:ascii="Arial Narrow" w:hAnsi="Arial Narrow"/>
                <w:sz w:val="20"/>
              </w:rPr>
              <w:t>Strengthened management of public sector wage bill</w:t>
            </w:r>
            <w:r>
              <w:rPr>
                <w:rFonts w:ascii="Arial Narrow" w:hAnsi="Arial Narrow"/>
                <w:sz w:val="20"/>
              </w:rPr>
              <w:t xml:space="preserve"> by PSC</w:t>
            </w:r>
          </w:p>
          <w:p w:rsidR="002106D3" w:rsidRPr="00781085"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lang w:val="en-US"/>
              </w:rPr>
              <w:t>MoFNP</w:t>
            </w:r>
            <w:r w:rsidRPr="00781085">
              <w:rPr>
                <w:rFonts w:ascii="Arial Narrow" w:hAnsi="Arial Narrow"/>
                <w:sz w:val="20"/>
                <w:lang w:val="en-US"/>
              </w:rPr>
              <w:t xml:space="preserve"> reflect</w:t>
            </w:r>
            <w:r>
              <w:rPr>
                <w:rFonts w:ascii="Arial Narrow" w:hAnsi="Arial Narrow"/>
                <w:sz w:val="20"/>
                <w:lang w:val="en-US"/>
              </w:rPr>
              <w:t>s</w:t>
            </w:r>
            <w:r w:rsidRPr="00781085">
              <w:rPr>
                <w:rFonts w:ascii="Arial Narrow" w:hAnsi="Arial Narrow"/>
                <w:sz w:val="20"/>
                <w:lang w:val="en-US"/>
              </w:rPr>
              <w:t xml:space="preserve"> new program structures for major mini</w:t>
            </w:r>
            <w:r>
              <w:rPr>
                <w:rFonts w:ascii="Arial Narrow" w:hAnsi="Arial Narrow"/>
                <w:sz w:val="20"/>
                <w:lang w:val="en-US"/>
              </w:rPr>
              <w:t>stries in the FY2013/14 budget</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Agencies use human resource management systems to support implementation of Corporate Plans</w:t>
            </w:r>
          </w:p>
          <w:p w:rsidR="002106D3" w:rsidRPr="00521189" w:rsidRDefault="002106D3" w:rsidP="006B62B6">
            <w:pPr>
              <w:pStyle w:val="ListBullet"/>
              <w:tabs>
                <w:tab w:val="clear" w:pos="360"/>
                <w:tab w:val="num" w:pos="142"/>
              </w:tabs>
              <w:spacing w:before="0" w:after="0"/>
              <w:ind w:left="142" w:hanging="142"/>
              <w:jc w:val="left"/>
              <w:rPr>
                <w:rFonts w:ascii="Arial Narrow" w:hAnsi="Arial Narrow"/>
                <w:sz w:val="20"/>
              </w:rPr>
            </w:pPr>
            <w:r w:rsidRPr="00521189">
              <w:rPr>
                <w:rFonts w:ascii="Arial Narrow" w:hAnsi="Arial Narrow"/>
                <w:sz w:val="20"/>
              </w:rPr>
              <w:t>Public servants behave in a consistently professional manner</w:t>
            </w:r>
          </w:p>
          <w:p w:rsidR="002106D3" w:rsidRPr="00521189"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PFM reform information is communicated effectively by MoFNP, MoR, PSC and SD</w:t>
            </w:r>
          </w:p>
          <w:p w:rsidR="002106D3" w:rsidRPr="005F5F60"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lang w:eastAsia="en-AU"/>
              </w:rPr>
              <w:t>I</w:t>
            </w:r>
            <w:r w:rsidRPr="005F5F60">
              <w:rPr>
                <w:rFonts w:ascii="Arial Narrow" w:hAnsi="Arial Narrow"/>
                <w:sz w:val="20"/>
                <w:lang w:eastAsia="en-AU"/>
              </w:rPr>
              <w:t>mprove</w:t>
            </w:r>
            <w:r>
              <w:rPr>
                <w:rFonts w:ascii="Arial Narrow" w:hAnsi="Arial Narrow"/>
                <w:sz w:val="20"/>
                <w:lang w:eastAsia="en-AU"/>
              </w:rPr>
              <w:t>d</w:t>
            </w:r>
            <w:r w:rsidRPr="005F5F60">
              <w:rPr>
                <w:rFonts w:ascii="Arial Narrow" w:hAnsi="Arial Narrow"/>
                <w:sz w:val="20"/>
                <w:lang w:eastAsia="en-AU"/>
              </w:rPr>
              <w:t xml:space="preserve"> commitment control, reporting, purchasing, reco</w:t>
            </w:r>
            <w:r>
              <w:rPr>
                <w:rFonts w:ascii="Arial Narrow" w:hAnsi="Arial Narrow"/>
                <w:sz w:val="20"/>
                <w:lang w:eastAsia="en-AU"/>
              </w:rPr>
              <w:t>nciliation, and monitoring in PSC and MoFNP</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GoT agencies consistently implement</w:t>
            </w:r>
            <w:r w:rsidRPr="00763953">
              <w:rPr>
                <w:rFonts w:ascii="Arial Narrow" w:hAnsi="Arial Narrow"/>
                <w:sz w:val="20"/>
              </w:rPr>
              <w:t xml:space="preserve"> public sector procurement practises</w:t>
            </w:r>
            <w:r>
              <w:rPr>
                <w:rFonts w:ascii="Arial Narrow" w:hAnsi="Arial Narrow"/>
                <w:sz w:val="20"/>
              </w:rPr>
              <w:t xml:space="preserve"> as per PFM Act</w:t>
            </w:r>
          </w:p>
          <w:p w:rsidR="002106D3" w:rsidRPr="00521189"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Agency CEOs consistently enforce public sector regulations</w:t>
            </w:r>
          </w:p>
          <w:p w:rsidR="002106D3" w:rsidRPr="002A496A" w:rsidRDefault="002106D3" w:rsidP="006B62B6">
            <w:pPr>
              <w:pStyle w:val="ListBullet"/>
              <w:numPr>
                <w:ilvl w:val="0"/>
                <w:numId w:val="0"/>
              </w:numPr>
              <w:spacing w:before="0" w:after="0"/>
              <w:jc w:val="left"/>
              <w:rPr>
                <w:rFonts w:ascii="Arial Narrow" w:hAnsi="Arial Narrow"/>
                <w:sz w:val="20"/>
              </w:rPr>
            </w:pPr>
          </w:p>
        </w:tc>
        <w:tc>
          <w:tcPr>
            <w:tcW w:w="283" w:type="dxa"/>
            <w:tcBorders>
              <w:top w:val="nil"/>
              <w:left w:val="single" w:sz="4" w:space="0" w:color="auto"/>
              <w:bottom w:val="nil"/>
              <w:right w:val="single" w:sz="4" w:space="0" w:color="auto"/>
            </w:tcBorders>
          </w:tcPr>
          <w:p w:rsidR="002106D3" w:rsidRDefault="002106D3" w:rsidP="006B62B6">
            <w:pPr>
              <w:jc w:val="left"/>
              <w:rPr>
                <w:rFonts w:ascii="Arial Narrow" w:hAnsi="Arial Narrow"/>
                <w:b/>
                <w:sz w:val="20"/>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106D3" w:rsidRPr="009F724B" w:rsidRDefault="002106D3" w:rsidP="006B62B6">
            <w:pPr>
              <w:pStyle w:val="ListBullet"/>
              <w:numPr>
                <w:ilvl w:val="0"/>
                <w:numId w:val="0"/>
              </w:numPr>
              <w:spacing w:before="0" w:after="0"/>
              <w:ind w:left="360" w:hanging="360"/>
              <w:jc w:val="left"/>
              <w:rPr>
                <w:rFonts w:ascii="Arial Narrow" w:hAnsi="Arial Narrow"/>
                <w:b/>
                <w:sz w:val="20"/>
              </w:rPr>
            </w:pPr>
            <w:r>
              <w:rPr>
                <w:rFonts w:ascii="Arial Narrow" w:hAnsi="Arial Narrow"/>
                <w:noProof/>
                <w:sz w:val="20"/>
                <w:lang w:eastAsia="en-AU"/>
              </w:rPr>
              <mc:AlternateContent>
                <mc:Choice Requires="wps">
                  <w:drawing>
                    <wp:anchor distT="0" distB="0" distL="114300" distR="114300" simplePos="0" relativeHeight="251660288" behindDoc="0" locked="0" layoutInCell="1" allowOverlap="1" wp14:anchorId="04F572F4" wp14:editId="57479B02">
                      <wp:simplePos x="0" y="0"/>
                      <wp:positionH relativeFrom="column">
                        <wp:posOffset>726588</wp:posOffset>
                      </wp:positionH>
                      <wp:positionV relativeFrom="paragraph">
                        <wp:posOffset>7458</wp:posOffset>
                      </wp:positionV>
                      <wp:extent cx="1275080" cy="10525760"/>
                      <wp:effectExtent l="0" t="0" r="1270" b="8890"/>
                      <wp:wrapNone/>
                      <wp:docPr id="11" name="Up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080" cy="10525760"/>
                              </a:xfrm>
                              <a:prstGeom prst="upArrow">
                                <a:avLst/>
                              </a:prstGeom>
                              <a:solidFill>
                                <a:sysClr val="windowText" lastClr="000000">
                                  <a:alpha val="2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Up Arrow 11" o:spid="_x0000_s1026" type="#_x0000_t68" style="position:absolute;margin-left:57.2pt;margin-top:.6pt;width:100.4pt;height:8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" adj="1308" fillcolor="windowText" stroked="f" strokeweight="2pt">
                      <v:fill opacity="16448f"/>
                      <v:path arrowok="t"/>
                    </v:shape>
                  </w:pict>
                </mc:Fallback>
              </mc:AlternateContent>
            </w:r>
            <w:r w:rsidRPr="009F724B">
              <w:rPr>
                <w:rFonts w:ascii="Arial Narrow" w:hAnsi="Arial Narrow"/>
                <w:b/>
                <w:sz w:val="20"/>
              </w:rPr>
              <w:t xml:space="preserve">Intermediate </w:t>
            </w:r>
            <w:r>
              <w:rPr>
                <w:rFonts w:ascii="Arial Narrow" w:hAnsi="Arial Narrow"/>
                <w:b/>
                <w:sz w:val="20"/>
              </w:rPr>
              <w:t>behaviour changes (O</w:t>
            </w:r>
            <w:r w:rsidRPr="009F724B">
              <w:rPr>
                <w:rFonts w:ascii="Arial Narrow" w:hAnsi="Arial Narrow"/>
                <w:b/>
                <w:sz w:val="20"/>
              </w:rPr>
              <w:t>utcomes</w:t>
            </w:r>
            <w:r>
              <w:rPr>
                <w:rFonts w:ascii="Arial Narrow" w:hAnsi="Arial Narrow"/>
                <w:b/>
                <w:sz w:val="20"/>
              </w:rPr>
              <w:t>)</w:t>
            </w:r>
            <w:r w:rsidRPr="009F724B">
              <w:rPr>
                <w:rFonts w:ascii="Arial Narrow" w:hAnsi="Arial Narrow"/>
                <w:b/>
                <w:sz w:val="20"/>
              </w:rPr>
              <w:t>:</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sidRPr="00BF00F6">
              <w:rPr>
                <w:rFonts w:ascii="Arial Narrow" w:hAnsi="Arial Narrow"/>
                <w:sz w:val="20"/>
              </w:rPr>
              <w:t>Improved revenue efforts</w:t>
            </w:r>
            <w:r>
              <w:rPr>
                <w:rFonts w:ascii="Arial Narrow" w:hAnsi="Arial Narrow"/>
                <w:sz w:val="20"/>
              </w:rPr>
              <w:t xml:space="preserve"> by MoR</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sidRPr="00BF00F6">
              <w:rPr>
                <w:rFonts w:ascii="Arial Narrow" w:hAnsi="Arial Narrow"/>
                <w:sz w:val="20"/>
              </w:rPr>
              <w:t>Improved expenditure management</w:t>
            </w:r>
            <w:r>
              <w:rPr>
                <w:rFonts w:ascii="Arial Narrow" w:hAnsi="Arial Narrow"/>
                <w:sz w:val="20"/>
              </w:rPr>
              <w:t xml:space="preserve"> by MoFNP</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sidRPr="00D20785">
              <w:rPr>
                <w:rFonts w:ascii="Arial Narrow" w:hAnsi="Arial Narrow"/>
                <w:sz w:val="20"/>
              </w:rPr>
              <w:t>Improved economic forecasting</w:t>
            </w:r>
            <w:r>
              <w:rPr>
                <w:rFonts w:ascii="Arial Narrow" w:hAnsi="Arial Narrow"/>
                <w:sz w:val="20"/>
              </w:rPr>
              <w:t xml:space="preserve"> by Statistics Department, MoR &amp; MoFNP</w:t>
            </w:r>
          </w:p>
          <w:p w:rsidR="002106D3" w:rsidRPr="00D20785"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T</w:t>
            </w:r>
            <w:r w:rsidRPr="00D20785">
              <w:rPr>
                <w:rFonts w:ascii="Arial Narrow" w:hAnsi="Arial Narrow"/>
                <w:sz w:val="20"/>
              </w:rPr>
              <w:t xml:space="preserve">ax reforms </w:t>
            </w:r>
            <w:r>
              <w:rPr>
                <w:rFonts w:ascii="Arial Narrow" w:hAnsi="Arial Narrow"/>
                <w:sz w:val="20"/>
              </w:rPr>
              <w:t>implemented by MoR as a result of PFTAC review</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More</w:t>
            </w:r>
            <w:r w:rsidRPr="000D549D">
              <w:rPr>
                <w:rFonts w:ascii="Arial Narrow" w:hAnsi="Arial Narrow"/>
                <w:sz w:val="20"/>
              </w:rPr>
              <w:t xml:space="preserve"> transparen</w:t>
            </w:r>
            <w:r>
              <w:rPr>
                <w:rFonts w:ascii="Arial Narrow" w:hAnsi="Arial Narrow"/>
                <w:sz w:val="20"/>
              </w:rPr>
              <w:t>t</w:t>
            </w:r>
            <w:r w:rsidRPr="000D549D">
              <w:rPr>
                <w:rFonts w:ascii="Arial Narrow" w:hAnsi="Arial Narrow"/>
                <w:sz w:val="20"/>
              </w:rPr>
              <w:t xml:space="preserve"> granting of tax exemptions</w:t>
            </w:r>
            <w:r>
              <w:rPr>
                <w:rFonts w:ascii="Arial Narrow" w:hAnsi="Arial Narrow"/>
                <w:sz w:val="20"/>
              </w:rPr>
              <w:t xml:space="preserve"> by Cabinet</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I</w:t>
            </w:r>
            <w:r w:rsidRPr="00872460">
              <w:rPr>
                <w:rFonts w:ascii="Arial Narrow" w:hAnsi="Arial Narrow"/>
                <w:sz w:val="20"/>
              </w:rPr>
              <w:t xml:space="preserve">mproved public expenditure </w:t>
            </w:r>
            <w:r>
              <w:rPr>
                <w:rFonts w:ascii="Arial Narrow" w:hAnsi="Arial Narrow"/>
                <w:sz w:val="20"/>
              </w:rPr>
              <w:t>planning by MoFNP informed by medium-term expenditure mapping &amp; TSDF priorities</w:t>
            </w:r>
          </w:p>
          <w:p w:rsidR="002106D3" w:rsidRPr="00DC63C9"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lang w:val="en-US"/>
              </w:rPr>
              <w:t>GoT agencies</w:t>
            </w:r>
            <w:r w:rsidRPr="00DC63C9">
              <w:rPr>
                <w:rFonts w:ascii="Arial Narrow" w:hAnsi="Arial Narrow"/>
                <w:sz w:val="20"/>
                <w:lang w:val="en-US"/>
              </w:rPr>
              <w:t xml:space="preserve"> </w:t>
            </w:r>
            <w:r>
              <w:rPr>
                <w:rFonts w:ascii="Arial Narrow" w:hAnsi="Arial Narrow"/>
                <w:sz w:val="20"/>
                <w:lang w:val="en-US"/>
              </w:rPr>
              <w:t>implement</w:t>
            </w:r>
            <w:r w:rsidRPr="00DC63C9">
              <w:rPr>
                <w:rFonts w:ascii="Arial Narrow" w:hAnsi="Arial Narrow"/>
                <w:sz w:val="20"/>
                <w:lang w:val="en-US"/>
              </w:rPr>
              <w:t xml:space="preserve"> key reforms identified in the </w:t>
            </w:r>
            <w:r>
              <w:rPr>
                <w:rFonts w:ascii="Arial Narrow" w:hAnsi="Arial Narrow"/>
                <w:sz w:val="20"/>
                <w:lang w:val="en-US"/>
              </w:rPr>
              <w:t>PFM</w:t>
            </w:r>
            <w:r w:rsidRPr="00DC63C9">
              <w:rPr>
                <w:rFonts w:ascii="Arial Narrow" w:hAnsi="Arial Narrow"/>
                <w:sz w:val="20"/>
                <w:lang w:val="en-US"/>
              </w:rPr>
              <w:t xml:space="preserve"> Reform Plan </w:t>
            </w:r>
            <w:r>
              <w:rPr>
                <w:rFonts w:ascii="Arial Narrow" w:hAnsi="Arial Narrow"/>
                <w:sz w:val="20"/>
                <w:lang w:val="en-US"/>
              </w:rPr>
              <w:t>as</w:t>
            </w:r>
            <w:r w:rsidRPr="00DC63C9">
              <w:rPr>
                <w:rFonts w:ascii="Arial Narrow" w:hAnsi="Arial Narrow"/>
                <w:sz w:val="20"/>
                <w:lang w:val="en-US"/>
              </w:rPr>
              <w:t xml:space="preserve"> agreed by Cabinet in mid-2013</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MoFNP implement and monitor debt strategy</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GoT agencies use performance information to revise PFM Roadmap, sector strategies and Corporate Plans to better fit budget context</w:t>
            </w:r>
          </w:p>
          <w:p w:rsidR="002106D3" w:rsidRPr="002A496A" w:rsidRDefault="002106D3" w:rsidP="006B62B6">
            <w:pPr>
              <w:jc w:val="left"/>
              <w:rPr>
                <w:rFonts w:ascii="Arial Narrow" w:hAnsi="Arial Narrow"/>
                <w:sz w:val="20"/>
              </w:rPr>
            </w:pPr>
          </w:p>
        </w:tc>
        <w:tc>
          <w:tcPr>
            <w:tcW w:w="236" w:type="dxa"/>
            <w:tcBorders>
              <w:top w:val="nil"/>
              <w:left w:val="nil"/>
              <w:bottom w:val="nil"/>
              <w:right w:val="single" w:sz="4" w:space="0" w:color="auto"/>
            </w:tcBorders>
          </w:tcPr>
          <w:p w:rsidR="002106D3" w:rsidRDefault="002106D3" w:rsidP="006B62B6">
            <w:pPr>
              <w:rPr>
                <w:rFonts w:ascii="Arial Narrow" w:hAnsi="Arial Narrow"/>
                <w:b/>
                <w:sz w:val="20"/>
              </w:rPr>
            </w:pPr>
          </w:p>
        </w:tc>
        <w:tc>
          <w:tcPr>
            <w:tcW w:w="4583" w:type="dxa"/>
            <w:gridSpan w:val="3"/>
            <w:tcBorders>
              <w:top w:val="single" w:sz="4" w:space="0" w:color="auto"/>
              <w:left w:val="nil"/>
              <w:bottom w:val="single" w:sz="4" w:space="0" w:color="auto"/>
              <w:right w:val="single" w:sz="4" w:space="0" w:color="auto"/>
            </w:tcBorders>
            <w:shd w:val="clear" w:color="auto" w:fill="DDD9C3" w:themeFill="background2" w:themeFillShade="E6"/>
          </w:tcPr>
          <w:p w:rsidR="002106D3" w:rsidRPr="009F724B" w:rsidRDefault="002106D3" w:rsidP="006B62B6">
            <w:pPr>
              <w:pStyle w:val="ListBullet"/>
              <w:numPr>
                <w:ilvl w:val="0"/>
                <w:numId w:val="0"/>
              </w:numPr>
              <w:spacing w:before="0" w:after="0"/>
              <w:ind w:left="360" w:hanging="360"/>
              <w:jc w:val="left"/>
              <w:rPr>
                <w:rFonts w:ascii="Arial Narrow" w:hAnsi="Arial Narrow"/>
                <w:b/>
                <w:sz w:val="20"/>
              </w:rPr>
            </w:pPr>
            <w:r>
              <w:rPr>
                <w:rFonts w:ascii="Arial Narrow" w:hAnsi="Arial Narrow"/>
                <w:noProof/>
                <w:sz w:val="20"/>
                <w:lang w:eastAsia="en-AU"/>
              </w:rPr>
              <mc:AlternateContent>
                <mc:Choice Requires="wps">
                  <w:drawing>
                    <wp:anchor distT="0" distB="0" distL="114300" distR="114300" simplePos="0" relativeHeight="251661312" behindDoc="0" locked="0" layoutInCell="1" allowOverlap="1" wp14:anchorId="7112878C" wp14:editId="6EE6EE4F">
                      <wp:simplePos x="0" y="0"/>
                      <wp:positionH relativeFrom="column">
                        <wp:posOffset>696728</wp:posOffset>
                      </wp:positionH>
                      <wp:positionV relativeFrom="paragraph">
                        <wp:posOffset>7458</wp:posOffset>
                      </wp:positionV>
                      <wp:extent cx="1275080" cy="10525760"/>
                      <wp:effectExtent l="0" t="0" r="1270" b="8890"/>
                      <wp:wrapNone/>
                      <wp:docPr id="12" name="Up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080" cy="10525760"/>
                              </a:xfrm>
                              <a:prstGeom prst="upArrow">
                                <a:avLst/>
                              </a:prstGeom>
                              <a:solidFill>
                                <a:sysClr val="windowText" lastClr="000000">
                                  <a:alpha val="2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Up Arrow 12" o:spid="_x0000_s1026" type="#_x0000_t68" style="position:absolute;margin-left:54.85pt;margin-top:.6pt;width:100.4pt;height:8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" adj="1308" fillcolor="windowText" stroked="f" strokeweight="2pt">
                      <v:fill opacity="16448f"/>
                      <v:path arrowok="t"/>
                    </v:shape>
                  </w:pict>
                </mc:Fallback>
              </mc:AlternateContent>
            </w:r>
            <w:r w:rsidRPr="009F724B">
              <w:rPr>
                <w:rFonts w:ascii="Arial Narrow" w:hAnsi="Arial Narrow"/>
                <w:b/>
                <w:sz w:val="20"/>
              </w:rPr>
              <w:t xml:space="preserve">Intermediate </w:t>
            </w:r>
            <w:r>
              <w:rPr>
                <w:rFonts w:ascii="Arial Narrow" w:hAnsi="Arial Narrow"/>
                <w:b/>
                <w:sz w:val="20"/>
              </w:rPr>
              <w:t>behaviour changes (O</w:t>
            </w:r>
            <w:r w:rsidRPr="009F724B">
              <w:rPr>
                <w:rFonts w:ascii="Arial Narrow" w:hAnsi="Arial Narrow"/>
                <w:b/>
                <w:sz w:val="20"/>
              </w:rPr>
              <w:t>utcomes</w:t>
            </w:r>
            <w:r>
              <w:rPr>
                <w:rFonts w:ascii="Arial Narrow" w:hAnsi="Arial Narrow"/>
                <w:b/>
                <w:sz w:val="20"/>
              </w:rPr>
              <w:t>)</w:t>
            </w:r>
            <w:r w:rsidRPr="009F724B">
              <w:rPr>
                <w:rFonts w:ascii="Arial Narrow" w:hAnsi="Arial Narrow"/>
                <w:b/>
                <w:sz w:val="20"/>
              </w:rPr>
              <w:t>:</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sidRPr="00D20785">
              <w:rPr>
                <w:rFonts w:ascii="Arial Narrow" w:hAnsi="Arial Narrow"/>
                <w:sz w:val="20"/>
              </w:rPr>
              <w:t>Reform of public enterprises</w:t>
            </w:r>
            <w:r>
              <w:rPr>
                <w:rFonts w:ascii="Arial Narrow" w:hAnsi="Arial Narrow"/>
                <w:sz w:val="20"/>
              </w:rPr>
              <w:t xml:space="preserve"> by MoPE including c</w:t>
            </w:r>
            <w:r w:rsidRPr="00D20785">
              <w:rPr>
                <w:rFonts w:ascii="Arial Narrow" w:hAnsi="Arial Narrow"/>
                <w:sz w:val="20"/>
              </w:rPr>
              <w:t>orporatisation/ privatisation of inefficient SOEs</w:t>
            </w:r>
          </w:p>
          <w:p w:rsidR="002106D3" w:rsidRPr="00703076" w:rsidRDefault="002106D3" w:rsidP="006B62B6">
            <w:pPr>
              <w:pStyle w:val="ListBullet"/>
              <w:tabs>
                <w:tab w:val="clear" w:pos="360"/>
                <w:tab w:val="num" w:pos="142"/>
              </w:tabs>
              <w:spacing w:before="0" w:after="0"/>
              <w:ind w:left="142" w:hanging="142"/>
              <w:jc w:val="left"/>
              <w:rPr>
                <w:rFonts w:ascii="Arial Narrow" w:hAnsi="Arial Narrow"/>
                <w:sz w:val="20"/>
                <w:lang w:val="en-US"/>
              </w:rPr>
            </w:pPr>
            <w:r>
              <w:rPr>
                <w:rFonts w:ascii="Arial Narrow" w:hAnsi="Arial Narrow"/>
                <w:sz w:val="20"/>
                <w:lang w:val="en-US"/>
              </w:rPr>
              <w:t>GoT reforms reduce time and costs needed to start a business</w:t>
            </w:r>
          </w:p>
          <w:p w:rsidR="002106D3" w:rsidRPr="00703076" w:rsidRDefault="002106D3" w:rsidP="006B62B6">
            <w:pPr>
              <w:pStyle w:val="ListBullet"/>
              <w:tabs>
                <w:tab w:val="clear" w:pos="360"/>
                <w:tab w:val="num" w:pos="142"/>
              </w:tabs>
              <w:spacing w:before="0" w:after="0"/>
              <w:ind w:left="142" w:hanging="142"/>
              <w:jc w:val="left"/>
              <w:rPr>
                <w:rFonts w:ascii="Arial Narrow" w:hAnsi="Arial Narrow"/>
                <w:sz w:val="20"/>
                <w:lang w:val="en-US"/>
              </w:rPr>
            </w:pPr>
            <w:r>
              <w:rPr>
                <w:rFonts w:ascii="Arial Narrow" w:hAnsi="Arial Narrow"/>
                <w:sz w:val="20"/>
                <w:lang w:val="en-US"/>
              </w:rPr>
              <w:t>C</w:t>
            </w:r>
            <w:r w:rsidRPr="00703076">
              <w:rPr>
                <w:rFonts w:ascii="Arial Narrow" w:hAnsi="Arial Narrow"/>
                <w:sz w:val="20"/>
                <w:lang w:val="en-US"/>
              </w:rPr>
              <w:t>urrent controls on foreign investment in the fisheries and agriculture sectors</w:t>
            </w:r>
            <w:r>
              <w:rPr>
                <w:rFonts w:ascii="Arial Narrow" w:hAnsi="Arial Narrow"/>
                <w:sz w:val="20"/>
                <w:lang w:val="en-US"/>
              </w:rPr>
              <w:t xml:space="preserve"> removed</w:t>
            </w:r>
          </w:p>
          <w:p w:rsidR="002106D3" w:rsidRDefault="002106D3" w:rsidP="006B62B6">
            <w:pPr>
              <w:pStyle w:val="ListBullet"/>
              <w:tabs>
                <w:tab w:val="clear" w:pos="360"/>
                <w:tab w:val="num" w:pos="142"/>
              </w:tabs>
              <w:spacing w:before="0" w:after="0"/>
              <w:ind w:left="142" w:hanging="142"/>
              <w:jc w:val="left"/>
              <w:rPr>
                <w:rFonts w:ascii="Arial Narrow" w:hAnsi="Arial Narrow"/>
                <w:sz w:val="20"/>
                <w:lang w:val="en-US"/>
              </w:rPr>
            </w:pPr>
            <w:r w:rsidRPr="00703076">
              <w:rPr>
                <w:rFonts w:ascii="Arial Narrow" w:hAnsi="Arial Narrow"/>
                <w:sz w:val="20"/>
                <w:lang w:val="en-US"/>
              </w:rPr>
              <w:t>Cabinet approve</w:t>
            </w:r>
            <w:r>
              <w:rPr>
                <w:rFonts w:ascii="Arial Narrow" w:hAnsi="Arial Narrow"/>
                <w:sz w:val="20"/>
                <w:lang w:val="en-US"/>
              </w:rPr>
              <w:t>s</w:t>
            </w:r>
            <w:r w:rsidRPr="00703076">
              <w:rPr>
                <w:rFonts w:ascii="Arial Narrow" w:hAnsi="Arial Narrow"/>
                <w:sz w:val="20"/>
                <w:lang w:val="en-US"/>
              </w:rPr>
              <w:t xml:space="preserve"> submission </w:t>
            </w:r>
            <w:r>
              <w:rPr>
                <w:rFonts w:ascii="Arial Narrow" w:hAnsi="Arial Narrow"/>
                <w:sz w:val="20"/>
                <w:lang w:val="en-US"/>
              </w:rPr>
              <w:t>of revised</w:t>
            </w:r>
            <w:r w:rsidRPr="00703076">
              <w:rPr>
                <w:rFonts w:ascii="Arial Narrow" w:hAnsi="Arial Narrow"/>
                <w:sz w:val="20"/>
                <w:lang w:val="en-US"/>
              </w:rPr>
              <w:t xml:space="preserve"> Foreign Investment Act</w:t>
            </w:r>
            <w:r>
              <w:rPr>
                <w:rFonts w:ascii="Arial Narrow" w:hAnsi="Arial Narrow"/>
                <w:sz w:val="20"/>
                <w:lang w:val="en-US"/>
              </w:rPr>
              <w:t xml:space="preserve"> to Legislative Assembly</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sidRPr="008158CD">
              <w:rPr>
                <w:rFonts w:ascii="Arial Narrow" w:hAnsi="Arial Narrow"/>
                <w:sz w:val="20"/>
              </w:rPr>
              <w:t>Liquidation of Tonga Investme</w:t>
            </w:r>
            <w:r>
              <w:rPr>
                <w:rFonts w:ascii="Arial Narrow" w:hAnsi="Arial Narrow"/>
                <w:sz w:val="20"/>
              </w:rPr>
              <w:t>nts complete, including privatisation of Home Gas Limited</w:t>
            </w:r>
          </w:p>
          <w:p w:rsidR="002106D3" w:rsidRPr="008158CD"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Liquidate Tonga P</w:t>
            </w:r>
            <w:r w:rsidRPr="008158CD">
              <w:rPr>
                <w:rFonts w:ascii="Arial Narrow" w:hAnsi="Arial Narrow"/>
                <w:sz w:val="20"/>
              </w:rPr>
              <w:t>rint or merge part of its business activities (and re</w:t>
            </w:r>
            <w:r>
              <w:rPr>
                <w:rFonts w:ascii="Arial Narrow" w:hAnsi="Arial Narrow"/>
                <w:sz w:val="20"/>
              </w:rPr>
              <w:t>levant assets) with Tonga Post</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sidRPr="008158CD">
              <w:rPr>
                <w:rFonts w:ascii="Arial Narrow" w:hAnsi="Arial Narrow"/>
                <w:sz w:val="20"/>
              </w:rPr>
              <w:t>Cabinet approv</w:t>
            </w:r>
            <w:r>
              <w:rPr>
                <w:rFonts w:ascii="Arial Narrow" w:hAnsi="Arial Narrow"/>
                <w:sz w:val="20"/>
              </w:rPr>
              <w:t>es</w:t>
            </w:r>
            <w:r w:rsidRPr="008158CD">
              <w:rPr>
                <w:rFonts w:ascii="Arial Narrow" w:hAnsi="Arial Narrow"/>
                <w:sz w:val="20"/>
              </w:rPr>
              <w:t xml:space="preserve"> either a restructuring plan </w:t>
            </w:r>
            <w:r>
              <w:rPr>
                <w:rFonts w:ascii="Arial Narrow" w:hAnsi="Arial Narrow"/>
                <w:sz w:val="20"/>
              </w:rPr>
              <w:t>or key steps towards privatis</w:t>
            </w:r>
            <w:r w:rsidRPr="008158CD">
              <w:rPr>
                <w:rFonts w:ascii="Arial Narrow" w:hAnsi="Arial Narrow"/>
                <w:sz w:val="20"/>
              </w:rPr>
              <w:t xml:space="preserve">ation </w:t>
            </w:r>
            <w:r>
              <w:rPr>
                <w:rFonts w:ascii="Arial Narrow" w:hAnsi="Arial Narrow"/>
                <w:sz w:val="20"/>
              </w:rPr>
              <w:t>for</w:t>
            </w:r>
            <w:r w:rsidRPr="008158CD">
              <w:rPr>
                <w:rFonts w:ascii="Arial Narrow" w:hAnsi="Arial Narrow"/>
                <w:sz w:val="20"/>
              </w:rPr>
              <w:t xml:space="preserve"> TCC to operate as a successful business (as defined in the Public Enterprise Act)</w:t>
            </w:r>
          </w:p>
          <w:p w:rsidR="002106D3" w:rsidRPr="002A496A" w:rsidRDefault="002106D3" w:rsidP="006B62B6">
            <w:pPr>
              <w:jc w:val="left"/>
              <w:rPr>
                <w:rFonts w:ascii="Arial Narrow" w:hAnsi="Arial Narrow"/>
                <w:sz w:val="20"/>
              </w:rPr>
            </w:pPr>
          </w:p>
        </w:tc>
      </w:tr>
      <w:tr w:rsidR="002106D3" w:rsidRPr="00184667" w:rsidTr="006B62B6">
        <w:trPr>
          <w:jc w:val="center"/>
        </w:trPr>
        <w:tc>
          <w:tcPr>
            <w:tcW w:w="2410" w:type="dxa"/>
            <w:tcBorders>
              <w:top w:val="nil"/>
              <w:left w:val="nil"/>
              <w:bottom w:val="nil"/>
              <w:right w:val="single" w:sz="4" w:space="0" w:color="auto"/>
            </w:tcBorders>
          </w:tcPr>
          <w:p w:rsidR="002106D3" w:rsidRPr="00894DC6" w:rsidRDefault="002106D3" w:rsidP="006B62B6">
            <w:pPr>
              <w:rPr>
                <w:rFonts w:ascii="Arial Narrow" w:hAnsi="Arial Narrow"/>
                <w:sz w:val="16"/>
                <w:szCs w:val="16"/>
              </w:rPr>
            </w:pPr>
          </w:p>
        </w:tc>
        <w:tc>
          <w:tcPr>
            <w:tcW w:w="5103" w:type="dxa"/>
            <w:gridSpan w:val="5"/>
            <w:tcBorders>
              <w:top w:val="nil"/>
              <w:left w:val="single" w:sz="4" w:space="0" w:color="auto"/>
              <w:bottom w:val="nil"/>
              <w:right w:val="single" w:sz="4" w:space="0" w:color="auto"/>
            </w:tcBorders>
          </w:tcPr>
          <w:p w:rsidR="002106D3" w:rsidRPr="00894DC6" w:rsidRDefault="002106D3" w:rsidP="006B62B6">
            <w:pPr>
              <w:jc w:val="left"/>
              <w:rPr>
                <w:rFonts w:ascii="Arial Narrow" w:hAnsi="Arial Narrow"/>
                <w:b/>
                <w:sz w:val="16"/>
                <w:szCs w:val="16"/>
              </w:rPr>
            </w:pPr>
          </w:p>
        </w:tc>
        <w:tc>
          <w:tcPr>
            <w:tcW w:w="4820" w:type="dxa"/>
            <w:gridSpan w:val="5"/>
            <w:tcBorders>
              <w:top w:val="nil"/>
              <w:left w:val="single" w:sz="4" w:space="0" w:color="auto"/>
              <w:bottom w:val="nil"/>
              <w:right w:val="single" w:sz="4" w:space="0" w:color="auto"/>
            </w:tcBorders>
          </w:tcPr>
          <w:p w:rsidR="002106D3" w:rsidRPr="00894DC6" w:rsidRDefault="002106D3" w:rsidP="006B62B6">
            <w:pPr>
              <w:rPr>
                <w:rFonts w:ascii="Arial Narrow" w:hAnsi="Arial Narrow"/>
                <w:b/>
                <w:sz w:val="16"/>
                <w:szCs w:val="16"/>
              </w:rPr>
            </w:pPr>
          </w:p>
        </w:tc>
        <w:tc>
          <w:tcPr>
            <w:tcW w:w="2409" w:type="dxa"/>
            <w:tcBorders>
              <w:top w:val="nil"/>
              <w:left w:val="single" w:sz="4" w:space="0" w:color="auto"/>
              <w:bottom w:val="nil"/>
              <w:right w:val="nil"/>
            </w:tcBorders>
          </w:tcPr>
          <w:p w:rsidR="002106D3" w:rsidRPr="00894DC6" w:rsidRDefault="002106D3" w:rsidP="006B62B6">
            <w:pPr>
              <w:rPr>
                <w:rFonts w:ascii="Arial Narrow" w:hAnsi="Arial Narrow"/>
                <w:sz w:val="16"/>
                <w:szCs w:val="16"/>
              </w:rPr>
            </w:pPr>
          </w:p>
        </w:tc>
      </w:tr>
      <w:tr w:rsidR="002106D3" w:rsidRPr="00184667" w:rsidTr="006B62B6">
        <w:trPr>
          <w:jc w:val="center"/>
        </w:trPr>
        <w:tc>
          <w:tcPr>
            <w:tcW w:w="496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rsidR="002106D3" w:rsidRPr="009F724B" w:rsidRDefault="002106D3" w:rsidP="006B62B6">
            <w:pPr>
              <w:pStyle w:val="ListBullet"/>
              <w:numPr>
                <w:ilvl w:val="0"/>
                <w:numId w:val="0"/>
              </w:numPr>
              <w:spacing w:before="0" w:after="0"/>
              <w:ind w:left="360" w:hanging="360"/>
              <w:jc w:val="left"/>
              <w:rPr>
                <w:rFonts w:ascii="Arial Narrow" w:hAnsi="Arial Narrow"/>
                <w:b/>
                <w:sz w:val="20"/>
              </w:rPr>
            </w:pPr>
            <w:r w:rsidRPr="009F724B">
              <w:rPr>
                <w:rFonts w:ascii="Arial Narrow" w:hAnsi="Arial Narrow"/>
                <w:b/>
                <w:sz w:val="20"/>
              </w:rPr>
              <w:t>I</w:t>
            </w:r>
            <w:r>
              <w:rPr>
                <w:rFonts w:ascii="Arial Narrow" w:hAnsi="Arial Narrow"/>
                <w:b/>
                <w:sz w:val="20"/>
              </w:rPr>
              <w:t>mm</w:t>
            </w:r>
            <w:r w:rsidRPr="009F724B">
              <w:rPr>
                <w:rFonts w:ascii="Arial Narrow" w:hAnsi="Arial Narrow"/>
                <w:b/>
                <w:sz w:val="20"/>
              </w:rPr>
              <w:t xml:space="preserve">ediate </w:t>
            </w:r>
            <w:r>
              <w:rPr>
                <w:rFonts w:ascii="Arial Narrow" w:hAnsi="Arial Narrow"/>
                <w:b/>
                <w:sz w:val="20"/>
              </w:rPr>
              <w:t>behaviour changes (O</w:t>
            </w:r>
            <w:r w:rsidRPr="009F724B">
              <w:rPr>
                <w:rFonts w:ascii="Arial Narrow" w:hAnsi="Arial Narrow"/>
                <w:b/>
                <w:sz w:val="20"/>
              </w:rPr>
              <w:t>utcomes</w:t>
            </w:r>
            <w:r>
              <w:rPr>
                <w:rFonts w:ascii="Arial Narrow" w:hAnsi="Arial Narrow"/>
                <w:b/>
                <w:sz w:val="20"/>
              </w:rPr>
              <w:t>)</w:t>
            </w:r>
            <w:r w:rsidRPr="009F724B">
              <w:rPr>
                <w:rFonts w:ascii="Arial Narrow" w:hAnsi="Arial Narrow"/>
                <w:b/>
                <w:sz w:val="20"/>
              </w:rPr>
              <w:t>:</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sidRPr="00D20785">
              <w:rPr>
                <w:rFonts w:ascii="Arial Narrow" w:hAnsi="Arial Narrow"/>
                <w:sz w:val="20"/>
              </w:rPr>
              <w:t>Better reporting and use of national accounts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sidRPr="00D40E69">
              <w:rPr>
                <w:rFonts w:ascii="Arial Narrow" w:hAnsi="Arial Narrow"/>
                <w:sz w:val="20"/>
              </w:rPr>
              <w:t>Hiring freeze implemented across public service</w:t>
            </w:r>
          </w:p>
          <w:p w:rsidR="002106D3" w:rsidRPr="00B17598" w:rsidRDefault="002106D3" w:rsidP="006B62B6">
            <w:pPr>
              <w:pStyle w:val="ListBullet"/>
              <w:tabs>
                <w:tab w:val="clear" w:pos="360"/>
                <w:tab w:val="num" w:pos="142"/>
              </w:tabs>
              <w:spacing w:before="0" w:after="0"/>
              <w:ind w:left="142" w:hanging="142"/>
              <w:jc w:val="left"/>
              <w:rPr>
                <w:rFonts w:ascii="Arial Narrow" w:hAnsi="Arial Narrow"/>
                <w:sz w:val="20"/>
              </w:rPr>
            </w:pPr>
            <w:r w:rsidRPr="003C2165">
              <w:rPr>
                <w:rFonts w:ascii="Arial Narrow" w:hAnsi="Arial Narrow"/>
                <w:sz w:val="20"/>
                <w:lang w:val="en-US"/>
              </w:rPr>
              <w:t>Cabinet approve</w:t>
            </w:r>
            <w:r>
              <w:rPr>
                <w:rFonts w:ascii="Arial Narrow" w:hAnsi="Arial Narrow"/>
                <w:sz w:val="20"/>
                <w:lang w:val="en-US"/>
              </w:rPr>
              <w:t>s</w:t>
            </w:r>
            <w:r w:rsidRPr="003C2165">
              <w:rPr>
                <w:rFonts w:ascii="Arial Narrow" w:hAnsi="Arial Narrow"/>
                <w:sz w:val="20"/>
                <w:lang w:val="en-US"/>
              </w:rPr>
              <w:t xml:space="preserve"> whole-of-government remuneration review while maintaining consistency with macroeconomic sustainability objectives</w:t>
            </w:r>
          </w:p>
          <w:p w:rsidR="002106D3" w:rsidRPr="00001327" w:rsidRDefault="002106D3" w:rsidP="006B62B6">
            <w:pPr>
              <w:pStyle w:val="ListBullet"/>
              <w:tabs>
                <w:tab w:val="clear" w:pos="360"/>
                <w:tab w:val="num" w:pos="142"/>
              </w:tabs>
              <w:spacing w:before="0" w:after="0"/>
              <w:ind w:left="142" w:hanging="142"/>
              <w:jc w:val="left"/>
              <w:rPr>
                <w:rFonts w:ascii="Arial Narrow" w:hAnsi="Arial Narrow"/>
                <w:sz w:val="20"/>
                <w:lang w:val="en-US"/>
              </w:rPr>
            </w:pPr>
            <w:r>
              <w:rPr>
                <w:rFonts w:ascii="Arial Narrow" w:hAnsi="Arial Narrow"/>
                <w:sz w:val="20"/>
                <w:lang w:val="en-US"/>
              </w:rPr>
              <w:t>P</w:t>
            </w:r>
            <w:r w:rsidRPr="00001327">
              <w:rPr>
                <w:rFonts w:ascii="Arial Narrow" w:hAnsi="Arial Narrow"/>
                <w:sz w:val="20"/>
                <w:lang w:val="en-US"/>
              </w:rPr>
              <w:t xml:space="preserve">lanning/budgeting/aid divisions </w:t>
            </w:r>
            <w:r>
              <w:rPr>
                <w:rFonts w:ascii="Arial Narrow" w:hAnsi="Arial Narrow"/>
                <w:sz w:val="20"/>
                <w:lang w:val="en-US"/>
              </w:rPr>
              <w:t xml:space="preserve">of MoFNP, PSC and MoR </w:t>
            </w:r>
            <w:r w:rsidRPr="00001327">
              <w:rPr>
                <w:rFonts w:ascii="Arial Narrow" w:hAnsi="Arial Narrow"/>
                <w:sz w:val="20"/>
                <w:lang w:val="en-US"/>
              </w:rPr>
              <w:t>interact and deploy their staff</w:t>
            </w:r>
            <w:r>
              <w:rPr>
                <w:rFonts w:ascii="Arial Narrow" w:hAnsi="Arial Narrow"/>
                <w:sz w:val="20"/>
                <w:lang w:val="en-US"/>
              </w:rPr>
              <w:t xml:space="preserve"> more efficiently and effectively</w:t>
            </w:r>
          </w:p>
          <w:p w:rsidR="002106D3" w:rsidRPr="00FA4330" w:rsidRDefault="002106D3" w:rsidP="006B62B6">
            <w:pPr>
              <w:pStyle w:val="ListBullet"/>
              <w:tabs>
                <w:tab w:val="clear" w:pos="360"/>
                <w:tab w:val="num" w:pos="142"/>
              </w:tabs>
              <w:spacing w:before="0" w:after="0"/>
              <w:ind w:left="142" w:hanging="142"/>
              <w:jc w:val="left"/>
              <w:rPr>
                <w:rFonts w:ascii="Arial Narrow" w:hAnsi="Arial Narrow"/>
                <w:sz w:val="20"/>
                <w:lang w:eastAsia="en-AU"/>
              </w:rPr>
            </w:pPr>
            <w:r>
              <w:rPr>
                <w:rFonts w:ascii="Arial Narrow" w:hAnsi="Arial Narrow"/>
                <w:sz w:val="20"/>
                <w:lang w:eastAsia="en-AU"/>
              </w:rPr>
              <w:t>S</w:t>
            </w:r>
            <w:r w:rsidRPr="00FA4330">
              <w:rPr>
                <w:rFonts w:ascii="Arial Narrow" w:hAnsi="Arial Narrow"/>
                <w:sz w:val="20"/>
                <w:lang w:eastAsia="en-AU"/>
              </w:rPr>
              <w:t xml:space="preserve">ustainable human capacity building systems </w:t>
            </w:r>
            <w:r>
              <w:rPr>
                <w:rFonts w:ascii="Arial Narrow" w:hAnsi="Arial Narrow"/>
                <w:sz w:val="20"/>
                <w:lang w:eastAsia="en-AU"/>
              </w:rPr>
              <w:t xml:space="preserve">developed for public servants </w:t>
            </w:r>
            <w:r w:rsidRPr="00FA4330">
              <w:rPr>
                <w:rFonts w:ascii="Arial Narrow" w:hAnsi="Arial Narrow"/>
                <w:sz w:val="20"/>
                <w:lang w:eastAsia="en-AU"/>
              </w:rPr>
              <w:t>in partner</w:t>
            </w:r>
            <w:r>
              <w:rPr>
                <w:rFonts w:ascii="Arial Narrow" w:hAnsi="Arial Narrow"/>
                <w:sz w:val="20"/>
                <w:lang w:eastAsia="en-AU"/>
              </w:rPr>
              <w:t>ship with regional institutions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Performance management system used by PSC, MoFNP and MoR to inform implementation of Corporate Plan</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Performance audit findings are implemented by GoT agencies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PSC coordinates implementation of Organisational Development Program</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Audit reports used by CEOs and readily available to public</w:t>
            </w:r>
          </w:p>
          <w:p w:rsidR="002106D3" w:rsidRPr="002A496A" w:rsidRDefault="002106D3" w:rsidP="006B62B6">
            <w:pPr>
              <w:jc w:val="left"/>
              <w:rPr>
                <w:rFonts w:ascii="Arial Narrow" w:hAnsi="Arial Narrow"/>
                <w:sz w:val="20"/>
              </w:rPr>
            </w:pPr>
          </w:p>
        </w:tc>
        <w:tc>
          <w:tcPr>
            <w:tcW w:w="283" w:type="dxa"/>
            <w:tcBorders>
              <w:top w:val="nil"/>
              <w:left w:val="single" w:sz="4" w:space="0" w:color="auto"/>
              <w:bottom w:val="nil"/>
              <w:right w:val="single" w:sz="4" w:space="0" w:color="auto"/>
            </w:tcBorders>
          </w:tcPr>
          <w:p w:rsidR="002106D3" w:rsidRDefault="002106D3" w:rsidP="006B62B6">
            <w:pPr>
              <w:jc w:val="left"/>
              <w:rPr>
                <w:rFonts w:ascii="Arial Narrow" w:hAnsi="Arial Narrow"/>
                <w:b/>
                <w:sz w:val="20"/>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rsidR="002106D3" w:rsidRPr="009F724B" w:rsidRDefault="002106D3" w:rsidP="006B62B6">
            <w:pPr>
              <w:pStyle w:val="ListBullet"/>
              <w:numPr>
                <w:ilvl w:val="0"/>
                <w:numId w:val="0"/>
              </w:numPr>
              <w:spacing w:before="0" w:after="0"/>
              <w:ind w:left="360" w:hanging="360"/>
              <w:jc w:val="left"/>
              <w:rPr>
                <w:rFonts w:ascii="Arial Narrow" w:hAnsi="Arial Narrow"/>
                <w:b/>
                <w:sz w:val="20"/>
              </w:rPr>
            </w:pPr>
            <w:r w:rsidRPr="009F724B">
              <w:rPr>
                <w:rFonts w:ascii="Arial Narrow" w:hAnsi="Arial Narrow"/>
                <w:b/>
                <w:sz w:val="20"/>
              </w:rPr>
              <w:t>I</w:t>
            </w:r>
            <w:r>
              <w:rPr>
                <w:rFonts w:ascii="Arial Narrow" w:hAnsi="Arial Narrow"/>
                <w:b/>
                <w:sz w:val="20"/>
              </w:rPr>
              <w:t>mm</w:t>
            </w:r>
            <w:r w:rsidRPr="009F724B">
              <w:rPr>
                <w:rFonts w:ascii="Arial Narrow" w:hAnsi="Arial Narrow"/>
                <w:b/>
                <w:sz w:val="20"/>
              </w:rPr>
              <w:t xml:space="preserve">ediate </w:t>
            </w:r>
            <w:r>
              <w:rPr>
                <w:rFonts w:ascii="Arial Narrow" w:hAnsi="Arial Narrow"/>
                <w:b/>
                <w:sz w:val="20"/>
              </w:rPr>
              <w:t>behaviour changes (O</w:t>
            </w:r>
            <w:r w:rsidRPr="009F724B">
              <w:rPr>
                <w:rFonts w:ascii="Arial Narrow" w:hAnsi="Arial Narrow"/>
                <w:b/>
                <w:sz w:val="20"/>
              </w:rPr>
              <w:t>utcomes</w:t>
            </w:r>
            <w:r>
              <w:rPr>
                <w:rFonts w:ascii="Arial Narrow" w:hAnsi="Arial Narrow"/>
                <w:b/>
                <w:sz w:val="20"/>
              </w:rPr>
              <w:t>)</w:t>
            </w:r>
            <w:r w:rsidRPr="009F724B">
              <w:rPr>
                <w:rFonts w:ascii="Arial Narrow" w:hAnsi="Arial Narrow"/>
                <w:b/>
                <w:sz w:val="20"/>
              </w:rPr>
              <w:t>:</w:t>
            </w:r>
          </w:p>
          <w:p w:rsidR="002106D3" w:rsidRPr="000D2518"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Tax officers, accountants and auditors implement professional good practice standards</w:t>
            </w:r>
          </w:p>
          <w:p w:rsidR="002106D3" w:rsidRPr="00DC63C9" w:rsidRDefault="002106D3" w:rsidP="006B62B6">
            <w:pPr>
              <w:pStyle w:val="ListBullet"/>
              <w:tabs>
                <w:tab w:val="clear" w:pos="360"/>
                <w:tab w:val="num" w:pos="142"/>
              </w:tabs>
              <w:spacing w:before="0" w:after="0"/>
              <w:ind w:left="142" w:hanging="142"/>
              <w:jc w:val="left"/>
              <w:rPr>
                <w:rFonts w:ascii="Arial Narrow" w:hAnsi="Arial Narrow"/>
                <w:sz w:val="20"/>
              </w:rPr>
            </w:pPr>
            <w:r w:rsidRPr="00DC63C9">
              <w:rPr>
                <w:rFonts w:ascii="Arial Narrow" w:hAnsi="Arial Narrow"/>
                <w:sz w:val="20"/>
                <w:shd w:val="clear" w:color="auto" w:fill="C6D9F1"/>
                <w:lang w:val="en-US"/>
              </w:rPr>
              <w:t>Cabinet approve</w:t>
            </w:r>
            <w:r>
              <w:rPr>
                <w:rFonts w:ascii="Arial Narrow" w:hAnsi="Arial Narrow"/>
                <w:sz w:val="20"/>
                <w:shd w:val="clear" w:color="auto" w:fill="C6D9F1"/>
                <w:lang w:val="en-US"/>
              </w:rPr>
              <w:t>s</w:t>
            </w:r>
            <w:r w:rsidRPr="00DC63C9">
              <w:rPr>
                <w:rFonts w:ascii="Arial Narrow" w:hAnsi="Arial Narrow"/>
                <w:sz w:val="20"/>
                <w:shd w:val="clear" w:color="auto" w:fill="C6D9F1"/>
                <w:lang w:val="en-US"/>
              </w:rPr>
              <w:t xml:space="preserve"> Revenue Working Group recommendations </w:t>
            </w:r>
            <w:r>
              <w:rPr>
                <w:rFonts w:ascii="Arial Narrow" w:hAnsi="Arial Narrow"/>
                <w:sz w:val="20"/>
                <w:shd w:val="clear" w:color="auto" w:fill="C6D9F1"/>
                <w:lang w:val="en-US"/>
              </w:rPr>
              <w:t>as the framework for</w:t>
            </w:r>
            <w:r w:rsidRPr="00DC63C9">
              <w:rPr>
                <w:rFonts w:ascii="Arial Narrow" w:hAnsi="Arial Narrow"/>
                <w:sz w:val="20"/>
                <w:shd w:val="clear" w:color="auto" w:fill="C6D9F1"/>
                <w:lang w:val="en-US"/>
              </w:rPr>
              <w:t xml:space="preserve"> exemptions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sidRPr="00872460">
              <w:rPr>
                <w:rFonts w:ascii="Arial Narrow" w:hAnsi="Arial Narrow"/>
                <w:sz w:val="20"/>
              </w:rPr>
              <w:t xml:space="preserve">Improved alignment between </w:t>
            </w:r>
            <w:r>
              <w:rPr>
                <w:rFonts w:ascii="Arial Narrow" w:hAnsi="Arial Narrow"/>
                <w:sz w:val="20"/>
              </w:rPr>
              <w:t>TSDF</w:t>
            </w:r>
            <w:r w:rsidRPr="00872460">
              <w:rPr>
                <w:rFonts w:ascii="Arial Narrow" w:hAnsi="Arial Narrow"/>
                <w:sz w:val="20"/>
              </w:rPr>
              <w:t xml:space="preserve"> priorities and budget outcomes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sidRPr="00763953">
              <w:rPr>
                <w:rFonts w:ascii="Arial Narrow" w:hAnsi="Arial Narrow"/>
                <w:sz w:val="20"/>
              </w:rPr>
              <w:t>Improved linkages between Corporate Plans and MTBF</w:t>
            </w:r>
          </w:p>
          <w:p w:rsidR="002106D3" w:rsidRPr="005F5F60"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lang w:eastAsia="en-AU"/>
              </w:rPr>
              <w:t>Tax and C</w:t>
            </w:r>
            <w:r w:rsidRPr="005F5F60">
              <w:rPr>
                <w:rFonts w:ascii="Arial Narrow" w:hAnsi="Arial Narrow"/>
                <w:sz w:val="20"/>
                <w:lang w:eastAsia="en-AU"/>
              </w:rPr>
              <w:t xml:space="preserve">ustoms </w:t>
            </w:r>
            <w:r>
              <w:rPr>
                <w:rFonts w:ascii="Arial Narrow" w:hAnsi="Arial Narrow"/>
                <w:sz w:val="20"/>
                <w:lang w:eastAsia="en-AU"/>
              </w:rPr>
              <w:t xml:space="preserve">staff use </w:t>
            </w:r>
            <w:r w:rsidRPr="005F5F60">
              <w:rPr>
                <w:rFonts w:ascii="Arial Narrow" w:hAnsi="Arial Narrow"/>
                <w:sz w:val="20"/>
                <w:lang w:eastAsia="en-AU"/>
              </w:rPr>
              <w:t>IT systems for more effective and efficient revenue collection</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MoFNP and MoR</w:t>
            </w:r>
            <w:r w:rsidRPr="00001327">
              <w:rPr>
                <w:rFonts w:ascii="Arial Narrow" w:hAnsi="Arial Narrow"/>
                <w:sz w:val="20"/>
              </w:rPr>
              <w:t xml:space="preserve"> integrat</w:t>
            </w:r>
            <w:r>
              <w:rPr>
                <w:rFonts w:ascii="Arial Narrow" w:hAnsi="Arial Narrow"/>
                <w:sz w:val="20"/>
              </w:rPr>
              <w:t>e</w:t>
            </w:r>
            <w:r w:rsidRPr="00001327">
              <w:rPr>
                <w:rFonts w:ascii="Arial Narrow" w:hAnsi="Arial Narrow"/>
                <w:sz w:val="20"/>
              </w:rPr>
              <w:t xml:space="preserve"> corporate planning and budgeting processes and documents to improve the policy focus during budget preparation</w:t>
            </w:r>
            <w:r>
              <w:rPr>
                <w:rFonts w:ascii="Arial Narrow" w:hAnsi="Arial Narrow"/>
                <w:sz w:val="20"/>
              </w:rPr>
              <w:t xml:space="preserve"> and linkages to TSDF</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Budget prioritises allocation of resources to TSDF outputs</w:t>
            </w:r>
          </w:p>
          <w:p w:rsidR="002106D3" w:rsidRPr="00F72815" w:rsidRDefault="002106D3" w:rsidP="006B62B6">
            <w:pPr>
              <w:pStyle w:val="ListBullet"/>
              <w:tabs>
                <w:tab w:val="clear" w:pos="360"/>
                <w:tab w:val="num" w:pos="142"/>
              </w:tabs>
              <w:spacing w:before="0" w:after="0"/>
              <w:ind w:left="142" w:hanging="142"/>
              <w:jc w:val="left"/>
              <w:rPr>
                <w:rFonts w:ascii="Arial Narrow" w:hAnsi="Arial Narrow"/>
                <w:sz w:val="20"/>
              </w:rPr>
            </w:pPr>
            <w:r w:rsidRPr="00F72815">
              <w:rPr>
                <w:rFonts w:ascii="Arial Narrow" w:hAnsi="Arial Narrow"/>
                <w:sz w:val="20"/>
              </w:rPr>
              <w:t>Cabinet submi</w:t>
            </w:r>
            <w:r>
              <w:rPr>
                <w:rFonts w:ascii="Arial Narrow" w:hAnsi="Arial Narrow"/>
                <w:sz w:val="20"/>
              </w:rPr>
              <w:t>ts</w:t>
            </w:r>
            <w:r w:rsidRPr="00F72815">
              <w:rPr>
                <w:rFonts w:ascii="Arial Narrow" w:hAnsi="Arial Narrow"/>
                <w:sz w:val="20"/>
              </w:rPr>
              <w:t xml:space="preserve"> legislation </w:t>
            </w:r>
            <w:r>
              <w:rPr>
                <w:rFonts w:ascii="Arial Narrow" w:hAnsi="Arial Narrow"/>
                <w:sz w:val="20"/>
              </w:rPr>
              <w:t>for</w:t>
            </w:r>
            <w:r w:rsidRPr="00F72815">
              <w:rPr>
                <w:rFonts w:ascii="Arial Narrow" w:hAnsi="Arial Narrow"/>
                <w:sz w:val="20"/>
              </w:rPr>
              <w:t xml:space="preserve"> a presumptive tax regime for SMEs</w:t>
            </w:r>
            <w:r>
              <w:rPr>
                <w:rFonts w:ascii="Arial Narrow" w:hAnsi="Arial Narrow"/>
                <w:sz w:val="20"/>
              </w:rPr>
              <w:t xml:space="preserve"> to Legislative Assembly</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sidRPr="00F72815">
              <w:rPr>
                <w:rFonts w:ascii="Arial Narrow" w:hAnsi="Arial Narrow"/>
                <w:sz w:val="20"/>
              </w:rPr>
              <w:t xml:space="preserve">Cabinet </w:t>
            </w:r>
            <w:r>
              <w:rPr>
                <w:rFonts w:ascii="Arial Narrow" w:hAnsi="Arial Narrow"/>
                <w:sz w:val="20"/>
              </w:rPr>
              <w:t>submits legislation for natural resource tax regime</w:t>
            </w:r>
          </w:p>
          <w:p w:rsidR="002106D3" w:rsidRPr="00184667" w:rsidRDefault="002106D3" w:rsidP="006B62B6">
            <w:pPr>
              <w:pStyle w:val="ListBullet"/>
              <w:tabs>
                <w:tab w:val="clear" w:pos="360"/>
                <w:tab w:val="num" w:pos="142"/>
              </w:tabs>
              <w:spacing w:before="0" w:after="0"/>
              <w:ind w:left="142" w:hanging="142"/>
              <w:jc w:val="left"/>
              <w:rPr>
                <w:rFonts w:ascii="Arial Narrow" w:hAnsi="Arial Narrow"/>
                <w:b/>
                <w:sz w:val="20"/>
              </w:rPr>
            </w:pPr>
            <w:r w:rsidRPr="001A1D8A">
              <w:rPr>
                <w:rFonts w:ascii="Arial Narrow" w:hAnsi="Arial Narrow"/>
                <w:sz w:val="20"/>
              </w:rPr>
              <w:t>GoT encourages establishment of Tonga Society of Accountants</w:t>
            </w:r>
          </w:p>
        </w:tc>
        <w:tc>
          <w:tcPr>
            <w:tcW w:w="236" w:type="dxa"/>
            <w:tcBorders>
              <w:top w:val="nil"/>
              <w:left w:val="single" w:sz="4" w:space="0" w:color="auto"/>
              <w:bottom w:val="nil"/>
              <w:right w:val="single" w:sz="4" w:space="0" w:color="auto"/>
            </w:tcBorders>
          </w:tcPr>
          <w:p w:rsidR="002106D3" w:rsidRDefault="002106D3" w:rsidP="006B62B6">
            <w:pPr>
              <w:rPr>
                <w:rFonts w:ascii="Arial Narrow" w:hAnsi="Arial Narrow"/>
                <w:b/>
                <w:sz w:val="20"/>
              </w:rPr>
            </w:pPr>
          </w:p>
        </w:tc>
        <w:tc>
          <w:tcPr>
            <w:tcW w:w="4583"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rsidR="002106D3" w:rsidRPr="009F724B" w:rsidRDefault="002106D3" w:rsidP="006B62B6">
            <w:pPr>
              <w:pStyle w:val="ListBullet"/>
              <w:numPr>
                <w:ilvl w:val="0"/>
                <w:numId w:val="0"/>
              </w:numPr>
              <w:spacing w:before="0" w:after="0"/>
              <w:ind w:left="360" w:hanging="360"/>
              <w:jc w:val="left"/>
              <w:rPr>
                <w:rFonts w:ascii="Arial Narrow" w:hAnsi="Arial Narrow"/>
                <w:b/>
                <w:sz w:val="20"/>
              </w:rPr>
            </w:pPr>
            <w:r w:rsidRPr="009F724B">
              <w:rPr>
                <w:rFonts w:ascii="Arial Narrow" w:hAnsi="Arial Narrow"/>
                <w:b/>
                <w:sz w:val="20"/>
              </w:rPr>
              <w:t>I</w:t>
            </w:r>
            <w:r>
              <w:rPr>
                <w:rFonts w:ascii="Arial Narrow" w:hAnsi="Arial Narrow"/>
                <w:b/>
                <w:sz w:val="20"/>
              </w:rPr>
              <w:t>mm</w:t>
            </w:r>
            <w:r w:rsidRPr="009F724B">
              <w:rPr>
                <w:rFonts w:ascii="Arial Narrow" w:hAnsi="Arial Narrow"/>
                <w:b/>
                <w:sz w:val="20"/>
              </w:rPr>
              <w:t xml:space="preserve">ediate </w:t>
            </w:r>
            <w:r>
              <w:rPr>
                <w:rFonts w:ascii="Arial Narrow" w:hAnsi="Arial Narrow"/>
                <w:b/>
                <w:sz w:val="20"/>
              </w:rPr>
              <w:t>behaviour changes (O</w:t>
            </w:r>
            <w:r w:rsidRPr="009F724B">
              <w:rPr>
                <w:rFonts w:ascii="Arial Narrow" w:hAnsi="Arial Narrow"/>
                <w:b/>
                <w:sz w:val="20"/>
              </w:rPr>
              <w:t>utcomes</w:t>
            </w:r>
            <w:r>
              <w:rPr>
                <w:rFonts w:ascii="Arial Narrow" w:hAnsi="Arial Narrow"/>
                <w:b/>
                <w:sz w:val="20"/>
              </w:rPr>
              <w:t>)</w:t>
            </w:r>
            <w:r w:rsidRPr="009F724B">
              <w:rPr>
                <w:rFonts w:ascii="Arial Narrow" w:hAnsi="Arial Narrow"/>
                <w:b/>
                <w:sz w:val="20"/>
              </w:rPr>
              <w:t>:</w:t>
            </w:r>
          </w:p>
          <w:p w:rsidR="002106D3" w:rsidRPr="001A2DF6" w:rsidRDefault="002106D3" w:rsidP="006B62B6">
            <w:pPr>
              <w:pStyle w:val="ListBullet"/>
              <w:tabs>
                <w:tab w:val="clear" w:pos="360"/>
                <w:tab w:val="num" w:pos="142"/>
              </w:tabs>
              <w:spacing w:before="0" w:after="0"/>
              <w:ind w:left="142" w:hanging="142"/>
              <w:jc w:val="left"/>
              <w:rPr>
                <w:rFonts w:ascii="Arial Narrow" w:hAnsi="Arial Narrow"/>
                <w:sz w:val="20"/>
                <w:lang w:val="en-US"/>
              </w:rPr>
            </w:pPr>
            <w:r w:rsidRPr="001A2DF6">
              <w:rPr>
                <w:rFonts w:ascii="Arial Narrow" w:hAnsi="Arial Narrow"/>
                <w:sz w:val="20"/>
                <w:lang w:val="en-US"/>
              </w:rPr>
              <w:t>Competi</w:t>
            </w:r>
            <w:r>
              <w:rPr>
                <w:rFonts w:ascii="Arial Narrow" w:hAnsi="Arial Narrow"/>
                <w:sz w:val="20"/>
                <w:lang w:val="en-US"/>
              </w:rPr>
              <w:t>tion policy approved by Cabinet and submitted to the Legislative A</w:t>
            </w:r>
            <w:r w:rsidRPr="001A2DF6">
              <w:rPr>
                <w:rFonts w:ascii="Arial Narrow" w:hAnsi="Arial Narrow"/>
                <w:sz w:val="20"/>
                <w:lang w:val="en-US"/>
              </w:rPr>
              <w:t>ssembly</w:t>
            </w:r>
          </w:p>
          <w:p w:rsidR="002106D3" w:rsidRPr="001A2DF6" w:rsidRDefault="002106D3" w:rsidP="006B62B6">
            <w:pPr>
              <w:pStyle w:val="ListBullet"/>
              <w:tabs>
                <w:tab w:val="clear" w:pos="360"/>
                <w:tab w:val="num" w:pos="142"/>
              </w:tabs>
              <w:spacing w:before="0" w:after="0"/>
              <w:ind w:left="142" w:hanging="142"/>
              <w:jc w:val="left"/>
              <w:rPr>
                <w:rFonts w:ascii="Arial Narrow" w:hAnsi="Arial Narrow"/>
                <w:sz w:val="20"/>
                <w:lang w:val="en-US"/>
              </w:rPr>
            </w:pPr>
            <w:r w:rsidRPr="001A2DF6">
              <w:rPr>
                <w:rFonts w:ascii="Arial Narrow" w:hAnsi="Arial Narrow"/>
                <w:sz w:val="20"/>
                <w:lang w:val="en-US"/>
              </w:rPr>
              <w:t>Bankruptcy Bill approved b</w:t>
            </w:r>
            <w:r>
              <w:rPr>
                <w:rFonts w:ascii="Arial Narrow" w:hAnsi="Arial Narrow"/>
                <w:sz w:val="20"/>
                <w:lang w:val="en-US"/>
              </w:rPr>
              <w:t>y Cabinet and submitted to the Legislative A</w:t>
            </w:r>
            <w:r w:rsidRPr="001A2DF6">
              <w:rPr>
                <w:rFonts w:ascii="Arial Narrow" w:hAnsi="Arial Narrow"/>
                <w:sz w:val="20"/>
                <w:lang w:val="en-US"/>
              </w:rPr>
              <w:t>ssembly</w:t>
            </w:r>
          </w:p>
          <w:p w:rsidR="002106D3" w:rsidRDefault="002106D3" w:rsidP="006B62B6">
            <w:pPr>
              <w:pStyle w:val="ListBullet"/>
              <w:tabs>
                <w:tab w:val="clear" w:pos="360"/>
                <w:tab w:val="num" w:pos="142"/>
              </w:tabs>
              <w:spacing w:before="0" w:after="0"/>
              <w:ind w:left="142" w:hanging="142"/>
              <w:jc w:val="left"/>
              <w:rPr>
                <w:rFonts w:ascii="Arial Narrow" w:hAnsi="Arial Narrow"/>
                <w:sz w:val="20"/>
                <w:lang w:val="en-US"/>
              </w:rPr>
            </w:pPr>
            <w:r w:rsidRPr="00703076">
              <w:rPr>
                <w:rFonts w:ascii="Arial Narrow" w:hAnsi="Arial Narrow"/>
                <w:sz w:val="20"/>
                <w:lang w:val="en-US"/>
              </w:rPr>
              <w:t>Cabinet approve</w:t>
            </w:r>
            <w:r>
              <w:rPr>
                <w:rFonts w:ascii="Arial Narrow" w:hAnsi="Arial Narrow"/>
                <w:sz w:val="20"/>
                <w:lang w:val="en-US"/>
              </w:rPr>
              <w:t>s</w:t>
            </w:r>
            <w:r w:rsidRPr="00703076">
              <w:rPr>
                <w:rFonts w:ascii="Arial Narrow" w:hAnsi="Arial Narrow"/>
                <w:sz w:val="20"/>
                <w:lang w:val="en-US"/>
              </w:rPr>
              <w:t xml:space="preserve"> submission of revis</w:t>
            </w:r>
            <w:r>
              <w:rPr>
                <w:rFonts w:ascii="Arial Narrow" w:hAnsi="Arial Narrow"/>
                <w:sz w:val="20"/>
                <w:lang w:val="en-US"/>
              </w:rPr>
              <w:t>ed</w:t>
            </w:r>
            <w:r w:rsidRPr="00703076">
              <w:rPr>
                <w:rFonts w:ascii="Arial Narrow" w:hAnsi="Arial Narrow"/>
                <w:sz w:val="20"/>
                <w:lang w:val="en-US"/>
              </w:rPr>
              <w:t xml:space="preserve"> Business Names </w:t>
            </w:r>
            <w:r>
              <w:rPr>
                <w:rFonts w:ascii="Arial Narrow" w:hAnsi="Arial Narrow"/>
                <w:sz w:val="20"/>
                <w:lang w:val="en-US"/>
              </w:rPr>
              <w:t>Act to Legislative Assembly</w:t>
            </w:r>
          </w:p>
          <w:p w:rsidR="002106D3" w:rsidRPr="008158CD" w:rsidRDefault="002106D3" w:rsidP="006B62B6">
            <w:pPr>
              <w:pStyle w:val="ListBullet"/>
              <w:tabs>
                <w:tab w:val="clear" w:pos="360"/>
                <w:tab w:val="num" w:pos="142"/>
              </w:tabs>
              <w:spacing w:before="0" w:after="0"/>
              <w:ind w:left="142" w:hanging="142"/>
              <w:jc w:val="left"/>
              <w:rPr>
                <w:rFonts w:ascii="Arial Narrow" w:hAnsi="Arial Narrow"/>
                <w:sz w:val="20"/>
              </w:rPr>
            </w:pPr>
            <w:r w:rsidRPr="008158CD">
              <w:rPr>
                <w:rFonts w:ascii="Arial Narrow" w:hAnsi="Arial Narrow"/>
                <w:sz w:val="20"/>
              </w:rPr>
              <w:t>Cabinet approve</w:t>
            </w:r>
            <w:r>
              <w:rPr>
                <w:rFonts w:ascii="Arial Narrow" w:hAnsi="Arial Narrow"/>
                <w:sz w:val="20"/>
              </w:rPr>
              <w:t>s</w:t>
            </w:r>
            <w:r w:rsidRPr="008158CD">
              <w:rPr>
                <w:rFonts w:ascii="Arial Narrow" w:hAnsi="Arial Narrow"/>
                <w:sz w:val="20"/>
              </w:rPr>
              <w:t xml:space="preserve"> advertisement for expressions of interest in private sector participation in the refurbishment and management of t</w:t>
            </w:r>
            <w:r>
              <w:rPr>
                <w:rFonts w:ascii="Arial Narrow" w:hAnsi="Arial Narrow"/>
                <w:sz w:val="20"/>
              </w:rPr>
              <w:t>he International Dateline Hotel</w:t>
            </w:r>
          </w:p>
          <w:p w:rsidR="002106D3" w:rsidRPr="003F7D0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lang w:val="en-US"/>
              </w:rPr>
              <w:t>M</w:t>
            </w:r>
            <w:r w:rsidRPr="003F7D03">
              <w:rPr>
                <w:rFonts w:ascii="Arial Narrow" w:hAnsi="Arial Narrow"/>
                <w:sz w:val="20"/>
                <w:lang w:val="en-US"/>
              </w:rPr>
              <w:t xml:space="preserve">ajority of SOEs </w:t>
            </w:r>
            <w:r>
              <w:rPr>
                <w:rFonts w:ascii="Arial Narrow" w:hAnsi="Arial Narrow"/>
                <w:sz w:val="20"/>
                <w:lang w:val="en-US"/>
              </w:rPr>
              <w:t>p</w:t>
            </w:r>
            <w:r w:rsidRPr="003F7D03">
              <w:rPr>
                <w:rFonts w:ascii="Arial Narrow" w:hAnsi="Arial Narrow"/>
                <w:sz w:val="20"/>
                <w:lang w:val="en-US"/>
              </w:rPr>
              <w:t>rogress towards compliance with Public Enterprise Act</w:t>
            </w:r>
          </w:p>
          <w:p w:rsidR="002106D3" w:rsidRPr="003F7D0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lang w:val="en-US"/>
              </w:rPr>
              <w:t>Majority</w:t>
            </w:r>
            <w:r w:rsidRPr="003F7D03">
              <w:rPr>
                <w:rFonts w:ascii="Arial Narrow" w:hAnsi="Arial Narrow"/>
                <w:sz w:val="20"/>
                <w:lang w:val="en-US"/>
              </w:rPr>
              <w:t xml:space="preserve"> of SOEs </w:t>
            </w:r>
            <w:r>
              <w:rPr>
                <w:rFonts w:ascii="Arial Narrow" w:hAnsi="Arial Narrow"/>
                <w:sz w:val="20"/>
                <w:lang w:val="en-US"/>
              </w:rPr>
              <w:t>conduct</w:t>
            </w:r>
            <w:r w:rsidRPr="003F7D03">
              <w:rPr>
                <w:rFonts w:ascii="Arial Narrow" w:hAnsi="Arial Narrow"/>
                <w:sz w:val="20"/>
                <w:lang w:val="en-US"/>
              </w:rPr>
              <w:t xml:space="preserve"> director performance review process</w:t>
            </w:r>
            <w:r>
              <w:rPr>
                <w:rFonts w:ascii="Arial Narrow" w:hAnsi="Arial Narrow"/>
                <w:sz w:val="20"/>
                <w:lang w:val="en-US"/>
              </w:rPr>
              <w:t>es for MoPE</w:t>
            </w:r>
          </w:p>
          <w:p w:rsidR="002106D3" w:rsidRPr="003F7D03" w:rsidRDefault="002106D3" w:rsidP="006B62B6">
            <w:pPr>
              <w:pStyle w:val="ListBullet"/>
              <w:tabs>
                <w:tab w:val="clear" w:pos="360"/>
                <w:tab w:val="num" w:pos="142"/>
              </w:tabs>
              <w:spacing w:before="0" w:after="0"/>
              <w:ind w:left="142" w:hanging="142"/>
              <w:jc w:val="left"/>
              <w:rPr>
                <w:rFonts w:ascii="Arial Narrow" w:hAnsi="Arial Narrow"/>
                <w:sz w:val="20"/>
              </w:rPr>
            </w:pPr>
            <w:r w:rsidRPr="003F7D03">
              <w:rPr>
                <w:rFonts w:ascii="Arial Narrow" w:hAnsi="Arial Narrow"/>
                <w:sz w:val="20"/>
                <w:lang w:val="en-US"/>
              </w:rPr>
              <w:t>Cabinet approves a SOE director skills-based selection and appointment process</w:t>
            </w:r>
          </w:p>
          <w:p w:rsidR="002106D3" w:rsidRPr="002A496A" w:rsidRDefault="002106D3" w:rsidP="006B62B6">
            <w:pPr>
              <w:pStyle w:val="ListBullet"/>
              <w:numPr>
                <w:ilvl w:val="0"/>
                <w:numId w:val="0"/>
              </w:numPr>
              <w:spacing w:before="0" w:after="0"/>
              <w:jc w:val="left"/>
              <w:rPr>
                <w:rFonts w:ascii="Arial Narrow" w:hAnsi="Arial Narrow"/>
                <w:sz w:val="20"/>
              </w:rPr>
            </w:pPr>
          </w:p>
        </w:tc>
      </w:tr>
      <w:tr w:rsidR="002106D3" w:rsidRPr="00184667" w:rsidTr="006B62B6">
        <w:trPr>
          <w:jc w:val="center"/>
        </w:trPr>
        <w:tc>
          <w:tcPr>
            <w:tcW w:w="2410" w:type="dxa"/>
            <w:tcBorders>
              <w:top w:val="nil"/>
              <w:left w:val="nil"/>
              <w:bottom w:val="nil"/>
              <w:right w:val="single" w:sz="4" w:space="0" w:color="auto"/>
            </w:tcBorders>
          </w:tcPr>
          <w:p w:rsidR="002106D3" w:rsidRPr="00894DC6" w:rsidRDefault="002106D3" w:rsidP="006B62B6">
            <w:pPr>
              <w:rPr>
                <w:rFonts w:ascii="Arial Narrow" w:hAnsi="Arial Narrow"/>
                <w:sz w:val="16"/>
                <w:szCs w:val="16"/>
              </w:rPr>
            </w:pPr>
          </w:p>
        </w:tc>
        <w:tc>
          <w:tcPr>
            <w:tcW w:w="5103" w:type="dxa"/>
            <w:gridSpan w:val="5"/>
            <w:tcBorders>
              <w:top w:val="nil"/>
              <w:left w:val="single" w:sz="4" w:space="0" w:color="auto"/>
              <w:bottom w:val="nil"/>
              <w:right w:val="single" w:sz="4" w:space="0" w:color="auto"/>
            </w:tcBorders>
          </w:tcPr>
          <w:p w:rsidR="002106D3" w:rsidRPr="00894DC6" w:rsidRDefault="002106D3" w:rsidP="006B62B6">
            <w:pPr>
              <w:jc w:val="left"/>
              <w:rPr>
                <w:rFonts w:ascii="Arial Narrow" w:hAnsi="Arial Narrow"/>
                <w:b/>
                <w:sz w:val="16"/>
                <w:szCs w:val="16"/>
              </w:rPr>
            </w:pPr>
          </w:p>
        </w:tc>
        <w:tc>
          <w:tcPr>
            <w:tcW w:w="4820" w:type="dxa"/>
            <w:gridSpan w:val="5"/>
            <w:tcBorders>
              <w:top w:val="nil"/>
              <w:left w:val="single" w:sz="4" w:space="0" w:color="auto"/>
              <w:bottom w:val="nil"/>
              <w:right w:val="single" w:sz="4" w:space="0" w:color="auto"/>
            </w:tcBorders>
          </w:tcPr>
          <w:p w:rsidR="002106D3" w:rsidRPr="00894DC6" w:rsidRDefault="002106D3" w:rsidP="006B62B6">
            <w:pPr>
              <w:rPr>
                <w:rFonts w:ascii="Arial Narrow" w:hAnsi="Arial Narrow"/>
                <w:b/>
                <w:sz w:val="16"/>
                <w:szCs w:val="16"/>
              </w:rPr>
            </w:pPr>
          </w:p>
        </w:tc>
        <w:tc>
          <w:tcPr>
            <w:tcW w:w="2409" w:type="dxa"/>
            <w:tcBorders>
              <w:top w:val="nil"/>
              <w:left w:val="single" w:sz="4" w:space="0" w:color="auto"/>
              <w:bottom w:val="nil"/>
              <w:right w:val="nil"/>
            </w:tcBorders>
          </w:tcPr>
          <w:p w:rsidR="002106D3" w:rsidRPr="00894DC6" w:rsidRDefault="002106D3" w:rsidP="006B62B6">
            <w:pPr>
              <w:rPr>
                <w:rFonts w:ascii="Arial Narrow" w:hAnsi="Arial Narrow"/>
                <w:sz w:val="16"/>
                <w:szCs w:val="16"/>
              </w:rPr>
            </w:pPr>
          </w:p>
        </w:tc>
      </w:tr>
      <w:tr w:rsidR="002106D3" w:rsidRPr="00184667" w:rsidTr="006B62B6">
        <w:trPr>
          <w:jc w:val="center"/>
        </w:trPr>
        <w:tc>
          <w:tcPr>
            <w:tcW w:w="4962" w:type="dxa"/>
            <w:gridSpan w:val="3"/>
            <w:tcBorders>
              <w:top w:val="dashed" w:sz="4" w:space="0" w:color="auto"/>
              <w:left w:val="dashed" w:sz="4" w:space="0" w:color="auto"/>
              <w:bottom w:val="dashed" w:sz="4" w:space="0" w:color="auto"/>
              <w:right w:val="nil"/>
            </w:tcBorders>
            <w:shd w:val="clear" w:color="auto" w:fill="F2DBDB" w:themeFill="accent2" w:themeFillTint="33"/>
          </w:tcPr>
          <w:p w:rsidR="002106D3" w:rsidRDefault="002106D3" w:rsidP="006B62B6">
            <w:pPr>
              <w:jc w:val="left"/>
              <w:rPr>
                <w:rFonts w:ascii="Arial Narrow" w:hAnsi="Arial Narrow"/>
                <w:b/>
                <w:sz w:val="20"/>
              </w:rPr>
            </w:pPr>
            <w:r>
              <w:rPr>
                <w:rFonts w:ascii="Arial Narrow" w:hAnsi="Arial Narrow"/>
                <w:b/>
                <w:sz w:val="20"/>
              </w:rPr>
              <w:t>Knowledge, attitudes, skills, aspirations</w:t>
            </w:r>
          </w:p>
          <w:p w:rsidR="002106D3" w:rsidRPr="000D2518"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Public servants have knowledge and skills in: presentation of complex information for effective communication; use of performance management systems; and good practice procurement</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MoFNP and MoR staff have knowledge and skills to operate and maintain FMIS/CMS/RMS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lang w:eastAsia="en-AU"/>
              </w:rPr>
              <w:t>I</w:t>
            </w:r>
            <w:r w:rsidRPr="005F5F60">
              <w:rPr>
                <w:rFonts w:ascii="Arial Narrow" w:hAnsi="Arial Narrow"/>
                <w:sz w:val="20"/>
                <w:lang w:eastAsia="en-AU"/>
              </w:rPr>
              <w:t>mprove</w:t>
            </w:r>
            <w:r>
              <w:rPr>
                <w:rFonts w:ascii="Arial Narrow" w:hAnsi="Arial Narrow"/>
                <w:sz w:val="20"/>
                <w:lang w:eastAsia="en-AU"/>
              </w:rPr>
              <w:t>d</w:t>
            </w:r>
            <w:r w:rsidRPr="005F5F60">
              <w:rPr>
                <w:rFonts w:ascii="Arial Narrow" w:hAnsi="Arial Narrow"/>
                <w:sz w:val="20"/>
                <w:lang w:eastAsia="en-AU"/>
              </w:rPr>
              <w:t xml:space="preserve"> PFM skills of staff in line ministries</w:t>
            </w:r>
          </w:p>
          <w:p w:rsidR="002106D3" w:rsidRPr="000D2518"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 xml:space="preserve">Civil society knowledge and skills on </w:t>
            </w:r>
            <w:r w:rsidRPr="00781085">
              <w:rPr>
                <w:rFonts w:ascii="Arial Narrow" w:hAnsi="Arial Narrow"/>
                <w:sz w:val="20"/>
              </w:rPr>
              <w:t>budget interpretation and public finance transparency</w:t>
            </w:r>
          </w:p>
          <w:p w:rsidR="002106D3" w:rsidRPr="000D2518"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Agency CEOs have knowledge and skills to use performance audits for continuous improvement of their agencies</w:t>
            </w:r>
          </w:p>
          <w:p w:rsidR="002106D3" w:rsidRPr="00184667" w:rsidRDefault="002106D3" w:rsidP="006B62B6">
            <w:pPr>
              <w:jc w:val="left"/>
              <w:rPr>
                <w:rFonts w:ascii="Arial Narrow" w:hAnsi="Arial Narrow"/>
                <w:b/>
                <w:sz w:val="20"/>
              </w:rPr>
            </w:pPr>
          </w:p>
        </w:tc>
        <w:tc>
          <w:tcPr>
            <w:tcW w:w="283" w:type="dxa"/>
            <w:tcBorders>
              <w:top w:val="nil"/>
              <w:left w:val="nil"/>
              <w:bottom w:val="nil"/>
              <w:right w:val="dashed" w:sz="4" w:space="0" w:color="auto"/>
            </w:tcBorders>
          </w:tcPr>
          <w:p w:rsidR="002106D3" w:rsidRDefault="002106D3" w:rsidP="006B62B6">
            <w:pPr>
              <w:jc w:val="left"/>
              <w:rPr>
                <w:rFonts w:ascii="Arial Narrow" w:hAnsi="Arial Narrow"/>
                <w:b/>
                <w:sz w:val="20"/>
              </w:rPr>
            </w:pPr>
          </w:p>
        </w:tc>
        <w:tc>
          <w:tcPr>
            <w:tcW w:w="4678" w:type="dxa"/>
            <w:gridSpan w:val="4"/>
            <w:tcBorders>
              <w:top w:val="dashed" w:sz="4" w:space="0" w:color="auto"/>
              <w:left w:val="dashed" w:sz="4" w:space="0" w:color="auto"/>
              <w:bottom w:val="dashed" w:sz="4" w:space="0" w:color="auto"/>
              <w:right w:val="nil"/>
            </w:tcBorders>
            <w:shd w:val="clear" w:color="auto" w:fill="F2DBDB" w:themeFill="accent2" w:themeFillTint="33"/>
          </w:tcPr>
          <w:p w:rsidR="002106D3" w:rsidRDefault="002106D3" w:rsidP="006B62B6">
            <w:pPr>
              <w:jc w:val="left"/>
              <w:rPr>
                <w:rFonts w:ascii="Arial Narrow" w:hAnsi="Arial Narrow"/>
                <w:b/>
                <w:sz w:val="20"/>
              </w:rPr>
            </w:pPr>
            <w:r>
              <w:rPr>
                <w:rFonts w:ascii="Arial Narrow" w:hAnsi="Arial Narrow"/>
                <w:b/>
                <w:sz w:val="20"/>
              </w:rPr>
              <w:t>Knowledge, attitudes, skills, aspirations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MoFNP and MoR staff have knowledge and skills to operate and maintain FMIS/CMS/RMS</w:t>
            </w:r>
          </w:p>
          <w:p w:rsidR="002106D3" w:rsidRPr="000D2518"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 xml:space="preserve">Civil society knowledge and skills on </w:t>
            </w:r>
            <w:r w:rsidRPr="00781085">
              <w:rPr>
                <w:rFonts w:ascii="Arial Narrow" w:hAnsi="Arial Narrow"/>
                <w:sz w:val="20"/>
              </w:rPr>
              <w:t>budget interpretation and public finance transparency</w:t>
            </w:r>
          </w:p>
          <w:p w:rsidR="002106D3" w:rsidRPr="000D2518"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6 Sector growth Committees aware of PFM reforms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MoR prosecutions staff have knowledge and skills to relate to police and Office of Solicitor General</w:t>
            </w:r>
          </w:p>
          <w:p w:rsidR="002106D3" w:rsidRPr="000D2518"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Tax officers, accountants and auditors aware of certified good practice standards for professionals</w:t>
            </w:r>
          </w:p>
          <w:p w:rsidR="002106D3" w:rsidRPr="00184667" w:rsidRDefault="002106D3" w:rsidP="006B62B6">
            <w:pPr>
              <w:jc w:val="left"/>
              <w:rPr>
                <w:rFonts w:ascii="Arial Narrow" w:hAnsi="Arial Narrow"/>
                <w:b/>
                <w:sz w:val="20"/>
              </w:rPr>
            </w:pPr>
          </w:p>
        </w:tc>
        <w:tc>
          <w:tcPr>
            <w:tcW w:w="236" w:type="dxa"/>
            <w:tcBorders>
              <w:top w:val="nil"/>
              <w:left w:val="nil"/>
              <w:bottom w:val="nil"/>
              <w:right w:val="dashed" w:sz="4" w:space="0" w:color="auto"/>
            </w:tcBorders>
          </w:tcPr>
          <w:p w:rsidR="002106D3" w:rsidRDefault="002106D3" w:rsidP="006B62B6">
            <w:pPr>
              <w:rPr>
                <w:rFonts w:ascii="Arial Narrow" w:hAnsi="Arial Narrow"/>
                <w:b/>
                <w:sz w:val="20"/>
              </w:rPr>
            </w:pPr>
          </w:p>
        </w:tc>
        <w:tc>
          <w:tcPr>
            <w:tcW w:w="4583" w:type="dxa"/>
            <w:gridSpan w:val="3"/>
            <w:tcBorders>
              <w:top w:val="dashed" w:sz="4" w:space="0" w:color="auto"/>
              <w:left w:val="dashed" w:sz="4" w:space="0" w:color="auto"/>
              <w:bottom w:val="dashed" w:sz="4" w:space="0" w:color="auto"/>
              <w:right w:val="nil"/>
            </w:tcBorders>
            <w:shd w:val="clear" w:color="auto" w:fill="F2DBDB" w:themeFill="accent2" w:themeFillTint="33"/>
          </w:tcPr>
          <w:p w:rsidR="002106D3" w:rsidRDefault="002106D3" w:rsidP="006B62B6">
            <w:pPr>
              <w:jc w:val="left"/>
              <w:rPr>
                <w:rFonts w:ascii="Arial Narrow" w:hAnsi="Arial Narrow"/>
                <w:b/>
                <w:sz w:val="20"/>
              </w:rPr>
            </w:pPr>
            <w:r>
              <w:rPr>
                <w:rFonts w:ascii="Arial Narrow" w:hAnsi="Arial Narrow"/>
                <w:b/>
                <w:sz w:val="20"/>
              </w:rPr>
              <w:t>Knowledge, attitudes, skills, aspirations</w:t>
            </w:r>
          </w:p>
          <w:p w:rsidR="002106D3" w:rsidRPr="000D2518"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SOE Directors have knowledge and skills as required under the Public Enterprises Act</w:t>
            </w:r>
          </w:p>
          <w:p w:rsidR="002106D3" w:rsidRPr="000D2518"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CEOs, SOE Directors and private sector company officers have knowledge and skills needed to comply with relevant GoT regulations</w:t>
            </w:r>
          </w:p>
          <w:p w:rsidR="002106D3" w:rsidRPr="000D2518" w:rsidRDefault="002106D3" w:rsidP="006B62B6">
            <w:pPr>
              <w:pStyle w:val="ListBullet"/>
              <w:tabs>
                <w:tab w:val="clear" w:pos="360"/>
                <w:tab w:val="num" w:pos="142"/>
              </w:tabs>
              <w:spacing w:before="0" w:after="0"/>
              <w:ind w:left="142" w:hanging="142"/>
              <w:jc w:val="left"/>
              <w:rPr>
                <w:rFonts w:ascii="Arial Narrow" w:hAnsi="Arial Narrow"/>
                <w:sz w:val="20"/>
              </w:rPr>
            </w:pPr>
          </w:p>
          <w:p w:rsidR="002106D3" w:rsidRPr="00184667" w:rsidRDefault="002106D3" w:rsidP="006B62B6">
            <w:pPr>
              <w:jc w:val="left"/>
              <w:rPr>
                <w:rFonts w:ascii="Arial Narrow" w:hAnsi="Arial Narrow"/>
                <w:b/>
                <w:sz w:val="20"/>
              </w:rPr>
            </w:pPr>
          </w:p>
        </w:tc>
      </w:tr>
      <w:tr w:rsidR="002106D3" w:rsidRPr="00184667" w:rsidTr="006B62B6">
        <w:trPr>
          <w:jc w:val="center"/>
        </w:trPr>
        <w:tc>
          <w:tcPr>
            <w:tcW w:w="2410" w:type="dxa"/>
            <w:tcBorders>
              <w:top w:val="nil"/>
              <w:left w:val="nil"/>
              <w:bottom w:val="nil"/>
              <w:right w:val="single" w:sz="4" w:space="0" w:color="auto"/>
            </w:tcBorders>
          </w:tcPr>
          <w:p w:rsidR="002106D3" w:rsidRPr="00894DC6" w:rsidRDefault="002106D3" w:rsidP="006B62B6">
            <w:pPr>
              <w:rPr>
                <w:rFonts w:ascii="Arial Narrow" w:hAnsi="Arial Narrow"/>
                <w:sz w:val="16"/>
                <w:szCs w:val="16"/>
              </w:rPr>
            </w:pPr>
          </w:p>
        </w:tc>
        <w:tc>
          <w:tcPr>
            <w:tcW w:w="5103" w:type="dxa"/>
            <w:gridSpan w:val="5"/>
            <w:tcBorders>
              <w:top w:val="nil"/>
              <w:left w:val="single" w:sz="4" w:space="0" w:color="auto"/>
              <w:bottom w:val="nil"/>
              <w:right w:val="single" w:sz="4" w:space="0" w:color="auto"/>
            </w:tcBorders>
          </w:tcPr>
          <w:p w:rsidR="002106D3" w:rsidRPr="00894DC6" w:rsidRDefault="002106D3" w:rsidP="006B62B6">
            <w:pPr>
              <w:jc w:val="left"/>
              <w:rPr>
                <w:rFonts w:ascii="Arial Narrow" w:hAnsi="Arial Narrow"/>
                <w:b/>
                <w:sz w:val="16"/>
                <w:szCs w:val="16"/>
              </w:rPr>
            </w:pPr>
          </w:p>
        </w:tc>
        <w:tc>
          <w:tcPr>
            <w:tcW w:w="4820" w:type="dxa"/>
            <w:gridSpan w:val="5"/>
            <w:tcBorders>
              <w:top w:val="nil"/>
              <w:left w:val="single" w:sz="4" w:space="0" w:color="auto"/>
              <w:bottom w:val="nil"/>
              <w:right w:val="single" w:sz="4" w:space="0" w:color="auto"/>
            </w:tcBorders>
          </w:tcPr>
          <w:p w:rsidR="002106D3" w:rsidRPr="00894DC6" w:rsidRDefault="002106D3" w:rsidP="006B62B6">
            <w:pPr>
              <w:rPr>
                <w:rFonts w:ascii="Arial Narrow" w:hAnsi="Arial Narrow"/>
                <w:b/>
                <w:sz w:val="16"/>
                <w:szCs w:val="16"/>
              </w:rPr>
            </w:pPr>
          </w:p>
        </w:tc>
        <w:tc>
          <w:tcPr>
            <w:tcW w:w="2409" w:type="dxa"/>
            <w:tcBorders>
              <w:top w:val="nil"/>
              <w:left w:val="single" w:sz="4" w:space="0" w:color="auto"/>
              <w:bottom w:val="nil"/>
              <w:right w:val="nil"/>
            </w:tcBorders>
          </w:tcPr>
          <w:p w:rsidR="002106D3" w:rsidRPr="00894DC6" w:rsidRDefault="002106D3" w:rsidP="006B62B6">
            <w:pPr>
              <w:rPr>
                <w:rFonts w:ascii="Arial Narrow" w:hAnsi="Arial Narrow"/>
                <w:sz w:val="16"/>
                <w:szCs w:val="16"/>
              </w:rPr>
            </w:pPr>
          </w:p>
        </w:tc>
      </w:tr>
      <w:tr w:rsidR="002106D3" w:rsidRPr="00184667" w:rsidTr="006B62B6">
        <w:trPr>
          <w:jc w:val="center"/>
        </w:trPr>
        <w:tc>
          <w:tcPr>
            <w:tcW w:w="4962"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106D3" w:rsidRPr="009F724B" w:rsidRDefault="002106D3" w:rsidP="006B62B6">
            <w:pPr>
              <w:pStyle w:val="ListBullet"/>
              <w:numPr>
                <w:ilvl w:val="0"/>
                <w:numId w:val="0"/>
              </w:numPr>
              <w:spacing w:before="0" w:after="0"/>
              <w:ind w:left="360" w:hanging="360"/>
              <w:jc w:val="left"/>
              <w:rPr>
                <w:rFonts w:ascii="Arial Narrow" w:hAnsi="Arial Narrow"/>
                <w:b/>
                <w:sz w:val="20"/>
              </w:rPr>
            </w:pPr>
            <w:r>
              <w:rPr>
                <w:rFonts w:ascii="Arial Narrow" w:hAnsi="Arial Narrow"/>
                <w:b/>
                <w:sz w:val="20"/>
              </w:rPr>
              <w:t>Products and deliverables (Outputs)</w:t>
            </w:r>
            <w:r w:rsidRPr="009F724B">
              <w:rPr>
                <w:rFonts w:ascii="Arial Narrow" w:hAnsi="Arial Narrow"/>
                <w:b/>
                <w:sz w:val="20"/>
              </w:rPr>
              <w:t>:</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System to monitor implementation of Cabinet &amp; PSC decisions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PSC Organisational Development Program with summary of HRD activities from Corporate Plans accepted for action</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Public sector performance audits and baseline of capacity</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TA outputs to strengthen procurement capacity</w:t>
            </w:r>
          </w:p>
          <w:p w:rsidR="002106D3" w:rsidRPr="00AF3B7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lang w:eastAsia="en-AU"/>
              </w:rPr>
              <w:t xml:space="preserve">Public servants trained to use </w:t>
            </w:r>
            <w:r w:rsidRPr="005F5F60">
              <w:rPr>
                <w:rFonts w:ascii="Arial Narrow" w:hAnsi="Arial Narrow"/>
                <w:sz w:val="20"/>
                <w:lang w:eastAsia="en-AU"/>
              </w:rPr>
              <w:t xml:space="preserve">enhancements to </w:t>
            </w:r>
            <w:r>
              <w:rPr>
                <w:rFonts w:ascii="Arial Narrow" w:hAnsi="Arial Narrow"/>
                <w:sz w:val="20"/>
                <w:lang w:eastAsia="en-AU"/>
              </w:rPr>
              <w:t xml:space="preserve">FMIS/CMS/ RMS </w:t>
            </w:r>
            <w:r w:rsidRPr="00AF3B73">
              <w:rPr>
                <w:rFonts w:ascii="Arial Narrow" w:hAnsi="Arial Narrow"/>
                <w:sz w:val="20"/>
                <w:lang w:eastAsia="en-AU"/>
              </w:rPr>
              <w:t>and payroll system</w:t>
            </w:r>
          </w:p>
          <w:p w:rsidR="002106D3" w:rsidRPr="00AF3B73" w:rsidRDefault="002106D3" w:rsidP="006B62B6">
            <w:pPr>
              <w:pStyle w:val="ListBullet"/>
              <w:tabs>
                <w:tab w:val="clear" w:pos="360"/>
                <w:tab w:val="num" w:pos="142"/>
              </w:tabs>
              <w:spacing w:before="0" w:after="0"/>
              <w:ind w:left="142" w:hanging="142"/>
              <w:jc w:val="left"/>
              <w:rPr>
                <w:rFonts w:ascii="Arial Narrow" w:hAnsi="Arial Narrow"/>
                <w:sz w:val="20"/>
              </w:rPr>
            </w:pPr>
            <w:r w:rsidRPr="00AF3B73">
              <w:rPr>
                <w:rFonts w:ascii="Arial Narrow" w:hAnsi="Arial Narrow"/>
                <w:sz w:val="20"/>
              </w:rPr>
              <w:t>IT systems upgraded (FMIS/</w:t>
            </w:r>
            <w:r>
              <w:rPr>
                <w:rFonts w:ascii="Arial Narrow" w:hAnsi="Arial Narrow"/>
                <w:sz w:val="20"/>
              </w:rPr>
              <w:t>Payroll System</w:t>
            </w:r>
            <w:r w:rsidRPr="00AF3B73">
              <w:rPr>
                <w:rFonts w:ascii="Arial Narrow" w:hAnsi="Arial Narrow"/>
                <w:sz w:val="20"/>
              </w:rPr>
              <w:t>)</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sidRPr="00AF3B73">
              <w:rPr>
                <w:rFonts w:ascii="Arial Narrow" w:hAnsi="Arial Narrow"/>
                <w:sz w:val="20"/>
              </w:rPr>
              <w:t>Implement</w:t>
            </w:r>
            <w:r w:rsidRPr="00781085">
              <w:rPr>
                <w:rFonts w:ascii="Arial Narrow" w:hAnsi="Arial Narrow"/>
                <w:sz w:val="20"/>
              </w:rPr>
              <w:t xml:space="preserve"> a program of civil society training on budget interpretation and public finance transparency</w:t>
            </w:r>
          </w:p>
          <w:p w:rsidR="002106D3" w:rsidRPr="003C2165"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lang w:val="en-US"/>
              </w:rPr>
              <w:t>W</w:t>
            </w:r>
            <w:r w:rsidRPr="003C2165">
              <w:rPr>
                <w:rFonts w:ascii="Arial Narrow" w:hAnsi="Arial Narrow"/>
                <w:sz w:val="20"/>
                <w:lang w:val="en-US"/>
              </w:rPr>
              <w:t xml:space="preserve">hole-of-government remuneration review </w:t>
            </w:r>
            <w:r>
              <w:rPr>
                <w:rFonts w:ascii="Arial Narrow" w:hAnsi="Arial Narrow"/>
                <w:sz w:val="20"/>
                <w:lang w:val="en-US"/>
              </w:rPr>
              <w:t>of</w:t>
            </w:r>
            <w:r w:rsidRPr="003C2165">
              <w:rPr>
                <w:rFonts w:ascii="Arial Narrow" w:hAnsi="Arial Narrow"/>
                <w:sz w:val="20"/>
                <w:lang w:val="en-US"/>
              </w:rPr>
              <w:t xml:space="preserve">: i) existing anomalies and inconsistencies in staff pay and conditions; ii) alignment between established positions and roles required under revised ministry structures; and iii) </w:t>
            </w:r>
            <w:r>
              <w:rPr>
                <w:rFonts w:ascii="Arial Narrow" w:hAnsi="Arial Narrow"/>
                <w:sz w:val="20"/>
                <w:lang w:val="en-US"/>
              </w:rPr>
              <w:t>vital vacant posts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PSC Corporate Plan</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Performance Management System and related manuals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Audit reports synthesised in transparent accountability system</w:t>
            </w:r>
          </w:p>
          <w:p w:rsidR="002106D3" w:rsidRPr="00184667" w:rsidRDefault="002106D3" w:rsidP="006B62B6">
            <w:pPr>
              <w:jc w:val="left"/>
              <w:rPr>
                <w:rFonts w:ascii="Arial Narrow" w:hAnsi="Arial Narrow"/>
                <w:b/>
                <w:sz w:val="20"/>
              </w:rPr>
            </w:pPr>
          </w:p>
        </w:tc>
        <w:tc>
          <w:tcPr>
            <w:tcW w:w="283" w:type="dxa"/>
            <w:tcBorders>
              <w:top w:val="nil"/>
              <w:left w:val="single" w:sz="4" w:space="0" w:color="auto"/>
              <w:bottom w:val="nil"/>
              <w:right w:val="single" w:sz="4" w:space="0" w:color="auto"/>
            </w:tcBorders>
          </w:tcPr>
          <w:p w:rsidR="002106D3" w:rsidRDefault="002106D3" w:rsidP="006B62B6">
            <w:pPr>
              <w:jc w:val="left"/>
              <w:rPr>
                <w:rFonts w:ascii="Arial Narrow" w:hAnsi="Arial Narrow"/>
                <w:b/>
                <w:sz w:val="20"/>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106D3" w:rsidRPr="009F724B" w:rsidRDefault="002106D3" w:rsidP="006B62B6">
            <w:pPr>
              <w:pStyle w:val="ListBullet"/>
              <w:numPr>
                <w:ilvl w:val="0"/>
                <w:numId w:val="0"/>
              </w:numPr>
              <w:spacing w:before="0" w:after="0"/>
              <w:ind w:left="360" w:hanging="360"/>
              <w:jc w:val="left"/>
              <w:rPr>
                <w:rFonts w:ascii="Arial Narrow" w:hAnsi="Arial Narrow"/>
                <w:b/>
                <w:sz w:val="20"/>
              </w:rPr>
            </w:pPr>
            <w:r>
              <w:rPr>
                <w:rFonts w:ascii="Arial Narrow" w:hAnsi="Arial Narrow"/>
                <w:b/>
                <w:sz w:val="20"/>
              </w:rPr>
              <w:t>Products and deliverables (Outputs)</w:t>
            </w:r>
            <w:r w:rsidRPr="009F724B">
              <w:rPr>
                <w:rFonts w:ascii="Arial Narrow" w:hAnsi="Arial Narrow"/>
                <w:b/>
                <w:sz w:val="20"/>
              </w:rPr>
              <w:t>:</w:t>
            </w:r>
          </w:p>
          <w:p w:rsidR="002106D3" w:rsidRPr="00AF3B7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lang w:eastAsia="en-AU"/>
              </w:rPr>
              <w:t xml:space="preserve">Public servants trained to use </w:t>
            </w:r>
            <w:r w:rsidRPr="005F5F60">
              <w:rPr>
                <w:rFonts w:ascii="Arial Narrow" w:hAnsi="Arial Narrow"/>
                <w:sz w:val="20"/>
                <w:lang w:eastAsia="en-AU"/>
              </w:rPr>
              <w:t xml:space="preserve">enhancements to </w:t>
            </w:r>
            <w:r>
              <w:rPr>
                <w:rFonts w:ascii="Arial Narrow" w:hAnsi="Arial Narrow"/>
                <w:sz w:val="20"/>
                <w:lang w:eastAsia="en-AU"/>
              </w:rPr>
              <w:t xml:space="preserve">FMIS/CMS/ RMS </w:t>
            </w:r>
            <w:r w:rsidRPr="00AF3B73">
              <w:rPr>
                <w:rFonts w:ascii="Arial Narrow" w:hAnsi="Arial Narrow"/>
                <w:sz w:val="20"/>
                <w:lang w:eastAsia="en-AU"/>
              </w:rPr>
              <w:t>and payroll system</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On-line tax/customs payment from 2016</w:t>
            </w:r>
          </w:p>
          <w:p w:rsidR="002106D3" w:rsidRPr="00AF3B73" w:rsidRDefault="002106D3" w:rsidP="006B62B6">
            <w:pPr>
              <w:pStyle w:val="ListBullet"/>
              <w:tabs>
                <w:tab w:val="clear" w:pos="360"/>
                <w:tab w:val="num" w:pos="142"/>
              </w:tabs>
              <w:spacing w:before="0" w:after="0"/>
              <w:ind w:left="142" w:hanging="142"/>
              <w:jc w:val="left"/>
              <w:rPr>
                <w:rFonts w:ascii="Arial Narrow" w:hAnsi="Arial Narrow"/>
                <w:sz w:val="20"/>
              </w:rPr>
            </w:pPr>
            <w:r w:rsidRPr="00AF3B73">
              <w:rPr>
                <w:rFonts w:ascii="Arial Narrow" w:hAnsi="Arial Narrow"/>
                <w:sz w:val="20"/>
              </w:rPr>
              <w:t>IT systems upgraded (FMIS/CMS/ RMS)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sidRPr="00763953">
              <w:rPr>
                <w:rFonts w:ascii="Arial Narrow" w:hAnsi="Arial Narrow"/>
                <w:sz w:val="20"/>
              </w:rPr>
              <w:t xml:space="preserve">PFM Road Map </w:t>
            </w:r>
            <w:r>
              <w:rPr>
                <w:rFonts w:ascii="Arial Narrow" w:hAnsi="Arial Narrow"/>
                <w:sz w:val="20"/>
              </w:rPr>
              <w:t>reviewed and updated</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Corporate plans for MoFNP, MoR, SD</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P</w:t>
            </w:r>
            <w:r w:rsidRPr="00001327">
              <w:rPr>
                <w:rFonts w:ascii="Arial Narrow" w:hAnsi="Arial Narrow"/>
                <w:sz w:val="20"/>
              </w:rPr>
              <w:t>ilot</w:t>
            </w:r>
            <w:r>
              <w:rPr>
                <w:rFonts w:ascii="Arial Narrow" w:hAnsi="Arial Narrow"/>
                <w:sz w:val="20"/>
              </w:rPr>
              <w:t xml:space="preserve">s of </w:t>
            </w:r>
            <w:r w:rsidRPr="00001327">
              <w:rPr>
                <w:rFonts w:ascii="Arial Narrow" w:hAnsi="Arial Narrow"/>
                <w:sz w:val="20"/>
              </w:rPr>
              <w:t xml:space="preserve">better approaches </w:t>
            </w:r>
            <w:r>
              <w:rPr>
                <w:rFonts w:ascii="Arial Narrow" w:hAnsi="Arial Narrow"/>
                <w:sz w:val="20"/>
              </w:rPr>
              <w:t xml:space="preserve">to estimate and budget </w:t>
            </w:r>
            <w:r w:rsidRPr="00001327">
              <w:rPr>
                <w:rFonts w:ascii="Arial Narrow" w:hAnsi="Arial Narrow"/>
                <w:sz w:val="20"/>
              </w:rPr>
              <w:t>resources for critical capital repair or replacement</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sidRPr="00DC63C9">
              <w:rPr>
                <w:rFonts w:ascii="Arial Narrow" w:hAnsi="Arial Narrow"/>
                <w:sz w:val="20"/>
              </w:rPr>
              <w:t>Government delivers new program structures for major ministries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R</w:t>
            </w:r>
            <w:r w:rsidRPr="00DC63C9">
              <w:rPr>
                <w:rFonts w:ascii="Arial Narrow" w:hAnsi="Arial Narrow"/>
                <w:sz w:val="20"/>
              </w:rPr>
              <w:t>ecommendations arising from Revenue Working Group review of tax exemptions and their consistency with Government policy prioritie</w:t>
            </w:r>
            <w:r>
              <w:rPr>
                <w:rFonts w:ascii="Arial Narrow" w:hAnsi="Arial Narrow"/>
                <w:sz w:val="20"/>
              </w:rPr>
              <w:t>s</w:t>
            </w:r>
          </w:p>
          <w:p w:rsidR="002106D3" w:rsidRPr="00F72815"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Draft</w:t>
            </w:r>
            <w:r w:rsidRPr="00F72815">
              <w:rPr>
                <w:rFonts w:ascii="Arial Narrow" w:hAnsi="Arial Narrow"/>
                <w:sz w:val="20"/>
              </w:rPr>
              <w:t xml:space="preserve"> legislation </w:t>
            </w:r>
            <w:r>
              <w:rPr>
                <w:rFonts w:ascii="Arial Narrow" w:hAnsi="Arial Narrow"/>
                <w:sz w:val="20"/>
              </w:rPr>
              <w:t>for</w:t>
            </w:r>
            <w:r w:rsidRPr="00F72815">
              <w:rPr>
                <w:rFonts w:ascii="Arial Narrow" w:hAnsi="Arial Narrow"/>
                <w:sz w:val="20"/>
              </w:rPr>
              <w:t xml:space="preserve"> a presumptive tax regime for SMEs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Draft legislation for natural resource tax regime</w:t>
            </w:r>
          </w:p>
          <w:p w:rsidR="002106D3" w:rsidRPr="00184667" w:rsidRDefault="002106D3" w:rsidP="006B62B6">
            <w:pPr>
              <w:jc w:val="left"/>
              <w:rPr>
                <w:rFonts w:ascii="Arial Narrow" w:hAnsi="Arial Narrow"/>
                <w:b/>
                <w:sz w:val="20"/>
              </w:rPr>
            </w:pPr>
          </w:p>
        </w:tc>
        <w:tc>
          <w:tcPr>
            <w:tcW w:w="236" w:type="dxa"/>
            <w:tcBorders>
              <w:top w:val="nil"/>
              <w:left w:val="single" w:sz="4" w:space="0" w:color="auto"/>
              <w:bottom w:val="nil"/>
              <w:right w:val="single" w:sz="4" w:space="0" w:color="auto"/>
            </w:tcBorders>
          </w:tcPr>
          <w:p w:rsidR="002106D3" w:rsidRDefault="002106D3" w:rsidP="006B62B6">
            <w:pPr>
              <w:rPr>
                <w:rFonts w:ascii="Arial Narrow" w:hAnsi="Arial Narrow"/>
                <w:b/>
                <w:sz w:val="20"/>
              </w:rPr>
            </w:pPr>
          </w:p>
        </w:tc>
        <w:tc>
          <w:tcPr>
            <w:tcW w:w="4583"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106D3" w:rsidRPr="009F724B" w:rsidRDefault="002106D3" w:rsidP="006B62B6">
            <w:pPr>
              <w:pStyle w:val="ListBullet"/>
              <w:numPr>
                <w:ilvl w:val="0"/>
                <w:numId w:val="0"/>
              </w:numPr>
              <w:spacing w:before="0" w:after="0"/>
              <w:ind w:left="360" w:hanging="360"/>
              <w:jc w:val="left"/>
              <w:rPr>
                <w:rFonts w:ascii="Arial Narrow" w:hAnsi="Arial Narrow"/>
                <w:b/>
                <w:sz w:val="20"/>
              </w:rPr>
            </w:pPr>
            <w:r>
              <w:rPr>
                <w:rFonts w:ascii="Arial Narrow" w:hAnsi="Arial Narrow"/>
                <w:b/>
                <w:sz w:val="20"/>
              </w:rPr>
              <w:t>Products and deliverables (Outputs)</w:t>
            </w:r>
            <w:r w:rsidRPr="009F724B">
              <w:rPr>
                <w:rFonts w:ascii="Arial Narrow" w:hAnsi="Arial Narrow"/>
                <w:b/>
                <w:sz w:val="20"/>
              </w:rPr>
              <w:t>:</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Level playing field for private sector businesses</w:t>
            </w:r>
          </w:p>
          <w:p w:rsidR="002106D3" w:rsidRPr="008158CD"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A</w:t>
            </w:r>
            <w:r w:rsidRPr="008158CD">
              <w:rPr>
                <w:rFonts w:ascii="Arial Narrow" w:hAnsi="Arial Narrow"/>
                <w:sz w:val="20"/>
              </w:rPr>
              <w:t>dvertisement for expressions of interest in private sector participation in the refurbishment and management of t</w:t>
            </w:r>
            <w:r>
              <w:rPr>
                <w:rFonts w:ascii="Arial Narrow" w:hAnsi="Arial Narrow"/>
                <w:sz w:val="20"/>
              </w:rPr>
              <w:t>he International Dateline Hotel (IFC support)</w:t>
            </w:r>
          </w:p>
          <w:p w:rsidR="002106D3" w:rsidRPr="008158CD" w:rsidRDefault="002106D3" w:rsidP="006B62B6">
            <w:pPr>
              <w:pStyle w:val="ListBullet"/>
              <w:tabs>
                <w:tab w:val="clear" w:pos="360"/>
                <w:tab w:val="num" w:pos="142"/>
              </w:tabs>
              <w:spacing w:before="0" w:after="0"/>
              <w:ind w:left="142" w:hanging="142"/>
              <w:jc w:val="left"/>
              <w:rPr>
                <w:rFonts w:ascii="Arial Narrow" w:hAnsi="Arial Narrow"/>
                <w:sz w:val="20"/>
              </w:rPr>
            </w:pPr>
            <w:r w:rsidRPr="008158CD">
              <w:rPr>
                <w:rFonts w:ascii="Arial Narrow" w:hAnsi="Arial Narrow"/>
                <w:sz w:val="20"/>
              </w:rPr>
              <w:t>Review of Tonga Communications Corporation</w:t>
            </w:r>
          </w:p>
          <w:p w:rsidR="002106D3" w:rsidRPr="003F7D0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lang w:val="en-US"/>
              </w:rPr>
              <w:t>Majority</w:t>
            </w:r>
            <w:r w:rsidRPr="003F7D03">
              <w:rPr>
                <w:rFonts w:ascii="Arial Narrow" w:hAnsi="Arial Narrow"/>
                <w:sz w:val="20"/>
                <w:lang w:val="en-US"/>
              </w:rPr>
              <w:t xml:space="preserve"> of SOEs </w:t>
            </w:r>
            <w:r>
              <w:rPr>
                <w:rFonts w:ascii="Arial Narrow" w:hAnsi="Arial Narrow"/>
                <w:sz w:val="20"/>
                <w:lang w:val="en-US"/>
              </w:rPr>
              <w:t>deliver</w:t>
            </w:r>
            <w:r w:rsidRPr="003F7D03">
              <w:rPr>
                <w:rFonts w:ascii="Arial Narrow" w:hAnsi="Arial Narrow"/>
                <w:sz w:val="20"/>
                <w:lang w:val="en-US"/>
              </w:rPr>
              <w:t xml:space="preserve"> director performance review and questionnaire </w:t>
            </w:r>
            <w:r>
              <w:rPr>
                <w:rFonts w:ascii="Arial Narrow" w:hAnsi="Arial Narrow"/>
                <w:sz w:val="20"/>
                <w:lang w:val="en-US"/>
              </w:rPr>
              <w:t>to</w:t>
            </w:r>
            <w:r w:rsidRPr="003F7D03">
              <w:rPr>
                <w:rFonts w:ascii="Arial Narrow" w:hAnsi="Arial Narrow"/>
                <w:sz w:val="20"/>
                <w:lang w:val="en-US"/>
              </w:rPr>
              <w:t xml:space="preserve"> Ministry of Public Enterprises</w:t>
            </w:r>
          </w:p>
          <w:p w:rsidR="002106D3" w:rsidRPr="00703076" w:rsidRDefault="002106D3" w:rsidP="006B62B6">
            <w:pPr>
              <w:pStyle w:val="ListBullet"/>
              <w:tabs>
                <w:tab w:val="clear" w:pos="360"/>
                <w:tab w:val="num" w:pos="142"/>
              </w:tabs>
              <w:spacing w:before="0" w:after="0"/>
              <w:ind w:left="142" w:hanging="142"/>
              <w:jc w:val="left"/>
              <w:rPr>
                <w:rFonts w:ascii="Arial Narrow" w:hAnsi="Arial Narrow"/>
                <w:sz w:val="20"/>
                <w:lang w:val="en-US"/>
              </w:rPr>
            </w:pPr>
            <w:r w:rsidRPr="00703076">
              <w:rPr>
                <w:rFonts w:ascii="Arial Narrow" w:hAnsi="Arial Narrow"/>
                <w:sz w:val="20"/>
                <w:lang w:val="en-US"/>
              </w:rPr>
              <w:t xml:space="preserve">Receivership Bill </w:t>
            </w:r>
            <w:r>
              <w:rPr>
                <w:rFonts w:ascii="Arial Narrow" w:hAnsi="Arial Narrow"/>
                <w:sz w:val="20"/>
                <w:lang w:val="en-US"/>
              </w:rPr>
              <w:t xml:space="preserve">submitted </w:t>
            </w:r>
            <w:r w:rsidRPr="00703076">
              <w:rPr>
                <w:rFonts w:ascii="Arial Narrow" w:hAnsi="Arial Narrow"/>
                <w:sz w:val="20"/>
                <w:lang w:val="en-US"/>
              </w:rPr>
              <w:t>to the legislative assembly</w:t>
            </w:r>
          </w:p>
          <w:p w:rsidR="002106D3" w:rsidRPr="001A2DF6" w:rsidRDefault="002106D3" w:rsidP="006B62B6">
            <w:pPr>
              <w:pStyle w:val="ListBullet"/>
              <w:tabs>
                <w:tab w:val="clear" w:pos="360"/>
                <w:tab w:val="num" w:pos="142"/>
              </w:tabs>
              <w:spacing w:before="0" w:after="0"/>
              <w:ind w:left="142" w:hanging="142"/>
              <w:jc w:val="left"/>
              <w:rPr>
                <w:rFonts w:ascii="Arial Narrow" w:hAnsi="Arial Narrow"/>
                <w:sz w:val="20"/>
                <w:lang w:val="en-US"/>
              </w:rPr>
            </w:pPr>
            <w:r w:rsidRPr="001A2DF6">
              <w:rPr>
                <w:rFonts w:ascii="Arial Narrow" w:hAnsi="Arial Narrow"/>
                <w:sz w:val="20"/>
                <w:lang w:val="en-US"/>
              </w:rPr>
              <w:t xml:space="preserve">Competition policy </w:t>
            </w:r>
            <w:r>
              <w:rPr>
                <w:rFonts w:ascii="Arial Narrow" w:hAnsi="Arial Narrow"/>
                <w:sz w:val="20"/>
                <w:lang w:val="en-US"/>
              </w:rPr>
              <w:t>delivered to Cabinet</w:t>
            </w:r>
          </w:p>
          <w:p w:rsidR="002106D3" w:rsidRPr="001A2DF6" w:rsidRDefault="002106D3" w:rsidP="006B62B6">
            <w:pPr>
              <w:pStyle w:val="ListBullet"/>
              <w:tabs>
                <w:tab w:val="clear" w:pos="360"/>
                <w:tab w:val="num" w:pos="142"/>
              </w:tabs>
              <w:spacing w:before="0" w:after="0"/>
              <w:ind w:left="142" w:hanging="142"/>
              <w:jc w:val="left"/>
              <w:rPr>
                <w:rFonts w:ascii="Arial Narrow" w:hAnsi="Arial Narrow"/>
                <w:sz w:val="20"/>
                <w:lang w:val="en-US"/>
              </w:rPr>
            </w:pPr>
            <w:r w:rsidRPr="001A2DF6">
              <w:rPr>
                <w:rFonts w:ascii="Arial Narrow" w:hAnsi="Arial Narrow"/>
                <w:sz w:val="20"/>
                <w:lang w:val="en-US"/>
              </w:rPr>
              <w:t xml:space="preserve">Bankruptcy Bill </w:t>
            </w:r>
            <w:r>
              <w:rPr>
                <w:rFonts w:ascii="Arial Narrow" w:hAnsi="Arial Narrow"/>
                <w:sz w:val="20"/>
                <w:lang w:val="en-US"/>
              </w:rPr>
              <w:t>delivered to Cabinet</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Corporate plan for MoPE and MoCTL</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Tonga Society of Accountants established</w:t>
            </w:r>
          </w:p>
          <w:p w:rsidR="002106D3" w:rsidRPr="00184667" w:rsidRDefault="002106D3" w:rsidP="006B62B6">
            <w:pPr>
              <w:jc w:val="left"/>
              <w:rPr>
                <w:rFonts w:ascii="Arial Narrow" w:hAnsi="Arial Narrow"/>
                <w:b/>
                <w:sz w:val="20"/>
              </w:rPr>
            </w:pPr>
          </w:p>
        </w:tc>
      </w:tr>
      <w:tr w:rsidR="002106D3" w:rsidRPr="00184667" w:rsidTr="006B62B6">
        <w:trPr>
          <w:jc w:val="center"/>
        </w:trPr>
        <w:tc>
          <w:tcPr>
            <w:tcW w:w="2410" w:type="dxa"/>
            <w:tcBorders>
              <w:top w:val="nil"/>
              <w:left w:val="nil"/>
              <w:bottom w:val="nil"/>
              <w:right w:val="single" w:sz="4" w:space="0" w:color="auto"/>
            </w:tcBorders>
            <w:shd w:val="clear" w:color="auto" w:fill="auto"/>
          </w:tcPr>
          <w:p w:rsidR="002106D3" w:rsidRDefault="002106D3" w:rsidP="006B62B6">
            <w:pPr>
              <w:pStyle w:val="ListBullet"/>
              <w:numPr>
                <w:ilvl w:val="0"/>
                <w:numId w:val="0"/>
              </w:numPr>
              <w:spacing w:before="0" w:after="0"/>
              <w:jc w:val="left"/>
              <w:rPr>
                <w:rFonts w:ascii="Arial Narrow" w:hAnsi="Arial Narrow"/>
                <w:noProof/>
                <w:sz w:val="20"/>
                <w:lang w:val="en-GB" w:eastAsia="en-GB"/>
              </w:rPr>
            </w:pPr>
            <w:r>
              <w:br w:type="page"/>
            </w:r>
          </w:p>
        </w:tc>
        <w:tc>
          <w:tcPr>
            <w:tcW w:w="5103" w:type="dxa"/>
            <w:gridSpan w:val="5"/>
            <w:tcBorders>
              <w:top w:val="nil"/>
              <w:left w:val="single" w:sz="4" w:space="0" w:color="auto"/>
              <w:bottom w:val="single" w:sz="4" w:space="0" w:color="auto"/>
              <w:right w:val="single" w:sz="4" w:space="0" w:color="auto"/>
            </w:tcBorders>
            <w:shd w:val="clear" w:color="auto" w:fill="auto"/>
          </w:tcPr>
          <w:p w:rsidR="002106D3" w:rsidRDefault="002106D3" w:rsidP="006B62B6">
            <w:pPr>
              <w:pStyle w:val="ListBullet"/>
              <w:numPr>
                <w:ilvl w:val="0"/>
                <w:numId w:val="0"/>
              </w:numPr>
              <w:spacing w:before="0" w:after="0"/>
              <w:jc w:val="left"/>
              <w:rPr>
                <w:rFonts w:ascii="Arial Narrow" w:hAnsi="Arial Narrow"/>
                <w:noProof/>
                <w:sz w:val="20"/>
                <w:lang w:val="en-GB" w:eastAsia="en-GB"/>
              </w:rPr>
            </w:pPr>
          </w:p>
        </w:tc>
        <w:tc>
          <w:tcPr>
            <w:tcW w:w="4820" w:type="dxa"/>
            <w:gridSpan w:val="5"/>
            <w:tcBorders>
              <w:top w:val="nil"/>
              <w:left w:val="single" w:sz="4" w:space="0" w:color="auto"/>
              <w:bottom w:val="single" w:sz="4" w:space="0" w:color="auto"/>
              <w:right w:val="single" w:sz="4" w:space="0" w:color="auto"/>
            </w:tcBorders>
            <w:shd w:val="clear" w:color="auto" w:fill="auto"/>
          </w:tcPr>
          <w:p w:rsidR="002106D3" w:rsidRDefault="002106D3" w:rsidP="006B62B6">
            <w:pPr>
              <w:pStyle w:val="ListBullet"/>
              <w:numPr>
                <w:ilvl w:val="0"/>
                <w:numId w:val="0"/>
              </w:numPr>
              <w:spacing w:before="0" w:after="0"/>
              <w:jc w:val="left"/>
              <w:rPr>
                <w:rFonts w:ascii="Arial Narrow" w:hAnsi="Arial Narrow"/>
                <w:noProof/>
                <w:sz w:val="20"/>
                <w:lang w:val="en-GB" w:eastAsia="en-GB"/>
              </w:rPr>
            </w:pPr>
          </w:p>
        </w:tc>
        <w:tc>
          <w:tcPr>
            <w:tcW w:w="2409" w:type="dxa"/>
            <w:tcBorders>
              <w:top w:val="nil"/>
              <w:left w:val="single" w:sz="4" w:space="0" w:color="auto"/>
              <w:bottom w:val="nil"/>
              <w:right w:val="nil"/>
            </w:tcBorders>
            <w:shd w:val="clear" w:color="auto" w:fill="auto"/>
          </w:tcPr>
          <w:p w:rsidR="002106D3" w:rsidRDefault="002106D3" w:rsidP="006B62B6">
            <w:pPr>
              <w:pStyle w:val="ListBullet"/>
              <w:numPr>
                <w:ilvl w:val="0"/>
                <w:numId w:val="0"/>
              </w:numPr>
              <w:spacing w:before="0" w:after="0"/>
              <w:jc w:val="left"/>
              <w:rPr>
                <w:rFonts w:ascii="Arial Narrow" w:hAnsi="Arial Narrow"/>
                <w:noProof/>
                <w:sz w:val="20"/>
                <w:lang w:val="en-GB" w:eastAsia="en-GB"/>
              </w:rPr>
            </w:pPr>
          </w:p>
        </w:tc>
      </w:tr>
      <w:tr w:rsidR="002106D3" w:rsidRPr="00184667" w:rsidTr="006B62B6">
        <w:trPr>
          <w:jc w:val="center"/>
        </w:trPr>
        <w:tc>
          <w:tcPr>
            <w:tcW w:w="7513" w:type="dxa"/>
            <w:gridSpan w:val="6"/>
            <w:tcBorders>
              <w:top w:val="nil"/>
              <w:left w:val="nil"/>
              <w:bottom w:val="single" w:sz="4" w:space="0" w:color="auto"/>
              <w:right w:val="single" w:sz="4" w:space="0" w:color="auto"/>
            </w:tcBorders>
            <w:shd w:val="clear" w:color="auto" w:fill="auto"/>
          </w:tcPr>
          <w:p w:rsidR="002106D3" w:rsidRDefault="002106D3" w:rsidP="006B62B6">
            <w:pPr>
              <w:pStyle w:val="ListBullet"/>
              <w:numPr>
                <w:ilvl w:val="0"/>
                <w:numId w:val="0"/>
              </w:numPr>
              <w:spacing w:before="0" w:after="0"/>
              <w:jc w:val="left"/>
              <w:rPr>
                <w:rFonts w:ascii="Arial Narrow" w:hAnsi="Arial Narrow"/>
                <w:noProof/>
                <w:sz w:val="20"/>
                <w:lang w:val="en-GB" w:eastAsia="en-GB"/>
              </w:rPr>
            </w:pPr>
          </w:p>
        </w:tc>
        <w:tc>
          <w:tcPr>
            <w:tcW w:w="7229" w:type="dxa"/>
            <w:gridSpan w:val="6"/>
            <w:tcBorders>
              <w:top w:val="nil"/>
              <w:left w:val="single" w:sz="4" w:space="0" w:color="auto"/>
              <w:bottom w:val="single" w:sz="4" w:space="0" w:color="auto"/>
              <w:right w:val="nil"/>
            </w:tcBorders>
            <w:shd w:val="clear" w:color="auto" w:fill="auto"/>
          </w:tcPr>
          <w:p w:rsidR="002106D3" w:rsidRDefault="002106D3" w:rsidP="006B62B6">
            <w:pPr>
              <w:pStyle w:val="ListBullet"/>
              <w:numPr>
                <w:ilvl w:val="0"/>
                <w:numId w:val="0"/>
              </w:numPr>
              <w:spacing w:before="0" w:after="0"/>
              <w:jc w:val="left"/>
              <w:rPr>
                <w:rFonts w:ascii="Arial Narrow" w:hAnsi="Arial Narrow"/>
                <w:noProof/>
                <w:sz w:val="20"/>
                <w:lang w:val="en-GB" w:eastAsia="en-GB"/>
              </w:rPr>
            </w:pPr>
          </w:p>
        </w:tc>
      </w:tr>
      <w:tr w:rsidR="002106D3" w:rsidRPr="00184667" w:rsidTr="006B62B6">
        <w:trPr>
          <w:jc w:val="center"/>
        </w:trPr>
        <w:tc>
          <w:tcPr>
            <w:tcW w:w="14742"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tcPr>
          <w:p w:rsidR="002106D3" w:rsidRDefault="002106D3" w:rsidP="006B62B6">
            <w:pPr>
              <w:jc w:val="left"/>
              <w:rPr>
                <w:rFonts w:ascii="Arial Narrow" w:hAnsi="Arial Narrow"/>
                <w:b/>
                <w:sz w:val="20"/>
              </w:rPr>
            </w:pPr>
            <w:r w:rsidRPr="00184667">
              <w:rPr>
                <w:rFonts w:ascii="Arial Narrow" w:hAnsi="Arial Narrow"/>
                <w:b/>
                <w:sz w:val="20"/>
              </w:rPr>
              <w:t>End-of-</w:t>
            </w:r>
            <w:r>
              <w:rPr>
                <w:rFonts w:ascii="Arial Narrow" w:hAnsi="Arial Narrow"/>
                <w:b/>
                <w:sz w:val="20"/>
              </w:rPr>
              <w:t>strategy</w:t>
            </w:r>
            <w:r w:rsidRPr="00184667">
              <w:rPr>
                <w:rFonts w:ascii="Arial Narrow" w:hAnsi="Arial Narrow"/>
                <w:b/>
                <w:sz w:val="20"/>
              </w:rPr>
              <w:t xml:space="preserve"> </w:t>
            </w:r>
            <w:r>
              <w:rPr>
                <w:rFonts w:ascii="Arial Narrow" w:hAnsi="Arial Narrow"/>
                <w:b/>
                <w:sz w:val="20"/>
              </w:rPr>
              <w:t>outcome 4 (June 2017)</w:t>
            </w:r>
            <w:r w:rsidRPr="00C50376">
              <w:rPr>
                <w:rFonts w:ascii="Arial Narrow" w:hAnsi="Arial Narrow"/>
                <w:b/>
                <w:sz w:val="20"/>
              </w:rPr>
              <w:t>:</w:t>
            </w:r>
          </w:p>
          <w:p w:rsidR="002106D3" w:rsidRPr="00C50376" w:rsidRDefault="002106D3" w:rsidP="006B62B6">
            <w:pPr>
              <w:jc w:val="left"/>
              <w:rPr>
                <w:rFonts w:ascii="Arial Narrow" w:hAnsi="Arial Narrow"/>
                <w:b/>
                <w:sz w:val="20"/>
              </w:rPr>
            </w:pPr>
            <w:r>
              <w:rPr>
                <w:rFonts w:ascii="Arial Narrow" w:hAnsi="Arial Narrow"/>
                <w:b/>
                <w:sz w:val="20"/>
              </w:rPr>
              <w:t>Effective aid through alignment, harmonisation and mutual accountability</w:t>
            </w:r>
          </w:p>
          <w:p w:rsidR="002106D3" w:rsidRPr="00184667" w:rsidRDefault="002106D3" w:rsidP="006B62B6">
            <w:pPr>
              <w:jc w:val="left"/>
              <w:rPr>
                <w:rFonts w:ascii="Arial Narrow" w:hAnsi="Arial Narrow"/>
                <w:sz w:val="20"/>
              </w:rPr>
            </w:pPr>
            <w:r>
              <w:rPr>
                <w:rFonts w:ascii="Arial Narrow" w:hAnsi="Arial Narrow"/>
                <w:sz w:val="20"/>
              </w:rPr>
              <w:t xml:space="preserve">Government of Tonga agencies and </w:t>
            </w:r>
            <w:r w:rsidRPr="00D64541">
              <w:rPr>
                <w:rFonts w:ascii="Arial Narrow" w:hAnsi="Arial Narrow"/>
                <w:sz w:val="20"/>
              </w:rPr>
              <w:t>development</w:t>
            </w:r>
            <w:r>
              <w:rPr>
                <w:rFonts w:ascii="Arial Narrow" w:hAnsi="Arial Narrow"/>
                <w:sz w:val="20"/>
              </w:rPr>
              <w:t xml:space="preserve"> </w:t>
            </w:r>
            <w:r w:rsidRPr="00D64541">
              <w:rPr>
                <w:rFonts w:ascii="Arial Narrow" w:hAnsi="Arial Narrow"/>
                <w:sz w:val="20"/>
              </w:rPr>
              <w:t>partners coordinate whole of</w:t>
            </w:r>
            <w:r>
              <w:rPr>
                <w:rFonts w:ascii="Arial Narrow" w:hAnsi="Arial Narrow"/>
                <w:sz w:val="20"/>
              </w:rPr>
              <w:t xml:space="preserve"> </w:t>
            </w:r>
            <w:r w:rsidRPr="00D64541">
              <w:rPr>
                <w:rFonts w:ascii="Arial Narrow" w:hAnsi="Arial Narrow"/>
                <w:sz w:val="20"/>
              </w:rPr>
              <w:t>government partnership</w:t>
            </w:r>
            <w:r>
              <w:rPr>
                <w:rFonts w:ascii="Arial Narrow" w:hAnsi="Arial Narrow"/>
                <w:sz w:val="20"/>
              </w:rPr>
              <w:t xml:space="preserve"> for PFM reforms</w:t>
            </w:r>
          </w:p>
        </w:tc>
      </w:tr>
      <w:tr w:rsidR="002106D3" w:rsidRPr="00184667" w:rsidTr="006B62B6">
        <w:trPr>
          <w:jc w:val="center"/>
        </w:trPr>
        <w:tc>
          <w:tcPr>
            <w:tcW w:w="3686" w:type="dxa"/>
            <w:gridSpan w:val="2"/>
            <w:tcBorders>
              <w:top w:val="single" w:sz="4" w:space="0" w:color="auto"/>
              <w:left w:val="nil"/>
              <w:bottom w:val="nil"/>
              <w:right w:val="single" w:sz="4" w:space="0" w:color="auto"/>
            </w:tcBorders>
            <w:shd w:val="clear" w:color="auto" w:fill="auto"/>
          </w:tcPr>
          <w:p w:rsidR="002106D3" w:rsidRDefault="002106D3" w:rsidP="006B62B6">
            <w:pPr>
              <w:pStyle w:val="ListBullet"/>
              <w:numPr>
                <w:ilvl w:val="0"/>
                <w:numId w:val="0"/>
              </w:numPr>
              <w:spacing w:before="0" w:after="0"/>
              <w:jc w:val="left"/>
              <w:rPr>
                <w:rFonts w:ascii="Arial Narrow" w:hAnsi="Arial Narrow"/>
                <w:noProof/>
                <w:sz w:val="20"/>
                <w:lang w:val="en-GB" w:eastAsia="en-GB"/>
              </w:rPr>
            </w:pPr>
          </w:p>
        </w:tc>
        <w:tc>
          <w:tcPr>
            <w:tcW w:w="7513" w:type="dxa"/>
            <w:gridSpan w:val="8"/>
            <w:tcBorders>
              <w:top w:val="single" w:sz="4" w:space="0" w:color="auto"/>
              <w:left w:val="single" w:sz="4" w:space="0" w:color="auto"/>
              <w:bottom w:val="nil"/>
              <w:right w:val="single" w:sz="4" w:space="0" w:color="auto"/>
            </w:tcBorders>
            <w:shd w:val="clear" w:color="auto" w:fill="auto"/>
          </w:tcPr>
          <w:p w:rsidR="002106D3" w:rsidRDefault="002106D3" w:rsidP="006B62B6">
            <w:pPr>
              <w:pStyle w:val="ListBullet"/>
              <w:numPr>
                <w:ilvl w:val="0"/>
                <w:numId w:val="0"/>
              </w:numPr>
              <w:spacing w:before="0" w:after="0"/>
              <w:jc w:val="left"/>
              <w:rPr>
                <w:rFonts w:ascii="Arial Narrow" w:hAnsi="Arial Narrow"/>
                <w:noProof/>
                <w:sz w:val="20"/>
                <w:lang w:val="en-GB" w:eastAsia="en-GB"/>
              </w:rPr>
            </w:pPr>
          </w:p>
        </w:tc>
        <w:tc>
          <w:tcPr>
            <w:tcW w:w="3543" w:type="dxa"/>
            <w:gridSpan w:val="2"/>
            <w:tcBorders>
              <w:top w:val="single" w:sz="4" w:space="0" w:color="auto"/>
              <w:left w:val="single" w:sz="4" w:space="0" w:color="auto"/>
              <w:bottom w:val="nil"/>
              <w:right w:val="nil"/>
            </w:tcBorders>
            <w:shd w:val="clear" w:color="auto" w:fill="auto"/>
          </w:tcPr>
          <w:p w:rsidR="002106D3" w:rsidRDefault="002106D3" w:rsidP="006B62B6">
            <w:pPr>
              <w:pStyle w:val="ListBullet"/>
              <w:numPr>
                <w:ilvl w:val="0"/>
                <w:numId w:val="0"/>
              </w:numPr>
              <w:spacing w:before="0" w:after="0"/>
              <w:jc w:val="left"/>
              <w:rPr>
                <w:rFonts w:ascii="Arial Narrow" w:hAnsi="Arial Narrow"/>
                <w:noProof/>
                <w:sz w:val="20"/>
                <w:lang w:val="en-GB" w:eastAsia="en-GB"/>
              </w:rPr>
            </w:pPr>
          </w:p>
        </w:tc>
      </w:tr>
      <w:tr w:rsidR="002106D3" w:rsidRPr="00184667" w:rsidTr="006B62B6">
        <w:trPr>
          <w:jc w:val="center"/>
        </w:trPr>
        <w:tc>
          <w:tcPr>
            <w:tcW w:w="7230"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106D3" w:rsidRPr="00AC31F5" w:rsidRDefault="002106D3" w:rsidP="006B62B6">
            <w:pPr>
              <w:rPr>
                <w:rFonts w:ascii="Arial Narrow" w:hAnsi="Arial Narrow"/>
                <w:b/>
                <w:sz w:val="20"/>
              </w:rPr>
            </w:pPr>
            <w:r>
              <w:rPr>
                <w:rFonts w:ascii="Arial Narrow" w:hAnsi="Arial Narrow"/>
                <w:noProof/>
                <w:sz w:val="20"/>
              </w:rPr>
              <mc:AlternateContent>
                <mc:Choice Requires="wps">
                  <w:drawing>
                    <wp:anchor distT="0" distB="0" distL="114300" distR="114300" simplePos="0" relativeHeight="251662336" behindDoc="0" locked="0" layoutInCell="1" allowOverlap="1" wp14:anchorId="2C512EA2" wp14:editId="4176BFEA">
                      <wp:simplePos x="0" y="0"/>
                      <wp:positionH relativeFrom="column">
                        <wp:posOffset>1625600</wp:posOffset>
                      </wp:positionH>
                      <wp:positionV relativeFrom="paragraph">
                        <wp:posOffset>36195</wp:posOffset>
                      </wp:positionV>
                      <wp:extent cx="1275080" cy="4464685"/>
                      <wp:effectExtent l="0" t="0" r="1270" b="0"/>
                      <wp:wrapNone/>
                      <wp:docPr id="10" name="Up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080" cy="4464685"/>
                              </a:xfrm>
                              <a:prstGeom prst="upArrow">
                                <a:avLst/>
                              </a:prstGeom>
                              <a:solidFill>
                                <a:sysClr val="windowText" lastClr="000000">
                                  <a:alpha val="2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Up Arrow 1" o:spid="_x0000_s1026" type="#_x0000_t68" style="position:absolute;margin-left:128pt;margin-top:2.85pt;width:100.4pt;height:35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" adj="3084" fillcolor="windowText" stroked="f" strokeweight="2pt">
                      <v:fill opacity="16448f"/>
                      <v:path arrowok="t"/>
                    </v:shape>
                  </w:pict>
                </mc:Fallback>
              </mc:AlternateContent>
            </w:r>
            <w:r w:rsidRPr="00AC31F5">
              <w:rPr>
                <w:rFonts w:ascii="Arial Narrow" w:hAnsi="Arial Narrow"/>
                <w:b/>
                <w:sz w:val="20"/>
              </w:rPr>
              <w:t xml:space="preserve">Intermediate </w:t>
            </w:r>
            <w:r>
              <w:rPr>
                <w:rFonts w:ascii="Arial Narrow" w:hAnsi="Arial Narrow"/>
                <w:b/>
                <w:sz w:val="20"/>
              </w:rPr>
              <w:t>behaviour changes (O</w:t>
            </w:r>
            <w:r w:rsidRPr="00AC31F5">
              <w:rPr>
                <w:rFonts w:ascii="Arial Narrow" w:hAnsi="Arial Narrow"/>
                <w:b/>
                <w:sz w:val="20"/>
              </w:rPr>
              <w:t>utcome</w:t>
            </w:r>
            <w:r>
              <w:rPr>
                <w:rFonts w:ascii="Arial Narrow" w:hAnsi="Arial Narrow"/>
                <w:b/>
                <w:sz w:val="20"/>
              </w:rPr>
              <w:t>s)</w:t>
            </w:r>
            <w:r w:rsidRPr="00AC31F5">
              <w:rPr>
                <w:rFonts w:ascii="Arial Narrow" w:hAnsi="Arial Narrow"/>
                <w:b/>
                <w:sz w:val="20"/>
              </w:rPr>
              <w:t>:</w:t>
            </w:r>
          </w:p>
          <w:p w:rsidR="002106D3" w:rsidRPr="00AC31F5" w:rsidRDefault="002106D3" w:rsidP="006B62B6">
            <w:pPr>
              <w:jc w:val="left"/>
              <w:rPr>
                <w:rFonts w:ascii="Arial Narrow" w:hAnsi="Arial Narrow"/>
                <w:b/>
                <w:sz w:val="20"/>
              </w:rPr>
            </w:pPr>
            <w:r w:rsidRPr="00AC31F5">
              <w:rPr>
                <w:rFonts w:ascii="Arial Narrow" w:hAnsi="Arial Narrow"/>
                <w:b/>
                <w:sz w:val="20"/>
              </w:rPr>
              <w:t>Harmonised approach to alignment with strengthened national systems</w:t>
            </w:r>
          </w:p>
          <w:p w:rsidR="002106D3" w:rsidRPr="00AC31F5" w:rsidRDefault="002106D3" w:rsidP="006B62B6">
            <w:pPr>
              <w:rPr>
                <w:rFonts w:ascii="Arial Narrow" w:hAnsi="Arial Narrow"/>
                <w:sz w:val="20"/>
              </w:rPr>
            </w:pPr>
            <w:r w:rsidRPr="00AC31F5">
              <w:rPr>
                <w:rFonts w:ascii="Arial Narrow" w:hAnsi="Arial Narrow"/>
                <w:sz w:val="20"/>
              </w:rPr>
              <w:t>Donors collaborate to strengthen Government of Tonga systems and align with them when the systems and agencies are sufficiently strong.</w:t>
            </w:r>
          </w:p>
          <w:p w:rsidR="002106D3" w:rsidRPr="00AC31F5" w:rsidRDefault="002106D3" w:rsidP="006B62B6">
            <w:pPr>
              <w:rPr>
                <w:rFonts w:ascii="Arial Narrow" w:hAnsi="Arial Narrow"/>
                <w:sz w:val="20"/>
              </w:rPr>
            </w:pPr>
          </w:p>
        </w:tc>
        <w:tc>
          <w:tcPr>
            <w:tcW w:w="567" w:type="dxa"/>
            <w:gridSpan w:val="2"/>
            <w:tcBorders>
              <w:top w:val="nil"/>
              <w:left w:val="single" w:sz="4" w:space="0" w:color="auto"/>
              <w:bottom w:val="nil"/>
              <w:right w:val="single" w:sz="4" w:space="0" w:color="auto"/>
            </w:tcBorders>
            <w:shd w:val="clear" w:color="auto" w:fill="auto"/>
          </w:tcPr>
          <w:p w:rsidR="002106D3" w:rsidRDefault="002106D3" w:rsidP="006B62B6"/>
        </w:tc>
        <w:tc>
          <w:tcPr>
            <w:tcW w:w="694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106D3" w:rsidRPr="00AC31F5" w:rsidRDefault="002106D3" w:rsidP="006B62B6">
            <w:pPr>
              <w:rPr>
                <w:rFonts w:ascii="Arial Narrow" w:hAnsi="Arial Narrow"/>
                <w:b/>
                <w:sz w:val="20"/>
              </w:rPr>
            </w:pPr>
            <w:r>
              <w:rPr>
                <w:rFonts w:ascii="Arial Narrow" w:hAnsi="Arial Narrow"/>
                <w:noProof/>
                <w:sz w:val="20"/>
              </w:rPr>
              <mc:AlternateContent>
                <mc:Choice Requires="wps">
                  <w:drawing>
                    <wp:anchor distT="0" distB="0" distL="114300" distR="114300" simplePos="0" relativeHeight="251663360" behindDoc="0" locked="0" layoutInCell="1" allowOverlap="1" wp14:anchorId="03AD3D4B" wp14:editId="28150C16">
                      <wp:simplePos x="0" y="0"/>
                      <wp:positionH relativeFrom="column">
                        <wp:posOffset>1444625</wp:posOffset>
                      </wp:positionH>
                      <wp:positionV relativeFrom="paragraph">
                        <wp:posOffset>36195</wp:posOffset>
                      </wp:positionV>
                      <wp:extent cx="1275080" cy="4464685"/>
                      <wp:effectExtent l="0" t="0" r="1270" b="0"/>
                      <wp:wrapNone/>
                      <wp:docPr id="1" name="Up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080" cy="4464685"/>
                              </a:xfrm>
                              <a:prstGeom prst="upArrow">
                                <a:avLst/>
                              </a:prstGeom>
                              <a:solidFill>
                                <a:sysClr val="windowText" lastClr="000000">
                                  <a:alpha val="2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Up Arrow 1" o:spid="_x0000_s1026" type="#_x0000_t68" style="position:absolute;margin-left:113.75pt;margin-top:2.85pt;width:100.4pt;height:35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" adj="3084" fillcolor="windowText" stroked="f" strokeweight="2pt">
                      <v:fill opacity="16448f"/>
                      <v:path arrowok="t"/>
                    </v:shape>
                  </w:pict>
                </mc:Fallback>
              </mc:AlternateContent>
            </w:r>
            <w:r w:rsidRPr="00AC31F5">
              <w:rPr>
                <w:rFonts w:ascii="Arial Narrow" w:hAnsi="Arial Narrow"/>
                <w:b/>
                <w:sz w:val="20"/>
              </w:rPr>
              <w:t xml:space="preserve">Intermediate </w:t>
            </w:r>
            <w:r>
              <w:rPr>
                <w:rFonts w:ascii="Arial Narrow" w:hAnsi="Arial Narrow"/>
                <w:b/>
                <w:sz w:val="20"/>
              </w:rPr>
              <w:t>behaviour changes (O</w:t>
            </w:r>
            <w:r w:rsidRPr="00AC31F5">
              <w:rPr>
                <w:rFonts w:ascii="Arial Narrow" w:hAnsi="Arial Narrow"/>
                <w:b/>
                <w:sz w:val="20"/>
              </w:rPr>
              <w:t>utcome</w:t>
            </w:r>
            <w:r>
              <w:rPr>
                <w:rFonts w:ascii="Arial Narrow" w:hAnsi="Arial Narrow"/>
                <w:b/>
                <w:sz w:val="20"/>
              </w:rPr>
              <w:t>s)</w:t>
            </w:r>
            <w:r w:rsidRPr="00AC31F5">
              <w:rPr>
                <w:rFonts w:ascii="Arial Narrow" w:hAnsi="Arial Narrow"/>
                <w:b/>
                <w:sz w:val="20"/>
              </w:rPr>
              <w:t>:</w:t>
            </w:r>
          </w:p>
          <w:p w:rsidR="002106D3" w:rsidRPr="00AC31F5" w:rsidRDefault="002106D3" w:rsidP="006B62B6">
            <w:pPr>
              <w:jc w:val="left"/>
              <w:rPr>
                <w:rFonts w:ascii="Arial Narrow" w:hAnsi="Arial Narrow"/>
                <w:b/>
                <w:sz w:val="20"/>
              </w:rPr>
            </w:pPr>
            <w:r w:rsidRPr="00AC31F5">
              <w:rPr>
                <w:rFonts w:ascii="Arial Narrow" w:hAnsi="Arial Narrow"/>
                <w:b/>
                <w:sz w:val="20"/>
              </w:rPr>
              <w:t>Mutual accountability</w:t>
            </w:r>
          </w:p>
          <w:p w:rsidR="002106D3" w:rsidRDefault="002106D3" w:rsidP="006B62B6">
            <w:pPr>
              <w:rPr>
                <w:rFonts w:ascii="Arial Narrow" w:hAnsi="Arial Narrow"/>
                <w:sz w:val="20"/>
              </w:rPr>
            </w:pPr>
            <w:r w:rsidRPr="00AC31F5">
              <w:rPr>
                <w:rFonts w:ascii="Arial Narrow" w:hAnsi="Arial Narrow"/>
                <w:sz w:val="20"/>
              </w:rPr>
              <w:t xml:space="preserve">Government of Tonga </w:t>
            </w:r>
            <w:r>
              <w:rPr>
                <w:rFonts w:ascii="Arial Narrow" w:hAnsi="Arial Narrow"/>
                <w:sz w:val="20"/>
              </w:rPr>
              <w:t>and donors hold each other mutually accountable for agreed development results.</w:t>
            </w:r>
          </w:p>
          <w:p w:rsidR="002106D3" w:rsidRPr="00AC31F5" w:rsidRDefault="002106D3" w:rsidP="006B62B6">
            <w:pPr>
              <w:rPr>
                <w:rFonts w:ascii="Arial Narrow" w:hAnsi="Arial Narrow"/>
                <w:sz w:val="20"/>
              </w:rPr>
            </w:pPr>
          </w:p>
        </w:tc>
      </w:tr>
      <w:tr w:rsidR="002106D3" w:rsidRPr="00184667" w:rsidTr="006B62B6">
        <w:trPr>
          <w:jc w:val="center"/>
        </w:trPr>
        <w:tc>
          <w:tcPr>
            <w:tcW w:w="3686" w:type="dxa"/>
            <w:gridSpan w:val="2"/>
            <w:tcBorders>
              <w:top w:val="single" w:sz="4" w:space="0" w:color="auto"/>
              <w:left w:val="nil"/>
              <w:bottom w:val="nil"/>
              <w:right w:val="single" w:sz="4" w:space="0" w:color="auto"/>
            </w:tcBorders>
            <w:shd w:val="clear" w:color="auto" w:fill="auto"/>
          </w:tcPr>
          <w:p w:rsidR="002106D3" w:rsidRDefault="002106D3" w:rsidP="006B62B6">
            <w:pPr>
              <w:jc w:val="left"/>
              <w:rPr>
                <w:rFonts w:ascii="Arial Narrow" w:hAnsi="Arial Narrow"/>
                <w:b/>
                <w:sz w:val="20"/>
              </w:rPr>
            </w:pPr>
          </w:p>
        </w:tc>
        <w:tc>
          <w:tcPr>
            <w:tcW w:w="7513" w:type="dxa"/>
            <w:gridSpan w:val="8"/>
            <w:tcBorders>
              <w:top w:val="nil"/>
              <w:left w:val="single" w:sz="4" w:space="0" w:color="auto"/>
              <w:bottom w:val="nil"/>
              <w:right w:val="single" w:sz="4" w:space="0" w:color="auto"/>
            </w:tcBorders>
            <w:shd w:val="clear" w:color="auto" w:fill="auto"/>
          </w:tcPr>
          <w:p w:rsidR="002106D3" w:rsidRDefault="002106D3" w:rsidP="006B62B6">
            <w:pPr>
              <w:pStyle w:val="ListBullet"/>
              <w:numPr>
                <w:ilvl w:val="0"/>
                <w:numId w:val="0"/>
              </w:numPr>
              <w:spacing w:before="0" w:after="0"/>
              <w:jc w:val="left"/>
              <w:rPr>
                <w:rFonts w:ascii="Arial Narrow" w:hAnsi="Arial Narrow"/>
                <w:noProof/>
                <w:sz w:val="20"/>
                <w:lang w:val="en-GB" w:eastAsia="en-GB"/>
              </w:rPr>
            </w:pPr>
          </w:p>
        </w:tc>
        <w:tc>
          <w:tcPr>
            <w:tcW w:w="3543" w:type="dxa"/>
            <w:gridSpan w:val="2"/>
            <w:tcBorders>
              <w:top w:val="single" w:sz="4" w:space="0" w:color="auto"/>
              <w:left w:val="single" w:sz="4" w:space="0" w:color="auto"/>
              <w:bottom w:val="nil"/>
              <w:right w:val="nil"/>
            </w:tcBorders>
            <w:shd w:val="clear" w:color="auto" w:fill="auto"/>
          </w:tcPr>
          <w:p w:rsidR="002106D3" w:rsidRDefault="002106D3" w:rsidP="006B62B6">
            <w:pPr>
              <w:pStyle w:val="ListBullet"/>
              <w:numPr>
                <w:ilvl w:val="0"/>
                <w:numId w:val="0"/>
              </w:numPr>
              <w:spacing w:before="0" w:after="0"/>
              <w:jc w:val="left"/>
              <w:rPr>
                <w:rFonts w:ascii="Arial Narrow" w:hAnsi="Arial Narrow"/>
                <w:noProof/>
                <w:sz w:val="20"/>
                <w:lang w:val="en-GB" w:eastAsia="en-GB"/>
              </w:rPr>
            </w:pPr>
          </w:p>
        </w:tc>
      </w:tr>
      <w:tr w:rsidR="002106D3" w:rsidRPr="00184667" w:rsidTr="006B62B6">
        <w:trPr>
          <w:jc w:val="center"/>
        </w:trPr>
        <w:tc>
          <w:tcPr>
            <w:tcW w:w="723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06D3" w:rsidRPr="009F724B" w:rsidRDefault="002106D3" w:rsidP="006B62B6">
            <w:pPr>
              <w:pStyle w:val="ListBullet"/>
              <w:numPr>
                <w:ilvl w:val="0"/>
                <w:numId w:val="0"/>
              </w:numPr>
              <w:spacing w:before="0" w:after="0"/>
              <w:ind w:left="360" w:hanging="360"/>
              <w:jc w:val="left"/>
              <w:rPr>
                <w:rFonts w:ascii="Arial Narrow" w:hAnsi="Arial Narrow"/>
                <w:b/>
                <w:sz w:val="20"/>
              </w:rPr>
            </w:pPr>
            <w:r w:rsidRPr="009F724B">
              <w:rPr>
                <w:rFonts w:ascii="Arial Narrow" w:hAnsi="Arial Narrow"/>
                <w:b/>
                <w:sz w:val="20"/>
              </w:rPr>
              <w:t>I</w:t>
            </w:r>
            <w:r>
              <w:rPr>
                <w:rFonts w:ascii="Arial Narrow" w:hAnsi="Arial Narrow"/>
                <w:b/>
                <w:sz w:val="20"/>
              </w:rPr>
              <w:t>mm</w:t>
            </w:r>
            <w:r w:rsidRPr="009F724B">
              <w:rPr>
                <w:rFonts w:ascii="Arial Narrow" w:hAnsi="Arial Narrow"/>
                <w:b/>
                <w:sz w:val="20"/>
              </w:rPr>
              <w:t xml:space="preserve">ediate </w:t>
            </w:r>
            <w:r>
              <w:rPr>
                <w:rFonts w:ascii="Arial Narrow" w:hAnsi="Arial Narrow"/>
                <w:b/>
                <w:sz w:val="20"/>
              </w:rPr>
              <w:t>behaviour changes (O</w:t>
            </w:r>
            <w:r w:rsidRPr="009F724B">
              <w:rPr>
                <w:rFonts w:ascii="Arial Narrow" w:hAnsi="Arial Narrow"/>
                <w:b/>
                <w:sz w:val="20"/>
              </w:rPr>
              <w:t>utcomes</w:t>
            </w:r>
            <w:r>
              <w:rPr>
                <w:rFonts w:ascii="Arial Narrow" w:hAnsi="Arial Narrow"/>
                <w:b/>
                <w:sz w:val="20"/>
              </w:rPr>
              <w:t>)</w:t>
            </w:r>
            <w:r w:rsidRPr="009F724B">
              <w:rPr>
                <w:rFonts w:ascii="Arial Narrow" w:hAnsi="Arial Narrow"/>
                <w:b/>
                <w:sz w:val="20"/>
              </w:rPr>
              <w:t>:</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Donors operationalise commitments under Joint Policy Reform Matrix and PFM Roadmap through Corporate Plans of relevant partner agencies</w:t>
            </w:r>
          </w:p>
          <w:p w:rsidR="002106D3" w:rsidRDefault="002106D3" w:rsidP="006B62B6">
            <w:pPr>
              <w:pStyle w:val="ListBullet"/>
              <w:tabs>
                <w:tab w:val="clear" w:pos="360"/>
                <w:tab w:val="num" w:pos="142"/>
              </w:tabs>
              <w:spacing w:before="0" w:after="0"/>
              <w:ind w:left="142" w:hanging="142"/>
              <w:jc w:val="left"/>
              <w:rPr>
                <w:rFonts w:ascii="Arial Narrow" w:hAnsi="Arial Narrow"/>
                <w:sz w:val="20"/>
                <w:lang w:eastAsia="en-AU"/>
              </w:rPr>
            </w:pPr>
            <w:r>
              <w:rPr>
                <w:rFonts w:ascii="Arial Narrow" w:hAnsi="Arial Narrow"/>
                <w:sz w:val="20"/>
                <w:lang w:eastAsia="en-AU"/>
              </w:rPr>
              <w:t>Harmonised annual reporting of donor commitments, disbursement and sectoral/geographic allocation</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Joint Policy Reform Matrix used to harmonise donor support for strengthened PFM in Tonga</w:t>
            </w:r>
          </w:p>
          <w:p w:rsidR="002106D3" w:rsidRDefault="002106D3" w:rsidP="006B62B6">
            <w:pPr>
              <w:pStyle w:val="ListBullet"/>
              <w:tabs>
                <w:tab w:val="clear" w:pos="360"/>
                <w:tab w:val="num" w:pos="142"/>
              </w:tabs>
              <w:spacing w:before="0" w:after="0"/>
              <w:ind w:left="142" w:hanging="142"/>
              <w:jc w:val="left"/>
              <w:rPr>
                <w:rFonts w:ascii="Arial Narrow" w:hAnsi="Arial Narrow"/>
                <w:noProof/>
                <w:sz w:val="20"/>
                <w:lang w:val="en-GB" w:eastAsia="en-GB"/>
              </w:rPr>
            </w:pPr>
          </w:p>
        </w:tc>
        <w:tc>
          <w:tcPr>
            <w:tcW w:w="567" w:type="dxa"/>
            <w:gridSpan w:val="2"/>
            <w:tcBorders>
              <w:top w:val="nil"/>
              <w:left w:val="single" w:sz="4" w:space="0" w:color="auto"/>
              <w:bottom w:val="nil"/>
              <w:right w:val="single" w:sz="4" w:space="0" w:color="auto"/>
            </w:tcBorders>
            <w:shd w:val="clear" w:color="auto" w:fill="auto"/>
          </w:tcPr>
          <w:p w:rsidR="002106D3" w:rsidRDefault="002106D3" w:rsidP="006B62B6">
            <w:pPr>
              <w:jc w:val="left"/>
              <w:rPr>
                <w:rFonts w:ascii="Arial Narrow" w:hAnsi="Arial Narrow"/>
                <w:b/>
                <w:sz w:val="20"/>
              </w:rPr>
            </w:pPr>
          </w:p>
        </w:tc>
        <w:tc>
          <w:tcPr>
            <w:tcW w:w="694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06D3" w:rsidRPr="009F724B" w:rsidRDefault="002106D3" w:rsidP="006B62B6">
            <w:pPr>
              <w:pStyle w:val="ListBullet"/>
              <w:numPr>
                <w:ilvl w:val="0"/>
                <w:numId w:val="0"/>
              </w:numPr>
              <w:spacing w:before="0" w:after="0"/>
              <w:ind w:left="360" w:hanging="360"/>
              <w:jc w:val="left"/>
              <w:rPr>
                <w:rFonts w:ascii="Arial Narrow" w:hAnsi="Arial Narrow"/>
                <w:b/>
                <w:sz w:val="20"/>
              </w:rPr>
            </w:pPr>
            <w:r w:rsidRPr="009F724B">
              <w:rPr>
                <w:rFonts w:ascii="Arial Narrow" w:hAnsi="Arial Narrow"/>
                <w:b/>
                <w:sz w:val="20"/>
              </w:rPr>
              <w:t>I</w:t>
            </w:r>
            <w:r>
              <w:rPr>
                <w:rFonts w:ascii="Arial Narrow" w:hAnsi="Arial Narrow"/>
                <w:b/>
                <w:sz w:val="20"/>
              </w:rPr>
              <w:t>mm</w:t>
            </w:r>
            <w:r w:rsidRPr="009F724B">
              <w:rPr>
                <w:rFonts w:ascii="Arial Narrow" w:hAnsi="Arial Narrow"/>
                <w:b/>
                <w:sz w:val="20"/>
              </w:rPr>
              <w:t xml:space="preserve">ediate </w:t>
            </w:r>
            <w:r>
              <w:rPr>
                <w:rFonts w:ascii="Arial Narrow" w:hAnsi="Arial Narrow"/>
                <w:b/>
                <w:sz w:val="20"/>
              </w:rPr>
              <w:t>behaviour changes (O</w:t>
            </w:r>
            <w:r w:rsidRPr="009F724B">
              <w:rPr>
                <w:rFonts w:ascii="Arial Narrow" w:hAnsi="Arial Narrow"/>
                <w:b/>
                <w:sz w:val="20"/>
              </w:rPr>
              <w:t>utcomes</w:t>
            </w:r>
            <w:r>
              <w:rPr>
                <w:rFonts w:ascii="Arial Narrow" w:hAnsi="Arial Narrow"/>
                <w:b/>
                <w:sz w:val="20"/>
              </w:rPr>
              <w:t>)</w:t>
            </w:r>
            <w:r w:rsidRPr="009F724B">
              <w:rPr>
                <w:rFonts w:ascii="Arial Narrow" w:hAnsi="Arial Narrow"/>
                <w:b/>
                <w:sz w:val="20"/>
              </w:rPr>
              <w:t>:</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PFM information used to support inter-agency coordination and policy</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MoFNP, MoR and PSC use statistics and monitoring information to inform decisions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SD supports other agencies to collect, analyse, communicate and use monitoring data</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GoT agencies start to systematically monitor and use KPIs in Corporate Plans to inform management decisions</w:t>
            </w:r>
          </w:p>
          <w:p w:rsidR="002106D3" w:rsidRDefault="002106D3" w:rsidP="006B62B6">
            <w:pPr>
              <w:pStyle w:val="ListBullet"/>
              <w:tabs>
                <w:tab w:val="clear" w:pos="360"/>
                <w:tab w:val="num" w:pos="142"/>
              </w:tabs>
              <w:spacing w:before="0" w:after="0"/>
              <w:ind w:left="142" w:hanging="142"/>
              <w:jc w:val="left"/>
              <w:rPr>
                <w:rFonts w:ascii="Arial Narrow" w:hAnsi="Arial Narrow"/>
                <w:noProof/>
                <w:sz w:val="20"/>
                <w:lang w:val="en-GB" w:eastAsia="en-GB"/>
              </w:rPr>
            </w:pPr>
          </w:p>
        </w:tc>
      </w:tr>
      <w:tr w:rsidR="002106D3" w:rsidTr="006B62B6">
        <w:trPr>
          <w:jc w:val="center"/>
        </w:trPr>
        <w:tc>
          <w:tcPr>
            <w:tcW w:w="3686" w:type="dxa"/>
            <w:gridSpan w:val="2"/>
            <w:tcBorders>
              <w:top w:val="single" w:sz="4" w:space="0" w:color="auto"/>
              <w:left w:val="nil"/>
              <w:bottom w:val="nil"/>
              <w:right w:val="single" w:sz="4" w:space="0" w:color="auto"/>
            </w:tcBorders>
            <w:shd w:val="clear" w:color="auto" w:fill="auto"/>
          </w:tcPr>
          <w:p w:rsidR="002106D3" w:rsidRDefault="002106D3" w:rsidP="006B62B6">
            <w:pPr>
              <w:jc w:val="left"/>
              <w:rPr>
                <w:rFonts w:ascii="Arial Narrow" w:hAnsi="Arial Narrow"/>
                <w:b/>
                <w:sz w:val="20"/>
              </w:rPr>
            </w:pPr>
          </w:p>
        </w:tc>
        <w:tc>
          <w:tcPr>
            <w:tcW w:w="7513" w:type="dxa"/>
            <w:gridSpan w:val="8"/>
            <w:tcBorders>
              <w:top w:val="nil"/>
              <w:left w:val="single" w:sz="4" w:space="0" w:color="auto"/>
              <w:bottom w:val="nil"/>
              <w:right w:val="single" w:sz="4" w:space="0" w:color="auto"/>
            </w:tcBorders>
            <w:shd w:val="clear" w:color="auto" w:fill="auto"/>
          </w:tcPr>
          <w:p w:rsidR="002106D3" w:rsidRDefault="002106D3" w:rsidP="006B62B6">
            <w:pPr>
              <w:pStyle w:val="ListBullet"/>
              <w:numPr>
                <w:ilvl w:val="0"/>
                <w:numId w:val="0"/>
              </w:numPr>
              <w:spacing w:before="0" w:after="0"/>
              <w:jc w:val="left"/>
              <w:rPr>
                <w:rFonts w:ascii="Arial Narrow" w:hAnsi="Arial Narrow"/>
                <w:noProof/>
                <w:sz w:val="20"/>
                <w:lang w:val="en-GB" w:eastAsia="en-GB"/>
              </w:rPr>
            </w:pPr>
          </w:p>
        </w:tc>
        <w:tc>
          <w:tcPr>
            <w:tcW w:w="3543" w:type="dxa"/>
            <w:gridSpan w:val="2"/>
            <w:tcBorders>
              <w:top w:val="single" w:sz="4" w:space="0" w:color="auto"/>
              <w:left w:val="single" w:sz="4" w:space="0" w:color="auto"/>
              <w:bottom w:val="nil"/>
              <w:right w:val="nil"/>
            </w:tcBorders>
            <w:shd w:val="clear" w:color="auto" w:fill="auto"/>
          </w:tcPr>
          <w:p w:rsidR="002106D3" w:rsidRDefault="002106D3" w:rsidP="006B62B6">
            <w:pPr>
              <w:pStyle w:val="ListBullet"/>
              <w:numPr>
                <w:ilvl w:val="0"/>
                <w:numId w:val="0"/>
              </w:numPr>
              <w:spacing w:before="0" w:after="0"/>
              <w:jc w:val="left"/>
              <w:rPr>
                <w:rFonts w:ascii="Arial Narrow" w:hAnsi="Arial Narrow"/>
                <w:noProof/>
                <w:sz w:val="20"/>
                <w:lang w:val="en-GB" w:eastAsia="en-GB"/>
              </w:rPr>
            </w:pPr>
          </w:p>
        </w:tc>
      </w:tr>
      <w:tr w:rsidR="002106D3" w:rsidRPr="00184667" w:rsidTr="006B62B6">
        <w:trPr>
          <w:jc w:val="center"/>
        </w:trPr>
        <w:tc>
          <w:tcPr>
            <w:tcW w:w="7230" w:type="dxa"/>
            <w:gridSpan w:val="5"/>
            <w:tcBorders>
              <w:top w:val="dashed" w:sz="4" w:space="0" w:color="auto"/>
              <w:left w:val="dashed" w:sz="4" w:space="0" w:color="auto"/>
              <w:bottom w:val="dashed" w:sz="4" w:space="0" w:color="auto"/>
              <w:right w:val="nil"/>
            </w:tcBorders>
            <w:shd w:val="clear" w:color="auto" w:fill="F2DBDB" w:themeFill="accent2" w:themeFillTint="33"/>
          </w:tcPr>
          <w:p w:rsidR="002106D3" w:rsidRDefault="002106D3" w:rsidP="006B62B6">
            <w:pPr>
              <w:jc w:val="left"/>
              <w:rPr>
                <w:rFonts w:ascii="Arial Narrow" w:hAnsi="Arial Narrow"/>
                <w:b/>
                <w:sz w:val="20"/>
              </w:rPr>
            </w:pPr>
            <w:r>
              <w:rPr>
                <w:rFonts w:ascii="Arial Narrow" w:hAnsi="Arial Narrow"/>
                <w:b/>
                <w:sz w:val="20"/>
              </w:rPr>
              <w:t>Knowledge, attitudes, skills, aspirations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Donor staff have knowledge of Corporate Plans for partner GoT agencies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Donors have knowledge of all initiatives supporting EPSG in Tonga</w:t>
            </w:r>
          </w:p>
          <w:p w:rsidR="002106D3" w:rsidRPr="00184667" w:rsidRDefault="002106D3" w:rsidP="006B62B6">
            <w:pPr>
              <w:pStyle w:val="ListBullet"/>
              <w:tabs>
                <w:tab w:val="clear" w:pos="360"/>
                <w:tab w:val="num" w:pos="142"/>
              </w:tabs>
              <w:spacing w:before="0" w:after="0"/>
              <w:ind w:left="142" w:hanging="142"/>
              <w:jc w:val="left"/>
              <w:rPr>
                <w:rFonts w:ascii="Arial Narrow" w:hAnsi="Arial Narrow"/>
                <w:b/>
                <w:sz w:val="20"/>
              </w:rPr>
            </w:pPr>
          </w:p>
        </w:tc>
        <w:tc>
          <w:tcPr>
            <w:tcW w:w="567" w:type="dxa"/>
            <w:gridSpan w:val="2"/>
            <w:tcBorders>
              <w:top w:val="nil"/>
              <w:left w:val="nil"/>
              <w:bottom w:val="nil"/>
              <w:right w:val="dashed" w:sz="4" w:space="0" w:color="auto"/>
            </w:tcBorders>
            <w:shd w:val="clear" w:color="auto" w:fill="auto"/>
          </w:tcPr>
          <w:p w:rsidR="002106D3" w:rsidRDefault="002106D3" w:rsidP="006B62B6">
            <w:pPr>
              <w:jc w:val="left"/>
              <w:rPr>
                <w:rFonts w:ascii="Arial Narrow" w:hAnsi="Arial Narrow"/>
                <w:b/>
                <w:sz w:val="20"/>
              </w:rPr>
            </w:pPr>
          </w:p>
        </w:tc>
        <w:tc>
          <w:tcPr>
            <w:tcW w:w="6945" w:type="dxa"/>
            <w:gridSpan w:val="5"/>
            <w:tcBorders>
              <w:top w:val="dashed" w:sz="4" w:space="0" w:color="auto"/>
              <w:left w:val="dashed" w:sz="4" w:space="0" w:color="auto"/>
              <w:bottom w:val="dashed" w:sz="4" w:space="0" w:color="auto"/>
              <w:right w:val="nil"/>
            </w:tcBorders>
            <w:shd w:val="clear" w:color="auto" w:fill="F2DBDB" w:themeFill="accent2" w:themeFillTint="33"/>
          </w:tcPr>
          <w:p w:rsidR="002106D3" w:rsidRDefault="002106D3" w:rsidP="006B62B6">
            <w:pPr>
              <w:jc w:val="left"/>
              <w:rPr>
                <w:rFonts w:ascii="Arial Narrow" w:hAnsi="Arial Narrow"/>
                <w:b/>
                <w:sz w:val="20"/>
              </w:rPr>
            </w:pPr>
            <w:r>
              <w:rPr>
                <w:rFonts w:ascii="Arial Narrow" w:hAnsi="Arial Narrow"/>
                <w:b/>
                <w:sz w:val="20"/>
              </w:rPr>
              <w:t>Knowledge, attitudes, skills, aspirations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MoFNP, MoR, PSC staff have knowledge and skills needed to collect, analyse, communicate and use monitoring data</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Donor staff have knowledge and skills needed to collect, analyse, communicate and use monitoring data</w:t>
            </w:r>
          </w:p>
          <w:p w:rsidR="002106D3" w:rsidRPr="00184667" w:rsidRDefault="002106D3" w:rsidP="006B62B6">
            <w:pPr>
              <w:pStyle w:val="ListBullet"/>
              <w:tabs>
                <w:tab w:val="clear" w:pos="360"/>
                <w:tab w:val="num" w:pos="142"/>
              </w:tabs>
              <w:spacing w:before="0" w:after="0"/>
              <w:ind w:left="142" w:hanging="142"/>
              <w:jc w:val="left"/>
              <w:rPr>
                <w:rFonts w:ascii="Arial Narrow" w:hAnsi="Arial Narrow"/>
                <w:b/>
                <w:sz w:val="20"/>
              </w:rPr>
            </w:pPr>
          </w:p>
        </w:tc>
      </w:tr>
      <w:tr w:rsidR="002106D3" w:rsidTr="006B62B6">
        <w:trPr>
          <w:jc w:val="center"/>
        </w:trPr>
        <w:tc>
          <w:tcPr>
            <w:tcW w:w="3686" w:type="dxa"/>
            <w:gridSpan w:val="2"/>
            <w:tcBorders>
              <w:top w:val="dashed" w:sz="4" w:space="0" w:color="auto"/>
              <w:left w:val="nil"/>
              <w:bottom w:val="nil"/>
              <w:right w:val="single" w:sz="4" w:space="0" w:color="auto"/>
            </w:tcBorders>
            <w:shd w:val="clear" w:color="auto" w:fill="auto"/>
          </w:tcPr>
          <w:p w:rsidR="002106D3" w:rsidRDefault="002106D3" w:rsidP="006B62B6">
            <w:pPr>
              <w:jc w:val="left"/>
              <w:rPr>
                <w:rFonts w:ascii="Arial Narrow" w:hAnsi="Arial Narrow"/>
                <w:b/>
                <w:sz w:val="20"/>
              </w:rPr>
            </w:pPr>
          </w:p>
        </w:tc>
        <w:tc>
          <w:tcPr>
            <w:tcW w:w="7513" w:type="dxa"/>
            <w:gridSpan w:val="8"/>
            <w:tcBorders>
              <w:top w:val="nil"/>
              <w:left w:val="single" w:sz="4" w:space="0" w:color="auto"/>
              <w:bottom w:val="nil"/>
              <w:right w:val="single" w:sz="4" w:space="0" w:color="auto"/>
            </w:tcBorders>
            <w:shd w:val="clear" w:color="auto" w:fill="auto"/>
          </w:tcPr>
          <w:p w:rsidR="002106D3" w:rsidRDefault="002106D3" w:rsidP="006B62B6">
            <w:pPr>
              <w:pStyle w:val="ListBullet"/>
              <w:numPr>
                <w:ilvl w:val="0"/>
                <w:numId w:val="0"/>
              </w:numPr>
              <w:spacing w:before="0" w:after="0"/>
              <w:jc w:val="left"/>
              <w:rPr>
                <w:rFonts w:ascii="Arial Narrow" w:hAnsi="Arial Narrow"/>
                <w:noProof/>
                <w:sz w:val="20"/>
                <w:lang w:val="en-GB" w:eastAsia="en-GB"/>
              </w:rPr>
            </w:pPr>
          </w:p>
        </w:tc>
        <w:tc>
          <w:tcPr>
            <w:tcW w:w="3543" w:type="dxa"/>
            <w:gridSpan w:val="2"/>
            <w:tcBorders>
              <w:top w:val="dashed" w:sz="4" w:space="0" w:color="auto"/>
              <w:left w:val="single" w:sz="4" w:space="0" w:color="auto"/>
              <w:bottom w:val="nil"/>
              <w:right w:val="nil"/>
            </w:tcBorders>
            <w:shd w:val="clear" w:color="auto" w:fill="auto"/>
          </w:tcPr>
          <w:p w:rsidR="002106D3" w:rsidRDefault="002106D3" w:rsidP="006B62B6">
            <w:pPr>
              <w:pStyle w:val="ListBullet"/>
              <w:numPr>
                <w:ilvl w:val="0"/>
                <w:numId w:val="0"/>
              </w:numPr>
              <w:spacing w:before="0" w:after="0"/>
              <w:jc w:val="left"/>
              <w:rPr>
                <w:rFonts w:ascii="Arial Narrow" w:hAnsi="Arial Narrow"/>
                <w:noProof/>
                <w:sz w:val="20"/>
                <w:lang w:val="en-GB" w:eastAsia="en-GB"/>
              </w:rPr>
            </w:pPr>
          </w:p>
        </w:tc>
      </w:tr>
      <w:tr w:rsidR="002106D3" w:rsidRPr="00184667" w:rsidTr="006B62B6">
        <w:trPr>
          <w:jc w:val="center"/>
        </w:trPr>
        <w:tc>
          <w:tcPr>
            <w:tcW w:w="7230"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106D3" w:rsidRPr="009F724B" w:rsidRDefault="002106D3" w:rsidP="006B62B6">
            <w:pPr>
              <w:pStyle w:val="ListBullet"/>
              <w:numPr>
                <w:ilvl w:val="0"/>
                <w:numId w:val="0"/>
              </w:numPr>
              <w:spacing w:before="0" w:after="0"/>
              <w:ind w:left="360" w:hanging="360"/>
              <w:jc w:val="left"/>
              <w:rPr>
                <w:rFonts w:ascii="Arial Narrow" w:hAnsi="Arial Narrow"/>
                <w:b/>
                <w:sz w:val="20"/>
              </w:rPr>
            </w:pPr>
            <w:r>
              <w:rPr>
                <w:rFonts w:ascii="Arial Narrow" w:hAnsi="Arial Narrow"/>
                <w:b/>
                <w:sz w:val="20"/>
              </w:rPr>
              <w:t>Products and deliverables (Outputs)</w:t>
            </w:r>
            <w:r w:rsidRPr="009F724B">
              <w:rPr>
                <w:rFonts w:ascii="Arial Narrow" w:hAnsi="Arial Narrow"/>
                <w:b/>
                <w:sz w:val="20"/>
              </w:rPr>
              <w:t>:</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Corporate Plans of partner GoT agencies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Updated Joint Policy Reform Matrix</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Updated PFM Roadmap</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Regular donor coordination meetings</w:t>
            </w:r>
          </w:p>
          <w:p w:rsidR="002106D3" w:rsidRPr="004E21ED" w:rsidRDefault="002106D3" w:rsidP="006B62B6">
            <w:pPr>
              <w:rPr>
                <w:rFonts w:ascii="Arial Narrow" w:hAnsi="Arial Narrow"/>
                <w:sz w:val="20"/>
              </w:rPr>
            </w:pPr>
          </w:p>
        </w:tc>
        <w:tc>
          <w:tcPr>
            <w:tcW w:w="567" w:type="dxa"/>
            <w:gridSpan w:val="2"/>
            <w:tcBorders>
              <w:top w:val="nil"/>
              <w:left w:val="single" w:sz="4" w:space="0" w:color="auto"/>
              <w:bottom w:val="nil"/>
              <w:right w:val="single" w:sz="4" w:space="0" w:color="auto"/>
            </w:tcBorders>
            <w:shd w:val="clear" w:color="auto" w:fill="auto"/>
          </w:tcPr>
          <w:p w:rsidR="002106D3" w:rsidRDefault="002106D3" w:rsidP="006B62B6">
            <w:pPr>
              <w:jc w:val="left"/>
              <w:rPr>
                <w:rFonts w:ascii="Arial Narrow" w:hAnsi="Arial Narrow"/>
                <w:b/>
                <w:sz w:val="20"/>
              </w:rPr>
            </w:pPr>
          </w:p>
        </w:tc>
        <w:tc>
          <w:tcPr>
            <w:tcW w:w="6945"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106D3" w:rsidRPr="009F724B" w:rsidRDefault="002106D3" w:rsidP="006B62B6">
            <w:pPr>
              <w:pStyle w:val="ListBullet"/>
              <w:numPr>
                <w:ilvl w:val="0"/>
                <w:numId w:val="0"/>
              </w:numPr>
              <w:spacing w:before="0" w:after="0"/>
              <w:ind w:left="360" w:hanging="360"/>
              <w:jc w:val="left"/>
              <w:rPr>
                <w:rFonts w:ascii="Arial Narrow" w:hAnsi="Arial Narrow"/>
                <w:b/>
                <w:sz w:val="20"/>
              </w:rPr>
            </w:pPr>
            <w:r>
              <w:rPr>
                <w:rFonts w:ascii="Arial Narrow" w:hAnsi="Arial Narrow"/>
                <w:b/>
                <w:sz w:val="20"/>
              </w:rPr>
              <w:t>Products and deliverables (Outputs)</w:t>
            </w:r>
            <w:r w:rsidRPr="009F724B">
              <w:rPr>
                <w:rFonts w:ascii="Arial Narrow" w:hAnsi="Arial Narrow"/>
                <w:b/>
                <w:sz w:val="20"/>
              </w:rPr>
              <w:t>:</w:t>
            </w:r>
          </w:p>
          <w:p w:rsidR="002106D3" w:rsidRPr="00F27A16" w:rsidRDefault="002106D3" w:rsidP="006B62B6">
            <w:pPr>
              <w:pStyle w:val="ListBullet"/>
              <w:tabs>
                <w:tab w:val="clear" w:pos="360"/>
                <w:tab w:val="num" w:pos="142"/>
              </w:tabs>
              <w:spacing w:before="0" w:after="0"/>
              <w:ind w:left="142" w:hanging="142"/>
              <w:jc w:val="left"/>
              <w:rPr>
                <w:rFonts w:ascii="Arial Narrow" w:hAnsi="Arial Narrow"/>
                <w:sz w:val="20"/>
              </w:rPr>
            </w:pPr>
            <w:r w:rsidRPr="00F27A16">
              <w:rPr>
                <w:rFonts w:ascii="Arial Narrow" w:hAnsi="Arial Narrow"/>
                <w:sz w:val="20"/>
              </w:rPr>
              <w:t>Selected GoT staff trained to collect, analyse, communicate and use monitoring data</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Updated statistical legislation and regulations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Tonga Bureau of Statistics established from SD</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Valid and reliable economic and governance statistics synthesised and presented for effective communication to decision makers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Periodic PEFA assessments</w:t>
            </w:r>
          </w:p>
          <w:p w:rsidR="002106D3" w:rsidRDefault="002106D3" w:rsidP="006B62B6">
            <w:pPr>
              <w:pStyle w:val="ListBullet"/>
              <w:tabs>
                <w:tab w:val="clear" w:pos="360"/>
                <w:tab w:val="num" w:pos="142"/>
              </w:tabs>
              <w:spacing w:before="0" w:after="0"/>
              <w:ind w:left="142" w:hanging="142"/>
              <w:jc w:val="left"/>
              <w:rPr>
                <w:rFonts w:ascii="Arial Narrow" w:hAnsi="Arial Narrow"/>
                <w:sz w:val="20"/>
              </w:rPr>
            </w:pPr>
            <w:r>
              <w:rPr>
                <w:rFonts w:ascii="Arial Narrow" w:hAnsi="Arial Narrow"/>
                <w:sz w:val="20"/>
              </w:rPr>
              <w:t>Annual output-to-purpose review of Corporate Plan implementation against TSDF</w:t>
            </w:r>
          </w:p>
          <w:p w:rsidR="002106D3" w:rsidRPr="004E21ED" w:rsidRDefault="002106D3" w:rsidP="006B62B6">
            <w:pPr>
              <w:rPr>
                <w:rFonts w:ascii="Arial Narrow" w:hAnsi="Arial Narrow"/>
                <w:sz w:val="20"/>
              </w:rPr>
            </w:pPr>
          </w:p>
        </w:tc>
      </w:tr>
    </w:tbl>
    <w:p w:rsidR="002106D3" w:rsidRDefault="002106D3" w:rsidP="002106D3">
      <w:pPr>
        <w:rPr>
          <w:sz w:val="16"/>
          <w:szCs w:val="16"/>
        </w:rPr>
      </w:pPr>
    </w:p>
    <w:p w:rsidR="002106D3" w:rsidRPr="00C228C1" w:rsidRDefault="002106D3" w:rsidP="002106D3">
      <w:pPr>
        <w:rPr>
          <w:b/>
          <w:sz w:val="16"/>
          <w:szCs w:val="16"/>
        </w:rPr>
      </w:pPr>
      <w:r w:rsidRPr="00C228C1">
        <w:rPr>
          <w:b/>
          <w:sz w:val="16"/>
          <w:szCs w:val="16"/>
        </w:rPr>
        <w:t>References:</w:t>
      </w:r>
    </w:p>
    <w:p w:rsidR="002106D3" w:rsidRDefault="002106D3" w:rsidP="002106D3">
      <w:pPr>
        <w:ind w:left="720" w:hanging="720"/>
        <w:rPr>
          <w:sz w:val="16"/>
          <w:szCs w:val="16"/>
        </w:rPr>
      </w:pPr>
      <w:r>
        <w:rPr>
          <w:sz w:val="16"/>
          <w:szCs w:val="16"/>
        </w:rPr>
        <w:t>AusAID (2013) Key P</w:t>
      </w:r>
      <w:r w:rsidR="00F27ED2">
        <w:rPr>
          <w:sz w:val="16"/>
          <w:szCs w:val="16"/>
        </w:rPr>
        <w:t xml:space="preserve">olicy </w:t>
      </w:r>
      <w:r>
        <w:rPr>
          <w:sz w:val="16"/>
          <w:szCs w:val="16"/>
        </w:rPr>
        <w:t>R</w:t>
      </w:r>
      <w:r w:rsidR="00F27ED2">
        <w:rPr>
          <w:sz w:val="16"/>
          <w:szCs w:val="16"/>
        </w:rPr>
        <w:t xml:space="preserve">eform </w:t>
      </w:r>
      <w:r>
        <w:rPr>
          <w:sz w:val="16"/>
          <w:szCs w:val="16"/>
        </w:rPr>
        <w:t>M</w:t>
      </w:r>
      <w:r w:rsidR="00F27ED2">
        <w:rPr>
          <w:sz w:val="16"/>
          <w:szCs w:val="16"/>
        </w:rPr>
        <w:t>atrix</w:t>
      </w:r>
      <w:r>
        <w:rPr>
          <w:sz w:val="16"/>
          <w:szCs w:val="16"/>
        </w:rPr>
        <w:t xml:space="preserve"> Reforms Under Implementation in Tonga.  Australian Agency for International Development, Nuku-alofa, Tonga.</w:t>
      </w:r>
    </w:p>
    <w:p w:rsidR="002106D3" w:rsidRDefault="002106D3" w:rsidP="002106D3">
      <w:pPr>
        <w:ind w:left="720" w:hanging="720"/>
        <w:rPr>
          <w:sz w:val="16"/>
          <w:szCs w:val="16"/>
        </w:rPr>
      </w:pPr>
      <w:r>
        <w:rPr>
          <w:sz w:val="16"/>
          <w:szCs w:val="16"/>
        </w:rPr>
        <w:t xml:space="preserve">AusAID (2009) Tonga Australia Performance Partnership Agreement.  </w:t>
      </w:r>
      <w:r w:rsidRPr="00DB3C1E">
        <w:rPr>
          <w:sz w:val="16"/>
          <w:szCs w:val="16"/>
        </w:rPr>
        <w:t>Implementation Strategy</w:t>
      </w:r>
      <w:r>
        <w:rPr>
          <w:sz w:val="16"/>
          <w:szCs w:val="16"/>
        </w:rPr>
        <w:t xml:space="preserve"> for </w:t>
      </w:r>
      <w:r w:rsidRPr="00DB3C1E">
        <w:rPr>
          <w:sz w:val="16"/>
          <w:szCs w:val="16"/>
        </w:rPr>
        <w:t>Priority Outcome 1: A More Efficient and Effective Public Sector</w:t>
      </w:r>
      <w:r>
        <w:rPr>
          <w:sz w:val="16"/>
          <w:szCs w:val="16"/>
        </w:rPr>
        <w:t>.  Australian Agency for International Development, Canberra, Australia.</w:t>
      </w:r>
    </w:p>
    <w:p w:rsidR="002106D3" w:rsidRDefault="002106D3" w:rsidP="002106D3">
      <w:pPr>
        <w:ind w:left="720" w:hanging="720"/>
        <w:rPr>
          <w:sz w:val="16"/>
          <w:szCs w:val="16"/>
        </w:rPr>
      </w:pPr>
      <w:r>
        <w:rPr>
          <w:sz w:val="16"/>
          <w:szCs w:val="16"/>
        </w:rPr>
        <w:t xml:space="preserve">Government of Tonga (2012) </w:t>
      </w:r>
      <w:r w:rsidRPr="00C228C1">
        <w:rPr>
          <w:sz w:val="16"/>
          <w:szCs w:val="16"/>
        </w:rPr>
        <w:t>Public Financial Management and MoFNP Strengthening Roadmap</w:t>
      </w:r>
      <w:r>
        <w:rPr>
          <w:sz w:val="16"/>
          <w:szCs w:val="16"/>
        </w:rPr>
        <w:t xml:space="preserve"> 2012-2017.  Ministry of Finance a</w:t>
      </w:r>
      <w:r w:rsidRPr="00A31A32">
        <w:rPr>
          <w:sz w:val="16"/>
          <w:szCs w:val="16"/>
        </w:rPr>
        <w:t>nd National Planning</w:t>
      </w:r>
      <w:r>
        <w:rPr>
          <w:sz w:val="16"/>
          <w:szCs w:val="16"/>
        </w:rPr>
        <w:t>, Nuku’alofa, Tonga.</w:t>
      </w:r>
    </w:p>
    <w:p w:rsidR="002106D3" w:rsidRDefault="002106D3" w:rsidP="002106D3">
      <w:pPr>
        <w:ind w:left="720" w:hanging="720"/>
        <w:rPr>
          <w:sz w:val="16"/>
          <w:szCs w:val="16"/>
        </w:rPr>
      </w:pPr>
      <w:r>
        <w:rPr>
          <w:sz w:val="16"/>
          <w:szCs w:val="16"/>
        </w:rPr>
        <w:t>Government of Tonga (2012) Guide and Template for t</w:t>
      </w:r>
      <w:r w:rsidRPr="004D1A90">
        <w:rPr>
          <w:sz w:val="16"/>
          <w:szCs w:val="16"/>
        </w:rPr>
        <w:t>he Tonga Enhanced Corporate Planning and Budgeting: Components 1-6</w:t>
      </w:r>
      <w:r>
        <w:rPr>
          <w:sz w:val="16"/>
          <w:szCs w:val="16"/>
        </w:rPr>
        <w:t>.</w:t>
      </w:r>
      <w:r w:rsidRPr="004D1A90">
        <w:rPr>
          <w:sz w:val="16"/>
          <w:szCs w:val="16"/>
        </w:rPr>
        <w:t xml:space="preserve"> </w:t>
      </w:r>
      <w:r>
        <w:rPr>
          <w:sz w:val="16"/>
          <w:szCs w:val="16"/>
        </w:rPr>
        <w:t>Ministry of Finance a</w:t>
      </w:r>
      <w:r w:rsidRPr="00A31A32">
        <w:rPr>
          <w:sz w:val="16"/>
          <w:szCs w:val="16"/>
        </w:rPr>
        <w:t>nd National Planning</w:t>
      </w:r>
      <w:r>
        <w:rPr>
          <w:sz w:val="16"/>
          <w:szCs w:val="16"/>
        </w:rPr>
        <w:t>, Nuku’alofa, Tonga.</w:t>
      </w:r>
    </w:p>
    <w:p w:rsidR="002106D3" w:rsidRDefault="002106D3" w:rsidP="002106D3">
      <w:pPr>
        <w:ind w:left="720" w:hanging="720"/>
        <w:rPr>
          <w:sz w:val="16"/>
          <w:szCs w:val="16"/>
        </w:rPr>
      </w:pPr>
      <w:r>
        <w:rPr>
          <w:sz w:val="16"/>
          <w:szCs w:val="16"/>
        </w:rPr>
        <w:t>Government of Tonga (2012) Medium-term Reform Matrix 2011-2014.  Ministry Of Finance a</w:t>
      </w:r>
      <w:r w:rsidRPr="00A31A32">
        <w:rPr>
          <w:sz w:val="16"/>
          <w:szCs w:val="16"/>
        </w:rPr>
        <w:t>nd National Planning</w:t>
      </w:r>
      <w:r>
        <w:rPr>
          <w:sz w:val="16"/>
          <w:szCs w:val="16"/>
        </w:rPr>
        <w:t>, Nuku’alofa, Tonga.</w:t>
      </w:r>
    </w:p>
    <w:p w:rsidR="002106D3" w:rsidRDefault="002106D3" w:rsidP="002106D3">
      <w:pPr>
        <w:rPr>
          <w:sz w:val="16"/>
          <w:szCs w:val="16"/>
        </w:rPr>
        <w:sectPr w:rsidR="002106D3" w:rsidSect="002106D3">
          <w:pgSz w:w="16840" w:h="23814" w:code="8"/>
          <w:pgMar w:top="1440" w:right="1440" w:bottom="1440" w:left="1440" w:header="709" w:footer="709" w:gutter="0"/>
          <w:cols w:space="708"/>
          <w:docGrid w:linePitch="360"/>
        </w:sectPr>
      </w:pPr>
      <w:r>
        <w:rPr>
          <w:sz w:val="16"/>
          <w:szCs w:val="16"/>
        </w:rPr>
        <w:t xml:space="preserve">Government of Tonga (2011) Tonga </w:t>
      </w:r>
      <w:r w:rsidRPr="00A31A32">
        <w:rPr>
          <w:sz w:val="16"/>
          <w:szCs w:val="16"/>
        </w:rPr>
        <w:t>Strategic Development Framework</w:t>
      </w:r>
      <w:r>
        <w:rPr>
          <w:sz w:val="16"/>
          <w:szCs w:val="16"/>
        </w:rPr>
        <w:t xml:space="preserve"> </w:t>
      </w:r>
      <w:r w:rsidRPr="00A31A32">
        <w:rPr>
          <w:sz w:val="16"/>
          <w:szCs w:val="16"/>
        </w:rPr>
        <w:t>(TSDF)</w:t>
      </w:r>
      <w:r>
        <w:rPr>
          <w:sz w:val="16"/>
          <w:szCs w:val="16"/>
        </w:rPr>
        <w:t xml:space="preserve"> </w:t>
      </w:r>
      <w:r w:rsidRPr="00A31A32">
        <w:rPr>
          <w:sz w:val="16"/>
          <w:szCs w:val="16"/>
        </w:rPr>
        <w:t xml:space="preserve">2011 </w:t>
      </w:r>
      <w:r>
        <w:rPr>
          <w:sz w:val="16"/>
          <w:szCs w:val="16"/>
        </w:rPr>
        <w:t>–</w:t>
      </w:r>
      <w:r w:rsidRPr="00A31A32">
        <w:rPr>
          <w:sz w:val="16"/>
          <w:szCs w:val="16"/>
        </w:rPr>
        <w:t xml:space="preserve"> 2014</w:t>
      </w:r>
      <w:r>
        <w:rPr>
          <w:sz w:val="16"/>
          <w:szCs w:val="16"/>
        </w:rPr>
        <w:t>.  Ministry Of Finance a</w:t>
      </w:r>
      <w:r w:rsidRPr="00A31A32">
        <w:rPr>
          <w:sz w:val="16"/>
          <w:szCs w:val="16"/>
        </w:rPr>
        <w:t>nd National Planning</w:t>
      </w:r>
      <w:r>
        <w:rPr>
          <w:sz w:val="16"/>
          <w:szCs w:val="16"/>
        </w:rPr>
        <w:t>, Nuku’alofa, Tonga.</w:t>
      </w:r>
    </w:p>
    <w:p w:rsidR="002106D3" w:rsidRDefault="002106D3" w:rsidP="002106D3">
      <w:pPr>
        <w:rPr>
          <w:sz w:val="16"/>
          <w:szCs w:val="16"/>
        </w:rPr>
      </w:pPr>
    </w:p>
    <w:p w:rsidR="005D53AE" w:rsidRDefault="000D7A3B" w:rsidP="005D53AE">
      <w:pPr>
        <w:pStyle w:val="Heading1"/>
        <w:spacing w:before="0" w:after="240" w:line="276" w:lineRule="auto"/>
        <w:jc w:val="left"/>
        <w:rPr>
          <w:sz w:val="24"/>
        </w:rPr>
      </w:pPr>
      <w:bookmarkStart w:id="40" w:name="_Toc356389393"/>
      <w:r>
        <w:rPr>
          <w:sz w:val="24"/>
        </w:rPr>
        <w:t>Annex 8</w:t>
      </w:r>
      <w:r w:rsidR="005D53AE">
        <w:rPr>
          <w:sz w:val="24"/>
        </w:rPr>
        <w:t>: Key PFM reforms currently supported by GoT and donors</w:t>
      </w:r>
      <w:bookmarkEnd w:id="40"/>
    </w:p>
    <w:p w:rsidR="005D53AE" w:rsidRDefault="005D53AE" w:rsidP="005D53AE">
      <w:pPr>
        <w:pStyle w:val="Heading1"/>
        <w:spacing w:before="0" w:line="276" w:lineRule="auto"/>
        <w:jc w:val="left"/>
        <w:rPr>
          <w:sz w:val="24"/>
        </w:rPr>
        <w:sectPr w:rsidR="005D53AE" w:rsidSect="005D53AE">
          <w:pgSz w:w="16840" w:h="11907" w:orient="landscape" w:code="9"/>
          <w:pgMar w:top="1440" w:right="1440" w:bottom="1440" w:left="1440" w:header="709" w:footer="709" w:gutter="0"/>
          <w:cols w:space="708"/>
          <w:docGrid w:linePitch="360"/>
        </w:sectPr>
      </w:pPr>
      <w:bookmarkStart w:id="41" w:name="_Toc355338079"/>
      <w:bookmarkStart w:id="42" w:name="_Toc356389394"/>
      <w:r>
        <w:rPr>
          <w:noProof/>
        </w:rPr>
        <w:drawing>
          <wp:inline distT="0" distB="0" distL="0" distR="0" wp14:anchorId="4A7D776A" wp14:editId="4A5B0C07">
            <wp:extent cx="9140332" cy="4798336"/>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0319" cy="4798329"/>
                    </a:xfrm>
                    <a:prstGeom prst="rect">
                      <a:avLst/>
                    </a:prstGeom>
                    <a:noFill/>
                  </pic:spPr>
                </pic:pic>
              </a:graphicData>
            </a:graphic>
          </wp:inline>
        </w:drawing>
      </w:r>
      <w:bookmarkEnd w:id="41"/>
      <w:bookmarkEnd w:id="42"/>
    </w:p>
    <w:p w:rsidR="00374DC7" w:rsidRDefault="00374DC7" w:rsidP="005D53AE">
      <w:pPr>
        <w:pStyle w:val="Heading1"/>
        <w:spacing w:before="0" w:line="276" w:lineRule="auto"/>
        <w:jc w:val="left"/>
        <w:rPr>
          <w:sz w:val="24"/>
        </w:rPr>
      </w:pPr>
      <w:bookmarkStart w:id="43" w:name="_Toc356389395"/>
      <w:r>
        <w:rPr>
          <w:sz w:val="24"/>
        </w:rPr>
        <w:t xml:space="preserve">Annex </w:t>
      </w:r>
      <w:r w:rsidR="000D7A3B">
        <w:rPr>
          <w:sz w:val="24"/>
        </w:rPr>
        <w:t>9</w:t>
      </w:r>
      <w:r>
        <w:rPr>
          <w:sz w:val="24"/>
        </w:rPr>
        <w:t>: Workshop</w:t>
      </w:r>
      <w:r w:rsidR="00553CFD">
        <w:rPr>
          <w:sz w:val="24"/>
        </w:rPr>
        <w:t xml:space="preserve"> agenda and participants</w:t>
      </w:r>
      <w:bookmarkEnd w:id="43"/>
    </w:p>
    <w:p w:rsidR="00553CFD" w:rsidRDefault="00553CFD" w:rsidP="00553CFD"/>
    <w:p w:rsidR="00553CFD" w:rsidRDefault="00553CFD" w:rsidP="00553CFD">
      <w:pPr>
        <w:jc w:val="center"/>
        <w:rPr>
          <w:b/>
        </w:rPr>
      </w:pPr>
      <w:r>
        <w:rPr>
          <w:b/>
        </w:rPr>
        <w:t>Tonga-Australia Partnership for Development</w:t>
      </w:r>
    </w:p>
    <w:p w:rsidR="00553CFD" w:rsidRDefault="00553CFD" w:rsidP="00553CFD">
      <w:pPr>
        <w:jc w:val="center"/>
        <w:rPr>
          <w:b/>
        </w:rPr>
      </w:pPr>
      <w:r>
        <w:rPr>
          <w:b/>
        </w:rPr>
        <w:t xml:space="preserve">Economic and Public Sector Governance </w:t>
      </w:r>
      <w:r w:rsidR="006E1D20">
        <w:rPr>
          <w:b/>
        </w:rPr>
        <w:t>Delivery Strategy</w:t>
      </w:r>
    </w:p>
    <w:p w:rsidR="00553CFD" w:rsidRPr="00443D1C" w:rsidRDefault="00553CFD" w:rsidP="00553CFD">
      <w:pPr>
        <w:jc w:val="center"/>
        <w:rPr>
          <w:b/>
        </w:rPr>
      </w:pPr>
      <w:r>
        <w:rPr>
          <w:b/>
        </w:rPr>
        <w:t>Theory of Change</w:t>
      </w:r>
    </w:p>
    <w:p w:rsidR="00553CFD" w:rsidRPr="00443D1C" w:rsidRDefault="00553CFD" w:rsidP="00553CFD">
      <w:pPr>
        <w:jc w:val="center"/>
        <w:rPr>
          <w:b/>
        </w:rPr>
      </w:pPr>
      <w:r>
        <w:rPr>
          <w:b/>
        </w:rPr>
        <w:t>March 26 and</w:t>
      </w:r>
      <w:r w:rsidRPr="00443D1C">
        <w:rPr>
          <w:b/>
        </w:rPr>
        <w:t xml:space="preserve"> 27, 2013 </w:t>
      </w:r>
      <w:r>
        <w:rPr>
          <w:b/>
        </w:rPr>
        <w:t>Nuku’alofa Tonga</w:t>
      </w:r>
    </w:p>
    <w:p w:rsidR="00553CFD" w:rsidRPr="00C27FB9" w:rsidRDefault="00553CFD" w:rsidP="00553CFD">
      <w:pPr>
        <w:jc w:val="center"/>
        <w:rPr>
          <w:b/>
        </w:rPr>
      </w:pP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shd w:val="clear" w:color="auto" w:fill="D9D9D9"/>
        <w:tblCellMar>
          <w:left w:w="0" w:type="dxa"/>
          <w:right w:w="0" w:type="dxa"/>
        </w:tblCellMar>
        <w:tblLook w:val="04A0" w:firstRow="1" w:lastRow="0" w:firstColumn="1" w:lastColumn="0" w:noHBand="0" w:noVBand="1"/>
      </w:tblPr>
      <w:tblGrid>
        <w:gridCol w:w="1520"/>
        <w:gridCol w:w="6203"/>
        <w:gridCol w:w="1520"/>
      </w:tblGrid>
      <w:tr w:rsidR="00553CFD" w:rsidRPr="00C27FB9" w:rsidTr="0015595E">
        <w:tc>
          <w:tcPr>
            <w:tcW w:w="9288" w:type="dxa"/>
            <w:gridSpan w:val="3"/>
            <w:tcBorders>
              <w:top w:val="single" w:sz="4" w:space="0" w:color="auto"/>
              <w:bottom w:val="single" w:sz="4" w:space="0" w:color="auto"/>
            </w:tcBorders>
            <w:shd w:val="clear" w:color="auto" w:fill="C2D69B" w:themeFill="accent3" w:themeFillTint="99"/>
            <w:tcMar>
              <w:top w:w="0" w:type="dxa"/>
              <w:left w:w="108" w:type="dxa"/>
              <w:bottom w:w="0" w:type="dxa"/>
              <w:right w:w="108" w:type="dxa"/>
            </w:tcMar>
          </w:tcPr>
          <w:p w:rsidR="00553CFD" w:rsidRPr="00C27FB9" w:rsidRDefault="00553CFD" w:rsidP="0015595E">
            <w:pPr>
              <w:spacing w:before="100" w:beforeAutospacing="1" w:after="100" w:afterAutospacing="1"/>
              <w:jc w:val="left"/>
              <w:rPr>
                <w:rFonts w:ascii="Arial Narrow" w:hAnsi="Arial Narrow"/>
                <w:sz w:val="22"/>
                <w:szCs w:val="22"/>
                <w:lang w:val="en-GB"/>
              </w:rPr>
            </w:pPr>
            <w:r w:rsidRPr="00C27FB9">
              <w:rPr>
                <w:rFonts w:ascii="Arial Narrow" w:hAnsi="Arial Narrow"/>
                <w:sz w:val="22"/>
                <w:szCs w:val="22"/>
                <w:lang w:val="en-GB"/>
              </w:rPr>
              <w:t>Tuesday March 26, 2013</w:t>
            </w: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53CFD" w:rsidRPr="00C27FB9" w:rsidRDefault="00553CFD" w:rsidP="0015595E">
            <w:pPr>
              <w:jc w:val="center"/>
              <w:rPr>
                <w:rFonts w:ascii="Arial Narrow" w:hAnsi="Arial Narrow"/>
                <w:sz w:val="22"/>
                <w:szCs w:val="22"/>
                <w:lang w:val="en-GB" w:eastAsia="en-GB"/>
              </w:rPr>
            </w:pPr>
            <w:r w:rsidRPr="00C27FB9">
              <w:rPr>
                <w:rFonts w:ascii="Arial Narrow" w:hAnsi="Arial Narrow"/>
                <w:sz w:val="22"/>
                <w:szCs w:val="22"/>
                <w:lang w:val="en-GB" w:eastAsia="en-GB"/>
              </w:rPr>
              <w:t>9:00 – 09:45</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bCs/>
                <w:sz w:val="22"/>
                <w:szCs w:val="22"/>
                <w:lang w:val="en-GB"/>
              </w:rPr>
            </w:pPr>
            <w:r w:rsidRPr="00C27FB9">
              <w:rPr>
                <w:rFonts w:ascii="Arial Narrow" w:hAnsi="Arial Narrow"/>
                <w:bCs/>
                <w:sz w:val="22"/>
                <w:szCs w:val="22"/>
                <w:lang w:val="en-GB"/>
              </w:rPr>
              <w:t>Introductions</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rFonts w:ascii="Arial Narrow" w:hAnsi="Arial Narrow"/>
                <w:sz w:val="22"/>
                <w:szCs w:val="22"/>
                <w:lang w:val="en-GB"/>
              </w:rPr>
            </w:pPr>
            <w:r w:rsidRPr="00C27FB9">
              <w:rPr>
                <w:rFonts w:ascii="Arial Narrow" w:hAnsi="Arial Narrow"/>
                <w:sz w:val="22"/>
                <w:szCs w:val="22"/>
                <w:lang w:val="en-GB"/>
              </w:rPr>
              <w:t>AusAID</w:t>
            </w: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rFonts w:ascii="Arial Narrow" w:hAnsi="Arial Narrow"/>
                <w:sz w:val="22"/>
                <w:szCs w:val="22"/>
                <w:lang w:val="en-GB" w:eastAsia="en-GB"/>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bCs/>
                <w:sz w:val="22"/>
                <w:szCs w:val="22"/>
                <w:lang w:val="en-GB"/>
              </w:rPr>
            </w:pPr>
            <w:r w:rsidRPr="00C27FB9">
              <w:rPr>
                <w:rFonts w:ascii="Arial Narrow" w:hAnsi="Arial Narrow"/>
                <w:bCs/>
                <w:sz w:val="22"/>
                <w:szCs w:val="22"/>
                <w:lang w:val="en-GB"/>
              </w:rPr>
              <w:t>The current situation – progress to date and the Policy Reform Matrix</w:t>
            </w:r>
          </w:p>
        </w:tc>
        <w:tc>
          <w:tcPr>
            <w:tcW w:w="1525"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rFonts w:ascii="Arial Narrow" w:hAnsi="Arial Narrow"/>
                <w:sz w:val="22"/>
                <w:szCs w:val="22"/>
                <w:lang w:val="en-GB"/>
              </w:rPr>
            </w:pP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553CFD" w:rsidRPr="00C27FB9" w:rsidRDefault="00553CFD" w:rsidP="0015595E">
            <w:pPr>
              <w:jc w:val="center"/>
              <w:rPr>
                <w:rFonts w:ascii="Arial Narrow" w:hAnsi="Arial Narrow"/>
                <w:sz w:val="22"/>
                <w:szCs w:val="22"/>
                <w:lang w:val="en-GB"/>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bCs/>
                <w:sz w:val="22"/>
                <w:szCs w:val="22"/>
                <w:lang w:val="en-GB"/>
              </w:rPr>
            </w:pPr>
            <w:r w:rsidRPr="00C27FB9">
              <w:rPr>
                <w:rFonts w:ascii="Arial Narrow" w:hAnsi="Arial Narrow"/>
                <w:bCs/>
                <w:sz w:val="22"/>
                <w:szCs w:val="22"/>
                <w:lang w:val="en-GB"/>
              </w:rPr>
              <w:t xml:space="preserve">Reasons for </w:t>
            </w:r>
            <w:r w:rsidR="006E1D20">
              <w:rPr>
                <w:rFonts w:ascii="Arial Narrow" w:hAnsi="Arial Narrow"/>
                <w:bCs/>
                <w:sz w:val="22"/>
                <w:szCs w:val="22"/>
                <w:lang w:val="en-GB"/>
              </w:rPr>
              <w:t>Delivery Strategy</w:t>
            </w:r>
            <w:r w:rsidRPr="00C27FB9">
              <w:rPr>
                <w:rFonts w:ascii="Arial Narrow" w:hAnsi="Arial Narrow"/>
                <w:bCs/>
                <w:sz w:val="22"/>
                <w:szCs w:val="22"/>
                <w:lang w:val="en-GB"/>
              </w:rPr>
              <w:t xml:space="preserve"> – its purpose, use and relevance</w:t>
            </w:r>
          </w:p>
        </w:tc>
        <w:tc>
          <w:tcPr>
            <w:tcW w:w="1525"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553CFD" w:rsidRPr="00C27FB9" w:rsidRDefault="00553CFD" w:rsidP="0015595E">
            <w:pPr>
              <w:jc w:val="center"/>
              <w:rPr>
                <w:rFonts w:ascii="Arial Narrow" w:hAnsi="Arial Narrow"/>
                <w:sz w:val="22"/>
                <w:szCs w:val="22"/>
                <w:lang w:val="en-GB"/>
              </w:rPr>
            </w:pP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vMerge w:val="restart"/>
            <w:tcBorders>
              <w:top w:val="single" w:sz="4" w:space="0" w:color="auto"/>
              <w:left w:val="single" w:sz="4" w:space="0" w:color="auto"/>
              <w:right w:val="single" w:sz="4" w:space="0" w:color="auto"/>
            </w:tcBorders>
            <w:shd w:val="clear" w:color="auto" w:fill="auto"/>
            <w:vAlign w:val="center"/>
          </w:tcPr>
          <w:p w:rsidR="00553CFD" w:rsidRPr="00C27FB9" w:rsidRDefault="00553CFD" w:rsidP="0015595E">
            <w:pPr>
              <w:jc w:val="center"/>
              <w:rPr>
                <w:rFonts w:ascii="Arial Narrow" w:hAnsi="Arial Narrow"/>
                <w:sz w:val="22"/>
                <w:szCs w:val="22"/>
                <w:lang w:val="en-GB"/>
              </w:rPr>
            </w:pPr>
            <w:r w:rsidRPr="00C27FB9">
              <w:rPr>
                <w:rFonts w:ascii="Arial Narrow" w:hAnsi="Arial Narrow"/>
                <w:sz w:val="22"/>
                <w:szCs w:val="22"/>
                <w:lang w:val="en-GB"/>
              </w:rPr>
              <w:t>09:45 – 10:00</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sz w:val="22"/>
                <w:szCs w:val="22"/>
                <w:lang w:val="en-GB"/>
              </w:rPr>
            </w:pPr>
            <w:r w:rsidRPr="00C27FB9">
              <w:rPr>
                <w:rFonts w:ascii="Arial Narrow" w:hAnsi="Arial Narrow"/>
                <w:sz w:val="22"/>
                <w:szCs w:val="22"/>
                <w:lang w:val="en-GB"/>
              </w:rPr>
              <w:t>What we’ll do today</w:t>
            </w:r>
          </w:p>
        </w:tc>
        <w:tc>
          <w:tcPr>
            <w:tcW w:w="1525" w:type="dxa"/>
            <w:vMerge w:val="restart"/>
            <w:tcBorders>
              <w:top w:val="single" w:sz="4" w:space="0" w:color="auto"/>
              <w:left w:val="single" w:sz="4" w:space="0" w:color="auto"/>
              <w:right w:val="single" w:sz="4" w:space="0" w:color="auto"/>
            </w:tcBorders>
            <w:shd w:val="clear" w:color="auto" w:fill="auto"/>
            <w:vAlign w:val="center"/>
          </w:tcPr>
          <w:p w:rsidR="00553CFD" w:rsidRPr="00C27FB9" w:rsidRDefault="00553CFD" w:rsidP="0015595E">
            <w:pPr>
              <w:jc w:val="center"/>
              <w:rPr>
                <w:rFonts w:ascii="Arial Narrow" w:hAnsi="Arial Narrow"/>
                <w:sz w:val="22"/>
                <w:szCs w:val="22"/>
                <w:lang w:val="en-GB"/>
              </w:rPr>
            </w:pPr>
            <w:r w:rsidRPr="00C27FB9">
              <w:rPr>
                <w:rFonts w:ascii="Arial Narrow" w:hAnsi="Arial Narrow"/>
                <w:sz w:val="22"/>
                <w:szCs w:val="22"/>
                <w:lang w:val="en-GB"/>
              </w:rPr>
              <w:t>John Fargher</w:t>
            </w: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vMerge/>
            <w:tcBorders>
              <w:left w:val="single" w:sz="4" w:space="0" w:color="auto"/>
              <w:right w:val="single" w:sz="4" w:space="0" w:color="auto"/>
            </w:tcBorders>
            <w:shd w:val="clear" w:color="auto" w:fill="auto"/>
            <w:vAlign w:val="center"/>
          </w:tcPr>
          <w:p w:rsidR="00553CFD" w:rsidRPr="00C27FB9" w:rsidRDefault="00553CFD" w:rsidP="0015595E">
            <w:pPr>
              <w:jc w:val="center"/>
              <w:rPr>
                <w:rFonts w:ascii="Arial Narrow" w:hAnsi="Arial Narrow"/>
                <w:sz w:val="22"/>
                <w:szCs w:val="22"/>
                <w:lang w:val="en-GB"/>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sz w:val="22"/>
                <w:szCs w:val="22"/>
                <w:lang w:val="en-GB"/>
              </w:rPr>
            </w:pPr>
            <w:r w:rsidRPr="00C27FB9">
              <w:rPr>
                <w:rFonts w:ascii="Arial Narrow" w:hAnsi="Arial Narrow"/>
                <w:sz w:val="22"/>
                <w:szCs w:val="22"/>
                <w:lang w:val="en-GB"/>
              </w:rPr>
              <w:t>What we’ll do tomorrow</w:t>
            </w:r>
          </w:p>
        </w:tc>
        <w:tc>
          <w:tcPr>
            <w:tcW w:w="1525" w:type="dxa"/>
            <w:vMerge/>
            <w:tcBorders>
              <w:left w:val="single" w:sz="4" w:space="0" w:color="auto"/>
              <w:right w:val="single" w:sz="4" w:space="0" w:color="auto"/>
            </w:tcBorders>
            <w:shd w:val="clear" w:color="auto" w:fill="auto"/>
            <w:vAlign w:val="center"/>
          </w:tcPr>
          <w:p w:rsidR="00553CFD" w:rsidRPr="00C27FB9" w:rsidRDefault="00553CFD" w:rsidP="0015595E">
            <w:pPr>
              <w:jc w:val="center"/>
              <w:rPr>
                <w:rFonts w:ascii="Arial Narrow" w:hAnsi="Arial Narrow"/>
                <w:sz w:val="22"/>
                <w:szCs w:val="22"/>
                <w:lang w:val="en-GB"/>
              </w:rPr>
            </w:pP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5"/>
        </w:trPr>
        <w:tc>
          <w:tcPr>
            <w:tcW w:w="1526" w:type="dxa"/>
            <w:vMerge/>
            <w:tcBorders>
              <w:left w:val="single" w:sz="4" w:space="0" w:color="auto"/>
              <w:bottom w:val="single" w:sz="4" w:space="0" w:color="auto"/>
              <w:right w:val="single" w:sz="4" w:space="0" w:color="auto"/>
            </w:tcBorders>
            <w:shd w:val="clear" w:color="auto" w:fill="auto"/>
            <w:vAlign w:val="center"/>
          </w:tcPr>
          <w:p w:rsidR="00553CFD" w:rsidRPr="00C27FB9" w:rsidRDefault="00553CFD" w:rsidP="0015595E">
            <w:pPr>
              <w:jc w:val="center"/>
              <w:rPr>
                <w:rFonts w:ascii="Arial Narrow" w:hAnsi="Arial Narrow"/>
                <w:sz w:val="22"/>
                <w:szCs w:val="22"/>
                <w:lang w:val="en-GB"/>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sz w:val="22"/>
                <w:szCs w:val="22"/>
                <w:lang w:val="en-GB" w:eastAsia="en-GB"/>
              </w:rPr>
            </w:pPr>
            <w:r w:rsidRPr="00C27FB9">
              <w:rPr>
                <w:rFonts w:ascii="Arial Narrow" w:hAnsi="Arial Narrow"/>
                <w:sz w:val="22"/>
                <w:szCs w:val="22"/>
                <w:lang w:val="en-GB" w:eastAsia="en-GB"/>
              </w:rPr>
              <w:t>Expected outputs and steps to get there</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Step 1 – Root Cause Analysis</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Step 2 – Theories of change</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Step 3 – Identify entry points for ODA and Australian Aid</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Step 4 – Results Map (Program Logic)</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Step 5 – Delivery options</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Step 6 – Key Performance Indicators (measuring what has changed)</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Step 7 – Evaluation questions (measuring why change happened)</w:t>
            </w:r>
          </w:p>
        </w:tc>
        <w:tc>
          <w:tcPr>
            <w:tcW w:w="1525" w:type="dxa"/>
            <w:vMerge/>
            <w:tcBorders>
              <w:left w:val="single" w:sz="4" w:space="0" w:color="auto"/>
              <w:bottom w:val="single" w:sz="4" w:space="0" w:color="auto"/>
              <w:right w:val="single" w:sz="4" w:space="0" w:color="auto"/>
            </w:tcBorders>
            <w:shd w:val="clear" w:color="auto" w:fill="auto"/>
            <w:vAlign w:val="center"/>
          </w:tcPr>
          <w:p w:rsidR="00553CFD" w:rsidRPr="00C27FB9" w:rsidRDefault="00553CFD" w:rsidP="0015595E">
            <w:pPr>
              <w:jc w:val="center"/>
              <w:rPr>
                <w:rFonts w:ascii="Arial Narrow" w:hAnsi="Arial Narrow"/>
                <w:sz w:val="22"/>
                <w:szCs w:val="22"/>
                <w:lang w:val="en-GB"/>
              </w:rPr>
            </w:pP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553CFD" w:rsidRPr="00C27FB9" w:rsidRDefault="00553CFD" w:rsidP="0015595E">
            <w:pPr>
              <w:jc w:val="center"/>
              <w:rPr>
                <w:rFonts w:ascii="Arial Narrow" w:hAnsi="Arial Narrow"/>
                <w:sz w:val="22"/>
                <w:szCs w:val="22"/>
                <w:lang w:val="en-GB"/>
              </w:rPr>
            </w:pPr>
            <w:r w:rsidRPr="00C27FB9">
              <w:rPr>
                <w:rFonts w:ascii="Arial Narrow" w:hAnsi="Arial Narrow"/>
                <w:sz w:val="22"/>
                <w:szCs w:val="22"/>
                <w:lang w:val="en-GB"/>
              </w:rPr>
              <w:t>10:00 – 10:15</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b/>
                <w:sz w:val="22"/>
                <w:szCs w:val="22"/>
                <w:lang w:val="en-GB"/>
              </w:rPr>
            </w:pPr>
            <w:r w:rsidRPr="00C27FB9">
              <w:rPr>
                <w:rFonts w:ascii="Arial Narrow" w:hAnsi="Arial Narrow"/>
                <w:b/>
                <w:sz w:val="22"/>
                <w:szCs w:val="22"/>
                <w:lang w:val="en-GB"/>
              </w:rPr>
              <w:t>How we use key words – for consistent understanding</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Program theory (results mapping + theory)</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Outputs</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Outcomes</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End-of-strategy outcomes</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53CFD" w:rsidRPr="00C27FB9" w:rsidRDefault="00553CFD" w:rsidP="0015595E">
            <w:pPr>
              <w:jc w:val="center"/>
              <w:rPr>
                <w:rFonts w:ascii="Arial Narrow" w:hAnsi="Arial Narrow"/>
                <w:sz w:val="22"/>
                <w:szCs w:val="22"/>
                <w:lang w:val="en-GB"/>
              </w:rPr>
            </w:pPr>
            <w:r w:rsidRPr="00C27FB9">
              <w:rPr>
                <w:rFonts w:ascii="Arial Narrow" w:hAnsi="Arial Narrow"/>
                <w:sz w:val="22"/>
                <w:szCs w:val="22"/>
                <w:lang w:val="en-GB"/>
              </w:rPr>
              <w:t>John Fargher</w:t>
            </w: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53CFD" w:rsidRPr="00C27FB9" w:rsidRDefault="00553CFD" w:rsidP="0015595E">
            <w:pPr>
              <w:jc w:val="center"/>
              <w:rPr>
                <w:rFonts w:ascii="Arial Narrow" w:hAnsi="Arial Narrow"/>
                <w:sz w:val="22"/>
                <w:szCs w:val="22"/>
                <w:lang w:val="en-GB"/>
              </w:rPr>
            </w:pPr>
            <w:r w:rsidRPr="00C27FB9">
              <w:rPr>
                <w:rFonts w:ascii="Arial Narrow" w:hAnsi="Arial Narrow"/>
                <w:sz w:val="22"/>
                <w:szCs w:val="22"/>
                <w:lang w:val="en-GB" w:eastAsia="en-GB"/>
              </w:rPr>
              <w:t>10:15 – 11:00</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b/>
                <w:bCs/>
                <w:sz w:val="22"/>
                <w:szCs w:val="22"/>
                <w:lang w:val="en-GB"/>
              </w:rPr>
            </w:pPr>
            <w:r w:rsidRPr="00C27FB9">
              <w:rPr>
                <w:rFonts w:ascii="Arial Narrow" w:hAnsi="Arial Narrow"/>
                <w:b/>
                <w:bCs/>
                <w:sz w:val="22"/>
                <w:szCs w:val="22"/>
                <w:lang w:val="en-GB"/>
              </w:rPr>
              <w:t>Step 1 – Review root causes</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Introduction to root cause analysis (RCA), its uses and limitations</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Present draft root cause analysis</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Small groups work through RCA to identify gaps, make corrections, add new root causes, test relationships</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rFonts w:ascii="Arial Narrow" w:hAnsi="Arial Narrow"/>
                <w:sz w:val="22"/>
                <w:szCs w:val="22"/>
                <w:lang w:val="en-GB" w:eastAsia="en-GB"/>
              </w:rPr>
            </w:pPr>
            <w:r w:rsidRPr="00C27FB9">
              <w:rPr>
                <w:rFonts w:ascii="Arial Narrow" w:hAnsi="Arial Narrow"/>
                <w:sz w:val="22"/>
                <w:szCs w:val="22"/>
                <w:lang w:val="en-GB" w:eastAsia="en-GB"/>
              </w:rPr>
              <w:t>Small groups</w:t>
            </w: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rFonts w:ascii="Arial Narrow" w:hAnsi="Arial Narrow"/>
                <w:sz w:val="22"/>
                <w:szCs w:val="22"/>
                <w:lang w:val="en-GB" w:eastAsia="en-GB"/>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sz w:val="22"/>
                <w:szCs w:val="22"/>
                <w:lang w:val="en-GB"/>
              </w:rPr>
            </w:pPr>
            <w:r w:rsidRPr="00C27FB9">
              <w:rPr>
                <w:rFonts w:ascii="Arial Narrow" w:hAnsi="Arial Narrow"/>
                <w:sz w:val="22"/>
                <w:szCs w:val="22"/>
                <w:lang w:val="en-GB"/>
              </w:rPr>
              <w:t>Small groups take working tea break at their convenience</w:t>
            </w:r>
          </w:p>
        </w:tc>
        <w:tc>
          <w:tcPr>
            <w:tcW w:w="1525"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rFonts w:ascii="Arial Narrow" w:hAnsi="Arial Narrow"/>
                <w:sz w:val="22"/>
                <w:szCs w:val="22"/>
                <w:lang w:val="en-GB" w:eastAsia="en-GB"/>
              </w:rPr>
            </w:pP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553CFD" w:rsidRPr="00C27FB9" w:rsidRDefault="00553CFD" w:rsidP="0015595E">
            <w:pPr>
              <w:jc w:val="center"/>
              <w:rPr>
                <w:rFonts w:ascii="Arial Narrow" w:hAnsi="Arial Narrow"/>
                <w:sz w:val="22"/>
                <w:szCs w:val="22"/>
                <w:lang w:val="en-GB"/>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sz w:val="22"/>
                <w:szCs w:val="22"/>
                <w:lang w:val="en-GB"/>
              </w:rPr>
            </w:pPr>
            <w:r w:rsidRPr="00C27FB9">
              <w:rPr>
                <w:rFonts w:ascii="Arial Narrow" w:hAnsi="Arial Narrow"/>
                <w:sz w:val="22"/>
                <w:szCs w:val="22"/>
                <w:lang w:val="en-GB"/>
              </w:rPr>
              <w:t>Small groups report their findings to whole group</w:t>
            </w:r>
          </w:p>
        </w:tc>
        <w:tc>
          <w:tcPr>
            <w:tcW w:w="1525"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553CFD" w:rsidRPr="00C27FB9" w:rsidRDefault="00553CFD" w:rsidP="0015595E">
            <w:pPr>
              <w:jc w:val="center"/>
              <w:rPr>
                <w:rFonts w:ascii="Arial Narrow" w:hAnsi="Arial Narrow"/>
                <w:sz w:val="22"/>
                <w:szCs w:val="22"/>
                <w:lang w:val="en-GB" w:eastAsia="en-GB"/>
              </w:rPr>
            </w:pP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53CFD" w:rsidRPr="00C27FB9" w:rsidRDefault="00553CFD" w:rsidP="0015595E">
            <w:pPr>
              <w:jc w:val="center"/>
              <w:rPr>
                <w:rFonts w:ascii="Arial Narrow" w:hAnsi="Arial Narrow"/>
                <w:sz w:val="22"/>
                <w:szCs w:val="22"/>
                <w:lang w:val="en-GB"/>
              </w:rPr>
            </w:pPr>
            <w:r w:rsidRPr="00C27FB9">
              <w:rPr>
                <w:rFonts w:ascii="Arial Narrow" w:hAnsi="Arial Narrow"/>
                <w:sz w:val="22"/>
                <w:szCs w:val="22"/>
                <w:lang w:val="en-GB" w:eastAsia="en-GB"/>
              </w:rPr>
              <w:t>11:00 – 11:30</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b/>
                <w:sz w:val="22"/>
                <w:szCs w:val="22"/>
                <w:lang w:val="en-GB"/>
              </w:rPr>
            </w:pPr>
            <w:r w:rsidRPr="00C27FB9">
              <w:rPr>
                <w:rFonts w:ascii="Arial Narrow" w:hAnsi="Arial Narrow"/>
                <w:b/>
                <w:sz w:val="22"/>
                <w:szCs w:val="22"/>
                <w:lang w:val="en-GB"/>
              </w:rPr>
              <w:t>Step 2 – Theories of change</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Performance, not capacity [Lusthaus, Carden, IDRC]</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How organisations change [Armenakis]</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5 characteristics of a healthy organisation [Morgan &amp; Baser]</w:t>
            </w:r>
          </w:p>
        </w:tc>
        <w:tc>
          <w:tcPr>
            <w:tcW w:w="15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rFonts w:ascii="Arial Narrow" w:hAnsi="Arial Narrow"/>
                <w:sz w:val="22"/>
                <w:szCs w:val="22"/>
                <w:lang w:val="en-GB" w:eastAsia="en-GB"/>
              </w:rPr>
            </w:pPr>
            <w:r w:rsidRPr="00C27FB9">
              <w:rPr>
                <w:rFonts w:ascii="Arial Narrow" w:hAnsi="Arial Narrow"/>
                <w:sz w:val="22"/>
                <w:szCs w:val="22"/>
                <w:lang w:val="en-GB" w:eastAsia="en-GB"/>
              </w:rPr>
              <w:t>John Fargher</w:t>
            </w: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rsidR="00553CFD" w:rsidRPr="00C27FB9" w:rsidRDefault="00553CFD" w:rsidP="0015595E">
            <w:pPr>
              <w:jc w:val="center"/>
              <w:rPr>
                <w:rFonts w:ascii="Arial Narrow" w:hAnsi="Arial Narrow"/>
                <w:sz w:val="22"/>
                <w:szCs w:val="22"/>
                <w:lang w:val="en-GB"/>
              </w:rPr>
            </w:pPr>
            <w:r w:rsidRPr="00C27FB9">
              <w:rPr>
                <w:rFonts w:ascii="Arial Narrow" w:hAnsi="Arial Narrow"/>
                <w:sz w:val="22"/>
                <w:szCs w:val="22"/>
                <w:lang w:val="en-GB" w:eastAsia="en-GB"/>
              </w:rPr>
              <w:t>11:30 – 12:15</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b/>
                <w:sz w:val="22"/>
                <w:szCs w:val="22"/>
                <w:lang w:val="en-GB"/>
              </w:rPr>
            </w:pPr>
            <w:r w:rsidRPr="00C27FB9">
              <w:rPr>
                <w:rFonts w:ascii="Arial Narrow" w:hAnsi="Arial Narrow"/>
                <w:b/>
                <w:sz w:val="22"/>
                <w:szCs w:val="22"/>
                <w:lang w:val="en-GB"/>
              </w:rPr>
              <w:t>Step 3 – Identify entry points for ODA and Australian Aid</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Identify where current agreements, road map and policy reform matrix activities address root causes</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Use revised root cause analyses to mark up where ODA can add further value</w:t>
            </w:r>
          </w:p>
          <w:p w:rsidR="00553CFD" w:rsidRPr="00C27FB9" w:rsidRDefault="00553CFD" w:rsidP="00A11CCA">
            <w:pPr>
              <w:numPr>
                <w:ilvl w:val="0"/>
                <w:numId w:val="8"/>
              </w:numPr>
              <w:ind w:left="318" w:hanging="284"/>
              <w:contextualSpacing/>
              <w:jc w:val="left"/>
              <w:rPr>
                <w:rFonts w:ascii="Arial Narrow" w:hAnsi="Arial Narrow"/>
                <w:bCs/>
                <w:sz w:val="22"/>
                <w:szCs w:val="22"/>
                <w:lang w:val="en-GB"/>
              </w:rPr>
            </w:pPr>
            <w:r w:rsidRPr="00C27FB9">
              <w:rPr>
                <w:rFonts w:ascii="Arial Narrow" w:hAnsi="Arial Narrow"/>
                <w:sz w:val="22"/>
                <w:szCs w:val="22"/>
                <w:lang w:val="en-GB"/>
              </w:rPr>
              <w:t>Identify where Australian Aid has a comparative advantage to make a contribution</w:t>
            </w:r>
          </w:p>
          <w:p w:rsidR="00553CFD" w:rsidRPr="00C27FB9" w:rsidRDefault="00553CFD" w:rsidP="00A11CCA">
            <w:pPr>
              <w:numPr>
                <w:ilvl w:val="0"/>
                <w:numId w:val="8"/>
              </w:numPr>
              <w:ind w:left="318" w:hanging="284"/>
              <w:contextualSpacing/>
              <w:jc w:val="left"/>
              <w:rPr>
                <w:rFonts w:ascii="Arial Narrow" w:hAnsi="Arial Narrow"/>
                <w:bCs/>
                <w:sz w:val="22"/>
                <w:szCs w:val="22"/>
                <w:lang w:val="en-GB"/>
              </w:rPr>
            </w:pPr>
            <w:r w:rsidRPr="00C27FB9">
              <w:rPr>
                <w:rFonts w:ascii="Arial Narrow" w:hAnsi="Arial Narrow"/>
                <w:sz w:val="22"/>
                <w:szCs w:val="22"/>
                <w:lang w:val="en-GB"/>
              </w:rPr>
              <w:t>Identify where donor support is not appropriate – actions for Government of Tonga and other national partners.</w:t>
            </w:r>
          </w:p>
          <w:p w:rsidR="00553CFD" w:rsidRPr="00C27FB9" w:rsidRDefault="00553CFD" w:rsidP="0015595E">
            <w:pPr>
              <w:ind w:left="34"/>
              <w:jc w:val="left"/>
              <w:rPr>
                <w:rFonts w:ascii="Arial Narrow" w:hAnsi="Arial Narrow"/>
                <w:bCs/>
                <w:sz w:val="22"/>
                <w:szCs w:val="22"/>
                <w:lang w:val="en-GB"/>
              </w:rPr>
            </w:pPr>
          </w:p>
        </w:tc>
        <w:tc>
          <w:tcPr>
            <w:tcW w:w="152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rFonts w:ascii="Arial Narrow" w:hAnsi="Arial Narrow"/>
                <w:sz w:val="22"/>
                <w:szCs w:val="22"/>
                <w:lang w:val="en-GB" w:eastAsia="en-GB"/>
              </w:rPr>
            </w:pPr>
            <w:r w:rsidRPr="00C27FB9">
              <w:rPr>
                <w:rFonts w:ascii="Arial Narrow" w:hAnsi="Arial Narrow"/>
                <w:sz w:val="22"/>
                <w:szCs w:val="22"/>
                <w:lang w:val="en-GB" w:eastAsia="en-GB"/>
              </w:rPr>
              <w:t>Small groups</w:t>
            </w: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rFonts w:ascii="Arial Narrow" w:hAnsi="Arial Narrow"/>
                <w:sz w:val="22"/>
                <w:szCs w:val="22"/>
                <w:lang w:val="en-GB" w:eastAsia="en-GB"/>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sz w:val="22"/>
                <w:szCs w:val="22"/>
                <w:lang w:val="en-GB"/>
              </w:rPr>
            </w:pPr>
            <w:r w:rsidRPr="00C27FB9">
              <w:rPr>
                <w:rFonts w:ascii="Arial Narrow" w:hAnsi="Arial Narrow"/>
                <w:sz w:val="22"/>
                <w:szCs w:val="22"/>
                <w:lang w:val="en-GB"/>
              </w:rPr>
              <w:t>Small groups report their findings to whole group</w:t>
            </w:r>
          </w:p>
        </w:tc>
        <w:tc>
          <w:tcPr>
            <w:tcW w:w="152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rFonts w:ascii="Arial Narrow" w:hAnsi="Arial Narrow"/>
                <w:sz w:val="22"/>
                <w:szCs w:val="22"/>
                <w:lang w:val="en-GB" w:eastAsia="en-GB"/>
              </w:rPr>
            </w:pP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rFonts w:ascii="Arial Narrow" w:hAnsi="Arial Narrow"/>
                <w:sz w:val="22"/>
                <w:szCs w:val="22"/>
                <w:lang w:val="en-GB" w:eastAsia="en-GB"/>
              </w:rPr>
            </w:pPr>
            <w:r w:rsidRPr="00C27FB9">
              <w:rPr>
                <w:rFonts w:ascii="Arial Narrow" w:hAnsi="Arial Narrow"/>
                <w:sz w:val="22"/>
                <w:szCs w:val="22"/>
                <w:lang w:val="en-GB" w:eastAsia="en-GB"/>
              </w:rPr>
              <w:t>12:15 – 12:30</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sz w:val="22"/>
                <w:szCs w:val="22"/>
                <w:lang w:val="en-GB"/>
              </w:rPr>
            </w:pPr>
            <w:r w:rsidRPr="00C27FB9">
              <w:rPr>
                <w:rFonts w:ascii="Arial Narrow" w:hAnsi="Arial Narrow"/>
                <w:sz w:val="22"/>
                <w:szCs w:val="22"/>
                <w:lang w:val="en-GB"/>
              </w:rPr>
              <w:t>Preparation for what we’ll do tomorrow – draft results map</w:t>
            </w:r>
          </w:p>
        </w:tc>
        <w:tc>
          <w:tcPr>
            <w:tcW w:w="15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rFonts w:ascii="Arial Narrow" w:hAnsi="Arial Narrow"/>
                <w:sz w:val="22"/>
                <w:szCs w:val="22"/>
                <w:lang w:val="en-GB" w:eastAsia="en-GB"/>
              </w:rPr>
            </w:pPr>
            <w:r w:rsidRPr="00C27FB9">
              <w:rPr>
                <w:rFonts w:ascii="Arial Narrow" w:hAnsi="Arial Narrow"/>
                <w:sz w:val="22"/>
                <w:szCs w:val="22"/>
                <w:lang w:val="en-GB" w:eastAsia="en-GB"/>
              </w:rPr>
              <w:t>John Fargher</w:t>
            </w: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6"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rFonts w:ascii="Arial Narrow" w:hAnsi="Arial Narrow"/>
                <w:sz w:val="22"/>
                <w:szCs w:val="22"/>
                <w:lang w:val="en-GB" w:eastAsia="en-GB"/>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sz w:val="22"/>
                <w:szCs w:val="22"/>
                <w:lang w:val="en-GB"/>
              </w:rPr>
            </w:pPr>
            <w:r w:rsidRPr="00C27FB9">
              <w:rPr>
                <w:rFonts w:ascii="Arial Narrow" w:hAnsi="Arial Narrow"/>
                <w:sz w:val="22"/>
                <w:szCs w:val="22"/>
                <w:lang w:val="en-GB"/>
              </w:rPr>
              <w:t>Thanks and see you tomorrow</w:t>
            </w:r>
          </w:p>
        </w:tc>
        <w:tc>
          <w:tcPr>
            <w:tcW w:w="15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rFonts w:ascii="Arial Narrow" w:hAnsi="Arial Narrow"/>
                <w:sz w:val="22"/>
                <w:szCs w:val="22"/>
                <w:lang w:val="en-GB" w:eastAsia="en-GB"/>
              </w:rPr>
            </w:pPr>
            <w:r w:rsidRPr="00C27FB9">
              <w:rPr>
                <w:rFonts w:ascii="Arial Narrow" w:hAnsi="Arial Narrow"/>
                <w:sz w:val="22"/>
                <w:szCs w:val="22"/>
                <w:lang w:val="en-GB" w:eastAsia="en-GB"/>
              </w:rPr>
              <w:t>AusAID</w:t>
            </w:r>
          </w:p>
        </w:tc>
      </w:tr>
    </w:tbl>
    <w:p w:rsidR="00553CFD" w:rsidRPr="00C27FB9" w:rsidRDefault="00553CFD" w:rsidP="00553CFD">
      <w:r w:rsidRPr="00C27FB9">
        <w:br w:type="page"/>
      </w: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shd w:val="clear" w:color="auto" w:fill="D9D9D9"/>
        <w:tblCellMar>
          <w:left w:w="0" w:type="dxa"/>
          <w:right w:w="0" w:type="dxa"/>
        </w:tblCellMar>
        <w:tblLook w:val="04A0" w:firstRow="1" w:lastRow="0" w:firstColumn="1" w:lastColumn="0" w:noHBand="0" w:noVBand="1"/>
      </w:tblPr>
      <w:tblGrid>
        <w:gridCol w:w="1238"/>
        <w:gridCol w:w="6115"/>
        <w:gridCol w:w="1890"/>
      </w:tblGrid>
      <w:tr w:rsidR="00553CFD" w:rsidRPr="00C27FB9" w:rsidTr="0015595E">
        <w:tc>
          <w:tcPr>
            <w:tcW w:w="9288" w:type="dxa"/>
            <w:gridSpan w:val="3"/>
            <w:tcBorders>
              <w:bottom w:val="single" w:sz="4" w:space="0" w:color="auto"/>
            </w:tcBorders>
            <w:shd w:val="clear" w:color="auto" w:fill="C2D69B" w:themeFill="accent3" w:themeFillTint="99"/>
            <w:tcMar>
              <w:top w:w="0" w:type="dxa"/>
              <w:left w:w="108" w:type="dxa"/>
              <w:bottom w:w="0" w:type="dxa"/>
              <w:right w:w="108" w:type="dxa"/>
            </w:tcMar>
          </w:tcPr>
          <w:p w:rsidR="00553CFD" w:rsidRPr="00C27FB9" w:rsidRDefault="00553CFD" w:rsidP="0015595E">
            <w:pPr>
              <w:jc w:val="left"/>
              <w:rPr>
                <w:rFonts w:ascii="Arial Narrow" w:hAnsi="Arial Narrow"/>
                <w:sz w:val="22"/>
                <w:szCs w:val="22"/>
                <w:lang w:val="en-GB"/>
              </w:rPr>
            </w:pPr>
            <w:r w:rsidRPr="00C27FB9">
              <w:rPr>
                <w:rFonts w:ascii="Arial Narrow" w:hAnsi="Arial Narrow"/>
                <w:sz w:val="22"/>
                <w:szCs w:val="22"/>
                <w:lang w:val="en-GB"/>
              </w:rPr>
              <w:t>Wednesday March 27, 2013</w:t>
            </w: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rsidR="00553CFD" w:rsidRPr="00C27FB9" w:rsidRDefault="00553CFD" w:rsidP="0015595E">
            <w:pPr>
              <w:jc w:val="center"/>
              <w:rPr>
                <w:rFonts w:ascii="Arial Narrow" w:hAnsi="Arial Narrow"/>
                <w:sz w:val="22"/>
                <w:szCs w:val="22"/>
                <w:lang w:val="en-GB" w:eastAsia="en-GB"/>
              </w:rPr>
            </w:pPr>
            <w:r w:rsidRPr="00C27FB9">
              <w:rPr>
                <w:rFonts w:ascii="Arial Narrow" w:hAnsi="Arial Narrow"/>
                <w:sz w:val="22"/>
                <w:szCs w:val="22"/>
                <w:lang w:val="en-GB" w:eastAsia="en-GB"/>
              </w:rPr>
              <w:t>9:00 – 09:15</w:t>
            </w:r>
          </w:p>
        </w:tc>
        <w:tc>
          <w:tcPr>
            <w:tcW w:w="61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bCs/>
                <w:sz w:val="22"/>
                <w:szCs w:val="22"/>
                <w:lang w:val="en-GB"/>
              </w:rPr>
            </w:pPr>
            <w:r w:rsidRPr="00C27FB9">
              <w:rPr>
                <w:rFonts w:ascii="Arial Narrow" w:hAnsi="Arial Narrow"/>
                <w:bCs/>
                <w:sz w:val="22"/>
                <w:szCs w:val="22"/>
                <w:lang w:val="en-GB"/>
              </w:rPr>
              <w:t>Welcome back</w:t>
            </w:r>
          </w:p>
        </w:tc>
        <w:tc>
          <w:tcPr>
            <w:tcW w:w="1898"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rFonts w:ascii="Arial Narrow" w:hAnsi="Arial Narrow"/>
                <w:sz w:val="22"/>
                <w:szCs w:val="22"/>
                <w:lang w:val="en-GB" w:eastAsia="en-GB"/>
              </w:rPr>
            </w:pPr>
            <w:r w:rsidRPr="00C27FB9">
              <w:rPr>
                <w:rFonts w:ascii="Arial Narrow" w:hAnsi="Arial Narrow"/>
                <w:sz w:val="22"/>
                <w:szCs w:val="22"/>
                <w:lang w:val="en-GB" w:eastAsia="en-GB"/>
              </w:rPr>
              <w:t>John Fargher</w:t>
            </w: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rFonts w:ascii="Arial Narrow" w:hAnsi="Arial Narrow"/>
                <w:sz w:val="22"/>
                <w:szCs w:val="22"/>
                <w:lang w:val="en-GB" w:eastAsia="en-GB"/>
              </w:rPr>
            </w:pPr>
          </w:p>
        </w:tc>
        <w:tc>
          <w:tcPr>
            <w:tcW w:w="61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sz w:val="22"/>
                <w:szCs w:val="22"/>
                <w:lang w:val="en-GB"/>
              </w:rPr>
            </w:pPr>
            <w:r w:rsidRPr="00C27FB9">
              <w:rPr>
                <w:rFonts w:ascii="Arial Narrow" w:hAnsi="Arial Narrow"/>
                <w:sz w:val="22"/>
                <w:szCs w:val="22"/>
                <w:lang w:val="en-GB"/>
              </w:rPr>
              <w:t>Quick re-cap – what we did yesterday</w:t>
            </w:r>
          </w:p>
        </w:tc>
        <w:tc>
          <w:tcPr>
            <w:tcW w:w="1898"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left"/>
              <w:rPr>
                <w:rFonts w:ascii="Arial Narrow" w:hAnsi="Arial Narrow"/>
                <w:sz w:val="22"/>
                <w:szCs w:val="22"/>
                <w:lang w:val="en-GB"/>
              </w:rPr>
            </w:pP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vMerge/>
            <w:tcBorders>
              <w:left w:val="single" w:sz="4" w:space="0" w:color="auto"/>
              <w:bottom w:val="single" w:sz="4" w:space="0" w:color="auto"/>
              <w:right w:val="single" w:sz="4" w:space="0" w:color="auto"/>
            </w:tcBorders>
            <w:shd w:val="clear" w:color="auto" w:fill="auto"/>
            <w:vAlign w:val="center"/>
            <w:hideMark/>
          </w:tcPr>
          <w:p w:rsidR="00553CFD" w:rsidRPr="00C27FB9" w:rsidRDefault="00553CFD" w:rsidP="0015595E">
            <w:pPr>
              <w:jc w:val="center"/>
              <w:rPr>
                <w:rFonts w:ascii="Arial Narrow" w:hAnsi="Arial Narrow"/>
                <w:sz w:val="22"/>
                <w:szCs w:val="22"/>
                <w:lang w:val="en-GB"/>
              </w:rPr>
            </w:pPr>
          </w:p>
        </w:tc>
        <w:tc>
          <w:tcPr>
            <w:tcW w:w="61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sz w:val="22"/>
                <w:szCs w:val="22"/>
                <w:lang w:val="en-GB"/>
              </w:rPr>
            </w:pPr>
            <w:r w:rsidRPr="00C27FB9">
              <w:rPr>
                <w:rFonts w:ascii="Arial Narrow" w:hAnsi="Arial Narrow"/>
                <w:sz w:val="22"/>
                <w:szCs w:val="22"/>
                <w:lang w:val="en-GB"/>
              </w:rPr>
              <w:t>Quick re-cap – what we’ll do today</w:t>
            </w:r>
          </w:p>
        </w:tc>
        <w:tc>
          <w:tcPr>
            <w:tcW w:w="0" w:type="auto"/>
            <w:vMerge/>
            <w:tcBorders>
              <w:left w:val="single" w:sz="4" w:space="0" w:color="auto"/>
              <w:bottom w:val="single" w:sz="4" w:space="0" w:color="auto"/>
              <w:right w:val="single" w:sz="4" w:space="0" w:color="auto"/>
            </w:tcBorders>
            <w:shd w:val="clear" w:color="auto" w:fill="auto"/>
            <w:vAlign w:val="center"/>
          </w:tcPr>
          <w:p w:rsidR="00553CFD" w:rsidRPr="00C27FB9" w:rsidRDefault="00553CFD" w:rsidP="0015595E">
            <w:pPr>
              <w:jc w:val="left"/>
              <w:rPr>
                <w:rFonts w:ascii="Arial Narrow" w:hAnsi="Arial Narrow"/>
                <w:sz w:val="22"/>
                <w:szCs w:val="22"/>
                <w:lang w:val="en-GB"/>
              </w:rPr>
            </w:pP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CFD" w:rsidRPr="00C27FB9" w:rsidRDefault="00553CFD" w:rsidP="0015595E">
            <w:pPr>
              <w:jc w:val="center"/>
              <w:rPr>
                <w:rFonts w:ascii="Arial Narrow" w:hAnsi="Arial Narrow"/>
                <w:sz w:val="22"/>
                <w:szCs w:val="22"/>
                <w:lang w:val="en-GB"/>
              </w:rPr>
            </w:pPr>
            <w:r w:rsidRPr="00C27FB9">
              <w:rPr>
                <w:rFonts w:ascii="Arial Narrow" w:hAnsi="Arial Narrow"/>
                <w:sz w:val="22"/>
                <w:szCs w:val="22"/>
                <w:lang w:val="en-GB"/>
              </w:rPr>
              <w:t>09:15 – 10:15</w:t>
            </w:r>
          </w:p>
        </w:tc>
        <w:tc>
          <w:tcPr>
            <w:tcW w:w="61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b/>
                <w:sz w:val="22"/>
                <w:szCs w:val="22"/>
                <w:lang w:val="en-GB"/>
              </w:rPr>
            </w:pPr>
            <w:r w:rsidRPr="00C27FB9">
              <w:rPr>
                <w:rFonts w:ascii="Arial Narrow" w:hAnsi="Arial Narrow"/>
                <w:b/>
                <w:sz w:val="22"/>
                <w:szCs w:val="22"/>
                <w:lang w:val="en-GB"/>
              </w:rPr>
              <w:t>Step 4 – Results mapping (Program Logic)</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Present draft results map and links to road map, policy reform matrix and corporate plans</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Small groups work through draft results map to revise goal, purpose and end-of-strategy statements and check intermediate outcome statements</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Small groups review output statements and add more to fill gaps</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Small groups identify gaps, make corrections, test assumptions and relationships</w:t>
            </w:r>
          </w:p>
          <w:p w:rsidR="00553CFD" w:rsidRPr="00C27FB9" w:rsidRDefault="00553CFD" w:rsidP="0015595E">
            <w:pPr>
              <w:jc w:val="left"/>
              <w:rPr>
                <w:rFonts w:ascii="Arial Narrow" w:hAnsi="Arial Narrow"/>
                <w:sz w:val="16"/>
                <w:szCs w:val="16"/>
                <w:lang w:val="en-GB"/>
              </w:rPr>
            </w:pPr>
          </w:p>
        </w:tc>
        <w:tc>
          <w:tcPr>
            <w:tcW w:w="0" w:type="auto"/>
            <w:vMerge w:val="restart"/>
            <w:tcBorders>
              <w:top w:val="single" w:sz="4" w:space="0" w:color="auto"/>
              <w:left w:val="single" w:sz="4" w:space="0" w:color="auto"/>
              <w:right w:val="single" w:sz="4" w:space="0" w:color="auto"/>
            </w:tcBorders>
            <w:shd w:val="clear" w:color="auto" w:fill="auto"/>
            <w:vAlign w:val="center"/>
          </w:tcPr>
          <w:p w:rsidR="00553CFD" w:rsidRPr="00C27FB9" w:rsidRDefault="00553CFD" w:rsidP="0015595E">
            <w:pPr>
              <w:jc w:val="center"/>
              <w:rPr>
                <w:rFonts w:ascii="Arial Narrow" w:hAnsi="Arial Narrow"/>
                <w:sz w:val="22"/>
                <w:szCs w:val="22"/>
                <w:lang w:val="en-GB" w:eastAsia="en-GB"/>
              </w:rPr>
            </w:pPr>
            <w:r w:rsidRPr="00C27FB9">
              <w:rPr>
                <w:rFonts w:ascii="Arial Narrow" w:hAnsi="Arial Narrow"/>
                <w:sz w:val="22"/>
                <w:szCs w:val="22"/>
                <w:lang w:val="en-GB" w:eastAsia="en-GB"/>
              </w:rPr>
              <w:t>Small groups</w:t>
            </w: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vMerge/>
            <w:tcBorders>
              <w:left w:val="single" w:sz="4" w:space="0" w:color="auto"/>
              <w:bottom w:val="single" w:sz="4" w:space="0" w:color="auto"/>
              <w:right w:val="single" w:sz="4" w:space="0" w:color="auto"/>
            </w:tcBorders>
            <w:shd w:val="clear" w:color="auto" w:fill="auto"/>
            <w:vAlign w:val="center"/>
          </w:tcPr>
          <w:p w:rsidR="00553CFD" w:rsidRPr="00C27FB9" w:rsidRDefault="00553CFD" w:rsidP="0015595E">
            <w:pPr>
              <w:jc w:val="center"/>
              <w:rPr>
                <w:rFonts w:ascii="Arial Narrow" w:hAnsi="Arial Narrow"/>
                <w:sz w:val="22"/>
                <w:szCs w:val="22"/>
                <w:lang w:val="en-GB"/>
              </w:rPr>
            </w:pPr>
          </w:p>
        </w:tc>
        <w:tc>
          <w:tcPr>
            <w:tcW w:w="61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sz w:val="22"/>
                <w:szCs w:val="22"/>
                <w:lang w:val="en-GB"/>
              </w:rPr>
            </w:pPr>
            <w:r w:rsidRPr="00C27FB9">
              <w:rPr>
                <w:rFonts w:ascii="Arial Narrow" w:hAnsi="Arial Narrow"/>
                <w:sz w:val="22"/>
                <w:szCs w:val="22"/>
                <w:lang w:val="en-GB"/>
              </w:rPr>
              <w:t>Small groups report their findings to whole group</w:t>
            </w:r>
          </w:p>
        </w:tc>
        <w:tc>
          <w:tcPr>
            <w:tcW w:w="0" w:type="auto"/>
            <w:vMerge/>
            <w:tcBorders>
              <w:left w:val="single" w:sz="4" w:space="0" w:color="auto"/>
              <w:bottom w:val="single" w:sz="4" w:space="0" w:color="auto"/>
              <w:right w:val="single" w:sz="4" w:space="0" w:color="auto"/>
            </w:tcBorders>
            <w:shd w:val="clear" w:color="auto" w:fill="auto"/>
            <w:vAlign w:val="center"/>
          </w:tcPr>
          <w:p w:rsidR="00553CFD" w:rsidRPr="00C27FB9" w:rsidRDefault="00553CFD" w:rsidP="0015595E">
            <w:pPr>
              <w:jc w:val="left"/>
              <w:rPr>
                <w:rFonts w:ascii="Arial Narrow" w:hAnsi="Arial Narrow"/>
                <w:sz w:val="22"/>
                <w:szCs w:val="22"/>
                <w:lang w:val="en-GB"/>
              </w:rPr>
            </w:pP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Borders>
              <w:left w:val="single" w:sz="4" w:space="0" w:color="auto"/>
              <w:bottom w:val="single" w:sz="4" w:space="0" w:color="auto"/>
              <w:right w:val="single" w:sz="4" w:space="0" w:color="auto"/>
            </w:tcBorders>
            <w:shd w:val="clear" w:color="auto" w:fill="auto"/>
            <w:vAlign w:val="center"/>
          </w:tcPr>
          <w:p w:rsidR="00553CFD" w:rsidRPr="00C27FB9" w:rsidRDefault="00553CFD" w:rsidP="0015595E">
            <w:pPr>
              <w:jc w:val="center"/>
              <w:rPr>
                <w:rFonts w:ascii="Arial Narrow" w:hAnsi="Arial Narrow"/>
                <w:sz w:val="22"/>
                <w:szCs w:val="22"/>
                <w:lang w:val="en-GB"/>
              </w:rPr>
            </w:pPr>
            <w:r w:rsidRPr="00C27FB9">
              <w:rPr>
                <w:rFonts w:ascii="Arial Narrow" w:hAnsi="Arial Narrow"/>
                <w:sz w:val="22"/>
                <w:szCs w:val="22"/>
                <w:lang w:val="en-GB"/>
              </w:rPr>
              <w:t>10:15 – 10:30</w:t>
            </w:r>
          </w:p>
        </w:tc>
        <w:tc>
          <w:tcPr>
            <w:tcW w:w="61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sz w:val="22"/>
                <w:szCs w:val="22"/>
                <w:lang w:val="en-GB"/>
              </w:rPr>
            </w:pPr>
            <w:r w:rsidRPr="00C27FB9">
              <w:rPr>
                <w:rFonts w:ascii="Arial Narrow" w:hAnsi="Arial Narrow"/>
                <w:sz w:val="22"/>
                <w:szCs w:val="22"/>
                <w:lang w:val="en-GB"/>
              </w:rPr>
              <w:t>Tea break</w:t>
            </w:r>
          </w:p>
        </w:tc>
        <w:tc>
          <w:tcPr>
            <w:tcW w:w="0" w:type="auto"/>
            <w:tcBorders>
              <w:left w:val="single" w:sz="4" w:space="0" w:color="auto"/>
              <w:bottom w:val="single" w:sz="4" w:space="0" w:color="auto"/>
              <w:right w:val="single" w:sz="4" w:space="0" w:color="auto"/>
            </w:tcBorders>
            <w:shd w:val="clear" w:color="auto" w:fill="auto"/>
            <w:vAlign w:val="center"/>
          </w:tcPr>
          <w:p w:rsidR="00553CFD" w:rsidRPr="00C27FB9" w:rsidRDefault="00553CFD" w:rsidP="0015595E">
            <w:pPr>
              <w:jc w:val="left"/>
              <w:rPr>
                <w:rFonts w:ascii="Arial Narrow" w:hAnsi="Arial Narrow"/>
                <w:sz w:val="22"/>
                <w:szCs w:val="22"/>
                <w:lang w:val="en-GB"/>
              </w:rPr>
            </w:pP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vMerge w:val="restart"/>
            <w:tcBorders>
              <w:top w:val="single" w:sz="4" w:space="0" w:color="auto"/>
              <w:left w:val="single" w:sz="4" w:space="0" w:color="auto"/>
              <w:right w:val="single" w:sz="4" w:space="0" w:color="auto"/>
            </w:tcBorders>
            <w:shd w:val="clear" w:color="auto" w:fill="auto"/>
            <w:vAlign w:val="center"/>
          </w:tcPr>
          <w:p w:rsidR="00553CFD" w:rsidRPr="00C27FB9" w:rsidRDefault="00553CFD" w:rsidP="0015595E">
            <w:pPr>
              <w:jc w:val="center"/>
              <w:rPr>
                <w:rFonts w:ascii="Arial Narrow" w:hAnsi="Arial Narrow"/>
                <w:sz w:val="22"/>
                <w:szCs w:val="22"/>
                <w:lang w:val="en-GB"/>
              </w:rPr>
            </w:pPr>
            <w:r w:rsidRPr="00C27FB9">
              <w:rPr>
                <w:rFonts w:ascii="Arial Narrow" w:hAnsi="Arial Narrow"/>
                <w:sz w:val="22"/>
                <w:szCs w:val="22"/>
                <w:lang w:val="en-GB"/>
              </w:rPr>
              <w:t>10:30 – 11:30</w:t>
            </w:r>
          </w:p>
        </w:tc>
        <w:tc>
          <w:tcPr>
            <w:tcW w:w="61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b/>
                <w:sz w:val="22"/>
                <w:szCs w:val="22"/>
                <w:lang w:val="en-GB"/>
              </w:rPr>
            </w:pPr>
            <w:r w:rsidRPr="00C27FB9">
              <w:rPr>
                <w:rFonts w:ascii="Arial Narrow" w:hAnsi="Arial Narrow"/>
                <w:b/>
                <w:sz w:val="22"/>
                <w:szCs w:val="22"/>
                <w:lang w:val="en-GB"/>
              </w:rPr>
              <w:t>Step 5 – Delivery options and risk management</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Round table discussion of options for delivering donor support</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Groups identify risks associated with weaknesses and threats</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Groups reach consensus on preferred delivery options for priority outputs</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Groups suggest approaches to managing risks associated with engagement in the sector</w:t>
            </w:r>
          </w:p>
          <w:p w:rsidR="00553CFD" w:rsidRPr="00C27FB9" w:rsidRDefault="00553CFD" w:rsidP="0015595E">
            <w:pPr>
              <w:ind w:left="34"/>
              <w:jc w:val="left"/>
              <w:rPr>
                <w:rFonts w:ascii="Arial Narrow" w:hAnsi="Arial Narrow"/>
                <w:sz w:val="16"/>
                <w:szCs w:val="16"/>
                <w:lang w:val="en-GB"/>
              </w:rPr>
            </w:pPr>
          </w:p>
        </w:tc>
        <w:tc>
          <w:tcPr>
            <w:tcW w:w="0" w:type="auto"/>
            <w:vMerge w:val="restart"/>
            <w:tcBorders>
              <w:top w:val="single" w:sz="4" w:space="0" w:color="auto"/>
              <w:left w:val="single" w:sz="4" w:space="0" w:color="auto"/>
              <w:right w:val="single" w:sz="4" w:space="0" w:color="auto"/>
            </w:tcBorders>
            <w:shd w:val="clear" w:color="auto" w:fill="auto"/>
            <w:vAlign w:val="center"/>
          </w:tcPr>
          <w:p w:rsidR="00553CFD" w:rsidRPr="00C27FB9" w:rsidRDefault="00553CFD" w:rsidP="0015595E">
            <w:pPr>
              <w:jc w:val="center"/>
              <w:rPr>
                <w:rFonts w:ascii="Arial Narrow" w:hAnsi="Arial Narrow"/>
                <w:sz w:val="22"/>
                <w:szCs w:val="22"/>
                <w:lang w:val="en-GB" w:eastAsia="en-GB"/>
              </w:rPr>
            </w:pPr>
            <w:r w:rsidRPr="00C27FB9">
              <w:rPr>
                <w:rFonts w:ascii="Arial Narrow" w:hAnsi="Arial Narrow"/>
                <w:sz w:val="22"/>
                <w:szCs w:val="22"/>
                <w:lang w:val="en-GB" w:eastAsia="en-GB"/>
              </w:rPr>
              <w:t>John Fargher</w:t>
            </w: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553CFD" w:rsidRPr="00C27FB9" w:rsidRDefault="00553CFD" w:rsidP="0015595E">
            <w:pPr>
              <w:jc w:val="left"/>
              <w:rPr>
                <w:rFonts w:ascii="Arial Narrow" w:hAnsi="Arial Narrow"/>
                <w:sz w:val="22"/>
                <w:szCs w:val="22"/>
                <w:lang w:val="en-GB"/>
              </w:rPr>
            </w:pPr>
          </w:p>
        </w:tc>
        <w:tc>
          <w:tcPr>
            <w:tcW w:w="61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sz w:val="22"/>
                <w:szCs w:val="22"/>
                <w:lang w:val="en-GB"/>
              </w:rPr>
            </w:pPr>
            <w:r w:rsidRPr="00C27FB9">
              <w:rPr>
                <w:rFonts w:ascii="Arial Narrow" w:hAnsi="Arial Narrow"/>
                <w:sz w:val="22"/>
                <w:szCs w:val="22"/>
                <w:lang w:val="en-GB"/>
              </w:rPr>
              <w:t>Small groups report their findings to whole group</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tcPr>
          <w:p w:rsidR="00553CFD" w:rsidRPr="00C27FB9" w:rsidRDefault="00553CFD" w:rsidP="0015595E">
            <w:pPr>
              <w:jc w:val="left"/>
              <w:rPr>
                <w:rFonts w:ascii="Arial Narrow" w:hAnsi="Arial Narrow"/>
                <w:sz w:val="22"/>
                <w:szCs w:val="22"/>
                <w:lang w:val="en-GB" w:eastAsia="en-GB"/>
              </w:rPr>
            </w:pP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sz w:val="22"/>
                <w:szCs w:val="22"/>
                <w:lang w:val="en-GB"/>
              </w:rPr>
            </w:pPr>
            <w:r w:rsidRPr="00C27FB9">
              <w:rPr>
                <w:rFonts w:ascii="Arial Narrow" w:hAnsi="Arial Narrow"/>
                <w:sz w:val="22"/>
                <w:szCs w:val="22"/>
                <w:lang w:val="en-GB"/>
              </w:rPr>
              <w:t>11:30 – 12:00</w:t>
            </w:r>
          </w:p>
        </w:tc>
        <w:tc>
          <w:tcPr>
            <w:tcW w:w="61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b/>
                <w:sz w:val="22"/>
                <w:szCs w:val="22"/>
                <w:lang w:val="en-GB"/>
              </w:rPr>
            </w:pPr>
            <w:r w:rsidRPr="00C27FB9">
              <w:rPr>
                <w:rFonts w:ascii="Arial Narrow" w:hAnsi="Arial Narrow"/>
                <w:b/>
                <w:sz w:val="22"/>
                <w:szCs w:val="22"/>
                <w:lang w:val="en-GB"/>
              </w:rPr>
              <w:t>Step 6 – Key Performance Indicators (measuring what has changed)</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Brief introduction – what we mean by key performance indicators</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Group brain storm of information that would be useful to support implementation of Corporate Plans and mutual accountability</w:t>
            </w:r>
          </w:p>
          <w:p w:rsidR="00553CFD" w:rsidRPr="00C27FB9" w:rsidRDefault="00553CFD" w:rsidP="0015595E">
            <w:pPr>
              <w:ind w:left="34"/>
              <w:jc w:val="left"/>
              <w:rPr>
                <w:rFonts w:ascii="Arial Narrow" w:hAnsi="Arial Narrow"/>
                <w:bCs/>
                <w:sz w:val="16"/>
                <w:szCs w:val="16"/>
                <w:lang w:val="en-GB"/>
              </w:rPr>
            </w:pP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sz w:val="22"/>
                <w:szCs w:val="22"/>
              </w:rPr>
            </w:pPr>
            <w:r w:rsidRPr="00C27FB9">
              <w:rPr>
                <w:rFonts w:ascii="Arial Narrow" w:hAnsi="Arial Narrow"/>
                <w:sz w:val="22"/>
                <w:szCs w:val="22"/>
                <w:lang w:val="en-GB" w:eastAsia="en-GB"/>
              </w:rPr>
              <w:t>John Fargher</w:t>
            </w: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53CFD" w:rsidRPr="00C27FB9" w:rsidRDefault="00553CFD" w:rsidP="0015595E">
            <w:pPr>
              <w:jc w:val="left"/>
              <w:rPr>
                <w:rFonts w:ascii="Arial Narrow" w:hAnsi="Arial Narrow"/>
                <w:sz w:val="22"/>
                <w:szCs w:val="22"/>
                <w:lang w:val="en-GB"/>
              </w:rPr>
            </w:pPr>
            <w:r w:rsidRPr="00C27FB9">
              <w:rPr>
                <w:rFonts w:ascii="Arial Narrow" w:hAnsi="Arial Narrow"/>
                <w:sz w:val="22"/>
                <w:szCs w:val="22"/>
                <w:lang w:val="en-GB" w:eastAsia="en-GB"/>
              </w:rPr>
              <w:t>12:00 – 12:30</w:t>
            </w:r>
          </w:p>
        </w:tc>
        <w:tc>
          <w:tcPr>
            <w:tcW w:w="61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b/>
                <w:sz w:val="22"/>
                <w:szCs w:val="22"/>
                <w:lang w:val="en-GB"/>
              </w:rPr>
            </w:pPr>
            <w:r w:rsidRPr="00C27FB9">
              <w:rPr>
                <w:rFonts w:ascii="Arial Narrow" w:hAnsi="Arial Narrow"/>
                <w:b/>
                <w:sz w:val="22"/>
                <w:szCs w:val="22"/>
                <w:lang w:val="en-GB"/>
              </w:rPr>
              <w:t>Step 7 – Evaluation questions (measuring why change happened)</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Brief introduction – what we mean by evaluation questions</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Group brain storm of key questions to ask to understand why economic and public sector governance change has happened</w:t>
            </w:r>
          </w:p>
          <w:p w:rsidR="00553CFD" w:rsidRPr="00C27FB9" w:rsidRDefault="00553CFD" w:rsidP="00A11CCA">
            <w:pPr>
              <w:numPr>
                <w:ilvl w:val="0"/>
                <w:numId w:val="8"/>
              </w:numPr>
              <w:ind w:left="318" w:hanging="284"/>
              <w:contextualSpacing/>
              <w:jc w:val="left"/>
              <w:rPr>
                <w:rFonts w:ascii="Arial Narrow" w:hAnsi="Arial Narrow"/>
                <w:sz w:val="22"/>
                <w:szCs w:val="22"/>
                <w:lang w:val="en-GB"/>
              </w:rPr>
            </w:pPr>
            <w:r w:rsidRPr="00C27FB9">
              <w:rPr>
                <w:rFonts w:ascii="Arial Narrow" w:hAnsi="Arial Narrow"/>
                <w:sz w:val="22"/>
                <w:szCs w:val="22"/>
                <w:lang w:val="en-GB"/>
              </w:rPr>
              <w:t>Identify questions for mutual accountability</w:t>
            </w:r>
          </w:p>
          <w:p w:rsidR="00553CFD" w:rsidRPr="00C27FB9" w:rsidRDefault="00553CFD" w:rsidP="0015595E">
            <w:pPr>
              <w:ind w:left="34"/>
              <w:jc w:val="left"/>
              <w:rPr>
                <w:rFonts w:ascii="Arial Narrow" w:hAnsi="Arial Narrow"/>
                <w:bCs/>
                <w:sz w:val="22"/>
                <w:szCs w:val="22"/>
                <w:lang w:val="en-GB"/>
              </w:rPr>
            </w:pP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sz w:val="22"/>
                <w:szCs w:val="22"/>
              </w:rPr>
            </w:pPr>
            <w:r w:rsidRPr="00C27FB9">
              <w:rPr>
                <w:rFonts w:ascii="Arial Narrow" w:hAnsi="Arial Narrow"/>
                <w:sz w:val="22"/>
                <w:szCs w:val="22"/>
                <w:lang w:val="en-GB" w:eastAsia="en-GB"/>
              </w:rPr>
              <w:t>John Fargher</w:t>
            </w:r>
          </w:p>
        </w:tc>
      </w:tr>
      <w:tr w:rsidR="00553CFD" w:rsidRPr="00C27FB9" w:rsidTr="001559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left"/>
              <w:rPr>
                <w:rFonts w:ascii="Arial Narrow" w:hAnsi="Arial Narrow"/>
                <w:sz w:val="22"/>
                <w:szCs w:val="22"/>
                <w:lang w:val="en-GB" w:eastAsia="en-GB"/>
              </w:rPr>
            </w:pPr>
            <w:r w:rsidRPr="00C27FB9">
              <w:rPr>
                <w:rFonts w:ascii="Arial Narrow" w:hAnsi="Arial Narrow"/>
                <w:sz w:val="22"/>
                <w:szCs w:val="22"/>
                <w:lang w:val="en-GB" w:eastAsia="en-GB"/>
              </w:rPr>
              <w:t>12:30 – 12:45</w:t>
            </w:r>
          </w:p>
        </w:tc>
        <w:tc>
          <w:tcPr>
            <w:tcW w:w="61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53CFD" w:rsidRPr="00C27FB9" w:rsidRDefault="00553CFD" w:rsidP="0015595E">
            <w:pPr>
              <w:jc w:val="left"/>
              <w:rPr>
                <w:rFonts w:ascii="Arial Narrow" w:hAnsi="Arial Narrow"/>
                <w:sz w:val="22"/>
                <w:szCs w:val="22"/>
                <w:lang w:val="en-GB"/>
              </w:rPr>
            </w:pPr>
            <w:r w:rsidRPr="00C27FB9">
              <w:rPr>
                <w:rFonts w:ascii="Arial Narrow" w:hAnsi="Arial Narrow"/>
                <w:sz w:val="22"/>
                <w:szCs w:val="22"/>
                <w:lang w:val="en-GB"/>
              </w:rPr>
              <w:t>Thanks and next steps</w:t>
            </w: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3CFD" w:rsidRPr="00C27FB9" w:rsidRDefault="00553CFD" w:rsidP="0015595E">
            <w:pPr>
              <w:jc w:val="center"/>
              <w:rPr>
                <w:rFonts w:ascii="Arial Narrow" w:hAnsi="Arial Narrow"/>
                <w:sz w:val="22"/>
                <w:szCs w:val="22"/>
                <w:lang w:val="en-GB" w:eastAsia="en-GB"/>
              </w:rPr>
            </w:pPr>
            <w:r w:rsidRPr="00C27FB9">
              <w:rPr>
                <w:rFonts w:ascii="Arial Narrow" w:hAnsi="Arial Narrow"/>
                <w:sz w:val="22"/>
                <w:szCs w:val="22"/>
                <w:lang w:val="en-GB" w:eastAsia="en-GB"/>
              </w:rPr>
              <w:t>AusAID</w:t>
            </w:r>
          </w:p>
        </w:tc>
      </w:tr>
    </w:tbl>
    <w:p w:rsidR="00553CFD" w:rsidRPr="00C27FB9" w:rsidRDefault="00553CFD" w:rsidP="00553CFD"/>
    <w:p w:rsidR="00553CFD" w:rsidRDefault="00553CFD" w:rsidP="00553CFD">
      <w:pPr>
        <w:jc w:val="left"/>
        <w:rPr>
          <w:lang w:val="en-GB"/>
        </w:rPr>
      </w:pPr>
      <w:r>
        <w:rPr>
          <w:lang w:val="en-GB"/>
        </w:rPr>
        <w:br w:type="page"/>
      </w:r>
    </w:p>
    <w:tbl>
      <w:tblPr>
        <w:tblStyle w:val="TableGrid"/>
        <w:tblW w:w="0" w:type="auto"/>
        <w:tblLook w:val="04A0" w:firstRow="1" w:lastRow="0" w:firstColumn="1" w:lastColumn="0" w:noHBand="0" w:noVBand="1"/>
      </w:tblPr>
      <w:tblGrid>
        <w:gridCol w:w="2419"/>
        <w:gridCol w:w="2367"/>
        <w:gridCol w:w="4394"/>
      </w:tblGrid>
      <w:tr w:rsidR="00553CFD" w:rsidRPr="00EF5A34" w:rsidTr="0015595E">
        <w:tc>
          <w:tcPr>
            <w:tcW w:w="2419" w:type="dxa"/>
            <w:shd w:val="clear" w:color="auto" w:fill="C2D69B" w:themeFill="accent3" w:themeFillTint="99"/>
          </w:tcPr>
          <w:p w:rsidR="00553CFD" w:rsidRPr="00EF5A34" w:rsidRDefault="00553CFD" w:rsidP="0015595E">
            <w:pPr>
              <w:spacing w:before="120" w:after="120"/>
              <w:jc w:val="center"/>
              <w:rPr>
                <w:rFonts w:ascii="Arial Narrow" w:eastAsiaTheme="minorHAnsi" w:hAnsi="Arial Narrow" w:cstheme="minorBidi"/>
                <w:b/>
                <w:bCs/>
                <w:sz w:val="20"/>
              </w:rPr>
            </w:pPr>
            <w:r w:rsidRPr="00EF5A34">
              <w:rPr>
                <w:rFonts w:ascii="Arial Narrow" w:eastAsiaTheme="minorHAnsi" w:hAnsi="Arial Narrow" w:cstheme="minorBidi"/>
                <w:b/>
                <w:bCs/>
                <w:sz w:val="20"/>
              </w:rPr>
              <w:t>Attendees</w:t>
            </w:r>
          </w:p>
        </w:tc>
        <w:tc>
          <w:tcPr>
            <w:tcW w:w="2367" w:type="dxa"/>
            <w:shd w:val="clear" w:color="auto" w:fill="C2D69B" w:themeFill="accent3" w:themeFillTint="99"/>
          </w:tcPr>
          <w:p w:rsidR="00553CFD" w:rsidRPr="00EF5A34" w:rsidRDefault="00553CFD" w:rsidP="0015595E">
            <w:pPr>
              <w:spacing w:before="120" w:after="120"/>
              <w:jc w:val="center"/>
              <w:rPr>
                <w:rFonts w:ascii="Arial Narrow" w:eastAsiaTheme="minorHAnsi" w:hAnsi="Arial Narrow" w:cstheme="minorBidi"/>
                <w:b/>
                <w:bCs/>
                <w:sz w:val="20"/>
              </w:rPr>
            </w:pPr>
            <w:r w:rsidRPr="00EF5A34">
              <w:rPr>
                <w:rFonts w:ascii="Arial Narrow" w:eastAsiaTheme="minorHAnsi" w:hAnsi="Arial Narrow" w:cstheme="minorBidi"/>
                <w:b/>
                <w:bCs/>
                <w:sz w:val="20"/>
              </w:rPr>
              <w:t>Position</w:t>
            </w:r>
          </w:p>
        </w:tc>
        <w:tc>
          <w:tcPr>
            <w:tcW w:w="4394" w:type="dxa"/>
            <w:shd w:val="clear" w:color="auto" w:fill="C2D69B" w:themeFill="accent3" w:themeFillTint="99"/>
          </w:tcPr>
          <w:p w:rsidR="00553CFD" w:rsidRPr="00EF5A34" w:rsidRDefault="00553CFD" w:rsidP="0015595E">
            <w:pPr>
              <w:spacing w:before="120" w:after="120"/>
              <w:jc w:val="center"/>
              <w:rPr>
                <w:rFonts w:ascii="Arial Narrow" w:eastAsiaTheme="minorHAnsi" w:hAnsi="Arial Narrow" w:cstheme="minorBidi"/>
                <w:b/>
                <w:bCs/>
                <w:sz w:val="20"/>
              </w:rPr>
            </w:pPr>
            <w:r w:rsidRPr="00EF5A34">
              <w:rPr>
                <w:rFonts w:ascii="Arial Narrow" w:eastAsiaTheme="minorHAnsi" w:hAnsi="Arial Narrow" w:cstheme="minorBidi"/>
                <w:b/>
                <w:bCs/>
                <w:sz w:val="20"/>
              </w:rPr>
              <w:t>Section, Ministry/organisation</w:t>
            </w:r>
          </w:p>
        </w:tc>
      </w:tr>
      <w:tr w:rsidR="00553CFD" w:rsidRPr="00EF5A34" w:rsidTr="0015595E">
        <w:tc>
          <w:tcPr>
            <w:tcW w:w="2419" w:type="dxa"/>
          </w:tcPr>
          <w:p w:rsidR="00553CFD" w:rsidRPr="00EF5A34" w:rsidRDefault="00553CFD" w:rsidP="0015595E">
            <w:pPr>
              <w:spacing w:before="120" w:after="120"/>
              <w:jc w:val="left"/>
              <w:rPr>
                <w:rFonts w:ascii="Arial Narrow" w:eastAsiaTheme="minorHAnsi" w:hAnsi="Arial Narrow" w:cstheme="minorBidi"/>
                <w:b/>
                <w:bCs/>
                <w:sz w:val="20"/>
              </w:rPr>
            </w:pPr>
            <w:r w:rsidRPr="00EF5A34">
              <w:rPr>
                <w:rFonts w:ascii="Arial Narrow" w:eastAsiaTheme="minorHAnsi" w:hAnsi="Arial Narrow" w:cstheme="minorBidi"/>
                <w:b/>
                <w:bCs/>
                <w:sz w:val="20"/>
              </w:rPr>
              <w:t>Ms. Balwyn Fa’otusia</w:t>
            </w:r>
          </w:p>
        </w:tc>
        <w:tc>
          <w:tcPr>
            <w:tcW w:w="2367" w:type="dxa"/>
          </w:tcPr>
          <w:p w:rsidR="00553CFD" w:rsidRPr="00EF5A34" w:rsidRDefault="00553CFD" w:rsidP="0015595E">
            <w:pPr>
              <w:tabs>
                <w:tab w:val="center" w:pos="1258"/>
              </w:tabs>
              <w:spacing w:before="120" w:after="120"/>
              <w:jc w:val="left"/>
              <w:rPr>
                <w:rFonts w:ascii="Arial Narrow" w:eastAsiaTheme="minorHAnsi" w:hAnsi="Arial Narrow" w:cstheme="minorBidi"/>
                <w:sz w:val="20"/>
                <w:highlight w:val="yellow"/>
              </w:rPr>
            </w:pPr>
            <w:r w:rsidRPr="00EF5A34">
              <w:rPr>
                <w:rFonts w:ascii="Arial Narrow" w:eastAsiaTheme="minorHAnsi" w:hAnsi="Arial Narrow" w:cstheme="minorBidi"/>
                <w:sz w:val="20"/>
              </w:rPr>
              <w:t>Deputy Secretary</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Aid &amp; Project Management Division, MoFNP</w:t>
            </w:r>
          </w:p>
        </w:tc>
      </w:tr>
      <w:tr w:rsidR="00553CFD" w:rsidRPr="00EF5A34" w:rsidTr="0015595E">
        <w:tc>
          <w:tcPr>
            <w:tcW w:w="2419" w:type="dxa"/>
          </w:tcPr>
          <w:p w:rsidR="00553CFD" w:rsidRPr="00EF5A34" w:rsidRDefault="00553CFD" w:rsidP="0015595E">
            <w:pPr>
              <w:spacing w:before="120" w:after="120"/>
              <w:jc w:val="left"/>
              <w:rPr>
                <w:rFonts w:ascii="Arial Narrow" w:eastAsiaTheme="minorHAnsi" w:hAnsi="Arial Narrow" w:cstheme="minorBidi"/>
                <w:b/>
                <w:bCs/>
                <w:sz w:val="20"/>
              </w:rPr>
            </w:pPr>
            <w:r w:rsidRPr="00EF5A34">
              <w:rPr>
                <w:rFonts w:ascii="Arial Narrow" w:eastAsiaTheme="minorHAnsi" w:hAnsi="Arial Narrow" w:cstheme="minorBidi"/>
                <w:b/>
                <w:bCs/>
                <w:sz w:val="20"/>
              </w:rPr>
              <w:t>Ms. Tufui Faletau</w:t>
            </w:r>
          </w:p>
        </w:tc>
        <w:tc>
          <w:tcPr>
            <w:tcW w:w="2367" w:type="dxa"/>
          </w:tcPr>
          <w:p w:rsidR="00553CFD" w:rsidRPr="00EF5A34" w:rsidRDefault="00553CFD" w:rsidP="0015595E">
            <w:pPr>
              <w:spacing w:before="120" w:after="120"/>
              <w:jc w:val="left"/>
              <w:rPr>
                <w:rFonts w:ascii="Arial Narrow" w:eastAsiaTheme="minorHAnsi" w:hAnsi="Arial Narrow" w:cstheme="minorBidi"/>
                <w:sz w:val="20"/>
                <w:highlight w:val="yellow"/>
              </w:rPr>
            </w:pPr>
            <w:r w:rsidRPr="00EF5A34">
              <w:rPr>
                <w:rFonts w:ascii="Arial Narrow" w:eastAsiaTheme="minorHAnsi" w:hAnsi="Arial Narrow" w:cstheme="minorBidi"/>
                <w:sz w:val="20"/>
              </w:rPr>
              <w:t>Deputy Secretary</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Policy &amp; Planning Division, MoFNP</w:t>
            </w:r>
          </w:p>
        </w:tc>
      </w:tr>
      <w:tr w:rsidR="00553CFD" w:rsidRPr="00EF5A34" w:rsidTr="0015595E">
        <w:tc>
          <w:tcPr>
            <w:tcW w:w="2419" w:type="dxa"/>
          </w:tcPr>
          <w:p w:rsidR="00553CFD" w:rsidRPr="00EF5A34" w:rsidRDefault="00553CFD" w:rsidP="0015595E">
            <w:pPr>
              <w:spacing w:before="120" w:after="120"/>
              <w:jc w:val="left"/>
              <w:rPr>
                <w:rFonts w:ascii="Arial Narrow" w:eastAsiaTheme="minorHAnsi" w:hAnsi="Arial Narrow" w:cstheme="minorBidi"/>
                <w:b/>
                <w:bCs/>
                <w:sz w:val="20"/>
              </w:rPr>
            </w:pPr>
            <w:r w:rsidRPr="00EF5A34">
              <w:rPr>
                <w:rFonts w:ascii="Arial Narrow" w:eastAsiaTheme="minorHAnsi" w:hAnsi="Arial Narrow" w:cstheme="minorBidi"/>
                <w:b/>
                <w:bCs/>
                <w:sz w:val="20"/>
              </w:rPr>
              <w:t>Ms. Kilisitina Tuaimei’api</w:t>
            </w:r>
          </w:p>
        </w:tc>
        <w:tc>
          <w:tcPr>
            <w:tcW w:w="2367" w:type="dxa"/>
          </w:tcPr>
          <w:p w:rsidR="00553CFD" w:rsidRPr="00EF5A34" w:rsidRDefault="00553CFD" w:rsidP="0015595E">
            <w:pPr>
              <w:spacing w:before="120" w:after="120"/>
              <w:jc w:val="left"/>
              <w:rPr>
                <w:rFonts w:ascii="Arial Narrow" w:eastAsiaTheme="minorHAnsi" w:hAnsi="Arial Narrow" w:cstheme="minorBidi"/>
                <w:sz w:val="20"/>
                <w:highlight w:val="yellow"/>
              </w:rPr>
            </w:pPr>
            <w:r w:rsidRPr="00EF5A34">
              <w:rPr>
                <w:rFonts w:ascii="Arial Narrow" w:eastAsiaTheme="minorHAnsi" w:hAnsi="Arial Narrow" w:cstheme="minorBidi"/>
                <w:sz w:val="20"/>
              </w:rPr>
              <w:t>Principal Economist</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Procurement Division, MoFNP</w:t>
            </w:r>
          </w:p>
        </w:tc>
      </w:tr>
      <w:tr w:rsidR="00553CFD" w:rsidRPr="00EF5A34" w:rsidTr="0015595E">
        <w:tc>
          <w:tcPr>
            <w:tcW w:w="2419" w:type="dxa"/>
          </w:tcPr>
          <w:p w:rsidR="00553CFD" w:rsidRPr="00EF5A34" w:rsidRDefault="00553CFD" w:rsidP="0015595E">
            <w:pPr>
              <w:spacing w:before="120" w:after="120"/>
              <w:jc w:val="left"/>
              <w:rPr>
                <w:rFonts w:ascii="Arial Narrow" w:eastAsiaTheme="minorHAnsi" w:hAnsi="Arial Narrow" w:cstheme="minorBidi"/>
                <w:b/>
                <w:bCs/>
                <w:sz w:val="20"/>
              </w:rPr>
            </w:pPr>
            <w:r w:rsidRPr="00EF5A34">
              <w:rPr>
                <w:rFonts w:ascii="Arial Narrow" w:eastAsiaTheme="minorHAnsi" w:hAnsi="Arial Narrow" w:cstheme="minorBidi"/>
                <w:b/>
                <w:bCs/>
                <w:sz w:val="20"/>
              </w:rPr>
              <w:t>Mrs. Daphney Stone</w:t>
            </w:r>
          </w:p>
        </w:tc>
        <w:tc>
          <w:tcPr>
            <w:tcW w:w="2367" w:type="dxa"/>
          </w:tcPr>
          <w:p w:rsidR="00553CFD" w:rsidRPr="00EF5A34" w:rsidRDefault="00553CFD" w:rsidP="0015595E">
            <w:pPr>
              <w:spacing w:before="120" w:after="120"/>
              <w:jc w:val="left"/>
              <w:rPr>
                <w:rFonts w:ascii="Arial Narrow" w:eastAsiaTheme="minorHAnsi" w:hAnsi="Arial Narrow" w:cstheme="minorBidi"/>
                <w:sz w:val="20"/>
                <w:highlight w:val="yellow"/>
              </w:rPr>
            </w:pPr>
            <w:r w:rsidRPr="00EF5A34">
              <w:rPr>
                <w:rFonts w:ascii="Arial Narrow" w:eastAsiaTheme="minorHAnsi" w:hAnsi="Arial Narrow" w:cstheme="minorBidi"/>
                <w:sz w:val="20"/>
              </w:rPr>
              <w:t>CEO</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Ministry of Revenue</w:t>
            </w:r>
          </w:p>
        </w:tc>
      </w:tr>
      <w:tr w:rsidR="00553CFD" w:rsidRPr="00EF5A34" w:rsidTr="0015595E">
        <w:tc>
          <w:tcPr>
            <w:tcW w:w="2419" w:type="dxa"/>
          </w:tcPr>
          <w:p w:rsidR="00553CFD" w:rsidRPr="00EF5A34" w:rsidRDefault="00553CFD" w:rsidP="0015595E">
            <w:pPr>
              <w:spacing w:before="120" w:after="120"/>
              <w:jc w:val="left"/>
              <w:rPr>
                <w:rFonts w:ascii="Arial Narrow" w:eastAsiaTheme="minorHAnsi" w:hAnsi="Arial Narrow" w:cstheme="minorBidi"/>
                <w:b/>
                <w:bCs/>
                <w:sz w:val="20"/>
              </w:rPr>
            </w:pPr>
            <w:r w:rsidRPr="00EF5A34">
              <w:rPr>
                <w:rFonts w:ascii="Arial Narrow" w:eastAsiaTheme="minorHAnsi" w:hAnsi="Arial Narrow" w:cstheme="minorBidi"/>
                <w:b/>
                <w:bCs/>
                <w:sz w:val="20"/>
              </w:rPr>
              <w:t>Ms. ‘Akanesi Taufa</w:t>
            </w:r>
          </w:p>
        </w:tc>
        <w:tc>
          <w:tcPr>
            <w:tcW w:w="2367"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Deputy Commissioner</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Corporate Services, Ministry of Revenue</w:t>
            </w:r>
          </w:p>
        </w:tc>
      </w:tr>
      <w:tr w:rsidR="00553CFD" w:rsidRPr="00EF5A34" w:rsidTr="0015595E">
        <w:tc>
          <w:tcPr>
            <w:tcW w:w="2419" w:type="dxa"/>
          </w:tcPr>
          <w:p w:rsidR="00553CFD" w:rsidRPr="00EF5A34" w:rsidRDefault="00553CFD" w:rsidP="0015595E">
            <w:pPr>
              <w:spacing w:before="120" w:after="120"/>
              <w:jc w:val="left"/>
              <w:rPr>
                <w:rFonts w:ascii="Arial Narrow" w:eastAsiaTheme="minorHAnsi" w:hAnsi="Arial Narrow" w:cstheme="minorBidi"/>
                <w:b/>
                <w:bCs/>
                <w:sz w:val="20"/>
              </w:rPr>
            </w:pPr>
            <w:r w:rsidRPr="00C2748F">
              <w:rPr>
                <w:rFonts w:ascii="Arial Narrow" w:eastAsiaTheme="minorHAnsi" w:hAnsi="Arial Narrow" w:cstheme="minorBidi"/>
                <w:b/>
                <w:bCs/>
                <w:sz w:val="20"/>
              </w:rPr>
              <w:t>Ms. Teisa Pohiva</w:t>
            </w:r>
          </w:p>
        </w:tc>
        <w:tc>
          <w:tcPr>
            <w:tcW w:w="2367" w:type="dxa"/>
          </w:tcPr>
          <w:p w:rsidR="00553CFD" w:rsidRPr="00EF5A34" w:rsidRDefault="00553CFD" w:rsidP="0015595E">
            <w:pPr>
              <w:spacing w:before="120" w:after="120"/>
              <w:jc w:val="left"/>
              <w:rPr>
                <w:rFonts w:ascii="Arial Narrow" w:eastAsiaTheme="minorHAnsi" w:hAnsi="Arial Narrow" w:cstheme="minorBidi"/>
                <w:sz w:val="20"/>
              </w:rPr>
            </w:pPr>
            <w:r w:rsidRPr="00C2748F">
              <w:rPr>
                <w:rFonts w:ascii="Arial Narrow" w:eastAsiaTheme="minorHAnsi" w:hAnsi="Arial Narrow" w:cstheme="minorBidi"/>
                <w:sz w:val="20"/>
              </w:rPr>
              <w:t>Legal Officer</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Ministry of Revenue</w:t>
            </w:r>
          </w:p>
        </w:tc>
      </w:tr>
      <w:tr w:rsidR="00553CFD" w:rsidRPr="00EF5A34" w:rsidTr="0015595E">
        <w:tc>
          <w:tcPr>
            <w:tcW w:w="2419" w:type="dxa"/>
          </w:tcPr>
          <w:p w:rsidR="00553CFD" w:rsidRPr="00C2748F" w:rsidRDefault="00553CFD" w:rsidP="0015595E">
            <w:pPr>
              <w:spacing w:before="120" w:after="120"/>
              <w:jc w:val="left"/>
              <w:rPr>
                <w:rFonts w:ascii="Arial Narrow" w:eastAsiaTheme="minorHAnsi" w:hAnsi="Arial Narrow" w:cstheme="minorBidi"/>
                <w:b/>
                <w:bCs/>
                <w:sz w:val="20"/>
              </w:rPr>
            </w:pPr>
            <w:r w:rsidRPr="00C2748F">
              <w:rPr>
                <w:rFonts w:ascii="Arial Narrow" w:eastAsiaTheme="minorHAnsi" w:hAnsi="Arial Narrow" w:cstheme="minorBidi"/>
                <w:b/>
                <w:bCs/>
                <w:sz w:val="20"/>
              </w:rPr>
              <w:t>Ms. Falemei Fale</w:t>
            </w:r>
          </w:p>
        </w:tc>
        <w:tc>
          <w:tcPr>
            <w:tcW w:w="2367" w:type="dxa"/>
          </w:tcPr>
          <w:p w:rsidR="00553CFD" w:rsidRPr="00C2748F" w:rsidRDefault="00553CFD" w:rsidP="0015595E">
            <w:pPr>
              <w:spacing w:before="120" w:after="120"/>
              <w:jc w:val="left"/>
              <w:rPr>
                <w:rFonts w:ascii="Arial Narrow" w:eastAsiaTheme="minorHAnsi" w:hAnsi="Arial Narrow" w:cstheme="minorBidi"/>
                <w:sz w:val="20"/>
              </w:rPr>
            </w:pPr>
            <w:r w:rsidRPr="00C2748F">
              <w:rPr>
                <w:rFonts w:ascii="Arial Narrow" w:eastAsiaTheme="minorHAnsi" w:hAnsi="Arial Narrow" w:cstheme="minorBidi"/>
                <w:sz w:val="20"/>
              </w:rPr>
              <w:t>Head of Training and Policy Division</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Public Service Commission</w:t>
            </w:r>
          </w:p>
        </w:tc>
      </w:tr>
      <w:tr w:rsidR="00553CFD" w:rsidRPr="00EF5A34" w:rsidTr="0015595E">
        <w:tc>
          <w:tcPr>
            <w:tcW w:w="2419" w:type="dxa"/>
          </w:tcPr>
          <w:p w:rsidR="00553CFD" w:rsidRPr="00C2748F" w:rsidRDefault="00553CFD" w:rsidP="0015595E">
            <w:pPr>
              <w:spacing w:before="120" w:after="120"/>
              <w:jc w:val="left"/>
              <w:rPr>
                <w:rFonts w:ascii="Arial Narrow" w:eastAsiaTheme="minorHAnsi" w:hAnsi="Arial Narrow" w:cstheme="minorBidi"/>
                <w:b/>
                <w:bCs/>
                <w:sz w:val="20"/>
              </w:rPr>
            </w:pPr>
            <w:r w:rsidRPr="00C2748F">
              <w:rPr>
                <w:rFonts w:ascii="Arial Narrow" w:eastAsiaTheme="minorHAnsi" w:hAnsi="Arial Narrow" w:cstheme="minorBidi"/>
                <w:b/>
                <w:bCs/>
                <w:sz w:val="20"/>
              </w:rPr>
              <w:t>Mr. Moleni Ika</w:t>
            </w:r>
          </w:p>
        </w:tc>
        <w:tc>
          <w:tcPr>
            <w:tcW w:w="2367" w:type="dxa"/>
          </w:tcPr>
          <w:p w:rsidR="00553CFD" w:rsidRPr="00C2748F" w:rsidRDefault="00553CFD" w:rsidP="0015595E">
            <w:pPr>
              <w:spacing w:before="120" w:after="120"/>
              <w:jc w:val="left"/>
              <w:rPr>
                <w:rFonts w:ascii="Arial Narrow" w:eastAsiaTheme="minorHAnsi" w:hAnsi="Arial Narrow" w:cstheme="minorBidi"/>
                <w:sz w:val="20"/>
              </w:rPr>
            </w:pPr>
            <w:r w:rsidRPr="00C2748F">
              <w:rPr>
                <w:rFonts w:ascii="Arial Narrow" w:eastAsiaTheme="minorHAnsi" w:hAnsi="Arial Narrow" w:cstheme="minorBidi"/>
                <w:sz w:val="20"/>
              </w:rPr>
              <w:t>Officer</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Public Service Commission</w:t>
            </w:r>
          </w:p>
        </w:tc>
      </w:tr>
      <w:tr w:rsidR="00553CFD" w:rsidRPr="00EF5A34" w:rsidTr="0015595E">
        <w:tc>
          <w:tcPr>
            <w:tcW w:w="2419" w:type="dxa"/>
          </w:tcPr>
          <w:p w:rsidR="00553CFD" w:rsidRPr="00EF5A34" w:rsidRDefault="00553CFD" w:rsidP="0015595E">
            <w:pPr>
              <w:spacing w:before="120" w:after="120"/>
              <w:jc w:val="left"/>
              <w:rPr>
                <w:rFonts w:ascii="Arial Narrow" w:eastAsiaTheme="minorHAnsi" w:hAnsi="Arial Narrow" w:cstheme="minorBidi"/>
                <w:b/>
                <w:bCs/>
                <w:sz w:val="20"/>
              </w:rPr>
            </w:pPr>
            <w:r w:rsidRPr="00EF5A34">
              <w:rPr>
                <w:rFonts w:ascii="Arial Narrow" w:eastAsiaTheme="minorHAnsi" w:hAnsi="Arial Narrow" w:cstheme="minorBidi"/>
                <w:b/>
                <w:bCs/>
                <w:sz w:val="20"/>
              </w:rPr>
              <w:t>Mr. ‘Ata’ata Finau</w:t>
            </w:r>
          </w:p>
        </w:tc>
        <w:tc>
          <w:tcPr>
            <w:tcW w:w="2367" w:type="dxa"/>
          </w:tcPr>
          <w:p w:rsidR="00553CFD" w:rsidRPr="00EF5A34" w:rsidRDefault="00553CFD" w:rsidP="0015595E">
            <w:pPr>
              <w:spacing w:before="120" w:after="120"/>
              <w:jc w:val="left"/>
              <w:rPr>
                <w:rFonts w:ascii="Arial Narrow" w:eastAsiaTheme="minorHAnsi" w:hAnsi="Arial Narrow" w:cstheme="minorBidi"/>
                <w:sz w:val="20"/>
                <w:highlight w:val="yellow"/>
              </w:rPr>
            </w:pPr>
            <w:r w:rsidRPr="00EF5A34">
              <w:rPr>
                <w:rFonts w:ascii="Arial Narrow" w:eastAsiaTheme="minorHAnsi" w:hAnsi="Arial Narrow" w:cstheme="minorBidi"/>
                <w:sz w:val="20"/>
              </w:rPr>
              <w:t>Government Statistician</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Statistics Department</w:t>
            </w:r>
          </w:p>
        </w:tc>
      </w:tr>
      <w:tr w:rsidR="00553CFD" w:rsidRPr="00EF5A34" w:rsidTr="0015595E">
        <w:tc>
          <w:tcPr>
            <w:tcW w:w="2419" w:type="dxa"/>
          </w:tcPr>
          <w:p w:rsidR="00553CFD" w:rsidRPr="00C2748F" w:rsidRDefault="00553CFD" w:rsidP="0015595E">
            <w:pPr>
              <w:spacing w:before="120" w:after="120"/>
              <w:jc w:val="left"/>
              <w:rPr>
                <w:rFonts w:ascii="Arial Narrow" w:eastAsiaTheme="minorHAnsi" w:hAnsi="Arial Narrow" w:cstheme="minorBidi"/>
                <w:b/>
                <w:bCs/>
                <w:sz w:val="20"/>
              </w:rPr>
            </w:pPr>
            <w:r w:rsidRPr="00C2748F">
              <w:rPr>
                <w:rFonts w:ascii="Arial Narrow" w:eastAsiaTheme="minorHAnsi" w:hAnsi="Arial Narrow" w:cstheme="minorBidi"/>
                <w:b/>
                <w:bCs/>
                <w:sz w:val="20"/>
              </w:rPr>
              <w:t>Ms. Siosi’ana Fisiinaua</w:t>
            </w:r>
          </w:p>
        </w:tc>
        <w:tc>
          <w:tcPr>
            <w:tcW w:w="2367" w:type="dxa"/>
          </w:tcPr>
          <w:p w:rsidR="00553CFD" w:rsidRPr="00C2748F" w:rsidRDefault="00553CFD" w:rsidP="0015595E">
            <w:pPr>
              <w:spacing w:before="120" w:after="120"/>
              <w:jc w:val="left"/>
              <w:rPr>
                <w:rFonts w:ascii="Arial Narrow" w:eastAsiaTheme="minorHAnsi" w:hAnsi="Arial Narrow" w:cstheme="minorBidi"/>
                <w:sz w:val="20"/>
              </w:rPr>
            </w:pPr>
            <w:r w:rsidRPr="00C2748F">
              <w:rPr>
                <w:rFonts w:ascii="Arial Narrow" w:eastAsiaTheme="minorHAnsi" w:hAnsi="Arial Narrow" w:cstheme="minorBidi"/>
                <w:sz w:val="20"/>
              </w:rPr>
              <w:t>Deputy Statistician</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C2748F">
              <w:rPr>
                <w:rFonts w:ascii="Arial Narrow" w:eastAsiaTheme="minorHAnsi" w:hAnsi="Arial Narrow" w:cstheme="minorBidi"/>
                <w:sz w:val="20"/>
              </w:rPr>
              <w:t>Statistics Department</w:t>
            </w:r>
          </w:p>
        </w:tc>
      </w:tr>
      <w:tr w:rsidR="00553CFD" w:rsidRPr="00EF5A34" w:rsidTr="0015595E">
        <w:tc>
          <w:tcPr>
            <w:tcW w:w="2419" w:type="dxa"/>
          </w:tcPr>
          <w:p w:rsidR="00553CFD" w:rsidRPr="00C2748F" w:rsidRDefault="00553CFD" w:rsidP="0015595E">
            <w:pPr>
              <w:spacing w:before="120" w:after="120"/>
              <w:jc w:val="left"/>
              <w:rPr>
                <w:rFonts w:ascii="Arial Narrow" w:eastAsiaTheme="minorHAnsi" w:hAnsi="Arial Narrow" w:cstheme="minorBidi"/>
                <w:b/>
                <w:bCs/>
                <w:sz w:val="20"/>
              </w:rPr>
            </w:pPr>
            <w:r w:rsidRPr="00C2748F">
              <w:rPr>
                <w:rFonts w:ascii="Arial Narrow" w:eastAsiaTheme="minorHAnsi" w:hAnsi="Arial Narrow" w:cstheme="minorBidi"/>
                <w:b/>
                <w:bCs/>
                <w:sz w:val="20"/>
              </w:rPr>
              <w:t>Ms. Lotomo’ua Tu’ungafasi</w:t>
            </w:r>
          </w:p>
        </w:tc>
        <w:tc>
          <w:tcPr>
            <w:tcW w:w="2367" w:type="dxa"/>
          </w:tcPr>
          <w:p w:rsidR="00553CFD" w:rsidRPr="00C2748F" w:rsidRDefault="00764A83" w:rsidP="0015595E">
            <w:pPr>
              <w:spacing w:before="120" w:after="120"/>
              <w:jc w:val="left"/>
              <w:rPr>
                <w:rFonts w:ascii="Arial Narrow" w:eastAsiaTheme="minorHAnsi" w:hAnsi="Arial Narrow" w:cstheme="minorBidi"/>
                <w:sz w:val="20"/>
              </w:rPr>
            </w:pPr>
            <w:r>
              <w:rPr>
                <w:rFonts w:ascii="Arial Narrow" w:eastAsiaTheme="minorHAnsi" w:hAnsi="Arial Narrow" w:cstheme="minorBidi"/>
                <w:sz w:val="20"/>
              </w:rPr>
              <w:t>Acting Auditor General</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C2748F">
              <w:rPr>
                <w:rFonts w:ascii="Arial Narrow" w:eastAsiaTheme="minorHAnsi" w:hAnsi="Arial Narrow" w:cstheme="minorBidi"/>
                <w:sz w:val="20"/>
              </w:rPr>
              <w:t>Audit Office</w:t>
            </w:r>
          </w:p>
        </w:tc>
      </w:tr>
      <w:tr w:rsidR="00553CFD" w:rsidRPr="00EF5A34" w:rsidTr="0015595E">
        <w:tc>
          <w:tcPr>
            <w:tcW w:w="2419" w:type="dxa"/>
          </w:tcPr>
          <w:p w:rsidR="00553CFD" w:rsidRPr="00C2748F" w:rsidRDefault="00553CFD" w:rsidP="0015595E">
            <w:pPr>
              <w:spacing w:before="120" w:after="120"/>
              <w:jc w:val="left"/>
              <w:rPr>
                <w:rFonts w:ascii="Arial Narrow" w:eastAsiaTheme="minorHAnsi" w:hAnsi="Arial Narrow" w:cstheme="minorBidi"/>
                <w:b/>
                <w:bCs/>
                <w:sz w:val="20"/>
              </w:rPr>
            </w:pPr>
            <w:r w:rsidRPr="00C2748F">
              <w:rPr>
                <w:rFonts w:ascii="Arial Narrow" w:eastAsiaTheme="minorHAnsi" w:hAnsi="Arial Narrow" w:cstheme="minorBidi"/>
                <w:b/>
                <w:bCs/>
                <w:sz w:val="20"/>
              </w:rPr>
              <w:t>Ms. Silia Feiloaki</w:t>
            </w:r>
          </w:p>
        </w:tc>
        <w:tc>
          <w:tcPr>
            <w:tcW w:w="2367" w:type="dxa"/>
          </w:tcPr>
          <w:p w:rsidR="00553CFD" w:rsidRPr="00C2748F" w:rsidRDefault="00764A83" w:rsidP="0015595E">
            <w:pPr>
              <w:spacing w:before="120" w:after="120"/>
              <w:jc w:val="left"/>
              <w:rPr>
                <w:rFonts w:ascii="Arial Narrow" w:eastAsiaTheme="minorHAnsi" w:hAnsi="Arial Narrow" w:cstheme="minorBidi"/>
                <w:sz w:val="20"/>
              </w:rPr>
            </w:pPr>
            <w:r>
              <w:rPr>
                <w:rFonts w:ascii="Arial Narrow" w:eastAsiaTheme="minorHAnsi" w:hAnsi="Arial Narrow" w:cstheme="minorBidi"/>
                <w:sz w:val="20"/>
              </w:rPr>
              <w:t>Auditor</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C2748F">
              <w:rPr>
                <w:rFonts w:ascii="Arial Narrow" w:eastAsiaTheme="minorHAnsi" w:hAnsi="Arial Narrow" w:cstheme="minorBidi"/>
                <w:sz w:val="20"/>
              </w:rPr>
              <w:t>Audit Office</w:t>
            </w:r>
          </w:p>
        </w:tc>
      </w:tr>
      <w:tr w:rsidR="00553CFD" w:rsidRPr="00EF5A34" w:rsidTr="0015595E">
        <w:tc>
          <w:tcPr>
            <w:tcW w:w="2419" w:type="dxa"/>
          </w:tcPr>
          <w:p w:rsidR="00553CFD" w:rsidRPr="00EF5A34" w:rsidRDefault="00553CFD" w:rsidP="0015595E">
            <w:pPr>
              <w:spacing w:before="120" w:after="120"/>
              <w:jc w:val="left"/>
              <w:rPr>
                <w:rFonts w:ascii="Arial Narrow" w:eastAsiaTheme="minorHAnsi" w:hAnsi="Arial Narrow" w:cstheme="minorBidi"/>
                <w:b/>
                <w:bCs/>
                <w:sz w:val="20"/>
              </w:rPr>
            </w:pPr>
            <w:r w:rsidRPr="00EF5A34">
              <w:rPr>
                <w:rFonts w:ascii="Arial Narrow" w:eastAsiaTheme="minorHAnsi" w:hAnsi="Arial Narrow" w:cstheme="minorBidi"/>
                <w:b/>
                <w:bCs/>
                <w:sz w:val="20"/>
              </w:rPr>
              <w:t>Mr. Scott McLennan</w:t>
            </w:r>
          </w:p>
        </w:tc>
        <w:tc>
          <w:tcPr>
            <w:tcW w:w="2367"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First Secretary</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AusAID</w:t>
            </w:r>
          </w:p>
        </w:tc>
      </w:tr>
      <w:tr w:rsidR="00553CFD" w:rsidRPr="00EF5A34" w:rsidTr="0015595E">
        <w:tc>
          <w:tcPr>
            <w:tcW w:w="2419" w:type="dxa"/>
          </w:tcPr>
          <w:p w:rsidR="00553CFD" w:rsidRPr="00EF5A34" w:rsidRDefault="00553CFD" w:rsidP="0015595E">
            <w:pPr>
              <w:spacing w:before="120" w:after="120"/>
              <w:jc w:val="left"/>
              <w:rPr>
                <w:rFonts w:ascii="Arial Narrow" w:eastAsiaTheme="minorHAnsi" w:hAnsi="Arial Narrow" w:cstheme="minorBidi"/>
                <w:b/>
                <w:bCs/>
                <w:sz w:val="20"/>
              </w:rPr>
            </w:pPr>
            <w:r w:rsidRPr="00EF5A34">
              <w:rPr>
                <w:rFonts w:ascii="Arial Narrow" w:eastAsiaTheme="minorHAnsi" w:hAnsi="Arial Narrow" w:cstheme="minorBidi"/>
                <w:b/>
                <w:bCs/>
                <w:sz w:val="20"/>
              </w:rPr>
              <w:t>Ms. Lilieta Takau</w:t>
            </w:r>
          </w:p>
        </w:tc>
        <w:tc>
          <w:tcPr>
            <w:tcW w:w="2367"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Senior Program Manager</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Economic and Public Sector Program, AusAID</w:t>
            </w:r>
          </w:p>
        </w:tc>
      </w:tr>
      <w:tr w:rsidR="00553CFD" w:rsidRPr="00EF5A34" w:rsidTr="0015595E">
        <w:tc>
          <w:tcPr>
            <w:tcW w:w="2419" w:type="dxa"/>
          </w:tcPr>
          <w:p w:rsidR="00553CFD" w:rsidRPr="00C2748F" w:rsidRDefault="00553CFD" w:rsidP="0015595E">
            <w:pPr>
              <w:spacing w:before="120" w:after="120"/>
              <w:jc w:val="left"/>
              <w:rPr>
                <w:rFonts w:asciiTheme="minorHAnsi" w:eastAsiaTheme="minorHAnsi" w:hAnsiTheme="minorHAnsi" w:cstheme="minorBidi"/>
              </w:rPr>
            </w:pPr>
            <w:r w:rsidRPr="00C2748F">
              <w:rPr>
                <w:rFonts w:ascii="Arial Narrow" w:eastAsiaTheme="minorHAnsi" w:hAnsi="Arial Narrow" w:cstheme="minorBidi"/>
                <w:b/>
                <w:bCs/>
                <w:sz w:val="20"/>
              </w:rPr>
              <w:t>Mr. Salesi Fineanganofo</w:t>
            </w:r>
          </w:p>
        </w:tc>
        <w:tc>
          <w:tcPr>
            <w:tcW w:w="2367" w:type="dxa"/>
          </w:tcPr>
          <w:p w:rsidR="00553CFD" w:rsidRPr="00C2748F" w:rsidRDefault="00553CFD" w:rsidP="0015595E">
            <w:pPr>
              <w:spacing w:before="120" w:after="120"/>
              <w:jc w:val="left"/>
              <w:rPr>
                <w:rFonts w:asciiTheme="minorHAnsi" w:eastAsiaTheme="minorHAnsi" w:hAnsiTheme="minorHAnsi" w:cstheme="minorBidi"/>
              </w:rPr>
            </w:pPr>
            <w:r w:rsidRPr="00C2748F">
              <w:rPr>
                <w:rFonts w:ascii="Arial Narrow" w:eastAsiaTheme="minorHAnsi" w:hAnsi="Arial Narrow" w:cstheme="minorBidi"/>
                <w:sz w:val="20"/>
              </w:rPr>
              <w:t>Program Manager</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Economic and Public Sector Program, AusAID</w:t>
            </w:r>
          </w:p>
        </w:tc>
      </w:tr>
      <w:tr w:rsidR="00553CFD" w:rsidRPr="00EF5A34" w:rsidTr="0015595E">
        <w:tc>
          <w:tcPr>
            <w:tcW w:w="2419" w:type="dxa"/>
          </w:tcPr>
          <w:p w:rsidR="00553CFD" w:rsidRPr="00EF5A34" w:rsidRDefault="00553CFD" w:rsidP="0015595E">
            <w:pPr>
              <w:spacing w:before="120" w:after="120"/>
              <w:jc w:val="left"/>
              <w:rPr>
                <w:rFonts w:ascii="Arial Narrow" w:eastAsiaTheme="minorHAnsi" w:hAnsi="Arial Narrow" w:cstheme="minorBidi"/>
                <w:b/>
                <w:bCs/>
                <w:sz w:val="20"/>
              </w:rPr>
            </w:pPr>
            <w:r w:rsidRPr="00EF5A34">
              <w:rPr>
                <w:rFonts w:ascii="Arial Narrow" w:eastAsiaTheme="minorHAnsi" w:hAnsi="Arial Narrow" w:cstheme="minorBidi"/>
                <w:b/>
                <w:bCs/>
                <w:sz w:val="20"/>
              </w:rPr>
              <w:t>Ms. Annick Lombard</w:t>
            </w:r>
          </w:p>
        </w:tc>
        <w:tc>
          <w:tcPr>
            <w:tcW w:w="2367"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Graduate</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Economic and Public Sector Program, AusAID</w:t>
            </w:r>
          </w:p>
        </w:tc>
      </w:tr>
    </w:tbl>
    <w:p w:rsidR="00553CFD" w:rsidRDefault="00553CFD" w:rsidP="00553CFD">
      <w:pPr>
        <w:rPr>
          <w:lang w:val="en-GB"/>
        </w:rPr>
      </w:pPr>
    </w:p>
    <w:p w:rsidR="00553CFD" w:rsidRPr="00C2748F" w:rsidRDefault="00553CFD" w:rsidP="00553CFD">
      <w:pPr>
        <w:spacing w:before="120" w:after="120"/>
        <w:jc w:val="left"/>
        <w:rPr>
          <w:rFonts w:ascii="Arial Narrow" w:eastAsiaTheme="minorHAnsi" w:hAnsi="Arial Narrow" w:cstheme="minorBidi"/>
          <w:sz w:val="20"/>
        </w:rPr>
      </w:pPr>
      <w:r w:rsidRPr="00C2748F">
        <w:rPr>
          <w:rFonts w:ascii="Arial Narrow" w:eastAsiaTheme="minorHAnsi" w:hAnsi="Arial Narrow" w:cstheme="minorBidi"/>
          <w:sz w:val="20"/>
        </w:rPr>
        <w:t>Others consulted</w:t>
      </w:r>
    </w:p>
    <w:tbl>
      <w:tblPr>
        <w:tblStyle w:val="TableGrid"/>
        <w:tblW w:w="0" w:type="auto"/>
        <w:tblLook w:val="04A0" w:firstRow="1" w:lastRow="0" w:firstColumn="1" w:lastColumn="0" w:noHBand="0" w:noVBand="1"/>
      </w:tblPr>
      <w:tblGrid>
        <w:gridCol w:w="2419"/>
        <w:gridCol w:w="2367"/>
        <w:gridCol w:w="4394"/>
      </w:tblGrid>
      <w:tr w:rsidR="00553CFD" w:rsidRPr="00EF5A34" w:rsidTr="0015595E">
        <w:tc>
          <w:tcPr>
            <w:tcW w:w="2419" w:type="dxa"/>
            <w:shd w:val="clear" w:color="auto" w:fill="C2D69B" w:themeFill="accent3" w:themeFillTint="99"/>
          </w:tcPr>
          <w:p w:rsidR="00553CFD" w:rsidRPr="00EF5A34" w:rsidRDefault="00553CFD" w:rsidP="0015595E">
            <w:pPr>
              <w:spacing w:before="120" w:after="120"/>
              <w:jc w:val="center"/>
              <w:rPr>
                <w:rFonts w:ascii="Arial Narrow" w:eastAsiaTheme="minorHAnsi" w:hAnsi="Arial Narrow" w:cstheme="minorBidi"/>
                <w:b/>
                <w:bCs/>
                <w:sz w:val="20"/>
              </w:rPr>
            </w:pPr>
            <w:r>
              <w:rPr>
                <w:rFonts w:ascii="Arial Narrow" w:eastAsiaTheme="minorHAnsi" w:hAnsi="Arial Narrow" w:cstheme="minorBidi"/>
                <w:b/>
                <w:bCs/>
                <w:sz w:val="20"/>
              </w:rPr>
              <w:t>Person consulted</w:t>
            </w:r>
          </w:p>
        </w:tc>
        <w:tc>
          <w:tcPr>
            <w:tcW w:w="2367" w:type="dxa"/>
            <w:shd w:val="clear" w:color="auto" w:fill="C2D69B" w:themeFill="accent3" w:themeFillTint="99"/>
          </w:tcPr>
          <w:p w:rsidR="00553CFD" w:rsidRPr="00EF5A34" w:rsidRDefault="00553CFD" w:rsidP="0015595E">
            <w:pPr>
              <w:spacing w:before="120" w:after="120"/>
              <w:jc w:val="center"/>
              <w:rPr>
                <w:rFonts w:ascii="Arial Narrow" w:eastAsiaTheme="minorHAnsi" w:hAnsi="Arial Narrow" w:cstheme="minorBidi"/>
                <w:b/>
                <w:bCs/>
                <w:sz w:val="20"/>
              </w:rPr>
            </w:pPr>
            <w:r w:rsidRPr="00EF5A34">
              <w:rPr>
                <w:rFonts w:ascii="Arial Narrow" w:eastAsiaTheme="minorHAnsi" w:hAnsi="Arial Narrow" w:cstheme="minorBidi"/>
                <w:b/>
                <w:bCs/>
                <w:sz w:val="20"/>
              </w:rPr>
              <w:t>Position</w:t>
            </w:r>
          </w:p>
        </w:tc>
        <w:tc>
          <w:tcPr>
            <w:tcW w:w="4394" w:type="dxa"/>
            <w:shd w:val="clear" w:color="auto" w:fill="C2D69B" w:themeFill="accent3" w:themeFillTint="99"/>
          </w:tcPr>
          <w:p w:rsidR="00553CFD" w:rsidRPr="00EF5A34" w:rsidRDefault="00553CFD" w:rsidP="0015595E">
            <w:pPr>
              <w:spacing w:before="120" w:after="120"/>
              <w:jc w:val="center"/>
              <w:rPr>
                <w:rFonts w:ascii="Arial Narrow" w:eastAsiaTheme="minorHAnsi" w:hAnsi="Arial Narrow" w:cstheme="minorBidi"/>
                <w:b/>
                <w:bCs/>
                <w:sz w:val="20"/>
              </w:rPr>
            </w:pPr>
            <w:r w:rsidRPr="00EF5A34">
              <w:rPr>
                <w:rFonts w:ascii="Arial Narrow" w:eastAsiaTheme="minorHAnsi" w:hAnsi="Arial Narrow" w:cstheme="minorBidi"/>
                <w:b/>
                <w:bCs/>
                <w:sz w:val="20"/>
              </w:rPr>
              <w:t>Section, Ministry/organisation</w:t>
            </w:r>
          </w:p>
        </w:tc>
      </w:tr>
      <w:tr w:rsidR="00553CFD" w:rsidRPr="00EF5A34" w:rsidTr="0015595E">
        <w:tc>
          <w:tcPr>
            <w:tcW w:w="2419" w:type="dxa"/>
          </w:tcPr>
          <w:p w:rsidR="00553CFD" w:rsidRPr="00EF5A34" w:rsidRDefault="00553CFD" w:rsidP="0015595E">
            <w:pPr>
              <w:spacing w:before="120" w:after="120"/>
              <w:jc w:val="left"/>
              <w:rPr>
                <w:rFonts w:ascii="Arial Narrow" w:eastAsiaTheme="minorHAnsi" w:hAnsi="Arial Narrow" w:cstheme="minorBidi"/>
                <w:b/>
                <w:bCs/>
                <w:sz w:val="20"/>
              </w:rPr>
            </w:pPr>
            <w:r w:rsidRPr="00EF5A34">
              <w:rPr>
                <w:rFonts w:ascii="Arial Narrow" w:eastAsiaTheme="minorHAnsi" w:hAnsi="Arial Narrow" w:cstheme="minorBidi"/>
                <w:b/>
                <w:bCs/>
                <w:sz w:val="20"/>
              </w:rPr>
              <w:t>Ms. Natalia Latu</w:t>
            </w:r>
          </w:p>
        </w:tc>
        <w:tc>
          <w:tcPr>
            <w:tcW w:w="2367" w:type="dxa"/>
          </w:tcPr>
          <w:p w:rsidR="00553CFD" w:rsidRPr="00EF5A34" w:rsidRDefault="00553CFD" w:rsidP="0015595E">
            <w:pPr>
              <w:spacing w:before="120" w:after="120"/>
              <w:jc w:val="left"/>
              <w:rPr>
                <w:rFonts w:ascii="Arial Narrow" w:eastAsiaTheme="minorHAnsi" w:hAnsi="Arial Narrow" w:cstheme="minorBidi"/>
                <w:sz w:val="20"/>
                <w:highlight w:val="yellow"/>
              </w:rPr>
            </w:pPr>
            <w:r w:rsidRPr="00EF5A34">
              <w:rPr>
                <w:rFonts w:ascii="Arial Narrow" w:eastAsiaTheme="minorHAnsi" w:hAnsi="Arial Narrow" w:cstheme="minorBidi"/>
                <w:sz w:val="20"/>
              </w:rPr>
              <w:t>Principal Economist</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Aid &amp; Project Management Division, MoFNP</w:t>
            </w:r>
          </w:p>
        </w:tc>
      </w:tr>
      <w:tr w:rsidR="00553CFD" w:rsidRPr="00EF5A34" w:rsidTr="0015595E">
        <w:tc>
          <w:tcPr>
            <w:tcW w:w="2419" w:type="dxa"/>
          </w:tcPr>
          <w:p w:rsidR="00553CFD" w:rsidRPr="00EF5A34" w:rsidRDefault="00553CFD" w:rsidP="0015595E">
            <w:pPr>
              <w:spacing w:before="120" w:after="120"/>
              <w:jc w:val="left"/>
              <w:rPr>
                <w:rFonts w:ascii="Arial Narrow" w:eastAsiaTheme="minorHAnsi" w:hAnsi="Arial Narrow" w:cstheme="minorBidi"/>
                <w:b/>
                <w:bCs/>
                <w:sz w:val="20"/>
              </w:rPr>
            </w:pPr>
            <w:r w:rsidRPr="00EF5A34">
              <w:rPr>
                <w:rFonts w:ascii="Arial Narrow" w:eastAsiaTheme="minorHAnsi" w:hAnsi="Arial Narrow" w:cstheme="minorBidi"/>
                <w:b/>
                <w:bCs/>
                <w:sz w:val="20"/>
              </w:rPr>
              <w:t>Mr. Peter Poulsen</w:t>
            </w:r>
          </w:p>
        </w:tc>
        <w:tc>
          <w:tcPr>
            <w:tcW w:w="2367" w:type="dxa"/>
          </w:tcPr>
          <w:p w:rsidR="00553CFD" w:rsidRPr="00EF5A34" w:rsidRDefault="00553CFD" w:rsidP="0015595E">
            <w:pPr>
              <w:spacing w:before="120" w:after="120"/>
              <w:jc w:val="left"/>
              <w:rPr>
                <w:rFonts w:ascii="Arial Narrow" w:eastAsiaTheme="minorHAnsi" w:hAnsi="Arial Narrow" w:cstheme="minorBidi"/>
                <w:sz w:val="20"/>
                <w:highlight w:val="yellow"/>
              </w:rPr>
            </w:pPr>
            <w:r w:rsidRPr="00EF5A34">
              <w:rPr>
                <w:rFonts w:ascii="Arial Narrow" w:eastAsiaTheme="minorHAnsi" w:hAnsi="Arial Narrow" w:cstheme="minorBidi"/>
                <w:sz w:val="20"/>
              </w:rPr>
              <w:t>Economics &amp; Expenditure Adviser</w:t>
            </w:r>
          </w:p>
        </w:tc>
        <w:tc>
          <w:tcPr>
            <w:tcW w:w="4394"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MoFNP</w:t>
            </w:r>
          </w:p>
        </w:tc>
      </w:tr>
      <w:tr w:rsidR="00553CFD" w:rsidRPr="00EF5A34" w:rsidTr="0015595E">
        <w:tc>
          <w:tcPr>
            <w:tcW w:w="2419" w:type="dxa"/>
          </w:tcPr>
          <w:p w:rsidR="00553CFD" w:rsidRPr="00EF5A34" w:rsidRDefault="00553CFD" w:rsidP="0015595E">
            <w:pPr>
              <w:spacing w:before="120" w:after="120"/>
              <w:jc w:val="left"/>
              <w:rPr>
                <w:rFonts w:ascii="Arial Narrow" w:eastAsiaTheme="minorHAnsi" w:hAnsi="Arial Narrow" w:cstheme="minorBidi"/>
                <w:b/>
                <w:bCs/>
                <w:sz w:val="20"/>
              </w:rPr>
            </w:pPr>
            <w:r w:rsidRPr="00EF5A34">
              <w:rPr>
                <w:rFonts w:ascii="Arial Narrow" w:eastAsiaTheme="minorHAnsi" w:hAnsi="Arial Narrow" w:cstheme="minorBidi"/>
                <w:b/>
                <w:bCs/>
                <w:sz w:val="20"/>
              </w:rPr>
              <w:t>Mr. Tobias Haque</w:t>
            </w:r>
          </w:p>
        </w:tc>
        <w:tc>
          <w:tcPr>
            <w:tcW w:w="2367"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Pacific Economist</w:t>
            </w:r>
          </w:p>
        </w:tc>
        <w:tc>
          <w:tcPr>
            <w:tcW w:w="4394" w:type="dxa"/>
          </w:tcPr>
          <w:p w:rsidR="00553CFD" w:rsidRPr="00EF5A34" w:rsidRDefault="00553CFD" w:rsidP="00764A83">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World Bank</w:t>
            </w:r>
            <w:r w:rsidR="00764A83">
              <w:rPr>
                <w:rFonts w:ascii="Arial Narrow" w:eastAsiaTheme="minorHAnsi" w:hAnsi="Arial Narrow" w:cstheme="minorBidi"/>
                <w:sz w:val="20"/>
              </w:rPr>
              <w:t>, Suva</w:t>
            </w:r>
          </w:p>
        </w:tc>
      </w:tr>
      <w:tr w:rsidR="00553CFD" w:rsidRPr="00EF5A34" w:rsidTr="0015595E">
        <w:tc>
          <w:tcPr>
            <w:tcW w:w="2419" w:type="dxa"/>
          </w:tcPr>
          <w:p w:rsidR="00553CFD" w:rsidRPr="00EF5A34" w:rsidRDefault="00553CFD" w:rsidP="0015595E">
            <w:pPr>
              <w:spacing w:before="120" w:after="120"/>
              <w:jc w:val="left"/>
              <w:rPr>
                <w:rFonts w:ascii="Arial Narrow" w:eastAsiaTheme="minorHAnsi" w:hAnsi="Arial Narrow" w:cstheme="minorBidi"/>
                <w:b/>
                <w:bCs/>
                <w:sz w:val="20"/>
              </w:rPr>
            </w:pPr>
            <w:r w:rsidRPr="00EF5A34">
              <w:rPr>
                <w:rFonts w:ascii="Arial Narrow" w:eastAsiaTheme="minorHAnsi" w:hAnsi="Arial Narrow" w:cstheme="minorBidi"/>
                <w:b/>
                <w:bCs/>
                <w:sz w:val="20"/>
              </w:rPr>
              <w:t>Mr. Lai Tora</w:t>
            </w:r>
          </w:p>
        </w:tc>
        <w:tc>
          <w:tcPr>
            <w:tcW w:w="2367"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Economist/ PFM Officer</w:t>
            </w:r>
          </w:p>
        </w:tc>
        <w:tc>
          <w:tcPr>
            <w:tcW w:w="4394" w:type="dxa"/>
          </w:tcPr>
          <w:p w:rsidR="00553CFD" w:rsidRPr="00EF5A34" w:rsidRDefault="00553CFD" w:rsidP="00764A83">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ADB</w:t>
            </w:r>
            <w:r w:rsidR="00764A83">
              <w:rPr>
                <w:rFonts w:ascii="Arial Narrow" w:eastAsiaTheme="minorHAnsi" w:hAnsi="Arial Narrow" w:cstheme="minorBidi"/>
                <w:sz w:val="20"/>
              </w:rPr>
              <w:t>, Suva</w:t>
            </w:r>
          </w:p>
        </w:tc>
      </w:tr>
      <w:tr w:rsidR="00553CFD" w:rsidRPr="00EF5A34" w:rsidTr="0015595E">
        <w:tc>
          <w:tcPr>
            <w:tcW w:w="2419" w:type="dxa"/>
          </w:tcPr>
          <w:p w:rsidR="00553CFD" w:rsidRPr="00EF5A34" w:rsidRDefault="00553CFD" w:rsidP="0015595E">
            <w:pPr>
              <w:spacing w:before="120" w:after="120"/>
              <w:jc w:val="left"/>
              <w:rPr>
                <w:rFonts w:ascii="Arial Narrow" w:eastAsiaTheme="minorHAnsi" w:hAnsi="Arial Narrow" w:cstheme="minorBidi"/>
                <w:b/>
                <w:bCs/>
                <w:sz w:val="20"/>
              </w:rPr>
            </w:pPr>
            <w:r w:rsidRPr="00EF5A34">
              <w:rPr>
                <w:rFonts w:ascii="Arial Narrow" w:eastAsiaTheme="minorHAnsi" w:hAnsi="Arial Narrow" w:cstheme="minorBidi"/>
                <w:b/>
                <w:bCs/>
                <w:sz w:val="20"/>
              </w:rPr>
              <w:t>Mr. Saia Faletau</w:t>
            </w:r>
          </w:p>
        </w:tc>
        <w:tc>
          <w:tcPr>
            <w:tcW w:w="2367" w:type="dxa"/>
          </w:tcPr>
          <w:p w:rsidR="00553CFD" w:rsidRPr="00EF5A34" w:rsidRDefault="00553CFD" w:rsidP="0015595E">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Representative of the World Bank and ADB</w:t>
            </w:r>
          </w:p>
        </w:tc>
        <w:tc>
          <w:tcPr>
            <w:tcW w:w="4394" w:type="dxa"/>
          </w:tcPr>
          <w:p w:rsidR="00553CFD" w:rsidRPr="00EF5A34" w:rsidRDefault="00553CFD" w:rsidP="00764A83">
            <w:pPr>
              <w:spacing w:before="120" w:after="120"/>
              <w:jc w:val="left"/>
              <w:rPr>
                <w:rFonts w:ascii="Arial Narrow" w:eastAsiaTheme="minorHAnsi" w:hAnsi="Arial Narrow" w:cstheme="minorBidi"/>
                <w:sz w:val="20"/>
              </w:rPr>
            </w:pPr>
            <w:r w:rsidRPr="00EF5A34">
              <w:rPr>
                <w:rFonts w:ascii="Arial Narrow" w:eastAsiaTheme="minorHAnsi" w:hAnsi="Arial Narrow" w:cstheme="minorBidi"/>
                <w:sz w:val="20"/>
              </w:rPr>
              <w:t>World Bank/ ADB</w:t>
            </w:r>
            <w:r w:rsidR="00764A83">
              <w:rPr>
                <w:rFonts w:ascii="Arial Narrow" w:eastAsiaTheme="minorHAnsi" w:hAnsi="Arial Narrow" w:cstheme="minorBidi"/>
                <w:sz w:val="20"/>
              </w:rPr>
              <w:t>, Nuku’alofa</w:t>
            </w:r>
          </w:p>
        </w:tc>
      </w:tr>
    </w:tbl>
    <w:p w:rsidR="00553CFD" w:rsidRPr="00553CFD" w:rsidRDefault="00553CFD" w:rsidP="00553CFD"/>
    <w:p w:rsidR="00374DC7" w:rsidRPr="00374DC7" w:rsidRDefault="00374DC7" w:rsidP="00374DC7"/>
    <w:p w:rsidR="00553CFD" w:rsidRDefault="00553CFD" w:rsidP="00374DC7">
      <w:pPr>
        <w:sectPr w:rsidR="00553CFD" w:rsidSect="00553CFD">
          <w:pgSz w:w="11907" w:h="16840" w:code="9"/>
          <w:pgMar w:top="1440" w:right="1440" w:bottom="1440" w:left="1440" w:header="709" w:footer="709" w:gutter="0"/>
          <w:cols w:space="708"/>
          <w:docGrid w:linePitch="360"/>
        </w:sectPr>
      </w:pPr>
    </w:p>
    <w:p w:rsidR="00BE642B" w:rsidRPr="002B6660" w:rsidRDefault="008E5690" w:rsidP="00464EA0">
      <w:pPr>
        <w:pStyle w:val="Heading1"/>
        <w:spacing w:before="0" w:line="276" w:lineRule="auto"/>
        <w:jc w:val="left"/>
        <w:rPr>
          <w:sz w:val="24"/>
        </w:rPr>
      </w:pPr>
      <w:bookmarkStart w:id="44" w:name="_Toc356389396"/>
      <w:r>
        <w:rPr>
          <w:sz w:val="24"/>
        </w:rPr>
        <w:t xml:space="preserve">Annex </w:t>
      </w:r>
      <w:r w:rsidR="000D7A3B">
        <w:rPr>
          <w:sz w:val="24"/>
        </w:rPr>
        <w:t>10</w:t>
      </w:r>
      <w:r w:rsidR="00464EA0">
        <w:rPr>
          <w:sz w:val="24"/>
        </w:rPr>
        <w:t xml:space="preserve">: </w:t>
      </w:r>
      <w:r w:rsidR="00BE642B">
        <w:rPr>
          <w:sz w:val="24"/>
        </w:rPr>
        <w:t>Summary of current and future spending initiatives/ agreements</w:t>
      </w:r>
      <w:bookmarkEnd w:id="44"/>
    </w:p>
    <w:p w:rsidR="009E1CCE" w:rsidRDefault="009E1CCE" w:rsidP="00464EA0">
      <w:pPr>
        <w:pStyle w:val="Heading1"/>
        <w:spacing w:before="0" w:line="276" w:lineRule="auto"/>
        <w:jc w:val="left"/>
      </w:pPr>
    </w:p>
    <w:tbl>
      <w:tblPr>
        <w:tblStyle w:val="TableGrid"/>
        <w:tblW w:w="0" w:type="auto"/>
        <w:tblLook w:val="04A0" w:firstRow="1" w:lastRow="0" w:firstColumn="1" w:lastColumn="0" w:noHBand="0" w:noVBand="1"/>
      </w:tblPr>
      <w:tblGrid>
        <w:gridCol w:w="1105"/>
        <w:gridCol w:w="3379"/>
        <w:gridCol w:w="1720"/>
        <w:gridCol w:w="1842"/>
        <w:gridCol w:w="4461"/>
        <w:gridCol w:w="1669"/>
      </w:tblGrid>
      <w:tr w:rsidR="00E450FB" w:rsidRPr="002E29A7" w:rsidTr="004E3660">
        <w:trPr>
          <w:trHeight w:val="425"/>
        </w:trPr>
        <w:tc>
          <w:tcPr>
            <w:tcW w:w="1105" w:type="dxa"/>
            <w:shd w:val="clear" w:color="auto" w:fill="D9D9D9" w:themeFill="background1" w:themeFillShade="D9"/>
          </w:tcPr>
          <w:p w:rsidR="00C72DED" w:rsidRPr="002E29A7" w:rsidRDefault="00C72DED" w:rsidP="001B2760">
            <w:pPr>
              <w:rPr>
                <w:rFonts w:asciiTheme="minorHAnsi" w:hAnsiTheme="minorHAnsi" w:cstheme="minorHAnsi"/>
                <w:b/>
                <w:szCs w:val="20"/>
              </w:rPr>
            </w:pPr>
            <w:r w:rsidRPr="002E29A7">
              <w:rPr>
                <w:rFonts w:asciiTheme="minorHAnsi" w:hAnsiTheme="minorHAnsi" w:cstheme="minorHAnsi"/>
                <w:b/>
                <w:szCs w:val="20"/>
              </w:rPr>
              <w:t>Initiative</w:t>
            </w:r>
          </w:p>
        </w:tc>
        <w:tc>
          <w:tcPr>
            <w:tcW w:w="3379" w:type="dxa"/>
            <w:shd w:val="clear" w:color="auto" w:fill="D9D9D9" w:themeFill="background1" w:themeFillShade="D9"/>
          </w:tcPr>
          <w:p w:rsidR="00C72DED" w:rsidRPr="002E29A7" w:rsidRDefault="00C72DED" w:rsidP="001B2760">
            <w:pPr>
              <w:rPr>
                <w:rFonts w:asciiTheme="minorHAnsi" w:hAnsiTheme="minorHAnsi" w:cstheme="minorHAnsi"/>
                <w:b/>
                <w:szCs w:val="20"/>
              </w:rPr>
            </w:pPr>
            <w:r w:rsidRPr="002E29A7">
              <w:rPr>
                <w:rFonts w:asciiTheme="minorHAnsi" w:hAnsiTheme="minorHAnsi" w:cstheme="minorHAnsi"/>
                <w:b/>
                <w:szCs w:val="20"/>
              </w:rPr>
              <w:t>Name of Initiative</w:t>
            </w:r>
          </w:p>
        </w:tc>
        <w:tc>
          <w:tcPr>
            <w:tcW w:w="1720" w:type="dxa"/>
            <w:shd w:val="clear" w:color="auto" w:fill="D9D9D9" w:themeFill="background1" w:themeFillShade="D9"/>
          </w:tcPr>
          <w:p w:rsidR="00C72DED" w:rsidRPr="002E29A7" w:rsidRDefault="00C72DED" w:rsidP="001B2760">
            <w:pPr>
              <w:rPr>
                <w:rFonts w:asciiTheme="minorHAnsi" w:hAnsiTheme="minorHAnsi" w:cstheme="minorHAnsi"/>
                <w:b/>
                <w:szCs w:val="20"/>
              </w:rPr>
            </w:pPr>
            <w:r w:rsidRPr="002E29A7">
              <w:rPr>
                <w:rFonts w:asciiTheme="minorHAnsi" w:hAnsiTheme="minorHAnsi" w:cstheme="minorHAnsi"/>
                <w:b/>
                <w:szCs w:val="20"/>
              </w:rPr>
              <w:t>Initiative timeframe</w:t>
            </w:r>
          </w:p>
        </w:tc>
        <w:tc>
          <w:tcPr>
            <w:tcW w:w="1842" w:type="dxa"/>
            <w:shd w:val="clear" w:color="auto" w:fill="D9D9D9" w:themeFill="background1" w:themeFillShade="D9"/>
          </w:tcPr>
          <w:p w:rsidR="00C72DED" w:rsidRPr="002E29A7" w:rsidRDefault="00C72DED" w:rsidP="001B2760">
            <w:pPr>
              <w:rPr>
                <w:rFonts w:asciiTheme="minorHAnsi" w:hAnsiTheme="minorHAnsi" w:cstheme="minorHAnsi"/>
                <w:b/>
                <w:szCs w:val="20"/>
              </w:rPr>
            </w:pPr>
            <w:r>
              <w:rPr>
                <w:rFonts w:asciiTheme="minorHAnsi" w:hAnsiTheme="minorHAnsi" w:cstheme="minorHAnsi"/>
                <w:b/>
                <w:szCs w:val="20"/>
              </w:rPr>
              <w:t>Initiative value</w:t>
            </w:r>
          </w:p>
        </w:tc>
        <w:tc>
          <w:tcPr>
            <w:tcW w:w="4461" w:type="dxa"/>
            <w:shd w:val="clear" w:color="auto" w:fill="D9D9D9" w:themeFill="background1" w:themeFillShade="D9"/>
          </w:tcPr>
          <w:p w:rsidR="00C72DED" w:rsidRDefault="007806A4" w:rsidP="007806A4">
            <w:pPr>
              <w:rPr>
                <w:rFonts w:asciiTheme="minorHAnsi" w:hAnsiTheme="minorHAnsi" w:cstheme="minorHAnsi"/>
                <w:b/>
                <w:szCs w:val="20"/>
              </w:rPr>
            </w:pPr>
            <w:r>
              <w:rPr>
                <w:rFonts w:asciiTheme="minorHAnsi" w:hAnsiTheme="minorHAnsi" w:cstheme="minorHAnsi"/>
                <w:b/>
                <w:szCs w:val="20"/>
              </w:rPr>
              <w:t>D</w:t>
            </w:r>
            <w:r w:rsidR="004E3660">
              <w:rPr>
                <w:rFonts w:asciiTheme="minorHAnsi" w:hAnsiTheme="minorHAnsi" w:cstheme="minorHAnsi"/>
                <w:b/>
                <w:szCs w:val="20"/>
              </w:rPr>
              <w:t xml:space="preserve">escription </w:t>
            </w:r>
            <w:r>
              <w:rPr>
                <w:rFonts w:asciiTheme="minorHAnsi" w:hAnsiTheme="minorHAnsi" w:cstheme="minorHAnsi"/>
                <w:b/>
                <w:szCs w:val="20"/>
              </w:rPr>
              <w:t>of program/objectives</w:t>
            </w:r>
          </w:p>
        </w:tc>
        <w:tc>
          <w:tcPr>
            <w:tcW w:w="1669" w:type="dxa"/>
            <w:shd w:val="clear" w:color="auto" w:fill="D9D9D9" w:themeFill="background1" w:themeFillShade="D9"/>
          </w:tcPr>
          <w:p w:rsidR="00C72DED" w:rsidRDefault="00C72DED" w:rsidP="001B2760">
            <w:pPr>
              <w:rPr>
                <w:rFonts w:asciiTheme="minorHAnsi" w:hAnsiTheme="minorHAnsi" w:cstheme="minorHAnsi"/>
                <w:b/>
                <w:szCs w:val="20"/>
              </w:rPr>
            </w:pPr>
            <w:r>
              <w:rPr>
                <w:rFonts w:asciiTheme="minorHAnsi" w:hAnsiTheme="minorHAnsi" w:cstheme="minorHAnsi"/>
                <w:b/>
                <w:szCs w:val="20"/>
              </w:rPr>
              <w:t>Status</w:t>
            </w:r>
          </w:p>
        </w:tc>
      </w:tr>
      <w:tr w:rsidR="00E450FB" w:rsidRPr="0064347D" w:rsidTr="004E3660">
        <w:tc>
          <w:tcPr>
            <w:tcW w:w="1105" w:type="dxa"/>
          </w:tcPr>
          <w:p w:rsidR="00C72DED" w:rsidRPr="007229B4" w:rsidRDefault="00C72DED" w:rsidP="001B2760">
            <w:pPr>
              <w:rPr>
                <w:rFonts w:asciiTheme="minorHAnsi" w:eastAsiaTheme="minorHAnsi" w:hAnsiTheme="minorHAnsi" w:cstheme="minorHAnsi"/>
                <w:sz w:val="22"/>
                <w:szCs w:val="22"/>
              </w:rPr>
            </w:pPr>
            <w:r w:rsidRPr="007229B4">
              <w:rPr>
                <w:rFonts w:asciiTheme="minorHAnsi" w:hAnsiTheme="minorHAnsi" w:cstheme="minorHAnsi"/>
                <w:sz w:val="22"/>
                <w:szCs w:val="22"/>
              </w:rPr>
              <w:t>ING000</w:t>
            </w:r>
          </w:p>
        </w:tc>
        <w:tc>
          <w:tcPr>
            <w:tcW w:w="3379" w:type="dxa"/>
          </w:tcPr>
          <w:p w:rsidR="00C72DED" w:rsidRPr="007229B4" w:rsidRDefault="00C72DED" w:rsidP="00C72DED">
            <w:pPr>
              <w:jc w:val="left"/>
              <w:rPr>
                <w:rFonts w:asciiTheme="minorHAnsi" w:eastAsiaTheme="minorHAnsi" w:hAnsiTheme="minorHAnsi" w:cstheme="minorHAnsi"/>
                <w:sz w:val="22"/>
                <w:szCs w:val="22"/>
              </w:rPr>
            </w:pPr>
            <w:r w:rsidRPr="007229B4">
              <w:rPr>
                <w:rFonts w:asciiTheme="minorHAnsi" w:hAnsiTheme="minorHAnsi" w:cstheme="minorHAnsi"/>
                <w:sz w:val="22"/>
                <w:szCs w:val="22"/>
              </w:rPr>
              <w:t>Financial and Economic Management Program (FEMP)</w:t>
            </w:r>
          </w:p>
        </w:tc>
        <w:tc>
          <w:tcPr>
            <w:tcW w:w="1720" w:type="dxa"/>
          </w:tcPr>
          <w:p w:rsidR="00C72DED" w:rsidRPr="007229B4" w:rsidRDefault="00C72DED" w:rsidP="00C72DED">
            <w:pPr>
              <w:jc w:val="left"/>
              <w:rPr>
                <w:rFonts w:asciiTheme="minorHAnsi" w:eastAsiaTheme="minorHAnsi" w:hAnsiTheme="minorHAnsi" w:cstheme="minorHAnsi"/>
                <w:sz w:val="22"/>
                <w:szCs w:val="22"/>
              </w:rPr>
            </w:pPr>
            <w:r w:rsidRPr="007229B4">
              <w:rPr>
                <w:rFonts w:asciiTheme="minorHAnsi" w:hAnsiTheme="minorHAnsi" w:cstheme="minorHAnsi"/>
                <w:sz w:val="22"/>
                <w:szCs w:val="22"/>
              </w:rPr>
              <w:t xml:space="preserve">Oct 2004 – Jun 2013 </w:t>
            </w:r>
          </w:p>
        </w:tc>
        <w:tc>
          <w:tcPr>
            <w:tcW w:w="1842"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$4,829,717.00</w:t>
            </w:r>
          </w:p>
        </w:tc>
        <w:tc>
          <w:tcPr>
            <w:tcW w:w="4461" w:type="dxa"/>
          </w:tcPr>
          <w:p w:rsidR="00C72DED" w:rsidRPr="007229B4" w:rsidRDefault="00AF1700" w:rsidP="007806A4">
            <w:pPr>
              <w:jc w:val="left"/>
              <w:rPr>
                <w:rFonts w:asciiTheme="minorHAnsi" w:hAnsiTheme="minorHAnsi" w:cstheme="minorHAnsi"/>
                <w:sz w:val="22"/>
                <w:szCs w:val="22"/>
              </w:rPr>
            </w:pPr>
            <w:r w:rsidRPr="007229B4">
              <w:rPr>
                <w:rFonts w:asciiTheme="minorHAnsi" w:hAnsiTheme="minorHAnsi" w:cstheme="minorHAnsi"/>
                <w:sz w:val="22"/>
                <w:szCs w:val="22"/>
              </w:rPr>
              <w:t xml:space="preserve">The FEMP Initiative is a legacy program that commenced in 2004 </w:t>
            </w:r>
            <w:r w:rsidR="007806A4" w:rsidRPr="007229B4">
              <w:rPr>
                <w:rFonts w:asciiTheme="minorHAnsi" w:hAnsiTheme="minorHAnsi" w:cstheme="minorHAnsi"/>
                <w:sz w:val="22"/>
                <w:szCs w:val="22"/>
              </w:rPr>
              <w:t>and consists</w:t>
            </w:r>
            <w:r w:rsidRPr="007229B4">
              <w:rPr>
                <w:rFonts w:asciiTheme="minorHAnsi" w:hAnsiTheme="minorHAnsi" w:cstheme="minorHAnsi"/>
                <w:sz w:val="22"/>
                <w:szCs w:val="22"/>
              </w:rPr>
              <w:t xml:space="preserve"> of two activities: Interim Program of Assistance to the Tonga Customs Service (HOD Customs, computerised management system/equipment and training) and top-up salary for the full-time Public Service Commissioner to drive </w:t>
            </w:r>
            <w:r w:rsidR="007806A4" w:rsidRPr="007229B4">
              <w:rPr>
                <w:rFonts w:asciiTheme="minorHAnsi" w:hAnsiTheme="minorHAnsi" w:cstheme="minorHAnsi"/>
                <w:sz w:val="22"/>
                <w:szCs w:val="22"/>
              </w:rPr>
              <w:t xml:space="preserve">the </w:t>
            </w:r>
            <w:r w:rsidRPr="007229B4">
              <w:rPr>
                <w:rFonts w:asciiTheme="minorHAnsi" w:hAnsiTheme="minorHAnsi" w:cstheme="minorHAnsi"/>
                <w:sz w:val="22"/>
                <w:szCs w:val="22"/>
              </w:rPr>
              <w:t xml:space="preserve">Public Sector HR </w:t>
            </w:r>
            <w:r w:rsidR="007806A4" w:rsidRPr="007229B4">
              <w:rPr>
                <w:rFonts w:asciiTheme="minorHAnsi" w:hAnsiTheme="minorHAnsi" w:cstheme="minorHAnsi"/>
                <w:sz w:val="22"/>
                <w:szCs w:val="22"/>
              </w:rPr>
              <w:t>R</w:t>
            </w:r>
            <w:r w:rsidRPr="007229B4">
              <w:rPr>
                <w:rFonts w:asciiTheme="minorHAnsi" w:hAnsiTheme="minorHAnsi" w:cstheme="minorHAnsi"/>
                <w:sz w:val="22"/>
                <w:szCs w:val="22"/>
              </w:rPr>
              <w:t xml:space="preserve">eform </w:t>
            </w:r>
            <w:r w:rsidR="007806A4" w:rsidRPr="007229B4">
              <w:rPr>
                <w:rFonts w:asciiTheme="minorHAnsi" w:hAnsiTheme="minorHAnsi" w:cstheme="minorHAnsi"/>
                <w:sz w:val="22"/>
                <w:szCs w:val="22"/>
              </w:rPr>
              <w:t>P</w:t>
            </w:r>
            <w:r w:rsidRPr="007229B4">
              <w:rPr>
                <w:rFonts w:asciiTheme="minorHAnsi" w:hAnsiTheme="minorHAnsi" w:cstheme="minorHAnsi"/>
                <w:sz w:val="22"/>
                <w:szCs w:val="22"/>
              </w:rPr>
              <w:t>rogram.</w:t>
            </w:r>
          </w:p>
        </w:tc>
        <w:tc>
          <w:tcPr>
            <w:tcW w:w="1669"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Active</w:t>
            </w:r>
          </w:p>
        </w:tc>
      </w:tr>
      <w:tr w:rsidR="00E450FB" w:rsidRPr="0064347D" w:rsidTr="004E3660">
        <w:tc>
          <w:tcPr>
            <w:tcW w:w="1105" w:type="dxa"/>
          </w:tcPr>
          <w:p w:rsidR="00C72DED" w:rsidRPr="007229B4" w:rsidRDefault="00C72DED" w:rsidP="001B2760">
            <w:pPr>
              <w:rPr>
                <w:rFonts w:asciiTheme="minorHAnsi" w:eastAsiaTheme="minorHAnsi" w:hAnsiTheme="minorHAnsi" w:cstheme="minorHAnsi"/>
                <w:sz w:val="22"/>
                <w:szCs w:val="22"/>
              </w:rPr>
            </w:pPr>
            <w:r w:rsidRPr="007229B4">
              <w:rPr>
                <w:rFonts w:asciiTheme="minorHAnsi" w:hAnsiTheme="minorHAnsi" w:cstheme="minorHAnsi"/>
                <w:sz w:val="22"/>
                <w:szCs w:val="22"/>
              </w:rPr>
              <w:t>INI190</w:t>
            </w:r>
          </w:p>
        </w:tc>
        <w:tc>
          <w:tcPr>
            <w:tcW w:w="3379" w:type="dxa"/>
          </w:tcPr>
          <w:p w:rsidR="00C72DED" w:rsidRPr="007229B4" w:rsidRDefault="00C72DED" w:rsidP="00C72DED">
            <w:pPr>
              <w:jc w:val="left"/>
              <w:rPr>
                <w:rFonts w:asciiTheme="minorHAnsi" w:eastAsiaTheme="minorHAnsi" w:hAnsiTheme="minorHAnsi" w:cstheme="minorHAnsi"/>
                <w:sz w:val="22"/>
                <w:szCs w:val="22"/>
              </w:rPr>
            </w:pPr>
            <w:r w:rsidRPr="007229B4">
              <w:rPr>
                <w:rFonts w:asciiTheme="minorHAnsi" w:hAnsiTheme="minorHAnsi" w:cstheme="minorHAnsi"/>
                <w:sz w:val="22"/>
                <w:szCs w:val="22"/>
              </w:rPr>
              <w:t>Economic and Public Sector Management (EPSM)</w:t>
            </w:r>
          </w:p>
        </w:tc>
        <w:tc>
          <w:tcPr>
            <w:tcW w:w="1720" w:type="dxa"/>
          </w:tcPr>
          <w:p w:rsidR="00C72DED" w:rsidRPr="007229B4" w:rsidRDefault="00C72DED" w:rsidP="00C72DED">
            <w:pPr>
              <w:jc w:val="left"/>
              <w:rPr>
                <w:rFonts w:asciiTheme="minorHAnsi" w:eastAsiaTheme="minorHAnsi" w:hAnsiTheme="minorHAnsi" w:cstheme="minorHAnsi"/>
                <w:sz w:val="22"/>
                <w:szCs w:val="22"/>
              </w:rPr>
            </w:pPr>
            <w:r w:rsidRPr="007229B4">
              <w:rPr>
                <w:rFonts w:asciiTheme="minorHAnsi" w:hAnsiTheme="minorHAnsi" w:cstheme="minorHAnsi"/>
                <w:sz w:val="22"/>
                <w:szCs w:val="22"/>
              </w:rPr>
              <w:t xml:space="preserve">Jul 2008 – Jun 2013 </w:t>
            </w:r>
          </w:p>
        </w:tc>
        <w:tc>
          <w:tcPr>
            <w:tcW w:w="1842"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$4,245,590.01</w:t>
            </w:r>
          </w:p>
        </w:tc>
        <w:tc>
          <w:tcPr>
            <w:tcW w:w="4461" w:type="dxa"/>
          </w:tcPr>
          <w:p w:rsidR="000D3236" w:rsidRPr="007229B4" w:rsidRDefault="000D3236" w:rsidP="00562962">
            <w:pPr>
              <w:jc w:val="left"/>
              <w:rPr>
                <w:rFonts w:asciiTheme="minorHAnsi" w:hAnsiTheme="minorHAnsi" w:cstheme="minorHAnsi"/>
                <w:sz w:val="22"/>
                <w:szCs w:val="22"/>
              </w:rPr>
            </w:pPr>
            <w:r w:rsidRPr="007229B4">
              <w:rPr>
                <w:rFonts w:asciiTheme="minorHAnsi" w:hAnsiTheme="minorHAnsi" w:cstheme="minorHAnsi"/>
                <w:sz w:val="22"/>
                <w:szCs w:val="22"/>
              </w:rPr>
              <w:t>The program outcomes include improved economic and public sector management and design of a new management arrangement for the economic and public sector.</w:t>
            </w:r>
            <w:r w:rsidR="00562962" w:rsidRPr="007229B4">
              <w:rPr>
                <w:rFonts w:asciiTheme="minorHAnsi" w:hAnsiTheme="minorHAnsi" w:cstheme="minorHAnsi"/>
                <w:sz w:val="22"/>
                <w:szCs w:val="22"/>
              </w:rPr>
              <w:t xml:space="preserve"> The program has been providing technical assistance for the GoT’s priority economic and public sector reform activities through Accountable Cash Grant (ACG) agreements to the GoT and by directly sourcing specialised assistance. </w:t>
            </w:r>
            <w:r w:rsidRPr="007229B4">
              <w:rPr>
                <w:rFonts w:asciiTheme="minorHAnsi" w:hAnsiTheme="minorHAnsi" w:cstheme="minorHAnsi"/>
                <w:sz w:val="22"/>
                <w:szCs w:val="22"/>
              </w:rPr>
              <w:t xml:space="preserve"> </w:t>
            </w:r>
          </w:p>
        </w:tc>
        <w:tc>
          <w:tcPr>
            <w:tcW w:w="1669"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Active</w:t>
            </w:r>
          </w:p>
        </w:tc>
      </w:tr>
      <w:tr w:rsidR="00E450FB" w:rsidRPr="0064347D" w:rsidTr="004E3660">
        <w:tc>
          <w:tcPr>
            <w:tcW w:w="1105" w:type="dxa"/>
          </w:tcPr>
          <w:p w:rsidR="00C72DED" w:rsidRPr="007229B4" w:rsidRDefault="00C72DED" w:rsidP="001B2760">
            <w:pPr>
              <w:rPr>
                <w:rFonts w:asciiTheme="minorHAnsi" w:eastAsiaTheme="minorHAnsi" w:hAnsiTheme="minorHAnsi" w:cstheme="minorHAnsi"/>
                <w:sz w:val="22"/>
                <w:szCs w:val="22"/>
              </w:rPr>
            </w:pPr>
            <w:r w:rsidRPr="007229B4">
              <w:rPr>
                <w:rFonts w:asciiTheme="minorHAnsi" w:hAnsiTheme="minorHAnsi" w:cstheme="minorHAnsi"/>
                <w:sz w:val="22"/>
                <w:szCs w:val="22"/>
              </w:rPr>
              <w:t>ING994</w:t>
            </w:r>
          </w:p>
        </w:tc>
        <w:tc>
          <w:tcPr>
            <w:tcW w:w="3379" w:type="dxa"/>
          </w:tcPr>
          <w:p w:rsidR="00C72DED" w:rsidRPr="007229B4" w:rsidRDefault="00C72DED" w:rsidP="00C72DED">
            <w:pPr>
              <w:jc w:val="left"/>
              <w:rPr>
                <w:rFonts w:asciiTheme="minorHAnsi" w:eastAsiaTheme="minorHAnsi" w:hAnsiTheme="minorHAnsi" w:cstheme="minorHAnsi"/>
                <w:sz w:val="22"/>
                <w:szCs w:val="22"/>
              </w:rPr>
            </w:pPr>
            <w:r w:rsidRPr="007229B4">
              <w:rPr>
                <w:rFonts w:asciiTheme="minorHAnsi" w:hAnsiTheme="minorHAnsi" w:cstheme="minorHAnsi"/>
                <w:sz w:val="22"/>
                <w:szCs w:val="22"/>
              </w:rPr>
              <w:t>Tonga Pacific Technical Assistance Mission (PACTAM)</w:t>
            </w:r>
          </w:p>
        </w:tc>
        <w:tc>
          <w:tcPr>
            <w:tcW w:w="1720" w:type="dxa"/>
          </w:tcPr>
          <w:p w:rsidR="00C72DED" w:rsidRPr="007229B4" w:rsidRDefault="00C72DED" w:rsidP="00C72DED">
            <w:pPr>
              <w:jc w:val="left"/>
              <w:rPr>
                <w:rFonts w:asciiTheme="minorHAnsi" w:eastAsiaTheme="minorHAnsi" w:hAnsiTheme="minorHAnsi" w:cstheme="minorHAnsi"/>
                <w:sz w:val="22"/>
                <w:szCs w:val="22"/>
              </w:rPr>
            </w:pPr>
            <w:r w:rsidRPr="007229B4">
              <w:rPr>
                <w:rFonts w:asciiTheme="minorHAnsi" w:hAnsiTheme="minorHAnsi" w:cstheme="minorHAnsi"/>
                <w:sz w:val="22"/>
                <w:szCs w:val="22"/>
              </w:rPr>
              <w:t>Jan 2006 – Nov 2014 </w:t>
            </w:r>
          </w:p>
        </w:tc>
        <w:tc>
          <w:tcPr>
            <w:tcW w:w="1842"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$4,007,948.93</w:t>
            </w:r>
          </w:p>
        </w:tc>
        <w:tc>
          <w:tcPr>
            <w:tcW w:w="4461" w:type="dxa"/>
          </w:tcPr>
          <w:p w:rsidR="00C72DED" w:rsidRPr="007229B4" w:rsidRDefault="00E909E0" w:rsidP="00E909E0">
            <w:pPr>
              <w:spacing w:before="60"/>
              <w:jc w:val="left"/>
              <w:rPr>
                <w:rFonts w:asciiTheme="minorHAnsi" w:hAnsiTheme="minorHAnsi" w:cstheme="minorHAnsi"/>
                <w:sz w:val="22"/>
                <w:szCs w:val="22"/>
              </w:rPr>
            </w:pPr>
            <w:r w:rsidRPr="007229B4">
              <w:rPr>
                <w:rFonts w:asciiTheme="minorHAnsi" w:hAnsiTheme="minorHAnsi" w:cstheme="minorHAnsi"/>
                <w:sz w:val="22"/>
                <w:szCs w:val="22"/>
              </w:rPr>
              <w:t>PACTAM provides human resources aligned to Australian Government and development partner priorities.  The mechanism is used to fulfill short and long term needs of the GoT, bridging skills gap and building capacity.</w:t>
            </w:r>
          </w:p>
        </w:tc>
        <w:tc>
          <w:tcPr>
            <w:tcW w:w="1669"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Active</w:t>
            </w:r>
          </w:p>
        </w:tc>
      </w:tr>
      <w:tr w:rsidR="00E450FB" w:rsidRPr="0064347D" w:rsidTr="004E3660">
        <w:tc>
          <w:tcPr>
            <w:tcW w:w="1105"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INK248</w:t>
            </w:r>
          </w:p>
        </w:tc>
        <w:tc>
          <w:tcPr>
            <w:tcW w:w="3379" w:type="dxa"/>
          </w:tcPr>
          <w:p w:rsidR="00C72DED" w:rsidRPr="007229B4" w:rsidRDefault="00C72DED" w:rsidP="00C72DED">
            <w:pPr>
              <w:jc w:val="left"/>
              <w:rPr>
                <w:rFonts w:asciiTheme="minorHAnsi" w:hAnsiTheme="minorHAnsi" w:cstheme="minorHAnsi"/>
                <w:sz w:val="22"/>
                <w:szCs w:val="22"/>
              </w:rPr>
            </w:pPr>
            <w:r w:rsidRPr="007229B4">
              <w:rPr>
                <w:rFonts w:asciiTheme="minorHAnsi" w:hAnsiTheme="minorHAnsi" w:cstheme="minorHAnsi"/>
                <w:sz w:val="22"/>
                <w:szCs w:val="22"/>
              </w:rPr>
              <w:t>Tonga Performance Linked Aid (PLA)</w:t>
            </w:r>
          </w:p>
        </w:tc>
        <w:tc>
          <w:tcPr>
            <w:tcW w:w="1720" w:type="dxa"/>
          </w:tcPr>
          <w:p w:rsidR="00C72DED" w:rsidRPr="007229B4" w:rsidRDefault="00C72DED" w:rsidP="00C72DED">
            <w:pPr>
              <w:jc w:val="left"/>
              <w:rPr>
                <w:rFonts w:asciiTheme="minorHAnsi" w:hAnsiTheme="minorHAnsi" w:cstheme="minorHAnsi"/>
                <w:sz w:val="22"/>
                <w:szCs w:val="22"/>
              </w:rPr>
            </w:pPr>
            <w:r w:rsidRPr="007229B4">
              <w:rPr>
                <w:rFonts w:asciiTheme="minorHAnsi" w:hAnsiTheme="minorHAnsi" w:cstheme="minorHAnsi"/>
                <w:sz w:val="22"/>
                <w:szCs w:val="22"/>
              </w:rPr>
              <w:t>Dec 2011 – Jun 2013</w:t>
            </w:r>
          </w:p>
        </w:tc>
        <w:tc>
          <w:tcPr>
            <w:tcW w:w="1842"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$10,000,000</w:t>
            </w:r>
          </w:p>
        </w:tc>
        <w:tc>
          <w:tcPr>
            <w:tcW w:w="4461" w:type="dxa"/>
          </w:tcPr>
          <w:p w:rsidR="003B7F8E" w:rsidRPr="007229B4" w:rsidRDefault="003B7F8E" w:rsidP="003B7F8E">
            <w:pPr>
              <w:tabs>
                <w:tab w:val="left" w:pos="227"/>
              </w:tabs>
              <w:spacing w:before="60"/>
              <w:rPr>
                <w:rFonts w:asciiTheme="minorHAnsi" w:hAnsiTheme="minorHAnsi" w:cstheme="minorHAnsi"/>
                <w:sz w:val="22"/>
                <w:szCs w:val="22"/>
              </w:rPr>
            </w:pPr>
            <w:r w:rsidRPr="007229B4">
              <w:rPr>
                <w:rFonts w:asciiTheme="minorHAnsi" w:hAnsiTheme="minorHAnsi" w:cstheme="minorHAnsi"/>
                <w:sz w:val="22"/>
                <w:szCs w:val="22"/>
              </w:rPr>
              <w:t>The PLA initiative supports:</w:t>
            </w:r>
          </w:p>
          <w:p w:rsidR="003B7F8E" w:rsidRPr="007229B4" w:rsidRDefault="003B7F8E" w:rsidP="00A11CCA">
            <w:pPr>
              <w:pStyle w:val="List-number-1"/>
              <w:numPr>
                <w:ilvl w:val="0"/>
                <w:numId w:val="14"/>
              </w:numPr>
              <w:spacing w:before="0"/>
              <w:rPr>
                <w:rFonts w:asciiTheme="minorHAnsi" w:hAnsiTheme="minorHAnsi" w:cstheme="minorHAnsi"/>
                <w:sz w:val="22"/>
                <w:szCs w:val="22"/>
              </w:rPr>
            </w:pPr>
            <w:r w:rsidRPr="007229B4">
              <w:rPr>
                <w:rFonts w:asciiTheme="minorHAnsi" w:hAnsiTheme="minorHAnsi" w:cstheme="minorHAnsi"/>
                <w:sz w:val="22"/>
                <w:szCs w:val="22"/>
              </w:rPr>
              <w:t>Strengthening public financial management - specifically strengthening the building blocks of the public financial management system, strengthening budget execution, increasing the transparency of key budget processes and increasing the credibility of the budget;</w:t>
            </w:r>
          </w:p>
          <w:p w:rsidR="003B7F8E" w:rsidRPr="007229B4" w:rsidRDefault="003B7F8E" w:rsidP="00A11CCA">
            <w:pPr>
              <w:pStyle w:val="List-number-1"/>
              <w:numPr>
                <w:ilvl w:val="0"/>
                <w:numId w:val="14"/>
              </w:numPr>
              <w:spacing w:before="0"/>
              <w:rPr>
                <w:rFonts w:asciiTheme="minorHAnsi" w:hAnsiTheme="minorHAnsi" w:cstheme="minorHAnsi"/>
                <w:sz w:val="22"/>
                <w:szCs w:val="22"/>
              </w:rPr>
            </w:pPr>
            <w:r w:rsidRPr="007229B4">
              <w:rPr>
                <w:rFonts w:asciiTheme="minorHAnsi" w:hAnsiTheme="minorHAnsi" w:cstheme="minorHAnsi"/>
                <w:sz w:val="22"/>
                <w:szCs w:val="22"/>
              </w:rPr>
              <w:t>Strengthening fiscal policy – specifically strengthening revenue effort, improving the quality of expenditure, and improving the management of the civil service wage bill; and</w:t>
            </w:r>
          </w:p>
          <w:p w:rsidR="00C72DED" w:rsidRPr="007229B4" w:rsidRDefault="003B7F8E" w:rsidP="00A11CCA">
            <w:pPr>
              <w:pStyle w:val="List-number-1"/>
              <w:numPr>
                <w:ilvl w:val="0"/>
                <w:numId w:val="14"/>
              </w:numPr>
              <w:spacing w:before="0"/>
              <w:rPr>
                <w:rFonts w:asciiTheme="minorHAnsi" w:hAnsiTheme="minorHAnsi" w:cstheme="minorHAnsi"/>
                <w:sz w:val="22"/>
                <w:szCs w:val="22"/>
              </w:rPr>
            </w:pPr>
            <w:r w:rsidRPr="007229B4">
              <w:rPr>
                <w:rFonts w:asciiTheme="minorHAnsi" w:hAnsiTheme="minorHAnsi" w:cstheme="minorHAnsi"/>
                <w:sz w:val="22"/>
                <w:szCs w:val="22"/>
              </w:rPr>
              <w:t xml:space="preserve">Promoting structural reforms relating to the business regulatory environment – specifically restructuring and privatising public enterprises and Cabinet approval of legislation to improve the ease of starting a business. </w:t>
            </w:r>
          </w:p>
        </w:tc>
        <w:tc>
          <w:tcPr>
            <w:tcW w:w="1669"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Active</w:t>
            </w:r>
          </w:p>
        </w:tc>
      </w:tr>
      <w:tr w:rsidR="00E450FB" w:rsidRPr="0064347D" w:rsidTr="004E3660">
        <w:tc>
          <w:tcPr>
            <w:tcW w:w="1105"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INK375</w:t>
            </w:r>
          </w:p>
        </w:tc>
        <w:tc>
          <w:tcPr>
            <w:tcW w:w="3379" w:type="dxa"/>
          </w:tcPr>
          <w:p w:rsidR="00C72DED" w:rsidRPr="007229B4" w:rsidRDefault="00C72DED" w:rsidP="00C72DED">
            <w:pPr>
              <w:jc w:val="left"/>
              <w:rPr>
                <w:rFonts w:asciiTheme="minorHAnsi" w:hAnsiTheme="minorHAnsi" w:cstheme="minorHAnsi"/>
                <w:sz w:val="22"/>
                <w:szCs w:val="22"/>
              </w:rPr>
            </w:pPr>
            <w:r w:rsidRPr="007229B4">
              <w:rPr>
                <w:rFonts w:asciiTheme="minorHAnsi" w:hAnsiTheme="minorHAnsi" w:cstheme="minorHAnsi"/>
                <w:sz w:val="22"/>
                <w:szCs w:val="22"/>
              </w:rPr>
              <w:t>Economic and Public Sector Reform II</w:t>
            </w:r>
          </w:p>
        </w:tc>
        <w:tc>
          <w:tcPr>
            <w:tcW w:w="1720" w:type="dxa"/>
          </w:tcPr>
          <w:p w:rsidR="00C72DED" w:rsidRPr="007229B4" w:rsidRDefault="00C72DED" w:rsidP="00C72DED">
            <w:pPr>
              <w:jc w:val="left"/>
              <w:rPr>
                <w:rFonts w:asciiTheme="minorHAnsi" w:hAnsiTheme="minorHAnsi" w:cstheme="minorHAnsi"/>
                <w:sz w:val="22"/>
                <w:szCs w:val="22"/>
              </w:rPr>
            </w:pPr>
            <w:r w:rsidRPr="007229B4">
              <w:rPr>
                <w:rFonts w:asciiTheme="minorHAnsi" w:hAnsiTheme="minorHAnsi" w:cstheme="minorHAnsi"/>
                <w:sz w:val="22"/>
                <w:szCs w:val="22"/>
              </w:rPr>
              <w:t>Jan 2012 – Jun 2014</w:t>
            </w:r>
          </w:p>
        </w:tc>
        <w:tc>
          <w:tcPr>
            <w:tcW w:w="1842"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$2,100,000</w:t>
            </w:r>
          </w:p>
        </w:tc>
        <w:tc>
          <w:tcPr>
            <w:tcW w:w="4461" w:type="dxa"/>
          </w:tcPr>
          <w:p w:rsidR="00E450FB" w:rsidRPr="007229B4" w:rsidRDefault="00E450FB" w:rsidP="00E450FB">
            <w:pPr>
              <w:rPr>
                <w:rFonts w:asciiTheme="minorHAnsi" w:hAnsiTheme="minorHAnsi" w:cstheme="minorHAnsi"/>
                <w:sz w:val="22"/>
                <w:szCs w:val="22"/>
              </w:rPr>
            </w:pPr>
            <w:r w:rsidRPr="007229B4">
              <w:rPr>
                <w:rFonts w:asciiTheme="minorHAnsi" w:hAnsiTheme="minorHAnsi" w:cstheme="minorHAnsi"/>
                <w:sz w:val="22"/>
                <w:szCs w:val="22"/>
              </w:rPr>
              <w:t>The program builds on work undertaken through the EPSM (INI190) Initiative. Activities under this program support implementation of the GoT’s economic and public sector reform program and include:</w:t>
            </w:r>
          </w:p>
          <w:p w:rsidR="00E450FB" w:rsidRPr="007229B4" w:rsidRDefault="00E450FB" w:rsidP="00A11CCA">
            <w:pPr>
              <w:pStyle w:val="List-number-1"/>
              <w:numPr>
                <w:ilvl w:val="0"/>
                <w:numId w:val="17"/>
              </w:numPr>
              <w:spacing w:before="0"/>
              <w:rPr>
                <w:rFonts w:asciiTheme="minorHAnsi" w:hAnsiTheme="minorHAnsi" w:cstheme="minorHAnsi"/>
                <w:sz w:val="22"/>
                <w:szCs w:val="22"/>
              </w:rPr>
            </w:pPr>
            <w:r w:rsidRPr="007229B4">
              <w:rPr>
                <w:rFonts w:asciiTheme="minorHAnsi" w:hAnsiTheme="minorHAnsi" w:cstheme="minorHAnsi"/>
                <w:sz w:val="22"/>
                <w:szCs w:val="22"/>
              </w:rPr>
              <w:t>A donor harmonisation adviser;</w:t>
            </w:r>
          </w:p>
          <w:p w:rsidR="00E450FB" w:rsidRPr="007229B4" w:rsidRDefault="00E450FB" w:rsidP="00A11CCA">
            <w:pPr>
              <w:pStyle w:val="List-number-1"/>
              <w:numPr>
                <w:ilvl w:val="0"/>
                <w:numId w:val="14"/>
              </w:numPr>
              <w:spacing w:before="0"/>
              <w:rPr>
                <w:rFonts w:asciiTheme="minorHAnsi" w:hAnsiTheme="minorHAnsi" w:cstheme="minorHAnsi"/>
                <w:sz w:val="22"/>
                <w:szCs w:val="22"/>
              </w:rPr>
            </w:pPr>
            <w:r w:rsidRPr="007229B4">
              <w:rPr>
                <w:rFonts w:asciiTheme="minorHAnsi" w:hAnsiTheme="minorHAnsi" w:cstheme="minorHAnsi"/>
                <w:sz w:val="22"/>
                <w:szCs w:val="22"/>
              </w:rPr>
              <w:t>Implementation support for the policy matrix through the AusAID-World Bank PF3 facility;</w:t>
            </w:r>
          </w:p>
          <w:p w:rsidR="00E450FB" w:rsidRPr="007229B4" w:rsidRDefault="00E450FB" w:rsidP="00A11CCA">
            <w:pPr>
              <w:pStyle w:val="List-number-1"/>
              <w:numPr>
                <w:ilvl w:val="0"/>
                <w:numId w:val="14"/>
              </w:numPr>
              <w:spacing w:before="0"/>
              <w:rPr>
                <w:rFonts w:asciiTheme="minorHAnsi" w:hAnsiTheme="minorHAnsi" w:cstheme="minorHAnsi"/>
                <w:sz w:val="22"/>
                <w:szCs w:val="22"/>
              </w:rPr>
            </w:pPr>
            <w:r w:rsidRPr="007229B4">
              <w:rPr>
                <w:rFonts w:asciiTheme="minorHAnsi" w:hAnsiTheme="minorHAnsi" w:cstheme="minorHAnsi"/>
                <w:sz w:val="22"/>
                <w:szCs w:val="22"/>
              </w:rPr>
              <w:t>Support for improved revenue management;</w:t>
            </w:r>
          </w:p>
          <w:p w:rsidR="00E450FB" w:rsidRPr="007229B4" w:rsidRDefault="00E450FB" w:rsidP="00A11CCA">
            <w:pPr>
              <w:pStyle w:val="List-number-1"/>
              <w:numPr>
                <w:ilvl w:val="0"/>
                <w:numId w:val="14"/>
              </w:numPr>
              <w:spacing w:before="0"/>
              <w:rPr>
                <w:rFonts w:asciiTheme="minorHAnsi" w:hAnsiTheme="minorHAnsi" w:cstheme="minorHAnsi"/>
                <w:sz w:val="22"/>
                <w:szCs w:val="22"/>
              </w:rPr>
            </w:pPr>
            <w:r w:rsidRPr="007229B4">
              <w:rPr>
                <w:rFonts w:asciiTheme="minorHAnsi" w:hAnsiTheme="minorHAnsi" w:cstheme="minorHAnsi"/>
                <w:sz w:val="22"/>
                <w:szCs w:val="22"/>
              </w:rPr>
              <w:t>An assessment of national systems; and</w:t>
            </w:r>
          </w:p>
          <w:p w:rsidR="00E450FB" w:rsidRPr="007229B4" w:rsidRDefault="00E450FB" w:rsidP="00A11CCA">
            <w:pPr>
              <w:pStyle w:val="List-number-1"/>
              <w:numPr>
                <w:ilvl w:val="0"/>
                <w:numId w:val="14"/>
              </w:numPr>
              <w:spacing w:before="0"/>
              <w:rPr>
                <w:rFonts w:asciiTheme="minorHAnsi" w:hAnsiTheme="minorHAnsi" w:cstheme="minorHAnsi"/>
                <w:sz w:val="22"/>
                <w:szCs w:val="22"/>
              </w:rPr>
            </w:pPr>
            <w:r w:rsidRPr="007229B4">
              <w:rPr>
                <w:rFonts w:asciiTheme="minorHAnsi" w:hAnsiTheme="minorHAnsi" w:cstheme="minorHAnsi"/>
                <w:sz w:val="22"/>
                <w:szCs w:val="22"/>
              </w:rPr>
              <w:t>Support for the GoT civil service restructure.</w:t>
            </w:r>
          </w:p>
        </w:tc>
        <w:tc>
          <w:tcPr>
            <w:tcW w:w="1669"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 xml:space="preserve">Active </w:t>
            </w:r>
          </w:p>
        </w:tc>
      </w:tr>
      <w:tr w:rsidR="00E450FB" w:rsidRPr="0064347D" w:rsidTr="003636D4">
        <w:tc>
          <w:tcPr>
            <w:tcW w:w="1105"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INK890</w:t>
            </w:r>
          </w:p>
        </w:tc>
        <w:tc>
          <w:tcPr>
            <w:tcW w:w="3379" w:type="dxa"/>
          </w:tcPr>
          <w:p w:rsidR="00C72DED" w:rsidRPr="007229B4" w:rsidRDefault="00C72DED" w:rsidP="00C72DED">
            <w:pPr>
              <w:jc w:val="left"/>
              <w:rPr>
                <w:rFonts w:asciiTheme="minorHAnsi" w:hAnsiTheme="minorHAnsi" w:cstheme="minorHAnsi"/>
                <w:sz w:val="22"/>
                <w:szCs w:val="22"/>
              </w:rPr>
            </w:pPr>
            <w:r w:rsidRPr="007229B4">
              <w:rPr>
                <w:rFonts w:asciiTheme="minorHAnsi" w:hAnsiTheme="minorHAnsi" w:cstheme="minorHAnsi"/>
                <w:sz w:val="22"/>
                <w:szCs w:val="22"/>
              </w:rPr>
              <w:t>Tonga Governance Strengthening Program</w:t>
            </w:r>
          </w:p>
        </w:tc>
        <w:tc>
          <w:tcPr>
            <w:tcW w:w="1720" w:type="dxa"/>
          </w:tcPr>
          <w:p w:rsidR="00C72DED" w:rsidRPr="007229B4" w:rsidRDefault="00C72DED" w:rsidP="00C72DED">
            <w:pPr>
              <w:jc w:val="left"/>
              <w:rPr>
                <w:rFonts w:asciiTheme="minorHAnsi" w:hAnsiTheme="minorHAnsi" w:cstheme="minorHAnsi"/>
                <w:sz w:val="22"/>
                <w:szCs w:val="22"/>
              </w:rPr>
            </w:pPr>
            <w:r w:rsidRPr="007229B4">
              <w:rPr>
                <w:rFonts w:asciiTheme="minorHAnsi" w:hAnsiTheme="minorHAnsi" w:cstheme="minorHAnsi"/>
                <w:sz w:val="22"/>
                <w:szCs w:val="22"/>
              </w:rPr>
              <w:t>Jan 2013 – Jan 2017</w:t>
            </w:r>
          </w:p>
        </w:tc>
        <w:tc>
          <w:tcPr>
            <w:tcW w:w="1842"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$3,500,000</w:t>
            </w:r>
          </w:p>
        </w:tc>
        <w:tc>
          <w:tcPr>
            <w:tcW w:w="4461" w:type="dxa"/>
          </w:tcPr>
          <w:p w:rsidR="003B7F8E" w:rsidRPr="007229B4" w:rsidRDefault="003636D4" w:rsidP="003636D4">
            <w:pPr>
              <w:jc w:val="left"/>
              <w:rPr>
                <w:rFonts w:asciiTheme="minorHAnsi" w:hAnsiTheme="minorHAnsi" w:cstheme="minorHAnsi"/>
                <w:sz w:val="22"/>
                <w:szCs w:val="22"/>
              </w:rPr>
            </w:pPr>
            <w:r w:rsidRPr="007229B4">
              <w:rPr>
                <w:rFonts w:asciiTheme="minorHAnsi" w:hAnsiTheme="minorHAnsi" w:cstheme="minorHAnsi"/>
                <w:sz w:val="22"/>
                <w:szCs w:val="22"/>
              </w:rPr>
              <w:t xml:space="preserve">The program has the following components: </w:t>
            </w:r>
          </w:p>
          <w:p w:rsidR="003B7F8E" w:rsidRPr="007229B4" w:rsidRDefault="003636D4" w:rsidP="00A11CCA">
            <w:pPr>
              <w:pStyle w:val="List-number-1"/>
              <w:numPr>
                <w:ilvl w:val="0"/>
                <w:numId w:val="15"/>
              </w:numPr>
              <w:spacing w:before="0"/>
              <w:rPr>
                <w:rFonts w:asciiTheme="minorHAnsi" w:hAnsiTheme="minorHAnsi" w:cstheme="minorHAnsi"/>
                <w:sz w:val="22"/>
                <w:szCs w:val="22"/>
              </w:rPr>
            </w:pPr>
            <w:r w:rsidRPr="007229B4">
              <w:rPr>
                <w:rFonts w:asciiTheme="minorHAnsi" w:hAnsiTheme="minorHAnsi" w:cstheme="minorHAnsi"/>
                <w:sz w:val="22"/>
                <w:szCs w:val="22"/>
              </w:rPr>
              <w:t xml:space="preserve">support to Parliament; </w:t>
            </w:r>
          </w:p>
          <w:p w:rsidR="003B7F8E" w:rsidRPr="007229B4" w:rsidRDefault="003636D4" w:rsidP="00A11CCA">
            <w:pPr>
              <w:pStyle w:val="List-number-1"/>
              <w:numPr>
                <w:ilvl w:val="0"/>
                <w:numId w:val="14"/>
              </w:numPr>
              <w:spacing w:before="0"/>
              <w:rPr>
                <w:rFonts w:asciiTheme="minorHAnsi" w:hAnsiTheme="minorHAnsi" w:cstheme="minorHAnsi"/>
                <w:sz w:val="22"/>
                <w:szCs w:val="22"/>
              </w:rPr>
            </w:pPr>
            <w:r w:rsidRPr="007229B4">
              <w:rPr>
                <w:rFonts w:asciiTheme="minorHAnsi" w:hAnsiTheme="minorHAnsi" w:cstheme="minorHAnsi"/>
                <w:sz w:val="22"/>
                <w:szCs w:val="22"/>
              </w:rPr>
              <w:t xml:space="preserve">support to civil society organisations; and </w:t>
            </w:r>
          </w:p>
          <w:p w:rsidR="00C72DED" w:rsidRPr="007229B4" w:rsidRDefault="003636D4" w:rsidP="00A11CCA">
            <w:pPr>
              <w:pStyle w:val="List-number-1"/>
              <w:numPr>
                <w:ilvl w:val="0"/>
                <w:numId w:val="14"/>
              </w:numPr>
              <w:spacing w:before="0"/>
              <w:rPr>
                <w:rFonts w:asciiTheme="minorHAnsi" w:hAnsiTheme="minorHAnsi" w:cstheme="minorHAnsi"/>
                <w:sz w:val="22"/>
                <w:szCs w:val="22"/>
              </w:rPr>
            </w:pPr>
            <w:r w:rsidRPr="007229B4">
              <w:rPr>
                <w:rFonts w:asciiTheme="minorHAnsi" w:hAnsiTheme="minorHAnsi" w:cstheme="minorHAnsi"/>
                <w:sz w:val="22"/>
                <w:szCs w:val="22"/>
              </w:rPr>
              <w:t xml:space="preserve">support to the Tonga Electoral Commission. The program focuses on: strengthening Tonga’s governance institutions and developing an improved understanding in the community of the role of parliament; the functions of the electoral commission; and the role civil society organisations play in promoting good governance and supporting an improved understanding of governance concepts in the community. </w:t>
            </w:r>
          </w:p>
        </w:tc>
        <w:tc>
          <w:tcPr>
            <w:tcW w:w="1669" w:type="dxa"/>
          </w:tcPr>
          <w:p w:rsidR="00C72DED" w:rsidRPr="007229B4" w:rsidRDefault="002C5D6C" w:rsidP="001B2760">
            <w:pPr>
              <w:rPr>
                <w:rFonts w:asciiTheme="minorHAnsi" w:hAnsiTheme="minorHAnsi" w:cstheme="minorHAnsi"/>
                <w:sz w:val="22"/>
                <w:szCs w:val="22"/>
              </w:rPr>
            </w:pPr>
            <w:r w:rsidRPr="007229B4">
              <w:rPr>
                <w:rFonts w:asciiTheme="minorHAnsi" w:hAnsiTheme="minorHAnsi" w:cstheme="minorHAnsi"/>
                <w:sz w:val="22"/>
                <w:szCs w:val="22"/>
              </w:rPr>
              <w:t>Active</w:t>
            </w:r>
          </w:p>
        </w:tc>
      </w:tr>
      <w:tr w:rsidR="00E450FB" w:rsidRPr="0064347D" w:rsidTr="004E3660">
        <w:tc>
          <w:tcPr>
            <w:tcW w:w="1105"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INK884</w:t>
            </w:r>
          </w:p>
        </w:tc>
        <w:tc>
          <w:tcPr>
            <w:tcW w:w="3379" w:type="dxa"/>
          </w:tcPr>
          <w:p w:rsidR="00C72DED" w:rsidRPr="007229B4" w:rsidRDefault="00C72DED" w:rsidP="00C72DED">
            <w:pPr>
              <w:jc w:val="left"/>
              <w:rPr>
                <w:rFonts w:asciiTheme="minorHAnsi" w:hAnsiTheme="minorHAnsi" w:cstheme="minorHAnsi"/>
                <w:sz w:val="22"/>
                <w:szCs w:val="22"/>
              </w:rPr>
            </w:pPr>
            <w:r w:rsidRPr="007229B4">
              <w:rPr>
                <w:rFonts w:asciiTheme="minorHAnsi" w:hAnsiTheme="minorHAnsi" w:cstheme="minorHAnsi"/>
                <w:sz w:val="22"/>
                <w:szCs w:val="22"/>
              </w:rPr>
              <w:t>Economic and Public Sector Reform III</w:t>
            </w:r>
            <w:r w:rsidR="00561FAD" w:rsidRPr="007229B4">
              <w:rPr>
                <w:rFonts w:asciiTheme="minorHAnsi" w:hAnsiTheme="minorHAnsi" w:cstheme="minorHAnsi"/>
                <w:sz w:val="22"/>
                <w:szCs w:val="22"/>
              </w:rPr>
              <w:t xml:space="preserve"> Program</w:t>
            </w:r>
          </w:p>
        </w:tc>
        <w:tc>
          <w:tcPr>
            <w:tcW w:w="1720" w:type="dxa"/>
          </w:tcPr>
          <w:p w:rsidR="00C72DED" w:rsidRPr="007229B4" w:rsidRDefault="00C72DED" w:rsidP="00C72DED">
            <w:pPr>
              <w:jc w:val="left"/>
              <w:rPr>
                <w:rFonts w:asciiTheme="minorHAnsi" w:hAnsiTheme="minorHAnsi" w:cstheme="minorHAnsi"/>
                <w:sz w:val="22"/>
                <w:szCs w:val="22"/>
              </w:rPr>
            </w:pPr>
            <w:r w:rsidRPr="007229B4">
              <w:rPr>
                <w:rFonts w:asciiTheme="minorHAnsi" w:hAnsiTheme="minorHAnsi" w:cstheme="minorHAnsi"/>
                <w:sz w:val="22"/>
                <w:szCs w:val="22"/>
              </w:rPr>
              <w:t>Jul 2014 – Jun 2017</w:t>
            </w:r>
          </w:p>
        </w:tc>
        <w:tc>
          <w:tcPr>
            <w:tcW w:w="1842"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$6,000,000</w:t>
            </w:r>
          </w:p>
        </w:tc>
        <w:tc>
          <w:tcPr>
            <w:tcW w:w="4461" w:type="dxa"/>
          </w:tcPr>
          <w:p w:rsidR="00C72DED" w:rsidRPr="007229B4" w:rsidRDefault="008E5004" w:rsidP="00561FAD">
            <w:pPr>
              <w:jc w:val="left"/>
              <w:rPr>
                <w:rFonts w:asciiTheme="minorHAnsi" w:hAnsiTheme="minorHAnsi" w:cstheme="minorHAnsi"/>
                <w:sz w:val="22"/>
                <w:szCs w:val="22"/>
              </w:rPr>
            </w:pPr>
            <w:r w:rsidRPr="007229B4">
              <w:rPr>
                <w:rFonts w:asciiTheme="minorHAnsi" w:hAnsiTheme="minorHAnsi" w:cstheme="minorHAnsi"/>
                <w:sz w:val="22"/>
                <w:szCs w:val="22"/>
              </w:rPr>
              <w:t xml:space="preserve">The EPSR III program </w:t>
            </w:r>
            <w:r w:rsidR="00561FAD" w:rsidRPr="007229B4">
              <w:rPr>
                <w:rFonts w:asciiTheme="minorHAnsi" w:hAnsiTheme="minorHAnsi" w:cstheme="minorHAnsi"/>
                <w:sz w:val="22"/>
                <w:szCs w:val="22"/>
              </w:rPr>
              <w:t xml:space="preserve">aims to consolidate all activities under Priority Outcome One of the Partnership for Development. The program will provide technical assistance and support to the GoT with the objective of: </w:t>
            </w:r>
          </w:p>
          <w:p w:rsidR="00561FAD" w:rsidRPr="007229B4" w:rsidRDefault="00561FAD" w:rsidP="00A11CCA">
            <w:pPr>
              <w:pStyle w:val="List-number-1"/>
              <w:numPr>
                <w:ilvl w:val="0"/>
                <w:numId w:val="16"/>
              </w:numPr>
              <w:spacing w:before="0"/>
              <w:rPr>
                <w:rFonts w:asciiTheme="minorHAnsi" w:hAnsiTheme="minorHAnsi" w:cstheme="minorHAnsi"/>
                <w:sz w:val="22"/>
                <w:szCs w:val="22"/>
              </w:rPr>
            </w:pPr>
            <w:r w:rsidRPr="007229B4">
              <w:rPr>
                <w:rFonts w:asciiTheme="minorHAnsi" w:hAnsiTheme="minorHAnsi" w:cstheme="minorHAnsi"/>
                <w:sz w:val="22"/>
                <w:szCs w:val="22"/>
              </w:rPr>
              <w:t>strengthening public financial management; and</w:t>
            </w:r>
          </w:p>
          <w:p w:rsidR="00561FAD" w:rsidRPr="007229B4" w:rsidRDefault="00561FAD" w:rsidP="00A11CCA">
            <w:pPr>
              <w:pStyle w:val="List-number-1"/>
              <w:numPr>
                <w:ilvl w:val="0"/>
                <w:numId w:val="16"/>
              </w:numPr>
              <w:spacing w:before="0"/>
              <w:rPr>
                <w:rFonts w:asciiTheme="minorHAnsi" w:hAnsiTheme="minorHAnsi" w:cstheme="minorHAnsi"/>
                <w:sz w:val="22"/>
                <w:szCs w:val="22"/>
              </w:rPr>
            </w:pPr>
            <w:r w:rsidRPr="007229B4">
              <w:rPr>
                <w:rFonts w:asciiTheme="minorHAnsi" w:hAnsiTheme="minorHAnsi" w:cstheme="minorHAnsi"/>
                <w:sz w:val="22"/>
                <w:szCs w:val="22"/>
              </w:rPr>
              <w:t xml:space="preserve">strengthening fiscal policy </w:t>
            </w:r>
          </w:p>
          <w:p w:rsidR="00561FAD" w:rsidRPr="007229B4" w:rsidRDefault="00561FAD" w:rsidP="00561FAD">
            <w:pPr>
              <w:pStyle w:val="List-number-1"/>
              <w:numPr>
                <w:ilvl w:val="0"/>
                <w:numId w:val="0"/>
              </w:numPr>
              <w:spacing w:before="0"/>
              <w:rPr>
                <w:rFonts w:asciiTheme="minorHAnsi" w:hAnsiTheme="minorHAnsi" w:cstheme="minorHAnsi"/>
                <w:sz w:val="22"/>
                <w:szCs w:val="22"/>
              </w:rPr>
            </w:pPr>
            <w:r w:rsidRPr="007229B4">
              <w:rPr>
                <w:rFonts w:asciiTheme="minorHAnsi" w:hAnsiTheme="minorHAnsi" w:cstheme="minorHAnsi"/>
                <w:sz w:val="22"/>
                <w:szCs w:val="22"/>
              </w:rPr>
              <w:t>in line with the priorities identified in the Joint Policy Reform Matrix and PFM Roadmap.</w:t>
            </w:r>
          </w:p>
        </w:tc>
        <w:tc>
          <w:tcPr>
            <w:tcW w:w="1669"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Draft</w:t>
            </w:r>
          </w:p>
        </w:tc>
      </w:tr>
      <w:tr w:rsidR="00E450FB" w:rsidRPr="0064347D" w:rsidTr="004E3660">
        <w:tc>
          <w:tcPr>
            <w:tcW w:w="1105"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INK891</w:t>
            </w:r>
          </w:p>
        </w:tc>
        <w:tc>
          <w:tcPr>
            <w:tcW w:w="3379" w:type="dxa"/>
          </w:tcPr>
          <w:p w:rsidR="00C72DED" w:rsidRPr="007229B4" w:rsidRDefault="00C72DED" w:rsidP="00C72DED">
            <w:pPr>
              <w:jc w:val="left"/>
              <w:rPr>
                <w:rFonts w:asciiTheme="minorHAnsi" w:hAnsiTheme="minorHAnsi" w:cstheme="minorHAnsi"/>
                <w:sz w:val="22"/>
                <w:szCs w:val="22"/>
              </w:rPr>
            </w:pPr>
            <w:r w:rsidRPr="007229B4">
              <w:rPr>
                <w:rFonts w:asciiTheme="minorHAnsi" w:hAnsiTheme="minorHAnsi" w:cstheme="minorHAnsi"/>
                <w:sz w:val="22"/>
                <w:szCs w:val="22"/>
              </w:rPr>
              <w:t>Performance-Linked Aid (PLA)</w:t>
            </w:r>
          </w:p>
        </w:tc>
        <w:tc>
          <w:tcPr>
            <w:tcW w:w="1720" w:type="dxa"/>
          </w:tcPr>
          <w:p w:rsidR="00C72DED" w:rsidRPr="007229B4" w:rsidRDefault="00C72DED" w:rsidP="00C72DED">
            <w:pPr>
              <w:jc w:val="left"/>
              <w:rPr>
                <w:rFonts w:asciiTheme="minorHAnsi" w:hAnsiTheme="minorHAnsi" w:cstheme="minorHAnsi"/>
                <w:sz w:val="22"/>
                <w:szCs w:val="22"/>
              </w:rPr>
            </w:pPr>
            <w:r w:rsidRPr="007229B4">
              <w:rPr>
                <w:rFonts w:asciiTheme="minorHAnsi" w:hAnsiTheme="minorHAnsi" w:cstheme="minorHAnsi"/>
                <w:sz w:val="22"/>
                <w:szCs w:val="22"/>
              </w:rPr>
              <w:t>Jul 2013 – Jun 2017</w:t>
            </w:r>
          </w:p>
        </w:tc>
        <w:tc>
          <w:tcPr>
            <w:tcW w:w="1842"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$20,000,000</w:t>
            </w:r>
          </w:p>
        </w:tc>
        <w:tc>
          <w:tcPr>
            <w:tcW w:w="4461" w:type="dxa"/>
          </w:tcPr>
          <w:p w:rsidR="00C72DED" w:rsidRPr="007229B4" w:rsidRDefault="00790942" w:rsidP="00790942">
            <w:pPr>
              <w:jc w:val="left"/>
              <w:rPr>
                <w:rFonts w:asciiTheme="minorHAnsi" w:hAnsiTheme="minorHAnsi" w:cstheme="minorHAnsi"/>
                <w:sz w:val="22"/>
                <w:szCs w:val="22"/>
              </w:rPr>
            </w:pPr>
            <w:r w:rsidRPr="007229B4">
              <w:rPr>
                <w:rFonts w:asciiTheme="minorHAnsi" w:hAnsiTheme="minorHAnsi" w:cstheme="minorHAnsi"/>
                <w:sz w:val="22"/>
                <w:szCs w:val="22"/>
              </w:rPr>
              <w:t>The program aims to draw on the success of the existing performance-linked aid initiative and provide further support to the GoT’s fiscal consolidation program.</w:t>
            </w:r>
          </w:p>
        </w:tc>
        <w:tc>
          <w:tcPr>
            <w:tcW w:w="1669" w:type="dxa"/>
          </w:tcPr>
          <w:p w:rsidR="00C72DED" w:rsidRPr="007229B4" w:rsidRDefault="00C72DED" w:rsidP="001B2760">
            <w:pPr>
              <w:rPr>
                <w:rFonts w:asciiTheme="minorHAnsi" w:hAnsiTheme="minorHAnsi" w:cstheme="minorHAnsi"/>
                <w:sz w:val="22"/>
                <w:szCs w:val="22"/>
              </w:rPr>
            </w:pPr>
            <w:r w:rsidRPr="007229B4">
              <w:rPr>
                <w:rFonts w:asciiTheme="minorHAnsi" w:hAnsiTheme="minorHAnsi" w:cstheme="minorHAnsi"/>
                <w:sz w:val="22"/>
                <w:szCs w:val="22"/>
              </w:rPr>
              <w:t>Draft</w:t>
            </w:r>
          </w:p>
        </w:tc>
      </w:tr>
    </w:tbl>
    <w:p w:rsidR="00C17F36" w:rsidRPr="00C17F36" w:rsidRDefault="00C17F36" w:rsidP="007F3C0D">
      <w:pPr>
        <w:pStyle w:val="Heading1"/>
        <w:spacing w:before="0" w:line="276" w:lineRule="auto"/>
        <w:jc w:val="left"/>
      </w:pPr>
    </w:p>
    <w:sectPr w:rsidR="00C17F36" w:rsidRPr="00C17F36" w:rsidSect="007F3C0D">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8B0" w:rsidRDefault="009E38B0" w:rsidP="00242EDE">
      <w:r>
        <w:separator/>
      </w:r>
    </w:p>
  </w:endnote>
  <w:endnote w:type="continuationSeparator" w:id="0">
    <w:p w:rsidR="009E38B0" w:rsidRDefault="009E38B0" w:rsidP="0024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C68" w:rsidRDefault="005E7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051553"/>
      <w:docPartObj>
        <w:docPartGallery w:val="Page Numbers (Bottom of Page)"/>
        <w:docPartUnique/>
      </w:docPartObj>
    </w:sdtPr>
    <w:sdtEndPr>
      <w:rPr>
        <w:noProof/>
      </w:rPr>
    </w:sdtEndPr>
    <w:sdtContent>
      <w:p w:rsidR="005866AA" w:rsidRDefault="005866AA">
        <w:pPr>
          <w:pStyle w:val="Footer"/>
          <w:jc w:val="right"/>
        </w:pPr>
        <w:r>
          <w:fldChar w:fldCharType="begin"/>
        </w:r>
        <w:r>
          <w:instrText xml:space="preserve"> PAGE   \* MERGEFORMAT </w:instrText>
        </w:r>
        <w:r>
          <w:fldChar w:fldCharType="separate"/>
        </w:r>
        <w:r w:rsidR="005E7C68">
          <w:rPr>
            <w:noProof/>
          </w:rPr>
          <w:t>1</w:t>
        </w:r>
        <w:r>
          <w:rPr>
            <w:noProof/>
          </w:rPr>
          <w:fldChar w:fldCharType="end"/>
        </w:r>
      </w:p>
    </w:sdtContent>
  </w:sdt>
  <w:p w:rsidR="005866AA" w:rsidRDefault="005866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C68" w:rsidRDefault="005E7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8B0" w:rsidRDefault="009E38B0" w:rsidP="00242EDE">
      <w:r>
        <w:separator/>
      </w:r>
    </w:p>
  </w:footnote>
  <w:footnote w:type="continuationSeparator" w:id="0">
    <w:p w:rsidR="009E38B0" w:rsidRDefault="009E38B0" w:rsidP="00242EDE">
      <w:r>
        <w:continuationSeparator/>
      </w:r>
    </w:p>
  </w:footnote>
  <w:footnote w:id="1">
    <w:p w:rsidR="005866AA" w:rsidRDefault="005866AA">
      <w:pPr>
        <w:pStyle w:val="FootnoteText"/>
      </w:pPr>
      <w:r>
        <w:rPr>
          <w:rStyle w:val="FootnoteReference"/>
        </w:rPr>
        <w:footnoteRef/>
      </w:r>
      <w:r>
        <w:t xml:space="preserve"> Only two indicators observed a backward trend. These were: ‘competition, value for money and controls in procurement’ and ‘legislative scrutiny of the annual budget law’.</w:t>
      </w:r>
    </w:p>
  </w:footnote>
  <w:footnote w:id="2">
    <w:p w:rsidR="005866AA" w:rsidRDefault="005866AA" w:rsidP="00532882">
      <w:pPr>
        <w:pStyle w:val="FootnoteText"/>
      </w:pPr>
      <w:r>
        <w:rPr>
          <w:rStyle w:val="FootnoteReference"/>
        </w:rPr>
        <w:footnoteRef/>
      </w:r>
      <w:r>
        <w:t xml:space="preserve"> The ADB has recently signalled its willingness to move towards providing long-term advisory support, however its resources in the area remain limited.</w:t>
      </w:r>
    </w:p>
  </w:footnote>
  <w:footnote w:id="3">
    <w:p w:rsidR="005866AA" w:rsidRDefault="005866AA" w:rsidP="00D95149">
      <w:pPr>
        <w:pStyle w:val="FootnoteText"/>
      </w:pPr>
      <w:r>
        <w:rPr>
          <w:rStyle w:val="FootnoteReference"/>
        </w:rPr>
        <w:footnoteRef/>
      </w:r>
      <w:r>
        <w:t xml:space="preserve"> Previously known as the Tonga Economic Recovery Operation.</w:t>
      </w:r>
    </w:p>
  </w:footnote>
  <w:footnote w:id="4">
    <w:p w:rsidR="005866AA" w:rsidRPr="006241B3" w:rsidRDefault="005866AA" w:rsidP="006B714E">
      <w:pPr>
        <w:pStyle w:val="FootnoteText"/>
        <w:spacing w:before="240"/>
      </w:pPr>
      <w:r w:rsidRPr="006241B3">
        <w:rPr>
          <w:rStyle w:val="FootnoteReference"/>
        </w:rPr>
        <w:footnoteRef/>
      </w:r>
      <w:r w:rsidRPr="006241B3">
        <w:t xml:space="preserve"> Whilst the GoT has been successful in maintaining allocations to priority and economic sectors in the budget, this has been somewhat undermined by variances between actual and budgeted expenditure between ministries and between inputs and sub-programs within individual ministries (in some sectors, there has been evidence of a bias in in-year transfers towards lower-quality spending).</w:t>
      </w:r>
    </w:p>
  </w:footnote>
  <w:footnote w:id="5">
    <w:p w:rsidR="005866AA" w:rsidRDefault="005866AA" w:rsidP="00371A4E">
      <w:pPr>
        <w:pStyle w:val="FootnoteText"/>
      </w:pPr>
      <w:r w:rsidRPr="00914AB9">
        <w:footnoteRef/>
      </w:r>
      <w:r>
        <w:t xml:space="preserve"> Enabling theme 1.2.1: ‘</w:t>
      </w:r>
      <w:r w:rsidRPr="00914AB9">
        <w:t>Continuing progress to a more efficient and effective government by focusing on its core functions; improving coordination, service delivery and optimising use of resources’. This includes ‘continuing to implement public sector management reforms’.</w:t>
      </w:r>
    </w:p>
  </w:footnote>
  <w:footnote w:id="6">
    <w:p w:rsidR="005866AA" w:rsidRDefault="005866AA" w:rsidP="005162C0">
      <w:pPr>
        <w:pStyle w:val="FootnoteText"/>
      </w:pPr>
      <w:r>
        <w:rPr>
          <w:rStyle w:val="FootnoteReference"/>
        </w:rPr>
        <w:footnoteRef/>
      </w:r>
      <w:r>
        <w:t xml:space="preserve"> In 2011-12 the GoT budgeted the equivalent of AUD2 million in budget support from Australia. The agreement with the GoT to use AUD5 million for salaries allowed the GoT to build up at least AUD3 million equivalent in cash reserves and thereby enhance budget execution and increase Tonga’s resilience to possible future shocks to the economy which could reduce government revenue. This figure is anticipated to remain stable to support GoT’s economic recovery and allow a degree of predictability for GoT budgeting purposes.</w:t>
      </w:r>
    </w:p>
  </w:footnote>
  <w:footnote w:id="7">
    <w:p w:rsidR="005866AA" w:rsidRPr="00325639" w:rsidRDefault="005866AA" w:rsidP="00D36556">
      <w:pPr>
        <w:pStyle w:val="FootnoteText"/>
        <w:rPr>
          <w:rFonts w:cs="Arial"/>
        </w:rPr>
      </w:pPr>
      <w:r w:rsidRPr="00325639">
        <w:rPr>
          <w:rStyle w:val="FootnoteReference"/>
          <w:rFonts w:cs="Arial"/>
        </w:rPr>
        <w:footnoteRef/>
      </w:r>
      <w:r w:rsidRPr="00325639">
        <w:rPr>
          <w:rFonts w:cs="Arial"/>
        </w:rPr>
        <w:t xml:space="preserve"> ROE to be determined using the Capital Asset Pricing Model and will be approved by Cabinet by May 2013</w:t>
      </w:r>
      <w:r>
        <w:rPr>
          <w:rFonts w:cs="Arial"/>
        </w:rPr>
        <w:t>.</w:t>
      </w:r>
    </w:p>
  </w:footnote>
  <w:footnote w:id="8">
    <w:p w:rsidR="005866AA" w:rsidRPr="00325639" w:rsidRDefault="005866AA" w:rsidP="00D36556">
      <w:pPr>
        <w:pStyle w:val="FootnoteText"/>
        <w:rPr>
          <w:rFonts w:cs="Arial"/>
        </w:rPr>
      </w:pPr>
      <w:r w:rsidRPr="00325639">
        <w:rPr>
          <w:rStyle w:val="FootnoteReference"/>
          <w:rFonts w:cs="Arial"/>
        </w:rPr>
        <w:footnoteRef/>
      </w:r>
      <w:r w:rsidRPr="00325639">
        <w:rPr>
          <w:rFonts w:cs="Arial"/>
        </w:rPr>
        <w:t xml:space="preserve"> ROE to be determined using the Capital Asset Pricing Model and will be approved by Cabinet by May 2013</w:t>
      </w:r>
      <w:r>
        <w:rPr>
          <w:rFonts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C68" w:rsidRDefault="005E7C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C68" w:rsidRDefault="005E7C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C68" w:rsidRDefault="005E7C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4889"/>
    <w:multiLevelType w:val="singleLevel"/>
    <w:tmpl w:val="C608A640"/>
    <w:lvl w:ilvl="0">
      <w:start w:val="1"/>
      <w:numFmt w:val="bullet"/>
      <w:pStyle w:val="ListBullet"/>
      <w:lvlText w:val=""/>
      <w:lvlJc w:val="left"/>
      <w:pPr>
        <w:tabs>
          <w:tab w:val="num" w:pos="360"/>
        </w:tabs>
        <w:ind w:left="360" w:hanging="360"/>
      </w:pPr>
      <w:rPr>
        <w:rFonts w:ascii="Symbol" w:hAnsi="Symbol" w:hint="default"/>
        <w:b/>
        <w:i w:val="0"/>
        <w:vertAlign w:val="baseline"/>
      </w:rPr>
    </w:lvl>
  </w:abstractNum>
  <w:abstractNum w:abstractNumId="1">
    <w:nsid w:val="0E690729"/>
    <w:multiLevelType w:val="hybridMultilevel"/>
    <w:tmpl w:val="614ABA62"/>
    <w:lvl w:ilvl="0" w:tplc="F0F8EA54">
      <w:start w:val="201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47532E"/>
    <w:multiLevelType w:val="hybridMultilevel"/>
    <w:tmpl w:val="9D4E5F66"/>
    <w:lvl w:ilvl="0" w:tplc="808E37A2">
      <w:start w:val="1"/>
      <w:numFmt w:val="bullet"/>
      <w:lvlText w:val=""/>
      <w:lvlJc w:val="left"/>
      <w:pPr>
        <w:tabs>
          <w:tab w:val="num" w:pos="397"/>
        </w:tabs>
        <w:ind w:left="39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8BC28FA"/>
    <w:multiLevelType w:val="hybridMultilevel"/>
    <w:tmpl w:val="A6ACB934"/>
    <w:lvl w:ilvl="0" w:tplc="5484E0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74179"/>
    <w:multiLevelType w:val="hybridMultilevel"/>
    <w:tmpl w:val="8E141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A1270B"/>
    <w:multiLevelType w:val="hybridMultilevel"/>
    <w:tmpl w:val="F4FABF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FDD20B4"/>
    <w:multiLevelType w:val="hybridMultilevel"/>
    <w:tmpl w:val="F17E15C0"/>
    <w:lvl w:ilvl="0" w:tplc="D256B1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C603FB"/>
    <w:multiLevelType w:val="multilevel"/>
    <w:tmpl w:val="D9B8E05A"/>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Arial" w:hAnsi="Arial" w:cs="Arial"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0358C8"/>
    <w:multiLevelType w:val="hybridMultilevel"/>
    <w:tmpl w:val="33A6AD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E047F21"/>
    <w:multiLevelType w:val="hybridMultilevel"/>
    <w:tmpl w:val="F17E15C0"/>
    <w:lvl w:ilvl="0" w:tplc="D256B1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53374A"/>
    <w:multiLevelType w:val="hybridMultilevel"/>
    <w:tmpl w:val="8A08F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FBD11B4"/>
    <w:multiLevelType w:val="multilevel"/>
    <w:tmpl w:val="39502CBC"/>
    <w:lvl w:ilvl="0">
      <w:start w:val="1"/>
      <w:numFmt w:val="lowerRoman"/>
      <w:pStyle w:val="List-number-1"/>
      <w:lvlText w:val="(%1)"/>
      <w:lvlJc w:val="left"/>
      <w:pPr>
        <w:tabs>
          <w:tab w:val="num" w:pos="360"/>
        </w:tabs>
        <w:ind w:left="360" w:hanging="360"/>
      </w:pPr>
      <w:rPr>
        <w:rFonts w:asciiTheme="minorHAnsi" w:eastAsia="Cambria" w:hAnsiTheme="minorHAnsi" w:cstheme="minorHAnsi"/>
        <w:b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3D8C7707"/>
    <w:multiLevelType w:val="hybridMultilevel"/>
    <w:tmpl w:val="9634C3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DDC703C"/>
    <w:multiLevelType w:val="hybridMultilevel"/>
    <w:tmpl w:val="5B369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B6A27"/>
    <w:multiLevelType w:val="hybridMultilevel"/>
    <w:tmpl w:val="A1B6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785956"/>
    <w:multiLevelType w:val="hybridMultilevel"/>
    <w:tmpl w:val="A6ACB934"/>
    <w:lvl w:ilvl="0" w:tplc="5484E0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8B4A69"/>
    <w:multiLevelType w:val="hybridMultilevel"/>
    <w:tmpl w:val="77DA70C0"/>
    <w:lvl w:ilvl="0" w:tplc="65141DAA">
      <w:start w:val="1"/>
      <w:numFmt w:val="decimal"/>
      <w:lvlText w:val="%1)"/>
      <w:lvlJc w:val="left"/>
      <w:pPr>
        <w:ind w:left="360" w:hanging="360"/>
      </w:pPr>
      <w:rPr>
        <w:rFonts w:hint="default"/>
        <w:b/>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4E183A9E"/>
    <w:multiLevelType w:val="hybridMultilevel"/>
    <w:tmpl w:val="01EE5ED2"/>
    <w:lvl w:ilvl="0" w:tplc="0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FD1962"/>
    <w:multiLevelType w:val="hybridMultilevel"/>
    <w:tmpl w:val="DAD81C2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BFD3F81"/>
    <w:multiLevelType w:val="hybridMultilevel"/>
    <w:tmpl w:val="6668FD0C"/>
    <w:lvl w:ilvl="0" w:tplc="5308EA20">
      <w:start w:val="1"/>
      <w:numFmt w:val="bullet"/>
      <w:lvlText w:val="o"/>
      <w:lvlJc w:val="left"/>
      <w:pPr>
        <w:ind w:left="360" w:hanging="360"/>
      </w:pPr>
      <w:rPr>
        <w:rFonts w:ascii="Courier New" w:hAnsi="Courier New" w:cs="Courier New" w:hint="default"/>
        <w:sz w:val="22"/>
      </w:rPr>
    </w:lvl>
    <w:lvl w:ilvl="1" w:tplc="F0F8EA54">
      <w:start w:val="2010"/>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D8863E5"/>
    <w:multiLevelType w:val="hybridMultilevel"/>
    <w:tmpl w:val="1C205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55A0BF9"/>
    <w:multiLevelType w:val="hybridMultilevel"/>
    <w:tmpl w:val="313AD692"/>
    <w:lvl w:ilvl="0" w:tplc="B4C696DE">
      <w:start w:val="1"/>
      <w:numFmt w:val="decimal"/>
      <w:lvlText w:val="%1."/>
      <w:lvlJc w:val="left"/>
      <w:pPr>
        <w:tabs>
          <w:tab w:val="num" w:pos="360"/>
        </w:tabs>
        <w:ind w:left="360" w:hanging="360"/>
      </w:pPr>
      <w:rPr>
        <w:rFonts w:ascii="Times New Roman" w:hAnsi="Times New Roman" w:cs="Times New Roman" w:hint="default"/>
        <w:b w:val="0"/>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56D628F"/>
    <w:multiLevelType w:val="hybridMultilevel"/>
    <w:tmpl w:val="1CAA2F14"/>
    <w:lvl w:ilvl="0" w:tplc="0C09000F">
      <w:start w:val="1"/>
      <w:numFmt w:val="decimal"/>
      <w:lvlText w:val="%1."/>
      <w:lvlJc w:val="left"/>
      <w:pPr>
        <w:ind w:left="360" w:hanging="360"/>
      </w:pPr>
      <w:rPr>
        <w:rFonts w:hint="default"/>
      </w:rPr>
    </w:lvl>
    <w:lvl w:ilvl="1" w:tplc="0C090019">
      <w:start w:val="1"/>
      <w:numFmt w:val="lowerLetter"/>
      <w:lvlText w:val="%2."/>
      <w:lvlJc w:val="left"/>
      <w:pPr>
        <w:ind w:left="36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65D263D8"/>
    <w:multiLevelType w:val="hybridMultilevel"/>
    <w:tmpl w:val="20560DFA"/>
    <w:lvl w:ilvl="0" w:tplc="983E0726">
      <w:start w:val="1"/>
      <w:numFmt w:val="lowerLetter"/>
      <w:lvlText w:val="%1."/>
      <w:lvlJc w:val="left"/>
      <w:pPr>
        <w:ind w:left="360" w:hanging="360"/>
      </w:pPr>
      <w:rPr>
        <w:color w:val="0070C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6B1E2EEB"/>
    <w:multiLevelType w:val="hybridMultilevel"/>
    <w:tmpl w:val="4A7E2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E627FAD"/>
    <w:multiLevelType w:val="hybridMultilevel"/>
    <w:tmpl w:val="902A3B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70CD3127"/>
    <w:multiLevelType w:val="hybridMultilevel"/>
    <w:tmpl w:val="E270865E"/>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E62278"/>
    <w:multiLevelType w:val="multilevel"/>
    <w:tmpl w:val="1B2E3E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EC7490"/>
    <w:multiLevelType w:val="hybridMultilevel"/>
    <w:tmpl w:val="4B28C2DE"/>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
  </w:num>
  <w:num w:numId="4">
    <w:abstractNumId w:val="0"/>
  </w:num>
  <w:num w:numId="5">
    <w:abstractNumId w:val="7"/>
  </w:num>
  <w:num w:numId="6">
    <w:abstractNumId w:val="12"/>
  </w:num>
  <w:num w:numId="7">
    <w:abstractNumId w:val="23"/>
  </w:num>
  <w:num w:numId="8">
    <w:abstractNumId w:val="17"/>
  </w:num>
  <w:num w:numId="9">
    <w:abstractNumId w:val="26"/>
  </w:num>
  <w:num w:numId="10">
    <w:abstractNumId w:val="2"/>
  </w:num>
  <w:num w:numId="11">
    <w:abstractNumId w:val="28"/>
  </w:num>
  <w:num w:numId="12">
    <w:abstractNumId w:val="21"/>
  </w:num>
  <w:num w:numId="13">
    <w:abstractNumId w:val="1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9"/>
  </w:num>
  <w:num w:numId="20">
    <w:abstractNumId w:val="6"/>
  </w:num>
  <w:num w:numId="21">
    <w:abstractNumId w:val="15"/>
  </w:num>
  <w:num w:numId="22">
    <w:abstractNumId w:val="14"/>
  </w:num>
  <w:num w:numId="23">
    <w:abstractNumId w:val="13"/>
  </w:num>
  <w:num w:numId="24">
    <w:abstractNumId w:val="9"/>
  </w:num>
  <w:num w:numId="25">
    <w:abstractNumId w:val="3"/>
  </w:num>
  <w:num w:numId="26">
    <w:abstractNumId w:val="27"/>
  </w:num>
  <w:num w:numId="27">
    <w:abstractNumId w:val="5"/>
  </w:num>
  <w:num w:numId="28">
    <w:abstractNumId w:val="16"/>
  </w:num>
  <w:num w:numId="29">
    <w:abstractNumId w:val="20"/>
  </w:num>
  <w:num w:numId="30">
    <w:abstractNumId w:val="25"/>
  </w:num>
  <w:num w:numId="31">
    <w:abstractNumId w:val="24"/>
  </w:num>
  <w:num w:numId="32">
    <w:abstractNumId w:val="8"/>
  </w:num>
  <w:num w:numId="33">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E87"/>
    <w:rsid w:val="00000060"/>
    <w:rsid w:val="00000311"/>
    <w:rsid w:val="000004DF"/>
    <w:rsid w:val="00000769"/>
    <w:rsid w:val="0000388B"/>
    <w:rsid w:val="00004203"/>
    <w:rsid w:val="00005603"/>
    <w:rsid w:val="00006B49"/>
    <w:rsid w:val="00007000"/>
    <w:rsid w:val="0000758A"/>
    <w:rsid w:val="00010413"/>
    <w:rsid w:val="00010AF5"/>
    <w:rsid w:val="0001216D"/>
    <w:rsid w:val="00013BAD"/>
    <w:rsid w:val="0001437B"/>
    <w:rsid w:val="00015238"/>
    <w:rsid w:val="000159E2"/>
    <w:rsid w:val="00016FDB"/>
    <w:rsid w:val="000171B4"/>
    <w:rsid w:val="00017726"/>
    <w:rsid w:val="00017BE5"/>
    <w:rsid w:val="00017E19"/>
    <w:rsid w:val="00020EBC"/>
    <w:rsid w:val="00022500"/>
    <w:rsid w:val="00025388"/>
    <w:rsid w:val="00025F91"/>
    <w:rsid w:val="000262BB"/>
    <w:rsid w:val="00026713"/>
    <w:rsid w:val="00030525"/>
    <w:rsid w:val="00030988"/>
    <w:rsid w:val="00031205"/>
    <w:rsid w:val="000314FD"/>
    <w:rsid w:val="000318BA"/>
    <w:rsid w:val="00032CA8"/>
    <w:rsid w:val="00035E18"/>
    <w:rsid w:val="00035EDD"/>
    <w:rsid w:val="000419B5"/>
    <w:rsid w:val="00041EA7"/>
    <w:rsid w:val="00042284"/>
    <w:rsid w:val="00042BBB"/>
    <w:rsid w:val="00046062"/>
    <w:rsid w:val="00046195"/>
    <w:rsid w:val="00050A18"/>
    <w:rsid w:val="000524A5"/>
    <w:rsid w:val="00054494"/>
    <w:rsid w:val="00057A44"/>
    <w:rsid w:val="00060AD6"/>
    <w:rsid w:val="00060BB9"/>
    <w:rsid w:val="00062AB3"/>
    <w:rsid w:val="00062D34"/>
    <w:rsid w:val="0006318E"/>
    <w:rsid w:val="00063224"/>
    <w:rsid w:val="00064ABE"/>
    <w:rsid w:val="00065118"/>
    <w:rsid w:val="000671EE"/>
    <w:rsid w:val="00067E75"/>
    <w:rsid w:val="00073D97"/>
    <w:rsid w:val="00074540"/>
    <w:rsid w:val="00075F3B"/>
    <w:rsid w:val="000771F7"/>
    <w:rsid w:val="0007779E"/>
    <w:rsid w:val="0008167A"/>
    <w:rsid w:val="00081712"/>
    <w:rsid w:val="00083958"/>
    <w:rsid w:val="00083C80"/>
    <w:rsid w:val="0008406E"/>
    <w:rsid w:val="00084357"/>
    <w:rsid w:val="00085167"/>
    <w:rsid w:val="000853CA"/>
    <w:rsid w:val="00086BAD"/>
    <w:rsid w:val="00090342"/>
    <w:rsid w:val="00090E45"/>
    <w:rsid w:val="0009138F"/>
    <w:rsid w:val="00093D35"/>
    <w:rsid w:val="00093F1D"/>
    <w:rsid w:val="00094F95"/>
    <w:rsid w:val="00095108"/>
    <w:rsid w:val="000965F7"/>
    <w:rsid w:val="00097076"/>
    <w:rsid w:val="000971E6"/>
    <w:rsid w:val="000973CE"/>
    <w:rsid w:val="000A159E"/>
    <w:rsid w:val="000A4412"/>
    <w:rsid w:val="000A4B6F"/>
    <w:rsid w:val="000A57CF"/>
    <w:rsid w:val="000A5A8D"/>
    <w:rsid w:val="000A5E7D"/>
    <w:rsid w:val="000A6E48"/>
    <w:rsid w:val="000A7693"/>
    <w:rsid w:val="000A7F32"/>
    <w:rsid w:val="000B0667"/>
    <w:rsid w:val="000B0B52"/>
    <w:rsid w:val="000B0CF6"/>
    <w:rsid w:val="000B1762"/>
    <w:rsid w:val="000B1DC1"/>
    <w:rsid w:val="000B31AE"/>
    <w:rsid w:val="000B4B4B"/>
    <w:rsid w:val="000B4B55"/>
    <w:rsid w:val="000B4E4D"/>
    <w:rsid w:val="000B6F41"/>
    <w:rsid w:val="000B7CA8"/>
    <w:rsid w:val="000C08F2"/>
    <w:rsid w:val="000C16DC"/>
    <w:rsid w:val="000C2043"/>
    <w:rsid w:val="000C23BF"/>
    <w:rsid w:val="000C2F94"/>
    <w:rsid w:val="000C3000"/>
    <w:rsid w:val="000C4671"/>
    <w:rsid w:val="000C4E80"/>
    <w:rsid w:val="000C6F5C"/>
    <w:rsid w:val="000C706C"/>
    <w:rsid w:val="000C72E5"/>
    <w:rsid w:val="000C7304"/>
    <w:rsid w:val="000C7A9B"/>
    <w:rsid w:val="000D01E0"/>
    <w:rsid w:val="000D04C0"/>
    <w:rsid w:val="000D1091"/>
    <w:rsid w:val="000D118A"/>
    <w:rsid w:val="000D25E3"/>
    <w:rsid w:val="000D27B3"/>
    <w:rsid w:val="000D2AF7"/>
    <w:rsid w:val="000D3236"/>
    <w:rsid w:val="000D40E4"/>
    <w:rsid w:val="000D4ECF"/>
    <w:rsid w:val="000D5DD2"/>
    <w:rsid w:val="000D5EDC"/>
    <w:rsid w:val="000D7A3B"/>
    <w:rsid w:val="000D7DF1"/>
    <w:rsid w:val="000E07A3"/>
    <w:rsid w:val="000E0F59"/>
    <w:rsid w:val="000E113A"/>
    <w:rsid w:val="000E1961"/>
    <w:rsid w:val="000E26D5"/>
    <w:rsid w:val="000E357A"/>
    <w:rsid w:val="000E3C83"/>
    <w:rsid w:val="000E4002"/>
    <w:rsid w:val="000E5C90"/>
    <w:rsid w:val="000E662D"/>
    <w:rsid w:val="000E6E75"/>
    <w:rsid w:val="000F0052"/>
    <w:rsid w:val="000F0816"/>
    <w:rsid w:val="000F0B47"/>
    <w:rsid w:val="000F1625"/>
    <w:rsid w:val="000F20E5"/>
    <w:rsid w:val="000F2971"/>
    <w:rsid w:val="000F311D"/>
    <w:rsid w:val="000F45C9"/>
    <w:rsid w:val="000F4AB3"/>
    <w:rsid w:val="000F5875"/>
    <w:rsid w:val="000F5A87"/>
    <w:rsid w:val="000F6405"/>
    <w:rsid w:val="000F783A"/>
    <w:rsid w:val="000F7AA4"/>
    <w:rsid w:val="000F7FC1"/>
    <w:rsid w:val="001005DD"/>
    <w:rsid w:val="00100A8F"/>
    <w:rsid w:val="001015A1"/>
    <w:rsid w:val="00101719"/>
    <w:rsid w:val="00101D8C"/>
    <w:rsid w:val="0010222A"/>
    <w:rsid w:val="0010261F"/>
    <w:rsid w:val="0010320A"/>
    <w:rsid w:val="00104358"/>
    <w:rsid w:val="00104621"/>
    <w:rsid w:val="00105C61"/>
    <w:rsid w:val="001077C5"/>
    <w:rsid w:val="00107A18"/>
    <w:rsid w:val="00107F9D"/>
    <w:rsid w:val="001105AC"/>
    <w:rsid w:val="00111236"/>
    <w:rsid w:val="00111A52"/>
    <w:rsid w:val="001122AE"/>
    <w:rsid w:val="0011273B"/>
    <w:rsid w:val="00112DA7"/>
    <w:rsid w:val="00113E38"/>
    <w:rsid w:val="001147DF"/>
    <w:rsid w:val="00114D9E"/>
    <w:rsid w:val="00115133"/>
    <w:rsid w:val="001162E9"/>
    <w:rsid w:val="00117676"/>
    <w:rsid w:val="0011768A"/>
    <w:rsid w:val="00121AA0"/>
    <w:rsid w:val="0012203F"/>
    <w:rsid w:val="00123983"/>
    <w:rsid w:val="00123D7E"/>
    <w:rsid w:val="00124788"/>
    <w:rsid w:val="0012511A"/>
    <w:rsid w:val="0012574C"/>
    <w:rsid w:val="00126004"/>
    <w:rsid w:val="001302CE"/>
    <w:rsid w:val="00131736"/>
    <w:rsid w:val="00134C4C"/>
    <w:rsid w:val="00136067"/>
    <w:rsid w:val="00136127"/>
    <w:rsid w:val="001369BF"/>
    <w:rsid w:val="00140447"/>
    <w:rsid w:val="0014045E"/>
    <w:rsid w:val="00140895"/>
    <w:rsid w:val="00140E75"/>
    <w:rsid w:val="001410C8"/>
    <w:rsid w:val="00141C65"/>
    <w:rsid w:val="00141D6A"/>
    <w:rsid w:val="00142814"/>
    <w:rsid w:val="001435D2"/>
    <w:rsid w:val="001436E0"/>
    <w:rsid w:val="00144E93"/>
    <w:rsid w:val="00145732"/>
    <w:rsid w:val="001461E2"/>
    <w:rsid w:val="001468A3"/>
    <w:rsid w:val="00152103"/>
    <w:rsid w:val="00152495"/>
    <w:rsid w:val="00153208"/>
    <w:rsid w:val="00154EBB"/>
    <w:rsid w:val="0015595E"/>
    <w:rsid w:val="001608C1"/>
    <w:rsid w:val="00160AC5"/>
    <w:rsid w:val="0016286C"/>
    <w:rsid w:val="00162F78"/>
    <w:rsid w:val="00163246"/>
    <w:rsid w:val="001672AA"/>
    <w:rsid w:val="00170E94"/>
    <w:rsid w:val="001714F1"/>
    <w:rsid w:val="00171E45"/>
    <w:rsid w:val="00172802"/>
    <w:rsid w:val="00172A20"/>
    <w:rsid w:val="00174123"/>
    <w:rsid w:val="00174541"/>
    <w:rsid w:val="001749D9"/>
    <w:rsid w:val="00174BAA"/>
    <w:rsid w:val="00176109"/>
    <w:rsid w:val="0018033F"/>
    <w:rsid w:val="0018410A"/>
    <w:rsid w:val="00185407"/>
    <w:rsid w:val="00185A3E"/>
    <w:rsid w:val="001862CB"/>
    <w:rsid w:val="0018635E"/>
    <w:rsid w:val="0019084B"/>
    <w:rsid w:val="00190D7D"/>
    <w:rsid w:val="0019299E"/>
    <w:rsid w:val="00193769"/>
    <w:rsid w:val="00194B92"/>
    <w:rsid w:val="0019542C"/>
    <w:rsid w:val="001A04D4"/>
    <w:rsid w:val="001A082B"/>
    <w:rsid w:val="001A2171"/>
    <w:rsid w:val="001A4E6F"/>
    <w:rsid w:val="001A5546"/>
    <w:rsid w:val="001A570E"/>
    <w:rsid w:val="001A70EC"/>
    <w:rsid w:val="001A71A5"/>
    <w:rsid w:val="001A75F2"/>
    <w:rsid w:val="001A7602"/>
    <w:rsid w:val="001B0FF0"/>
    <w:rsid w:val="001B198F"/>
    <w:rsid w:val="001B2118"/>
    <w:rsid w:val="001B2760"/>
    <w:rsid w:val="001B3521"/>
    <w:rsid w:val="001B496D"/>
    <w:rsid w:val="001B4E4E"/>
    <w:rsid w:val="001B5966"/>
    <w:rsid w:val="001B5E31"/>
    <w:rsid w:val="001B6261"/>
    <w:rsid w:val="001B65B7"/>
    <w:rsid w:val="001B74D2"/>
    <w:rsid w:val="001B777F"/>
    <w:rsid w:val="001B7B98"/>
    <w:rsid w:val="001C1832"/>
    <w:rsid w:val="001C2EF2"/>
    <w:rsid w:val="001C4020"/>
    <w:rsid w:val="001C495F"/>
    <w:rsid w:val="001C4D75"/>
    <w:rsid w:val="001C59E5"/>
    <w:rsid w:val="001C6BBB"/>
    <w:rsid w:val="001D0049"/>
    <w:rsid w:val="001D0A2F"/>
    <w:rsid w:val="001D0A34"/>
    <w:rsid w:val="001D0B55"/>
    <w:rsid w:val="001D0BAD"/>
    <w:rsid w:val="001D10A2"/>
    <w:rsid w:val="001D1DAA"/>
    <w:rsid w:val="001D2A4C"/>
    <w:rsid w:val="001D2A62"/>
    <w:rsid w:val="001D2D21"/>
    <w:rsid w:val="001D433F"/>
    <w:rsid w:val="001D4398"/>
    <w:rsid w:val="001D48E0"/>
    <w:rsid w:val="001D4AB6"/>
    <w:rsid w:val="001D7254"/>
    <w:rsid w:val="001E0082"/>
    <w:rsid w:val="001E0677"/>
    <w:rsid w:val="001E1EDA"/>
    <w:rsid w:val="001E475E"/>
    <w:rsid w:val="001E4C2D"/>
    <w:rsid w:val="001E62B5"/>
    <w:rsid w:val="001E6A94"/>
    <w:rsid w:val="001F19A8"/>
    <w:rsid w:val="001F1E67"/>
    <w:rsid w:val="001F285E"/>
    <w:rsid w:val="001F2A7E"/>
    <w:rsid w:val="001F322A"/>
    <w:rsid w:val="001F599C"/>
    <w:rsid w:val="001F7B13"/>
    <w:rsid w:val="001F7C22"/>
    <w:rsid w:val="001F7E75"/>
    <w:rsid w:val="002011FB"/>
    <w:rsid w:val="00201C8D"/>
    <w:rsid w:val="00202713"/>
    <w:rsid w:val="00202972"/>
    <w:rsid w:val="00203D6C"/>
    <w:rsid w:val="002043FF"/>
    <w:rsid w:val="00206513"/>
    <w:rsid w:val="00206780"/>
    <w:rsid w:val="00206922"/>
    <w:rsid w:val="00206EC9"/>
    <w:rsid w:val="002106D3"/>
    <w:rsid w:val="00210E26"/>
    <w:rsid w:val="00211F1B"/>
    <w:rsid w:val="002138F8"/>
    <w:rsid w:val="00213DBF"/>
    <w:rsid w:val="0021440C"/>
    <w:rsid w:val="002170B5"/>
    <w:rsid w:val="00220028"/>
    <w:rsid w:val="00220A90"/>
    <w:rsid w:val="00221089"/>
    <w:rsid w:val="00223B99"/>
    <w:rsid w:val="002248F5"/>
    <w:rsid w:val="00225093"/>
    <w:rsid w:val="002253D9"/>
    <w:rsid w:val="00225F11"/>
    <w:rsid w:val="00227022"/>
    <w:rsid w:val="00231618"/>
    <w:rsid w:val="002320FE"/>
    <w:rsid w:val="00233D6E"/>
    <w:rsid w:val="00235FC1"/>
    <w:rsid w:val="00236227"/>
    <w:rsid w:val="002368FE"/>
    <w:rsid w:val="00237066"/>
    <w:rsid w:val="0024034F"/>
    <w:rsid w:val="002403A5"/>
    <w:rsid w:val="002403F6"/>
    <w:rsid w:val="0024069B"/>
    <w:rsid w:val="0024070E"/>
    <w:rsid w:val="00240B9A"/>
    <w:rsid w:val="00241727"/>
    <w:rsid w:val="00242EDE"/>
    <w:rsid w:val="002449C9"/>
    <w:rsid w:val="00244E26"/>
    <w:rsid w:val="00245E42"/>
    <w:rsid w:val="00245F25"/>
    <w:rsid w:val="002465D2"/>
    <w:rsid w:val="0024754E"/>
    <w:rsid w:val="00247BC9"/>
    <w:rsid w:val="00252D6A"/>
    <w:rsid w:val="00252FCE"/>
    <w:rsid w:val="002550D2"/>
    <w:rsid w:val="002558E7"/>
    <w:rsid w:val="00255D43"/>
    <w:rsid w:val="00257A48"/>
    <w:rsid w:val="00261E3B"/>
    <w:rsid w:val="00261F1C"/>
    <w:rsid w:val="00262F7C"/>
    <w:rsid w:val="0026449F"/>
    <w:rsid w:val="002667B4"/>
    <w:rsid w:val="00266F58"/>
    <w:rsid w:val="0026768D"/>
    <w:rsid w:val="0027007F"/>
    <w:rsid w:val="00276B4E"/>
    <w:rsid w:val="0027741D"/>
    <w:rsid w:val="00277F7D"/>
    <w:rsid w:val="002814FE"/>
    <w:rsid w:val="00281A35"/>
    <w:rsid w:val="00281BFF"/>
    <w:rsid w:val="00282F28"/>
    <w:rsid w:val="00283587"/>
    <w:rsid w:val="002843F3"/>
    <w:rsid w:val="00284946"/>
    <w:rsid w:val="002850A2"/>
    <w:rsid w:val="00285EFC"/>
    <w:rsid w:val="002869BC"/>
    <w:rsid w:val="00286E73"/>
    <w:rsid w:val="00287310"/>
    <w:rsid w:val="00287FFB"/>
    <w:rsid w:val="00291292"/>
    <w:rsid w:val="0029266A"/>
    <w:rsid w:val="00292DF7"/>
    <w:rsid w:val="00292F53"/>
    <w:rsid w:val="0029384B"/>
    <w:rsid w:val="00294709"/>
    <w:rsid w:val="0029510D"/>
    <w:rsid w:val="00295121"/>
    <w:rsid w:val="00295C86"/>
    <w:rsid w:val="00296924"/>
    <w:rsid w:val="002A0AB2"/>
    <w:rsid w:val="002A0CAC"/>
    <w:rsid w:val="002A15F0"/>
    <w:rsid w:val="002A1CBA"/>
    <w:rsid w:val="002A30FB"/>
    <w:rsid w:val="002A4808"/>
    <w:rsid w:val="002A59F1"/>
    <w:rsid w:val="002A674F"/>
    <w:rsid w:val="002A6DB9"/>
    <w:rsid w:val="002A77BD"/>
    <w:rsid w:val="002A7A5E"/>
    <w:rsid w:val="002B027F"/>
    <w:rsid w:val="002B06D6"/>
    <w:rsid w:val="002B2CF9"/>
    <w:rsid w:val="002B300F"/>
    <w:rsid w:val="002B367E"/>
    <w:rsid w:val="002B391B"/>
    <w:rsid w:val="002B3966"/>
    <w:rsid w:val="002B4036"/>
    <w:rsid w:val="002B6BED"/>
    <w:rsid w:val="002B71E9"/>
    <w:rsid w:val="002B73C5"/>
    <w:rsid w:val="002B781E"/>
    <w:rsid w:val="002C0B10"/>
    <w:rsid w:val="002C0F61"/>
    <w:rsid w:val="002C2248"/>
    <w:rsid w:val="002C265B"/>
    <w:rsid w:val="002C3670"/>
    <w:rsid w:val="002C3E64"/>
    <w:rsid w:val="002C3EDF"/>
    <w:rsid w:val="002C53EA"/>
    <w:rsid w:val="002C5D6C"/>
    <w:rsid w:val="002C64AA"/>
    <w:rsid w:val="002C6BBA"/>
    <w:rsid w:val="002C7628"/>
    <w:rsid w:val="002D024E"/>
    <w:rsid w:val="002D0AE2"/>
    <w:rsid w:val="002D1546"/>
    <w:rsid w:val="002D1FF6"/>
    <w:rsid w:val="002D39AD"/>
    <w:rsid w:val="002D3FA7"/>
    <w:rsid w:val="002D4DDC"/>
    <w:rsid w:val="002D5E00"/>
    <w:rsid w:val="002D5F4F"/>
    <w:rsid w:val="002D62DA"/>
    <w:rsid w:val="002D6629"/>
    <w:rsid w:val="002D6C68"/>
    <w:rsid w:val="002D7DF8"/>
    <w:rsid w:val="002E038A"/>
    <w:rsid w:val="002E5262"/>
    <w:rsid w:val="002E6008"/>
    <w:rsid w:val="002E6398"/>
    <w:rsid w:val="002E75FF"/>
    <w:rsid w:val="002F0160"/>
    <w:rsid w:val="002F03E9"/>
    <w:rsid w:val="002F0AF7"/>
    <w:rsid w:val="002F0E26"/>
    <w:rsid w:val="002F2412"/>
    <w:rsid w:val="002F329E"/>
    <w:rsid w:val="002F3DA2"/>
    <w:rsid w:val="002F3E64"/>
    <w:rsid w:val="002F5BD9"/>
    <w:rsid w:val="002F5D22"/>
    <w:rsid w:val="002F6B12"/>
    <w:rsid w:val="002F7EAE"/>
    <w:rsid w:val="00300E03"/>
    <w:rsid w:val="00302940"/>
    <w:rsid w:val="00302ABD"/>
    <w:rsid w:val="00303D81"/>
    <w:rsid w:val="003054DB"/>
    <w:rsid w:val="003062B0"/>
    <w:rsid w:val="00310691"/>
    <w:rsid w:val="003107EF"/>
    <w:rsid w:val="00310CF4"/>
    <w:rsid w:val="0031145B"/>
    <w:rsid w:val="0031246E"/>
    <w:rsid w:val="00312715"/>
    <w:rsid w:val="00315E3D"/>
    <w:rsid w:val="00315FFF"/>
    <w:rsid w:val="0031713D"/>
    <w:rsid w:val="00317577"/>
    <w:rsid w:val="00320509"/>
    <w:rsid w:val="0032123D"/>
    <w:rsid w:val="003225C1"/>
    <w:rsid w:val="00322C6C"/>
    <w:rsid w:val="0032305E"/>
    <w:rsid w:val="00323BDC"/>
    <w:rsid w:val="0032463C"/>
    <w:rsid w:val="0032796B"/>
    <w:rsid w:val="00330510"/>
    <w:rsid w:val="003307A1"/>
    <w:rsid w:val="00331D21"/>
    <w:rsid w:val="00335A4E"/>
    <w:rsid w:val="003364CF"/>
    <w:rsid w:val="00336811"/>
    <w:rsid w:val="00336C0B"/>
    <w:rsid w:val="00336CD6"/>
    <w:rsid w:val="00336D66"/>
    <w:rsid w:val="003373D0"/>
    <w:rsid w:val="00337E7E"/>
    <w:rsid w:val="00340370"/>
    <w:rsid w:val="0034083C"/>
    <w:rsid w:val="0034152C"/>
    <w:rsid w:val="003426BF"/>
    <w:rsid w:val="003430DF"/>
    <w:rsid w:val="0034390D"/>
    <w:rsid w:val="0034437E"/>
    <w:rsid w:val="00344734"/>
    <w:rsid w:val="0034550A"/>
    <w:rsid w:val="00345FDC"/>
    <w:rsid w:val="00350AC0"/>
    <w:rsid w:val="003511D0"/>
    <w:rsid w:val="00352349"/>
    <w:rsid w:val="00354586"/>
    <w:rsid w:val="00354702"/>
    <w:rsid w:val="003551F4"/>
    <w:rsid w:val="003564B6"/>
    <w:rsid w:val="00356ACC"/>
    <w:rsid w:val="00357114"/>
    <w:rsid w:val="003579D0"/>
    <w:rsid w:val="00357A35"/>
    <w:rsid w:val="003616D4"/>
    <w:rsid w:val="00361793"/>
    <w:rsid w:val="003636D4"/>
    <w:rsid w:val="00366BCB"/>
    <w:rsid w:val="00367392"/>
    <w:rsid w:val="00370034"/>
    <w:rsid w:val="00370E30"/>
    <w:rsid w:val="00371A4E"/>
    <w:rsid w:val="00371E73"/>
    <w:rsid w:val="00372103"/>
    <w:rsid w:val="00372671"/>
    <w:rsid w:val="00373403"/>
    <w:rsid w:val="00374DC7"/>
    <w:rsid w:val="00380252"/>
    <w:rsid w:val="00380E82"/>
    <w:rsid w:val="00381223"/>
    <w:rsid w:val="00381640"/>
    <w:rsid w:val="003820EB"/>
    <w:rsid w:val="003828B5"/>
    <w:rsid w:val="003832C8"/>
    <w:rsid w:val="003836F7"/>
    <w:rsid w:val="00383C2A"/>
    <w:rsid w:val="003841E8"/>
    <w:rsid w:val="0038546F"/>
    <w:rsid w:val="00386A52"/>
    <w:rsid w:val="00386B2B"/>
    <w:rsid w:val="003879D2"/>
    <w:rsid w:val="003905C0"/>
    <w:rsid w:val="00390D77"/>
    <w:rsid w:val="00391A9B"/>
    <w:rsid w:val="00392AAA"/>
    <w:rsid w:val="00393CA2"/>
    <w:rsid w:val="00394C58"/>
    <w:rsid w:val="00396017"/>
    <w:rsid w:val="00396239"/>
    <w:rsid w:val="003977C2"/>
    <w:rsid w:val="00397A86"/>
    <w:rsid w:val="003A06F2"/>
    <w:rsid w:val="003A1514"/>
    <w:rsid w:val="003A156A"/>
    <w:rsid w:val="003A31EF"/>
    <w:rsid w:val="003A430E"/>
    <w:rsid w:val="003A45F1"/>
    <w:rsid w:val="003A5110"/>
    <w:rsid w:val="003A518B"/>
    <w:rsid w:val="003A5EC0"/>
    <w:rsid w:val="003A755B"/>
    <w:rsid w:val="003A78C1"/>
    <w:rsid w:val="003A7D60"/>
    <w:rsid w:val="003B0808"/>
    <w:rsid w:val="003B0FB0"/>
    <w:rsid w:val="003B1490"/>
    <w:rsid w:val="003B1D2E"/>
    <w:rsid w:val="003B3733"/>
    <w:rsid w:val="003B40F3"/>
    <w:rsid w:val="003B41A0"/>
    <w:rsid w:val="003B4DA2"/>
    <w:rsid w:val="003B55B1"/>
    <w:rsid w:val="003B5748"/>
    <w:rsid w:val="003B60B7"/>
    <w:rsid w:val="003B76F4"/>
    <w:rsid w:val="003B7F8E"/>
    <w:rsid w:val="003C103F"/>
    <w:rsid w:val="003C21EA"/>
    <w:rsid w:val="003C3923"/>
    <w:rsid w:val="003C3F9E"/>
    <w:rsid w:val="003C4816"/>
    <w:rsid w:val="003C52AF"/>
    <w:rsid w:val="003C74DF"/>
    <w:rsid w:val="003C76CE"/>
    <w:rsid w:val="003D142E"/>
    <w:rsid w:val="003D14D0"/>
    <w:rsid w:val="003D1619"/>
    <w:rsid w:val="003D1677"/>
    <w:rsid w:val="003D21DD"/>
    <w:rsid w:val="003D2A8E"/>
    <w:rsid w:val="003D3064"/>
    <w:rsid w:val="003D36F6"/>
    <w:rsid w:val="003D4E63"/>
    <w:rsid w:val="003D4F56"/>
    <w:rsid w:val="003D5941"/>
    <w:rsid w:val="003D63A5"/>
    <w:rsid w:val="003D6E82"/>
    <w:rsid w:val="003D7455"/>
    <w:rsid w:val="003D7BFC"/>
    <w:rsid w:val="003D7FF8"/>
    <w:rsid w:val="003E07FB"/>
    <w:rsid w:val="003E14A5"/>
    <w:rsid w:val="003E1CAC"/>
    <w:rsid w:val="003E2756"/>
    <w:rsid w:val="003E28D1"/>
    <w:rsid w:val="003E2D4A"/>
    <w:rsid w:val="003E403F"/>
    <w:rsid w:val="003E4066"/>
    <w:rsid w:val="003E7246"/>
    <w:rsid w:val="003E7887"/>
    <w:rsid w:val="003F0309"/>
    <w:rsid w:val="003F13FC"/>
    <w:rsid w:val="003F2C62"/>
    <w:rsid w:val="003F3D76"/>
    <w:rsid w:val="003F3F99"/>
    <w:rsid w:val="003F40C3"/>
    <w:rsid w:val="003F6121"/>
    <w:rsid w:val="003F7071"/>
    <w:rsid w:val="003F7957"/>
    <w:rsid w:val="00400091"/>
    <w:rsid w:val="0040031D"/>
    <w:rsid w:val="00401E5A"/>
    <w:rsid w:val="00404A92"/>
    <w:rsid w:val="0040515E"/>
    <w:rsid w:val="0040658E"/>
    <w:rsid w:val="0041003C"/>
    <w:rsid w:val="0041028C"/>
    <w:rsid w:val="004102B3"/>
    <w:rsid w:val="00412043"/>
    <w:rsid w:val="0041246B"/>
    <w:rsid w:val="00412994"/>
    <w:rsid w:val="00414463"/>
    <w:rsid w:val="00414830"/>
    <w:rsid w:val="00414CFC"/>
    <w:rsid w:val="004157A8"/>
    <w:rsid w:val="00415CC1"/>
    <w:rsid w:val="00416509"/>
    <w:rsid w:val="00416D18"/>
    <w:rsid w:val="00416D7F"/>
    <w:rsid w:val="00417357"/>
    <w:rsid w:val="00417E0A"/>
    <w:rsid w:val="00420E52"/>
    <w:rsid w:val="00421592"/>
    <w:rsid w:val="0042469C"/>
    <w:rsid w:val="004258FB"/>
    <w:rsid w:val="004268AA"/>
    <w:rsid w:val="00427273"/>
    <w:rsid w:val="004301FA"/>
    <w:rsid w:val="00430371"/>
    <w:rsid w:val="00430DF4"/>
    <w:rsid w:val="00431287"/>
    <w:rsid w:val="0043145D"/>
    <w:rsid w:val="00431DDC"/>
    <w:rsid w:val="00432F39"/>
    <w:rsid w:val="004332E1"/>
    <w:rsid w:val="0043342F"/>
    <w:rsid w:val="00433BB6"/>
    <w:rsid w:val="00433E63"/>
    <w:rsid w:val="0043416E"/>
    <w:rsid w:val="00434C27"/>
    <w:rsid w:val="00434E2E"/>
    <w:rsid w:val="00436C31"/>
    <w:rsid w:val="00436FE9"/>
    <w:rsid w:val="0044077B"/>
    <w:rsid w:val="00440FBF"/>
    <w:rsid w:val="004415A2"/>
    <w:rsid w:val="00441962"/>
    <w:rsid w:val="004425A3"/>
    <w:rsid w:val="0044273A"/>
    <w:rsid w:val="00442DB3"/>
    <w:rsid w:val="0044339C"/>
    <w:rsid w:val="004438B1"/>
    <w:rsid w:val="004452AC"/>
    <w:rsid w:val="004467C6"/>
    <w:rsid w:val="00446E1A"/>
    <w:rsid w:val="00450346"/>
    <w:rsid w:val="00452559"/>
    <w:rsid w:val="0045296B"/>
    <w:rsid w:val="004537CB"/>
    <w:rsid w:val="00453FF1"/>
    <w:rsid w:val="004544E2"/>
    <w:rsid w:val="00456656"/>
    <w:rsid w:val="00456F1C"/>
    <w:rsid w:val="00457194"/>
    <w:rsid w:val="00457701"/>
    <w:rsid w:val="00457951"/>
    <w:rsid w:val="0046077F"/>
    <w:rsid w:val="00461A10"/>
    <w:rsid w:val="00462362"/>
    <w:rsid w:val="004626B4"/>
    <w:rsid w:val="00462E61"/>
    <w:rsid w:val="00464EA0"/>
    <w:rsid w:val="00464FBA"/>
    <w:rsid w:val="00466B05"/>
    <w:rsid w:val="00467A40"/>
    <w:rsid w:val="00470BE3"/>
    <w:rsid w:val="00472CDF"/>
    <w:rsid w:val="00474DC7"/>
    <w:rsid w:val="0047547D"/>
    <w:rsid w:val="0048012A"/>
    <w:rsid w:val="0048084E"/>
    <w:rsid w:val="0048249C"/>
    <w:rsid w:val="00482B1E"/>
    <w:rsid w:val="00483C32"/>
    <w:rsid w:val="00484242"/>
    <w:rsid w:val="00484386"/>
    <w:rsid w:val="00485789"/>
    <w:rsid w:val="0048792F"/>
    <w:rsid w:val="00487C4E"/>
    <w:rsid w:val="00490886"/>
    <w:rsid w:val="00490D56"/>
    <w:rsid w:val="00491334"/>
    <w:rsid w:val="0049302D"/>
    <w:rsid w:val="00496F18"/>
    <w:rsid w:val="004970EE"/>
    <w:rsid w:val="0049731A"/>
    <w:rsid w:val="004A05DD"/>
    <w:rsid w:val="004A1C05"/>
    <w:rsid w:val="004A28FB"/>
    <w:rsid w:val="004A2A2B"/>
    <w:rsid w:val="004A2A4A"/>
    <w:rsid w:val="004A2C4F"/>
    <w:rsid w:val="004A5C03"/>
    <w:rsid w:val="004B012C"/>
    <w:rsid w:val="004B02CF"/>
    <w:rsid w:val="004B25A0"/>
    <w:rsid w:val="004B2AA6"/>
    <w:rsid w:val="004B4551"/>
    <w:rsid w:val="004B5D57"/>
    <w:rsid w:val="004B7684"/>
    <w:rsid w:val="004C1ED2"/>
    <w:rsid w:val="004C35A0"/>
    <w:rsid w:val="004C5CF0"/>
    <w:rsid w:val="004C6BB8"/>
    <w:rsid w:val="004C7980"/>
    <w:rsid w:val="004D1326"/>
    <w:rsid w:val="004D2077"/>
    <w:rsid w:val="004D230F"/>
    <w:rsid w:val="004D2BC2"/>
    <w:rsid w:val="004D31C6"/>
    <w:rsid w:val="004D3CA2"/>
    <w:rsid w:val="004D40A9"/>
    <w:rsid w:val="004D5843"/>
    <w:rsid w:val="004D613E"/>
    <w:rsid w:val="004D6405"/>
    <w:rsid w:val="004D65A2"/>
    <w:rsid w:val="004D6FF3"/>
    <w:rsid w:val="004E1301"/>
    <w:rsid w:val="004E3660"/>
    <w:rsid w:val="004E390B"/>
    <w:rsid w:val="004E3DAD"/>
    <w:rsid w:val="004E4C1E"/>
    <w:rsid w:val="004E56DF"/>
    <w:rsid w:val="004E733A"/>
    <w:rsid w:val="004F009C"/>
    <w:rsid w:val="004F31C5"/>
    <w:rsid w:val="004F3B64"/>
    <w:rsid w:val="004F4502"/>
    <w:rsid w:val="004F585D"/>
    <w:rsid w:val="004F5E49"/>
    <w:rsid w:val="004F6C11"/>
    <w:rsid w:val="004F6F43"/>
    <w:rsid w:val="004F744F"/>
    <w:rsid w:val="004F74C6"/>
    <w:rsid w:val="00502258"/>
    <w:rsid w:val="00503176"/>
    <w:rsid w:val="005031EE"/>
    <w:rsid w:val="005045FF"/>
    <w:rsid w:val="0050582B"/>
    <w:rsid w:val="00510EBB"/>
    <w:rsid w:val="00511158"/>
    <w:rsid w:val="00512363"/>
    <w:rsid w:val="00512D26"/>
    <w:rsid w:val="00513071"/>
    <w:rsid w:val="00515C1A"/>
    <w:rsid w:val="005162C0"/>
    <w:rsid w:val="00516848"/>
    <w:rsid w:val="0051775A"/>
    <w:rsid w:val="005177E8"/>
    <w:rsid w:val="00521294"/>
    <w:rsid w:val="005217FB"/>
    <w:rsid w:val="00521830"/>
    <w:rsid w:val="00523457"/>
    <w:rsid w:val="00523824"/>
    <w:rsid w:val="00524390"/>
    <w:rsid w:val="00525157"/>
    <w:rsid w:val="00525217"/>
    <w:rsid w:val="005252E2"/>
    <w:rsid w:val="00525419"/>
    <w:rsid w:val="00525D1C"/>
    <w:rsid w:val="005265AC"/>
    <w:rsid w:val="00527F13"/>
    <w:rsid w:val="00527F2B"/>
    <w:rsid w:val="00530D05"/>
    <w:rsid w:val="005318DE"/>
    <w:rsid w:val="00531EA7"/>
    <w:rsid w:val="00532882"/>
    <w:rsid w:val="0053378C"/>
    <w:rsid w:val="005352BC"/>
    <w:rsid w:val="005362A6"/>
    <w:rsid w:val="00537479"/>
    <w:rsid w:val="00537D34"/>
    <w:rsid w:val="00541316"/>
    <w:rsid w:val="00542C46"/>
    <w:rsid w:val="00543817"/>
    <w:rsid w:val="00545CF6"/>
    <w:rsid w:val="0054634E"/>
    <w:rsid w:val="005464C3"/>
    <w:rsid w:val="005470B6"/>
    <w:rsid w:val="00547802"/>
    <w:rsid w:val="00551627"/>
    <w:rsid w:val="0055211E"/>
    <w:rsid w:val="00553AAE"/>
    <w:rsid w:val="00553CFD"/>
    <w:rsid w:val="0055531C"/>
    <w:rsid w:val="005572FF"/>
    <w:rsid w:val="00557F98"/>
    <w:rsid w:val="00561218"/>
    <w:rsid w:val="005613FE"/>
    <w:rsid w:val="00561FAD"/>
    <w:rsid w:val="00562962"/>
    <w:rsid w:val="0056589D"/>
    <w:rsid w:val="00566150"/>
    <w:rsid w:val="0056659F"/>
    <w:rsid w:val="00567327"/>
    <w:rsid w:val="00567478"/>
    <w:rsid w:val="005708B6"/>
    <w:rsid w:val="005718DE"/>
    <w:rsid w:val="00573105"/>
    <w:rsid w:val="00573966"/>
    <w:rsid w:val="005739E0"/>
    <w:rsid w:val="00574322"/>
    <w:rsid w:val="0057463A"/>
    <w:rsid w:val="00574D5E"/>
    <w:rsid w:val="005760D5"/>
    <w:rsid w:val="0057686F"/>
    <w:rsid w:val="005776B6"/>
    <w:rsid w:val="005808EA"/>
    <w:rsid w:val="0058285A"/>
    <w:rsid w:val="00582C38"/>
    <w:rsid w:val="00582CD6"/>
    <w:rsid w:val="0058487D"/>
    <w:rsid w:val="00586106"/>
    <w:rsid w:val="0058644F"/>
    <w:rsid w:val="005866AA"/>
    <w:rsid w:val="005869F9"/>
    <w:rsid w:val="00586EF9"/>
    <w:rsid w:val="00590987"/>
    <w:rsid w:val="00590FF4"/>
    <w:rsid w:val="005915EA"/>
    <w:rsid w:val="00591A5A"/>
    <w:rsid w:val="00592DB9"/>
    <w:rsid w:val="00592DBC"/>
    <w:rsid w:val="00592F93"/>
    <w:rsid w:val="005947D6"/>
    <w:rsid w:val="0059498E"/>
    <w:rsid w:val="00595F2F"/>
    <w:rsid w:val="00596217"/>
    <w:rsid w:val="0059682E"/>
    <w:rsid w:val="00596AC9"/>
    <w:rsid w:val="0059739E"/>
    <w:rsid w:val="00597985"/>
    <w:rsid w:val="00597E5F"/>
    <w:rsid w:val="005A0460"/>
    <w:rsid w:val="005A27F3"/>
    <w:rsid w:val="005A3749"/>
    <w:rsid w:val="005A3C4E"/>
    <w:rsid w:val="005A5798"/>
    <w:rsid w:val="005A579F"/>
    <w:rsid w:val="005A7CEB"/>
    <w:rsid w:val="005B098A"/>
    <w:rsid w:val="005B2591"/>
    <w:rsid w:val="005B2B3D"/>
    <w:rsid w:val="005B2EBF"/>
    <w:rsid w:val="005B42A1"/>
    <w:rsid w:val="005B5653"/>
    <w:rsid w:val="005B612A"/>
    <w:rsid w:val="005B72E1"/>
    <w:rsid w:val="005C0BB5"/>
    <w:rsid w:val="005C0CFF"/>
    <w:rsid w:val="005C18D6"/>
    <w:rsid w:val="005C1F08"/>
    <w:rsid w:val="005C214A"/>
    <w:rsid w:val="005C2326"/>
    <w:rsid w:val="005C3EFF"/>
    <w:rsid w:val="005C5B41"/>
    <w:rsid w:val="005C65F1"/>
    <w:rsid w:val="005C6A53"/>
    <w:rsid w:val="005C6EB1"/>
    <w:rsid w:val="005D06C1"/>
    <w:rsid w:val="005D14EB"/>
    <w:rsid w:val="005D2B42"/>
    <w:rsid w:val="005D53AE"/>
    <w:rsid w:val="005D61D0"/>
    <w:rsid w:val="005E00C8"/>
    <w:rsid w:val="005E12D9"/>
    <w:rsid w:val="005E2D11"/>
    <w:rsid w:val="005E2D29"/>
    <w:rsid w:val="005E33EC"/>
    <w:rsid w:val="005E4325"/>
    <w:rsid w:val="005E7C68"/>
    <w:rsid w:val="005F1014"/>
    <w:rsid w:val="005F5337"/>
    <w:rsid w:val="005F6344"/>
    <w:rsid w:val="005F7B50"/>
    <w:rsid w:val="005F7F6F"/>
    <w:rsid w:val="00602C45"/>
    <w:rsid w:val="00605055"/>
    <w:rsid w:val="00605CEF"/>
    <w:rsid w:val="00610DB0"/>
    <w:rsid w:val="00611BC0"/>
    <w:rsid w:val="00611C17"/>
    <w:rsid w:val="0061449F"/>
    <w:rsid w:val="0061521D"/>
    <w:rsid w:val="00615C1F"/>
    <w:rsid w:val="00616AEE"/>
    <w:rsid w:val="00616F87"/>
    <w:rsid w:val="0062082B"/>
    <w:rsid w:val="006208B9"/>
    <w:rsid w:val="0062145F"/>
    <w:rsid w:val="00622850"/>
    <w:rsid w:val="00623860"/>
    <w:rsid w:val="00623F9E"/>
    <w:rsid w:val="006241B3"/>
    <w:rsid w:val="006249CD"/>
    <w:rsid w:val="00624C21"/>
    <w:rsid w:val="00625902"/>
    <w:rsid w:val="00626481"/>
    <w:rsid w:val="00626D18"/>
    <w:rsid w:val="00626F44"/>
    <w:rsid w:val="00627DD7"/>
    <w:rsid w:val="00630035"/>
    <w:rsid w:val="006300DF"/>
    <w:rsid w:val="006320A9"/>
    <w:rsid w:val="0063225B"/>
    <w:rsid w:val="006324E1"/>
    <w:rsid w:val="00633B4E"/>
    <w:rsid w:val="00636EC6"/>
    <w:rsid w:val="006372A3"/>
    <w:rsid w:val="0064028A"/>
    <w:rsid w:val="006405B8"/>
    <w:rsid w:val="00640B6A"/>
    <w:rsid w:val="00641D04"/>
    <w:rsid w:val="00643968"/>
    <w:rsid w:val="00647609"/>
    <w:rsid w:val="0065138F"/>
    <w:rsid w:val="00653D39"/>
    <w:rsid w:val="0065548D"/>
    <w:rsid w:val="00657945"/>
    <w:rsid w:val="00661567"/>
    <w:rsid w:val="0066170E"/>
    <w:rsid w:val="00661974"/>
    <w:rsid w:val="00663C01"/>
    <w:rsid w:val="00665110"/>
    <w:rsid w:val="00665A4C"/>
    <w:rsid w:val="0066720F"/>
    <w:rsid w:val="006676E7"/>
    <w:rsid w:val="00667965"/>
    <w:rsid w:val="00667EAB"/>
    <w:rsid w:val="006700A6"/>
    <w:rsid w:val="00670669"/>
    <w:rsid w:val="00675EA0"/>
    <w:rsid w:val="00676C67"/>
    <w:rsid w:val="00676E51"/>
    <w:rsid w:val="00677CEF"/>
    <w:rsid w:val="006810AC"/>
    <w:rsid w:val="006813EA"/>
    <w:rsid w:val="00681BF7"/>
    <w:rsid w:val="00682340"/>
    <w:rsid w:val="0068277F"/>
    <w:rsid w:val="00684C09"/>
    <w:rsid w:val="00686F72"/>
    <w:rsid w:val="006872C1"/>
    <w:rsid w:val="0068741D"/>
    <w:rsid w:val="00687927"/>
    <w:rsid w:val="00690965"/>
    <w:rsid w:val="00691F94"/>
    <w:rsid w:val="00693E51"/>
    <w:rsid w:val="00694608"/>
    <w:rsid w:val="00695991"/>
    <w:rsid w:val="00696F5D"/>
    <w:rsid w:val="006974D9"/>
    <w:rsid w:val="006A0040"/>
    <w:rsid w:val="006A1624"/>
    <w:rsid w:val="006A2678"/>
    <w:rsid w:val="006A2BDB"/>
    <w:rsid w:val="006A4099"/>
    <w:rsid w:val="006A46DA"/>
    <w:rsid w:val="006A4D74"/>
    <w:rsid w:val="006A4EE7"/>
    <w:rsid w:val="006A4F95"/>
    <w:rsid w:val="006A5885"/>
    <w:rsid w:val="006A7451"/>
    <w:rsid w:val="006A78D6"/>
    <w:rsid w:val="006B009B"/>
    <w:rsid w:val="006B0642"/>
    <w:rsid w:val="006B0EB2"/>
    <w:rsid w:val="006B14CB"/>
    <w:rsid w:val="006B2A41"/>
    <w:rsid w:val="006B2A97"/>
    <w:rsid w:val="006B62B6"/>
    <w:rsid w:val="006B711C"/>
    <w:rsid w:val="006B714E"/>
    <w:rsid w:val="006B7AF3"/>
    <w:rsid w:val="006C03B5"/>
    <w:rsid w:val="006C282D"/>
    <w:rsid w:val="006C5BB3"/>
    <w:rsid w:val="006C6BDA"/>
    <w:rsid w:val="006C7C08"/>
    <w:rsid w:val="006D0862"/>
    <w:rsid w:val="006D0F77"/>
    <w:rsid w:val="006D13B0"/>
    <w:rsid w:val="006D21E3"/>
    <w:rsid w:val="006D2C57"/>
    <w:rsid w:val="006D319B"/>
    <w:rsid w:val="006D3316"/>
    <w:rsid w:val="006D537C"/>
    <w:rsid w:val="006D65AB"/>
    <w:rsid w:val="006D7240"/>
    <w:rsid w:val="006D72B0"/>
    <w:rsid w:val="006E04DF"/>
    <w:rsid w:val="006E1D20"/>
    <w:rsid w:val="006E27EB"/>
    <w:rsid w:val="006E2C58"/>
    <w:rsid w:val="006E347D"/>
    <w:rsid w:val="006E3F48"/>
    <w:rsid w:val="006E678D"/>
    <w:rsid w:val="006E7427"/>
    <w:rsid w:val="006E7855"/>
    <w:rsid w:val="006E79FC"/>
    <w:rsid w:val="006E7BEF"/>
    <w:rsid w:val="006E7E2E"/>
    <w:rsid w:val="006F06FB"/>
    <w:rsid w:val="006F1989"/>
    <w:rsid w:val="006F3E62"/>
    <w:rsid w:val="006F3EC4"/>
    <w:rsid w:val="006F4A58"/>
    <w:rsid w:val="006F4F48"/>
    <w:rsid w:val="006F5B7A"/>
    <w:rsid w:val="006F6460"/>
    <w:rsid w:val="006F69E4"/>
    <w:rsid w:val="007005E6"/>
    <w:rsid w:val="007011C9"/>
    <w:rsid w:val="00701867"/>
    <w:rsid w:val="0070192F"/>
    <w:rsid w:val="00702199"/>
    <w:rsid w:val="00702A05"/>
    <w:rsid w:val="00702BD2"/>
    <w:rsid w:val="00703198"/>
    <w:rsid w:val="00703837"/>
    <w:rsid w:val="00704314"/>
    <w:rsid w:val="0070545E"/>
    <w:rsid w:val="00705ABC"/>
    <w:rsid w:val="00706362"/>
    <w:rsid w:val="0070730B"/>
    <w:rsid w:val="00707428"/>
    <w:rsid w:val="007077E6"/>
    <w:rsid w:val="00707801"/>
    <w:rsid w:val="00707A97"/>
    <w:rsid w:val="00707FAC"/>
    <w:rsid w:val="0071120A"/>
    <w:rsid w:val="007116D1"/>
    <w:rsid w:val="0071336C"/>
    <w:rsid w:val="00714671"/>
    <w:rsid w:val="00714B44"/>
    <w:rsid w:val="00714F5A"/>
    <w:rsid w:val="00715536"/>
    <w:rsid w:val="00717D5A"/>
    <w:rsid w:val="00722441"/>
    <w:rsid w:val="007229B4"/>
    <w:rsid w:val="00723039"/>
    <w:rsid w:val="007236A5"/>
    <w:rsid w:val="00727248"/>
    <w:rsid w:val="007273C5"/>
    <w:rsid w:val="00730BFE"/>
    <w:rsid w:val="00733450"/>
    <w:rsid w:val="00733490"/>
    <w:rsid w:val="0073386E"/>
    <w:rsid w:val="0073443D"/>
    <w:rsid w:val="00734B6C"/>
    <w:rsid w:val="00735378"/>
    <w:rsid w:val="00735617"/>
    <w:rsid w:val="00735E84"/>
    <w:rsid w:val="0073602B"/>
    <w:rsid w:val="00736473"/>
    <w:rsid w:val="0073686A"/>
    <w:rsid w:val="007379F7"/>
    <w:rsid w:val="00740434"/>
    <w:rsid w:val="00740803"/>
    <w:rsid w:val="007412D0"/>
    <w:rsid w:val="007414CC"/>
    <w:rsid w:val="00742E87"/>
    <w:rsid w:val="00743C55"/>
    <w:rsid w:val="00744260"/>
    <w:rsid w:val="00744D07"/>
    <w:rsid w:val="007450EE"/>
    <w:rsid w:val="00745CAC"/>
    <w:rsid w:val="0074625B"/>
    <w:rsid w:val="00746831"/>
    <w:rsid w:val="00746D98"/>
    <w:rsid w:val="00747561"/>
    <w:rsid w:val="007479EA"/>
    <w:rsid w:val="00750F63"/>
    <w:rsid w:val="00752757"/>
    <w:rsid w:val="00753676"/>
    <w:rsid w:val="0075377E"/>
    <w:rsid w:val="00754C40"/>
    <w:rsid w:val="00754D7E"/>
    <w:rsid w:val="00754FA4"/>
    <w:rsid w:val="00756328"/>
    <w:rsid w:val="007575A9"/>
    <w:rsid w:val="00757B51"/>
    <w:rsid w:val="00757BDC"/>
    <w:rsid w:val="00760028"/>
    <w:rsid w:val="007602D9"/>
    <w:rsid w:val="007605E5"/>
    <w:rsid w:val="00763BD7"/>
    <w:rsid w:val="00763C68"/>
    <w:rsid w:val="00764A83"/>
    <w:rsid w:val="00764B4A"/>
    <w:rsid w:val="00765972"/>
    <w:rsid w:val="0076762D"/>
    <w:rsid w:val="00767D36"/>
    <w:rsid w:val="00767ED8"/>
    <w:rsid w:val="00770466"/>
    <w:rsid w:val="0077083B"/>
    <w:rsid w:val="00773219"/>
    <w:rsid w:val="00773620"/>
    <w:rsid w:val="007737CF"/>
    <w:rsid w:val="0077671D"/>
    <w:rsid w:val="007806A4"/>
    <w:rsid w:val="00782518"/>
    <w:rsid w:val="0078497A"/>
    <w:rsid w:val="00784E87"/>
    <w:rsid w:val="00785759"/>
    <w:rsid w:val="007862A2"/>
    <w:rsid w:val="00786D25"/>
    <w:rsid w:val="00787368"/>
    <w:rsid w:val="00787D08"/>
    <w:rsid w:val="007901B6"/>
    <w:rsid w:val="0079077F"/>
    <w:rsid w:val="00790942"/>
    <w:rsid w:val="0079126D"/>
    <w:rsid w:val="007915A7"/>
    <w:rsid w:val="00791C2C"/>
    <w:rsid w:val="00793712"/>
    <w:rsid w:val="00793A62"/>
    <w:rsid w:val="007946DE"/>
    <w:rsid w:val="0079498D"/>
    <w:rsid w:val="0079509C"/>
    <w:rsid w:val="00795628"/>
    <w:rsid w:val="0079644E"/>
    <w:rsid w:val="00796477"/>
    <w:rsid w:val="00796753"/>
    <w:rsid w:val="00797334"/>
    <w:rsid w:val="0079772D"/>
    <w:rsid w:val="007A0EE8"/>
    <w:rsid w:val="007A0F31"/>
    <w:rsid w:val="007A13A4"/>
    <w:rsid w:val="007A2DA7"/>
    <w:rsid w:val="007A2F5C"/>
    <w:rsid w:val="007A3F2C"/>
    <w:rsid w:val="007A7D34"/>
    <w:rsid w:val="007B0170"/>
    <w:rsid w:val="007B0588"/>
    <w:rsid w:val="007B0639"/>
    <w:rsid w:val="007B069B"/>
    <w:rsid w:val="007B16E9"/>
    <w:rsid w:val="007B2129"/>
    <w:rsid w:val="007B3D50"/>
    <w:rsid w:val="007B40C1"/>
    <w:rsid w:val="007B4C2C"/>
    <w:rsid w:val="007B56B1"/>
    <w:rsid w:val="007B5705"/>
    <w:rsid w:val="007B5C15"/>
    <w:rsid w:val="007B6C52"/>
    <w:rsid w:val="007B79E3"/>
    <w:rsid w:val="007C10F9"/>
    <w:rsid w:val="007C16D2"/>
    <w:rsid w:val="007C1904"/>
    <w:rsid w:val="007C1BB8"/>
    <w:rsid w:val="007C2927"/>
    <w:rsid w:val="007C3987"/>
    <w:rsid w:val="007C3E2C"/>
    <w:rsid w:val="007C4B18"/>
    <w:rsid w:val="007C4D5A"/>
    <w:rsid w:val="007C6285"/>
    <w:rsid w:val="007C6607"/>
    <w:rsid w:val="007D0273"/>
    <w:rsid w:val="007D288D"/>
    <w:rsid w:val="007D434F"/>
    <w:rsid w:val="007D4384"/>
    <w:rsid w:val="007D4B11"/>
    <w:rsid w:val="007D5971"/>
    <w:rsid w:val="007D651C"/>
    <w:rsid w:val="007D6CC0"/>
    <w:rsid w:val="007D7310"/>
    <w:rsid w:val="007D739E"/>
    <w:rsid w:val="007D7678"/>
    <w:rsid w:val="007D78E7"/>
    <w:rsid w:val="007E1121"/>
    <w:rsid w:val="007E1CB7"/>
    <w:rsid w:val="007E1D22"/>
    <w:rsid w:val="007E216F"/>
    <w:rsid w:val="007E3D28"/>
    <w:rsid w:val="007E4D8F"/>
    <w:rsid w:val="007E4F24"/>
    <w:rsid w:val="007E5281"/>
    <w:rsid w:val="007E592C"/>
    <w:rsid w:val="007E62D2"/>
    <w:rsid w:val="007F191F"/>
    <w:rsid w:val="007F20DE"/>
    <w:rsid w:val="007F26B5"/>
    <w:rsid w:val="007F2755"/>
    <w:rsid w:val="007F3C0D"/>
    <w:rsid w:val="007F3C7A"/>
    <w:rsid w:val="007F4825"/>
    <w:rsid w:val="007F497A"/>
    <w:rsid w:val="007F744A"/>
    <w:rsid w:val="008010B1"/>
    <w:rsid w:val="00802580"/>
    <w:rsid w:val="00802652"/>
    <w:rsid w:val="0080511E"/>
    <w:rsid w:val="00805A71"/>
    <w:rsid w:val="0080627A"/>
    <w:rsid w:val="00807C6A"/>
    <w:rsid w:val="00810FDE"/>
    <w:rsid w:val="0081142A"/>
    <w:rsid w:val="008114B0"/>
    <w:rsid w:val="00811B5A"/>
    <w:rsid w:val="00811C98"/>
    <w:rsid w:val="008138A6"/>
    <w:rsid w:val="00813FFD"/>
    <w:rsid w:val="00814F76"/>
    <w:rsid w:val="008150F7"/>
    <w:rsid w:val="0081566D"/>
    <w:rsid w:val="00815B15"/>
    <w:rsid w:val="00816443"/>
    <w:rsid w:val="00816FF1"/>
    <w:rsid w:val="00817085"/>
    <w:rsid w:val="00817ED6"/>
    <w:rsid w:val="00817FE8"/>
    <w:rsid w:val="00820DD6"/>
    <w:rsid w:val="008224ED"/>
    <w:rsid w:val="008231EF"/>
    <w:rsid w:val="00823B3B"/>
    <w:rsid w:val="00824AB9"/>
    <w:rsid w:val="00825D08"/>
    <w:rsid w:val="00826C88"/>
    <w:rsid w:val="00831641"/>
    <w:rsid w:val="00832D51"/>
    <w:rsid w:val="00833E88"/>
    <w:rsid w:val="00834A11"/>
    <w:rsid w:val="00835147"/>
    <w:rsid w:val="00835E28"/>
    <w:rsid w:val="008364B6"/>
    <w:rsid w:val="00837DC4"/>
    <w:rsid w:val="00840218"/>
    <w:rsid w:val="008409B4"/>
    <w:rsid w:val="0084215B"/>
    <w:rsid w:val="008436E4"/>
    <w:rsid w:val="00843B6A"/>
    <w:rsid w:val="00843ED0"/>
    <w:rsid w:val="00846488"/>
    <w:rsid w:val="00847110"/>
    <w:rsid w:val="00847B7E"/>
    <w:rsid w:val="00851794"/>
    <w:rsid w:val="00851F31"/>
    <w:rsid w:val="008520F2"/>
    <w:rsid w:val="008529CD"/>
    <w:rsid w:val="00853992"/>
    <w:rsid w:val="008555A3"/>
    <w:rsid w:val="00856C84"/>
    <w:rsid w:val="00857578"/>
    <w:rsid w:val="00857B99"/>
    <w:rsid w:val="00857DB9"/>
    <w:rsid w:val="00860526"/>
    <w:rsid w:val="00860F46"/>
    <w:rsid w:val="00862F1B"/>
    <w:rsid w:val="00863108"/>
    <w:rsid w:val="00863BD8"/>
    <w:rsid w:val="008644A6"/>
    <w:rsid w:val="008648C8"/>
    <w:rsid w:val="00865133"/>
    <w:rsid w:val="00866DCA"/>
    <w:rsid w:val="008710DE"/>
    <w:rsid w:val="00872041"/>
    <w:rsid w:val="00873AEE"/>
    <w:rsid w:val="00874831"/>
    <w:rsid w:val="00875F88"/>
    <w:rsid w:val="0087632C"/>
    <w:rsid w:val="00877B70"/>
    <w:rsid w:val="0088229F"/>
    <w:rsid w:val="0088571E"/>
    <w:rsid w:val="00885E28"/>
    <w:rsid w:val="00886A20"/>
    <w:rsid w:val="00887160"/>
    <w:rsid w:val="008872F0"/>
    <w:rsid w:val="00887E41"/>
    <w:rsid w:val="0089048D"/>
    <w:rsid w:val="00891D7B"/>
    <w:rsid w:val="00892477"/>
    <w:rsid w:val="00894491"/>
    <w:rsid w:val="008956C3"/>
    <w:rsid w:val="00895ECA"/>
    <w:rsid w:val="0089608B"/>
    <w:rsid w:val="008A06F3"/>
    <w:rsid w:val="008A115A"/>
    <w:rsid w:val="008A4415"/>
    <w:rsid w:val="008A60A7"/>
    <w:rsid w:val="008A7828"/>
    <w:rsid w:val="008B1405"/>
    <w:rsid w:val="008B23AD"/>
    <w:rsid w:val="008B344F"/>
    <w:rsid w:val="008B3531"/>
    <w:rsid w:val="008B35B8"/>
    <w:rsid w:val="008B3C07"/>
    <w:rsid w:val="008B5529"/>
    <w:rsid w:val="008B611C"/>
    <w:rsid w:val="008B6B34"/>
    <w:rsid w:val="008B7413"/>
    <w:rsid w:val="008C1A4C"/>
    <w:rsid w:val="008C1B35"/>
    <w:rsid w:val="008C23D8"/>
    <w:rsid w:val="008C35EF"/>
    <w:rsid w:val="008C417C"/>
    <w:rsid w:val="008C432E"/>
    <w:rsid w:val="008C44A0"/>
    <w:rsid w:val="008C54A3"/>
    <w:rsid w:val="008C5868"/>
    <w:rsid w:val="008C5B65"/>
    <w:rsid w:val="008C6DB7"/>
    <w:rsid w:val="008C743B"/>
    <w:rsid w:val="008D006E"/>
    <w:rsid w:val="008D082E"/>
    <w:rsid w:val="008D1CBD"/>
    <w:rsid w:val="008D21E9"/>
    <w:rsid w:val="008D3331"/>
    <w:rsid w:val="008D3EA4"/>
    <w:rsid w:val="008D5130"/>
    <w:rsid w:val="008D543D"/>
    <w:rsid w:val="008D70D1"/>
    <w:rsid w:val="008D7192"/>
    <w:rsid w:val="008D7B62"/>
    <w:rsid w:val="008E1AB6"/>
    <w:rsid w:val="008E2309"/>
    <w:rsid w:val="008E3355"/>
    <w:rsid w:val="008E3F7E"/>
    <w:rsid w:val="008E4407"/>
    <w:rsid w:val="008E48EA"/>
    <w:rsid w:val="008E5004"/>
    <w:rsid w:val="008E5016"/>
    <w:rsid w:val="008E5690"/>
    <w:rsid w:val="008E695D"/>
    <w:rsid w:val="008E77DB"/>
    <w:rsid w:val="008E79B3"/>
    <w:rsid w:val="008E7DCF"/>
    <w:rsid w:val="008F1E06"/>
    <w:rsid w:val="008F35E8"/>
    <w:rsid w:val="008F3C64"/>
    <w:rsid w:val="008F3D4E"/>
    <w:rsid w:val="008F5151"/>
    <w:rsid w:val="008F75ED"/>
    <w:rsid w:val="00900168"/>
    <w:rsid w:val="00900774"/>
    <w:rsid w:val="00902A0F"/>
    <w:rsid w:val="00904E7F"/>
    <w:rsid w:val="00905378"/>
    <w:rsid w:val="009058F4"/>
    <w:rsid w:val="009061F0"/>
    <w:rsid w:val="009071A9"/>
    <w:rsid w:val="00907621"/>
    <w:rsid w:val="00911469"/>
    <w:rsid w:val="0091185F"/>
    <w:rsid w:val="0091346A"/>
    <w:rsid w:val="0091393B"/>
    <w:rsid w:val="0091397A"/>
    <w:rsid w:val="00913A7C"/>
    <w:rsid w:val="00914AB9"/>
    <w:rsid w:val="00914D7F"/>
    <w:rsid w:val="00914EDA"/>
    <w:rsid w:val="009154BA"/>
    <w:rsid w:val="00916982"/>
    <w:rsid w:val="00917070"/>
    <w:rsid w:val="009179D2"/>
    <w:rsid w:val="00920769"/>
    <w:rsid w:val="009209E4"/>
    <w:rsid w:val="00920A79"/>
    <w:rsid w:val="0092172D"/>
    <w:rsid w:val="0092241B"/>
    <w:rsid w:val="0092434F"/>
    <w:rsid w:val="00924AAF"/>
    <w:rsid w:val="0092607B"/>
    <w:rsid w:val="00926FC5"/>
    <w:rsid w:val="0092709A"/>
    <w:rsid w:val="009275E5"/>
    <w:rsid w:val="00927A01"/>
    <w:rsid w:val="009311C3"/>
    <w:rsid w:val="00931EF0"/>
    <w:rsid w:val="00932202"/>
    <w:rsid w:val="0093236D"/>
    <w:rsid w:val="009343D5"/>
    <w:rsid w:val="00934657"/>
    <w:rsid w:val="00935790"/>
    <w:rsid w:val="00935FEB"/>
    <w:rsid w:val="0094061F"/>
    <w:rsid w:val="00940715"/>
    <w:rsid w:val="00940D38"/>
    <w:rsid w:val="00941DF8"/>
    <w:rsid w:val="00946964"/>
    <w:rsid w:val="00946F66"/>
    <w:rsid w:val="00947397"/>
    <w:rsid w:val="00947458"/>
    <w:rsid w:val="00947A61"/>
    <w:rsid w:val="0095037D"/>
    <w:rsid w:val="00950FD6"/>
    <w:rsid w:val="00951E1E"/>
    <w:rsid w:val="00954B7E"/>
    <w:rsid w:val="00954DBD"/>
    <w:rsid w:val="00955C92"/>
    <w:rsid w:val="009603A8"/>
    <w:rsid w:val="00960EC8"/>
    <w:rsid w:val="0096181D"/>
    <w:rsid w:val="00961C31"/>
    <w:rsid w:val="009632E5"/>
    <w:rsid w:val="00963953"/>
    <w:rsid w:val="00964001"/>
    <w:rsid w:val="0096447D"/>
    <w:rsid w:val="009652C4"/>
    <w:rsid w:val="00965944"/>
    <w:rsid w:val="00967915"/>
    <w:rsid w:val="0097063B"/>
    <w:rsid w:val="009720A7"/>
    <w:rsid w:val="00972EFA"/>
    <w:rsid w:val="00974B2E"/>
    <w:rsid w:val="00974C5D"/>
    <w:rsid w:val="00975074"/>
    <w:rsid w:val="00975190"/>
    <w:rsid w:val="00975914"/>
    <w:rsid w:val="00975A5C"/>
    <w:rsid w:val="0097722A"/>
    <w:rsid w:val="00977337"/>
    <w:rsid w:val="009774F7"/>
    <w:rsid w:val="009778B8"/>
    <w:rsid w:val="009807BF"/>
    <w:rsid w:val="0098090C"/>
    <w:rsid w:val="00982011"/>
    <w:rsid w:val="00983A0B"/>
    <w:rsid w:val="00983FFD"/>
    <w:rsid w:val="00984E58"/>
    <w:rsid w:val="00986297"/>
    <w:rsid w:val="00986629"/>
    <w:rsid w:val="00986BE7"/>
    <w:rsid w:val="009913FB"/>
    <w:rsid w:val="00991DCE"/>
    <w:rsid w:val="00993C09"/>
    <w:rsid w:val="00995217"/>
    <w:rsid w:val="00995F16"/>
    <w:rsid w:val="00997DED"/>
    <w:rsid w:val="009A0343"/>
    <w:rsid w:val="009A04EB"/>
    <w:rsid w:val="009A13DE"/>
    <w:rsid w:val="009A206F"/>
    <w:rsid w:val="009A25C8"/>
    <w:rsid w:val="009A2A5D"/>
    <w:rsid w:val="009A2D61"/>
    <w:rsid w:val="009A4025"/>
    <w:rsid w:val="009A6168"/>
    <w:rsid w:val="009A6B4C"/>
    <w:rsid w:val="009A7809"/>
    <w:rsid w:val="009A7964"/>
    <w:rsid w:val="009B0702"/>
    <w:rsid w:val="009B07B1"/>
    <w:rsid w:val="009B0B13"/>
    <w:rsid w:val="009B15A7"/>
    <w:rsid w:val="009B287A"/>
    <w:rsid w:val="009B341F"/>
    <w:rsid w:val="009B3D3B"/>
    <w:rsid w:val="009B41B2"/>
    <w:rsid w:val="009B747C"/>
    <w:rsid w:val="009B7510"/>
    <w:rsid w:val="009C1282"/>
    <w:rsid w:val="009C13C1"/>
    <w:rsid w:val="009C297B"/>
    <w:rsid w:val="009C318F"/>
    <w:rsid w:val="009C48EF"/>
    <w:rsid w:val="009C512B"/>
    <w:rsid w:val="009C72B4"/>
    <w:rsid w:val="009C7779"/>
    <w:rsid w:val="009D0A1E"/>
    <w:rsid w:val="009D33FC"/>
    <w:rsid w:val="009D3AD8"/>
    <w:rsid w:val="009D3E9D"/>
    <w:rsid w:val="009D44FA"/>
    <w:rsid w:val="009D456E"/>
    <w:rsid w:val="009D45DF"/>
    <w:rsid w:val="009D581F"/>
    <w:rsid w:val="009D5B69"/>
    <w:rsid w:val="009D626B"/>
    <w:rsid w:val="009D6F03"/>
    <w:rsid w:val="009D7A3D"/>
    <w:rsid w:val="009D7D9D"/>
    <w:rsid w:val="009E0EDD"/>
    <w:rsid w:val="009E1199"/>
    <w:rsid w:val="009E1CCE"/>
    <w:rsid w:val="009E2C80"/>
    <w:rsid w:val="009E324C"/>
    <w:rsid w:val="009E3400"/>
    <w:rsid w:val="009E38B0"/>
    <w:rsid w:val="009E61A5"/>
    <w:rsid w:val="009F27C9"/>
    <w:rsid w:val="009F2924"/>
    <w:rsid w:val="009F367A"/>
    <w:rsid w:val="009F3A22"/>
    <w:rsid w:val="009F7094"/>
    <w:rsid w:val="009F780B"/>
    <w:rsid w:val="00A00DBC"/>
    <w:rsid w:val="00A0312D"/>
    <w:rsid w:val="00A0369F"/>
    <w:rsid w:val="00A03DEA"/>
    <w:rsid w:val="00A050CB"/>
    <w:rsid w:val="00A05230"/>
    <w:rsid w:val="00A054F4"/>
    <w:rsid w:val="00A0562E"/>
    <w:rsid w:val="00A0585B"/>
    <w:rsid w:val="00A05AA5"/>
    <w:rsid w:val="00A06B3A"/>
    <w:rsid w:val="00A06C35"/>
    <w:rsid w:val="00A06F8C"/>
    <w:rsid w:val="00A0729F"/>
    <w:rsid w:val="00A0791D"/>
    <w:rsid w:val="00A07FD5"/>
    <w:rsid w:val="00A11CCA"/>
    <w:rsid w:val="00A11F5E"/>
    <w:rsid w:val="00A129A7"/>
    <w:rsid w:val="00A1445E"/>
    <w:rsid w:val="00A147B1"/>
    <w:rsid w:val="00A1589A"/>
    <w:rsid w:val="00A161E6"/>
    <w:rsid w:val="00A171CC"/>
    <w:rsid w:val="00A17FE3"/>
    <w:rsid w:val="00A20259"/>
    <w:rsid w:val="00A21FE0"/>
    <w:rsid w:val="00A22247"/>
    <w:rsid w:val="00A2268B"/>
    <w:rsid w:val="00A22D90"/>
    <w:rsid w:val="00A242BB"/>
    <w:rsid w:val="00A24407"/>
    <w:rsid w:val="00A24EBA"/>
    <w:rsid w:val="00A25426"/>
    <w:rsid w:val="00A26A15"/>
    <w:rsid w:val="00A26D7B"/>
    <w:rsid w:val="00A30341"/>
    <w:rsid w:val="00A30921"/>
    <w:rsid w:val="00A35D8B"/>
    <w:rsid w:val="00A365C0"/>
    <w:rsid w:val="00A365C2"/>
    <w:rsid w:val="00A3665B"/>
    <w:rsid w:val="00A36CD2"/>
    <w:rsid w:val="00A417A5"/>
    <w:rsid w:val="00A41B17"/>
    <w:rsid w:val="00A424C2"/>
    <w:rsid w:val="00A43899"/>
    <w:rsid w:val="00A43DCD"/>
    <w:rsid w:val="00A4445E"/>
    <w:rsid w:val="00A46C91"/>
    <w:rsid w:val="00A47A5C"/>
    <w:rsid w:val="00A51316"/>
    <w:rsid w:val="00A539C1"/>
    <w:rsid w:val="00A53CC8"/>
    <w:rsid w:val="00A545E9"/>
    <w:rsid w:val="00A546B9"/>
    <w:rsid w:val="00A54954"/>
    <w:rsid w:val="00A549D7"/>
    <w:rsid w:val="00A5503A"/>
    <w:rsid w:val="00A56CD0"/>
    <w:rsid w:val="00A56DC3"/>
    <w:rsid w:val="00A56F1A"/>
    <w:rsid w:val="00A57FE2"/>
    <w:rsid w:val="00A601B2"/>
    <w:rsid w:val="00A613A9"/>
    <w:rsid w:val="00A630CF"/>
    <w:rsid w:val="00A634D3"/>
    <w:rsid w:val="00A63ACD"/>
    <w:rsid w:val="00A65891"/>
    <w:rsid w:val="00A66C29"/>
    <w:rsid w:val="00A66DA7"/>
    <w:rsid w:val="00A67D8C"/>
    <w:rsid w:val="00A72CD4"/>
    <w:rsid w:val="00A731C3"/>
    <w:rsid w:val="00A732D6"/>
    <w:rsid w:val="00A736F7"/>
    <w:rsid w:val="00A745C8"/>
    <w:rsid w:val="00A7493B"/>
    <w:rsid w:val="00A75808"/>
    <w:rsid w:val="00A767BC"/>
    <w:rsid w:val="00A770C6"/>
    <w:rsid w:val="00A77881"/>
    <w:rsid w:val="00A77E47"/>
    <w:rsid w:val="00A80AE9"/>
    <w:rsid w:val="00A82918"/>
    <w:rsid w:val="00A82A2B"/>
    <w:rsid w:val="00A83E68"/>
    <w:rsid w:val="00A843A4"/>
    <w:rsid w:val="00A84A4D"/>
    <w:rsid w:val="00A866E3"/>
    <w:rsid w:val="00A871B9"/>
    <w:rsid w:val="00A9042F"/>
    <w:rsid w:val="00A911A7"/>
    <w:rsid w:val="00A91365"/>
    <w:rsid w:val="00A9238E"/>
    <w:rsid w:val="00A92B50"/>
    <w:rsid w:val="00A94D87"/>
    <w:rsid w:val="00A961CB"/>
    <w:rsid w:val="00A9662D"/>
    <w:rsid w:val="00AA0AD8"/>
    <w:rsid w:val="00AA152C"/>
    <w:rsid w:val="00AA1ADF"/>
    <w:rsid w:val="00AA1B95"/>
    <w:rsid w:val="00AA369D"/>
    <w:rsid w:val="00AA4293"/>
    <w:rsid w:val="00AA63A7"/>
    <w:rsid w:val="00AA68AA"/>
    <w:rsid w:val="00AA71CB"/>
    <w:rsid w:val="00AA7663"/>
    <w:rsid w:val="00AB087C"/>
    <w:rsid w:val="00AB1171"/>
    <w:rsid w:val="00AB120D"/>
    <w:rsid w:val="00AB1DEE"/>
    <w:rsid w:val="00AB3A6B"/>
    <w:rsid w:val="00AB6B07"/>
    <w:rsid w:val="00AB70BA"/>
    <w:rsid w:val="00AB7D44"/>
    <w:rsid w:val="00AB7D88"/>
    <w:rsid w:val="00AC0683"/>
    <w:rsid w:val="00AC2018"/>
    <w:rsid w:val="00AC26D9"/>
    <w:rsid w:val="00AC3832"/>
    <w:rsid w:val="00AC3995"/>
    <w:rsid w:val="00AC54EA"/>
    <w:rsid w:val="00AC568A"/>
    <w:rsid w:val="00AC5E1F"/>
    <w:rsid w:val="00AC7AE2"/>
    <w:rsid w:val="00AD13A9"/>
    <w:rsid w:val="00AD1D3D"/>
    <w:rsid w:val="00AD20A3"/>
    <w:rsid w:val="00AD2E40"/>
    <w:rsid w:val="00AD388B"/>
    <w:rsid w:val="00AD39A0"/>
    <w:rsid w:val="00AD3DE9"/>
    <w:rsid w:val="00AD483B"/>
    <w:rsid w:val="00AD7141"/>
    <w:rsid w:val="00AE1FE1"/>
    <w:rsid w:val="00AE3AA4"/>
    <w:rsid w:val="00AE5643"/>
    <w:rsid w:val="00AE62BD"/>
    <w:rsid w:val="00AE7BB8"/>
    <w:rsid w:val="00AF10BC"/>
    <w:rsid w:val="00AF1700"/>
    <w:rsid w:val="00AF18BB"/>
    <w:rsid w:val="00AF4C8F"/>
    <w:rsid w:val="00AF5443"/>
    <w:rsid w:val="00AF5568"/>
    <w:rsid w:val="00AF5CDD"/>
    <w:rsid w:val="00AF72DD"/>
    <w:rsid w:val="00AF766E"/>
    <w:rsid w:val="00AF783B"/>
    <w:rsid w:val="00B00CA8"/>
    <w:rsid w:val="00B0290A"/>
    <w:rsid w:val="00B02DC4"/>
    <w:rsid w:val="00B0306E"/>
    <w:rsid w:val="00B03B0E"/>
    <w:rsid w:val="00B04A78"/>
    <w:rsid w:val="00B04B46"/>
    <w:rsid w:val="00B04DF5"/>
    <w:rsid w:val="00B05384"/>
    <w:rsid w:val="00B059CC"/>
    <w:rsid w:val="00B06CF0"/>
    <w:rsid w:val="00B075F7"/>
    <w:rsid w:val="00B10B21"/>
    <w:rsid w:val="00B10F3E"/>
    <w:rsid w:val="00B11AD4"/>
    <w:rsid w:val="00B12B46"/>
    <w:rsid w:val="00B1318C"/>
    <w:rsid w:val="00B139B8"/>
    <w:rsid w:val="00B13D5E"/>
    <w:rsid w:val="00B147BA"/>
    <w:rsid w:val="00B15428"/>
    <w:rsid w:val="00B1596E"/>
    <w:rsid w:val="00B168BD"/>
    <w:rsid w:val="00B171DE"/>
    <w:rsid w:val="00B223DA"/>
    <w:rsid w:val="00B229A4"/>
    <w:rsid w:val="00B22D8D"/>
    <w:rsid w:val="00B2314B"/>
    <w:rsid w:val="00B23BAE"/>
    <w:rsid w:val="00B242B8"/>
    <w:rsid w:val="00B266AB"/>
    <w:rsid w:val="00B270A7"/>
    <w:rsid w:val="00B31016"/>
    <w:rsid w:val="00B31550"/>
    <w:rsid w:val="00B3267A"/>
    <w:rsid w:val="00B32DE1"/>
    <w:rsid w:val="00B33B18"/>
    <w:rsid w:val="00B345AB"/>
    <w:rsid w:val="00B34FFB"/>
    <w:rsid w:val="00B358EB"/>
    <w:rsid w:val="00B360DA"/>
    <w:rsid w:val="00B36374"/>
    <w:rsid w:val="00B37606"/>
    <w:rsid w:val="00B37C5F"/>
    <w:rsid w:val="00B40754"/>
    <w:rsid w:val="00B4105E"/>
    <w:rsid w:val="00B41BAB"/>
    <w:rsid w:val="00B41E38"/>
    <w:rsid w:val="00B431A2"/>
    <w:rsid w:val="00B4495D"/>
    <w:rsid w:val="00B44B30"/>
    <w:rsid w:val="00B44E94"/>
    <w:rsid w:val="00B45953"/>
    <w:rsid w:val="00B504BF"/>
    <w:rsid w:val="00B5143B"/>
    <w:rsid w:val="00B52A96"/>
    <w:rsid w:val="00B5322F"/>
    <w:rsid w:val="00B536A5"/>
    <w:rsid w:val="00B5382F"/>
    <w:rsid w:val="00B54103"/>
    <w:rsid w:val="00B552B5"/>
    <w:rsid w:val="00B55749"/>
    <w:rsid w:val="00B55AED"/>
    <w:rsid w:val="00B57496"/>
    <w:rsid w:val="00B57751"/>
    <w:rsid w:val="00B604FA"/>
    <w:rsid w:val="00B616E4"/>
    <w:rsid w:val="00B618F0"/>
    <w:rsid w:val="00B61B66"/>
    <w:rsid w:val="00B62C77"/>
    <w:rsid w:val="00B636B9"/>
    <w:rsid w:val="00B64574"/>
    <w:rsid w:val="00B65CF4"/>
    <w:rsid w:val="00B676CA"/>
    <w:rsid w:val="00B67A7D"/>
    <w:rsid w:val="00B70275"/>
    <w:rsid w:val="00B73446"/>
    <w:rsid w:val="00B7362E"/>
    <w:rsid w:val="00B74E4F"/>
    <w:rsid w:val="00B76283"/>
    <w:rsid w:val="00B771A8"/>
    <w:rsid w:val="00B772A1"/>
    <w:rsid w:val="00B77572"/>
    <w:rsid w:val="00B77A74"/>
    <w:rsid w:val="00B808BF"/>
    <w:rsid w:val="00B8143C"/>
    <w:rsid w:val="00B81AA1"/>
    <w:rsid w:val="00B84013"/>
    <w:rsid w:val="00B84716"/>
    <w:rsid w:val="00B854CA"/>
    <w:rsid w:val="00B87D39"/>
    <w:rsid w:val="00B91212"/>
    <w:rsid w:val="00B9211F"/>
    <w:rsid w:val="00B92456"/>
    <w:rsid w:val="00B92DEB"/>
    <w:rsid w:val="00B93720"/>
    <w:rsid w:val="00B93840"/>
    <w:rsid w:val="00B94A55"/>
    <w:rsid w:val="00B955C2"/>
    <w:rsid w:val="00B97095"/>
    <w:rsid w:val="00B97164"/>
    <w:rsid w:val="00BA1DC7"/>
    <w:rsid w:val="00BA20AC"/>
    <w:rsid w:val="00BA20D5"/>
    <w:rsid w:val="00BA2BD1"/>
    <w:rsid w:val="00BA2CA8"/>
    <w:rsid w:val="00BA4562"/>
    <w:rsid w:val="00BA4A54"/>
    <w:rsid w:val="00BA59B7"/>
    <w:rsid w:val="00BA6996"/>
    <w:rsid w:val="00BB0D07"/>
    <w:rsid w:val="00BB1652"/>
    <w:rsid w:val="00BB16EB"/>
    <w:rsid w:val="00BB318F"/>
    <w:rsid w:val="00BB4EEC"/>
    <w:rsid w:val="00BB647B"/>
    <w:rsid w:val="00BB6DEE"/>
    <w:rsid w:val="00BB7DA1"/>
    <w:rsid w:val="00BC11A8"/>
    <w:rsid w:val="00BC188F"/>
    <w:rsid w:val="00BC3D69"/>
    <w:rsid w:val="00BC3F92"/>
    <w:rsid w:val="00BC4499"/>
    <w:rsid w:val="00BC4B78"/>
    <w:rsid w:val="00BC52AE"/>
    <w:rsid w:val="00BC719C"/>
    <w:rsid w:val="00BC7732"/>
    <w:rsid w:val="00BD000A"/>
    <w:rsid w:val="00BD0815"/>
    <w:rsid w:val="00BD1A0E"/>
    <w:rsid w:val="00BD26EA"/>
    <w:rsid w:val="00BD2823"/>
    <w:rsid w:val="00BD39CE"/>
    <w:rsid w:val="00BD4685"/>
    <w:rsid w:val="00BD6068"/>
    <w:rsid w:val="00BD70EA"/>
    <w:rsid w:val="00BD777E"/>
    <w:rsid w:val="00BE0567"/>
    <w:rsid w:val="00BE0577"/>
    <w:rsid w:val="00BE24F4"/>
    <w:rsid w:val="00BE2EA6"/>
    <w:rsid w:val="00BE59EC"/>
    <w:rsid w:val="00BE5F78"/>
    <w:rsid w:val="00BE642B"/>
    <w:rsid w:val="00BE7698"/>
    <w:rsid w:val="00BE7929"/>
    <w:rsid w:val="00BF174B"/>
    <w:rsid w:val="00BF2813"/>
    <w:rsid w:val="00BF3DF6"/>
    <w:rsid w:val="00BF3EFF"/>
    <w:rsid w:val="00BF4B1C"/>
    <w:rsid w:val="00BF5201"/>
    <w:rsid w:val="00BF5382"/>
    <w:rsid w:val="00BF5401"/>
    <w:rsid w:val="00BF61D5"/>
    <w:rsid w:val="00BF6B86"/>
    <w:rsid w:val="00BF73A6"/>
    <w:rsid w:val="00BF7ADB"/>
    <w:rsid w:val="00BF7F1F"/>
    <w:rsid w:val="00C014C5"/>
    <w:rsid w:val="00C0212F"/>
    <w:rsid w:val="00C031E3"/>
    <w:rsid w:val="00C03824"/>
    <w:rsid w:val="00C04967"/>
    <w:rsid w:val="00C05576"/>
    <w:rsid w:val="00C071D6"/>
    <w:rsid w:val="00C124F4"/>
    <w:rsid w:val="00C12526"/>
    <w:rsid w:val="00C13443"/>
    <w:rsid w:val="00C13D20"/>
    <w:rsid w:val="00C14044"/>
    <w:rsid w:val="00C175B2"/>
    <w:rsid w:val="00C17E78"/>
    <w:rsid w:val="00C17F36"/>
    <w:rsid w:val="00C215C0"/>
    <w:rsid w:val="00C21A9A"/>
    <w:rsid w:val="00C24A20"/>
    <w:rsid w:val="00C26BCE"/>
    <w:rsid w:val="00C27A49"/>
    <w:rsid w:val="00C27F09"/>
    <w:rsid w:val="00C300DA"/>
    <w:rsid w:val="00C30C57"/>
    <w:rsid w:val="00C30DA5"/>
    <w:rsid w:val="00C31AFF"/>
    <w:rsid w:val="00C31DA0"/>
    <w:rsid w:val="00C32B79"/>
    <w:rsid w:val="00C33911"/>
    <w:rsid w:val="00C360B7"/>
    <w:rsid w:val="00C37B35"/>
    <w:rsid w:val="00C40E37"/>
    <w:rsid w:val="00C4124F"/>
    <w:rsid w:val="00C41552"/>
    <w:rsid w:val="00C415C7"/>
    <w:rsid w:val="00C42877"/>
    <w:rsid w:val="00C44AAC"/>
    <w:rsid w:val="00C45436"/>
    <w:rsid w:val="00C46129"/>
    <w:rsid w:val="00C4631C"/>
    <w:rsid w:val="00C46660"/>
    <w:rsid w:val="00C467F9"/>
    <w:rsid w:val="00C477D7"/>
    <w:rsid w:val="00C50B8A"/>
    <w:rsid w:val="00C51313"/>
    <w:rsid w:val="00C530A3"/>
    <w:rsid w:val="00C53280"/>
    <w:rsid w:val="00C54544"/>
    <w:rsid w:val="00C55556"/>
    <w:rsid w:val="00C57960"/>
    <w:rsid w:val="00C60F23"/>
    <w:rsid w:val="00C62FCD"/>
    <w:rsid w:val="00C63424"/>
    <w:rsid w:val="00C63665"/>
    <w:rsid w:val="00C63C64"/>
    <w:rsid w:val="00C63CEA"/>
    <w:rsid w:val="00C64B0F"/>
    <w:rsid w:val="00C65DFF"/>
    <w:rsid w:val="00C661ED"/>
    <w:rsid w:val="00C664CC"/>
    <w:rsid w:val="00C700D6"/>
    <w:rsid w:val="00C705C1"/>
    <w:rsid w:val="00C7078E"/>
    <w:rsid w:val="00C7089C"/>
    <w:rsid w:val="00C70A11"/>
    <w:rsid w:val="00C71BC3"/>
    <w:rsid w:val="00C72DED"/>
    <w:rsid w:val="00C7378E"/>
    <w:rsid w:val="00C73B82"/>
    <w:rsid w:val="00C740F5"/>
    <w:rsid w:val="00C759EC"/>
    <w:rsid w:val="00C75FD7"/>
    <w:rsid w:val="00C77EAE"/>
    <w:rsid w:val="00C80929"/>
    <w:rsid w:val="00C81022"/>
    <w:rsid w:val="00C84C97"/>
    <w:rsid w:val="00C86F0A"/>
    <w:rsid w:val="00C87453"/>
    <w:rsid w:val="00C87B66"/>
    <w:rsid w:val="00C87B8B"/>
    <w:rsid w:val="00C87E0B"/>
    <w:rsid w:val="00C906B3"/>
    <w:rsid w:val="00C90BD3"/>
    <w:rsid w:val="00C91B39"/>
    <w:rsid w:val="00C924EA"/>
    <w:rsid w:val="00C94503"/>
    <w:rsid w:val="00C951E5"/>
    <w:rsid w:val="00C95814"/>
    <w:rsid w:val="00C958CD"/>
    <w:rsid w:val="00C9745D"/>
    <w:rsid w:val="00CA06F8"/>
    <w:rsid w:val="00CA0D47"/>
    <w:rsid w:val="00CA2233"/>
    <w:rsid w:val="00CA26F4"/>
    <w:rsid w:val="00CA2F8A"/>
    <w:rsid w:val="00CA33C9"/>
    <w:rsid w:val="00CA343C"/>
    <w:rsid w:val="00CA3485"/>
    <w:rsid w:val="00CA40C8"/>
    <w:rsid w:val="00CA5909"/>
    <w:rsid w:val="00CA7403"/>
    <w:rsid w:val="00CB001E"/>
    <w:rsid w:val="00CB14C6"/>
    <w:rsid w:val="00CB1534"/>
    <w:rsid w:val="00CB29C9"/>
    <w:rsid w:val="00CB4188"/>
    <w:rsid w:val="00CB41C2"/>
    <w:rsid w:val="00CB5210"/>
    <w:rsid w:val="00CB52E1"/>
    <w:rsid w:val="00CB66FF"/>
    <w:rsid w:val="00CC04B0"/>
    <w:rsid w:val="00CC05F2"/>
    <w:rsid w:val="00CC15A7"/>
    <w:rsid w:val="00CC23B4"/>
    <w:rsid w:val="00CC33FA"/>
    <w:rsid w:val="00CC3CBA"/>
    <w:rsid w:val="00CC42BB"/>
    <w:rsid w:val="00CC6EF0"/>
    <w:rsid w:val="00CC6F61"/>
    <w:rsid w:val="00CD0566"/>
    <w:rsid w:val="00CD0EFE"/>
    <w:rsid w:val="00CD2B22"/>
    <w:rsid w:val="00CD2CDB"/>
    <w:rsid w:val="00CE0E4A"/>
    <w:rsid w:val="00CE2555"/>
    <w:rsid w:val="00CE35A1"/>
    <w:rsid w:val="00CE3D55"/>
    <w:rsid w:val="00CE4E82"/>
    <w:rsid w:val="00CE6285"/>
    <w:rsid w:val="00CE64BF"/>
    <w:rsid w:val="00CE65F8"/>
    <w:rsid w:val="00CE71F5"/>
    <w:rsid w:val="00CF0846"/>
    <w:rsid w:val="00CF0A97"/>
    <w:rsid w:val="00CF1BA5"/>
    <w:rsid w:val="00CF242A"/>
    <w:rsid w:val="00CF29DB"/>
    <w:rsid w:val="00CF43A9"/>
    <w:rsid w:val="00CF4B36"/>
    <w:rsid w:val="00CF53A4"/>
    <w:rsid w:val="00CF559A"/>
    <w:rsid w:val="00CF55DA"/>
    <w:rsid w:val="00CF5F95"/>
    <w:rsid w:val="00CF6D15"/>
    <w:rsid w:val="00CF6DB8"/>
    <w:rsid w:val="00CF7225"/>
    <w:rsid w:val="00CF743F"/>
    <w:rsid w:val="00D01256"/>
    <w:rsid w:val="00D01F8A"/>
    <w:rsid w:val="00D028CF"/>
    <w:rsid w:val="00D02EA5"/>
    <w:rsid w:val="00D02F91"/>
    <w:rsid w:val="00D033D5"/>
    <w:rsid w:val="00D0579F"/>
    <w:rsid w:val="00D06192"/>
    <w:rsid w:val="00D0692C"/>
    <w:rsid w:val="00D06D4D"/>
    <w:rsid w:val="00D10AA7"/>
    <w:rsid w:val="00D12088"/>
    <w:rsid w:val="00D12BDB"/>
    <w:rsid w:val="00D15C2C"/>
    <w:rsid w:val="00D1640A"/>
    <w:rsid w:val="00D17B40"/>
    <w:rsid w:val="00D2196D"/>
    <w:rsid w:val="00D2329B"/>
    <w:rsid w:val="00D24821"/>
    <w:rsid w:val="00D24CE4"/>
    <w:rsid w:val="00D25B6F"/>
    <w:rsid w:val="00D27526"/>
    <w:rsid w:val="00D31EC4"/>
    <w:rsid w:val="00D325CD"/>
    <w:rsid w:val="00D326F5"/>
    <w:rsid w:val="00D35118"/>
    <w:rsid w:val="00D3588C"/>
    <w:rsid w:val="00D363D0"/>
    <w:rsid w:val="00D36556"/>
    <w:rsid w:val="00D379F0"/>
    <w:rsid w:val="00D41E75"/>
    <w:rsid w:val="00D43899"/>
    <w:rsid w:val="00D4486A"/>
    <w:rsid w:val="00D458A6"/>
    <w:rsid w:val="00D458DE"/>
    <w:rsid w:val="00D45AA7"/>
    <w:rsid w:val="00D45BA8"/>
    <w:rsid w:val="00D46A4F"/>
    <w:rsid w:val="00D47C6F"/>
    <w:rsid w:val="00D52CFA"/>
    <w:rsid w:val="00D52EAD"/>
    <w:rsid w:val="00D52F36"/>
    <w:rsid w:val="00D54594"/>
    <w:rsid w:val="00D546B3"/>
    <w:rsid w:val="00D54F71"/>
    <w:rsid w:val="00D55412"/>
    <w:rsid w:val="00D55D8F"/>
    <w:rsid w:val="00D55D9E"/>
    <w:rsid w:val="00D56930"/>
    <w:rsid w:val="00D60B79"/>
    <w:rsid w:val="00D60E33"/>
    <w:rsid w:val="00D61166"/>
    <w:rsid w:val="00D61A4A"/>
    <w:rsid w:val="00D62106"/>
    <w:rsid w:val="00D64111"/>
    <w:rsid w:val="00D64B40"/>
    <w:rsid w:val="00D64DC5"/>
    <w:rsid w:val="00D6587D"/>
    <w:rsid w:val="00D66040"/>
    <w:rsid w:val="00D66735"/>
    <w:rsid w:val="00D6683C"/>
    <w:rsid w:val="00D6726E"/>
    <w:rsid w:val="00D67458"/>
    <w:rsid w:val="00D67465"/>
    <w:rsid w:val="00D67998"/>
    <w:rsid w:val="00D701EC"/>
    <w:rsid w:val="00D70A69"/>
    <w:rsid w:val="00D71597"/>
    <w:rsid w:val="00D71C5F"/>
    <w:rsid w:val="00D71DAE"/>
    <w:rsid w:val="00D73056"/>
    <w:rsid w:val="00D73658"/>
    <w:rsid w:val="00D74D40"/>
    <w:rsid w:val="00D753E5"/>
    <w:rsid w:val="00D760AD"/>
    <w:rsid w:val="00D76E15"/>
    <w:rsid w:val="00D76E50"/>
    <w:rsid w:val="00D80E7B"/>
    <w:rsid w:val="00D83AF3"/>
    <w:rsid w:val="00D85BF0"/>
    <w:rsid w:val="00D862F1"/>
    <w:rsid w:val="00D868B5"/>
    <w:rsid w:val="00D87FFB"/>
    <w:rsid w:val="00D90A95"/>
    <w:rsid w:val="00D94172"/>
    <w:rsid w:val="00D95149"/>
    <w:rsid w:val="00D969C4"/>
    <w:rsid w:val="00D975C9"/>
    <w:rsid w:val="00D97BD4"/>
    <w:rsid w:val="00DA0656"/>
    <w:rsid w:val="00DA0EA4"/>
    <w:rsid w:val="00DA24E2"/>
    <w:rsid w:val="00DA3A54"/>
    <w:rsid w:val="00DA3E6D"/>
    <w:rsid w:val="00DA577F"/>
    <w:rsid w:val="00DA604A"/>
    <w:rsid w:val="00DA7474"/>
    <w:rsid w:val="00DA7E5C"/>
    <w:rsid w:val="00DB056F"/>
    <w:rsid w:val="00DB1666"/>
    <w:rsid w:val="00DB1D4B"/>
    <w:rsid w:val="00DB2DA1"/>
    <w:rsid w:val="00DB4758"/>
    <w:rsid w:val="00DB512A"/>
    <w:rsid w:val="00DB6233"/>
    <w:rsid w:val="00DB6C33"/>
    <w:rsid w:val="00DB6F81"/>
    <w:rsid w:val="00DC18E1"/>
    <w:rsid w:val="00DC2E80"/>
    <w:rsid w:val="00DC2FF7"/>
    <w:rsid w:val="00DC4E14"/>
    <w:rsid w:val="00DC54D1"/>
    <w:rsid w:val="00DC60CB"/>
    <w:rsid w:val="00DC6F28"/>
    <w:rsid w:val="00DD0DF9"/>
    <w:rsid w:val="00DD27EF"/>
    <w:rsid w:val="00DD3DD4"/>
    <w:rsid w:val="00DD464F"/>
    <w:rsid w:val="00DD5A1A"/>
    <w:rsid w:val="00DD63BB"/>
    <w:rsid w:val="00DD6798"/>
    <w:rsid w:val="00DD67C8"/>
    <w:rsid w:val="00DD6A15"/>
    <w:rsid w:val="00DD72CA"/>
    <w:rsid w:val="00DE1B11"/>
    <w:rsid w:val="00DE30FB"/>
    <w:rsid w:val="00DE3185"/>
    <w:rsid w:val="00DE3709"/>
    <w:rsid w:val="00DE3A81"/>
    <w:rsid w:val="00DE3C04"/>
    <w:rsid w:val="00DE428B"/>
    <w:rsid w:val="00DE5CF6"/>
    <w:rsid w:val="00DE6B8D"/>
    <w:rsid w:val="00DE7381"/>
    <w:rsid w:val="00DF0A72"/>
    <w:rsid w:val="00DF20B3"/>
    <w:rsid w:val="00DF2B53"/>
    <w:rsid w:val="00DF4FB0"/>
    <w:rsid w:val="00DF656A"/>
    <w:rsid w:val="00DF7467"/>
    <w:rsid w:val="00DF769B"/>
    <w:rsid w:val="00E02392"/>
    <w:rsid w:val="00E050BA"/>
    <w:rsid w:val="00E053FF"/>
    <w:rsid w:val="00E056C4"/>
    <w:rsid w:val="00E1009E"/>
    <w:rsid w:val="00E100D3"/>
    <w:rsid w:val="00E1069A"/>
    <w:rsid w:val="00E1290C"/>
    <w:rsid w:val="00E12B81"/>
    <w:rsid w:val="00E12BAE"/>
    <w:rsid w:val="00E12C45"/>
    <w:rsid w:val="00E12C85"/>
    <w:rsid w:val="00E132E6"/>
    <w:rsid w:val="00E13609"/>
    <w:rsid w:val="00E13FC4"/>
    <w:rsid w:val="00E1514A"/>
    <w:rsid w:val="00E1769B"/>
    <w:rsid w:val="00E17868"/>
    <w:rsid w:val="00E17A52"/>
    <w:rsid w:val="00E17C36"/>
    <w:rsid w:val="00E17C9C"/>
    <w:rsid w:val="00E2142D"/>
    <w:rsid w:val="00E217A9"/>
    <w:rsid w:val="00E2296D"/>
    <w:rsid w:val="00E23C42"/>
    <w:rsid w:val="00E24651"/>
    <w:rsid w:val="00E24A00"/>
    <w:rsid w:val="00E2578D"/>
    <w:rsid w:val="00E27FE3"/>
    <w:rsid w:val="00E30420"/>
    <w:rsid w:val="00E306E8"/>
    <w:rsid w:val="00E30F90"/>
    <w:rsid w:val="00E31650"/>
    <w:rsid w:val="00E31902"/>
    <w:rsid w:val="00E32513"/>
    <w:rsid w:val="00E33E0F"/>
    <w:rsid w:val="00E3412D"/>
    <w:rsid w:val="00E34288"/>
    <w:rsid w:val="00E343DE"/>
    <w:rsid w:val="00E35367"/>
    <w:rsid w:val="00E35584"/>
    <w:rsid w:val="00E35BA1"/>
    <w:rsid w:val="00E37FCF"/>
    <w:rsid w:val="00E408A9"/>
    <w:rsid w:val="00E412EA"/>
    <w:rsid w:val="00E426FE"/>
    <w:rsid w:val="00E42C85"/>
    <w:rsid w:val="00E44270"/>
    <w:rsid w:val="00E45037"/>
    <w:rsid w:val="00E450FB"/>
    <w:rsid w:val="00E45E5F"/>
    <w:rsid w:val="00E47476"/>
    <w:rsid w:val="00E50E9C"/>
    <w:rsid w:val="00E51827"/>
    <w:rsid w:val="00E52284"/>
    <w:rsid w:val="00E52537"/>
    <w:rsid w:val="00E53312"/>
    <w:rsid w:val="00E538F1"/>
    <w:rsid w:val="00E541F0"/>
    <w:rsid w:val="00E54718"/>
    <w:rsid w:val="00E61709"/>
    <w:rsid w:val="00E622B4"/>
    <w:rsid w:val="00E6549A"/>
    <w:rsid w:val="00E65640"/>
    <w:rsid w:val="00E660FD"/>
    <w:rsid w:val="00E66106"/>
    <w:rsid w:val="00E66A93"/>
    <w:rsid w:val="00E67038"/>
    <w:rsid w:val="00E70D6D"/>
    <w:rsid w:val="00E735AF"/>
    <w:rsid w:val="00E73D04"/>
    <w:rsid w:val="00E74589"/>
    <w:rsid w:val="00E75A58"/>
    <w:rsid w:val="00E8011B"/>
    <w:rsid w:val="00E81933"/>
    <w:rsid w:val="00E832D0"/>
    <w:rsid w:val="00E8379E"/>
    <w:rsid w:val="00E87EEA"/>
    <w:rsid w:val="00E909E0"/>
    <w:rsid w:val="00E91634"/>
    <w:rsid w:val="00E92376"/>
    <w:rsid w:val="00E93E2A"/>
    <w:rsid w:val="00E95733"/>
    <w:rsid w:val="00E9658B"/>
    <w:rsid w:val="00E97669"/>
    <w:rsid w:val="00EA0BED"/>
    <w:rsid w:val="00EA17D7"/>
    <w:rsid w:val="00EA2116"/>
    <w:rsid w:val="00EA236C"/>
    <w:rsid w:val="00EA2B25"/>
    <w:rsid w:val="00EA2EC0"/>
    <w:rsid w:val="00EA3803"/>
    <w:rsid w:val="00EA425D"/>
    <w:rsid w:val="00EA4395"/>
    <w:rsid w:val="00EA486B"/>
    <w:rsid w:val="00EA4953"/>
    <w:rsid w:val="00EA52F1"/>
    <w:rsid w:val="00EA5F53"/>
    <w:rsid w:val="00EB114F"/>
    <w:rsid w:val="00EB1420"/>
    <w:rsid w:val="00EB3FB4"/>
    <w:rsid w:val="00EB55B4"/>
    <w:rsid w:val="00EB6001"/>
    <w:rsid w:val="00EB7773"/>
    <w:rsid w:val="00EB7913"/>
    <w:rsid w:val="00EC10C5"/>
    <w:rsid w:val="00EC1C85"/>
    <w:rsid w:val="00EC48B1"/>
    <w:rsid w:val="00EC5600"/>
    <w:rsid w:val="00EC5D77"/>
    <w:rsid w:val="00ED0060"/>
    <w:rsid w:val="00ED0B64"/>
    <w:rsid w:val="00ED0BBE"/>
    <w:rsid w:val="00ED1018"/>
    <w:rsid w:val="00ED1673"/>
    <w:rsid w:val="00ED20B2"/>
    <w:rsid w:val="00ED4CFA"/>
    <w:rsid w:val="00ED5F0D"/>
    <w:rsid w:val="00EE1171"/>
    <w:rsid w:val="00EE1265"/>
    <w:rsid w:val="00EE1E3C"/>
    <w:rsid w:val="00EE26F2"/>
    <w:rsid w:val="00EE36E0"/>
    <w:rsid w:val="00EE3BC2"/>
    <w:rsid w:val="00EE412C"/>
    <w:rsid w:val="00EE43B8"/>
    <w:rsid w:val="00EE4475"/>
    <w:rsid w:val="00EE4A6D"/>
    <w:rsid w:val="00EE5142"/>
    <w:rsid w:val="00EE60B4"/>
    <w:rsid w:val="00EE6E25"/>
    <w:rsid w:val="00EE713B"/>
    <w:rsid w:val="00EE7C32"/>
    <w:rsid w:val="00EF20AD"/>
    <w:rsid w:val="00EF2781"/>
    <w:rsid w:val="00EF4775"/>
    <w:rsid w:val="00EF4955"/>
    <w:rsid w:val="00EF4CB9"/>
    <w:rsid w:val="00EF4ECA"/>
    <w:rsid w:val="00EF584C"/>
    <w:rsid w:val="00EF591F"/>
    <w:rsid w:val="00EF64E2"/>
    <w:rsid w:val="00EF67A0"/>
    <w:rsid w:val="00EF6DB4"/>
    <w:rsid w:val="00EF74AB"/>
    <w:rsid w:val="00EF7DBE"/>
    <w:rsid w:val="00EF7FBB"/>
    <w:rsid w:val="00F005EE"/>
    <w:rsid w:val="00F00F65"/>
    <w:rsid w:val="00F020AA"/>
    <w:rsid w:val="00F02D19"/>
    <w:rsid w:val="00F03AEB"/>
    <w:rsid w:val="00F06DDB"/>
    <w:rsid w:val="00F10CD1"/>
    <w:rsid w:val="00F11760"/>
    <w:rsid w:val="00F11A67"/>
    <w:rsid w:val="00F121BB"/>
    <w:rsid w:val="00F126C3"/>
    <w:rsid w:val="00F128E4"/>
    <w:rsid w:val="00F12F0E"/>
    <w:rsid w:val="00F13BB1"/>
    <w:rsid w:val="00F1657F"/>
    <w:rsid w:val="00F175B9"/>
    <w:rsid w:val="00F17EFC"/>
    <w:rsid w:val="00F209A3"/>
    <w:rsid w:val="00F20F23"/>
    <w:rsid w:val="00F22B05"/>
    <w:rsid w:val="00F25396"/>
    <w:rsid w:val="00F269A5"/>
    <w:rsid w:val="00F269C2"/>
    <w:rsid w:val="00F26FB2"/>
    <w:rsid w:val="00F27E36"/>
    <w:rsid w:val="00F27E5D"/>
    <w:rsid w:val="00F27ED2"/>
    <w:rsid w:val="00F31130"/>
    <w:rsid w:val="00F32C62"/>
    <w:rsid w:val="00F33341"/>
    <w:rsid w:val="00F35866"/>
    <w:rsid w:val="00F358BC"/>
    <w:rsid w:val="00F37A44"/>
    <w:rsid w:val="00F40849"/>
    <w:rsid w:val="00F408AD"/>
    <w:rsid w:val="00F42753"/>
    <w:rsid w:val="00F42EF0"/>
    <w:rsid w:val="00F43F0F"/>
    <w:rsid w:val="00F46B96"/>
    <w:rsid w:val="00F47A4A"/>
    <w:rsid w:val="00F47C35"/>
    <w:rsid w:val="00F540AA"/>
    <w:rsid w:val="00F54EC9"/>
    <w:rsid w:val="00F56807"/>
    <w:rsid w:val="00F56C1E"/>
    <w:rsid w:val="00F57585"/>
    <w:rsid w:val="00F61E6B"/>
    <w:rsid w:val="00F623FC"/>
    <w:rsid w:val="00F645AD"/>
    <w:rsid w:val="00F66641"/>
    <w:rsid w:val="00F669A4"/>
    <w:rsid w:val="00F6761B"/>
    <w:rsid w:val="00F678D4"/>
    <w:rsid w:val="00F70041"/>
    <w:rsid w:val="00F712FD"/>
    <w:rsid w:val="00F71F35"/>
    <w:rsid w:val="00F7281D"/>
    <w:rsid w:val="00F72891"/>
    <w:rsid w:val="00F73363"/>
    <w:rsid w:val="00F73724"/>
    <w:rsid w:val="00F747F4"/>
    <w:rsid w:val="00F752CD"/>
    <w:rsid w:val="00F7537D"/>
    <w:rsid w:val="00F765B0"/>
    <w:rsid w:val="00F77F7C"/>
    <w:rsid w:val="00F80B9A"/>
    <w:rsid w:val="00F80F02"/>
    <w:rsid w:val="00F80F0E"/>
    <w:rsid w:val="00F815F8"/>
    <w:rsid w:val="00F82B4A"/>
    <w:rsid w:val="00F853CE"/>
    <w:rsid w:val="00F85735"/>
    <w:rsid w:val="00F86D06"/>
    <w:rsid w:val="00F86DC2"/>
    <w:rsid w:val="00F9014C"/>
    <w:rsid w:val="00F918D6"/>
    <w:rsid w:val="00F926CA"/>
    <w:rsid w:val="00F93768"/>
    <w:rsid w:val="00F942CB"/>
    <w:rsid w:val="00F95378"/>
    <w:rsid w:val="00F9607A"/>
    <w:rsid w:val="00F96522"/>
    <w:rsid w:val="00F969B2"/>
    <w:rsid w:val="00F96BD9"/>
    <w:rsid w:val="00F97824"/>
    <w:rsid w:val="00FA0664"/>
    <w:rsid w:val="00FA0E8E"/>
    <w:rsid w:val="00FA1184"/>
    <w:rsid w:val="00FA1EB8"/>
    <w:rsid w:val="00FA39E3"/>
    <w:rsid w:val="00FA3F0F"/>
    <w:rsid w:val="00FA586C"/>
    <w:rsid w:val="00FA5BDF"/>
    <w:rsid w:val="00FA5EBB"/>
    <w:rsid w:val="00FA7AB1"/>
    <w:rsid w:val="00FB08F5"/>
    <w:rsid w:val="00FB1098"/>
    <w:rsid w:val="00FB2F49"/>
    <w:rsid w:val="00FB3616"/>
    <w:rsid w:val="00FB380E"/>
    <w:rsid w:val="00FB3BAC"/>
    <w:rsid w:val="00FB41C5"/>
    <w:rsid w:val="00FB4A7E"/>
    <w:rsid w:val="00FB5378"/>
    <w:rsid w:val="00FB58FE"/>
    <w:rsid w:val="00FB62CA"/>
    <w:rsid w:val="00FB6634"/>
    <w:rsid w:val="00FB6AA1"/>
    <w:rsid w:val="00FB7867"/>
    <w:rsid w:val="00FB7D2C"/>
    <w:rsid w:val="00FC0396"/>
    <w:rsid w:val="00FC1586"/>
    <w:rsid w:val="00FC2A8C"/>
    <w:rsid w:val="00FC49DA"/>
    <w:rsid w:val="00FC4C40"/>
    <w:rsid w:val="00FC6596"/>
    <w:rsid w:val="00FC6F86"/>
    <w:rsid w:val="00FC7398"/>
    <w:rsid w:val="00FC785E"/>
    <w:rsid w:val="00FD0033"/>
    <w:rsid w:val="00FD0D8E"/>
    <w:rsid w:val="00FD13CB"/>
    <w:rsid w:val="00FD2CB9"/>
    <w:rsid w:val="00FD34D2"/>
    <w:rsid w:val="00FD40D2"/>
    <w:rsid w:val="00FD4AAE"/>
    <w:rsid w:val="00FD5307"/>
    <w:rsid w:val="00FD5654"/>
    <w:rsid w:val="00FD56A7"/>
    <w:rsid w:val="00FD740A"/>
    <w:rsid w:val="00FE2654"/>
    <w:rsid w:val="00FE2A91"/>
    <w:rsid w:val="00FE36F9"/>
    <w:rsid w:val="00FE4E5B"/>
    <w:rsid w:val="00FE592A"/>
    <w:rsid w:val="00FE5E4D"/>
    <w:rsid w:val="00FE60CA"/>
    <w:rsid w:val="00FE6870"/>
    <w:rsid w:val="00FE79C0"/>
    <w:rsid w:val="00FF0227"/>
    <w:rsid w:val="00FF02FF"/>
    <w:rsid w:val="00FF064B"/>
    <w:rsid w:val="00FF13C6"/>
    <w:rsid w:val="00FF2193"/>
    <w:rsid w:val="00FF288F"/>
    <w:rsid w:val="00FF298B"/>
    <w:rsid w:val="00FF411D"/>
    <w:rsid w:val="00FF49E8"/>
    <w:rsid w:val="00FF4D4C"/>
    <w:rsid w:val="00FF50FE"/>
    <w:rsid w:val="00FF571A"/>
    <w:rsid w:val="00FF5E31"/>
    <w:rsid w:val="00FF6277"/>
    <w:rsid w:val="00FF6F65"/>
    <w:rsid w:val="00FF7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363"/>
    <w:pPr>
      <w:spacing w:after="0" w:line="240" w:lineRule="auto"/>
      <w:jc w:val="both"/>
    </w:pPr>
    <w:rPr>
      <w:rFonts w:ascii="Arial" w:eastAsia="Times New Roman" w:hAnsi="Arial" w:cs="Times New Roman"/>
      <w:sz w:val="24"/>
      <w:szCs w:val="24"/>
      <w:lang w:eastAsia="en-AU"/>
    </w:rPr>
  </w:style>
  <w:style w:type="paragraph" w:styleId="Heading1">
    <w:name w:val="heading 1"/>
    <w:basedOn w:val="Normal"/>
    <w:next w:val="Normal"/>
    <w:link w:val="Heading1Char"/>
    <w:uiPriority w:val="9"/>
    <w:qFormat/>
    <w:rsid w:val="002C36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0A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540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670"/>
    <w:rPr>
      <w:rFonts w:asciiTheme="majorHAnsi" w:eastAsiaTheme="majorEastAsia" w:hAnsiTheme="majorHAnsi" w:cstheme="majorBidi"/>
      <w:b/>
      <w:bCs/>
      <w:color w:val="365F91" w:themeColor="accent1" w:themeShade="BF"/>
      <w:sz w:val="28"/>
      <w:szCs w:val="28"/>
      <w:lang w:eastAsia="en-AU"/>
    </w:rPr>
  </w:style>
  <w:style w:type="paragraph" w:styleId="TOCHeading">
    <w:name w:val="TOC Heading"/>
    <w:basedOn w:val="Heading1"/>
    <w:next w:val="Normal"/>
    <w:uiPriority w:val="39"/>
    <w:unhideWhenUsed/>
    <w:qFormat/>
    <w:rsid w:val="002C3670"/>
    <w:pPr>
      <w:spacing w:line="276" w:lineRule="auto"/>
      <w:jc w:val="left"/>
      <w:outlineLvl w:val="9"/>
    </w:pPr>
    <w:rPr>
      <w:lang w:val="en-US" w:eastAsia="ja-JP"/>
    </w:rPr>
  </w:style>
  <w:style w:type="paragraph" w:styleId="BalloonText">
    <w:name w:val="Balloon Text"/>
    <w:basedOn w:val="Normal"/>
    <w:link w:val="BalloonTextChar"/>
    <w:uiPriority w:val="99"/>
    <w:semiHidden/>
    <w:unhideWhenUsed/>
    <w:rsid w:val="002C3670"/>
    <w:rPr>
      <w:rFonts w:ascii="Tahoma" w:hAnsi="Tahoma" w:cs="Tahoma"/>
      <w:sz w:val="16"/>
      <w:szCs w:val="16"/>
    </w:rPr>
  </w:style>
  <w:style w:type="character" w:customStyle="1" w:styleId="BalloonTextChar">
    <w:name w:val="Balloon Text Char"/>
    <w:basedOn w:val="DefaultParagraphFont"/>
    <w:link w:val="BalloonText"/>
    <w:uiPriority w:val="99"/>
    <w:semiHidden/>
    <w:rsid w:val="002C3670"/>
    <w:rPr>
      <w:rFonts w:ascii="Tahoma" w:eastAsia="Times New Roman" w:hAnsi="Tahoma" w:cs="Tahoma"/>
      <w:sz w:val="16"/>
      <w:szCs w:val="16"/>
      <w:lang w:eastAsia="en-AU"/>
    </w:rPr>
  </w:style>
  <w:style w:type="paragraph" w:styleId="ListParagraph">
    <w:name w:val="List Paragraph"/>
    <w:basedOn w:val="Normal"/>
    <w:uiPriority w:val="34"/>
    <w:qFormat/>
    <w:rsid w:val="009A6B4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Textstyle">
    <w:name w:val="Text style"/>
    <w:basedOn w:val="DefaultParagraphFont"/>
    <w:rsid w:val="00997DED"/>
    <w:rPr>
      <w:rFonts w:ascii="Candara" w:hAnsi="Candara"/>
      <w:sz w:val="23"/>
    </w:rPr>
  </w:style>
  <w:style w:type="character" w:styleId="CommentReference">
    <w:name w:val="annotation reference"/>
    <w:basedOn w:val="DefaultParagraphFont"/>
    <w:semiHidden/>
    <w:rsid w:val="00997DED"/>
    <w:rPr>
      <w:sz w:val="16"/>
      <w:szCs w:val="16"/>
    </w:rPr>
  </w:style>
  <w:style w:type="paragraph" w:styleId="CommentText">
    <w:name w:val="annotation text"/>
    <w:basedOn w:val="Normal"/>
    <w:link w:val="CommentTextChar"/>
    <w:semiHidden/>
    <w:rsid w:val="00997DED"/>
    <w:pPr>
      <w:jc w:val="left"/>
    </w:pPr>
    <w:rPr>
      <w:rFonts w:ascii="Times New Roman" w:hAnsi="Times New Roman"/>
      <w:sz w:val="20"/>
      <w:szCs w:val="20"/>
    </w:rPr>
  </w:style>
  <w:style w:type="character" w:customStyle="1" w:styleId="CommentTextChar">
    <w:name w:val="Comment Text Char"/>
    <w:basedOn w:val="DefaultParagraphFont"/>
    <w:link w:val="CommentText"/>
    <w:semiHidden/>
    <w:rsid w:val="00997DED"/>
    <w:rPr>
      <w:rFonts w:ascii="Times New Roman" w:eastAsia="Times New Roman" w:hAnsi="Times New Roman" w:cs="Times New Roman"/>
      <w:sz w:val="20"/>
      <w:szCs w:val="20"/>
      <w:lang w:eastAsia="en-AU"/>
    </w:rPr>
  </w:style>
  <w:style w:type="paragraph" w:customStyle="1" w:styleId="List-number-1">
    <w:name w:val="List-number-1"/>
    <w:basedOn w:val="Normal"/>
    <w:link w:val="List-number-1CharChar"/>
    <w:rsid w:val="00997DED"/>
    <w:pPr>
      <w:numPr>
        <w:numId w:val="1"/>
      </w:numPr>
      <w:spacing w:before="160"/>
      <w:jc w:val="left"/>
    </w:pPr>
    <w:rPr>
      <w:rFonts w:eastAsia="Cambria"/>
      <w:sz w:val="18"/>
      <w:lang w:eastAsia="en-US"/>
    </w:rPr>
  </w:style>
  <w:style w:type="paragraph" w:styleId="TOC1">
    <w:name w:val="toc 1"/>
    <w:basedOn w:val="Normal"/>
    <w:next w:val="Normal"/>
    <w:autoRedefine/>
    <w:uiPriority w:val="39"/>
    <w:unhideWhenUsed/>
    <w:rsid w:val="005D53AE"/>
    <w:pPr>
      <w:tabs>
        <w:tab w:val="left" w:pos="440"/>
        <w:tab w:val="right" w:leader="dot" w:pos="9016"/>
      </w:tabs>
      <w:spacing w:before="240" w:after="100"/>
    </w:pPr>
    <w:rPr>
      <w:noProof/>
    </w:rPr>
  </w:style>
  <w:style w:type="character" w:styleId="Hyperlink">
    <w:name w:val="Hyperlink"/>
    <w:basedOn w:val="DefaultParagraphFont"/>
    <w:uiPriority w:val="99"/>
    <w:unhideWhenUsed/>
    <w:rsid w:val="001A70EC"/>
    <w:rPr>
      <w:color w:val="0000FF" w:themeColor="hyperlink"/>
      <w:u w:val="single"/>
    </w:rPr>
  </w:style>
  <w:style w:type="paragraph" w:styleId="FootnoteText">
    <w:name w:val="footnote text"/>
    <w:aliases w:val=" Char Char, Char,ft,single space,footnote text,fn,Footnote Text Char Char Char Char,Char Char,Char,FOOTNOTES"/>
    <w:basedOn w:val="Normal"/>
    <w:link w:val="FootnoteTextChar"/>
    <w:uiPriority w:val="99"/>
    <w:unhideWhenUsed/>
    <w:rsid w:val="00242EDE"/>
    <w:rPr>
      <w:sz w:val="20"/>
      <w:szCs w:val="20"/>
    </w:rPr>
  </w:style>
  <w:style w:type="character" w:customStyle="1" w:styleId="FootnoteTextChar">
    <w:name w:val="Footnote Text Char"/>
    <w:aliases w:val=" Char Char Char1, Char Char2,ft Char1,single space Char1,footnote text Char1,fn Char1,Footnote Text Char Char Char Char Char1,Char Char Char1,Char Char2,FOOTNOTES Char1"/>
    <w:basedOn w:val="DefaultParagraphFont"/>
    <w:link w:val="FootnoteText"/>
    <w:uiPriority w:val="99"/>
    <w:rsid w:val="00242EDE"/>
    <w:rPr>
      <w:rFonts w:ascii="Arial" w:eastAsia="Times New Roman" w:hAnsi="Arial" w:cs="Times New Roman"/>
      <w:sz w:val="20"/>
      <w:szCs w:val="20"/>
      <w:lang w:eastAsia="en-AU"/>
    </w:rPr>
  </w:style>
  <w:style w:type="character" w:styleId="FootnoteReference">
    <w:name w:val="footnote reference"/>
    <w:aliases w:val="ftref"/>
    <w:basedOn w:val="DefaultParagraphFont"/>
    <w:uiPriority w:val="99"/>
    <w:unhideWhenUsed/>
    <w:rsid w:val="00242EDE"/>
    <w:rPr>
      <w:vertAlign w:val="superscript"/>
    </w:rPr>
  </w:style>
  <w:style w:type="paragraph" w:styleId="Header">
    <w:name w:val="header"/>
    <w:basedOn w:val="Normal"/>
    <w:link w:val="HeaderChar"/>
    <w:uiPriority w:val="99"/>
    <w:unhideWhenUsed/>
    <w:rsid w:val="00496F18"/>
    <w:pPr>
      <w:tabs>
        <w:tab w:val="center" w:pos="4513"/>
        <w:tab w:val="right" w:pos="9026"/>
      </w:tabs>
    </w:pPr>
  </w:style>
  <w:style w:type="character" w:customStyle="1" w:styleId="HeaderChar">
    <w:name w:val="Header Char"/>
    <w:basedOn w:val="DefaultParagraphFont"/>
    <w:link w:val="Header"/>
    <w:uiPriority w:val="99"/>
    <w:rsid w:val="00496F18"/>
    <w:rPr>
      <w:rFonts w:ascii="Arial" w:eastAsia="Times New Roman" w:hAnsi="Arial" w:cs="Times New Roman"/>
      <w:sz w:val="24"/>
      <w:szCs w:val="24"/>
      <w:lang w:eastAsia="en-AU"/>
    </w:rPr>
  </w:style>
  <w:style w:type="paragraph" w:styleId="Footer">
    <w:name w:val="footer"/>
    <w:basedOn w:val="Normal"/>
    <w:link w:val="FooterChar"/>
    <w:uiPriority w:val="99"/>
    <w:unhideWhenUsed/>
    <w:rsid w:val="00496F18"/>
    <w:pPr>
      <w:tabs>
        <w:tab w:val="center" w:pos="4513"/>
        <w:tab w:val="right" w:pos="9026"/>
      </w:tabs>
    </w:pPr>
  </w:style>
  <w:style w:type="character" w:customStyle="1" w:styleId="FooterChar">
    <w:name w:val="Footer Char"/>
    <w:basedOn w:val="DefaultParagraphFont"/>
    <w:link w:val="Footer"/>
    <w:uiPriority w:val="99"/>
    <w:rsid w:val="00496F18"/>
    <w:rPr>
      <w:rFonts w:ascii="Arial" w:eastAsia="Times New Roman" w:hAnsi="Arial" w:cs="Times New Roman"/>
      <w:sz w:val="24"/>
      <w:szCs w:val="24"/>
      <w:lang w:eastAsia="en-AU"/>
    </w:rPr>
  </w:style>
  <w:style w:type="table" w:styleId="TableGrid">
    <w:name w:val="Table Grid"/>
    <w:basedOn w:val="TableNormal"/>
    <w:uiPriority w:val="59"/>
    <w:rsid w:val="006D21E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6D18"/>
    <w:pPr>
      <w:widowControl w:val="0"/>
      <w:autoSpaceDE w:val="0"/>
      <w:autoSpaceDN w:val="0"/>
      <w:adjustRightInd w:val="0"/>
      <w:spacing w:after="0" w:line="240" w:lineRule="auto"/>
    </w:pPr>
    <w:rPr>
      <w:rFonts w:ascii="Arial" w:eastAsiaTheme="minorEastAsia" w:hAnsi="Arial" w:cs="Arial"/>
      <w:color w:val="000000"/>
      <w:sz w:val="24"/>
      <w:szCs w:val="24"/>
      <w:lang w:eastAsia="en-AU"/>
    </w:rPr>
  </w:style>
  <w:style w:type="paragraph" w:customStyle="1" w:styleId="CM15">
    <w:name w:val="CM15"/>
    <w:basedOn w:val="Default"/>
    <w:next w:val="Default"/>
    <w:uiPriority w:val="99"/>
    <w:rsid w:val="00416D18"/>
    <w:rPr>
      <w:color w:val="auto"/>
    </w:rPr>
  </w:style>
  <w:style w:type="character" w:customStyle="1" w:styleId="Heading2Char">
    <w:name w:val="Heading 2 Char"/>
    <w:basedOn w:val="DefaultParagraphFont"/>
    <w:link w:val="Heading2"/>
    <w:uiPriority w:val="9"/>
    <w:rsid w:val="00350AC0"/>
    <w:rPr>
      <w:rFonts w:asciiTheme="majorHAnsi" w:eastAsiaTheme="majorEastAsia" w:hAnsiTheme="majorHAnsi" w:cstheme="majorBidi"/>
      <w:b/>
      <w:bCs/>
      <w:color w:val="4F81BD" w:themeColor="accent1"/>
      <w:sz w:val="26"/>
      <w:szCs w:val="26"/>
      <w:lang w:eastAsia="en-AU"/>
    </w:rPr>
  </w:style>
  <w:style w:type="paragraph" w:styleId="NoSpacing">
    <w:name w:val="No Spacing"/>
    <w:uiPriority w:val="1"/>
    <w:qFormat/>
    <w:rsid w:val="004D6FF3"/>
    <w:pPr>
      <w:spacing w:after="0" w:line="240" w:lineRule="auto"/>
      <w:jc w:val="both"/>
    </w:pPr>
    <w:rPr>
      <w:rFonts w:ascii="Arial" w:eastAsia="Times New Roman" w:hAnsi="Arial" w:cs="Times New Roman"/>
      <w:sz w:val="24"/>
      <w:szCs w:val="24"/>
      <w:lang w:eastAsia="en-AU"/>
    </w:rPr>
  </w:style>
  <w:style w:type="paragraph" w:styleId="TOC2">
    <w:name w:val="toc 2"/>
    <w:basedOn w:val="Normal"/>
    <w:next w:val="Normal"/>
    <w:autoRedefine/>
    <w:uiPriority w:val="39"/>
    <w:unhideWhenUsed/>
    <w:rsid w:val="00955C92"/>
    <w:pPr>
      <w:tabs>
        <w:tab w:val="left" w:pos="880"/>
        <w:tab w:val="right" w:leader="dot" w:pos="9016"/>
      </w:tabs>
      <w:spacing w:after="100"/>
      <w:ind w:left="240"/>
      <w:jc w:val="left"/>
    </w:pPr>
  </w:style>
  <w:style w:type="paragraph" w:styleId="ListBullet">
    <w:name w:val="List Bullet"/>
    <w:aliases w:val="List Bullet Char1,List Bullet Char Char,List Bullet Char2 Char Char,List Bullet Char Char1 Char Char,list letter Char Char Char1 Char Char,list letter Char1 Char1 Char Char,List Bullet Char Char Char Char Char,list letter Char,list letter"/>
    <w:basedOn w:val="Normal"/>
    <w:next w:val="Normal"/>
    <w:link w:val="ListBulletChar"/>
    <w:rsid w:val="002106D3"/>
    <w:pPr>
      <w:numPr>
        <w:numId w:val="4"/>
      </w:numPr>
      <w:spacing w:before="40" w:after="40"/>
    </w:pPr>
    <w:rPr>
      <w:rFonts w:ascii="Times New Roman" w:hAnsi="Times New Roman"/>
      <w:szCs w:val="20"/>
      <w:lang w:eastAsia="en-US"/>
    </w:rPr>
  </w:style>
  <w:style w:type="character" w:customStyle="1" w:styleId="ListBulletChar">
    <w:name w:val="List Bullet Char"/>
    <w:aliases w:val="List Bullet Char1 Char,List Bullet Char Char Char,List Bullet Char2 Char Char Char,List Bullet Char Char1 Char Char Char,list letter Char Char Char1 Char Char Char,list letter Char1 Char1 Char Char Char,list letter Char Char"/>
    <w:basedOn w:val="DefaultParagraphFont"/>
    <w:link w:val="ListBullet"/>
    <w:rsid w:val="002106D3"/>
    <w:rPr>
      <w:rFonts w:ascii="Times New Roman" w:eastAsia="Times New Roman" w:hAnsi="Times New Roman" w:cs="Times New Roman"/>
      <w:sz w:val="24"/>
      <w:szCs w:val="20"/>
    </w:rPr>
  </w:style>
  <w:style w:type="character" w:customStyle="1" w:styleId="FootnoteTextChar1">
    <w:name w:val="Footnote Text Char1"/>
    <w:aliases w:val="Footnote Text Char Char, Char Char Char, Char Char1,ft Char,single space Char,footnote text Char,fn Char,Footnote Text Char Char Char Char Char,Char Char Char,Char Char1,FOOTNOTES Char"/>
    <w:basedOn w:val="DefaultParagraphFont"/>
    <w:rsid w:val="00DD5A1A"/>
    <w:rPr>
      <w:lang w:val="en-AU" w:eastAsia="en-US" w:bidi="ar-SA"/>
    </w:rPr>
  </w:style>
  <w:style w:type="paragraph" w:styleId="BodyText">
    <w:name w:val="Body Text"/>
    <w:aliases w:val="(Alt+1),BodyText,body,text,Body,bt"/>
    <w:basedOn w:val="Normal"/>
    <w:link w:val="BodyTextChar"/>
    <w:rsid w:val="00356ACC"/>
    <w:pPr>
      <w:spacing w:before="40" w:after="240"/>
    </w:pPr>
    <w:rPr>
      <w:rFonts w:ascii="Times New Roman" w:hAnsi="Times New Roman"/>
      <w:szCs w:val="20"/>
      <w:lang w:eastAsia="en-US"/>
    </w:rPr>
  </w:style>
  <w:style w:type="character" w:customStyle="1" w:styleId="BodyTextChar">
    <w:name w:val="Body Text Char"/>
    <w:aliases w:val="(Alt+1) Char,BodyText Char,body Char,text Char,Body Char,bt Char"/>
    <w:basedOn w:val="DefaultParagraphFont"/>
    <w:link w:val="BodyText"/>
    <w:rsid w:val="00356ACC"/>
    <w:rPr>
      <w:rFonts w:ascii="Times New Roman" w:eastAsia="Times New Roman" w:hAnsi="Times New Roman" w:cs="Times New Roman"/>
      <w:sz w:val="24"/>
      <w:szCs w:val="20"/>
    </w:rPr>
  </w:style>
  <w:style w:type="paragraph" w:customStyle="1" w:styleId="style6">
    <w:name w:val="style6"/>
    <w:basedOn w:val="Normal"/>
    <w:rsid w:val="00872041"/>
    <w:pPr>
      <w:spacing w:before="100" w:beforeAutospacing="1" w:after="100" w:afterAutospacing="1"/>
      <w:jc w:val="left"/>
    </w:pPr>
    <w:rPr>
      <w:rFonts w:ascii="Verdana" w:hAnsi="Verdana"/>
      <w:color w:val="000000"/>
      <w:sz w:val="18"/>
      <w:szCs w:val="18"/>
      <w:lang w:val="en-US" w:eastAsia="en-US"/>
    </w:rPr>
  </w:style>
  <w:style w:type="character" w:customStyle="1" w:styleId="Heading3Char">
    <w:name w:val="Heading 3 Char"/>
    <w:basedOn w:val="DefaultParagraphFont"/>
    <w:link w:val="Heading3"/>
    <w:uiPriority w:val="9"/>
    <w:rsid w:val="00BF5401"/>
    <w:rPr>
      <w:rFonts w:asciiTheme="majorHAnsi" w:eastAsiaTheme="majorEastAsia" w:hAnsiTheme="majorHAnsi" w:cstheme="majorBidi"/>
      <w:b/>
      <w:bCs/>
      <w:color w:val="4F81BD" w:themeColor="accent1"/>
      <w:sz w:val="24"/>
      <w:szCs w:val="24"/>
      <w:lang w:eastAsia="en-AU"/>
    </w:rPr>
  </w:style>
  <w:style w:type="paragraph" w:styleId="TOC3">
    <w:name w:val="toc 3"/>
    <w:basedOn w:val="Normal"/>
    <w:next w:val="Normal"/>
    <w:autoRedefine/>
    <w:uiPriority w:val="39"/>
    <w:unhideWhenUsed/>
    <w:rsid w:val="00955C92"/>
    <w:pPr>
      <w:tabs>
        <w:tab w:val="right" w:leader="dot" w:pos="9016"/>
      </w:tabs>
      <w:spacing w:after="100"/>
      <w:ind w:left="480"/>
      <w:jc w:val="left"/>
    </w:pPr>
  </w:style>
  <w:style w:type="paragraph" w:styleId="Caption">
    <w:name w:val="caption"/>
    <w:basedOn w:val="Normal"/>
    <w:next w:val="Normal"/>
    <w:qFormat/>
    <w:rsid w:val="00851F31"/>
    <w:pPr>
      <w:spacing w:before="120" w:after="120"/>
      <w:jc w:val="left"/>
    </w:pPr>
    <w:rPr>
      <w:b/>
      <w:szCs w:val="20"/>
      <w:lang w:eastAsia="en-US"/>
    </w:rPr>
  </w:style>
  <w:style w:type="paragraph" w:customStyle="1" w:styleId="List-number-2">
    <w:name w:val="List-number-2"/>
    <w:basedOn w:val="Normal"/>
    <w:link w:val="List-number-2Char"/>
    <w:rsid w:val="003636D4"/>
    <w:pPr>
      <w:tabs>
        <w:tab w:val="num" w:pos="720"/>
      </w:tabs>
      <w:spacing w:before="60"/>
      <w:ind w:left="720" w:hanging="360"/>
      <w:jc w:val="left"/>
    </w:pPr>
    <w:rPr>
      <w:sz w:val="18"/>
      <w:lang w:eastAsia="en-US"/>
    </w:rPr>
  </w:style>
  <w:style w:type="character" w:customStyle="1" w:styleId="List-number-1CharChar">
    <w:name w:val="List-number-1 Char Char"/>
    <w:link w:val="List-number-1"/>
    <w:rsid w:val="003636D4"/>
    <w:rPr>
      <w:rFonts w:ascii="Arial" w:eastAsia="Cambria" w:hAnsi="Arial" w:cs="Times New Roman"/>
      <w:sz w:val="18"/>
      <w:szCs w:val="24"/>
    </w:rPr>
  </w:style>
  <w:style w:type="character" w:customStyle="1" w:styleId="List-number-1Char">
    <w:name w:val="List-number-1 Char"/>
    <w:rsid w:val="003B7F8E"/>
    <w:rPr>
      <w:rFonts w:ascii="Arial" w:hAnsi="Arial"/>
      <w:szCs w:val="24"/>
      <w:lang w:eastAsia="en-US"/>
    </w:rPr>
  </w:style>
  <w:style w:type="paragraph" w:customStyle="1" w:styleId="BodyText1">
    <w:name w:val="Body Text1"/>
    <w:basedOn w:val="Normal"/>
    <w:rsid w:val="00561218"/>
    <w:pPr>
      <w:spacing w:after="240"/>
    </w:pPr>
    <w:rPr>
      <w:sz w:val="22"/>
      <w:lang w:eastAsia="en-US"/>
    </w:rPr>
  </w:style>
  <w:style w:type="paragraph" w:styleId="NormalWeb">
    <w:name w:val="Normal (Web)"/>
    <w:basedOn w:val="Normal"/>
    <w:rsid w:val="00B808BF"/>
    <w:pPr>
      <w:spacing w:before="100" w:beforeAutospacing="1" w:after="100" w:afterAutospacing="1"/>
      <w:jc w:val="left"/>
    </w:pPr>
    <w:rPr>
      <w:rFonts w:ascii="Times New Roman" w:hAnsi="Times New Roman"/>
      <w:lang w:val="en-US" w:eastAsia="en-US"/>
    </w:rPr>
  </w:style>
  <w:style w:type="character" w:styleId="LineNumber">
    <w:name w:val="line number"/>
    <w:basedOn w:val="DefaultParagraphFont"/>
    <w:uiPriority w:val="99"/>
    <w:semiHidden/>
    <w:unhideWhenUsed/>
    <w:rsid w:val="00F926CA"/>
  </w:style>
  <w:style w:type="paragraph" w:styleId="Revision">
    <w:name w:val="Revision"/>
    <w:hidden/>
    <w:uiPriority w:val="99"/>
    <w:semiHidden/>
    <w:rsid w:val="00AF5CDD"/>
    <w:pPr>
      <w:spacing w:after="0" w:line="240" w:lineRule="auto"/>
    </w:pPr>
    <w:rPr>
      <w:rFonts w:ascii="Arial" w:eastAsia="Times New Roman" w:hAnsi="Arial" w:cs="Times New Roman"/>
      <w:sz w:val="24"/>
      <w:szCs w:val="24"/>
      <w:lang w:eastAsia="en-AU"/>
    </w:rPr>
  </w:style>
  <w:style w:type="character" w:customStyle="1" w:styleId="List-number-2Char">
    <w:name w:val="List-number-2 Char"/>
    <w:link w:val="List-number-2"/>
    <w:rsid w:val="005808EA"/>
    <w:rPr>
      <w:rFonts w:ascii="Arial" w:eastAsia="Times New Roman" w:hAnsi="Arial" w:cs="Times New Roman"/>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363"/>
    <w:pPr>
      <w:spacing w:after="0" w:line="240" w:lineRule="auto"/>
      <w:jc w:val="both"/>
    </w:pPr>
    <w:rPr>
      <w:rFonts w:ascii="Arial" w:eastAsia="Times New Roman" w:hAnsi="Arial" w:cs="Times New Roman"/>
      <w:sz w:val="24"/>
      <w:szCs w:val="24"/>
      <w:lang w:eastAsia="en-AU"/>
    </w:rPr>
  </w:style>
  <w:style w:type="paragraph" w:styleId="Heading1">
    <w:name w:val="heading 1"/>
    <w:basedOn w:val="Normal"/>
    <w:next w:val="Normal"/>
    <w:link w:val="Heading1Char"/>
    <w:uiPriority w:val="9"/>
    <w:qFormat/>
    <w:rsid w:val="002C36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0A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540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670"/>
    <w:rPr>
      <w:rFonts w:asciiTheme="majorHAnsi" w:eastAsiaTheme="majorEastAsia" w:hAnsiTheme="majorHAnsi" w:cstheme="majorBidi"/>
      <w:b/>
      <w:bCs/>
      <w:color w:val="365F91" w:themeColor="accent1" w:themeShade="BF"/>
      <w:sz w:val="28"/>
      <w:szCs w:val="28"/>
      <w:lang w:eastAsia="en-AU"/>
    </w:rPr>
  </w:style>
  <w:style w:type="paragraph" w:styleId="TOCHeading">
    <w:name w:val="TOC Heading"/>
    <w:basedOn w:val="Heading1"/>
    <w:next w:val="Normal"/>
    <w:uiPriority w:val="39"/>
    <w:unhideWhenUsed/>
    <w:qFormat/>
    <w:rsid w:val="002C3670"/>
    <w:pPr>
      <w:spacing w:line="276" w:lineRule="auto"/>
      <w:jc w:val="left"/>
      <w:outlineLvl w:val="9"/>
    </w:pPr>
    <w:rPr>
      <w:lang w:val="en-US" w:eastAsia="ja-JP"/>
    </w:rPr>
  </w:style>
  <w:style w:type="paragraph" w:styleId="BalloonText">
    <w:name w:val="Balloon Text"/>
    <w:basedOn w:val="Normal"/>
    <w:link w:val="BalloonTextChar"/>
    <w:uiPriority w:val="99"/>
    <w:semiHidden/>
    <w:unhideWhenUsed/>
    <w:rsid w:val="002C3670"/>
    <w:rPr>
      <w:rFonts w:ascii="Tahoma" w:hAnsi="Tahoma" w:cs="Tahoma"/>
      <w:sz w:val="16"/>
      <w:szCs w:val="16"/>
    </w:rPr>
  </w:style>
  <w:style w:type="character" w:customStyle="1" w:styleId="BalloonTextChar">
    <w:name w:val="Balloon Text Char"/>
    <w:basedOn w:val="DefaultParagraphFont"/>
    <w:link w:val="BalloonText"/>
    <w:uiPriority w:val="99"/>
    <w:semiHidden/>
    <w:rsid w:val="002C3670"/>
    <w:rPr>
      <w:rFonts w:ascii="Tahoma" w:eastAsia="Times New Roman" w:hAnsi="Tahoma" w:cs="Tahoma"/>
      <w:sz w:val="16"/>
      <w:szCs w:val="16"/>
      <w:lang w:eastAsia="en-AU"/>
    </w:rPr>
  </w:style>
  <w:style w:type="paragraph" w:styleId="ListParagraph">
    <w:name w:val="List Paragraph"/>
    <w:basedOn w:val="Normal"/>
    <w:uiPriority w:val="34"/>
    <w:qFormat/>
    <w:rsid w:val="009A6B4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Textstyle">
    <w:name w:val="Text style"/>
    <w:basedOn w:val="DefaultParagraphFont"/>
    <w:rsid w:val="00997DED"/>
    <w:rPr>
      <w:rFonts w:ascii="Candara" w:hAnsi="Candara"/>
      <w:sz w:val="23"/>
    </w:rPr>
  </w:style>
  <w:style w:type="character" w:styleId="CommentReference">
    <w:name w:val="annotation reference"/>
    <w:basedOn w:val="DefaultParagraphFont"/>
    <w:semiHidden/>
    <w:rsid w:val="00997DED"/>
    <w:rPr>
      <w:sz w:val="16"/>
      <w:szCs w:val="16"/>
    </w:rPr>
  </w:style>
  <w:style w:type="paragraph" w:styleId="CommentText">
    <w:name w:val="annotation text"/>
    <w:basedOn w:val="Normal"/>
    <w:link w:val="CommentTextChar"/>
    <w:semiHidden/>
    <w:rsid w:val="00997DED"/>
    <w:pPr>
      <w:jc w:val="left"/>
    </w:pPr>
    <w:rPr>
      <w:rFonts w:ascii="Times New Roman" w:hAnsi="Times New Roman"/>
      <w:sz w:val="20"/>
      <w:szCs w:val="20"/>
    </w:rPr>
  </w:style>
  <w:style w:type="character" w:customStyle="1" w:styleId="CommentTextChar">
    <w:name w:val="Comment Text Char"/>
    <w:basedOn w:val="DefaultParagraphFont"/>
    <w:link w:val="CommentText"/>
    <w:semiHidden/>
    <w:rsid w:val="00997DED"/>
    <w:rPr>
      <w:rFonts w:ascii="Times New Roman" w:eastAsia="Times New Roman" w:hAnsi="Times New Roman" w:cs="Times New Roman"/>
      <w:sz w:val="20"/>
      <w:szCs w:val="20"/>
      <w:lang w:eastAsia="en-AU"/>
    </w:rPr>
  </w:style>
  <w:style w:type="paragraph" w:customStyle="1" w:styleId="List-number-1">
    <w:name w:val="List-number-1"/>
    <w:basedOn w:val="Normal"/>
    <w:link w:val="List-number-1CharChar"/>
    <w:rsid w:val="00997DED"/>
    <w:pPr>
      <w:numPr>
        <w:numId w:val="1"/>
      </w:numPr>
      <w:spacing w:before="160"/>
      <w:jc w:val="left"/>
    </w:pPr>
    <w:rPr>
      <w:rFonts w:eastAsia="Cambria"/>
      <w:sz w:val="18"/>
      <w:lang w:eastAsia="en-US"/>
    </w:rPr>
  </w:style>
  <w:style w:type="paragraph" w:styleId="TOC1">
    <w:name w:val="toc 1"/>
    <w:basedOn w:val="Normal"/>
    <w:next w:val="Normal"/>
    <w:autoRedefine/>
    <w:uiPriority w:val="39"/>
    <w:unhideWhenUsed/>
    <w:rsid w:val="005D53AE"/>
    <w:pPr>
      <w:tabs>
        <w:tab w:val="left" w:pos="440"/>
        <w:tab w:val="right" w:leader="dot" w:pos="9016"/>
      </w:tabs>
      <w:spacing w:before="240" w:after="100"/>
    </w:pPr>
    <w:rPr>
      <w:noProof/>
    </w:rPr>
  </w:style>
  <w:style w:type="character" w:styleId="Hyperlink">
    <w:name w:val="Hyperlink"/>
    <w:basedOn w:val="DefaultParagraphFont"/>
    <w:uiPriority w:val="99"/>
    <w:unhideWhenUsed/>
    <w:rsid w:val="001A70EC"/>
    <w:rPr>
      <w:color w:val="0000FF" w:themeColor="hyperlink"/>
      <w:u w:val="single"/>
    </w:rPr>
  </w:style>
  <w:style w:type="paragraph" w:styleId="FootnoteText">
    <w:name w:val="footnote text"/>
    <w:aliases w:val=" Char Char, Char,ft,single space,footnote text,fn,Footnote Text Char Char Char Char,Char Char,Char,FOOTNOTES"/>
    <w:basedOn w:val="Normal"/>
    <w:link w:val="FootnoteTextChar"/>
    <w:uiPriority w:val="99"/>
    <w:unhideWhenUsed/>
    <w:rsid w:val="00242EDE"/>
    <w:rPr>
      <w:sz w:val="20"/>
      <w:szCs w:val="20"/>
    </w:rPr>
  </w:style>
  <w:style w:type="character" w:customStyle="1" w:styleId="FootnoteTextChar">
    <w:name w:val="Footnote Text Char"/>
    <w:aliases w:val=" Char Char Char1, Char Char2,ft Char1,single space Char1,footnote text Char1,fn Char1,Footnote Text Char Char Char Char Char1,Char Char Char1,Char Char2,FOOTNOTES Char1"/>
    <w:basedOn w:val="DefaultParagraphFont"/>
    <w:link w:val="FootnoteText"/>
    <w:uiPriority w:val="99"/>
    <w:rsid w:val="00242EDE"/>
    <w:rPr>
      <w:rFonts w:ascii="Arial" w:eastAsia="Times New Roman" w:hAnsi="Arial" w:cs="Times New Roman"/>
      <w:sz w:val="20"/>
      <w:szCs w:val="20"/>
      <w:lang w:eastAsia="en-AU"/>
    </w:rPr>
  </w:style>
  <w:style w:type="character" w:styleId="FootnoteReference">
    <w:name w:val="footnote reference"/>
    <w:aliases w:val="ftref"/>
    <w:basedOn w:val="DefaultParagraphFont"/>
    <w:uiPriority w:val="99"/>
    <w:unhideWhenUsed/>
    <w:rsid w:val="00242EDE"/>
    <w:rPr>
      <w:vertAlign w:val="superscript"/>
    </w:rPr>
  </w:style>
  <w:style w:type="paragraph" w:styleId="Header">
    <w:name w:val="header"/>
    <w:basedOn w:val="Normal"/>
    <w:link w:val="HeaderChar"/>
    <w:uiPriority w:val="99"/>
    <w:unhideWhenUsed/>
    <w:rsid w:val="00496F18"/>
    <w:pPr>
      <w:tabs>
        <w:tab w:val="center" w:pos="4513"/>
        <w:tab w:val="right" w:pos="9026"/>
      </w:tabs>
    </w:pPr>
  </w:style>
  <w:style w:type="character" w:customStyle="1" w:styleId="HeaderChar">
    <w:name w:val="Header Char"/>
    <w:basedOn w:val="DefaultParagraphFont"/>
    <w:link w:val="Header"/>
    <w:uiPriority w:val="99"/>
    <w:rsid w:val="00496F18"/>
    <w:rPr>
      <w:rFonts w:ascii="Arial" w:eastAsia="Times New Roman" w:hAnsi="Arial" w:cs="Times New Roman"/>
      <w:sz w:val="24"/>
      <w:szCs w:val="24"/>
      <w:lang w:eastAsia="en-AU"/>
    </w:rPr>
  </w:style>
  <w:style w:type="paragraph" w:styleId="Footer">
    <w:name w:val="footer"/>
    <w:basedOn w:val="Normal"/>
    <w:link w:val="FooterChar"/>
    <w:uiPriority w:val="99"/>
    <w:unhideWhenUsed/>
    <w:rsid w:val="00496F18"/>
    <w:pPr>
      <w:tabs>
        <w:tab w:val="center" w:pos="4513"/>
        <w:tab w:val="right" w:pos="9026"/>
      </w:tabs>
    </w:pPr>
  </w:style>
  <w:style w:type="character" w:customStyle="1" w:styleId="FooterChar">
    <w:name w:val="Footer Char"/>
    <w:basedOn w:val="DefaultParagraphFont"/>
    <w:link w:val="Footer"/>
    <w:uiPriority w:val="99"/>
    <w:rsid w:val="00496F18"/>
    <w:rPr>
      <w:rFonts w:ascii="Arial" w:eastAsia="Times New Roman" w:hAnsi="Arial" w:cs="Times New Roman"/>
      <w:sz w:val="24"/>
      <w:szCs w:val="24"/>
      <w:lang w:eastAsia="en-AU"/>
    </w:rPr>
  </w:style>
  <w:style w:type="table" w:styleId="TableGrid">
    <w:name w:val="Table Grid"/>
    <w:basedOn w:val="TableNormal"/>
    <w:uiPriority w:val="59"/>
    <w:rsid w:val="006D21E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6D18"/>
    <w:pPr>
      <w:widowControl w:val="0"/>
      <w:autoSpaceDE w:val="0"/>
      <w:autoSpaceDN w:val="0"/>
      <w:adjustRightInd w:val="0"/>
      <w:spacing w:after="0" w:line="240" w:lineRule="auto"/>
    </w:pPr>
    <w:rPr>
      <w:rFonts w:ascii="Arial" w:eastAsiaTheme="minorEastAsia" w:hAnsi="Arial" w:cs="Arial"/>
      <w:color w:val="000000"/>
      <w:sz w:val="24"/>
      <w:szCs w:val="24"/>
      <w:lang w:eastAsia="en-AU"/>
    </w:rPr>
  </w:style>
  <w:style w:type="paragraph" w:customStyle="1" w:styleId="CM15">
    <w:name w:val="CM15"/>
    <w:basedOn w:val="Default"/>
    <w:next w:val="Default"/>
    <w:uiPriority w:val="99"/>
    <w:rsid w:val="00416D18"/>
    <w:rPr>
      <w:color w:val="auto"/>
    </w:rPr>
  </w:style>
  <w:style w:type="character" w:customStyle="1" w:styleId="Heading2Char">
    <w:name w:val="Heading 2 Char"/>
    <w:basedOn w:val="DefaultParagraphFont"/>
    <w:link w:val="Heading2"/>
    <w:uiPriority w:val="9"/>
    <w:rsid w:val="00350AC0"/>
    <w:rPr>
      <w:rFonts w:asciiTheme="majorHAnsi" w:eastAsiaTheme="majorEastAsia" w:hAnsiTheme="majorHAnsi" w:cstheme="majorBidi"/>
      <w:b/>
      <w:bCs/>
      <w:color w:val="4F81BD" w:themeColor="accent1"/>
      <w:sz w:val="26"/>
      <w:szCs w:val="26"/>
      <w:lang w:eastAsia="en-AU"/>
    </w:rPr>
  </w:style>
  <w:style w:type="paragraph" w:styleId="NoSpacing">
    <w:name w:val="No Spacing"/>
    <w:uiPriority w:val="1"/>
    <w:qFormat/>
    <w:rsid w:val="004D6FF3"/>
    <w:pPr>
      <w:spacing w:after="0" w:line="240" w:lineRule="auto"/>
      <w:jc w:val="both"/>
    </w:pPr>
    <w:rPr>
      <w:rFonts w:ascii="Arial" w:eastAsia="Times New Roman" w:hAnsi="Arial" w:cs="Times New Roman"/>
      <w:sz w:val="24"/>
      <w:szCs w:val="24"/>
      <w:lang w:eastAsia="en-AU"/>
    </w:rPr>
  </w:style>
  <w:style w:type="paragraph" w:styleId="TOC2">
    <w:name w:val="toc 2"/>
    <w:basedOn w:val="Normal"/>
    <w:next w:val="Normal"/>
    <w:autoRedefine/>
    <w:uiPriority w:val="39"/>
    <w:unhideWhenUsed/>
    <w:rsid w:val="00955C92"/>
    <w:pPr>
      <w:tabs>
        <w:tab w:val="left" w:pos="880"/>
        <w:tab w:val="right" w:leader="dot" w:pos="9016"/>
      </w:tabs>
      <w:spacing w:after="100"/>
      <w:ind w:left="240"/>
      <w:jc w:val="left"/>
    </w:pPr>
  </w:style>
  <w:style w:type="paragraph" w:styleId="ListBullet">
    <w:name w:val="List Bullet"/>
    <w:aliases w:val="List Bullet Char1,List Bullet Char Char,List Bullet Char2 Char Char,List Bullet Char Char1 Char Char,list letter Char Char Char1 Char Char,list letter Char1 Char1 Char Char,List Bullet Char Char Char Char Char,list letter Char,list letter"/>
    <w:basedOn w:val="Normal"/>
    <w:next w:val="Normal"/>
    <w:link w:val="ListBulletChar"/>
    <w:rsid w:val="002106D3"/>
    <w:pPr>
      <w:numPr>
        <w:numId w:val="4"/>
      </w:numPr>
      <w:spacing w:before="40" w:after="40"/>
    </w:pPr>
    <w:rPr>
      <w:rFonts w:ascii="Times New Roman" w:hAnsi="Times New Roman"/>
      <w:szCs w:val="20"/>
      <w:lang w:eastAsia="en-US"/>
    </w:rPr>
  </w:style>
  <w:style w:type="character" w:customStyle="1" w:styleId="ListBulletChar">
    <w:name w:val="List Bullet Char"/>
    <w:aliases w:val="List Bullet Char1 Char,List Bullet Char Char Char,List Bullet Char2 Char Char Char,List Bullet Char Char1 Char Char Char,list letter Char Char Char1 Char Char Char,list letter Char1 Char1 Char Char Char,list letter Char Char"/>
    <w:basedOn w:val="DefaultParagraphFont"/>
    <w:link w:val="ListBullet"/>
    <w:rsid w:val="002106D3"/>
    <w:rPr>
      <w:rFonts w:ascii="Times New Roman" w:eastAsia="Times New Roman" w:hAnsi="Times New Roman" w:cs="Times New Roman"/>
      <w:sz w:val="24"/>
      <w:szCs w:val="20"/>
    </w:rPr>
  </w:style>
  <w:style w:type="character" w:customStyle="1" w:styleId="FootnoteTextChar1">
    <w:name w:val="Footnote Text Char1"/>
    <w:aliases w:val="Footnote Text Char Char, Char Char Char, Char Char1,ft Char,single space Char,footnote text Char,fn Char,Footnote Text Char Char Char Char Char,Char Char Char,Char Char1,FOOTNOTES Char"/>
    <w:basedOn w:val="DefaultParagraphFont"/>
    <w:rsid w:val="00DD5A1A"/>
    <w:rPr>
      <w:lang w:val="en-AU" w:eastAsia="en-US" w:bidi="ar-SA"/>
    </w:rPr>
  </w:style>
  <w:style w:type="paragraph" w:styleId="BodyText">
    <w:name w:val="Body Text"/>
    <w:aliases w:val="(Alt+1),BodyText,body,text,Body,bt"/>
    <w:basedOn w:val="Normal"/>
    <w:link w:val="BodyTextChar"/>
    <w:rsid w:val="00356ACC"/>
    <w:pPr>
      <w:spacing w:before="40" w:after="240"/>
    </w:pPr>
    <w:rPr>
      <w:rFonts w:ascii="Times New Roman" w:hAnsi="Times New Roman"/>
      <w:szCs w:val="20"/>
      <w:lang w:eastAsia="en-US"/>
    </w:rPr>
  </w:style>
  <w:style w:type="character" w:customStyle="1" w:styleId="BodyTextChar">
    <w:name w:val="Body Text Char"/>
    <w:aliases w:val="(Alt+1) Char,BodyText Char,body Char,text Char,Body Char,bt Char"/>
    <w:basedOn w:val="DefaultParagraphFont"/>
    <w:link w:val="BodyText"/>
    <w:rsid w:val="00356ACC"/>
    <w:rPr>
      <w:rFonts w:ascii="Times New Roman" w:eastAsia="Times New Roman" w:hAnsi="Times New Roman" w:cs="Times New Roman"/>
      <w:sz w:val="24"/>
      <w:szCs w:val="20"/>
    </w:rPr>
  </w:style>
  <w:style w:type="paragraph" w:customStyle="1" w:styleId="style6">
    <w:name w:val="style6"/>
    <w:basedOn w:val="Normal"/>
    <w:rsid w:val="00872041"/>
    <w:pPr>
      <w:spacing w:before="100" w:beforeAutospacing="1" w:after="100" w:afterAutospacing="1"/>
      <w:jc w:val="left"/>
    </w:pPr>
    <w:rPr>
      <w:rFonts w:ascii="Verdana" w:hAnsi="Verdana"/>
      <w:color w:val="000000"/>
      <w:sz w:val="18"/>
      <w:szCs w:val="18"/>
      <w:lang w:val="en-US" w:eastAsia="en-US"/>
    </w:rPr>
  </w:style>
  <w:style w:type="character" w:customStyle="1" w:styleId="Heading3Char">
    <w:name w:val="Heading 3 Char"/>
    <w:basedOn w:val="DefaultParagraphFont"/>
    <w:link w:val="Heading3"/>
    <w:uiPriority w:val="9"/>
    <w:rsid w:val="00BF5401"/>
    <w:rPr>
      <w:rFonts w:asciiTheme="majorHAnsi" w:eastAsiaTheme="majorEastAsia" w:hAnsiTheme="majorHAnsi" w:cstheme="majorBidi"/>
      <w:b/>
      <w:bCs/>
      <w:color w:val="4F81BD" w:themeColor="accent1"/>
      <w:sz w:val="24"/>
      <w:szCs w:val="24"/>
      <w:lang w:eastAsia="en-AU"/>
    </w:rPr>
  </w:style>
  <w:style w:type="paragraph" w:styleId="TOC3">
    <w:name w:val="toc 3"/>
    <w:basedOn w:val="Normal"/>
    <w:next w:val="Normal"/>
    <w:autoRedefine/>
    <w:uiPriority w:val="39"/>
    <w:unhideWhenUsed/>
    <w:rsid w:val="00955C92"/>
    <w:pPr>
      <w:tabs>
        <w:tab w:val="right" w:leader="dot" w:pos="9016"/>
      </w:tabs>
      <w:spacing w:after="100"/>
      <w:ind w:left="480"/>
      <w:jc w:val="left"/>
    </w:pPr>
  </w:style>
  <w:style w:type="paragraph" w:styleId="Caption">
    <w:name w:val="caption"/>
    <w:basedOn w:val="Normal"/>
    <w:next w:val="Normal"/>
    <w:qFormat/>
    <w:rsid w:val="00851F31"/>
    <w:pPr>
      <w:spacing w:before="120" w:after="120"/>
      <w:jc w:val="left"/>
    </w:pPr>
    <w:rPr>
      <w:b/>
      <w:szCs w:val="20"/>
      <w:lang w:eastAsia="en-US"/>
    </w:rPr>
  </w:style>
  <w:style w:type="paragraph" w:customStyle="1" w:styleId="List-number-2">
    <w:name w:val="List-number-2"/>
    <w:basedOn w:val="Normal"/>
    <w:link w:val="List-number-2Char"/>
    <w:rsid w:val="003636D4"/>
    <w:pPr>
      <w:tabs>
        <w:tab w:val="num" w:pos="720"/>
      </w:tabs>
      <w:spacing w:before="60"/>
      <w:ind w:left="720" w:hanging="360"/>
      <w:jc w:val="left"/>
    </w:pPr>
    <w:rPr>
      <w:sz w:val="18"/>
      <w:lang w:eastAsia="en-US"/>
    </w:rPr>
  </w:style>
  <w:style w:type="character" w:customStyle="1" w:styleId="List-number-1CharChar">
    <w:name w:val="List-number-1 Char Char"/>
    <w:link w:val="List-number-1"/>
    <w:rsid w:val="003636D4"/>
    <w:rPr>
      <w:rFonts w:ascii="Arial" w:eastAsia="Cambria" w:hAnsi="Arial" w:cs="Times New Roman"/>
      <w:sz w:val="18"/>
      <w:szCs w:val="24"/>
    </w:rPr>
  </w:style>
  <w:style w:type="character" w:customStyle="1" w:styleId="List-number-1Char">
    <w:name w:val="List-number-1 Char"/>
    <w:rsid w:val="003B7F8E"/>
    <w:rPr>
      <w:rFonts w:ascii="Arial" w:hAnsi="Arial"/>
      <w:szCs w:val="24"/>
      <w:lang w:eastAsia="en-US"/>
    </w:rPr>
  </w:style>
  <w:style w:type="paragraph" w:customStyle="1" w:styleId="BodyText1">
    <w:name w:val="Body Text1"/>
    <w:basedOn w:val="Normal"/>
    <w:rsid w:val="00561218"/>
    <w:pPr>
      <w:spacing w:after="240"/>
    </w:pPr>
    <w:rPr>
      <w:sz w:val="22"/>
      <w:lang w:eastAsia="en-US"/>
    </w:rPr>
  </w:style>
  <w:style w:type="paragraph" w:styleId="NormalWeb">
    <w:name w:val="Normal (Web)"/>
    <w:basedOn w:val="Normal"/>
    <w:rsid w:val="00B808BF"/>
    <w:pPr>
      <w:spacing w:before="100" w:beforeAutospacing="1" w:after="100" w:afterAutospacing="1"/>
      <w:jc w:val="left"/>
    </w:pPr>
    <w:rPr>
      <w:rFonts w:ascii="Times New Roman" w:hAnsi="Times New Roman"/>
      <w:lang w:val="en-US" w:eastAsia="en-US"/>
    </w:rPr>
  </w:style>
  <w:style w:type="character" w:styleId="LineNumber">
    <w:name w:val="line number"/>
    <w:basedOn w:val="DefaultParagraphFont"/>
    <w:uiPriority w:val="99"/>
    <w:semiHidden/>
    <w:unhideWhenUsed/>
    <w:rsid w:val="00F926CA"/>
  </w:style>
  <w:style w:type="paragraph" w:styleId="Revision">
    <w:name w:val="Revision"/>
    <w:hidden/>
    <w:uiPriority w:val="99"/>
    <w:semiHidden/>
    <w:rsid w:val="00AF5CDD"/>
    <w:pPr>
      <w:spacing w:after="0" w:line="240" w:lineRule="auto"/>
    </w:pPr>
    <w:rPr>
      <w:rFonts w:ascii="Arial" w:eastAsia="Times New Roman" w:hAnsi="Arial" w:cs="Times New Roman"/>
      <w:sz w:val="24"/>
      <w:szCs w:val="24"/>
      <w:lang w:eastAsia="en-AU"/>
    </w:rPr>
  </w:style>
  <w:style w:type="character" w:customStyle="1" w:styleId="List-number-2Char">
    <w:name w:val="List-number-2 Char"/>
    <w:link w:val="List-number-2"/>
    <w:rsid w:val="005808EA"/>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944691">
      <w:bodyDiv w:val="1"/>
      <w:marLeft w:val="0"/>
      <w:marRight w:val="0"/>
      <w:marTop w:val="0"/>
      <w:marBottom w:val="0"/>
      <w:divBdr>
        <w:top w:val="none" w:sz="0" w:space="0" w:color="auto"/>
        <w:left w:val="none" w:sz="0" w:space="0" w:color="auto"/>
        <w:bottom w:val="none" w:sz="0" w:space="0" w:color="auto"/>
        <w:right w:val="none" w:sz="0" w:space="0" w:color="auto"/>
      </w:divBdr>
    </w:div>
    <w:div w:id="595216945">
      <w:bodyDiv w:val="1"/>
      <w:marLeft w:val="0"/>
      <w:marRight w:val="0"/>
      <w:marTop w:val="0"/>
      <w:marBottom w:val="0"/>
      <w:divBdr>
        <w:top w:val="none" w:sz="0" w:space="0" w:color="auto"/>
        <w:left w:val="none" w:sz="0" w:space="0" w:color="auto"/>
        <w:bottom w:val="none" w:sz="0" w:space="0" w:color="auto"/>
        <w:right w:val="none" w:sz="0" w:space="0" w:color="auto"/>
      </w:divBdr>
    </w:div>
    <w:div w:id="709917017">
      <w:bodyDiv w:val="1"/>
      <w:marLeft w:val="0"/>
      <w:marRight w:val="0"/>
      <w:marTop w:val="0"/>
      <w:marBottom w:val="0"/>
      <w:divBdr>
        <w:top w:val="none" w:sz="0" w:space="0" w:color="auto"/>
        <w:left w:val="none" w:sz="0" w:space="0" w:color="auto"/>
        <w:bottom w:val="none" w:sz="0" w:space="0" w:color="auto"/>
        <w:right w:val="none" w:sz="0" w:space="0" w:color="auto"/>
      </w:divBdr>
    </w:div>
    <w:div w:id="956956926">
      <w:bodyDiv w:val="1"/>
      <w:marLeft w:val="0"/>
      <w:marRight w:val="0"/>
      <w:marTop w:val="0"/>
      <w:marBottom w:val="0"/>
      <w:divBdr>
        <w:top w:val="none" w:sz="0" w:space="0" w:color="auto"/>
        <w:left w:val="none" w:sz="0" w:space="0" w:color="auto"/>
        <w:bottom w:val="none" w:sz="0" w:space="0" w:color="auto"/>
        <w:right w:val="none" w:sz="0" w:space="0" w:color="auto"/>
      </w:divBdr>
    </w:div>
    <w:div w:id="1093748768">
      <w:bodyDiv w:val="1"/>
      <w:marLeft w:val="0"/>
      <w:marRight w:val="0"/>
      <w:marTop w:val="0"/>
      <w:marBottom w:val="0"/>
      <w:divBdr>
        <w:top w:val="none" w:sz="0" w:space="0" w:color="auto"/>
        <w:left w:val="none" w:sz="0" w:space="0" w:color="auto"/>
        <w:bottom w:val="none" w:sz="0" w:space="0" w:color="auto"/>
        <w:right w:val="none" w:sz="0" w:space="0" w:color="auto"/>
      </w:divBdr>
    </w:div>
    <w:div w:id="1318804279">
      <w:bodyDiv w:val="1"/>
      <w:marLeft w:val="0"/>
      <w:marRight w:val="0"/>
      <w:marTop w:val="0"/>
      <w:marBottom w:val="0"/>
      <w:divBdr>
        <w:top w:val="none" w:sz="0" w:space="0" w:color="auto"/>
        <w:left w:val="none" w:sz="0" w:space="0" w:color="auto"/>
        <w:bottom w:val="none" w:sz="0" w:space="0" w:color="auto"/>
        <w:right w:val="none" w:sz="0" w:space="0" w:color="auto"/>
      </w:divBdr>
    </w:div>
    <w:div w:id="1327587433">
      <w:bodyDiv w:val="1"/>
      <w:marLeft w:val="0"/>
      <w:marRight w:val="0"/>
      <w:marTop w:val="0"/>
      <w:marBottom w:val="0"/>
      <w:divBdr>
        <w:top w:val="none" w:sz="0" w:space="0" w:color="auto"/>
        <w:left w:val="none" w:sz="0" w:space="0" w:color="auto"/>
        <w:bottom w:val="none" w:sz="0" w:space="0" w:color="auto"/>
        <w:right w:val="none" w:sz="0" w:space="0" w:color="auto"/>
      </w:divBdr>
    </w:div>
    <w:div w:id="1530340934">
      <w:bodyDiv w:val="1"/>
      <w:marLeft w:val="0"/>
      <w:marRight w:val="0"/>
      <w:marTop w:val="0"/>
      <w:marBottom w:val="0"/>
      <w:divBdr>
        <w:top w:val="none" w:sz="0" w:space="0" w:color="auto"/>
        <w:left w:val="none" w:sz="0" w:space="0" w:color="auto"/>
        <w:bottom w:val="none" w:sz="0" w:space="0" w:color="auto"/>
        <w:right w:val="none" w:sz="0" w:space="0" w:color="auto"/>
      </w:divBdr>
    </w:div>
    <w:div w:id="1676224369">
      <w:bodyDiv w:val="1"/>
      <w:marLeft w:val="0"/>
      <w:marRight w:val="0"/>
      <w:marTop w:val="0"/>
      <w:marBottom w:val="0"/>
      <w:divBdr>
        <w:top w:val="none" w:sz="0" w:space="0" w:color="auto"/>
        <w:left w:val="none" w:sz="0" w:space="0" w:color="auto"/>
        <w:bottom w:val="none" w:sz="0" w:space="0" w:color="auto"/>
        <w:right w:val="none" w:sz="0" w:space="0" w:color="auto"/>
      </w:divBdr>
    </w:div>
    <w:div w:id="2044863942">
      <w:bodyDiv w:val="1"/>
      <w:marLeft w:val="0"/>
      <w:marRight w:val="0"/>
      <w:marTop w:val="0"/>
      <w:marBottom w:val="0"/>
      <w:divBdr>
        <w:top w:val="none" w:sz="0" w:space="0" w:color="auto"/>
        <w:left w:val="none" w:sz="0" w:space="0" w:color="auto"/>
        <w:bottom w:val="none" w:sz="0" w:space="0" w:color="auto"/>
        <w:right w:val="none" w:sz="0" w:space="0" w:color="auto"/>
      </w:divBdr>
    </w:div>
    <w:div w:id="2070883174">
      <w:bodyDiv w:val="1"/>
      <w:marLeft w:val="0"/>
      <w:marRight w:val="0"/>
      <w:marTop w:val="0"/>
      <w:marBottom w:val="0"/>
      <w:divBdr>
        <w:top w:val="none" w:sz="0" w:space="0" w:color="auto"/>
        <w:left w:val="none" w:sz="0" w:space="0" w:color="auto"/>
        <w:bottom w:val="none" w:sz="0" w:space="0" w:color="auto"/>
        <w:right w:val="none" w:sz="0" w:space="0" w:color="auto"/>
      </w:divBdr>
    </w:div>
    <w:div w:id="211689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1D4AD-C386-424C-A78D-AF9678984E3A}"/>
</file>

<file path=customXml/itemProps2.xml><?xml version="1.0" encoding="utf-8"?>
<ds:datastoreItem xmlns:ds="http://schemas.openxmlformats.org/officeDocument/2006/customXml" ds:itemID="{5CB772EF-EBD7-47C4-AB29-C9704FC61710}"/>
</file>

<file path=customXml/itemProps3.xml><?xml version="1.0" encoding="utf-8"?>
<ds:datastoreItem xmlns:ds="http://schemas.openxmlformats.org/officeDocument/2006/customXml" ds:itemID="{348C6AED-93DE-4C63-995F-554C1EFD4B0A}"/>
</file>

<file path=customXml/itemProps4.xml><?xml version="1.0" encoding="utf-8"?>
<ds:datastoreItem xmlns:ds="http://schemas.openxmlformats.org/officeDocument/2006/customXml" ds:itemID="{3D6E34A0-E95F-4CE0-A4D6-898C29BEAC2C}"/>
</file>

<file path=docProps/app.xml><?xml version="1.0" encoding="utf-8"?>
<Properties xmlns="http://schemas.openxmlformats.org/officeDocument/2006/extended-properties" xmlns:vt="http://schemas.openxmlformats.org/officeDocument/2006/docPropsVTypes">
  <Template>93B29E5D</Template>
  <TotalTime>0</TotalTime>
  <Pages>69</Pages>
  <Words>23115</Words>
  <Characters>131759</Characters>
  <Application>Microsoft Office Word</Application>
  <DocSecurity>0</DocSecurity>
  <Lines>1097</Lines>
  <Paragraphs>309</Paragraphs>
  <ScaleCrop>false</ScaleCrop>
  <Company/>
  <LinksUpToDate>false</LinksUpToDate>
  <CharactersWithSpaces>154565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2016-01-12T05:30:00Z</dcterms:created>
  <dcterms:modified xsi:type="dcterms:W3CDTF">2016-01-12T05:30:00Z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1003500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