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77716A5" w14:textId="7FFEC255" w:rsidR="0059146A" w:rsidRPr="0059146A" w:rsidRDefault="00A56F14" w:rsidP="0059146A">
      <w:bookmarkStart w:id="0" w:name="_GoBack"/>
      <w:bookmarkEnd w:id="0"/>
      <w:r>
        <w:rPr>
          <w:noProof/>
          <w:lang w:val="en-AU" w:eastAsia="en-AU"/>
        </w:rPr>
        <w:drawing>
          <wp:anchor distT="0" distB="0" distL="114300" distR="114300" simplePos="0" relativeHeight="251661312" behindDoc="1" locked="1" layoutInCell="1" allowOverlap="1" wp14:anchorId="5DD58185" wp14:editId="62D6B304">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619E8947" wp14:editId="3F17C7EE">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14:paraId="58C0A5FC" w14:textId="054800C0" w:rsidR="0059146A" w:rsidRDefault="00A56F14" w:rsidP="00CF39F3">
      <w:pPr>
        <w:pStyle w:val="Title"/>
        <w:spacing w:before="10440" w:after="120" w:line="600" w:lineRule="exact"/>
        <w:rPr>
          <w:sz w:val="24"/>
        </w:rPr>
        <w:sectPr w:rsidR="0059146A" w:rsidSect="00F568EB">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Pr>
          <w:spacing w:val="-20"/>
          <w:sz w:val="60"/>
        </w:rPr>
        <w:t>Aid program performance</w:t>
      </w:r>
      <w:r w:rsidR="003D352D" w:rsidRPr="003D352D">
        <w:rPr>
          <w:spacing w:val="-20"/>
          <w:sz w:val="60"/>
        </w:rPr>
        <w:t xml:space="preserve"> </w:t>
      </w:r>
      <w:r>
        <w:rPr>
          <w:spacing w:val="-20"/>
          <w:sz w:val="60"/>
        </w:rPr>
        <w:t xml:space="preserve">report </w:t>
      </w:r>
      <w:r w:rsidR="00550890">
        <w:rPr>
          <w:spacing w:val="-20"/>
          <w:sz w:val="60"/>
        </w:rPr>
        <w:t xml:space="preserve">SUMMARY </w:t>
      </w:r>
      <w:r>
        <w:rPr>
          <w:spacing w:val="-20"/>
          <w:sz w:val="60"/>
        </w:rPr>
        <w:t>201</w:t>
      </w:r>
      <w:r w:rsidR="00550890">
        <w:rPr>
          <w:spacing w:val="-20"/>
          <w:sz w:val="60"/>
        </w:rPr>
        <w:t>8-19</w:t>
      </w:r>
      <w:r w:rsidR="00CF39F3">
        <w:rPr>
          <w:spacing w:val="-20"/>
          <w:sz w:val="60"/>
        </w:rPr>
        <w:br/>
      </w:r>
      <w:r w:rsidR="0043703B">
        <w:rPr>
          <w:sz w:val="40"/>
        </w:rPr>
        <w:t>Tonga</w:t>
      </w:r>
      <w:r w:rsidR="0059146A">
        <w:rPr>
          <w:sz w:val="40"/>
        </w:rPr>
        <w:br/>
      </w:r>
      <w:r w:rsidR="0059146A" w:rsidRPr="0059146A">
        <w:rPr>
          <w:sz w:val="24"/>
        </w:rPr>
        <w:t>September 201</w:t>
      </w:r>
      <w:r w:rsidR="00550890">
        <w:rPr>
          <w:sz w:val="24"/>
        </w:rPr>
        <w:t>9</w:t>
      </w:r>
    </w:p>
    <w:p w14:paraId="115ECE15" w14:textId="17295544" w:rsidR="005B5769" w:rsidRPr="00C22A3C" w:rsidRDefault="005B5769" w:rsidP="00B9601B">
      <w:pPr>
        <w:pStyle w:val="Heading1smallspaceafter"/>
      </w:pPr>
      <w:r w:rsidRPr="00C22A3C">
        <w:lastRenderedPageBreak/>
        <w:t>Summary</w:t>
      </w:r>
    </w:p>
    <w:p w14:paraId="4B48BA09" w14:textId="77777777" w:rsidR="003269A6" w:rsidRPr="00B77473" w:rsidRDefault="00CD1652" w:rsidP="00DD0FEC">
      <w:pPr>
        <w:pStyle w:val="Body"/>
        <w:spacing w:before="240"/>
        <w:rPr>
          <w:color w:val="495965" w:themeColor="text2"/>
          <w:u w:color="595959"/>
          <w:lang w:val="en-US"/>
        </w:rPr>
      </w:pPr>
      <w:r w:rsidRPr="00B77473">
        <w:rPr>
          <w:color w:val="495965" w:themeColor="text2"/>
          <w:u w:color="595959"/>
          <w:lang w:val="en-US"/>
        </w:rPr>
        <w:t xml:space="preserve">This report </w:t>
      </w:r>
      <w:proofErr w:type="spellStart"/>
      <w:r w:rsidRPr="00B77473">
        <w:rPr>
          <w:color w:val="495965" w:themeColor="text2"/>
          <w:u w:color="595959"/>
          <w:lang w:val="en-US"/>
        </w:rPr>
        <w:t>summarises</w:t>
      </w:r>
      <w:proofErr w:type="spellEnd"/>
      <w:r w:rsidRPr="00B77473">
        <w:rPr>
          <w:color w:val="495965" w:themeColor="text2"/>
          <w:u w:color="595959"/>
          <w:lang w:val="en-US"/>
        </w:rPr>
        <w:t xml:space="preserve"> the performance of Australia’s aid program in </w:t>
      </w:r>
      <w:r w:rsidR="0043703B" w:rsidRPr="00B77473">
        <w:rPr>
          <w:color w:val="495965" w:themeColor="text2"/>
          <w:u w:color="595959"/>
          <w:lang w:val="en-US"/>
        </w:rPr>
        <w:t>Tonga</w:t>
      </w:r>
      <w:r w:rsidRPr="00B77473">
        <w:rPr>
          <w:color w:val="495965" w:themeColor="text2"/>
          <w:u w:color="595959"/>
          <w:lang w:val="en-US"/>
        </w:rPr>
        <w:t xml:space="preserve"> from July 201</w:t>
      </w:r>
      <w:r w:rsidR="006545B9" w:rsidRPr="00B77473">
        <w:rPr>
          <w:color w:val="495965" w:themeColor="text2"/>
          <w:u w:color="595959"/>
          <w:lang w:val="en-US"/>
        </w:rPr>
        <w:t>8</w:t>
      </w:r>
      <w:r w:rsidRPr="00B77473">
        <w:rPr>
          <w:color w:val="495965" w:themeColor="text2"/>
          <w:u w:color="595959"/>
          <w:lang w:val="en-US"/>
        </w:rPr>
        <w:t xml:space="preserve"> to June 201</w:t>
      </w:r>
      <w:r w:rsidR="006545B9" w:rsidRPr="00B77473">
        <w:rPr>
          <w:color w:val="495965" w:themeColor="text2"/>
          <w:u w:color="595959"/>
          <w:lang w:val="en-US"/>
        </w:rPr>
        <w:t>9</w:t>
      </w:r>
      <w:r w:rsidRPr="00B77473">
        <w:rPr>
          <w:color w:val="495965" w:themeColor="text2"/>
          <w:u w:color="595959"/>
          <w:lang w:val="en-US"/>
        </w:rPr>
        <w:t xml:space="preserve"> against the </w:t>
      </w:r>
      <w:r w:rsidR="0043703B" w:rsidRPr="00B77473">
        <w:rPr>
          <w:color w:val="495965" w:themeColor="text2"/>
          <w:u w:color="595959"/>
          <w:lang w:val="en-US"/>
        </w:rPr>
        <w:t>Tonga</w:t>
      </w:r>
      <w:r w:rsidRPr="00B77473">
        <w:rPr>
          <w:color w:val="495965" w:themeColor="text2"/>
          <w:u w:color="595959"/>
          <w:lang w:val="en-US"/>
        </w:rPr>
        <w:t xml:space="preserve"> Aid Investment Plan</w:t>
      </w:r>
      <w:r w:rsidR="00323E53" w:rsidRPr="00B77473">
        <w:rPr>
          <w:color w:val="495965" w:themeColor="text2"/>
          <w:u w:color="595959"/>
          <w:lang w:val="en-US"/>
        </w:rPr>
        <w:t xml:space="preserve"> (AIP)</w:t>
      </w:r>
      <w:r w:rsidRPr="00B77473">
        <w:rPr>
          <w:color w:val="495965" w:themeColor="text2"/>
          <w:u w:color="595959"/>
          <w:lang w:val="en-US"/>
        </w:rPr>
        <w:t xml:space="preserve"> </w:t>
      </w:r>
      <w:r w:rsidR="0043703B" w:rsidRPr="00B77473">
        <w:rPr>
          <w:color w:val="495965" w:themeColor="text2"/>
          <w:u w:color="595959"/>
          <w:lang w:val="en-US"/>
        </w:rPr>
        <w:t>2015/16 – 2018/19.</w:t>
      </w:r>
      <w:r w:rsidR="00DD0FEC" w:rsidRPr="00B77473">
        <w:rPr>
          <w:color w:val="495965" w:themeColor="text2"/>
          <w:u w:color="595959"/>
          <w:lang w:val="en-US"/>
        </w:rPr>
        <w:t xml:space="preserve"> </w:t>
      </w:r>
    </w:p>
    <w:p w14:paraId="096634D4" w14:textId="0052B498" w:rsidR="00DD0FEC" w:rsidRDefault="00DD0FEC" w:rsidP="00DD0FEC">
      <w:pPr>
        <w:pStyle w:val="Body"/>
        <w:spacing w:before="240"/>
        <w:rPr>
          <w:color w:val="495965" w:themeColor="text2"/>
          <w:u w:color="595959"/>
          <w:lang w:val="en-US"/>
        </w:rPr>
      </w:pPr>
      <w:r w:rsidRPr="00B77473">
        <w:rPr>
          <w:color w:val="495965" w:themeColor="text2"/>
          <w:u w:color="595959"/>
          <w:lang w:val="en-US"/>
        </w:rPr>
        <w:t>Australia has three strategic priorities in Tonga</w:t>
      </w:r>
      <w:r w:rsidR="00265B7C" w:rsidRPr="00B77473">
        <w:rPr>
          <w:color w:val="495965" w:themeColor="text2"/>
          <w:u w:color="595959"/>
          <w:lang w:val="en-US"/>
        </w:rPr>
        <w:t xml:space="preserve"> </w:t>
      </w:r>
      <w:r w:rsidR="003407A5">
        <w:rPr>
          <w:color w:val="495965" w:themeColor="text2"/>
          <w:u w:color="595959"/>
          <w:lang w:val="en-US"/>
        </w:rPr>
        <w:t>that</w:t>
      </w:r>
      <w:r w:rsidR="00265B7C" w:rsidRPr="00B77473">
        <w:rPr>
          <w:color w:val="495965" w:themeColor="text2"/>
          <w:u w:color="595959"/>
          <w:lang w:val="en-US"/>
        </w:rPr>
        <w:t xml:space="preserve"> remain relevant to the context</w:t>
      </w:r>
      <w:r w:rsidRPr="00B77473">
        <w:rPr>
          <w:color w:val="495965" w:themeColor="text2"/>
          <w:u w:color="595959"/>
          <w:lang w:val="en-US"/>
        </w:rPr>
        <w:t xml:space="preserve">: </w:t>
      </w:r>
    </w:p>
    <w:p w14:paraId="78ECE3F9" w14:textId="10777FA8" w:rsidR="00F8443D" w:rsidRPr="00B77473" w:rsidRDefault="00DD0FEC" w:rsidP="00912657">
      <w:pPr>
        <w:pStyle w:val="Bullet3"/>
        <w:numPr>
          <w:ilvl w:val="0"/>
          <w:numId w:val="0"/>
        </w:numPr>
        <w:rPr>
          <w:u w:color="595959"/>
          <w:lang w:val="en-US"/>
        </w:rPr>
      </w:pPr>
      <w:r w:rsidRPr="00B77473">
        <w:rPr>
          <w:i/>
          <w:u w:color="595959"/>
          <w:lang w:val="en-US"/>
        </w:rPr>
        <w:t xml:space="preserve">Governance, economic and private sector development reforms. </w:t>
      </w:r>
      <w:r w:rsidRPr="00B77473">
        <w:rPr>
          <w:u w:color="595959"/>
          <w:lang w:val="en-US"/>
        </w:rPr>
        <w:t>Our key investment in this area is the Tonga Economic Reform Program, which supports a medium term program of reforms to strengthen revenue, effectively manage government expenditure, reduce debt and promote private sector growth. Australia and other donors link budget support payments to agreed reform benchmarks under a Government of Tonga-led Joint Policy Reform Matrix mechanism. Australia provides targeted technical assistance to support implementation.</w:t>
      </w:r>
      <w:r w:rsidR="00EF0E2D" w:rsidRPr="00B77473">
        <w:rPr>
          <w:u w:color="595959"/>
          <w:lang w:val="en-US"/>
        </w:rPr>
        <w:t xml:space="preserve"> Australia is also supporting key renewable energy projects in Tonga, which are helping transition the country away from imported fossil fuels and increasing the resilience of the energy system.</w:t>
      </w:r>
      <w:r w:rsidR="00F8443D">
        <w:rPr>
          <w:u w:color="595959"/>
          <w:lang w:val="en-US"/>
        </w:rPr>
        <w:t xml:space="preserve"> </w:t>
      </w:r>
      <w:r w:rsidR="00BA3B3F">
        <w:rPr>
          <w:u w:color="595959"/>
          <w:lang w:val="en-US"/>
        </w:rPr>
        <w:t>T</w:t>
      </w:r>
      <w:r w:rsidR="00F8443D">
        <w:rPr>
          <w:u w:color="595959"/>
          <w:lang w:val="en-US"/>
        </w:rPr>
        <w:t>his year t</w:t>
      </w:r>
      <w:r w:rsidR="00F8443D" w:rsidRPr="00B77473">
        <w:rPr>
          <w:u w:color="595959"/>
          <w:lang w:val="en-US"/>
        </w:rPr>
        <w:t xml:space="preserve">he Government </w:t>
      </w:r>
      <w:r w:rsidR="00F8443D">
        <w:rPr>
          <w:u w:color="595959"/>
          <w:lang w:val="en-US"/>
        </w:rPr>
        <w:t>of Tonga (</w:t>
      </w:r>
      <w:proofErr w:type="spellStart"/>
      <w:r w:rsidR="00F8443D">
        <w:rPr>
          <w:u w:color="595959"/>
          <w:lang w:val="en-US"/>
        </w:rPr>
        <w:t>GoT</w:t>
      </w:r>
      <w:proofErr w:type="spellEnd"/>
      <w:r w:rsidR="00F8443D">
        <w:rPr>
          <w:u w:color="595959"/>
          <w:lang w:val="en-US"/>
        </w:rPr>
        <w:t xml:space="preserve">) </w:t>
      </w:r>
      <w:r w:rsidR="00F8443D" w:rsidRPr="00B77473">
        <w:rPr>
          <w:u w:color="595959"/>
          <w:lang w:val="en-US"/>
        </w:rPr>
        <w:t xml:space="preserve">maintained its commitment </w:t>
      </w:r>
      <w:r w:rsidR="00F8443D">
        <w:rPr>
          <w:u w:color="595959"/>
          <w:lang w:val="en-US"/>
        </w:rPr>
        <w:t xml:space="preserve">to </w:t>
      </w:r>
      <w:r w:rsidR="00F8443D" w:rsidRPr="00B77473">
        <w:rPr>
          <w:u w:color="595959"/>
          <w:lang w:val="en-US"/>
        </w:rPr>
        <w:t xml:space="preserve">avoid non-concessional borrowing, bringing external debt down from 47 percent of GDP at June 2018 to 42.7 percent in June 2019. </w:t>
      </w:r>
    </w:p>
    <w:p w14:paraId="5166CE3E" w14:textId="5C06B9D0" w:rsidR="00DD0FEC" w:rsidRPr="00B77473" w:rsidRDefault="00C13E24" w:rsidP="00DD0FEC">
      <w:pPr>
        <w:pStyle w:val="Body"/>
        <w:spacing w:before="240"/>
        <w:rPr>
          <w:color w:val="495965" w:themeColor="text2"/>
          <w:u w:color="595959"/>
          <w:lang w:val="en-US"/>
        </w:rPr>
      </w:pPr>
      <w:r w:rsidRPr="00B77473">
        <w:rPr>
          <w:i/>
          <w:color w:val="495965" w:themeColor="text2"/>
          <w:u w:color="595959"/>
          <w:lang w:val="en-US"/>
        </w:rPr>
        <w:t>A more effective, efficient and equitable health system.</w:t>
      </w:r>
      <w:r w:rsidRPr="00B77473">
        <w:rPr>
          <w:color w:val="495965" w:themeColor="text2"/>
          <w:u w:color="595959"/>
          <w:lang w:val="en-US"/>
        </w:rPr>
        <w:t xml:space="preserve"> Australian assistance focuses on reducing the health and economic burden of NCDs and on strengthening the health system in Tonga. The Tonga Health Systems Support Program Phase II (THSSP2) focuses on management of NCDs in primary care, NCD health promotion, and support for mental health and disability services. Australia contributes funding directly to the Ministry of Health and to Tonga Health, a separate government health promotion agency. Australia’s governance and health programs, in particular, are strongly supported by regular policy dialogue with Government. The performance of THSSP2 against its objectives is rated less than adequate </w:t>
      </w:r>
      <w:r>
        <w:rPr>
          <w:color w:val="495965" w:themeColor="text2"/>
          <w:u w:color="595959"/>
          <w:lang w:val="en-US"/>
        </w:rPr>
        <w:t>in 2018/19 due to planning and budgeting issues and infrequent steering committee meetings. To address this, the Ministry of Health has agreed to reinvigorate governance arrangements</w:t>
      </w:r>
      <w:r w:rsidR="003407A5">
        <w:rPr>
          <w:color w:val="495965" w:themeColor="text2"/>
          <w:u w:color="595959"/>
          <w:lang w:val="en-US"/>
        </w:rPr>
        <w:t xml:space="preserve">. </w:t>
      </w:r>
    </w:p>
    <w:p w14:paraId="1EB8CB46" w14:textId="1E70D0A8" w:rsidR="00940DAD" w:rsidRPr="00B77473" w:rsidRDefault="00DD0FEC" w:rsidP="00940DAD">
      <w:pPr>
        <w:pStyle w:val="Body"/>
        <w:spacing w:before="240"/>
        <w:rPr>
          <w:color w:val="495965" w:themeColor="text2"/>
          <w:u w:color="595959"/>
          <w:lang w:val="en-US"/>
        </w:rPr>
      </w:pPr>
      <w:r w:rsidRPr="00B77473">
        <w:rPr>
          <w:i/>
          <w:color w:val="495965" w:themeColor="text2"/>
          <w:u w:color="595959"/>
          <w:lang w:val="en-US"/>
        </w:rPr>
        <w:t>Skills development in support of economic opportunities for Tongan workers.</w:t>
      </w:r>
      <w:r w:rsidRPr="00B77473">
        <w:rPr>
          <w:color w:val="495965" w:themeColor="text2"/>
          <w:u w:color="595959"/>
          <w:lang w:val="en-US"/>
        </w:rPr>
        <w:t xml:space="preserve"> Australia supports a range of training opportunities in Tonga, regionally and internationally, to ensure Tongans are </w:t>
      </w:r>
      <w:r w:rsidR="00235011">
        <w:rPr>
          <w:color w:val="495965" w:themeColor="text2"/>
          <w:u w:color="595959"/>
          <w:lang w:val="en-US"/>
        </w:rPr>
        <w:t>able</w:t>
      </w:r>
      <w:r w:rsidR="00235011" w:rsidRPr="00B77473">
        <w:rPr>
          <w:color w:val="495965" w:themeColor="text2"/>
          <w:u w:color="595959"/>
          <w:lang w:val="en-US"/>
        </w:rPr>
        <w:t xml:space="preserve"> </w:t>
      </w:r>
      <w:r w:rsidRPr="00B77473">
        <w:rPr>
          <w:color w:val="495965" w:themeColor="text2"/>
          <w:u w:color="595959"/>
          <w:lang w:val="en-US"/>
        </w:rPr>
        <w:t xml:space="preserve">to meet priority areas of </w:t>
      </w:r>
      <w:proofErr w:type="spellStart"/>
      <w:r w:rsidRPr="00B77473">
        <w:rPr>
          <w:color w:val="495965" w:themeColor="text2"/>
          <w:u w:color="595959"/>
          <w:lang w:val="en-US"/>
        </w:rPr>
        <w:t>labour</w:t>
      </w:r>
      <w:proofErr w:type="spellEnd"/>
      <w:r w:rsidRPr="00B77473">
        <w:rPr>
          <w:color w:val="495965" w:themeColor="text2"/>
          <w:u w:color="595959"/>
          <w:lang w:val="en-US"/>
        </w:rPr>
        <w:t xml:space="preserve"> demand. We work with </w:t>
      </w:r>
      <w:r w:rsidR="003269A6" w:rsidRPr="00B77473">
        <w:rPr>
          <w:color w:val="495965" w:themeColor="text2"/>
          <w:u w:color="595959"/>
          <w:lang w:val="en-US"/>
        </w:rPr>
        <w:t>Tonga Skills</w:t>
      </w:r>
      <w:r w:rsidRPr="00B77473">
        <w:rPr>
          <w:color w:val="495965" w:themeColor="text2"/>
          <w:u w:color="595959"/>
          <w:lang w:val="en-US"/>
        </w:rPr>
        <w:t xml:space="preserve"> to deliver technical and vocational training and coaching, with a particular focus on outer islands and opportunities for women and those with disability</w:t>
      </w:r>
      <w:r w:rsidR="00940DAD" w:rsidRPr="00B77473">
        <w:rPr>
          <w:color w:val="495965" w:themeColor="text2"/>
          <w:u w:color="595959"/>
          <w:lang w:val="en-US"/>
        </w:rPr>
        <w:t xml:space="preserve">. Our Seasonal Workers Program and the Pacific </w:t>
      </w:r>
      <w:proofErr w:type="spellStart"/>
      <w:r w:rsidR="00940DAD" w:rsidRPr="00B77473">
        <w:rPr>
          <w:color w:val="495965" w:themeColor="text2"/>
          <w:u w:color="595959"/>
          <w:lang w:val="en-US"/>
        </w:rPr>
        <w:t>Labour</w:t>
      </w:r>
      <w:proofErr w:type="spellEnd"/>
      <w:r w:rsidR="00940DAD" w:rsidRPr="00B77473">
        <w:rPr>
          <w:color w:val="495965" w:themeColor="text2"/>
          <w:u w:color="595959"/>
          <w:lang w:val="en-US"/>
        </w:rPr>
        <w:t xml:space="preserve"> Scheme complements </w:t>
      </w:r>
      <w:r w:rsidR="00940DAD">
        <w:rPr>
          <w:color w:val="495965" w:themeColor="text2"/>
          <w:u w:color="595959"/>
          <w:lang w:val="en-US"/>
        </w:rPr>
        <w:t xml:space="preserve">our </w:t>
      </w:r>
      <w:r w:rsidR="00940DAD" w:rsidRPr="00B77473">
        <w:rPr>
          <w:color w:val="495965" w:themeColor="text2"/>
          <w:u w:color="595959"/>
          <w:lang w:val="en-US"/>
        </w:rPr>
        <w:t>skills development</w:t>
      </w:r>
      <w:r w:rsidR="00940DAD">
        <w:rPr>
          <w:color w:val="495965" w:themeColor="text2"/>
          <w:u w:color="595959"/>
          <w:lang w:val="en-US"/>
        </w:rPr>
        <w:t xml:space="preserve"> programs</w:t>
      </w:r>
      <w:r w:rsidR="00940DAD" w:rsidRPr="00B77473">
        <w:rPr>
          <w:color w:val="495965" w:themeColor="text2"/>
          <w:u w:color="595959"/>
          <w:lang w:val="en-US"/>
        </w:rPr>
        <w:t>.</w:t>
      </w:r>
    </w:p>
    <w:p w14:paraId="14AAE3CC" w14:textId="27E862B7" w:rsidR="00DD0FEC" w:rsidRPr="00B77473" w:rsidRDefault="00940DAD" w:rsidP="00DD0FEC">
      <w:pPr>
        <w:pStyle w:val="Body"/>
        <w:spacing w:before="240"/>
        <w:rPr>
          <w:color w:val="495965" w:themeColor="text2"/>
          <w:u w:color="595959"/>
          <w:lang w:val="en-US"/>
        </w:rPr>
      </w:pPr>
      <w:r>
        <w:rPr>
          <w:color w:val="495965" w:themeColor="text2"/>
          <w:u w:color="595959"/>
          <w:lang w:val="en-US"/>
        </w:rPr>
        <w:t>I</w:t>
      </w:r>
      <w:r w:rsidR="00DD0FEC" w:rsidRPr="00B77473">
        <w:rPr>
          <w:color w:val="495965" w:themeColor="text2"/>
          <w:u w:color="595959"/>
          <w:lang w:val="en-US"/>
        </w:rPr>
        <w:t>n consultation with the Government of Tonga</w:t>
      </w:r>
      <w:r>
        <w:rPr>
          <w:color w:val="495965" w:themeColor="text2"/>
          <w:u w:color="595959"/>
          <w:lang w:val="en-US"/>
        </w:rPr>
        <w:t>, w</w:t>
      </w:r>
      <w:r w:rsidRPr="00B77473">
        <w:rPr>
          <w:color w:val="495965" w:themeColor="text2"/>
          <w:u w:color="595959"/>
          <w:lang w:val="en-US"/>
        </w:rPr>
        <w:t xml:space="preserve">e provide </w:t>
      </w:r>
      <w:r w:rsidR="009A3812">
        <w:rPr>
          <w:color w:val="495965" w:themeColor="text2"/>
          <w:u w:color="595959"/>
          <w:lang w:val="en-US"/>
        </w:rPr>
        <w:t xml:space="preserve">higher education opportunities to Tongans in Australian and Pacific Institutions, under our </w:t>
      </w:r>
      <w:r w:rsidRPr="00B77473">
        <w:rPr>
          <w:color w:val="495965" w:themeColor="text2"/>
          <w:u w:color="595959"/>
          <w:lang w:val="en-US"/>
        </w:rPr>
        <w:t xml:space="preserve">Australia </w:t>
      </w:r>
      <w:r>
        <w:rPr>
          <w:color w:val="495965" w:themeColor="text2"/>
          <w:u w:color="595959"/>
          <w:lang w:val="en-US"/>
        </w:rPr>
        <w:t xml:space="preserve">Awards </w:t>
      </w:r>
      <w:r w:rsidR="009A3812">
        <w:rPr>
          <w:color w:val="495965" w:themeColor="text2"/>
          <w:u w:color="595959"/>
          <w:lang w:val="en-US"/>
        </w:rPr>
        <w:t>program</w:t>
      </w:r>
      <w:r w:rsidRPr="00B77473">
        <w:rPr>
          <w:color w:val="495965" w:themeColor="text2"/>
          <w:u w:color="595959"/>
          <w:lang w:val="en-US"/>
        </w:rPr>
        <w:t>,</w:t>
      </w:r>
    </w:p>
    <w:p w14:paraId="1453C18F" w14:textId="7D8F46EB" w:rsidR="00AE1990" w:rsidRPr="00B77473" w:rsidRDefault="00AE1990" w:rsidP="00DD0FEC">
      <w:pPr>
        <w:pStyle w:val="Body"/>
        <w:spacing w:before="240"/>
        <w:rPr>
          <w:color w:val="495965" w:themeColor="text2"/>
          <w:u w:color="595959"/>
          <w:lang w:val="en-US"/>
        </w:rPr>
      </w:pPr>
      <w:r w:rsidRPr="00B77473">
        <w:rPr>
          <w:color w:val="495965" w:themeColor="text2"/>
          <w:u w:color="595959"/>
          <w:lang w:val="en-US"/>
        </w:rPr>
        <w:t>In addition to these three strategic priorities, Australia considers disaster resilience, gender equality and supporting the needs of people with a disability across all its programs in Tonga.</w:t>
      </w:r>
    </w:p>
    <w:p w14:paraId="1AED1B21" w14:textId="0913518F" w:rsidR="00DD0FEC" w:rsidRPr="00B77473" w:rsidRDefault="00DD0FEC" w:rsidP="00DD0FEC">
      <w:pPr>
        <w:pStyle w:val="Body"/>
        <w:spacing w:before="240"/>
        <w:rPr>
          <w:color w:val="495965" w:themeColor="text2"/>
          <w:u w:color="595959"/>
          <w:lang w:val="en-US"/>
        </w:rPr>
      </w:pPr>
      <w:r w:rsidRPr="00B77473">
        <w:rPr>
          <w:color w:val="495965" w:themeColor="text2"/>
          <w:u w:color="595959"/>
          <w:lang w:val="en-US"/>
        </w:rPr>
        <w:t xml:space="preserve">Australia is one of the largest donors to Tonga. Our assistance is provided under the Australia-Tonga Partnership Arrangement (2015-19). In 2018-19, Australia’s official development assistance (ODA) was </w:t>
      </w:r>
      <w:r w:rsidR="004E3C08">
        <w:rPr>
          <w:color w:val="495965" w:themeColor="text2"/>
          <w:u w:color="595959"/>
          <w:lang w:val="en-US"/>
        </w:rPr>
        <w:t>AUD</w:t>
      </w:r>
      <w:r w:rsidRPr="00B77473">
        <w:rPr>
          <w:color w:val="495965" w:themeColor="text2"/>
          <w:u w:color="595959"/>
          <w:lang w:val="en-US"/>
        </w:rPr>
        <w:t xml:space="preserve">28.9 million, compared to Tonga’s national budget of approximately </w:t>
      </w:r>
      <w:r w:rsidR="004E3C08">
        <w:rPr>
          <w:color w:val="495965" w:themeColor="text2"/>
          <w:u w:color="595959"/>
          <w:lang w:val="en-US"/>
        </w:rPr>
        <w:t>AUD</w:t>
      </w:r>
      <w:r w:rsidR="00D711A8" w:rsidRPr="00B77473">
        <w:rPr>
          <w:color w:val="495965" w:themeColor="text2"/>
          <w:u w:color="595959"/>
          <w:lang w:val="en-US"/>
        </w:rPr>
        <w:t>340.2</w:t>
      </w:r>
      <w:r w:rsidRPr="00B77473">
        <w:rPr>
          <w:color w:val="495965" w:themeColor="text2"/>
          <w:u w:color="595959"/>
          <w:lang w:val="en-US"/>
        </w:rPr>
        <w:t xml:space="preserve"> million. Other significant partners include New Zealand, Japan, China, the World Bank and Asian Development Bank (ADB). UN agencies, churches and NGOs also provide development support in Tonga.</w:t>
      </w:r>
    </w:p>
    <w:p w14:paraId="74EC520A" w14:textId="77777777" w:rsidR="0081073D" w:rsidRDefault="0081073D"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38"/>
          <w:lang w:val="en-GB" w:eastAsia="en-US"/>
        </w:rPr>
      </w:pPr>
    </w:p>
    <w:p w14:paraId="656CED06" w14:textId="2914317C" w:rsidR="00184F1E" w:rsidRPr="00B77473" w:rsidRDefault="00184F1E" w:rsidP="00B9601B">
      <w:pPr>
        <w:pStyle w:val="Heading1smallspaceafter"/>
      </w:pPr>
      <w:r w:rsidRPr="00B77473">
        <w:lastRenderedPageBreak/>
        <w:t>Expenditure</w:t>
      </w:r>
    </w:p>
    <w:p w14:paraId="6C44B307" w14:textId="11F0F3E2" w:rsidR="00184F1E" w:rsidRPr="00B77473" w:rsidRDefault="00D711A8" w:rsidP="00D711A8">
      <w:pPr>
        <w:pStyle w:val="Body"/>
        <w:spacing w:before="240"/>
        <w:rPr>
          <w:color w:val="495965" w:themeColor="text2"/>
          <w:u w:color="595959"/>
          <w:lang w:val="en-US"/>
        </w:rPr>
      </w:pPr>
      <w:r w:rsidRPr="00B77473">
        <w:rPr>
          <w:color w:val="495965" w:themeColor="text2"/>
          <w:u w:color="595959"/>
          <w:lang w:val="en-US"/>
        </w:rPr>
        <w:t xml:space="preserve">Expenditure against all areas remains broadly in line with the previous year except for </w:t>
      </w:r>
      <w:r w:rsidR="003269A6" w:rsidRPr="00B77473">
        <w:rPr>
          <w:color w:val="495965" w:themeColor="text2"/>
          <w:u w:color="595959"/>
          <w:lang w:val="en-US"/>
        </w:rPr>
        <w:t xml:space="preserve">that relating to recovery from </w:t>
      </w:r>
      <w:r w:rsidRPr="00B77473">
        <w:rPr>
          <w:color w:val="495965" w:themeColor="text2"/>
          <w:u w:color="595959"/>
          <w:lang w:val="en-US"/>
        </w:rPr>
        <w:t xml:space="preserve">Tropical Cyclone Gita, which dropped from </w:t>
      </w:r>
      <w:r w:rsidR="004E3C08">
        <w:rPr>
          <w:color w:val="495965" w:themeColor="text2"/>
          <w:u w:color="595959"/>
          <w:lang w:val="en-US"/>
        </w:rPr>
        <w:t>AUD</w:t>
      </w:r>
      <w:r w:rsidRPr="00B77473">
        <w:rPr>
          <w:color w:val="495965" w:themeColor="text2"/>
          <w:u w:color="595959"/>
          <w:lang w:val="en-US"/>
        </w:rPr>
        <w:t xml:space="preserve">11.2 million in 2017-18 </w:t>
      </w:r>
      <w:r w:rsidR="003269A6" w:rsidRPr="00B77473">
        <w:rPr>
          <w:color w:val="495965" w:themeColor="text2"/>
          <w:u w:color="595959"/>
          <w:lang w:val="en-US"/>
        </w:rPr>
        <w:t xml:space="preserve">to </w:t>
      </w:r>
      <w:r w:rsidR="004E3C08">
        <w:rPr>
          <w:color w:val="495965" w:themeColor="text2"/>
          <w:u w:color="595959"/>
          <w:lang w:val="en-US"/>
        </w:rPr>
        <w:t>AUD</w:t>
      </w:r>
      <w:r w:rsidR="003269A6" w:rsidRPr="00B77473">
        <w:rPr>
          <w:color w:val="495965" w:themeColor="text2"/>
          <w:u w:color="595959"/>
          <w:lang w:val="en-US"/>
        </w:rPr>
        <w:t xml:space="preserve">0.8 million in 2018-19 </w:t>
      </w:r>
      <w:r w:rsidRPr="00B77473">
        <w:rPr>
          <w:color w:val="495965" w:themeColor="text2"/>
          <w:u w:color="595959"/>
          <w:lang w:val="en-US"/>
        </w:rPr>
        <w:t xml:space="preserve">as Australian assistance transitioned from </w:t>
      </w:r>
      <w:r w:rsidR="009D5B32" w:rsidRPr="00B77473">
        <w:rPr>
          <w:color w:val="495965" w:themeColor="text2"/>
          <w:u w:color="595959"/>
          <w:lang w:val="en-US"/>
        </w:rPr>
        <w:t xml:space="preserve">the </w:t>
      </w:r>
      <w:r w:rsidRPr="00B77473">
        <w:rPr>
          <w:color w:val="495965" w:themeColor="text2"/>
          <w:u w:color="595959"/>
          <w:lang w:val="en-US"/>
        </w:rPr>
        <w:t>early response phase to recovery.</w:t>
      </w:r>
    </w:p>
    <w:p w14:paraId="292FAC9D" w14:textId="7011ACEC" w:rsidR="00184F1E" w:rsidRPr="00B77473" w:rsidRDefault="00C22A3C" w:rsidP="00184F1E">
      <w:pPr>
        <w:rPr>
          <w:b/>
          <w:sz w:val="24"/>
        </w:rPr>
      </w:pPr>
      <w:r>
        <w:rPr>
          <w:b/>
          <w:sz w:val="24"/>
        </w:rPr>
        <w:br/>
      </w:r>
      <w:r w:rsidR="00184F1E" w:rsidRPr="00B77473">
        <w:rPr>
          <w:b/>
          <w:sz w:val="24"/>
        </w:rPr>
        <w:t xml:space="preserve">Table </w:t>
      </w:r>
      <w:r w:rsidR="00184F1E" w:rsidRPr="00B77473">
        <w:rPr>
          <w:b/>
          <w:sz w:val="24"/>
        </w:rPr>
        <w:fldChar w:fldCharType="begin"/>
      </w:r>
      <w:r w:rsidR="00184F1E" w:rsidRPr="00B77473">
        <w:rPr>
          <w:b/>
          <w:sz w:val="24"/>
        </w:rPr>
        <w:instrText xml:space="preserve"> SEQ Table \* ARABIC </w:instrText>
      </w:r>
      <w:r w:rsidR="00184F1E" w:rsidRPr="00B77473">
        <w:rPr>
          <w:b/>
          <w:sz w:val="24"/>
        </w:rPr>
        <w:fldChar w:fldCharType="separate"/>
      </w:r>
      <w:r w:rsidR="0081073D">
        <w:rPr>
          <w:b/>
          <w:noProof/>
          <w:sz w:val="24"/>
        </w:rPr>
        <w:t>1</w:t>
      </w:r>
      <w:r w:rsidR="00184F1E" w:rsidRPr="00B77473">
        <w:rPr>
          <w:b/>
          <w:noProof/>
          <w:sz w:val="24"/>
        </w:rPr>
        <w:fldChar w:fldCharType="end"/>
      </w:r>
      <w:r w:rsidR="00184F1E" w:rsidRPr="00B77473">
        <w:rPr>
          <w:b/>
          <w:sz w:val="24"/>
        </w:rPr>
        <w:t xml:space="preserve"> Total ODA Expenditure in FY 201</w:t>
      </w:r>
      <w:r w:rsidR="00272B5F" w:rsidRPr="00B77473">
        <w:rPr>
          <w:b/>
          <w:sz w:val="24"/>
        </w:rPr>
        <w:t>8-19</w:t>
      </w:r>
    </w:p>
    <w:tbl>
      <w:tblPr>
        <w:tblStyle w:val="TableGridLight"/>
        <w:tblW w:w="0" w:type="auto"/>
        <w:tblLook w:val="0620" w:firstRow="1" w:lastRow="0" w:firstColumn="0" w:lastColumn="0" w:noHBand="1" w:noVBand="1"/>
        <w:tblCaption w:val="Table One Total ODA Expenditure in Financial Year 2018-2019"/>
      </w:tblPr>
      <w:tblGrid>
        <w:gridCol w:w="6374"/>
        <w:gridCol w:w="1423"/>
        <w:gridCol w:w="1417"/>
      </w:tblGrid>
      <w:tr w:rsidR="00C22A3C" w:rsidRPr="005251D5" w14:paraId="4A54AAAF" w14:textId="77777777" w:rsidTr="005251D5">
        <w:trPr>
          <w:tblHeader/>
        </w:trPr>
        <w:tc>
          <w:tcPr>
            <w:tcW w:w="6374" w:type="dxa"/>
          </w:tcPr>
          <w:p w14:paraId="24FDC4C0" w14:textId="77777777" w:rsidR="00CD1652" w:rsidRPr="005251D5" w:rsidRDefault="00CD1652" w:rsidP="00E01C62">
            <w:pPr>
              <w:spacing w:before="60"/>
              <w:rPr>
                <w:b/>
              </w:rPr>
            </w:pPr>
            <w:r w:rsidRPr="005251D5">
              <w:rPr>
                <w:b/>
              </w:rPr>
              <w:t>Objective</w:t>
            </w:r>
          </w:p>
        </w:tc>
        <w:tc>
          <w:tcPr>
            <w:tcW w:w="1423" w:type="dxa"/>
          </w:tcPr>
          <w:p w14:paraId="3671B8B1" w14:textId="752B8709" w:rsidR="00CD1652" w:rsidRPr="005251D5" w:rsidRDefault="00CD1652" w:rsidP="00E01C62">
            <w:pPr>
              <w:spacing w:before="60"/>
              <w:jc w:val="center"/>
              <w:rPr>
                <w:b/>
              </w:rPr>
            </w:pPr>
            <w:r w:rsidRPr="005251D5">
              <w:rPr>
                <w:b/>
              </w:rPr>
              <w:t>A</w:t>
            </w:r>
            <w:r w:rsidR="0076591B" w:rsidRPr="005251D5">
              <w:rPr>
                <w:b/>
              </w:rPr>
              <w:t>UD</w:t>
            </w:r>
            <w:r w:rsidRPr="005251D5">
              <w:rPr>
                <w:b/>
              </w:rPr>
              <w:t>$ million</w:t>
            </w:r>
          </w:p>
        </w:tc>
        <w:tc>
          <w:tcPr>
            <w:tcW w:w="1417" w:type="dxa"/>
          </w:tcPr>
          <w:p w14:paraId="43C727F5" w14:textId="77777777" w:rsidR="00CD1652" w:rsidRPr="005251D5" w:rsidRDefault="00CD1652" w:rsidP="00E01C62">
            <w:pPr>
              <w:spacing w:before="60"/>
              <w:jc w:val="center"/>
              <w:rPr>
                <w:b/>
              </w:rPr>
            </w:pPr>
            <w:r w:rsidRPr="005251D5">
              <w:rPr>
                <w:b/>
              </w:rPr>
              <w:t>% of total ODA</w:t>
            </w:r>
          </w:p>
        </w:tc>
      </w:tr>
      <w:tr w:rsidR="00C22A3C" w:rsidRPr="005251D5" w14:paraId="2034EA9E" w14:textId="77777777" w:rsidTr="005251D5">
        <w:tc>
          <w:tcPr>
            <w:tcW w:w="6374" w:type="dxa"/>
          </w:tcPr>
          <w:p w14:paraId="2D24DCC2" w14:textId="0127CC01" w:rsidR="00CD1652" w:rsidRPr="005251D5" w:rsidRDefault="00A1296B" w:rsidP="00E01C62">
            <w:pPr>
              <w:spacing w:before="60"/>
              <w:rPr>
                <w:b/>
              </w:rPr>
            </w:pPr>
            <w:r w:rsidRPr="005251D5">
              <w:t xml:space="preserve">Governance, economic and private sector development reforms (including </w:t>
            </w:r>
            <w:r w:rsidR="00EF0E2D" w:rsidRPr="005251D5">
              <w:t xml:space="preserve">infrastructure, </w:t>
            </w:r>
            <w:r w:rsidRPr="005251D5">
              <w:t xml:space="preserve">gender equality, </w:t>
            </w:r>
            <w:r w:rsidR="00EF0E2D" w:rsidRPr="005251D5">
              <w:t xml:space="preserve">climate change, </w:t>
            </w:r>
            <w:r w:rsidRPr="005251D5">
              <w:t>disaster resilience and disaster preparedness)</w:t>
            </w:r>
          </w:p>
        </w:tc>
        <w:tc>
          <w:tcPr>
            <w:tcW w:w="1423" w:type="dxa"/>
          </w:tcPr>
          <w:p w14:paraId="7A35C881" w14:textId="4C18C71B" w:rsidR="00CD1652" w:rsidRPr="005251D5" w:rsidRDefault="00A1296B" w:rsidP="00E01C62">
            <w:pPr>
              <w:spacing w:before="60"/>
              <w:rPr>
                <w:b/>
              </w:rPr>
            </w:pPr>
            <w:r w:rsidRPr="005251D5">
              <w:rPr>
                <w:b/>
              </w:rPr>
              <w:t>10.0</w:t>
            </w:r>
          </w:p>
        </w:tc>
        <w:tc>
          <w:tcPr>
            <w:tcW w:w="1417" w:type="dxa"/>
          </w:tcPr>
          <w:p w14:paraId="7C59E862" w14:textId="788320FF" w:rsidR="00CD1652" w:rsidRPr="005251D5" w:rsidRDefault="00A1296B" w:rsidP="00E01C62">
            <w:pPr>
              <w:spacing w:before="60"/>
              <w:rPr>
                <w:b/>
              </w:rPr>
            </w:pPr>
            <w:r w:rsidRPr="005251D5">
              <w:rPr>
                <w:b/>
              </w:rPr>
              <w:t>35</w:t>
            </w:r>
          </w:p>
        </w:tc>
      </w:tr>
      <w:tr w:rsidR="00C22A3C" w:rsidRPr="005251D5" w14:paraId="60BEBF23" w14:textId="77777777" w:rsidTr="005251D5">
        <w:tc>
          <w:tcPr>
            <w:tcW w:w="6374" w:type="dxa"/>
          </w:tcPr>
          <w:p w14:paraId="29198259" w14:textId="23ACB061" w:rsidR="00CD1652" w:rsidRPr="005251D5" w:rsidRDefault="00A1296B" w:rsidP="00E01C62">
            <w:pPr>
              <w:spacing w:before="60"/>
              <w:rPr>
                <w:b/>
              </w:rPr>
            </w:pPr>
            <w:r w:rsidRPr="005251D5">
              <w:t>A more effective, efficient and equitable health system</w:t>
            </w:r>
          </w:p>
        </w:tc>
        <w:tc>
          <w:tcPr>
            <w:tcW w:w="1423" w:type="dxa"/>
          </w:tcPr>
          <w:p w14:paraId="52AA46BB" w14:textId="4B276FC0" w:rsidR="00CD1652" w:rsidRPr="005251D5" w:rsidRDefault="00A1296B" w:rsidP="00E01C62">
            <w:pPr>
              <w:spacing w:before="60"/>
              <w:rPr>
                <w:b/>
              </w:rPr>
            </w:pPr>
            <w:r w:rsidRPr="005251D5">
              <w:rPr>
                <w:b/>
              </w:rPr>
              <w:t>2.5</w:t>
            </w:r>
          </w:p>
        </w:tc>
        <w:tc>
          <w:tcPr>
            <w:tcW w:w="1417" w:type="dxa"/>
          </w:tcPr>
          <w:p w14:paraId="696848D3" w14:textId="42F6E913" w:rsidR="00CD1652" w:rsidRPr="005251D5" w:rsidRDefault="00A1296B" w:rsidP="00E01C62">
            <w:pPr>
              <w:spacing w:before="60"/>
              <w:rPr>
                <w:b/>
              </w:rPr>
            </w:pPr>
            <w:r w:rsidRPr="005251D5">
              <w:rPr>
                <w:b/>
              </w:rPr>
              <w:t>9</w:t>
            </w:r>
          </w:p>
        </w:tc>
      </w:tr>
      <w:tr w:rsidR="00C22A3C" w:rsidRPr="005251D5" w14:paraId="04401D7D" w14:textId="77777777" w:rsidTr="005251D5">
        <w:tc>
          <w:tcPr>
            <w:tcW w:w="6374" w:type="dxa"/>
          </w:tcPr>
          <w:p w14:paraId="10B77E8E" w14:textId="30B24839" w:rsidR="00CD1652" w:rsidRPr="005251D5" w:rsidRDefault="00A1296B" w:rsidP="00E01C62">
            <w:pPr>
              <w:spacing w:before="60"/>
              <w:rPr>
                <w:b/>
              </w:rPr>
            </w:pPr>
            <w:r w:rsidRPr="005251D5">
              <w:t>Skills development in support of economic opportunities for Tongan workers (including scholarships)</w:t>
            </w:r>
          </w:p>
        </w:tc>
        <w:tc>
          <w:tcPr>
            <w:tcW w:w="1423" w:type="dxa"/>
          </w:tcPr>
          <w:p w14:paraId="6A7EC315" w14:textId="041CBAAF" w:rsidR="00CD1652" w:rsidRPr="005251D5" w:rsidRDefault="00A1296B" w:rsidP="00E01C62">
            <w:pPr>
              <w:spacing w:before="60"/>
              <w:rPr>
                <w:b/>
              </w:rPr>
            </w:pPr>
            <w:r w:rsidRPr="005251D5">
              <w:rPr>
                <w:b/>
              </w:rPr>
              <w:t>4.4</w:t>
            </w:r>
          </w:p>
        </w:tc>
        <w:tc>
          <w:tcPr>
            <w:tcW w:w="1417" w:type="dxa"/>
          </w:tcPr>
          <w:p w14:paraId="1C0EF0FF" w14:textId="77E18921" w:rsidR="00CD1652" w:rsidRPr="005251D5" w:rsidRDefault="00A1296B" w:rsidP="00E01C62">
            <w:pPr>
              <w:spacing w:before="60"/>
              <w:rPr>
                <w:b/>
              </w:rPr>
            </w:pPr>
            <w:r w:rsidRPr="005251D5">
              <w:rPr>
                <w:b/>
              </w:rPr>
              <w:t>15</w:t>
            </w:r>
          </w:p>
        </w:tc>
      </w:tr>
      <w:tr w:rsidR="00C22A3C" w:rsidRPr="005251D5" w14:paraId="78735358" w14:textId="77777777" w:rsidTr="005251D5">
        <w:tc>
          <w:tcPr>
            <w:tcW w:w="6374" w:type="dxa"/>
          </w:tcPr>
          <w:p w14:paraId="7DFEB22F" w14:textId="1E6CAB58" w:rsidR="00A1296B" w:rsidRPr="005251D5" w:rsidRDefault="00A1296B" w:rsidP="00E01C62">
            <w:pPr>
              <w:spacing w:before="60"/>
            </w:pPr>
            <w:r w:rsidRPr="005251D5">
              <w:t>Tropical Cyclone Gita</w:t>
            </w:r>
          </w:p>
        </w:tc>
        <w:tc>
          <w:tcPr>
            <w:tcW w:w="1423" w:type="dxa"/>
          </w:tcPr>
          <w:p w14:paraId="2F06B49B" w14:textId="240FC2E5" w:rsidR="00A1296B" w:rsidRPr="005251D5" w:rsidRDefault="00A1296B" w:rsidP="00E01C62">
            <w:pPr>
              <w:spacing w:before="60"/>
              <w:rPr>
                <w:b/>
              </w:rPr>
            </w:pPr>
            <w:r w:rsidRPr="005251D5">
              <w:rPr>
                <w:b/>
              </w:rPr>
              <w:t>0.8</w:t>
            </w:r>
          </w:p>
        </w:tc>
        <w:tc>
          <w:tcPr>
            <w:tcW w:w="1417" w:type="dxa"/>
          </w:tcPr>
          <w:p w14:paraId="2F4B57C8" w14:textId="0BB4923A" w:rsidR="00A1296B" w:rsidRPr="005251D5" w:rsidRDefault="00A1296B" w:rsidP="00E01C62">
            <w:pPr>
              <w:spacing w:before="60"/>
              <w:rPr>
                <w:b/>
              </w:rPr>
            </w:pPr>
            <w:r w:rsidRPr="005251D5">
              <w:rPr>
                <w:b/>
              </w:rPr>
              <w:t>3</w:t>
            </w:r>
          </w:p>
        </w:tc>
      </w:tr>
      <w:tr w:rsidR="00C22A3C" w:rsidRPr="005251D5" w14:paraId="1791270E" w14:textId="77777777" w:rsidTr="005251D5">
        <w:tc>
          <w:tcPr>
            <w:tcW w:w="6374" w:type="dxa"/>
          </w:tcPr>
          <w:p w14:paraId="2AB7F664" w14:textId="77777777" w:rsidR="00CD1652" w:rsidRPr="005251D5" w:rsidRDefault="00CD1652" w:rsidP="00E01C62">
            <w:pPr>
              <w:spacing w:before="60"/>
              <w:rPr>
                <w:b/>
              </w:rPr>
            </w:pPr>
            <w:r w:rsidRPr="005251D5">
              <w:rPr>
                <w:b/>
              </w:rPr>
              <w:t>Sub-Total Bilateral</w:t>
            </w:r>
          </w:p>
        </w:tc>
        <w:tc>
          <w:tcPr>
            <w:tcW w:w="1423" w:type="dxa"/>
          </w:tcPr>
          <w:p w14:paraId="6E7413B8" w14:textId="7CC42FBB" w:rsidR="00CD1652" w:rsidRPr="005251D5" w:rsidRDefault="00A1296B" w:rsidP="00E01C62">
            <w:pPr>
              <w:spacing w:before="60"/>
              <w:rPr>
                <w:b/>
              </w:rPr>
            </w:pPr>
            <w:r w:rsidRPr="005251D5">
              <w:rPr>
                <w:b/>
              </w:rPr>
              <w:t>17.7</w:t>
            </w:r>
          </w:p>
        </w:tc>
        <w:tc>
          <w:tcPr>
            <w:tcW w:w="1417" w:type="dxa"/>
          </w:tcPr>
          <w:p w14:paraId="76257F4A" w14:textId="6FAFCD68" w:rsidR="00CD1652" w:rsidRPr="005251D5" w:rsidRDefault="00A1296B" w:rsidP="00E01C62">
            <w:pPr>
              <w:spacing w:before="60"/>
              <w:rPr>
                <w:b/>
              </w:rPr>
            </w:pPr>
            <w:r w:rsidRPr="005251D5">
              <w:rPr>
                <w:b/>
              </w:rPr>
              <w:t>62</w:t>
            </w:r>
          </w:p>
        </w:tc>
      </w:tr>
      <w:tr w:rsidR="00C22A3C" w:rsidRPr="005251D5" w14:paraId="19BA3524" w14:textId="77777777" w:rsidTr="005251D5">
        <w:tc>
          <w:tcPr>
            <w:tcW w:w="6374" w:type="dxa"/>
          </w:tcPr>
          <w:p w14:paraId="36941097" w14:textId="77777777" w:rsidR="00CD1652" w:rsidRPr="005251D5" w:rsidRDefault="00CD1652" w:rsidP="00E01C62">
            <w:pPr>
              <w:spacing w:before="60"/>
              <w:rPr>
                <w:b/>
              </w:rPr>
            </w:pPr>
            <w:r w:rsidRPr="005251D5">
              <w:t>Regional and Global</w:t>
            </w:r>
          </w:p>
        </w:tc>
        <w:tc>
          <w:tcPr>
            <w:tcW w:w="1423" w:type="dxa"/>
          </w:tcPr>
          <w:p w14:paraId="694D35CA" w14:textId="3812CC4D" w:rsidR="00CD1652" w:rsidRPr="005251D5" w:rsidRDefault="00A1296B" w:rsidP="00E01C62">
            <w:pPr>
              <w:spacing w:before="60"/>
              <w:rPr>
                <w:b/>
              </w:rPr>
            </w:pPr>
            <w:r w:rsidRPr="005251D5">
              <w:rPr>
                <w:b/>
              </w:rPr>
              <w:t>7.6</w:t>
            </w:r>
          </w:p>
        </w:tc>
        <w:tc>
          <w:tcPr>
            <w:tcW w:w="1417" w:type="dxa"/>
          </w:tcPr>
          <w:p w14:paraId="5215646B" w14:textId="2A71BEC2" w:rsidR="00CD1652" w:rsidRPr="005251D5" w:rsidRDefault="00A1296B" w:rsidP="00E01C62">
            <w:pPr>
              <w:spacing w:before="60"/>
              <w:rPr>
                <w:b/>
              </w:rPr>
            </w:pPr>
            <w:r w:rsidRPr="005251D5">
              <w:rPr>
                <w:b/>
              </w:rPr>
              <w:t>26</w:t>
            </w:r>
          </w:p>
        </w:tc>
      </w:tr>
      <w:tr w:rsidR="00C22A3C" w:rsidRPr="005251D5" w14:paraId="43EC8889" w14:textId="77777777" w:rsidTr="005251D5">
        <w:tc>
          <w:tcPr>
            <w:tcW w:w="6374" w:type="dxa"/>
          </w:tcPr>
          <w:p w14:paraId="17955882" w14:textId="77777777" w:rsidR="00CD1652" w:rsidRPr="005251D5" w:rsidRDefault="00CD1652" w:rsidP="00E01C62">
            <w:pPr>
              <w:spacing w:before="60"/>
              <w:rPr>
                <w:b/>
              </w:rPr>
            </w:pPr>
            <w:r w:rsidRPr="005251D5">
              <w:t>Other Government Departments</w:t>
            </w:r>
          </w:p>
        </w:tc>
        <w:tc>
          <w:tcPr>
            <w:tcW w:w="1423" w:type="dxa"/>
          </w:tcPr>
          <w:p w14:paraId="57713011" w14:textId="3456CC6E" w:rsidR="00CD1652" w:rsidRPr="005251D5" w:rsidRDefault="00A1296B" w:rsidP="00E01C62">
            <w:pPr>
              <w:spacing w:before="60"/>
              <w:rPr>
                <w:b/>
              </w:rPr>
            </w:pPr>
            <w:r w:rsidRPr="005251D5">
              <w:rPr>
                <w:b/>
              </w:rPr>
              <w:t>3.6</w:t>
            </w:r>
          </w:p>
        </w:tc>
        <w:tc>
          <w:tcPr>
            <w:tcW w:w="1417" w:type="dxa"/>
          </w:tcPr>
          <w:p w14:paraId="2C4DE8E6" w14:textId="2CBB5F1C" w:rsidR="00CD1652" w:rsidRPr="005251D5" w:rsidRDefault="00A1296B" w:rsidP="00E01C62">
            <w:pPr>
              <w:spacing w:before="60"/>
              <w:rPr>
                <w:b/>
              </w:rPr>
            </w:pPr>
            <w:r w:rsidRPr="005251D5">
              <w:rPr>
                <w:b/>
              </w:rPr>
              <w:t>12</w:t>
            </w:r>
          </w:p>
        </w:tc>
      </w:tr>
      <w:tr w:rsidR="00C22A3C" w:rsidRPr="005251D5" w14:paraId="49F7E321" w14:textId="77777777" w:rsidTr="005251D5">
        <w:tc>
          <w:tcPr>
            <w:tcW w:w="6374" w:type="dxa"/>
          </w:tcPr>
          <w:p w14:paraId="643EC676" w14:textId="77777777" w:rsidR="00CD1652" w:rsidRPr="005251D5" w:rsidRDefault="00CD1652" w:rsidP="00E01C62">
            <w:pPr>
              <w:spacing w:before="60"/>
              <w:rPr>
                <w:b/>
              </w:rPr>
            </w:pPr>
            <w:r w:rsidRPr="005251D5">
              <w:t>Total ODA Expenditure</w:t>
            </w:r>
          </w:p>
        </w:tc>
        <w:tc>
          <w:tcPr>
            <w:tcW w:w="1423" w:type="dxa"/>
          </w:tcPr>
          <w:p w14:paraId="57507CC6" w14:textId="3AE097E1" w:rsidR="00CD1652" w:rsidRPr="005251D5" w:rsidRDefault="00A1296B" w:rsidP="00E01C62">
            <w:pPr>
              <w:spacing w:before="60"/>
              <w:rPr>
                <w:b/>
              </w:rPr>
            </w:pPr>
            <w:r w:rsidRPr="005251D5">
              <w:rPr>
                <w:b/>
              </w:rPr>
              <w:t>28.9</w:t>
            </w:r>
          </w:p>
        </w:tc>
        <w:tc>
          <w:tcPr>
            <w:tcW w:w="1417" w:type="dxa"/>
          </w:tcPr>
          <w:p w14:paraId="45CFA4F3" w14:textId="7E32E4DB" w:rsidR="00CD1652" w:rsidRPr="005251D5" w:rsidRDefault="00A1296B" w:rsidP="00E01C62">
            <w:pPr>
              <w:spacing w:before="60"/>
              <w:rPr>
                <w:b/>
              </w:rPr>
            </w:pPr>
            <w:r w:rsidRPr="005251D5">
              <w:rPr>
                <w:b/>
              </w:rPr>
              <w:t>100</w:t>
            </w:r>
          </w:p>
        </w:tc>
      </w:tr>
    </w:tbl>
    <w:p w14:paraId="45D1558F" w14:textId="44DEAD4A" w:rsidR="005B5769" w:rsidRPr="00B77473" w:rsidRDefault="00C22A3C" w:rsidP="00B9601B">
      <w:pPr>
        <w:pStyle w:val="Heading1smallspaceafter"/>
      </w:pPr>
      <w:r>
        <w:br/>
      </w:r>
      <w:r w:rsidR="005B5769" w:rsidRPr="00B77473">
        <w:t xml:space="preserve">Performance </w:t>
      </w:r>
      <w:r w:rsidR="006545B9" w:rsidRPr="00B77473">
        <w:t xml:space="preserve">TOWARDS aip </w:t>
      </w:r>
      <w:r w:rsidR="005B5769" w:rsidRPr="00B77473">
        <w:t>Objectives</w:t>
      </w:r>
    </w:p>
    <w:p w14:paraId="4D1894E5" w14:textId="3AFD4A7C" w:rsidR="00323E53" w:rsidRPr="00B77473" w:rsidRDefault="00323E53" w:rsidP="00323E53">
      <w:pPr>
        <w:rPr>
          <w:b/>
          <w:sz w:val="24"/>
        </w:rPr>
      </w:pPr>
      <w:r w:rsidRPr="00B77473">
        <w:rPr>
          <w:b/>
          <w:sz w:val="24"/>
        </w:rPr>
        <w:t xml:space="preserve">Table </w:t>
      </w:r>
      <w:r w:rsidRPr="00B77473">
        <w:rPr>
          <w:b/>
          <w:sz w:val="24"/>
        </w:rPr>
        <w:fldChar w:fldCharType="begin"/>
      </w:r>
      <w:r w:rsidRPr="00B77473">
        <w:rPr>
          <w:b/>
          <w:sz w:val="24"/>
        </w:rPr>
        <w:instrText xml:space="preserve"> SEQ Table \* ARABIC </w:instrText>
      </w:r>
      <w:r w:rsidRPr="00B77473">
        <w:rPr>
          <w:b/>
          <w:sz w:val="24"/>
        </w:rPr>
        <w:fldChar w:fldCharType="separate"/>
      </w:r>
      <w:r w:rsidR="0081073D">
        <w:rPr>
          <w:b/>
          <w:noProof/>
          <w:sz w:val="24"/>
        </w:rPr>
        <w:t>2</w:t>
      </w:r>
      <w:r w:rsidRPr="00B77473">
        <w:rPr>
          <w:b/>
          <w:noProof/>
          <w:sz w:val="24"/>
        </w:rPr>
        <w:fldChar w:fldCharType="end"/>
      </w:r>
      <w:r w:rsidRPr="00B77473">
        <w:rPr>
          <w:b/>
          <w:sz w:val="24"/>
        </w:rPr>
        <w:t xml:space="preserve"> Rating of the Program's Progress towards Australia’s Aid Objectives</w:t>
      </w:r>
    </w:p>
    <w:tbl>
      <w:tblPr>
        <w:tblStyle w:val="TableGridLight"/>
        <w:tblW w:w="4854" w:type="pct"/>
        <w:tblLook w:val="0620" w:firstRow="1" w:lastRow="0" w:firstColumn="0" w:lastColumn="0" w:noHBand="1" w:noVBand="1"/>
        <w:tblCaption w:val="Table 2 Rating of the Program's Progress towards Australia's Aid Objectives"/>
      </w:tblPr>
      <w:tblGrid>
        <w:gridCol w:w="6616"/>
        <w:gridCol w:w="1444"/>
        <w:gridCol w:w="1287"/>
      </w:tblGrid>
      <w:tr w:rsidR="00436526" w:rsidRPr="005251D5" w14:paraId="5DF95582" w14:textId="77777777" w:rsidTr="005251D5">
        <w:trPr>
          <w:trHeight w:val="651"/>
          <w:tblHeader/>
        </w:trPr>
        <w:tc>
          <w:tcPr>
            <w:tcW w:w="6544" w:type="dxa"/>
          </w:tcPr>
          <w:p w14:paraId="0ACC305C" w14:textId="77777777" w:rsidR="00436526" w:rsidRPr="005251D5" w:rsidRDefault="00436526" w:rsidP="00B77473">
            <w:pPr>
              <w:spacing w:before="60"/>
              <w:rPr>
                <w:b/>
              </w:rPr>
            </w:pPr>
            <w:r w:rsidRPr="005251D5">
              <w:rPr>
                <w:b/>
                <w:noProof/>
                <w:lang w:val="en-AU" w:eastAsia="en-AU"/>
              </w:rPr>
              <w:drawing>
                <wp:anchor distT="0" distB="0" distL="114300" distR="114300" simplePos="0" relativeHeight="251680768" behindDoc="0" locked="0" layoutInCell="1" allowOverlap="1" wp14:anchorId="4CCE81ED" wp14:editId="295B4893">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1D5">
              <w:rPr>
                <w:b/>
              </w:rPr>
              <w:t>Objective</w:t>
            </w:r>
          </w:p>
        </w:tc>
        <w:tc>
          <w:tcPr>
            <w:tcW w:w="1428" w:type="dxa"/>
          </w:tcPr>
          <w:p w14:paraId="5667F1FE" w14:textId="77777777" w:rsidR="00436526" w:rsidRPr="005251D5" w:rsidRDefault="00436526" w:rsidP="005251D5">
            <w:pPr>
              <w:spacing w:before="60"/>
              <w:rPr>
                <w:b/>
              </w:rPr>
            </w:pPr>
            <w:r w:rsidRPr="005251D5">
              <w:rPr>
                <w:b/>
              </w:rPr>
              <w:t>Previous Rating</w:t>
            </w:r>
          </w:p>
        </w:tc>
        <w:tc>
          <w:tcPr>
            <w:tcW w:w="1273" w:type="dxa"/>
          </w:tcPr>
          <w:p w14:paraId="6FA17C06" w14:textId="77777777" w:rsidR="00436526" w:rsidRPr="005251D5" w:rsidRDefault="00436526" w:rsidP="005251D5">
            <w:pPr>
              <w:spacing w:before="60"/>
              <w:rPr>
                <w:b/>
              </w:rPr>
            </w:pPr>
            <w:r w:rsidRPr="005251D5">
              <w:rPr>
                <w:b/>
              </w:rPr>
              <w:t>Current Rating</w:t>
            </w:r>
          </w:p>
        </w:tc>
      </w:tr>
      <w:tr w:rsidR="00436526" w:rsidRPr="005251D5" w14:paraId="3579D8AB" w14:textId="77777777" w:rsidTr="005251D5">
        <w:tc>
          <w:tcPr>
            <w:tcW w:w="6544" w:type="dxa"/>
          </w:tcPr>
          <w:p w14:paraId="41523D55" w14:textId="227FE047" w:rsidR="00436526" w:rsidRPr="005251D5" w:rsidRDefault="004E3C08" w:rsidP="00B77473">
            <w:pPr>
              <w:spacing w:before="60"/>
            </w:pPr>
            <w:r w:rsidRPr="005251D5">
              <w:t>Governance, economic and private sector development</w:t>
            </w:r>
          </w:p>
        </w:tc>
        <w:tc>
          <w:tcPr>
            <w:tcW w:w="1428" w:type="dxa"/>
            <w:noWrap/>
          </w:tcPr>
          <w:p w14:paraId="0B07CF4E" w14:textId="46E72260" w:rsidR="00436526" w:rsidRPr="005251D5" w:rsidRDefault="008610B4" w:rsidP="005251D5">
            <w:pPr>
              <w:pStyle w:val="TableTextEntries"/>
              <w:rPr>
                <w:rFonts w:asciiTheme="minorHAnsi" w:hAnsiTheme="minorHAnsi"/>
                <w:b/>
                <w:color w:val="495965" w:themeColor="text2"/>
                <w:sz w:val="22"/>
                <w:szCs w:val="22"/>
              </w:rPr>
            </w:pPr>
            <w:r w:rsidRPr="005251D5">
              <w:rPr>
                <w:rFonts w:asciiTheme="minorHAnsi" w:hAnsiTheme="minorHAnsi"/>
                <w:color w:val="495965" w:themeColor="text2"/>
                <w:sz w:val="22"/>
                <w:szCs w:val="22"/>
              </w:rPr>
              <w:t>Amber</w:t>
            </w:r>
          </w:p>
        </w:tc>
        <w:tc>
          <w:tcPr>
            <w:tcW w:w="1273" w:type="dxa"/>
            <w:noWrap/>
          </w:tcPr>
          <w:p w14:paraId="72F2F599" w14:textId="1B99D41A" w:rsidR="00436526" w:rsidRPr="005251D5" w:rsidRDefault="008610B4" w:rsidP="005251D5">
            <w:pPr>
              <w:pStyle w:val="TableTextEntries"/>
              <w:rPr>
                <w:rFonts w:asciiTheme="minorHAnsi" w:hAnsiTheme="minorHAnsi"/>
                <w:b/>
                <w:color w:val="495965" w:themeColor="text2"/>
                <w:sz w:val="22"/>
                <w:szCs w:val="22"/>
              </w:rPr>
            </w:pPr>
            <w:r w:rsidRPr="005251D5">
              <w:rPr>
                <w:rFonts w:asciiTheme="minorHAnsi" w:hAnsiTheme="minorHAnsi"/>
                <w:color w:val="495965" w:themeColor="text2"/>
                <w:sz w:val="22"/>
                <w:szCs w:val="22"/>
              </w:rPr>
              <w:t>Green</w:t>
            </w:r>
          </w:p>
        </w:tc>
      </w:tr>
      <w:tr w:rsidR="00132566" w:rsidRPr="005251D5" w14:paraId="3D2B297D" w14:textId="77777777" w:rsidTr="005251D5">
        <w:tc>
          <w:tcPr>
            <w:tcW w:w="6544" w:type="dxa"/>
          </w:tcPr>
          <w:p w14:paraId="1E79EEF7" w14:textId="1ECBBD31" w:rsidR="00132566" w:rsidRPr="005251D5" w:rsidRDefault="00132566" w:rsidP="00B77473">
            <w:pPr>
              <w:spacing w:before="60"/>
            </w:pPr>
            <w:r w:rsidRPr="005251D5">
              <w:t xml:space="preserve">A </w:t>
            </w:r>
            <w:r w:rsidR="004E3C08" w:rsidRPr="005251D5">
              <w:t xml:space="preserve">more effective, efficient and equitable health system </w:t>
            </w:r>
          </w:p>
        </w:tc>
        <w:tc>
          <w:tcPr>
            <w:tcW w:w="1428" w:type="dxa"/>
            <w:noWrap/>
          </w:tcPr>
          <w:p w14:paraId="46D14136" w14:textId="77777777" w:rsidR="00132566" w:rsidRPr="005251D5" w:rsidRDefault="00132566" w:rsidP="005251D5">
            <w:pPr>
              <w:pStyle w:val="TableTextEntries"/>
              <w:rPr>
                <w:rFonts w:asciiTheme="minorHAnsi" w:hAnsiTheme="minorHAnsi"/>
                <w:b/>
                <w:color w:val="495965" w:themeColor="text2"/>
                <w:sz w:val="22"/>
                <w:szCs w:val="22"/>
              </w:rPr>
            </w:pPr>
            <w:r w:rsidRPr="005251D5">
              <w:rPr>
                <w:rFonts w:asciiTheme="minorHAnsi" w:hAnsiTheme="minorHAnsi"/>
                <w:color w:val="495965" w:themeColor="text2"/>
                <w:sz w:val="22"/>
                <w:szCs w:val="22"/>
              </w:rPr>
              <w:t>Amber</w:t>
            </w:r>
          </w:p>
        </w:tc>
        <w:tc>
          <w:tcPr>
            <w:tcW w:w="1273" w:type="dxa"/>
            <w:noWrap/>
          </w:tcPr>
          <w:p w14:paraId="256C9D4C" w14:textId="4D710D9F" w:rsidR="00132566" w:rsidRPr="005251D5" w:rsidRDefault="00132566" w:rsidP="005251D5">
            <w:pPr>
              <w:pStyle w:val="TableTextEntries"/>
              <w:rPr>
                <w:rFonts w:asciiTheme="minorHAnsi" w:hAnsiTheme="minorHAnsi"/>
                <w:b/>
                <w:color w:val="495965" w:themeColor="text2"/>
                <w:sz w:val="22"/>
                <w:szCs w:val="22"/>
              </w:rPr>
            </w:pPr>
            <w:r w:rsidRPr="005251D5">
              <w:rPr>
                <w:rFonts w:asciiTheme="minorHAnsi" w:hAnsiTheme="minorHAnsi"/>
                <w:color w:val="495965" w:themeColor="text2"/>
                <w:sz w:val="22"/>
                <w:szCs w:val="22"/>
              </w:rPr>
              <w:t>Amber</w:t>
            </w:r>
          </w:p>
        </w:tc>
      </w:tr>
      <w:tr w:rsidR="00436526" w:rsidRPr="005251D5" w14:paraId="135DF938" w14:textId="77777777" w:rsidTr="005251D5">
        <w:tc>
          <w:tcPr>
            <w:tcW w:w="6544" w:type="dxa"/>
          </w:tcPr>
          <w:p w14:paraId="3BE38317" w14:textId="0925B986" w:rsidR="00436526" w:rsidRPr="005251D5" w:rsidRDefault="004E3C08" w:rsidP="00B77473">
            <w:pPr>
              <w:spacing w:before="60"/>
            </w:pPr>
            <w:r w:rsidRPr="005251D5">
              <w:t>Skills development in support of economic opportunities for Tongan workers</w:t>
            </w:r>
          </w:p>
        </w:tc>
        <w:tc>
          <w:tcPr>
            <w:tcW w:w="1428" w:type="dxa"/>
            <w:noWrap/>
          </w:tcPr>
          <w:p w14:paraId="2228EBAA" w14:textId="03B7FC71" w:rsidR="00436526" w:rsidRPr="005251D5" w:rsidRDefault="00D711A8" w:rsidP="005251D5">
            <w:pPr>
              <w:pStyle w:val="TableTextEntries"/>
              <w:rPr>
                <w:rFonts w:asciiTheme="minorHAnsi" w:hAnsiTheme="minorHAnsi"/>
                <w:b/>
                <w:color w:val="495965" w:themeColor="text2"/>
                <w:sz w:val="22"/>
                <w:szCs w:val="22"/>
              </w:rPr>
            </w:pPr>
            <w:r w:rsidRPr="005251D5">
              <w:rPr>
                <w:rFonts w:asciiTheme="minorHAnsi" w:hAnsiTheme="minorHAnsi"/>
                <w:color w:val="495965" w:themeColor="text2"/>
                <w:sz w:val="22"/>
                <w:szCs w:val="22"/>
              </w:rPr>
              <w:t>Green</w:t>
            </w:r>
          </w:p>
        </w:tc>
        <w:tc>
          <w:tcPr>
            <w:tcW w:w="1273" w:type="dxa"/>
            <w:noWrap/>
          </w:tcPr>
          <w:p w14:paraId="010D96C8" w14:textId="41F0574A" w:rsidR="00436526" w:rsidRPr="005251D5" w:rsidRDefault="008610B4" w:rsidP="005251D5">
            <w:pPr>
              <w:pStyle w:val="TableTextEntries"/>
              <w:rPr>
                <w:rFonts w:asciiTheme="minorHAnsi" w:hAnsiTheme="minorHAnsi"/>
                <w:b/>
                <w:color w:val="495965" w:themeColor="text2"/>
                <w:sz w:val="22"/>
                <w:szCs w:val="22"/>
              </w:rPr>
            </w:pPr>
            <w:r w:rsidRPr="005251D5">
              <w:rPr>
                <w:rFonts w:asciiTheme="minorHAnsi" w:hAnsiTheme="minorHAnsi"/>
                <w:color w:val="495965" w:themeColor="text2"/>
                <w:sz w:val="22"/>
                <w:szCs w:val="22"/>
              </w:rPr>
              <w:t>Green</w:t>
            </w:r>
          </w:p>
        </w:tc>
      </w:tr>
    </w:tbl>
    <w:p w14:paraId="70A0FED7" w14:textId="17B07419" w:rsidR="005251D5" w:rsidRPr="005251D5" w:rsidRDefault="005251D5" w:rsidP="005251D5">
      <w:pPr>
        <w:pStyle w:val="Note"/>
        <w:rPr>
          <w:rFonts w:cstheme="minorBidi"/>
          <w:b/>
          <w:sz w:val="20"/>
          <w:szCs w:val="20"/>
          <w:lang w:val="en-GB" w:eastAsia="en-US"/>
        </w:rPr>
      </w:pPr>
      <w:r w:rsidRPr="005251D5">
        <w:rPr>
          <w:rFonts w:cstheme="minorBidi"/>
          <w:b/>
          <w:sz w:val="20"/>
          <w:szCs w:val="20"/>
          <w:lang w:val="en-GB" w:eastAsia="en-US"/>
        </w:rPr>
        <w:t xml:space="preserve">Definition of ratings: </w:t>
      </w:r>
    </w:p>
    <w:p w14:paraId="6B5D6654" w14:textId="77777777" w:rsidR="005251D5" w:rsidRPr="005251D5" w:rsidRDefault="005251D5" w:rsidP="005251D5">
      <w:pPr>
        <w:pStyle w:val="Note"/>
        <w:rPr>
          <w:rFonts w:cstheme="minorBidi"/>
          <w:sz w:val="20"/>
          <w:szCs w:val="20"/>
          <w:lang w:val="en-GB" w:eastAsia="en-US"/>
        </w:rPr>
      </w:pPr>
      <w:r w:rsidRPr="005251D5">
        <w:rPr>
          <w:rFonts w:cstheme="minorBidi"/>
          <w:b/>
          <w:sz w:val="20"/>
          <w:szCs w:val="20"/>
          <w:lang w:val="en-GB" w:eastAsia="en-US"/>
        </w:rPr>
        <w:t xml:space="preserve">Green: </w:t>
      </w:r>
      <w:r w:rsidRPr="005251D5">
        <w:rPr>
          <w:rFonts w:cstheme="minorBidi"/>
          <w:sz w:val="20"/>
          <w:szCs w:val="20"/>
          <w:lang w:val="en-GB" w:eastAsia="en-US"/>
        </w:rPr>
        <w:t>Progress is as expected at this stage of implementation and it is likely that the objective will be achieved. Standard program management practices are sufficient.</w:t>
      </w:r>
    </w:p>
    <w:p w14:paraId="792B97D4" w14:textId="77777777" w:rsidR="005251D5" w:rsidRPr="005251D5" w:rsidRDefault="005251D5" w:rsidP="005251D5">
      <w:pPr>
        <w:pStyle w:val="Note"/>
        <w:rPr>
          <w:rFonts w:cstheme="minorBidi"/>
          <w:sz w:val="20"/>
          <w:szCs w:val="20"/>
          <w:lang w:val="en-GB" w:eastAsia="en-US"/>
        </w:rPr>
      </w:pPr>
      <w:r w:rsidRPr="005251D5">
        <w:rPr>
          <w:rFonts w:cstheme="minorBidi"/>
          <w:b/>
          <w:sz w:val="20"/>
          <w:szCs w:val="20"/>
          <w:lang w:val="en-GB" w:eastAsia="en-US"/>
        </w:rPr>
        <w:t xml:space="preserve">Amber: </w:t>
      </w:r>
      <w:r w:rsidRPr="005251D5">
        <w:rPr>
          <w:rFonts w:cstheme="minorBidi"/>
          <w:sz w:val="20"/>
          <w:szCs w:val="20"/>
          <w:lang w:val="en-GB" w:eastAsia="en-US"/>
        </w:rPr>
        <w:t>Progress is somewhat less than expected at this stage of implementation and restorative action will be necessary if the objective is to be achieved. Close performance monitoring is recommended.</w:t>
      </w:r>
    </w:p>
    <w:p w14:paraId="186C8ED6" w14:textId="77777777" w:rsidR="005251D5" w:rsidRPr="005251D5" w:rsidRDefault="005251D5" w:rsidP="005251D5">
      <w:pPr>
        <w:pStyle w:val="Note"/>
        <w:rPr>
          <w:rFonts w:cstheme="minorBidi"/>
          <w:b/>
          <w:sz w:val="20"/>
          <w:szCs w:val="20"/>
          <w:lang w:val="en-GB" w:eastAsia="en-US"/>
        </w:rPr>
      </w:pPr>
      <w:r w:rsidRPr="005251D5">
        <w:rPr>
          <w:rFonts w:cstheme="minorBidi"/>
          <w:b/>
          <w:sz w:val="20"/>
          <w:szCs w:val="20"/>
          <w:lang w:val="en-GB" w:eastAsia="en-US"/>
        </w:rPr>
        <w:t xml:space="preserve">Red: </w:t>
      </w:r>
      <w:r w:rsidRPr="005251D5">
        <w:rPr>
          <w:rFonts w:cstheme="minorBidi"/>
          <w:sz w:val="20"/>
          <w:szCs w:val="20"/>
          <w:lang w:val="en-GB" w:eastAsia="en-US"/>
        </w:rPr>
        <w:t>Progress is significantly less than expected at this stage of implementation and the objective is not likely to be met given available resources and priorities. Recasting the objective may be required</w:t>
      </w:r>
      <w:r w:rsidRPr="005251D5">
        <w:rPr>
          <w:rFonts w:cstheme="minorBidi"/>
          <w:b/>
          <w:sz w:val="20"/>
          <w:szCs w:val="20"/>
          <w:lang w:val="en-GB" w:eastAsia="en-US"/>
        </w:rPr>
        <w:t>.</w:t>
      </w:r>
    </w:p>
    <w:p w14:paraId="5109ACCE" w14:textId="77777777" w:rsidR="00B9601B" w:rsidRDefault="00B9601B">
      <w:pPr>
        <w:suppressAutoHyphens w:val="0"/>
        <w:spacing w:before="0" w:after="120" w:line="440" w:lineRule="atLeast"/>
        <w:rPr>
          <w:rFonts w:eastAsia="Times New Roman" w:cs="Times New Roman"/>
          <w:sz w:val="16"/>
          <w:szCs w:val="14"/>
          <w:lang w:val="en-AU" w:eastAsia="en-AU"/>
        </w:rPr>
      </w:pPr>
      <w:r>
        <w:br w:type="page"/>
      </w:r>
    </w:p>
    <w:p w14:paraId="089387F7" w14:textId="194D1B19" w:rsidR="00695730" w:rsidRPr="00B77473" w:rsidRDefault="003C54B6" w:rsidP="00B9601B">
      <w:pPr>
        <w:pStyle w:val="Heading1smallspaceafter"/>
        <w:rPr>
          <w:sz w:val="32"/>
          <w:szCs w:val="32"/>
        </w:rPr>
      </w:pPr>
      <w:r w:rsidRPr="00B77473">
        <w:rPr>
          <w:rFonts w:eastAsia="Calibri"/>
          <w:u w:color="495965"/>
        </w:rPr>
        <w:lastRenderedPageBreak/>
        <w:t>Governance, economic and private sector development</w:t>
      </w:r>
      <w:r w:rsidR="001330F2" w:rsidRPr="00B77473">
        <w:rPr>
          <w:rFonts w:eastAsia="Calibri"/>
          <w:u w:color="495965"/>
        </w:rPr>
        <w:t xml:space="preserve"> REFORMS</w:t>
      </w:r>
    </w:p>
    <w:p w14:paraId="0C2C8157" w14:textId="190A6202" w:rsidR="00501ABD" w:rsidRDefault="00501ABD" w:rsidP="00102906">
      <w:pPr>
        <w:spacing w:before="240"/>
        <w:rPr>
          <w:u w:color="595959"/>
          <w:lang w:val="en-US"/>
        </w:rPr>
      </w:pPr>
      <w:r w:rsidRPr="00695730">
        <w:rPr>
          <w:rFonts w:asciiTheme="majorHAnsi" w:eastAsiaTheme="majorEastAsia" w:hAnsiTheme="majorHAnsi" w:cstheme="majorBidi"/>
          <w:caps/>
          <w:noProof/>
          <w:sz w:val="38"/>
          <w:szCs w:val="26"/>
          <w:lang w:val="en-AU" w:eastAsia="en-AU"/>
        </w:rPr>
        <w:drawing>
          <wp:inline distT="0" distB="0" distL="0" distR="0" wp14:anchorId="6ABC2C39" wp14:editId="4FF983E9">
            <wp:extent cx="1137600" cy="720000"/>
            <wp:effectExtent l="0" t="0" r="5715" b="4445"/>
            <wp:docPr id="1" name="Picture 1" title="Contributes to sustainable development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r>
        <w:rPr>
          <w:rFonts w:asciiTheme="majorHAnsi" w:eastAsiaTheme="majorEastAsia" w:hAnsiTheme="majorHAnsi" w:cstheme="majorBidi"/>
          <w:caps/>
          <w:noProof/>
          <w:sz w:val="38"/>
          <w:szCs w:val="26"/>
          <w:lang w:val="en-AU" w:eastAsia="en-AU"/>
        </w:rPr>
        <w:tab/>
      </w:r>
      <w:r w:rsidRPr="00695730">
        <w:rPr>
          <w:rFonts w:asciiTheme="majorHAnsi" w:eastAsiaTheme="majorEastAsia" w:hAnsiTheme="majorHAnsi" w:cstheme="majorBidi"/>
          <w:caps/>
          <w:noProof/>
          <w:sz w:val="38"/>
          <w:szCs w:val="26"/>
          <w:lang w:val="en-AU" w:eastAsia="en-AU"/>
        </w:rPr>
        <w:drawing>
          <wp:inline distT="0" distB="0" distL="0" distR="0" wp14:anchorId="09C09A03" wp14:editId="3CE11592">
            <wp:extent cx="609600" cy="609600"/>
            <wp:effectExtent l="0" t="0" r="0" b="0"/>
            <wp:docPr id="2" name="Picture 2" descr="No Poverty" title="Contributes to sustainable development go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r>
        <w:rPr>
          <w:noProof/>
          <w:lang w:val="en-AU" w:eastAsia="en-AU"/>
        </w:rPr>
        <w:t xml:space="preserve"> </w:t>
      </w:r>
      <w:r>
        <w:rPr>
          <w:noProof/>
          <w:lang w:val="en-AU" w:eastAsia="en-AU"/>
        </w:rPr>
        <w:tab/>
        <w:t xml:space="preserve"> </w:t>
      </w:r>
      <w:r>
        <w:rPr>
          <w:noProof/>
          <w:lang w:val="en-AU" w:eastAsia="en-AU"/>
        </w:rPr>
        <w:drawing>
          <wp:inline distT="0" distB="0" distL="0" distR="0" wp14:anchorId="20B1D2B4" wp14:editId="60ED1A15">
            <wp:extent cx="612000" cy="612000"/>
            <wp:effectExtent l="0" t="0" r="0" b="0"/>
            <wp:docPr id="54" name="Picture 54" descr="Clean water and sanitation" title="Contributes to sustainable development goal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noProof/>
          <w:lang w:val="en-AU" w:eastAsia="en-AU"/>
        </w:rPr>
        <w:t xml:space="preserve"> </w:t>
      </w:r>
      <w:r>
        <w:rPr>
          <w:noProof/>
          <w:lang w:val="en-AU" w:eastAsia="en-AU"/>
        </w:rPr>
        <w:tab/>
        <w:t xml:space="preserve"> </w:t>
      </w:r>
      <w:r>
        <w:rPr>
          <w:noProof/>
          <w:lang w:val="en-AU" w:eastAsia="en-AU"/>
        </w:rPr>
        <w:drawing>
          <wp:inline distT="0" distB="0" distL="0" distR="0" wp14:anchorId="4820EC10" wp14:editId="320D076B">
            <wp:extent cx="612000" cy="612000"/>
            <wp:effectExtent l="0" t="0" r="0" b="0"/>
            <wp:docPr id="55" name="Picture 55" descr="Affordable and clean energy" title="Contributes to sustainable development goal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noProof/>
          <w:lang w:val="en-AU" w:eastAsia="en-AU"/>
        </w:rPr>
        <w:t xml:space="preserve">  </w:t>
      </w:r>
      <w:r>
        <w:rPr>
          <w:noProof/>
          <w:lang w:val="en-AU" w:eastAsia="en-AU"/>
        </w:rPr>
        <w:tab/>
      </w:r>
      <w:r>
        <w:rPr>
          <w:noProof/>
          <w:lang w:val="en-AU" w:eastAsia="en-AU"/>
        </w:rPr>
        <w:drawing>
          <wp:inline distT="0" distB="0" distL="0" distR="0" wp14:anchorId="66777A83" wp14:editId="10A3ED94">
            <wp:extent cx="609600" cy="609600"/>
            <wp:effectExtent l="0" t="0" r="0" b="0"/>
            <wp:docPr id="56" name="Picture 56" descr="Decent work and economic growth" title="Contributes to sustainable development goal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0BAE354C" w14:textId="452C8B21" w:rsidR="00332760" w:rsidRPr="00B77473" w:rsidRDefault="00332760" w:rsidP="00102906">
      <w:pPr>
        <w:spacing w:before="240"/>
        <w:rPr>
          <w:u w:color="595959"/>
          <w:lang w:val="en-US"/>
        </w:rPr>
      </w:pPr>
      <w:r w:rsidRPr="00B77473">
        <w:rPr>
          <w:u w:color="595959"/>
          <w:lang w:val="en-US"/>
        </w:rPr>
        <w:t>The overall rating against this objective is green, reflecting good progress in economic reforms under an effective mechanism.</w:t>
      </w:r>
      <w:r w:rsidR="003922A9">
        <w:rPr>
          <w:u w:color="595959"/>
          <w:lang w:val="en-US"/>
        </w:rPr>
        <w:t xml:space="preserve"> This is an improvement on the previous year, when performance was rated </w:t>
      </w:r>
      <w:r w:rsidR="003922A9">
        <w:rPr>
          <w:color w:val="595959"/>
          <w:u w:color="595959"/>
        </w:rPr>
        <w:t xml:space="preserve">amber due to delayed progress towards achieving some reform actions under the Joint Policy Reform Matrix (JPRM). These delays were caused largely by the unexpected disruption to parliament </w:t>
      </w:r>
      <w:r w:rsidR="009A3812">
        <w:rPr>
          <w:color w:val="595959"/>
          <w:u w:color="595959"/>
        </w:rPr>
        <w:t xml:space="preserve">due to </w:t>
      </w:r>
      <w:r w:rsidR="003922A9">
        <w:rPr>
          <w:color w:val="595959"/>
          <w:u w:color="595959"/>
        </w:rPr>
        <w:t xml:space="preserve">the </w:t>
      </w:r>
      <w:r w:rsidR="009A3812">
        <w:rPr>
          <w:color w:val="595959"/>
          <w:u w:color="595959"/>
        </w:rPr>
        <w:t xml:space="preserve">severe </w:t>
      </w:r>
      <w:r w:rsidR="003E44B9">
        <w:rPr>
          <w:color w:val="595959"/>
          <w:u w:color="595959"/>
        </w:rPr>
        <w:t>damage</w:t>
      </w:r>
      <w:r w:rsidR="003922A9">
        <w:rPr>
          <w:color w:val="595959"/>
          <w:u w:color="595959"/>
        </w:rPr>
        <w:t xml:space="preserve"> caused </w:t>
      </w:r>
      <w:r w:rsidR="009A3812">
        <w:rPr>
          <w:color w:val="595959"/>
          <w:u w:color="595959"/>
        </w:rPr>
        <w:t xml:space="preserve">to the Parliament House </w:t>
      </w:r>
      <w:r w:rsidR="003922A9">
        <w:rPr>
          <w:color w:val="595959"/>
          <w:u w:color="595959"/>
        </w:rPr>
        <w:t>by Tropical Cyclone Gita</w:t>
      </w:r>
      <w:r w:rsidR="003E44B9">
        <w:rPr>
          <w:color w:val="595959"/>
          <w:u w:color="595959"/>
        </w:rPr>
        <w:t>.</w:t>
      </w:r>
    </w:p>
    <w:p w14:paraId="71B91A0B" w14:textId="4F079A23" w:rsidR="00102906" w:rsidRPr="00B77473" w:rsidRDefault="00102906" w:rsidP="00102906">
      <w:pPr>
        <w:spacing w:before="240"/>
        <w:rPr>
          <w:u w:color="595959"/>
          <w:lang w:val="en-US"/>
        </w:rPr>
      </w:pPr>
      <w:r w:rsidRPr="00B77473">
        <w:rPr>
          <w:u w:color="595959"/>
          <w:lang w:val="en-US"/>
        </w:rPr>
        <w:t>Australia is one of five donors</w:t>
      </w:r>
      <w:r w:rsidRPr="00B77473">
        <w:rPr>
          <w:rStyle w:val="FootnoteReference"/>
          <w:u w:color="595959"/>
          <w:lang w:val="en-US"/>
        </w:rPr>
        <w:footnoteReference w:id="1"/>
      </w:r>
      <w:r w:rsidRPr="00B77473">
        <w:rPr>
          <w:u w:color="595959"/>
          <w:lang w:val="en-US"/>
        </w:rPr>
        <w:t xml:space="preserve"> </w:t>
      </w:r>
      <w:r w:rsidR="001A3A45" w:rsidRPr="00B77473">
        <w:rPr>
          <w:u w:color="595959"/>
          <w:lang w:val="en-US"/>
        </w:rPr>
        <w:t xml:space="preserve">providing budget support to the </w:t>
      </w:r>
      <w:proofErr w:type="spellStart"/>
      <w:r w:rsidRPr="00B77473">
        <w:rPr>
          <w:u w:color="595959"/>
          <w:lang w:val="en-US"/>
        </w:rPr>
        <w:t>GoT</w:t>
      </w:r>
      <w:proofErr w:type="spellEnd"/>
      <w:r w:rsidR="001A3A45" w:rsidRPr="00B77473">
        <w:rPr>
          <w:u w:color="595959"/>
          <w:lang w:val="en-US"/>
        </w:rPr>
        <w:t xml:space="preserve"> through the Joint Policy Reform Matrix </w:t>
      </w:r>
      <w:r w:rsidR="005E1E71" w:rsidRPr="00B77473">
        <w:rPr>
          <w:u w:color="595959"/>
          <w:lang w:val="en-US"/>
        </w:rPr>
        <w:t xml:space="preserve">(JPRM) </w:t>
      </w:r>
      <w:r w:rsidR="001A3A45" w:rsidRPr="00B77473">
        <w:rPr>
          <w:u w:color="595959"/>
          <w:lang w:val="en-US"/>
        </w:rPr>
        <w:t xml:space="preserve">mechanism. </w:t>
      </w:r>
      <w:r w:rsidR="0025457E" w:rsidRPr="00B77473">
        <w:rPr>
          <w:u w:color="595959"/>
          <w:lang w:val="en-US"/>
        </w:rPr>
        <w:t xml:space="preserve">Policy reform dialogue is led by </w:t>
      </w:r>
      <w:proofErr w:type="spellStart"/>
      <w:r w:rsidR="0025457E" w:rsidRPr="00B77473">
        <w:rPr>
          <w:u w:color="595959"/>
          <w:lang w:val="en-US"/>
        </w:rPr>
        <w:t>GoT</w:t>
      </w:r>
      <w:proofErr w:type="spellEnd"/>
      <w:r w:rsidR="0025457E" w:rsidRPr="00B77473">
        <w:rPr>
          <w:u w:color="595959"/>
          <w:lang w:val="en-US"/>
        </w:rPr>
        <w:t xml:space="preserve"> and </w:t>
      </w:r>
      <w:r w:rsidR="008610B4" w:rsidRPr="00B77473">
        <w:rPr>
          <w:u w:color="595959"/>
          <w:lang w:val="en-US"/>
        </w:rPr>
        <w:t xml:space="preserve">budget support </w:t>
      </w:r>
      <w:r w:rsidR="0025457E" w:rsidRPr="00B77473">
        <w:rPr>
          <w:u w:color="595959"/>
          <w:lang w:val="en-US"/>
        </w:rPr>
        <w:t>p</w:t>
      </w:r>
      <w:r w:rsidR="001A3A45" w:rsidRPr="00B77473">
        <w:rPr>
          <w:u w:color="595959"/>
          <w:lang w:val="en-US"/>
        </w:rPr>
        <w:t>ayment is</w:t>
      </w:r>
      <w:r w:rsidRPr="00B77473">
        <w:rPr>
          <w:u w:color="595959"/>
          <w:lang w:val="en-US"/>
        </w:rPr>
        <w:t xml:space="preserve"> </w:t>
      </w:r>
      <w:r w:rsidR="001A3A45" w:rsidRPr="00B77473">
        <w:rPr>
          <w:u w:color="595959"/>
          <w:lang w:val="en-US"/>
        </w:rPr>
        <w:t xml:space="preserve">triggered by achievement of agreed </w:t>
      </w:r>
      <w:r w:rsidRPr="00B77473">
        <w:rPr>
          <w:u w:color="595959"/>
          <w:lang w:val="en-US"/>
        </w:rPr>
        <w:t xml:space="preserve">economic reforms. </w:t>
      </w:r>
      <w:r w:rsidR="0025457E" w:rsidRPr="00B77473">
        <w:rPr>
          <w:u w:color="595959"/>
          <w:lang w:val="en-US"/>
        </w:rPr>
        <w:t>The</w:t>
      </w:r>
      <w:r w:rsidRPr="00B77473">
        <w:rPr>
          <w:u w:color="595959"/>
          <w:lang w:val="en-US"/>
        </w:rPr>
        <w:t xml:space="preserve"> joint donor approach reduces transaction costs for all </w:t>
      </w:r>
      <w:r w:rsidR="001A3A45" w:rsidRPr="00B77473">
        <w:rPr>
          <w:u w:color="595959"/>
          <w:lang w:val="en-US"/>
        </w:rPr>
        <w:t xml:space="preserve">parties </w:t>
      </w:r>
      <w:r w:rsidRPr="00B77473">
        <w:rPr>
          <w:u w:color="595959"/>
          <w:lang w:val="en-US"/>
        </w:rPr>
        <w:t>and accelerates policy reforms.</w:t>
      </w:r>
      <w:r w:rsidR="00D711A8" w:rsidRPr="00B77473">
        <w:rPr>
          <w:u w:color="595959"/>
          <w:lang w:val="en-US"/>
        </w:rPr>
        <w:t xml:space="preserve"> </w:t>
      </w:r>
      <w:r w:rsidRPr="00B77473">
        <w:rPr>
          <w:u w:color="595959"/>
          <w:lang w:val="en-US"/>
        </w:rPr>
        <w:t xml:space="preserve">Economic reforms </w:t>
      </w:r>
      <w:r w:rsidR="00DA20ED" w:rsidRPr="00B77473">
        <w:rPr>
          <w:u w:color="595959"/>
          <w:lang w:val="en-US"/>
        </w:rPr>
        <w:t>under</w:t>
      </w:r>
      <w:r w:rsidRPr="00B77473">
        <w:rPr>
          <w:u w:color="595959"/>
          <w:lang w:val="en-US"/>
        </w:rPr>
        <w:t xml:space="preserve"> the JPRM have strengthened Tonga’s economy by reducin</w:t>
      </w:r>
      <w:r w:rsidR="00DA20ED" w:rsidRPr="00B77473">
        <w:rPr>
          <w:u w:color="595959"/>
          <w:lang w:val="en-US"/>
        </w:rPr>
        <w:t>g non</w:t>
      </w:r>
      <w:r w:rsidR="00EF3EA4" w:rsidRPr="00B77473">
        <w:rPr>
          <w:u w:color="595959"/>
          <w:lang w:val="en-US"/>
        </w:rPr>
        <w:t>-priority spending, improving</w:t>
      </w:r>
      <w:r w:rsidRPr="00B77473">
        <w:rPr>
          <w:u w:color="595959"/>
          <w:lang w:val="en-US"/>
        </w:rPr>
        <w:t xml:space="preserve"> debt management and strengthen</w:t>
      </w:r>
      <w:r w:rsidR="00EF3EA4" w:rsidRPr="00B77473">
        <w:rPr>
          <w:u w:color="595959"/>
          <w:lang w:val="en-US"/>
        </w:rPr>
        <w:t>ing</w:t>
      </w:r>
      <w:r w:rsidRPr="00B77473">
        <w:rPr>
          <w:u w:color="595959"/>
          <w:lang w:val="en-US"/>
        </w:rPr>
        <w:t xml:space="preserve"> core budget execution and procurement systems</w:t>
      </w:r>
      <w:r w:rsidR="00DA20ED" w:rsidRPr="00B77473">
        <w:rPr>
          <w:u w:color="595959"/>
          <w:lang w:val="en-US"/>
        </w:rPr>
        <w:t>. Key outcomes this year have been</w:t>
      </w:r>
      <w:r w:rsidRPr="00B77473">
        <w:rPr>
          <w:u w:color="595959"/>
          <w:lang w:val="en-US"/>
        </w:rPr>
        <w:t>:</w:t>
      </w:r>
    </w:p>
    <w:p w14:paraId="3F63BF9A" w14:textId="3B5EBBB1" w:rsidR="00102906" w:rsidRPr="00B77473" w:rsidRDefault="00DA20ED" w:rsidP="00102906">
      <w:pPr>
        <w:pStyle w:val="Bullet3"/>
        <w:rPr>
          <w:u w:color="595959"/>
          <w:lang w:val="en-US"/>
        </w:rPr>
      </w:pPr>
      <w:r w:rsidRPr="00B77473">
        <w:rPr>
          <w:u w:color="595959"/>
          <w:lang w:val="en-US"/>
        </w:rPr>
        <w:t xml:space="preserve">Strengthened </w:t>
      </w:r>
      <w:r w:rsidR="00102906" w:rsidRPr="00B77473">
        <w:rPr>
          <w:u w:color="595959"/>
          <w:lang w:val="en-US"/>
        </w:rPr>
        <w:t>measures to boost revenue, where the proportion of GDP collected as domestic revenue has increased to over 25% (from 21.8% average in 2014-16</w:t>
      </w:r>
      <w:r w:rsidRPr="00B77473">
        <w:rPr>
          <w:u w:color="595959"/>
          <w:lang w:val="en-US"/>
        </w:rPr>
        <w:t>)</w:t>
      </w:r>
      <w:r w:rsidR="004E3C08">
        <w:rPr>
          <w:u w:color="595959"/>
          <w:lang w:val="en-US"/>
        </w:rPr>
        <w:t>.</w:t>
      </w:r>
    </w:p>
    <w:p w14:paraId="744491B0" w14:textId="0A39D170" w:rsidR="00102906" w:rsidRPr="00B77473" w:rsidRDefault="001C14EA" w:rsidP="00102906">
      <w:pPr>
        <w:pStyle w:val="Bullet3"/>
        <w:rPr>
          <w:u w:color="595959"/>
          <w:lang w:val="en-US"/>
        </w:rPr>
      </w:pPr>
      <w:r>
        <w:rPr>
          <w:u w:color="595959"/>
          <w:lang w:val="en-US"/>
        </w:rPr>
        <w:t>R</w:t>
      </w:r>
      <w:r w:rsidR="00DA20ED" w:rsidRPr="00B77473">
        <w:rPr>
          <w:u w:color="595959"/>
          <w:lang w:val="en-US"/>
        </w:rPr>
        <w:t>educed</w:t>
      </w:r>
      <w:r w:rsidR="00102906" w:rsidRPr="00B77473">
        <w:rPr>
          <w:u w:color="595959"/>
          <w:lang w:val="en-US"/>
        </w:rPr>
        <w:t xml:space="preserve"> </w:t>
      </w:r>
      <w:r w:rsidR="009D5B32" w:rsidRPr="00B77473">
        <w:rPr>
          <w:u w:color="595959"/>
          <w:lang w:val="en-US"/>
        </w:rPr>
        <w:t xml:space="preserve">public sector </w:t>
      </w:r>
      <w:r w:rsidR="00102906" w:rsidRPr="00B77473">
        <w:rPr>
          <w:u w:color="595959"/>
          <w:lang w:val="en-US"/>
        </w:rPr>
        <w:t xml:space="preserve">wage bill as </w:t>
      </w:r>
      <w:r>
        <w:rPr>
          <w:u w:color="595959"/>
          <w:lang w:val="en-US"/>
        </w:rPr>
        <w:t xml:space="preserve">a </w:t>
      </w:r>
      <w:r w:rsidR="00102906" w:rsidRPr="00B77473">
        <w:rPr>
          <w:u w:color="595959"/>
          <w:lang w:val="en-US"/>
        </w:rPr>
        <w:t xml:space="preserve">proportion of </w:t>
      </w:r>
      <w:r w:rsidR="00EF3EA4" w:rsidRPr="00B77473">
        <w:rPr>
          <w:u w:color="595959"/>
          <w:lang w:val="en-US"/>
        </w:rPr>
        <w:t xml:space="preserve">domestic </w:t>
      </w:r>
      <w:r w:rsidR="00102906" w:rsidRPr="00B77473">
        <w:rPr>
          <w:u w:color="595959"/>
          <w:lang w:val="en-US"/>
        </w:rPr>
        <w:t xml:space="preserve">revenue from </w:t>
      </w:r>
      <w:r w:rsidR="00EF3EA4" w:rsidRPr="00B77473">
        <w:rPr>
          <w:u w:color="595959"/>
          <w:lang w:val="en-US"/>
        </w:rPr>
        <w:t>53.2</w:t>
      </w:r>
      <w:r w:rsidR="00102906" w:rsidRPr="00B77473">
        <w:rPr>
          <w:u w:color="595959"/>
          <w:lang w:val="en-US"/>
        </w:rPr>
        <w:t>% in 20</w:t>
      </w:r>
      <w:r w:rsidR="00EF3EA4" w:rsidRPr="00B77473">
        <w:rPr>
          <w:u w:color="595959"/>
          <w:lang w:val="en-US"/>
        </w:rPr>
        <w:t>16-17</w:t>
      </w:r>
      <w:r w:rsidR="00102906" w:rsidRPr="00B77473">
        <w:rPr>
          <w:u w:color="595959"/>
          <w:lang w:val="en-US"/>
        </w:rPr>
        <w:t xml:space="preserve"> to </w:t>
      </w:r>
      <w:r w:rsidR="00EF3EA4" w:rsidRPr="00B77473">
        <w:rPr>
          <w:u w:color="595959"/>
          <w:lang w:val="en-US"/>
        </w:rPr>
        <w:t>51.6</w:t>
      </w:r>
      <w:r w:rsidR="00102906" w:rsidRPr="00B77473">
        <w:rPr>
          <w:u w:color="595959"/>
          <w:lang w:val="en-US"/>
        </w:rPr>
        <w:t>% in 20</w:t>
      </w:r>
      <w:r w:rsidR="00EF3EA4" w:rsidRPr="00B77473">
        <w:rPr>
          <w:u w:color="595959"/>
          <w:lang w:val="en-US"/>
        </w:rPr>
        <w:t>18-19</w:t>
      </w:r>
      <w:r w:rsidR="004E3C08">
        <w:rPr>
          <w:u w:color="595959"/>
          <w:lang w:val="en-US"/>
        </w:rPr>
        <w:t>.</w:t>
      </w:r>
    </w:p>
    <w:p w14:paraId="2E6D5E65" w14:textId="25F08DC6" w:rsidR="00102906" w:rsidRPr="00B77473" w:rsidRDefault="00DA20ED" w:rsidP="00102906">
      <w:pPr>
        <w:pStyle w:val="Bullet3"/>
        <w:rPr>
          <w:u w:color="595959"/>
          <w:lang w:val="en-US"/>
        </w:rPr>
      </w:pPr>
      <w:r w:rsidRPr="00B77473">
        <w:rPr>
          <w:u w:color="595959"/>
          <w:lang w:val="en-US"/>
        </w:rPr>
        <w:t>G</w:t>
      </w:r>
      <w:r w:rsidR="00102906" w:rsidRPr="00B77473">
        <w:rPr>
          <w:u w:color="595959"/>
          <w:lang w:val="en-US"/>
        </w:rPr>
        <w:t xml:space="preserve">overnment procurement data </w:t>
      </w:r>
      <w:r w:rsidR="001330F2" w:rsidRPr="00B77473">
        <w:rPr>
          <w:u w:color="595959"/>
          <w:lang w:val="en-US"/>
        </w:rPr>
        <w:t xml:space="preserve">in relation to performance and compliance </w:t>
      </w:r>
      <w:r w:rsidRPr="00B77473">
        <w:rPr>
          <w:u w:color="595959"/>
          <w:lang w:val="en-US"/>
        </w:rPr>
        <w:t xml:space="preserve">is </w:t>
      </w:r>
      <w:r w:rsidR="00102906" w:rsidRPr="00B77473">
        <w:rPr>
          <w:u w:color="595959"/>
          <w:lang w:val="en-US"/>
        </w:rPr>
        <w:t>collected and published</w:t>
      </w:r>
      <w:r w:rsidR="001C14EA">
        <w:rPr>
          <w:u w:color="595959"/>
          <w:lang w:val="en-US"/>
        </w:rPr>
        <w:t xml:space="preserve"> in a timely fashion</w:t>
      </w:r>
      <w:r w:rsidR="004E3C08">
        <w:rPr>
          <w:u w:color="595959"/>
          <w:lang w:val="en-US"/>
        </w:rPr>
        <w:t>.</w:t>
      </w:r>
    </w:p>
    <w:p w14:paraId="67DF1745" w14:textId="2E62BA8A" w:rsidR="00102906" w:rsidRPr="00B77473" w:rsidRDefault="00DA20ED" w:rsidP="00102906">
      <w:pPr>
        <w:pStyle w:val="Bullet3"/>
        <w:rPr>
          <w:u w:color="595959"/>
          <w:lang w:val="en-US"/>
        </w:rPr>
      </w:pPr>
      <w:r w:rsidRPr="00B77473">
        <w:rPr>
          <w:u w:color="595959"/>
          <w:lang w:val="en-US"/>
        </w:rPr>
        <w:t xml:space="preserve">The Government has maintained its commitment </w:t>
      </w:r>
      <w:r w:rsidR="00F8443D">
        <w:rPr>
          <w:u w:color="595959"/>
          <w:lang w:val="en-US"/>
        </w:rPr>
        <w:t xml:space="preserve">to </w:t>
      </w:r>
      <w:r w:rsidRPr="00B77473">
        <w:rPr>
          <w:u w:color="595959"/>
          <w:lang w:val="en-US"/>
        </w:rPr>
        <w:t>avoid non-</w:t>
      </w:r>
      <w:r w:rsidR="00102906" w:rsidRPr="00B77473">
        <w:rPr>
          <w:u w:color="595959"/>
          <w:lang w:val="en-US"/>
        </w:rPr>
        <w:t>concessional borrowing</w:t>
      </w:r>
      <w:r w:rsidRPr="00B77473">
        <w:rPr>
          <w:u w:color="595959"/>
          <w:lang w:val="en-US"/>
        </w:rPr>
        <w:t>, bringing external debt down from 47 percent of GDP at June 2018 to 42.7 percent in June 2019.</w:t>
      </w:r>
      <w:r w:rsidR="00102906" w:rsidRPr="00B77473">
        <w:rPr>
          <w:u w:color="595959"/>
          <w:lang w:val="en-US"/>
        </w:rPr>
        <w:t xml:space="preserve"> </w:t>
      </w:r>
    </w:p>
    <w:p w14:paraId="56205F56" w14:textId="310AE652" w:rsidR="00297FBE" w:rsidRPr="00B77473" w:rsidRDefault="00265B7C" w:rsidP="00297FBE">
      <w:pPr>
        <w:spacing w:before="240"/>
        <w:rPr>
          <w:u w:color="595959"/>
          <w:lang w:val="en-US"/>
        </w:rPr>
      </w:pPr>
      <w:r w:rsidRPr="00B77473">
        <w:rPr>
          <w:u w:color="595959"/>
          <w:lang w:val="en-US"/>
        </w:rPr>
        <w:t xml:space="preserve">These reforms </w:t>
      </w:r>
      <w:r w:rsidR="00F8443D">
        <w:rPr>
          <w:u w:color="595959"/>
          <w:lang w:val="en-US"/>
        </w:rPr>
        <w:t>were</w:t>
      </w:r>
      <w:r w:rsidR="00F8443D" w:rsidRPr="00B77473">
        <w:rPr>
          <w:u w:color="595959"/>
          <w:lang w:val="en-US"/>
        </w:rPr>
        <w:t xml:space="preserve"> </w:t>
      </w:r>
      <w:r w:rsidRPr="00B77473">
        <w:rPr>
          <w:u w:color="595959"/>
          <w:lang w:val="en-US"/>
        </w:rPr>
        <w:t>fewer than anticipated at the beginning of the year, however they were considered adequate by participating donors when tak</w:t>
      </w:r>
      <w:r w:rsidR="00F8443D">
        <w:rPr>
          <w:u w:color="595959"/>
          <w:lang w:val="en-US"/>
        </w:rPr>
        <w:t>en</w:t>
      </w:r>
      <w:r w:rsidRPr="00B77473">
        <w:rPr>
          <w:u w:color="595959"/>
          <w:lang w:val="en-US"/>
        </w:rPr>
        <w:t xml:space="preserve"> in the broader context of delays to Government business due to </w:t>
      </w:r>
      <w:r w:rsidR="003922A9">
        <w:rPr>
          <w:u w:color="595959"/>
          <w:lang w:val="en-US"/>
        </w:rPr>
        <w:t>cyclone</w:t>
      </w:r>
      <w:r w:rsidR="00235011">
        <w:rPr>
          <w:u w:color="595959"/>
          <w:lang w:val="en-US"/>
        </w:rPr>
        <w:t xml:space="preserve"> Gita in February 2018 </w:t>
      </w:r>
      <w:r w:rsidRPr="00B77473">
        <w:rPr>
          <w:u w:color="595959"/>
          <w:lang w:val="en-US"/>
        </w:rPr>
        <w:t xml:space="preserve">and interruptions to Parliament in </w:t>
      </w:r>
      <w:r w:rsidR="00235011">
        <w:rPr>
          <w:u w:color="595959"/>
          <w:lang w:val="en-US"/>
        </w:rPr>
        <w:t>2017-18</w:t>
      </w:r>
      <w:r w:rsidRPr="00B77473">
        <w:rPr>
          <w:u w:color="595959"/>
          <w:lang w:val="en-US"/>
        </w:rPr>
        <w:t>.</w:t>
      </w:r>
      <w:r w:rsidR="00985524" w:rsidRPr="00B77473">
        <w:rPr>
          <w:u w:color="595959"/>
          <w:lang w:val="en-US"/>
        </w:rPr>
        <w:t xml:space="preserve"> </w:t>
      </w:r>
      <w:r w:rsidR="00EF3EA4" w:rsidRPr="00B77473">
        <w:rPr>
          <w:u w:color="595959"/>
          <w:lang w:val="en-US"/>
        </w:rPr>
        <w:t xml:space="preserve">Australia </w:t>
      </w:r>
      <w:r w:rsidR="001A3A45" w:rsidRPr="00B77473">
        <w:rPr>
          <w:u w:color="595959"/>
          <w:lang w:val="en-US"/>
        </w:rPr>
        <w:t>complement</w:t>
      </w:r>
      <w:r w:rsidR="00EF3EA4" w:rsidRPr="00B77473">
        <w:rPr>
          <w:u w:color="595959"/>
          <w:lang w:val="en-US"/>
        </w:rPr>
        <w:t>s</w:t>
      </w:r>
      <w:r w:rsidR="001A3A45" w:rsidRPr="00B77473">
        <w:rPr>
          <w:u w:color="595959"/>
          <w:lang w:val="en-US"/>
        </w:rPr>
        <w:t xml:space="preserve"> budget support with </w:t>
      </w:r>
      <w:r w:rsidR="00EF3EA4" w:rsidRPr="00B77473">
        <w:rPr>
          <w:u w:color="595959"/>
          <w:lang w:val="en-US"/>
        </w:rPr>
        <w:t xml:space="preserve">technical </w:t>
      </w:r>
      <w:r w:rsidR="001A3A45" w:rsidRPr="00B77473">
        <w:rPr>
          <w:u w:color="595959"/>
          <w:lang w:val="en-US"/>
        </w:rPr>
        <w:t>assistance for Tonga to implement its public financial management roadmap. In 20</w:t>
      </w:r>
      <w:r w:rsidR="00297FBE" w:rsidRPr="00B77473">
        <w:rPr>
          <w:u w:color="595959"/>
          <w:lang w:val="en-US"/>
        </w:rPr>
        <w:t>18-19</w:t>
      </w:r>
      <w:r w:rsidR="001A3A45" w:rsidRPr="00B77473">
        <w:rPr>
          <w:u w:color="595959"/>
          <w:lang w:val="en-US"/>
        </w:rPr>
        <w:t xml:space="preserve">, Australia provided technical assistance </w:t>
      </w:r>
      <w:r w:rsidR="00EF3EA4" w:rsidRPr="00B77473">
        <w:rPr>
          <w:u w:color="595959"/>
          <w:lang w:val="en-US"/>
        </w:rPr>
        <w:t>to strengthen</w:t>
      </w:r>
      <w:r w:rsidR="001A3A45" w:rsidRPr="00B77473">
        <w:rPr>
          <w:u w:color="595959"/>
          <w:lang w:val="en-US"/>
        </w:rPr>
        <w:t xml:space="preserve"> central and health procurement. </w:t>
      </w:r>
      <w:r w:rsidR="00297FBE" w:rsidRPr="00B77473">
        <w:rPr>
          <w:u w:color="595959"/>
          <w:lang w:val="en-US"/>
        </w:rPr>
        <w:t>A key outcome has been the increased proportion of competitive bidding for government contracts (from 35% in 2014 to over 60% in 2018)</w:t>
      </w:r>
      <w:r w:rsidR="0025457E" w:rsidRPr="00B77473">
        <w:rPr>
          <w:rStyle w:val="FootnoteReference"/>
          <w:u w:color="595959"/>
          <w:lang w:val="en-US"/>
        </w:rPr>
        <w:footnoteReference w:id="2"/>
      </w:r>
      <w:r w:rsidR="0025457E" w:rsidRPr="00B77473">
        <w:rPr>
          <w:u w:color="595959"/>
          <w:lang w:val="en-US"/>
        </w:rPr>
        <w:t xml:space="preserve"> in line with</w:t>
      </w:r>
      <w:r w:rsidR="00F8443D">
        <w:rPr>
          <w:u w:color="595959"/>
          <w:lang w:val="en-US"/>
        </w:rPr>
        <w:t xml:space="preserve"> the </w:t>
      </w:r>
      <w:r w:rsidR="0025457E" w:rsidRPr="00B77473">
        <w:rPr>
          <w:u w:color="595959"/>
          <w:lang w:val="en-US"/>
        </w:rPr>
        <w:t>approved national procurement process</w:t>
      </w:r>
      <w:r w:rsidR="00297FBE" w:rsidRPr="00B77473">
        <w:rPr>
          <w:u w:color="595959"/>
          <w:lang w:val="en-US"/>
        </w:rPr>
        <w:t>.</w:t>
      </w:r>
    </w:p>
    <w:p w14:paraId="029E05B2" w14:textId="58E242F5" w:rsidR="00985524" w:rsidRPr="00B77473" w:rsidRDefault="002A3F89" w:rsidP="00297FBE">
      <w:pPr>
        <w:spacing w:before="240"/>
        <w:rPr>
          <w:iCs/>
        </w:rPr>
      </w:pPr>
      <w:r>
        <w:rPr>
          <w:iCs/>
        </w:rPr>
        <w:t xml:space="preserve">The </w:t>
      </w:r>
      <w:r w:rsidRPr="00DC63BF">
        <w:rPr>
          <w:i/>
          <w:iCs/>
        </w:rPr>
        <w:t>I</w:t>
      </w:r>
      <w:r w:rsidR="00B52A94" w:rsidRPr="00DC63BF">
        <w:rPr>
          <w:i/>
          <w:iCs/>
        </w:rPr>
        <w:t xml:space="preserve">ndependent </w:t>
      </w:r>
      <w:r w:rsidRPr="00DC63BF">
        <w:rPr>
          <w:i/>
          <w:iCs/>
        </w:rPr>
        <w:t>E</w:t>
      </w:r>
      <w:r w:rsidR="00B52A94" w:rsidRPr="00DC63BF">
        <w:rPr>
          <w:i/>
          <w:iCs/>
        </w:rPr>
        <w:t xml:space="preserve">valuation </w:t>
      </w:r>
      <w:r w:rsidRPr="00DC63BF">
        <w:rPr>
          <w:i/>
          <w:iCs/>
        </w:rPr>
        <w:t>of DFAT’s Economic and Public-Sector Reform Program (EPSG III) to the Kingdo</w:t>
      </w:r>
      <w:r w:rsidR="00DC63BF" w:rsidRPr="00DC63BF">
        <w:rPr>
          <w:i/>
          <w:iCs/>
        </w:rPr>
        <w:t>m</w:t>
      </w:r>
      <w:r w:rsidRPr="00DC63BF">
        <w:rPr>
          <w:i/>
          <w:iCs/>
        </w:rPr>
        <w:t xml:space="preserve"> of Tonga 2015/16-2017-18 </w:t>
      </w:r>
      <w:r w:rsidRPr="00EA6162">
        <w:rPr>
          <w:iCs/>
        </w:rPr>
        <w:t>(April 201</w:t>
      </w:r>
      <w:r w:rsidR="0023628E" w:rsidRPr="00EA6162">
        <w:rPr>
          <w:iCs/>
        </w:rPr>
        <w:t>8</w:t>
      </w:r>
      <w:r w:rsidRPr="00EA6162">
        <w:rPr>
          <w:iCs/>
        </w:rPr>
        <w:t>)</w:t>
      </w:r>
      <w:r w:rsidR="00DC63BF">
        <w:rPr>
          <w:iCs/>
        </w:rPr>
        <w:t xml:space="preserve"> </w:t>
      </w:r>
      <w:r w:rsidR="00B52A94" w:rsidRPr="00B77473">
        <w:rPr>
          <w:iCs/>
        </w:rPr>
        <w:t>identified that while the JPRM mechanism effectively incentivise</w:t>
      </w:r>
      <w:r w:rsidR="00F8443D">
        <w:rPr>
          <w:iCs/>
        </w:rPr>
        <w:t>d</w:t>
      </w:r>
      <w:r w:rsidR="00B52A94" w:rsidRPr="00B77473">
        <w:rPr>
          <w:iCs/>
        </w:rPr>
        <w:t xml:space="preserve"> high-level policy action</w:t>
      </w:r>
      <w:r w:rsidR="003407A5">
        <w:rPr>
          <w:iCs/>
        </w:rPr>
        <w:t xml:space="preserve">, </w:t>
      </w:r>
      <w:r w:rsidR="00B52A94" w:rsidRPr="00B77473">
        <w:rPr>
          <w:iCs/>
        </w:rPr>
        <w:t xml:space="preserve">it </w:t>
      </w:r>
      <w:r w:rsidR="00F8443D">
        <w:rPr>
          <w:iCs/>
        </w:rPr>
        <w:t xml:space="preserve">has </w:t>
      </w:r>
      <w:r w:rsidR="00B52A94" w:rsidRPr="00B77473">
        <w:rPr>
          <w:iCs/>
        </w:rPr>
        <w:t>not support</w:t>
      </w:r>
      <w:r w:rsidR="00F8443D">
        <w:rPr>
          <w:iCs/>
        </w:rPr>
        <w:t>ed</w:t>
      </w:r>
      <w:r w:rsidR="00B52A94" w:rsidRPr="00B77473">
        <w:rPr>
          <w:iCs/>
        </w:rPr>
        <w:t xml:space="preserve"> the </w:t>
      </w:r>
      <w:r w:rsidR="003407A5">
        <w:rPr>
          <w:iCs/>
        </w:rPr>
        <w:t>Tongan</w:t>
      </w:r>
      <w:r w:rsidR="00B52A94" w:rsidRPr="00B77473">
        <w:rPr>
          <w:iCs/>
        </w:rPr>
        <w:t xml:space="preserve"> government </w:t>
      </w:r>
      <w:r w:rsidR="003407A5">
        <w:rPr>
          <w:iCs/>
        </w:rPr>
        <w:t>with the follow-up action required</w:t>
      </w:r>
      <w:r w:rsidR="00B52A94" w:rsidRPr="00B77473">
        <w:rPr>
          <w:iCs/>
        </w:rPr>
        <w:t xml:space="preserve"> to implement and embed those reforms. </w:t>
      </w:r>
      <w:r w:rsidR="00EA6162">
        <w:rPr>
          <w:iCs/>
        </w:rPr>
        <w:t>In response to the evaluation recommendations</w:t>
      </w:r>
      <w:r w:rsidR="00C13E24">
        <w:rPr>
          <w:iCs/>
        </w:rPr>
        <w:t>,</w:t>
      </w:r>
      <w:r w:rsidR="00EA6162">
        <w:rPr>
          <w:iCs/>
        </w:rPr>
        <w:t xml:space="preserve"> we extended important procurement technical support. </w:t>
      </w:r>
      <w:r w:rsidR="00B52A94" w:rsidRPr="00B77473">
        <w:rPr>
          <w:iCs/>
        </w:rPr>
        <w:t>The design</w:t>
      </w:r>
      <w:r w:rsidR="00F8443D">
        <w:rPr>
          <w:iCs/>
        </w:rPr>
        <w:t xml:space="preserve"> </w:t>
      </w:r>
      <w:r w:rsidR="007F482E">
        <w:rPr>
          <w:iCs/>
        </w:rPr>
        <w:t xml:space="preserve">of the new economic governance program, </w:t>
      </w:r>
      <w:r w:rsidR="00F8443D">
        <w:rPr>
          <w:iCs/>
        </w:rPr>
        <w:t xml:space="preserve">to commence </w:t>
      </w:r>
      <w:r w:rsidR="007F482E">
        <w:rPr>
          <w:iCs/>
        </w:rPr>
        <w:t>in the last quarter of 2019,</w:t>
      </w:r>
      <w:r w:rsidR="00F8443D">
        <w:rPr>
          <w:iCs/>
        </w:rPr>
        <w:t xml:space="preserve"> </w:t>
      </w:r>
      <w:r w:rsidR="00B52A94" w:rsidRPr="00B77473">
        <w:rPr>
          <w:iCs/>
        </w:rPr>
        <w:t xml:space="preserve">provides enhanced technical assistance to address </w:t>
      </w:r>
      <w:r w:rsidR="00EA6162">
        <w:rPr>
          <w:iCs/>
        </w:rPr>
        <w:t>identified</w:t>
      </w:r>
      <w:r w:rsidR="00EA6162" w:rsidRPr="00B77473">
        <w:rPr>
          <w:iCs/>
        </w:rPr>
        <w:t xml:space="preserve"> </w:t>
      </w:r>
      <w:r w:rsidR="00B52A94" w:rsidRPr="00B77473">
        <w:rPr>
          <w:iCs/>
        </w:rPr>
        <w:t>weakness</w:t>
      </w:r>
      <w:r w:rsidR="00EA6162">
        <w:rPr>
          <w:iCs/>
        </w:rPr>
        <w:t>es</w:t>
      </w:r>
      <w:r w:rsidR="00B52A94" w:rsidRPr="00B77473">
        <w:rPr>
          <w:iCs/>
        </w:rPr>
        <w:t xml:space="preserve"> and strengthen monitoring of progress.</w:t>
      </w:r>
    </w:p>
    <w:p w14:paraId="02AABD07" w14:textId="6E0A62CE" w:rsidR="00313C1E" w:rsidRDefault="009510F6" w:rsidP="00297FBE">
      <w:pPr>
        <w:spacing w:before="240"/>
        <w:rPr>
          <w:u w:color="595959"/>
          <w:lang w:val="en-AU"/>
        </w:rPr>
      </w:pPr>
      <w:r w:rsidRPr="000E55D1">
        <w:rPr>
          <w:i/>
          <w:u w:color="595959"/>
          <w:lang w:val="en-US"/>
        </w:rPr>
        <w:lastRenderedPageBreak/>
        <w:t>Support for aid for trade and infrastructure</w:t>
      </w:r>
      <w:r w:rsidRPr="000E55D1">
        <w:rPr>
          <w:u w:color="595959"/>
          <w:lang w:val="en-US"/>
        </w:rPr>
        <w:t xml:space="preserve">. Australia has co-financed two ADB programs that deliver resilient urban infrastructure outcomes. The Outer Islands Renewable Energy Project </w:t>
      </w:r>
      <w:r w:rsidR="005E1E71" w:rsidRPr="000E55D1">
        <w:rPr>
          <w:u w:color="595959"/>
          <w:lang w:val="en-US"/>
        </w:rPr>
        <w:t xml:space="preserve">(OIREP) </w:t>
      </w:r>
      <w:r w:rsidR="009D5B32" w:rsidRPr="000E55D1">
        <w:rPr>
          <w:u w:color="595959"/>
          <w:lang w:val="en-US"/>
        </w:rPr>
        <w:t>is contributing</w:t>
      </w:r>
      <w:r w:rsidRPr="000E55D1">
        <w:rPr>
          <w:u w:color="595959"/>
          <w:lang w:val="en-US"/>
        </w:rPr>
        <w:t xml:space="preserve"> to the Tonga Energy Roadmap target of 50% Renewable Energy by 2020. The solar farms under OIREP in '</w:t>
      </w:r>
      <w:proofErr w:type="spellStart"/>
      <w:r w:rsidRPr="000E55D1">
        <w:rPr>
          <w:u w:color="595959"/>
          <w:lang w:val="en-US"/>
        </w:rPr>
        <w:t>Eua</w:t>
      </w:r>
      <w:proofErr w:type="spellEnd"/>
      <w:r w:rsidRPr="000E55D1">
        <w:rPr>
          <w:u w:color="595959"/>
          <w:lang w:val="en-US"/>
        </w:rPr>
        <w:t xml:space="preserve"> and </w:t>
      </w:r>
      <w:proofErr w:type="spellStart"/>
      <w:r w:rsidRPr="000E55D1">
        <w:rPr>
          <w:u w:color="595959"/>
          <w:lang w:val="en-US"/>
        </w:rPr>
        <w:t>Vava'u</w:t>
      </w:r>
      <w:proofErr w:type="spellEnd"/>
      <w:r w:rsidRPr="000E55D1">
        <w:rPr>
          <w:u w:color="595959"/>
          <w:lang w:val="en-US"/>
        </w:rPr>
        <w:t xml:space="preserve"> are successfu</w:t>
      </w:r>
      <w:r w:rsidR="00E94C5C">
        <w:rPr>
          <w:u w:color="595959"/>
          <w:lang w:val="en-US"/>
        </w:rPr>
        <w:t>lly generating renewable energy</w:t>
      </w:r>
      <w:r w:rsidR="00265B7C" w:rsidRPr="00E94C5C">
        <w:rPr>
          <w:u w:color="595959"/>
          <w:lang w:val="en-US"/>
        </w:rPr>
        <w:t>.</w:t>
      </w:r>
      <w:r w:rsidRPr="00E94C5C">
        <w:rPr>
          <w:u w:color="595959"/>
          <w:lang w:val="en-US"/>
        </w:rPr>
        <w:t xml:space="preserve"> </w:t>
      </w:r>
      <w:r w:rsidR="00EF0E2D" w:rsidRPr="000E55D1">
        <w:rPr>
          <w:u w:color="595959"/>
          <w:lang w:val="en-US"/>
        </w:rPr>
        <w:t>More significantly, the transition to renewable energy has increased the resilience of energy systems on outer islands, with full recovery of the energy system on '</w:t>
      </w:r>
      <w:proofErr w:type="spellStart"/>
      <w:r w:rsidR="00EF0E2D" w:rsidRPr="000E55D1">
        <w:rPr>
          <w:u w:color="595959"/>
          <w:lang w:val="en-US"/>
        </w:rPr>
        <w:t>Eua</w:t>
      </w:r>
      <w:proofErr w:type="spellEnd"/>
      <w:r w:rsidR="00EF0E2D" w:rsidRPr="000E55D1">
        <w:rPr>
          <w:u w:color="595959"/>
          <w:lang w:val="en-US"/>
        </w:rPr>
        <w:t xml:space="preserve"> taking only two weeks in the aftermath of Cyclone Gita (compared with five weeks on </w:t>
      </w:r>
      <w:proofErr w:type="spellStart"/>
      <w:r w:rsidR="00EF0E2D" w:rsidRPr="000E55D1">
        <w:rPr>
          <w:u w:color="595959"/>
          <w:lang w:val="en-AU"/>
        </w:rPr>
        <w:t>Tongatapu</w:t>
      </w:r>
      <w:proofErr w:type="spellEnd"/>
      <w:r w:rsidR="00EF0E2D" w:rsidRPr="000E55D1">
        <w:rPr>
          <w:u w:color="595959"/>
          <w:lang w:val="en-AU"/>
        </w:rPr>
        <w:t>). In 2018-19</w:t>
      </w:r>
      <w:r w:rsidR="00C13E24">
        <w:rPr>
          <w:u w:color="595959"/>
          <w:lang w:val="en-AU"/>
        </w:rPr>
        <w:t>,</w:t>
      </w:r>
      <w:r w:rsidR="00EF0E2D" w:rsidRPr="000E55D1">
        <w:rPr>
          <w:u w:color="595959"/>
          <w:lang w:val="en-AU"/>
        </w:rPr>
        <w:t xml:space="preserve"> </w:t>
      </w:r>
      <w:r w:rsidR="00F8443D" w:rsidRPr="000E55D1">
        <w:rPr>
          <w:u w:color="595959"/>
          <w:lang w:val="en-AU"/>
        </w:rPr>
        <w:t xml:space="preserve">taking account of lessons learned from earlier assistance </w:t>
      </w:r>
      <w:r w:rsidR="00EF0E2D" w:rsidRPr="000E55D1">
        <w:rPr>
          <w:u w:color="595959"/>
          <w:lang w:val="en-AU"/>
        </w:rPr>
        <w:t>Australia</w:t>
      </w:r>
      <w:r w:rsidR="00C13E24">
        <w:rPr>
          <w:u w:color="595959"/>
          <w:lang w:val="en-AU"/>
        </w:rPr>
        <w:t>,</w:t>
      </w:r>
      <w:r w:rsidR="00EF0E2D" w:rsidRPr="000E55D1">
        <w:rPr>
          <w:u w:color="595959"/>
          <w:lang w:val="en-AU"/>
        </w:rPr>
        <w:t xml:space="preserve"> has provided co-finance to the ADB</w:t>
      </w:r>
      <w:r w:rsidR="00265B7C" w:rsidRPr="000E55D1">
        <w:rPr>
          <w:u w:color="595959"/>
          <w:lang w:val="en-AU"/>
        </w:rPr>
        <w:t xml:space="preserve"> and </w:t>
      </w:r>
      <w:r w:rsidR="00EF0E2D" w:rsidRPr="000E55D1">
        <w:rPr>
          <w:u w:color="595959"/>
          <w:lang w:val="en-AU"/>
        </w:rPr>
        <w:t>Green Climate Fund</w:t>
      </w:r>
      <w:r w:rsidR="005E1E71" w:rsidRPr="000E55D1">
        <w:rPr>
          <w:u w:color="595959"/>
          <w:lang w:val="en-AU"/>
        </w:rPr>
        <w:t xml:space="preserve"> </w:t>
      </w:r>
      <w:r w:rsidR="00EF0E2D" w:rsidRPr="000E55D1">
        <w:rPr>
          <w:u w:color="595959"/>
          <w:lang w:val="en-AU"/>
        </w:rPr>
        <w:t xml:space="preserve">supported Tonga Renewable Energy Project, which will significantly scale up access to renewable energy on Tonga’s main island, </w:t>
      </w:r>
      <w:proofErr w:type="spellStart"/>
      <w:r w:rsidR="00EF0E2D" w:rsidRPr="000E55D1">
        <w:rPr>
          <w:u w:color="595959"/>
          <w:lang w:val="en-AU"/>
        </w:rPr>
        <w:t>Tongatapu</w:t>
      </w:r>
      <w:proofErr w:type="spellEnd"/>
      <w:r w:rsidR="00EF0E2D" w:rsidRPr="000E55D1">
        <w:rPr>
          <w:u w:color="595959"/>
          <w:lang w:val="en-AU"/>
        </w:rPr>
        <w:t>.</w:t>
      </w:r>
    </w:p>
    <w:p w14:paraId="1C2D768A" w14:textId="77777777" w:rsidR="00B9601B" w:rsidRPr="00B77473" w:rsidRDefault="00B9601B" w:rsidP="00297FBE">
      <w:pPr>
        <w:spacing w:before="240"/>
        <w:rPr>
          <w:u w:color="595959"/>
          <w:lang w:val="en-US"/>
        </w:rPr>
      </w:pPr>
    </w:p>
    <w:p w14:paraId="5E2E109A" w14:textId="751FEDCD" w:rsidR="003C54B6" w:rsidRPr="00B77473" w:rsidRDefault="000171BF" w:rsidP="00B9601B">
      <w:pPr>
        <w:pStyle w:val="Heading1smallspaceafter"/>
      </w:pPr>
      <w:r w:rsidRPr="00B77473">
        <w:t xml:space="preserve">A MORE EFFECTIVE, EFFICIENT AND EQUITABLE HEALTH SYSTEM </w:t>
      </w:r>
    </w:p>
    <w:p w14:paraId="2AC53ECE" w14:textId="4A9B3B04" w:rsidR="00501ABD" w:rsidRDefault="00501ABD" w:rsidP="002238A0">
      <w:pPr>
        <w:spacing w:before="240"/>
        <w:rPr>
          <w:noProof/>
          <w:lang w:val="en-AU" w:eastAsia="en-AU"/>
        </w:rPr>
      </w:pPr>
      <w:r w:rsidRPr="00695730">
        <w:rPr>
          <w:rFonts w:asciiTheme="majorHAnsi" w:eastAsiaTheme="majorEastAsia" w:hAnsiTheme="majorHAnsi" w:cstheme="majorBidi"/>
          <w:caps/>
          <w:noProof/>
          <w:sz w:val="38"/>
          <w:szCs w:val="26"/>
          <w:lang w:val="en-AU" w:eastAsia="en-AU"/>
        </w:rPr>
        <w:drawing>
          <wp:inline distT="0" distB="0" distL="0" distR="0" wp14:anchorId="3837C274" wp14:editId="4E2BA69E">
            <wp:extent cx="1137600" cy="720000"/>
            <wp:effectExtent l="0" t="0" r="5715" b="4445"/>
            <wp:docPr id="49" name="Picture 49" title="Contributes to sustainable development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r w:rsidR="00B9601B">
        <w:rPr>
          <w:rFonts w:ascii="Franklin Gothic Book" w:eastAsia="Times New Roman" w:hAnsi="Franklin Gothic Book" w:cs="Times New Roman"/>
          <w:noProof/>
          <w:color w:val="auto"/>
          <w:sz w:val="21"/>
          <w:szCs w:val="24"/>
          <w:lang w:val="en-AU" w:eastAsia="en-AU"/>
        </w:rPr>
        <w:tab/>
      </w:r>
      <w:r w:rsidRPr="00695730">
        <w:rPr>
          <w:rFonts w:ascii="Franklin Gothic Book" w:eastAsia="Times New Roman" w:hAnsi="Franklin Gothic Book" w:cs="Times New Roman"/>
          <w:noProof/>
          <w:color w:val="auto"/>
          <w:sz w:val="21"/>
          <w:szCs w:val="24"/>
          <w:lang w:val="en-AU" w:eastAsia="en-AU"/>
        </w:rPr>
        <w:drawing>
          <wp:inline distT="0" distB="0" distL="0" distR="0" wp14:anchorId="47B1124D" wp14:editId="6F17DC6D">
            <wp:extent cx="612000" cy="612000"/>
            <wp:effectExtent l="0" t="0" r="0" b="0"/>
            <wp:docPr id="52" name="Picture 52" descr="Good health and well-being" title="Contributes to sustainable development goa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sidR="00B9601B">
        <w:rPr>
          <w:noProof/>
          <w:lang w:val="en-AU" w:eastAsia="en-AU"/>
        </w:rPr>
        <w:t xml:space="preserve"> </w:t>
      </w:r>
      <w:r w:rsidR="00B9601B">
        <w:rPr>
          <w:noProof/>
          <w:lang w:val="en-AU" w:eastAsia="en-AU"/>
        </w:rPr>
        <w:tab/>
      </w:r>
      <w:r>
        <w:rPr>
          <w:noProof/>
          <w:lang w:val="en-AU" w:eastAsia="en-AU"/>
        </w:rPr>
        <w:drawing>
          <wp:inline distT="0" distB="0" distL="0" distR="0" wp14:anchorId="0A6F258E" wp14:editId="65007E31">
            <wp:extent cx="612000" cy="612000"/>
            <wp:effectExtent l="0" t="0" r="0" b="0"/>
            <wp:docPr id="58" name="Picture 58" descr="Gender equality" title="Contributes to sustainable development goal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sidR="00B9601B">
        <w:rPr>
          <w:noProof/>
          <w:lang w:val="en-AU" w:eastAsia="en-AU"/>
        </w:rPr>
        <w:tab/>
      </w:r>
      <w:r>
        <w:rPr>
          <w:noProof/>
          <w:lang w:val="en-AU" w:eastAsia="en-AU"/>
        </w:rPr>
        <w:drawing>
          <wp:inline distT="0" distB="0" distL="0" distR="0" wp14:anchorId="3B7FCA24" wp14:editId="307A9B60">
            <wp:extent cx="612000" cy="612000"/>
            <wp:effectExtent l="0" t="0" r="0" b="0"/>
            <wp:docPr id="57" name="Picture 57" descr="Reduced inequalities" title="Contributes to sustainable development goal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210D6D19" w14:textId="140BFBBD" w:rsidR="002238A0" w:rsidRPr="00B77473" w:rsidRDefault="002238A0" w:rsidP="002238A0">
      <w:pPr>
        <w:spacing w:before="240"/>
        <w:rPr>
          <w:u w:color="595959"/>
          <w:lang w:val="en-US"/>
        </w:rPr>
      </w:pPr>
      <w:r w:rsidRPr="00B77473">
        <w:rPr>
          <w:u w:color="595959"/>
          <w:lang w:val="en-US"/>
        </w:rPr>
        <w:t xml:space="preserve">The overall rating against this objective is amber as two of the three performance indicators were met but there </w:t>
      </w:r>
      <w:r w:rsidR="005B2882" w:rsidRPr="00B77473">
        <w:rPr>
          <w:u w:color="595959"/>
          <w:lang w:val="en-US"/>
        </w:rPr>
        <w:t>we</w:t>
      </w:r>
      <w:r w:rsidRPr="00B77473">
        <w:rPr>
          <w:u w:color="595959"/>
          <w:lang w:val="en-US"/>
        </w:rPr>
        <w:t>re persistent concerns with health service planning and budgeting.</w:t>
      </w:r>
    </w:p>
    <w:p w14:paraId="1B1F0AD0" w14:textId="457328D9" w:rsidR="002238A0" w:rsidRPr="00B77473" w:rsidRDefault="002238A0" w:rsidP="002238A0">
      <w:pPr>
        <w:spacing w:before="240"/>
        <w:rPr>
          <w:u w:color="595959"/>
          <w:lang w:val="en-US"/>
        </w:rPr>
      </w:pPr>
      <w:r w:rsidRPr="00B77473">
        <w:rPr>
          <w:u w:color="595959"/>
          <w:lang w:val="en-US"/>
        </w:rPr>
        <w:t xml:space="preserve">Australia’s primary support for the health sector in Tonga is through the Tonga Health Systems Support Program Phase </w:t>
      </w:r>
      <w:r w:rsidR="005E1E71" w:rsidRPr="00B77473">
        <w:rPr>
          <w:u w:color="595959"/>
          <w:lang w:val="en-US"/>
        </w:rPr>
        <w:t>II</w:t>
      </w:r>
      <w:r w:rsidRPr="00B77473">
        <w:rPr>
          <w:u w:color="595959"/>
          <w:lang w:val="en-US"/>
        </w:rPr>
        <w:t xml:space="preserve"> (THSSP2 - </w:t>
      </w:r>
      <w:r w:rsidR="004E3C08">
        <w:rPr>
          <w:u w:color="595959"/>
          <w:lang w:val="en-US"/>
        </w:rPr>
        <w:t>AUD</w:t>
      </w:r>
      <w:r w:rsidRPr="00B77473">
        <w:rPr>
          <w:u w:color="595959"/>
          <w:lang w:val="en-US"/>
        </w:rPr>
        <w:t>17 million, 2015-20). THSSP2 suppo</w:t>
      </w:r>
      <w:r w:rsidR="00F12B27" w:rsidRPr="00B77473">
        <w:rPr>
          <w:u w:color="595959"/>
          <w:lang w:val="en-US"/>
        </w:rPr>
        <w:t>rts the Ministry of Health</w:t>
      </w:r>
      <w:r w:rsidRPr="00B77473">
        <w:rPr>
          <w:u w:color="595959"/>
          <w:lang w:val="en-US"/>
        </w:rPr>
        <w:t xml:space="preserve"> with a direct funding agreement, focusing on the management of non-communicable diseases (NCD) in primary care and health promotion, and support for gender equality and social inclusion. THSSP2 also includes a grant agreement with Tonga Health to </w:t>
      </w:r>
      <w:r w:rsidR="00F12B27" w:rsidRPr="00B77473">
        <w:rPr>
          <w:u w:color="595959"/>
          <w:lang w:val="en-US"/>
        </w:rPr>
        <w:t>coordinate</w:t>
      </w:r>
      <w:r w:rsidRPr="00B77473">
        <w:rPr>
          <w:u w:color="595959"/>
          <w:lang w:val="en-US"/>
        </w:rPr>
        <w:t xml:space="preserve"> Tonga’s national NCD strategy. </w:t>
      </w:r>
    </w:p>
    <w:p w14:paraId="10EE7FEB" w14:textId="55B63187" w:rsidR="002238A0" w:rsidRPr="00B77473" w:rsidRDefault="002238A0" w:rsidP="002238A0">
      <w:pPr>
        <w:spacing w:before="240"/>
        <w:rPr>
          <w:u w:color="595959"/>
          <w:lang w:val="en-US"/>
        </w:rPr>
      </w:pPr>
      <w:r w:rsidRPr="00B77473">
        <w:rPr>
          <w:u w:color="595959"/>
          <w:lang w:val="en-US"/>
        </w:rPr>
        <w:t>An evaluation of THSSP2</w:t>
      </w:r>
      <w:r w:rsidR="00F8443D">
        <w:rPr>
          <w:u w:color="595959"/>
          <w:lang w:val="en-US"/>
        </w:rPr>
        <w:t xml:space="preserve"> (</w:t>
      </w:r>
      <w:r w:rsidR="00A305D3">
        <w:rPr>
          <w:u w:color="595959"/>
          <w:lang w:val="en-US"/>
        </w:rPr>
        <w:t>May 2019</w:t>
      </w:r>
      <w:r w:rsidR="00F8443D">
        <w:rPr>
          <w:u w:color="595959"/>
          <w:lang w:val="en-US"/>
        </w:rPr>
        <w:t xml:space="preserve">) </w:t>
      </w:r>
      <w:r w:rsidRPr="00B77473">
        <w:rPr>
          <w:u w:color="595959"/>
          <w:lang w:val="en-US"/>
        </w:rPr>
        <w:t xml:space="preserve">found that, to date, there are signs of some progress on NCD </w:t>
      </w:r>
      <w:proofErr w:type="spellStart"/>
      <w:r w:rsidRPr="00B77473">
        <w:rPr>
          <w:u w:color="595959"/>
          <w:lang w:val="en-US"/>
        </w:rPr>
        <w:t>behavioural</w:t>
      </w:r>
      <w:proofErr w:type="spellEnd"/>
      <w:r w:rsidRPr="00B77473">
        <w:rPr>
          <w:u w:color="595959"/>
          <w:lang w:val="en-US"/>
        </w:rPr>
        <w:t xml:space="preserve"> risk factors and national NCD service planning. However, key challenges remain. The evaluation found Ministry of Health governance, planning and budgeting remain persistent concerns. As these activities </w:t>
      </w:r>
      <w:r w:rsidR="00C13E24">
        <w:rPr>
          <w:u w:color="595959"/>
          <w:lang w:val="en-US"/>
        </w:rPr>
        <w:t xml:space="preserve">in Tonga </w:t>
      </w:r>
      <w:r w:rsidRPr="00B77473">
        <w:rPr>
          <w:u w:color="595959"/>
          <w:lang w:val="en-US"/>
        </w:rPr>
        <w:t xml:space="preserve">are fundamental to how Australia funds health support, DFAT assessed THSSP2 performance as below adequate. DFAT has prepared a management response </w:t>
      </w:r>
      <w:r w:rsidR="004B720D">
        <w:rPr>
          <w:u w:color="595959"/>
          <w:lang w:val="en-US"/>
        </w:rPr>
        <w:t>to</w:t>
      </w:r>
      <w:r w:rsidRPr="00B77473">
        <w:rPr>
          <w:u w:color="595959"/>
          <w:lang w:val="en-US"/>
        </w:rPr>
        <w:t xml:space="preserve"> the evaluation, in consultation with the Ministry of Health, and put in place an approved remedial action plan</w:t>
      </w:r>
      <w:r w:rsidR="00047F1C">
        <w:rPr>
          <w:u w:color="595959"/>
          <w:lang w:val="en-US"/>
        </w:rPr>
        <w:t xml:space="preserve"> including revised governance arrangements</w:t>
      </w:r>
      <w:r w:rsidRPr="00B77473">
        <w:rPr>
          <w:u w:color="595959"/>
          <w:lang w:val="en-US"/>
        </w:rPr>
        <w:t>.</w:t>
      </w:r>
    </w:p>
    <w:p w14:paraId="28AE103F" w14:textId="28215BFC" w:rsidR="002238A0" w:rsidRPr="00B77473" w:rsidRDefault="002238A0" w:rsidP="002238A0">
      <w:pPr>
        <w:spacing w:before="240"/>
        <w:rPr>
          <w:u w:color="595959"/>
          <w:lang w:val="en-US"/>
        </w:rPr>
      </w:pPr>
      <w:r w:rsidRPr="00B77473">
        <w:rPr>
          <w:u w:color="595959"/>
          <w:lang w:val="en-US"/>
        </w:rPr>
        <w:t>Two of three performance indicators for the sector were met in 2018-19: Tonga has maintain</w:t>
      </w:r>
      <w:r w:rsidR="00047F1C">
        <w:rPr>
          <w:u w:color="595959"/>
          <w:lang w:val="en-US"/>
        </w:rPr>
        <w:t>ed</w:t>
      </w:r>
      <w:r w:rsidRPr="00B77473">
        <w:rPr>
          <w:u w:color="595959"/>
          <w:lang w:val="en-US"/>
        </w:rPr>
        <w:t xml:space="preserve"> recurrent budget expenditure for health at an appropriate level, and a multi-year healthy eating campaign targeting healthy eating </w:t>
      </w:r>
      <w:proofErr w:type="spellStart"/>
      <w:r w:rsidRPr="00B77473">
        <w:rPr>
          <w:u w:color="595959"/>
          <w:lang w:val="en-US"/>
        </w:rPr>
        <w:t>behaviour</w:t>
      </w:r>
      <w:proofErr w:type="spellEnd"/>
      <w:r w:rsidRPr="00B77473">
        <w:rPr>
          <w:u w:color="595959"/>
          <w:lang w:val="en-US"/>
        </w:rPr>
        <w:t xml:space="preserve"> in primary school age children was launched. The assessment of performance is mixed against the last, ambitious performance benchmark of a decrease in rates of premature deaths and preventable disability related to NCDs. There is a lack of health information from government systems, making it difficult to judge overall trends</w:t>
      </w:r>
      <w:r w:rsidR="003407A5">
        <w:rPr>
          <w:u w:color="595959"/>
          <w:lang w:val="en-US"/>
        </w:rPr>
        <w:t xml:space="preserve"> </w:t>
      </w:r>
      <w:r w:rsidR="006E59CF">
        <w:rPr>
          <w:u w:color="595959"/>
          <w:lang w:val="en-US"/>
        </w:rPr>
        <w:t>regarding</w:t>
      </w:r>
      <w:r w:rsidR="003407A5" w:rsidRPr="006E59CF">
        <w:rPr>
          <w:u w:color="595959"/>
          <w:lang w:val="en-US"/>
        </w:rPr>
        <w:t xml:space="preserve"> NCDs</w:t>
      </w:r>
      <w:r w:rsidRPr="006E59CF">
        <w:rPr>
          <w:u w:color="595959"/>
          <w:lang w:val="en-US"/>
        </w:rPr>
        <w:t>.</w:t>
      </w:r>
      <w:r w:rsidRPr="00B77473">
        <w:rPr>
          <w:u w:color="595959"/>
          <w:lang w:val="en-US"/>
        </w:rPr>
        <w:t xml:space="preserve"> </w:t>
      </w:r>
      <w:r w:rsidR="00A305D3">
        <w:rPr>
          <w:u w:color="595959"/>
          <w:lang w:val="en-US"/>
        </w:rPr>
        <w:t xml:space="preserve">We </w:t>
      </w:r>
      <w:r w:rsidR="00EA6162">
        <w:rPr>
          <w:u w:color="595959"/>
          <w:lang w:val="en-US"/>
        </w:rPr>
        <w:t>are currently arranging provision of</w:t>
      </w:r>
      <w:r w:rsidR="00A305D3">
        <w:rPr>
          <w:u w:color="595959"/>
          <w:lang w:val="en-US"/>
        </w:rPr>
        <w:t xml:space="preserve"> </w:t>
      </w:r>
      <w:r w:rsidR="00047F1C">
        <w:rPr>
          <w:u w:color="595959"/>
          <w:lang w:val="en-US"/>
        </w:rPr>
        <w:t>additional technical support for data collection and analysis, including for disability inclusion, for the remainder of the program.</w:t>
      </w:r>
    </w:p>
    <w:p w14:paraId="38B20B5E" w14:textId="77777777" w:rsidR="002238A0" w:rsidRPr="00B77473" w:rsidRDefault="002238A0" w:rsidP="002238A0">
      <w:pPr>
        <w:spacing w:before="240"/>
        <w:rPr>
          <w:u w:color="595959"/>
          <w:lang w:val="en-US"/>
        </w:rPr>
      </w:pPr>
      <w:r w:rsidRPr="00B77473">
        <w:rPr>
          <w:u w:color="595959"/>
          <w:lang w:val="en-US"/>
        </w:rPr>
        <w:t xml:space="preserve">The program continues to promote disability inclusion for a more equitable health system, including supporting people with disabilities to access quality services and products such as prosthetics. Further achievements are detailed in the subsequent section, </w:t>
      </w:r>
      <w:r w:rsidRPr="00B77473">
        <w:rPr>
          <w:i/>
          <w:u w:color="595959"/>
          <w:lang w:val="en-US"/>
        </w:rPr>
        <w:t>Gender and Disability</w:t>
      </w:r>
      <w:r w:rsidRPr="00B77473">
        <w:rPr>
          <w:u w:color="595959"/>
          <w:lang w:val="en-US"/>
        </w:rPr>
        <w:t>, in this report.</w:t>
      </w:r>
    </w:p>
    <w:p w14:paraId="601F3920" w14:textId="2D867383" w:rsidR="00B23835" w:rsidRPr="00B77473" w:rsidRDefault="0081073D" w:rsidP="00B470FF">
      <w:pPr>
        <w:pStyle w:val="Heading1smallspaceafter"/>
      </w:pPr>
      <w:r>
        <w:rPr>
          <w:sz w:val="32"/>
          <w:szCs w:val="32"/>
        </w:rPr>
        <w:br w:type="page"/>
      </w:r>
      <w:r w:rsidR="00B23835" w:rsidRPr="00B77473">
        <w:lastRenderedPageBreak/>
        <w:t>SKILLS DEVELOPMENT IN SUPPORT OF ECONOMIC OPPORTUNITIES FOR TONGAN WORKERS</w:t>
      </w:r>
    </w:p>
    <w:p w14:paraId="1C57F70D" w14:textId="02A2B67A" w:rsidR="00501ABD" w:rsidRDefault="00501ABD" w:rsidP="0025684A">
      <w:pPr>
        <w:spacing w:before="240"/>
        <w:rPr>
          <w:noProof/>
          <w:lang w:val="en-AU" w:eastAsia="en-AU"/>
        </w:rPr>
      </w:pPr>
      <w:r w:rsidRPr="00695730">
        <w:rPr>
          <w:rFonts w:asciiTheme="majorHAnsi" w:eastAsiaTheme="majorEastAsia" w:hAnsiTheme="majorHAnsi" w:cstheme="majorBidi"/>
          <w:caps/>
          <w:noProof/>
          <w:sz w:val="38"/>
          <w:szCs w:val="26"/>
          <w:lang w:val="en-AU" w:eastAsia="en-AU"/>
        </w:rPr>
        <w:drawing>
          <wp:inline distT="0" distB="0" distL="0" distR="0" wp14:anchorId="0E108510" wp14:editId="2ACD61D3">
            <wp:extent cx="1137600" cy="720000"/>
            <wp:effectExtent l="0" t="0" r="5715" b="4445"/>
            <wp:docPr id="37" name="Picture 37" title="Contributes to sustainable development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r>
        <w:rPr>
          <w:rFonts w:ascii="Franklin Gothic Book" w:eastAsia="Times New Roman" w:hAnsi="Franklin Gothic Book" w:cs="Times New Roman"/>
          <w:noProof/>
          <w:color w:val="auto"/>
          <w:sz w:val="21"/>
          <w:szCs w:val="24"/>
          <w:lang w:val="en-AU" w:eastAsia="en-AU"/>
        </w:rPr>
        <w:tab/>
      </w:r>
      <w:r w:rsidRPr="00695730">
        <w:rPr>
          <w:rFonts w:asciiTheme="majorHAnsi" w:eastAsiaTheme="majorEastAsia" w:hAnsiTheme="majorHAnsi" w:cstheme="majorBidi"/>
          <w:caps/>
          <w:noProof/>
          <w:sz w:val="38"/>
          <w:szCs w:val="26"/>
          <w:lang w:val="en-AU" w:eastAsia="en-AU"/>
        </w:rPr>
        <w:drawing>
          <wp:inline distT="0" distB="0" distL="0" distR="0" wp14:anchorId="7AD4FBFD" wp14:editId="57D415AA">
            <wp:extent cx="609600" cy="609600"/>
            <wp:effectExtent l="0" t="0" r="0" b="0"/>
            <wp:docPr id="60" name="Picture 60" descr="No poverty" title="Contributes to sustainable development go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r>
        <w:rPr>
          <w:rFonts w:ascii="Franklin Gothic Book" w:eastAsia="Times New Roman" w:hAnsi="Franklin Gothic Book" w:cs="Times New Roman"/>
          <w:noProof/>
          <w:color w:val="auto"/>
          <w:sz w:val="21"/>
          <w:szCs w:val="24"/>
          <w:lang w:val="en-AU" w:eastAsia="en-AU"/>
        </w:rPr>
        <w:t xml:space="preserve"> </w:t>
      </w:r>
      <w:r>
        <w:rPr>
          <w:rFonts w:ascii="Franklin Gothic Book" w:eastAsia="Times New Roman" w:hAnsi="Franklin Gothic Book" w:cs="Times New Roman"/>
          <w:noProof/>
          <w:color w:val="auto"/>
          <w:sz w:val="21"/>
          <w:szCs w:val="24"/>
          <w:lang w:val="en-AU" w:eastAsia="en-AU"/>
        </w:rPr>
        <w:tab/>
      </w:r>
      <w:r w:rsidRPr="00695730">
        <w:rPr>
          <w:rFonts w:ascii="Franklin Gothic Book" w:eastAsia="Times New Roman" w:hAnsi="Franklin Gothic Book" w:cs="Times New Roman"/>
          <w:noProof/>
          <w:color w:val="auto"/>
          <w:sz w:val="21"/>
          <w:szCs w:val="24"/>
          <w:lang w:val="en-AU" w:eastAsia="en-AU"/>
        </w:rPr>
        <w:drawing>
          <wp:inline distT="0" distB="0" distL="0" distR="0" wp14:anchorId="6A2B5FB6" wp14:editId="1D03AFEC">
            <wp:extent cx="612000" cy="612000"/>
            <wp:effectExtent l="0" t="0" r="0" b="0"/>
            <wp:docPr id="59" name="Picture 59" descr="Quality education" title="Contributes to sustainable development goa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noProof/>
          <w:lang w:val="en-AU" w:eastAsia="en-AU"/>
        </w:rPr>
        <w:t xml:space="preserve"> </w:t>
      </w:r>
      <w:r>
        <w:rPr>
          <w:noProof/>
          <w:lang w:val="en-AU" w:eastAsia="en-AU"/>
        </w:rPr>
        <w:tab/>
      </w:r>
      <w:r>
        <w:rPr>
          <w:noProof/>
          <w:lang w:val="en-AU" w:eastAsia="en-AU"/>
        </w:rPr>
        <w:drawing>
          <wp:inline distT="0" distB="0" distL="0" distR="0" wp14:anchorId="36F46CBB" wp14:editId="59FC1E52">
            <wp:extent cx="612000" cy="612000"/>
            <wp:effectExtent l="0" t="0" r="0" b="0"/>
            <wp:docPr id="53" name="Picture 53" descr="Gender equality" title="Contributes to sustainable development goal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noProof/>
          <w:lang w:val="en-AU" w:eastAsia="en-AU"/>
        </w:rPr>
        <w:t xml:space="preserve"> </w:t>
      </w:r>
      <w:r>
        <w:rPr>
          <w:noProof/>
          <w:lang w:val="en-AU" w:eastAsia="en-AU"/>
        </w:rPr>
        <w:tab/>
      </w:r>
      <w:r>
        <w:rPr>
          <w:noProof/>
          <w:lang w:val="en-AU" w:eastAsia="en-AU"/>
        </w:rPr>
        <w:drawing>
          <wp:inline distT="0" distB="0" distL="0" distR="0" wp14:anchorId="1AD2E9C0" wp14:editId="285E318F">
            <wp:extent cx="609600" cy="609600"/>
            <wp:effectExtent l="0" t="0" r="0" b="0"/>
            <wp:docPr id="51" name="Picture 51" descr="Decent work and economic growth" title="Contributes to sustainable development goal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03710A60" w14:textId="5647D234" w:rsidR="0025684A" w:rsidRPr="00B77473" w:rsidRDefault="004B6998" w:rsidP="0025684A">
      <w:pPr>
        <w:spacing w:before="240"/>
        <w:rPr>
          <w:u w:color="595959"/>
          <w:lang w:val="en-US"/>
        </w:rPr>
      </w:pPr>
      <w:r w:rsidRPr="00B77473">
        <w:rPr>
          <w:u w:color="595959"/>
          <w:lang w:val="en-US"/>
        </w:rPr>
        <w:t>The o</w:t>
      </w:r>
      <w:r w:rsidR="0025684A" w:rsidRPr="00B77473">
        <w:rPr>
          <w:u w:color="595959"/>
          <w:lang w:val="en-US"/>
        </w:rPr>
        <w:t xml:space="preserve">verall rating </w:t>
      </w:r>
      <w:r w:rsidRPr="00B77473">
        <w:rPr>
          <w:u w:color="595959"/>
          <w:lang w:val="en-US"/>
        </w:rPr>
        <w:t>against this objective is green based on high scholarship completion rates</w:t>
      </w:r>
      <w:r w:rsidR="008610B4" w:rsidRPr="00B77473">
        <w:rPr>
          <w:u w:color="595959"/>
          <w:lang w:val="en-US"/>
        </w:rPr>
        <w:t>,</w:t>
      </w:r>
      <w:r w:rsidRPr="00B77473">
        <w:rPr>
          <w:u w:color="595959"/>
          <w:lang w:val="en-US"/>
        </w:rPr>
        <w:t xml:space="preserve"> thanks to a strengthened selection process</w:t>
      </w:r>
      <w:r w:rsidR="008610B4" w:rsidRPr="00B77473">
        <w:rPr>
          <w:u w:color="595959"/>
          <w:lang w:val="en-US"/>
        </w:rPr>
        <w:t>,</w:t>
      </w:r>
      <w:r w:rsidRPr="00B77473">
        <w:rPr>
          <w:u w:color="595959"/>
          <w:lang w:val="en-US"/>
        </w:rPr>
        <w:t xml:space="preserve"> and improved economic outcomes for TVET participants.</w:t>
      </w:r>
    </w:p>
    <w:p w14:paraId="02B4B22E" w14:textId="0B1DBB8E" w:rsidR="00403136" w:rsidRPr="00B77473" w:rsidRDefault="00DE1829" w:rsidP="00DE1829">
      <w:pPr>
        <w:rPr>
          <w:rFonts w:ascii="Calibri Light" w:hAnsi="Calibri Light" w:cs="Calibri Light"/>
        </w:rPr>
      </w:pPr>
      <w:r w:rsidRPr="00B77473">
        <w:rPr>
          <w:rFonts w:ascii="Calibri Light" w:hAnsi="Calibri Light" w:cs="Calibri Light"/>
        </w:rPr>
        <w:t xml:space="preserve">Australia funds </w:t>
      </w:r>
      <w:r w:rsidR="003269A6" w:rsidRPr="00B77473">
        <w:rPr>
          <w:rFonts w:ascii="Calibri Light" w:hAnsi="Calibri Light" w:cs="Calibri Light"/>
        </w:rPr>
        <w:t>Tonga Skills</w:t>
      </w:r>
      <w:r w:rsidRPr="00B77473">
        <w:rPr>
          <w:rFonts w:ascii="Calibri Light" w:hAnsi="Calibri Light" w:cs="Calibri Light"/>
        </w:rPr>
        <w:t xml:space="preserve"> to deliver training and coaching in the TVET sector. A </w:t>
      </w:r>
      <w:r w:rsidR="00403136" w:rsidRPr="00B77473">
        <w:rPr>
          <w:rFonts w:ascii="Calibri Light" w:hAnsi="Calibri Light" w:cs="Calibri Light"/>
        </w:rPr>
        <w:t>mid-term review</w:t>
      </w:r>
      <w:r w:rsidR="00D03A13">
        <w:rPr>
          <w:rFonts w:ascii="Calibri Light" w:hAnsi="Calibri Light" w:cs="Calibri Light"/>
        </w:rPr>
        <w:t xml:space="preserve"> </w:t>
      </w:r>
      <w:r w:rsidR="00BA3B3F">
        <w:rPr>
          <w:rFonts w:ascii="Calibri Light" w:hAnsi="Calibri Light" w:cs="Calibri Light"/>
        </w:rPr>
        <w:t>(</w:t>
      </w:r>
      <w:r w:rsidR="00040EE7">
        <w:rPr>
          <w:rFonts w:ascii="Calibri Light" w:hAnsi="Calibri Light" w:cs="Calibri Light"/>
        </w:rPr>
        <w:t>December 2018</w:t>
      </w:r>
      <w:r w:rsidR="00BA3B3F">
        <w:rPr>
          <w:rFonts w:ascii="Calibri Light" w:hAnsi="Calibri Light" w:cs="Calibri Light"/>
        </w:rPr>
        <w:t>)</w:t>
      </w:r>
      <w:r w:rsidR="00F8443D">
        <w:rPr>
          <w:rFonts w:ascii="Calibri Light" w:hAnsi="Calibri Light" w:cs="Calibri Light"/>
        </w:rPr>
        <w:t xml:space="preserve"> </w:t>
      </w:r>
      <w:r w:rsidRPr="00B77473">
        <w:rPr>
          <w:rFonts w:ascii="Calibri Light" w:hAnsi="Calibri Light" w:cs="Calibri Light"/>
        </w:rPr>
        <w:t xml:space="preserve">found </w:t>
      </w:r>
      <w:r w:rsidR="003269A6" w:rsidRPr="00B77473">
        <w:rPr>
          <w:rFonts w:ascii="Calibri Light" w:hAnsi="Calibri Light" w:cs="Calibri Light"/>
        </w:rPr>
        <w:t>Tonga Skills</w:t>
      </w:r>
      <w:r w:rsidR="00403136" w:rsidRPr="00B77473">
        <w:rPr>
          <w:rFonts w:ascii="Calibri Light" w:hAnsi="Calibri Light" w:cs="Calibri Light"/>
        </w:rPr>
        <w:t xml:space="preserve"> </w:t>
      </w:r>
      <w:r w:rsidRPr="00B77473">
        <w:rPr>
          <w:rFonts w:ascii="Calibri Light" w:hAnsi="Calibri Light" w:cs="Calibri Light"/>
        </w:rPr>
        <w:t>has</w:t>
      </w:r>
      <w:r w:rsidR="00403136" w:rsidRPr="00B77473">
        <w:rPr>
          <w:rFonts w:ascii="Calibri Light" w:hAnsi="Calibri Light" w:cs="Calibri Light"/>
        </w:rPr>
        <w:t xml:space="preserve"> </w:t>
      </w:r>
      <w:r w:rsidRPr="00B77473">
        <w:rPr>
          <w:rFonts w:ascii="Calibri Light" w:hAnsi="Calibri Light" w:cs="Calibri Light"/>
        </w:rPr>
        <w:t>made</w:t>
      </w:r>
      <w:r w:rsidR="00403136" w:rsidRPr="00B77473">
        <w:rPr>
          <w:rFonts w:ascii="Calibri Light" w:hAnsi="Calibri Light" w:cs="Calibri Light"/>
        </w:rPr>
        <w:t xml:space="preserve"> positive progress towards achieving its three end of program outcomes.  </w:t>
      </w:r>
      <w:r w:rsidR="008610B4" w:rsidRPr="00B77473">
        <w:rPr>
          <w:rFonts w:ascii="Calibri Light" w:hAnsi="Calibri Light" w:cs="Calibri Light"/>
        </w:rPr>
        <w:t xml:space="preserve">In 2018-19 </w:t>
      </w:r>
      <w:r w:rsidR="008610B4" w:rsidRPr="00B77473">
        <w:t>1,626 clients participated in skills development activities, of which 63% were female, and 60% of trainers delivering skills development activities were female.</w:t>
      </w:r>
      <w:r w:rsidR="008610B4" w:rsidRPr="00B77473">
        <w:rPr>
          <w:rFonts w:ascii="Calibri Light" w:hAnsi="Calibri Light" w:cs="Calibri Light"/>
        </w:rPr>
        <w:t xml:space="preserve"> </w:t>
      </w:r>
      <w:r w:rsidRPr="00B77473">
        <w:rPr>
          <w:rFonts w:ascii="Calibri Light" w:hAnsi="Calibri Light" w:cs="Calibri Light"/>
        </w:rPr>
        <w:t>K</w:t>
      </w:r>
      <w:r w:rsidR="00403136" w:rsidRPr="00B77473">
        <w:rPr>
          <w:rFonts w:ascii="Calibri Light" w:hAnsi="Calibri Light" w:cs="Calibri Light"/>
        </w:rPr>
        <w:t xml:space="preserve">ey achievements </w:t>
      </w:r>
      <w:r w:rsidR="008610B4" w:rsidRPr="00B77473">
        <w:rPr>
          <w:rFonts w:ascii="Calibri Light" w:hAnsi="Calibri Light" w:cs="Calibri Light"/>
        </w:rPr>
        <w:t>were</w:t>
      </w:r>
      <w:r w:rsidR="00753763" w:rsidRPr="00B77473">
        <w:rPr>
          <w:rFonts w:ascii="Calibri Light" w:hAnsi="Calibri Light" w:cs="Calibri Light"/>
        </w:rPr>
        <w:t>:</w:t>
      </w:r>
    </w:p>
    <w:p w14:paraId="7E6D3B63" w14:textId="3F8C50A2" w:rsidR="008610B4" w:rsidRPr="00B77473" w:rsidRDefault="008610B4" w:rsidP="00DE1829">
      <w:pPr>
        <w:pStyle w:val="Bullet3"/>
      </w:pPr>
      <w:r w:rsidRPr="00B77473">
        <w:t>35% of clients establish new micro or small enterprises</w:t>
      </w:r>
    </w:p>
    <w:p w14:paraId="30175116" w14:textId="0929D0D6" w:rsidR="00403136" w:rsidRDefault="00403136" w:rsidP="00DE1829">
      <w:pPr>
        <w:pStyle w:val="Bullet3"/>
      </w:pPr>
      <w:r w:rsidRPr="00B77473">
        <w:t>17% of</w:t>
      </w:r>
      <w:r w:rsidR="008610B4" w:rsidRPr="00B77473">
        <w:t xml:space="preserve"> clients found employment</w:t>
      </w:r>
      <w:r w:rsidRPr="00B77473">
        <w:t xml:space="preserve"> </w:t>
      </w:r>
    </w:p>
    <w:p w14:paraId="243D4BA1" w14:textId="4203B74F" w:rsidR="00EA6162" w:rsidRPr="00B77473" w:rsidRDefault="00EA6162" w:rsidP="00EA6162">
      <w:pPr>
        <w:pStyle w:val="Bullet3"/>
      </w:pPr>
      <w:r w:rsidRPr="00B77473">
        <w:t>87% clients report increased income</w:t>
      </w:r>
      <w:r>
        <w:t>, including those who found employment</w:t>
      </w:r>
      <w:r w:rsidRPr="00B77473">
        <w:t xml:space="preserve"> </w:t>
      </w:r>
    </w:p>
    <w:p w14:paraId="3B53A1B1" w14:textId="511A7D32" w:rsidR="00403136" w:rsidRPr="00B77473" w:rsidRDefault="003269A6" w:rsidP="00403136">
      <w:pPr>
        <w:rPr>
          <w:rFonts w:ascii="Calibri Light" w:hAnsi="Calibri Light" w:cs="Calibri Light"/>
        </w:rPr>
      </w:pPr>
      <w:r w:rsidRPr="00B77473">
        <w:rPr>
          <w:rFonts w:ascii="Calibri Light" w:hAnsi="Calibri Light" w:cs="Calibri Light"/>
        </w:rPr>
        <w:t>Tonga Skills</w:t>
      </w:r>
      <w:r w:rsidR="00DE1829" w:rsidRPr="00B77473">
        <w:rPr>
          <w:rFonts w:ascii="Calibri Light" w:hAnsi="Calibri Light" w:cs="Calibri Light"/>
        </w:rPr>
        <w:t xml:space="preserve"> is piloting an innovative </w:t>
      </w:r>
      <w:r w:rsidR="00403136" w:rsidRPr="00B77473">
        <w:rPr>
          <w:rFonts w:ascii="Calibri Light" w:hAnsi="Calibri Light" w:cs="Calibri Light"/>
        </w:rPr>
        <w:t xml:space="preserve">Deep Dive Training Strategy </w:t>
      </w:r>
      <w:r w:rsidR="00DE1829" w:rsidRPr="00B77473">
        <w:rPr>
          <w:rFonts w:ascii="Calibri Light" w:hAnsi="Calibri Light" w:cs="Calibri Light"/>
        </w:rPr>
        <w:t xml:space="preserve">in the outer islands </w:t>
      </w:r>
      <w:r w:rsidR="00403136" w:rsidRPr="00B77473">
        <w:rPr>
          <w:rFonts w:ascii="Calibri Light" w:hAnsi="Calibri Light" w:cs="Calibri Light"/>
        </w:rPr>
        <w:t xml:space="preserve">to address </w:t>
      </w:r>
      <w:r w:rsidR="008610B4" w:rsidRPr="00B77473">
        <w:rPr>
          <w:rFonts w:ascii="Calibri Light" w:hAnsi="Calibri Light" w:cs="Calibri Light"/>
        </w:rPr>
        <w:t>demand</w:t>
      </w:r>
      <w:r w:rsidR="00403136" w:rsidRPr="00B77473">
        <w:rPr>
          <w:rFonts w:ascii="Calibri Light" w:hAnsi="Calibri Light" w:cs="Calibri Light"/>
        </w:rPr>
        <w:t xml:space="preserve"> </w:t>
      </w:r>
      <w:r w:rsidR="008610B4" w:rsidRPr="00B77473">
        <w:rPr>
          <w:rFonts w:ascii="Calibri Light" w:hAnsi="Calibri Light" w:cs="Calibri Light"/>
        </w:rPr>
        <w:t xml:space="preserve">for growing </w:t>
      </w:r>
      <w:r w:rsidR="00403136" w:rsidRPr="00B77473">
        <w:rPr>
          <w:rFonts w:ascii="Calibri Light" w:hAnsi="Calibri Light" w:cs="Calibri Light"/>
        </w:rPr>
        <w:t xml:space="preserve">business in the tourism sector. </w:t>
      </w:r>
      <w:r w:rsidR="00DE1829" w:rsidRPr="00B77473">
        <w:rPr>
          <w:rFonts w:ascii="Calibri Light" w:hAnsi="Calibri Light" w:cs="Calibri Light"/>
        </w:rPr>
        <w:t xml:space="preserve">The approach is </w:t>
      </w:r>
      <w:r w:rsidR="00403136" w:rsidRPr="00B77473">
        <w:rPr>
          <w:rFonts w:ascii="Calibri Light" w:hAnsi="Calibri Light" w:cs="Calibri Light"/>
        </w:rPr>
        <w:t>customi</w:t>
      </w:r>
      <w:r w:rsidR="00F8443D">
        <w:rPr>
          <w:rFonts w:ascii="Calibri Light" w:hAnsi="Calibri Light" w:cs="Calibri Light"/>
        </w:rPr>
        <w:t>s</w:t>
      </w:r>
      <w:r w:rsidR="00403136" w:rsidRPr="00B77473">
        <w:rPr>
          <w:rFonts w:ascii="Calibri Light" w:hAnsi="Calibri Light" w:cs="Calibri Light"/>
        </w:rPr>
        <w:t xml:space="preserve">ed </w:t>
      </w:r>
      <w:r w:rsidR="00DE1829" w:rsidRPr="00B77473">
        <w:rPr>
          <w:rFonts w:ascii="Calibri Light" w:hAnsi="Calibri Light" w:cs="Calibri Light"/>
        </w:rPr>
        <w:t xml:space="preserve">and </w:t>
      </w:r>
      <w:r w:rsidR="00F8443D">
        <w:rPr>
          <w:rFonts w:ascii="Calibri Light" w:hAnsi="Calibri Light" w:cs="Calibri Light"/>
        </w:rPr>
        <w:t xml:space="preserve">includes </w:t>
      </w:r>
      <w:r w:rsidR="00DE1829" w:rsidRPr="00B77473">
        <w:rPr>
          <w:rFonts w:ascii="Calibri Light" w:hAnsi="Calibri Light" w:cs="Calibri Light"/>
        </w:rPr>
        <w:t xml:space="preserve">holistic </w:t>
      </w:r>
      <w:r w:rsidR="00403136" w:rsidRPr="00B77473">
        <w:rPr>
          <w:rFonts w:ascii="Calibri Light" w:hAnsi="Calibri Light" w:cs="Calibri Light"/>
        </w:rPr>
        <w:t xml:space="preserve">business improvement training and coaching for </w:t>
      </w:r>
      <w:r w:rsidR="004B720D">
        <w:rPr>
          <w:rFonts w:ascii="Calibri Light" w:hAnsi="Calibri Light" w:cs="Calibri Light"/>
        </w:rPr>
        <w:t>five</w:t>
      </w:r>
      <w:r w:rsidR="00403136" w:rsidRPr="00B77473">
        <w:rPr>
          <w:rFonts w:ascii="Calibri Light" w:hAnsi="Calibri Light" w:cs="Calibri Light"/>
        </w:rPr>
        <w:t xml:space="preserve"> tourism establishments on the island</w:t>
      </w:r>
      <w:r w:rsidR="00DE1829" w:rsidRPr="00B77473">
        <w:rPr>
          <w:rFonts w:ascii="Calibri Light" w:hAnsi="Calibri Light" w:cs="Calibri Light"/>
        </w:rPr>
        <w:t xml:space="preserve"> to boost business and local employment.</w:t>
      </w:r>
    </w:p>
    <w:p w14:paraId="3DD91489" w14:textId="0C5C1614" w:rsidR="005F0595" w:rsidRPr="00B77473" w:rsidRDefault="008610B4" w:rsidP="00403136">
      <w:pPr>
        <w:rPr>
          <w:rFonts w:ascii="Calibri Light" w:hAnsi="Calibri Light" w:cs="Calibri Light"/>
        </w:rPr>
      </w:pPr>
      <w:r w:rsidRPr="00B77473">
        <w:rPr>
          <w:rFonts w:ascii="Calibri Light" w:hAnsi="Calibri Light" w:cs="Calibri Light"/>
        </w:rPr>
        <w:t xml:space="preserve">In addition, </w:t>
      </w:r>
      <w:r w:rsidR="00403136" w:rsidRPr="00B77473">
        <w:rPr>
          <w:rFonts w:ascii="Calibri Light" w:hAnsi="Calibri Light" w:cs="Calibri Light"/>
        </w:rPr>
        <w:t xml:space="preserve">five new national qualifications in tourism </w:t>
      </w:r>
      <w:r w:rsidRPr="00B77473">
        <w:rPr>
          <w:rFonts w:ascii="Calibri Light" w:hAnsi="Calibri Light" w:cs="Calibri Light"/>
        </w:rPr>
        <w:t xml:space="preserve">were accredited </w:t>
      </w:r>
      <w:r w:rsidR="00403136" w:rsidRPr="00B77473">
        <w:rPr>
          <w:rFonts w:ascii="Calibri Light" w:hAnsi="Calibri Light" w:cs="Calibri Light"/>
        </w:rPr>
        <w:t xml:space="preserve">by the Tonga National Qualifications and Accreditation Board </w:t>
      </w:r>
      <w:r w:rsidRPr="00B77473">
        <w:rPr>
          <w:rFonts w:ascii="Calibri Light" w:hAnsi="Calibri Light" w:cs="Calibri Light"/>
        </w:rPr>
        <w:t>and</w:t>
      </w:r>
      <w:r w:rsidR="00403136" w:rsidRPr="00B77473">
        <w:rPr>
          <w:rFonts w:ascii="Calibri Light" w:hAnsi="Calibri Light" w:cs="Calibri Light"/>
        </w:rPr>
        <w:t xml:space="preserve"> six new </w:t>
      </w:r>
      <w:r w:rsidR="00DE1829" w:rsidRPr="00B77473">
        <w:rPr>
          <w:rFonts w:ascii="Calibri Light" w:hAnsi="Calibri Light" w:cs="Calibri Light"/>
        </w:rPr>
        <w:t>c</w:t>
      </w:r>
      <w:r w:rsidR="00403136" w:rsidRPr="00B77473">
        <w:rPr>
          <w:rFonts w:ascii="Calibri Light" w:hAnsi="Calibri Light" w:cs="Calibri Light"/>
        </w:rPr>
        <w:t xml:space="preserve">ommunity education providers </w:t>
      </w:r>
      <w:r w:rsidRPr="00B77473">
        <w:rPr>
          <w:rFonts w:ascii="Calibri Light" w:hAnsi="Calibri Light" w:cs="Calibri Light"/>
        </w:rPr>
        <w:t>were registered, expanding</w:t>
      </w:r>
      <w:r w:rsidR="00403136" w:rsidRPr="00B77473">
        <w:rPr>
          <w:rFonts w:ascii="Calibri Light" w:hAnsi="Calibri Light" w:cs="Calibri Light"/>
        </w:rPr>
        <w:t xml:space="preserve"> pathways </w:t>
      </w:r>
      <w:r w:rsidR="00DE1829" w:rsidRPr="00B77473">
        <w:rPr>
          <w:rFonts w:ascii="Calibri Light" w:hAnsi="Calibri Light" w:cs="Calibri Light"/>
        </w:rPr>
        <w:t xml:space="preserve">for Tongans </w:t>
      </w:r>
      <w:r w:rsidR="00403136" w:rsidRPr="00B77473">
        <w:rPr>
          <w:rFonts w:ascii="Calibri Light" w:hAnsi="Calibri Light" w:cs="Calibri Light"/>
        </w:rPr>
        <w:t xml:space="preserve">to </w:t>
      </w:r>
      <w:r w:rsidR="0025684A" w:rsidRPr="00B77473">
        <w:rPr>
          <w:rFonts w:ascii="Calibri Light" w:hAnsi="Calibri Light" w:cs="Calibri Light"/>
        </w:rPr>
        <w:t xml:space="preserve">gain </w:t>
      </w:r>
      <w:r w:rsidR="00403136" w:rsidRPr="00B77473">
        <w:rPr>
          <w:rFonts w:ascii="Calibri Light" w:hAnsi="Calibri Light" w:cs="Calibri Light"/>
        </w:rPr>
        <w:t>recogni</w:t>
      </w:r>
      <w:r w:rsidR="00F8443D">
        <w:rPr>
          <w:rFonts w:ascii="Calibri Light" w:hAnsi="Calibri Light" w:cs="Calibri Light"/>
        </w:rPr>
        <w:t>s</w:t>
      </w:r>
      <w:r w:rsidR="00403136" w:rsidRPr="00B77473">
        <w:rPr>
          <w:rFonts w:ascii="Calibri Light" w:hAnsi="Calibri Light" w:cs="Calibri Light"/>
        </w:rPr>
        <w:t xml:space="preserve">ed </w:t>
      </w:r>
      <w:r w:rsidR="0025684A" w:rsidRPr="00B77473">
        <w:rPr>
          <w:rFonts w:ascii="Calibri Light" w:hAnsi="Calibri Light" w:cs="Calibri Light"/>
        </w:rPr>
        <w:t>qualifications</w:t>
      </w:r>
      <w:r w:rsidR="00403136" w:rsidRPr="00B77473">
        <w:rPr>
          <w:rFonts w:ascii="Calibri Light" w:hAnsi="Calibri Light" w:cs="Calibri Light"/>
        </w:rPr>
        <w:t>.</w:t>
      </w:r>
    </w:p>
    <w:p w14:paraId="2B23F4BB" w14:textId="224CE5C6" w:rsidR="005F0595" w:rsidRDefault="005F0595" w:rsidP="00403136">
      <w:pPr>
        <w:rPr>
          <w:rFonts w:ascii="Calibri Light" w:hAnsi="Calibri Light" w:cs="Calibri Light"/>
        </w:rPr>
      </w:pPr>
      <w:r w:rsidRPr="00B77473">
        <w:rPr>
          <w:rFonts w:ascii="Calibri Light" w:hAnsi="Calibri Light" w:cs="Calibri Light"/>
        </w:rPr>
        <w:t>The Australia Awards continued to provide higher education opportunities for Tongans.  In 2018-19, 75 Tongans were supported under long term scholarship programs (59 per cent female) with 42 university students (71 per cent female) graduating from Australian and Pacific institutions.   Tonga continues to demonstrate high rates of success in terms of numbers graduating.  T</w:t>
      </w:r>
      <w:r w:rsidR="00DE1829" w:rsidRPr="00B77473">
        <w:rPr>
          <w:rFonts w:ascii="Calibri Light" w:hAnsi="Calibri Light" w:cs="Calibri Light"/>
        </w:rPr>
        <w:t>his year t</w:t>
      </w:r>
      <w:r w:rsidR="003407A5">
        <w:rPr>
          <w:rFonts w:ascii="Calibri Light" w:hAnsi="Calibri Light" w:cs="Calibri Light"/>
        </w:rPr>
        <w:t>hree graduates were recognis</w:t>
      </w:r>
      <w:r w:rsidRPr="00B77473">
        <w:rPr>
          <w:rFonts w:ascii="Calibri Light" w:hAnsi="Calibri Light" w:cs="Calibri Light"/>
        </w:rPr>
        <w:t xml:space="preserve">ed as most outstanding in their fields at the </w:t>
      </w:r>
      <w:r w:rsidRPr="00FF4BA4">
        <w:rPr>
          <w:rFonts w:ascii="Calibri Light" w:hAnsi="Calibri Light" w:cs="Calibri Light"/>
        </w:rPr>
        <w:t xml:space="preserve">University of the South Pacific.  The selection process ensures men and women have equal access to scholarship opportunities to address priority employment gaps nominated by the public and private sectors.  </w:t>
      </w:r>
      <w:r w:rsidR="00FF4BA4" w:rsidRPr="00FF4BA4">
        <w:rPr>
          <w:rFonts w:ascii="Calibri Light" w:hAnsi="Calibri Light" w:cs="Calibri Light"/>
        </w:rPr>
        <w:t>In 2018-19, 26 per cent of female and 2 percent of male university students studied in non-traditional fields</w:t>
      </w:r>
      <w:r w:rsidRPr="00FF4BA4">
        <w:rPr>
          <w:rFonts w:ascii="Calibri Light" w:hAnsi="Calibri Light" w:cs="Calibri Light"/>
        </w:rPr>
        <w:t xml:space="preserve">.  While there is no formal Tonga Australia Alumni Association, </w:t>
      </w:r>
      <w:r w:rsidR="00792A03" w:rsidRPr="00FF4BA4">
        <w:rPr>
          <w:rFonts w:ascii="Calibri Light" w:hAnsi="Calibri Light" w:cs="Calibri Light"/>
        </w:rPr>
        <w:t>our Nuku’alofa High Commission</w:t>
      </w:r>
      <w:r w:rsidRPr="00FF4BA4">
        <w:rPr>
          <w:rFonts w:ascii="Calibri Light" w:hAnsi="Calibri Light" w:cs="Calibri Light"/>
        </w:rPr>
        <w:t xml:space="preserve"> host</w:t>
      </w:r>
      <w:r w:rsidR="00792A03" w:rsidRPr="00FF4BA4">
        <w:rPr>
          <w:rFonts w:ascii="Calibri Light" w:hAnsi="Calibri Light" w:cs="Calibri Light"/>
        </w:rPr>
        <w:t>s</w:t>
      </w:r>
      <w:r w:rsidRPr="00FF4BA4">
        <w:rPr>
          <w:rFonts w:ascii="Calibri Light" w:hAnsi="Calibri Light" w:cs="Calibri Light"/>
        </w:rPr>
        <w:t xml:space="preserve"> annual alumni activities </w:t>
      </w:r>
      <w:r w:rsidR="00792A03" w:rsidRPr="00FF4BA4">
        <w:rPr>
          <w:rFonts w:ascii="Calibri Light" w:hAnsi="Calibri Light" w:cs="Calibri Light"/>
        </w:rPr>
        <w:t>to</w:t>
      </w:r>
      <w:r w:rsidRPr="00FF4BA4">
        <w:rPr>
          <w:rFonts w:ascii="Calibri Light" w:hAnsi="Calibri Light" w:cs="Calibri Light"/>
        </w:rPr>
        <w:t xml:space="preserve"> reinforce the objectives of the Australia Alumni Network Strategy to engage with leaders and advocates linked by their experience as holders of Australia Awards.</w:t>
      </w:r>
    </w:p>
    <w:p w14:paraId="7B17A502" w14:textId="77777777" w:rsidR="00B9601B" w:rsidRPr="00B77473" w:rsidRDefault="00B9601B" w:rsidP="00403136">
      <w:pPr>
        <w:rPr>
          <w:rFonts w:ascii="Calibri Light" w:hAnsi="Calibri Light" w:cs="Calibri Light"/>
        </w:rPr>
      </w:pPr>
    </w:p>
    <w:p w14:paraId="02DBC4AF" w14:textId="77777777" w:rsidR="002A1BF5" w:rsidRPr="00B77473" w:rsidRDefault="002A1BF5" w:rsidP="00B9601B">
      <w:pPr>
        <w:pStyle w:val="Heading1smallspaceafter"/>
      </w:pPr>
      <w:r w:rsidRPr="00B77473">
        <w:t>Gender and disability</w:t>
      </w:r>
    </w:p>
    <w:p w14:paraId="44152B77" w14:textId="58A5FE50" w:rsidR="002A1BF5" w:rsidRPr="00B77473" w:rsidRDefault="002A1BF5" w:rsidP="002A1BF5">
      <w:pPr>
        <w:rPr>
          <w:rFonts w:ascii="Calibri Light" w:hAnsi="Calibri Light" w:cs="Calibri Light"/>
        </w:rPr>
      </w:pPr>
      <w:r w:rsidRPr="00B77473">
        <w:rPr>
          <w:rFonts w:ascii="Calibri Light" w:hAnsi="Calibri Light" w:cs="Calibri Light"/>
        </w:rPr>
        <w:t xml:space="preserve">Australia’s investment in gender equality in Tonga continues to gain momentum through active management by </w:t>
      </w:r>
      <w:r w:rsidR="00C13E24">
        <w:rPr>
          <w:rFonts w:ascii="Calibri Light" w:hAnsi="Calibri Light" w:cs="Calibri Light"/>
        </w:rPr>
        <w:t>DFAT’s High Commission in Nuku’alofa</w:t>
      </w:r>
      <w:r w:rsidRPr="00B77473">
        <w:rPr>
          <w:rFonts w:ascii="Calibri Light" w:hAnsi="Calibri Light" w:cs="Calibri Light"/>
        </w:rPr>
        <w:t xml:space="preserve"> along with support from the Pacific Women Shaping Pacific Development Support Unit in Suva, Fiji, and technical advisers. In April 2019, an evaluation was undertaken on Australian support provided to the Tonga National Centre for Women and Children and the Women and Children’s Crisis Centre. Both evaluation </w:t>
      </w:r>
      <w:r w:rsidRPr="00FF4BA4">
        <w:rPr>
          <w:rFonts w:ascii="Calibri Light" w:hAnsi="Calibri Light" w:cs="Calibri Light"/>
        </w:rPr>
        <w:t xml:space="preserve">reports </w:t>
      </w:r>
      <w:r w:rsidR="00146F0F" w:rsidRPr="00FF4BA4">
        <w:rPr>
          <w:rFonts w:ascii="Calibri Light" w:hAnsi="Calibri Light" w:cs="Calibri Light"/>
        </w:rPr>
        <w:t xml:space="preserve">found </w:t>
      </w:r>
      <w:r w:rsidR="00FF4BA4" w:rsidRPr="00FF4BA4">
        <w:rPr>
          <w:rFonts w:ascii="Calibri Light" w:hAnsi="Calibri Light" w:cs="Calibri Light"/>
        </w:rPr>
        <w:t xml:space="preserve">positive </w:t>
      </w:r>
      <w:r w:rsidR="00146F0F" w:rsidRPr="00FF4BA4">
        <w:rPr>
          <w:rFonts w:ascii="Calibri Light" w:hAnsi="Calibri Light" w:cs="Calibri Light"/>
        </w:rPr>
        <w:t xml:space="preserve">results and </w:t>
      </w:r>
      <w:r w:rsidRPr="00FF4BA4">
        <w:rPr>
          <w:rFonts w:ascii="Calibri Light" w:hAnsi="Calibri Light" w:cs="Calibri Light"/>
        </w:rPr>
        <w:t xml:space="preserve">recommended continued support </w:t>
      </w:r>
      <w:r w:rsidRPr="00FF4BA4">
        <w:rPr>
          <w:rFonts w:ascii="Calibri Light" w:hAnsi="Calibri Light" w:cs="Calibri Light"/>
        </w:rPr>
        <w:lastRenderedPageBreak/>
        <w:t>to these non-government organisations, wh</w:t>
      </w:r>
      <w:r w:rsidR="00146F0F" w:rsidRPr="00FF4BA4">
        <w:rPr>
          <w:rFonts w:ascii="Calibri Light" w:hAnsi="Calibri Light" w:cs="Calibri Light"/>
        </w:rPr>
        <w:t>ich</w:t>
      </w:r>
      <w:r w:rsidRPr="00FF4BA4">
        <w:rPr>
          <w:rFonts w:ascii="Calibri Light" w:hAnsi="Calibri Light" w:cs="Calibri Light"/>
        </w:rPr>
        <w:t xml:space="preserve"> both respond to gender-based</w:t>
      </w:r>
      <w:r w:rsidRPr="00B77473">
        <w:rPr>
          <w:rFonts w:ascii="Calibri Light" w:hAnsi="Calibri Light" w:cs="Calibri Light"/>
        </w:rPr>
        <w:t xml:space="preserve"> violence and the need for economic empowerment.</w:t>
      </w:r>
    </w:p>
    <w:p w14:paraId="7B314F6B" w14:textId="6BB8C9B0" w:rsidR="002A1BF5" w:rsidRPr="00B77473" w:rsidRDefault="002A1BF5" w:rsidP="002A1BF5">
      <w:pPr>
        <w:rPr>
          <w:lang w:val="en-AU"/>
        </w:rPr>
      </w:pPr>
      <w:r w:rsidRPr="00B77473">
        <w:t xml:space="preserve">Through the Families Free of Violence Program (FFOV), refurbishments to a new Family Violence Victim Support Unit </w:t>
      </w:r>
      <w:r w:rsidR="00F8443D">
        <w:t>were</w:t>
      </w:r>
      <w:r w:rsidR="00F8443D" w:rsidRPr="00B77473">
        <w:t xml:space="preserve"> </w:t>
      </w:r>
      <w:r w:rsidRPr="00B77473">
        <w:t>completed in March 2019. The new space is welcoming, friendly and safe – a substantial improvement on the previous Domestic Violence Unit office, with a separate entrance ensuring that clients no longer need to walk through the main police station to seek assistance.</w:t>
      </w:r>
    </w:p>
    <w:p w14:paraId="2DC0AEE3" w14:textId="530AD53C" w:rsidR="002A1BF5" w:rsidRPr="00B77473" w:rsidRDefault="002A1BF5" w:rsidP="002A1BF5">
      <w:pPr>
        <w:rPr>
          <w:rFonts w:ascii="Calibri Light" w:hAnsi="Calibri Light" w:cs="Calibri Light"/>
        </w:rPr>
      </w:pPr>
      <w:r w:rsidRPr="00B77473">
        <w:rPr>
          <w:rFonts w:ascii="Calibri Light" w:hAnsi="Calibri Light" w:cs="Calibri Light"/>
        </w:rPr>
        <w:t>Australia’s support to Tonga’s Women</w:t>
      </w:r>
      <w:r w:rsidR="00E0481D">
        <w:rPr>
          <w:rFonts w:ascii="Calibri Light" w:hAnsi="Calibri Light" w:cs="Calibri Light"/>
        </w:rPr>
        <w:t>’s</w:t>
      </w:r>
      <w:r w:rsidRPr="00B77473">
        <w:rPr>
          <w:rFonts w:ascii="Calibri Light" w:hAnsi="Calibri Light" w:cs="Calibri Light"/>
        </w:rPr>
        <w:t xml:space="preserve"> Affairs Division has provided a capacity boost, recruiting key staff (Family Protection Act Coordinator, Policy and Legislation Officer, and a Monitoring and Evaluation Officer), conducting numerous consultations, resulting in the launch of their revised Gender Policy (National Women’s Empowerment, and Gender Equality Tonga Policy). Tonga’s Gender Mainstreaming Handbook and a statistical and health report: ‘Where do we stand?’ was also launched at the same event. This was through joint efforts of DFAT and the Secretariat of the Pacific Community.</w:t>
      </w:r>
    </w:p>
    <w:p w14:paraId="54020D69" w14:textId="59B6578B" w:rsidR="002A1BF5" w:rsidRDefault="002A1BF5" w:rsidP="002A1BF5">
      <w:pPr>
        <w:rPr>
          <w:rFonts w:ascii="Calibri Light" w:hAnsi="Calibri Light" w:cs="Calibri Light"/>
        </w:rPr>
      </w:pPr>
      <w:r w:rsidRPr="00B77473">
        <w:rPr>
          <w:rFonts w:ascii="Calibri Light" w:hAnsi="Calibri Light" w:cs="Calibri Light"/>
        </w:rPr>
        <w:t>Our engagement continues to make good progress with a twin-track approach to disability inclusion. The THSSP2 program is implementing large disability-focused activities including supporting Tonga’s first ever comprehensive rehabilita</w:t>
      </w:r>
      <w:r w:rsidR="00146F0F">
        <w:rPr>
          <w:rFonts w:ascii="Calibri Light" w:hAnsi="Calibri Light" w:cs="Calibri Light"/>
        </w:rPr>
        <w:t>tion service, which was opened i</w:t>
      </w:r>
      <w:r w:rsidRPr="00B77473">
        <w:rPr>
          <w:rFonts w:ascii="Calibri Light" w:hAnsi="Calibri Light" w:cs="Calibri Light"/>
        </w:rPr>
        <w:t xml:space="preserve">n June </w:t>
      </w:r>
      <w:r w:rsidR="00235011">
        <w:rPr>
          <w:rFonts w:ascii="Calibri Light" w:hAnsi="Calibri Light" w:cs="Calibri Light"/>
        </w:rPr>
        <w:t>2018</w:t>
      </w:r>
      <w:r w:rsidRPr="00B77473">
        <w:rPr>
          <w:rFonts w:ascii="Calibri Light" w:hAnsi="Calibri Light" w:cs="Calibri Light"/>
        </w:rPr>
        <w:t>. The newly refurbished facility provide</w:t>
      </w:r>
      <w:r w:rsidR="00235011">
        <w:rPr>
          <w:rFonts w:ascii="Calibri Light" w:hAnsi="Calibri Light" w:cs="Calibri Light"/>
        </w:rPr>
        <w:t>s</w:t>
      </w:r>
      <w:r w:rsidRPr="00B77473">
        <w:rPr>
          <w:rFonts w:ascii="Calibri Light" w:hAnsi="Calibri Light" w:cs="Calibri Light"/>
        </w:rPr>
        <w:t xml:space="preserve"> mobility devices such as wheelchairs, and prosthetics, alongside physiotherapy and other rehabilitation services. Refurbishment works for the national hospital psychiatric ward have been designed and tendered</w:t>
      </w:r>
      <w:r w:rsidR="003407A5">
        <w:rPr>
          <w:rFonts w:ascii="Calibri Light" w:hAnsi="Calibri Light" w:cs="Calibri Light"/>
        </w:rPr>
        <w:t>,</w:t>
      </w:r>
      <w:r w:rsidRPr="00B77473">
        <w:rPr>
          <w:rFonts w:ascii="Calibri Light" w:hAnsi="Calibri Light" w:cs="Calibri Light"/>
        </w:rPr>
        <w:t xml:space="preserve"> with works to take place </w:t>
      </w:r>
      <w:r w:rsidR="00235011">
        <w:rPr>
          <w:rFonts w:ascii="Calibri Light" w:hAnsi="Calibri Light" w:cs="Calibri Light"/>
        </w:rPr>
        <w:t>in 2019-20</w:t>
      </w:r>
      <w:r w:rsidRPr="00B77473">
        <w:rPr>
          <w:rFonts w:ascii="Calibri Light" w:hAnsi="Calibri Light" w:cs="Calibri Light"/>
        </w:rPr>
        <w:t xml:space="preserve">. In addition, we have supported the Women and Children’s Crisis Centre to partner with the National Disability Association (NATA), to promote awareness of their programs </w:t>
      </w:r>
      <w:r w:rsidR="003407A5">
        <w:rPr>
          <w:rFonts w:ascii="Calibri Light" w:hAnsi="Calibri Light" w:cs="Calibri Light"/>
        </w:rPr>
        <w:t>to</w:t>
      </w:r>
      <w:r w:rsidRPr="00B77473">
        <w:rPr>
          <w:rFonts w:ascii="Calibri Light" w:hAnsi="Calibri Light" w:cs="Calibri Light"/>
        </w:rPr>
        <w:t xml:space="preserve"> people living with disability. Tonga Skills has continued to implement a quality mainstreaming approach in </w:t>
      </w:r>
      <w:r w:rsidR="00C13E24">
        <w:rPr>
          <w:rFonts w:ascii="Calibri Light" w:hAnsi="Calibri Light" w:cs="Calibri Light"/>
        </w:rPr>
        <w:t>its</w:t>
      </w:r>
      <w:r w:rsidRPr="00B77473">
        <w:rPr>
          <w:rFonts w:ascii="Calibri Light" w:hAnsi="Calibri Light" w:cs="Calibri Light"/>
        </w:rPr>
        <w:t xml:space="preserve"> programs. This year 22% of all skills development activities included one or more people with a disability. In May, </w:t>
      </w:r>
      <w:r w:rsidR="00C13E24">
        <w:rPr>
          <w:rFonts w:ascii="Calibri Light" w:hAnsi="Calibri Light" w:cs="Calibri Light"/>
        </w:rPr>
        <w:t>DFAT</w:t>
      </w:r>
      <w:r w:rsidRPr="00B77473">
        <w:rPr>
          <w:rFonts w:ascii="Calibri Light" w:hAnsi="Calibri Light" w:cs="Calibri Light"/>
        </w:rPr>
        <w:t xml:space="preserve"> staff worked with a specialist technical advice team to review our engagement in Tonga and identify opportunities for further </w:t>
      </w:r>
      <w:r w:rsidR="00C13E24">
        <w:rPr>
          <w:rFonts w:ascii="Calibri Light" w:hAnsi="Calibri Light" w:cs="Calibri Light"/>
        </w:rPr>
        <w:t xml:space="preserve">disability inclusion </w:t>
      </w:r>
      <w:r w:rsidRPr="00B77473">
        <w:rPr>
          <w:rFonts w:ascii="Calibri Light" w:hAnsi="Calibri Light" w:cs="Calibri Light"/>
        </w:rPr>
        <w:t>improvements. Tonga’s development of a new National Disability Inclusive Development Policy (currently in draft) will provide a good opportunity to frame and prioritise our engagement on disability inclusion.</w:t>
      </w:r>
    </w:p>
    <w:p w14:paraId="1E3CA9E7" w14:textId="77777777" w:rsidR="00B9601B" w:rsidRDefault="00B9601B" w:rsidP="002A1BF5">
      <w:pPr>
        <w:rPr>
          <w:rFonts w:ascii="Calibri Light" w:hAnsi="Calibri Light" w:cs="Calibri Light"/>
        </w:rPr>
      </w:pPr>
    </w:p>
    <w:p w14:paraId="318DD579" w14:textId="77777777" w:rsidR="003407A5" w:rsidRPr="00985524" w:rsidRDefault="003407A5" w:rsidP="00B9601B">
      <w:pPr>
        <w:pStyle w:val="Heading1smallspaceafter"/>
      </w:pPr>
      <w:r w:rsidRPr="00985524">
        <w:t>disaster preparedness and response</w:t>
      </w:r>
    </w:p>
    <w:p w14:paraId="29433DC7" w14:textId="12F4B3CF" w:rsidR="003407A5" w:rsidRPr="002A1BF5" w:rsidRDefault="003407A5" w:rsidP="003407A5">
      <w:pPr>
        <w:rPr>
          <w:rFonts w:ascii="Calibri Light" w:hAnsi="Calibri Light" w:cs="Calibri Light"/>
          <w:sz w:val="21"/>
          <w:szCs w:val="21"/>
        </w:rPr>
      </w:pPr>
      <w:r w:rsidRPr="002A1BF5">
        <w:rPr>
          <w:rFonts w:ascii="Calibri Light" w:hAnsi="Calibri Light" w:cs="Calibri Light"/>
          <w:sz w:val="21"/>
          <w:szCs w:val="21"/>
        </w:rPr>
        <w:t>On 12 February 2018, T</w:t>
      </w:r>
      <w:r w:rsidR="00C13E24">
        <w:rPr>
          <w:rFonts w:ascii="Calibri Light" w:hAnsi="Calibri Light" w:cs="Calibri Light"/>
          <w:sz w:val="21"/>
          <w:szCs w:val="21"/>
        </w:rPr>
        <w:t xml:space="preserve">ropical </w:t>
      </w:r>
      <w:r w:rsidRPr="002A1BF5">
        <w:rPr>
          <w:rFonts w:ascii="Calibri Light" w:hAnsi="Calibri Light" w:cs="Calibri Light"/>
          <w:sz w:val="21"/>
          <w:szCs w:val="21"/>
        </w:rPr>
        <w:t>C</w:t>
      </w:r>
      <w:r w:rsidR="00C13E24">
        <w:rPr>
          <w:rFonts w:ascii="Calibri Light" w:hAnsi="Calibri Light" w:cs="Calibri Light"/>
          <w:sz w:val="21"/>
          <w:szCs w:val="21"/>
        </w:rPr>
        <w:t>yclone</w:t>
      </w:r>
      <w:r w:rsidRPr="002A1BF5">
        <w:rPr>
          <w:rFonts w:ascii="Calibri Light" w:hAnsi="Calibri Light" w:cs="Calibri Light"/>
          <w:sz w:val="21"/>
          <w:szCs w:val="21"/>
        </w:rPr>
        <w:t xml:space="preserve"> Gita struck Tonga causing severe damage to </w:t>
      </w:r>
      <w:proofErr w:type="spellStart"/>
      <w:r w:rsidRPr="002A1BF5">
        <w:rPr>
          <w:rFonts w:ascii="Calibri Light" w:hAnsi="Calibri Light" w:cs="Calibri Light"/>
          <w:sz w:val="21"/>
          <w:szCs w:val="21"/>
        </w:rPr>
        <w:t>Tongatapu</w:t>
      </w:r>
      <w:proofErr w:type="spellEnd"/>
      <w:r w:rsidRPr="002A1BF5">
        <w:rPr>
          <w:rFonts w:ascii="Calibri Light" w:hAnsi="Calibri Light" w:cs="Calibri Light"/>
          <w:sz w:val="21"/>
          <w:szCs w:val="21"/>
        </w:rPr>
        <w:t xml:space="preserve"> and nearby islands. Following immediate humanitarian relief efforts</w:t>
      </w:r>
      <w:r w:rsidR="00146F0F">
        <w:rPr>
          <w:rFonts w:ascii="Calibri Light" w:hAnsi="Calibri Light" w:cs="Calibri Light"/>
          <w:sz w:val="21"/>
          <w:szCs w:val="21"/>
        </w:rPr>
        <w:t xml:space="preserve"> during 2018-19</w:t>
      </w:r>
      <w:r w:rsidRPr="002A1BF5">
        <w:rPr>
          <w:rFonts w:ascii="Calibri Light" w:hAnsi="Calibri Light" w:cs="Calibri Light"/>
          <w:sz w:val="21"/>
          <w:szCs w:val="21"/>
        </w:rPr>
        <w:t>, Australia support</w:t>
      </w:r>
      <w:r w:rsidR="00146F0F">
        <w:rPr>
          <w:rFonts w:ascii="Calibri Light" w:hAnsi="Calibri Light" w:cs="Calibri Light"/>
          <w:sz w:val="21"/>
          <w:szCs w:val="21"/>
        </w:rPr>
        <w:t>ed</w:t>
      </w:r>
      <w:r w:rsidRPr="002A1BF5">
        <w:rPr>
          <w:rFonts w:ascii="Calibri Light" w:hAnsi="Calibri Light" w:cs="Calibri Light"/>
          <w:sz w:val="21"/>
          <w:szCs w:val="21"/>
        </w:rPr>
        <w:t xml:space="preserve"> recovery and reconstruction, focusing on shelter, education, livelihoods, water </w:t>
      </w:r>
      <w:r w:rsidR="00E0481D">
        <w:rPr>
          <w:rFonts w:ascii="Calibri Light" w:hAnsi="Calibri Light" w:cs="Calibri Light"/>
          <w:sz w:val="21"/>
          <w:szCs w:val="21"/>
        </w:rPr>
        <w:t xml:space="preserve">and </w:t>
      </w:r>
      <w:r w:rsidRPr="002A1BF5">
        <w:rPr>
          <w:rFonts w:ascii="Calibri Light" w:hAnsi="Calibri Light" w:cs="Calibri Light"/>
          <w:sz w:val="21"/>
          <w:szCs w:val="21"/>
        </w:rPr>
        <w:t>sanitation</w:t>
      </w:r>
      <w:r w:rsidR="00E0481D">
        <w:rPr>
          <w:rFonts w:ascii="Calibri Light" w:hAnsi="Calibri Light" w:cs="Calibri Light"/>
          <w:sz w:val="21"/>
          <w:szCs w:val="21"/>
        </w:rPr>
        <w:t>,</w:t>
      </w:r>
      <w:r w:rsidRPr="002A1BF5">
        <w:rPr>
          <w:rFonts w:ascii="Calibri Light" w:hAnsi="Calibri Light" w:cs="Calibri Light"/>
          <w:sz w:val="21"/>
          <w:szCs w:val="21"/>
        </w:rPr>
        <w:t xml:space="preserve"> and hygiene (WASH) sectors. </w:t>
      </w:r>
    </w:p>
    <w:p w14:paraId="13A5C553" w14:textId="77777777" w:rsidR="003407A5" w:rsidRPr="002A1BF5" w:rsidRDefault="003407A5" w:rsidP="003407A5">
      <w:pPr>
        <w:pStyle w:val="Bullet3"/>
      </w:pPr>
      <w:r w:rsidRPr="002A1BF5">
        <w:t>Materials and training for shelter and agricultural recovery reached more than 10 thousand beneficiaries through CARE Australia (in partnerships with Tongan NGO MORDI and Live &amp; Learn), far exceeding the target of 4,250</w:t>
      </w:r>
    </w:p>
    <w:p w14:paraId="598FC64F" w14:textId="44EF173D" w:rsidR="003407A5" w:rsidRPr="002A1BF5" w:rsidRDefault="003407A5" w:rsidP="003407A5">
      <w:pPr>
        <w:pStyle w:val="Bullet3"/>
      </w:pPr>
      <w:r w:rsidRPr="002A1BF5">
        <w:t xml:space="preserve">Live and Learn completed pilot rehabilitation works to test a WASH rehabilitation approach which will be rolled out across </w:t>
      </w:r>
      <w:proofErr w:type="spellStart"/>
      <w:r w:rsidRPr="002A1BF5">
        <w:t>Tongatapu</w:t>
      </w:r>
      <w:proofErr w:type="spellEnd"/>
      <w:r w:rsidRPr="002A1BF5">
        <w:t xml:space="preserve"> next year.</w:t>
      </w:r>
    </w:p>
    <w:p w14:paraId="7BB7B7A3" w14:textId="235B515C" w:rsidR="003407A5" w:rsidRPr="002A1BF5" w:rsidRDefault="003407A5" w:rsidP="003407A5">
      <w:pPr>
        <w:pStyle w:val="Bullet3"/>
      </w:pPr>
      <w:r w:rsidRPr="002A1BF5">
        <w:t>The partnership between Australian Red Cross and Tonga Red Cross society supported the replenishment of pre-positioned emergency supplies including 850 hygiene kits, maintenance of the national network of supply warehouses, and operations of the Shelter Technical Group.</w:t>
      </w:r>
    </w:p>
    <w:p w14:paraId="520CDA7B" w14:textId="65EC77D3" w:rsidR="003407A5" w:rsidRPr="002A1BF5" w:rsidRDefault="003407A5" w:rsidP="003407A5">
      <w:pPr>
        <w:pStyle w:val="Bullet3"/>
      </w:pPr>
      <w:r w:rsidRPr="002A1BF5">
        <w:t>Women and Children’s Crisis Centre (WCCC) provided psycho-social counselling support through mobile counselling (home visits). Between March and August 2018, WCCC provided psycho-social support to 340 persons; 316 women</w:t>
      </w:r>
      <w:r w:rsidR="00E0481D">
        <w:t xml:space="preserve"> and </w:t>
      </w:r>
      <w:r w:rsidRPr="002A1BF5">
        <w:t>15 men</w:t>
      </w:r>
      <w:r w:rsidR="00E0481D">
        <w:t xml:space="preserve">, of those nine people identified as </w:t>
      </w:r>
      <w:r w:rsidRPr="002A1BF5">
        <w:t xml:space="preserve">living with </w:t>
      </w:r>
      <w:r w:rsidR="00E0481D">
        <w:t xml:space="preserve">a </w:t>
      </w:r>
      <w:r w:rsidRPr="002A1BF5">
        <w:t>disability.</w:t>
      </w:r>
    </w:p>
    <w:p w14:paraId="52267AAC" w14:textId="18EF15F6" w:rsidR="003407A5" w:rsidRPr="002A1BF5" w:rsidRDefault="003407A5" w:rsidP="003407A5">
      <w:pPr>
        <w:rPr>
          <w:rFonts w:ascii="Calibri Light" w:hAnsi="Calibri Light" w:cs="Calibri Light"/>
          <w:sz w:val="21"/>
          <w:szCs w:val="21"/>
        </w:rPr>
      </w:pPr>
      <w:r w:rsidRPr="002A1BF5">
        <w:rPr>
          <w:rFonts w:ascii="Calibri Light" w:hAnsi="Calibri Light" w:cs="Calibri Light"/>
          <w:sz w:val="21"/>
          <w:szCs w:val="21"/>
        </w:rPr>
        <w:t>Schools reconstruction work under the World Bank PREP initiative (USD13.8 million, of which Australia has contributed AUD3</w:t>
      </w:r>
      <w:r>
        <w:rPr>
          <w:rFonts w:ascii="Calibri Light" w:hAnsi="Calibri Light" w:cs="Calibri Light"/>
          <w:sz w:val="21"/>
          <w:szCs w:val="21"/>
        </w:rPr>
        <w:t xml:space="preserve"> </w:t>
      </w:r>
      <w:r w:rsidRPr="002A1BF5">
        <w:rPr>
          <w:rFonts w:ascii="Calibri Light" w:hAnsi="Calibri Light" w:cs="Calibri Light"/>
          <w:sz w:val="21"/>
          <w:szCs w:val="21"/>
        </w:rPr>
        <w:t>m</w:t>
      </w:r>
      <w:r>
        <w:rPr>
          <w:rFonts w:ascii="Calibri Light" w:hAnsi="Calibri Light" w:cs="Calibri Light"/>
          <w:sz w:val="21"/>
          <w:szCs w:val="21"/>
        </w:rPr>
        <w:t>illion</w:t>
      </w:r>
      <w:r w:rsidRPr="002A1BF5">
        <w:rPr>
          <w:rFonts w:ascii="Calibri Light" w:hAnsi="Calibri Light" w:cs="Calibri Light"/>
          <w:sz w:val="21"/>
          <w:szCs w:val="21"/>
        </w:rPr>
        <w:t xml:space="preserve">) has been delayed due to protracted negotiations on procurement and building designs, </w:t>
      </w:r>
      <w:r w:rsidRPr="002A1BF5">
        <w:rPr>
          <w:rFonts w:ascii="Calibri Light" w:hAnsi="Calibri Light" w:cs="Calibri Light"/>
          <w:sz w:val="21"/>
          <w:szCs w:val="21"/>
        </w:rPr>
        <w:lastRenderedPageBreak/>
        <w:t xml:space="preserve">but construction is expected to commence in September </w:t>
      </w:r>
      <w:r w:rsidRPr="006E59CF">
        <w:rPr>
          <w:rFonts w:ascii="Calibri Light" w:hAnsi="Calibri Light" w:cs="Calibri Light"/>
          <w:sz w:val="21"/>
          <w:szCs w:val="21"/>
        </w:rPr>
        <w:t xml:space="preserve">2019. Similarly, ADB approval to proceed with the Australian-funded reconstruction of sheds at </w:t>
      </w:r>
      <w:proofErr w:type="spellStart"/>
      <w:r w:rsidRPr="006E59CF">
        <w:rPr>
          <w:rFonts w:ascii="Calibri Light" w:hAnsi="Calibri Light" w:cs="Calibri Light"/>
          <w:sz w:val="21"/>
          <w:szCs w:val="21"/>
        </w:rPr>
        <w:t>Tapuhia</w:t>
      </w:r>
      <w:proofErr w:type="spellEnd"/>
      <w:r w:rsidRPr="006E59CF">
        <w:rPr>
          <w:rFonts w:ascii="Calibri Light" w:hAnsi="Calibri Light" w:cs="Calibri Light"/>
          <w:sz w:val="21"/>
          <w:szCs w:val="21"/>
        </w:rPr>
        <w:t xml:space="preserve"> Waste Management</w:t>
      </w:r>
      <w:r w:rsidR="006E59CF" w:rsidRPr="006E59CF">
        <w:rPr>
          <w:rFonts w:ascii="Calibri Light" w:hAnsi="Calibri Light" w:cs="Calibri Light"/>
          <w:sz w:val="21"/>
          <w:szCs w:val="21"/>
        </w:rPr>
        <w:t xml:space="preserve"> Facility has been delayed but the project is </w:t>
      </w:r>
      <w:r w:rsidRPr="006E59CF">
        <w:rPr>
          <w:rFonts w:ascii="Calibri Light" w:hAnsi="Calibri Light" w:cs="Calibri Light"/>
          <w:sz w:val="21"/>
          <w:szCs w:val="21"/>
        </w:rPr>
        <w:t>expected to be completed by the end of 2019.</w:t>
      </w:r>
      <w:r w:rsidRPr="002A1BF5">
        <w:rPr>
          <w:rFonts w:ascii="Calibri Light" w:hAnsi="Calibri Light" w:cs="Calibri Light"/>
          <w:sz w:val="21"/>
          <w:szCs w:val="21"/>
        </w:rPr>
        <w:t xml:space="preserve"> </w:t>
      </w:r>
    </w:p>
    <w:p w14:paraId="2D159F52" w14:textId="184EBCD7" w:rsidR="003407A5" w:rsidRDefault="003407A5" w:rsidP="003407A5">
      <w:pPr>
        <w:rPr>
          <w:rFonts w:ascii="Calibri Light" w:hAnsi="Calibri Light" w:cs="Calibri Light"/>
          <w:sz w:val="21"/>
          <w:szCs w:val="21"/>
        </w:rPr>
      </w:pPr>
      <w:r w:rsidRPr="002A1BF5">
        <w:rPr>
          <w:rFonts w:ascii="Calibri Light" w:hAnsi="Calibri Light" w:cs="Calibri Light"/>
          <w:sz w:val="21"/>
          <w:szCs w:val="21"/>
        </w:rPr>
        <w:t>Australia continue</w:t>
      </w:r>
      <w:r w:rsidR="00F8443D">
        <w:rPr>
          <w:rFonts w:ascii="Calibri Light" w:hAnsi="Calibri Light" w:cs="Calibri Light"/>
          <w:sz w:val="21"/>
          <w:szCs w:val="21"/>
        </w:rPr>
        <w:t>d</w:t>
      </w:r>
      <w:r w:rsidRPr="002A1BF5">
        <w:rPr>
          <w:rFonts w:ascii="Calibri Light" w:hAnsi="Calibri Light" w:cs="Calibri Light"/>
          <w:sz w:val="21"/>
          <w:szCs w:val="21"/>
        </w:rPr>
        <w:t xml:space="preserve"> to support Tonga with disaster preparedness through technical cooperation and financing for the National Emergency Management Office, Tonga Red Cross Society and the emergency cluster system. Our support to the World Bank Central Services Unit in the Ministry of Finance help</w:t>
      </w:r>
      <w:r w:rsidR="00F8443D">
        <w:rPr>
          <w:rFonts w:ascii="Calibri Light" w:hAnsi="Calibri Light" w:cs="Calibri Light"/>
          <w:sz w:val="21"/>
          <w:szCs w:val="21"/>
        </w:rPr>
        <w:t>ed</w:t>
      </w:r>
      <w:r w:rsidRPr="002A1BF5">
        <w:rPr>
          <w:rFonts w:ascii="Calibri Light" w:hAnsi="Calibri Light" w:cs="Calibri Light"/>
          <w:sz w:val="21"/>
          <w:szCs w:val="21"/>
        </w:rPr>
        <w:t xml:space="preserve"> relieve the pressure on government to implement and monitor additional reconstruction funding from all donors.</w:t>
      </w:r>
    </w:p>
    <w:p w14:paraId="1FAF473E" w14:textId="77777777" w:rsidR="00B9601B" w:rsidRPr="00B77473" w:rsidRDefault="00B9601B" w:rsidP="003407A5">
      <w:pPr>
        <w:rPr>
          <w:rFonts w:ascii="Calibri Light" w:hAnsi="Calibri Light" w:cs="Calibri Light"/>
        </w:rPr>
      </w:pPr>
    </w:p>
    <w:p w14:paraId="0DC8C75F" w14:textId="413A2A97" w:rsidR="005B5769" w:rsidRPr="00B77473" w:rsidRDefault="00985524" w:rsidP="00B9601B">
      <w:pPr>
        <w:pStyle w:val="Heading1smallspaceafter"/>
      </w:pPr>
      <w:r w:rsidRPr="00B77473">
        <w:t>M</w:t>
      </w:r>
      <w:r w:rsidR="005B5769" w:rsidRPr="00B77473">
        <w:t>utual Obligations</w:t>
      </w:r>
    </w:p>
    <w:p w14:paraId="0650965A" w14:textId="306F0760" w:rsidR="00072ADB" w:rsidRPr="00B77473" w:rsidRDefault="00072ADB" w:rsidP="00072ADB">
      <w:pPr>
        <w:rPr>
          <w:rFonts w:cstheme="minorHAnsi"/>
        </w:rPr>
      </w:pPr>
      <w:r w:rsidRPr="00B77473">
        <w:rPr>
          <w:rFonts w:cstheme="minorHAnsi"/>
        </w:rPr>
        <w:t xml:space="preserve">Mutual obligations agreed under the </w:t>
      </w:r>
      <w:r w:rsidRPr="00B77473">
        <w:rPr>
          <w:rFonts w:cstheme="minorHAnsi"/>
          <w:i/>
        </w:rPr>
        <w:t>Tonga Aid Investment Plan</w:t>
      </w:r>
      <w:r w:rsidRPr="00B77473">
        <w:rPr>
          <w:rFonts w:cstheme="minorHAnsi"/>
        </w:rPr>
        <w:t xml:space="preserve"> and the </w:t>
      </w:r>
      <w:r w:rsidRPr="00B77473">
        <w:rPr>
          <w:rFonts w:cstheme="minorHAnsi"/>
          <w:i/>
        </w:rPr>
        <w:t xml:space="preserve">Australia-Tonga Aid Partnership Arrangement 2016-2019 </w:t>
      </w:r>
      <w:r w:rsidRPr="00B77473">
        <w:rPr>
          <w:rFonts w:cstheme="minorHAnsi"/>
        </w:rPr>
        <w:t>continue to be relevant and both Australia and Tonga remained committed to deliver against them during 2018-2019.</w:t>
      </w:r>
    </w:p>
    <w:p w14:paraId="5CA4A22E" w14:textId="5E923211" w:rsidR="00072ADB" w:rsidRPr="00B77473" w:rsidRDefault="00072ADB" w:rsidP="00072ADB">
      <w:pPr>
        <w:rPr>
          <w:rFonts w:cstheme="minorHAnsi"/>
        </w:rPr>
      </w:pPr>
      <w:r w:rsidRPr="00B77473">
        <w:rPr>
          <w:rFonts w:cstheme="minorHAnsi"/>
        </w:rPr>
        <w:t>The Government of Tonga:</w:t>
      </w:r>
    </w:p>
    <w:p w14:paraId="5354BFA8" w14:textId="77777777" w:rsidR="0093722C" w:rsidRPr="00B77473" w:rsidRDefault="00072ADB" w:rsidP="000B31CC">
      <w:pPr>
        <w:pStyle w:val="ListParagraph"/>
        <w:numPr>
          <w:ilvl w:val="0"/>
          <w:numId w:val="41"/>
        </w:numPr>
        <w:contextualSpacing/>
        <w:rPr>
          <w:rFonts w:asciiTheme="minorHAnsi" w:hAnsiTheme="minorHAnsi" w:cstheme="minorHAnsi"/>
          <w:color w:val="495965" w:themeColor="text2"/>
          <w:lang w:val="en-GB"/>
        </w:rPr>
      </w:pPr>
      <w:r w:rsidRPr="00B77473">
        <w:rPr>
          <w:rFonts w:asciiTheme="minorHAnsi" w:hAnsiTheme="minorHAnsi" w:cstheme="minorHAnsi"/>
          <w:color w:val="495965" w:themeColor="text2"/>
        </w:rPr>
        <w:t xml:space="preserve">continued to implement its national development policy agenda as articulated in the </w:t>
      </w:r>
      <w:r w:rsidRPr="00B77473">
        <w:rPr>
          <w:rFonts w:asciiTheme="minorHAnsi" w:hAnsiTheme="minorHAnsi" w:cstheme="minorHAnsi"/>
          <w:i/>
          <w:color w:val="495965" w:themeColor="text2"/>
        </w:rPr>
        <w:t>Tonga Strategic Development Framework 2015-2025</w:t>
      </w:r>
      <w:r w:rsidR="0093722C" w:rsidRPr="00B77473">
        <w:rPr>
          <w:rFonts w:asciiTheme="minorHAnsi" w:hAnsiTheme="minorHAnsi" w:cstheme="minorHAnsi"/>
          <w:color w:val="495965" w:themeColor="text2"/>
        </w:rPr>
        <w:t>;</w:t>
      </w:r>
    </w:p>
    <w:p w14:paraId="32EEB459" w14:textId="414B7A96" w:rsidR="00072ADB" w:rsidRPr="00B77473" w:rsidRDefault="0093722C" w:rsidP="000B31CC">
      <w:pPr>
        <w:pStyle w:val="ListParagraph"/>
        <w:numPr>
          <w:ilvl w:val="0"/>
          <w:numId w:val="41"/>
        </w:numPr>
        <w:contextualSpacing/>
        <w:rPr>
          <w:rFonts w:asciiTheme="minorHAnsi" w:hAnsiTheme="minorHAnsi" w:cstheme="minorHAnsi"/>
          <w:color w:val="495965" w:themeColor="text2"/>
          <w:lang w:val="en-GB"/>
        </w:rPr>
      </w:pPr>
      <w:r w:rsidRPr="00B77473">
        <w:rPr>
          <w:rFonts w:asciiTheme="minorHAnsi" w:hAnsiTheme="minorHAnsi" w:cstheme="minorHAnsi"/>
          <w:color w:val="495965" w:themeColor="text2"/>
        </w:rPr>
        <w:t xml:space="preserve">continued to implement </w:t>
      </w:r>
      <w:r w:rsidR="000B31CC" w:rsidRPr="00B77473">
        <w:rPr>
          <w:rFonts w:asciiTheme="minorHAnsi" w:hAnsiTheme="minorHAnsi" w:cstheme="minorHAnsi"/>
          <w:color w:val="495965" w:themeColor="text2"/>
          <w:lang w:val="en-GB"/>
        </w:rPr>
        <w:t xml:space="preserve">economic, public financial management and private sector development reforms agreed under the multi-year </w:t>
      </w:r>
      <w:r w:rsidR="000B31CC" w:rsidRPr="00B77473">
        <w:rPr>
          <w:rFonts w:asciiTheme="minorHAnsi" w:hAnsiTheme="minorHAnsi" w:cstheme="minorHAnsi"/>
          <w:i/>
          <w:color w:val="495965" w:themeColor="text2"/>
          <w:lang w:val="en-GB"/>
        </w:rPr>
        <w:t>Joint Policy Reform Matrix</w:t>
      </w:r>
      <w:r w:rsidRPr="00B77473">
        <w:rPr>
          <w:rFonts w:asciiTheme="minorHAnsi" w:hAnsiTheme="minorHAnsi" w:cstheme="minorHAnsi"/>
          <w:i/>
          <w:color w:val="495965" w:themeColor="text2"/>
          <w:lang w:val="en-GB"/>
        </w:rPr>
        <w:t>;</w:t>
      </w:r>
      <w:r w:rsidR="000B31CC" w:rsidRPr="00B77473">
        <w:rPr>
          <w:rFonts w:asciiTheme="minorHAnsi" w:hAnsiTheme="minorHAnsi" w:cstheme="minorHAnsi"/>
          <w:color w:val="495965" w:themeColor="text2"/>
          <w:lang w:val="en-GB"/>
        </w:rPr>
        <w:t xml:space="preserve"> </w:t>
      </w:r>
      <w:r w:rsidR="009765EF" w:rsidRPr="00B77473">
        <w:rPr>
          <w:rFonts w:asciiTheme="minorHAnsi" w:hAnsiTheme="minorHAnsi" w:cstheme="minorHAnsi"/>
          <w:i/>
          <w:color w:val="495965" w:themeColor="text2"/>
          <w:lang w:val="en-GB"/>
        </w:rPr>
        <w:t xml:space="preserve"> </w:t>
      </w:r>
    </w:p>
    <w:p w14:paraId="0A899AEB" w14:textId="3AA1338F" w:rsidR="00072ADB" w:rsidRPr="00B77473" w:rsidRDefault="00F8443D" w:rsidP="00F568EB">
      <w:pPr>
        <w:pStyle w:val="ListParagraph"/>
        <w:numPr>
          <w:ilvl w:val="0"/>
          <w:numId w:val="41"/>
        </w:numPr>
        <w:suppressAutoHyphens/>
        <w:spacing w:before="120" w:after="60" w:line="230" w:lineRule="atLeast"/>
        <w:contextualSpacing/>
        <w:rPr>
          <w:rFonts w:asciiTheme="minorHAnsi" w:hAnsiTheme="minorHAnsi" w:cstheme="minorHAnsi"/>
          <w:color w:val="495965" w:themeColor="text2"/>
        </w:rPr>
      </w:pPr>
      <w:r>
        <w:rPr>
          <w:rFonts w:asciiTheme="minorHAnsi" w:hAnsiTheme="minorHAnsi" w:cstheme="minorHAnsi"/>
          <w:color w:val="495965" w:themeColor="text2"/>
        </w:rPr>
        <w:t xml:space="preserve">took action to improve </w:t>
      </w:r>
      <w:r w:rsidR="00072ADB" w:rsidRPr="00B77473">
        <w:rPr>
          <w:rFonts w:asciiTheme="minorHAnsi" w:hAnsiTheme="minorHAnsi" w:cstheme="minorHAnsi"/>
          <w:color w:val="495965" w:themeColor="text2"/>
        </w:rPr>
        <w:t xml:space="preserve">gender equality indicators as committed to in the </w:t>
      </w:r>
      <w:r w:rsidR="00072ADB" w:rsidRPr="00B77473">
        <w:rPr>
          <w:rFonts w:asciiTheme="minorHAnsi" w:hAnsiTheme="minorHAnsi" w:cstheme="minorHAnsi"/>
          <w:i/>
          <w:color w:val="495965" w:themeColor="text2"/>
        </w:rPr>
        <w:t>Pacific Island Forum Leaders’ Gender Equality Declaration</w:t>
      </w:r>
      <w:r w:rsidR="000B31CC" w:rsidRPr="00B77473">
        <w:rPr>
          <w:rFonts w:asciiTheme="minorHAnsi" w:hAnsiTheme="minorHAnsi" w:cstheme="minorHAnsi"/>
          <w:i/>
          <w:color w:val="495965" w:themeColor="text2"/>
        </w:rPr>
        <w:t xml:space="preserve"> – </w:t>
      </w:r>
      <w:r w:rsidR="00F568EB" w:rsidRPr="00B77473">
        <w:rPr>
          <w:rFonts w:asciiTheme="minorHAnsi" w:hAnsiTheme="minorHAnsi" w:cstheme="minorHAnsi"/>
          <w:color w:val="495965" w:themeColor="text2"/>
        </w:rPr>
        <w:t>the Ministry of Internal Affairs launched ‘Where do we stand’, a gender statistical report supporting the production and use of sex disaggregated data and gender analysis to inform government policies and programs</w:t>
      </w:r>
      <w:r w:rsidR="00072ADB" w:rsidRPr="00B77473">
        <w:rPr>
          <w:rFonts w:asciiTheme="minorHAnsi" w:hAnsiTheme="minorHAnsi" w:cstheme="minorHAnsi"/>
          <w:color w:val="495965" w:themeColor="text2"/>
        </w:rPr>
        <w:t>; and</w:t>
      </w:r>
    </w:p>
    <w:p w14:paraId="5C08E204" w14:textId="3BBDC852" w:rsidR="00072ADB" w:rsidRPr="00B77473" w:rsidRDefault="00072ADB" w:rsidP="00072ADB">
      <w:pPr>
        <w:pStyle w:val="ListParagraph"/>
        <w:numPr>
          <w:ilvl w:val="0"/>
          <w:numId w:val="41"/>
        </w:numPr>
        <w:suppressAutoHyphens/>
        <w:spacing w:before="120" w:after="60" w:line="230" w:lineRule="atLeast"/>
        <w:contextualSpacing/>
        <w:rPr>
          <w:rFonts w:asciiTheme="minorHAnsi" w:hAnsiTheme="minorHAnsi" w:cstheme="minorHAnsi"/>
          <w:color w:val="495965" w:themeColor="text2"/>
        </w:rPr>
      </w:pPr>
      <w:r w:rsidRPr="00B77473">
        <w:rPr>
          <w:rFonts w:asciiTheme="minorHAnsi" w:hAnsiTheme="minorHAnsi" w:cstheme="minorHAnsi"/>
          <w:color w:val="495965" w:themeColor="text2"/>
        </w:rPr>
        <w:t>continued to keep the Government of Australia apprised of domestic policy developments which may affect the implementation of the aid program.</w:t>
      </w:r>
    </w:p>
    <w:p w14:paraId="5BD39994" w14:textId="64996CDE" w:rsidR="00072ADB" w:rsidRPr="00B77473" w:rsidRDefault="000B31CC" w:rsidP="00072ADB">
      <w:pPr>
        <w:spacing w:after="0"/>
        <w:rPr>
          <w:rFonts w:eastAsia="Times New Roman" w:cstheme="minorHAnsi"/>
        </w:rPr>
      </w:pPr>
      <w:r w:rsidRPr="00B77473">
        <w:rPr>
          <w:rFonts w:eastAsia="Times New Roman" w:cstheme="minorHAnsi"/>
        </w:rPr>
        <w:t>T</w:t>
      </w:r>
      <w:r w:rsidR="00072ADB" w:rsidRPr="00B77473">
        <w:rPr>
          <w:rFonts w:eastAsia="Times New Roman" w:cstheme="minorHAnsi"/>
        </w:rPr>
        <w:t xml:space="preserve">he Australian Government: </w:t>
      </w:r>
    </w:p>
    <w:p w14:paraId="5FB7B2B5" w14:textId="22D54582" w:rsidR="00072ADB" w:rsidRPr="00B77473" w:rsidRDefault="00072ADB" w:rsidP="004679C9">
      <w:pPr>
        <w:pStyle w:val="ListParagraph"/>
        <w:numPr>
          <w:ilvl w:val="0"/>
          <w:numId w:val="42"/>
        </w:numPr>
        <w:suppressAutoHyphens/>
        <w:spacing w:before="120" w:after="60" w:line="230" w:lineRule="atLeast"/>
        <w:contextualSpacing/>
        <w:rPr>
          <w:rFonts w:asciiTheme="minorHAnsi" w:hAnsiTheme="minorHAnsi" w:cstheme="minorHAnsi"/>
          <w:color w:val="495965" w:themeColor="text2"/>
        </w:rPr>
      </w:pPr>
      <w:r w:rsidRPr="00B77473">
        <w:rPr>
          <w:rFonts w:asciiTheme="minorHAnsi" w:hAnsiTheme="minorHAnsi" w:cstheme="minorHAnsi"/>
          <w:color w:val="495965" w:themeColor="text2"/>
        </w:rPr>
        <w:t xml:space="preserve">delivered aid in line with the strategic priorities and objectives of the </w:t>
      </w:r>
      <w:r w:rsidRPr="00B77473">
        <w:rPr>
          <w:rFonts w:asciiTheme="minorHAnsi" w:hAnsiTheme="minorHAnsi" w:cstheme="minorHAnsi"/>
          <w:i/>
          <w:color w:val="495965" w:themeColor="text2"/>
        </w:rPr>
        <w:t>Australia-Tonga Aid Partnership Arrangement</w:t>
      </w:r>
      <w:r w:rsidRPr="00B77473">
        <w:rPr>
          <w:rFonts w:asciiTheme="minorHAnsi" w:hAnsiTheme="minorHAnsi" w:cstheme="minorHAnsi"/>
          <w:color w:val="495965" w:themeColor="text2"/>
        </w:rPr>
        <w:t>, reinforcing the Government of Tonga’s leadership of effective development strategies and programs</w:t>
      </w:r>
      <w:r w:rsidR="004679C9" w:rsidRPr="00B77473">
        <w:rPr>
          <w:rFonts w:asciiTheme="minorHAnsi" w:hAnsiTheme="minorHAnsi" w:cstheme="minorHAnsi"/>
          <w:color w:val="495965" w:themeColor="text2"/>
        </w:rPr>
        <w:t xml:space="preserve"> – in 2018-19, </w:t>
      </w:r>
      <w:r w:rsidR="004679C9" w:rsidRPr="00B77473">
        <w:rPr>
          <w:rFonts w:asciiTheme="minorHAnsi" w:hAnsiTheme="minorHAnsi" w:cstheme="minorHAnsi"/>
          <w:color w:val="495965" w:themeColor="text2"/>
          <w:lang w:val="en-GB"/>
        </w:rPr>
        <w:t>Australia continued to deliver a substantial proportion of its assistance through the Tongan Government, helping it to strengthen its planning and financial systems, and support its reform agenda</w:t>
      </w:r>
      <w:r w:rsidRPr="00B77473">
        <w:rPr>
          <w:rFonts w:asciiTheme="minorHAnsi" w:hAnsiTheme="minorHAnsi" w:cstheme="minorHAnsi"/>
          <w:color w:val="495965" w:themeColor="text2"/>
        </w:rPr>
        <w:t>; and</w:t>
      </w:r>
    </w:p>
    <w:p w14:paraId="254FB1D5" w14:textId="6AD84B17" w:rsidR="00072ADB" w:rsidRPr="00B77473" w:rsidRDefault="00072ADB" w:rsidP="00072ADB">
      <w:pPr>
        <w:pStyle w:val="ListParagraph"/>
        <w:numPr>
          <w:ilvl w:val="0"/>
          <w:numId w:val="42"/>
        </w:numPr>
        <w:suppressAutoHyphens/>
        <w:spacing w:before="120" w:after="60" w:line="230" w:lineRule="atLeast"/>
        <w:contextualSpacing/>
        <w:rPr>
          <w:rFonts w:asciiTheme="minorHAnsi" w:hAnsiTheme="minorHAnsi" w:cstheme="minorHAnsi"/>
          <w:color w:val="495965" w:themeColor="text2"/>
        </w:rPr>
      </w:pPr>
      <w:r w:rsidRPr="00B77473">
        <w:rPr>
          <w:rFonts w:asciiTheme="minorHAnsi" w:hAnsiTheme="minorHAnsi" w:cstheme="minorHAnsi"/>
          <w:color w:val="495965" w:themeColor="text2"/>
        </w:rPr>
        <w:t>transparent</w:t>
      </w:r>
      <w:r w:rsidR="0093722C" w:rsidRPr="00B77473">
        <w:rPr>
          <w:rFonts w:asciiTheme="minorHAnsi" w:hAnsiTheme="minorHAnsi" w:cstheme="minorHAnsi"/>
          <w:color w:val="495965" w:themeColor="text2"/>
        </w:rPr>
        <w:t>ly</w:t>
      </w:r>
      <w:r w:rsidRPr="00B77473">
        <w:rPr>
          <w:rFonts w:asciiTheme="minorHAnsi" w:hAnsiTheme="minorHAnsi" w:cstheme="minorHAnsi"/>
          <w:color w:val="495965" w:themeColor="text2"/>
        </w:rPr>
        <w:t xml:space="preserve"> allocat</w:t>
      </w:r>
      <w:r w:rsidR="0093722C" w:rsidRPr="00B77473">
        <w:rPr>
          <w:rFonts w:asciiTheme="minorHAnsi" w:hAnsiTheme="minorHAnsi" w:cstheme="minorHAnsi"/>
          <w:color w:val="495965" w:themeColor="text2"/>
        </w:rPr>
        <w:t>ed</w:t>
      </w:r>
      <w:r w:rsidRPr="00B77473">
        <w:rPr>
          <w:rFonts w:asciiTheme="minorHAnsi" w:hAnsiTheme="minorHAnsi" w:cstheme="minorHAnsi"/>
          <w:color w:val="495965" w:themeColor="text2"/>
        </w:rPr>
        <w:t xml:space="preserve"> funding under the </w:t>
      </w:r>
      <w:r w:rsidRPr="00B77473">
        <w:rPr>
          <w:rFonts w:asciiTheme="minorHAnsi" w:hAnsiTheme="minorHAnsi" w:cstheme="minorHAnsi"/>
          <w:i/>
          <w:color w:val="495965" w:themeColor="text2"/>
        </w:rPr>
        <w:t>Australia-Tonga Aid Partnership Arrangement</w:t>
      </w:r>
      <w:r w:rsidRPr="00B77473">
        <w:rPr>
          <w:rFonts w:asciiTheme="minorHAnsi" w:hAnsiTheme="minorHAnsi" w:cstheme="minorHAnsi"/>
          <w:color w:val="495965" w:themeColor="text2"/>
        </w:rPr>
        <w:t xml:space="preserve"> and kept the Government</w:t>
      </w:r>
      <w:r w:rsidR="0093722C" w:rsidRPr="00B77473">
        <w:rPr>
          <w:rFonts w:asciiTheme="minorHAnsi" w:hAnsiTheme="minorHAnsi" w:cstheme="minorHAnsi"/>
          <w:color w:val="495965" w:themeColor="text2"/>
        </w:rPr>
        <w:t xml:space="preserve"> of Tonga</w:t>
      </w:r>
      <w:r w:rsidRPr="00B77473">
        <w:rPr>
          <w:rFonts w:asciiTheme="minorHAnsi" w:hAnsiTheme="minorHAnsi" w:cstheme="minorHAnsi"/>
          <w:color w:val="495965" w:themeColor="text2"/>
        </w:rPr>
        <w:t xml:space="preserve"> apprised of </w:t>
      </w:r>
      <w:r w:rsidR="0093722C" w:rsidRPr="00B77473">
        <w:rPr>
          <w:rFonts w:asciiTheme="minorHAnsi" w:hAnsiTheme="minorHAnsi" w:cstheme="minorHAnsi"/>
          <w:color w:val="495965" w:themeColor="text2"/>
        </w:rPr>
        <w:t xml:space="preserve">Australian </w:t>
      </w:r>
      <w:r w:rsidRPr="00B77473">
        <w:rPr>
          <w:rFonts w:asciiTheme="minorHAnsi" w:hAnsiTheme="minorHAnsi" w:cstheme="minorHAnsi"/>
          <w:color w:val="495965" w:themeColor="text2"/>
        </w:rPr>
        <w:t xml:space="preserve">domestic policy developments </w:t>
      </w:r>
      <w:r w:rsidR="0093722C" w:rsidRPr="00B77473">
        <w:rPr>
          <w:rFonts w:asciiTheme="minorHAnsi" w:hAnsiTheme="minorHAnsi" w:cstheme="minorHAnsi"/>
          <w:color w:val="495965" w:themeColor="text2"/>
        </w:rPr>
        <w:t>that</w:t>
      </w:r>
      <w:r w:rsidRPr="00B77473">
        <w:rPr>
          <w:rFonts w:asciiTheme="minorHAnsi" w:hAnsiTheme="minorHAnsi" w:cstheme="minorHAnsi"/>
          <w:color w:val="495965" w:themeColor="text2"/>
        </w:rPr>
        <w:t xml:space="preserve"> may affect the </w:t>
      </w:r>
      <w:r w:rsidR="004679C9" w:rsidRPr="00B77473">
        <w:rPr>
          <w:rFonts w:asciiTheme="minorHAnsi" w:hAnsiTheme="minorHAnsi" w:cstheme="minorHAnsi"/>
          <w:color w:val="495965" w:themeColor="text2"/>
        </w:rPr>
        <w:t xml:space="preserve">bilateral </w:t>
      </w:r>
      <w:r w:rsidR="0093722C" w:rsidRPr="00B77473">
        <w:rPr>
          <w:rFonts w:asciiTheme="minorHAnsi" w:hAnsiTheme="minorHAnsi" w:cstheme="minorHAnsi"/>
          <w:color w:val="495965" w:themeColor="text2"/>
        </w:rPr>
        <w:t>aid budget</w:t>
      </w:r>
      <w:r w:rsidRPr="00B77473">
        <w:rPr>
          <w:rFonts w:asciiTheme="minorHAnsi" w:hAnsiTheme="minorHAnsi" w:cstheme="minorHAnsi"/>
          <w:color w:val="495965" w:themeColor="text2"/>
        </w:rPr>
        <w:t>.</w:t>
      </w:r>
    </w:p>
    <w:p w14:paraId="24807C65" w14:textId="1EF8B52E" w:rsidR="008733D1" w:rsidRDefault="004679C9" w:rsidP="00867C25">
      <w:pPr>
        <w:rPr>
          <w:rFonts w:cstheme="minorHAnsi"/>
        </w:rPr>
      </w:pPr>
      <w:r w:rsidRPr="00B77473">
        <w:rPr>
          <w:rFonts w:cstheme="minorHAnsi"/>
        </w:rPr>
        <w:t xml:space="preserve">Australia and Tonga </w:t>
      </w:r>
      <w:r w:rsidR="00F8443D">
        <w:rPr>
          <w:rFonts w:cstheme="minorHAnsi"/>
        </w:rPr>
        <w:t xml:space="preserve">continue to implement our </w:t>
      </w:r>
      <w:r w:rsidRPr="00B77473">
        <w:rPr>
          <w:rFonts w:cstheme="minorHAnsi"/>
        </w:rPr>
        <w:t>joint commitments relating to fraud, environmental safeguards and child protection.</w:t>
      </w:r>
    </w:p>
    <w:p w14:paraId="464B6C25" w14:textId="77777777" w:rsidR="00B9601B" w:rsidRPr="00B77473" w:rsidRDefault="00B9601B" w:rsidP="00867C25">
      <w:pPr>
        <w:rPr>
          <w:rFonts w:cstheme="minorHAnsi"/>
        </w:rPr>
      </w:pPr>
    </w:p>
    <w:p w14:paraId="72480277" w14:textId="724058F6" w:rsidR="005B5769" w:rsidRPr="00B77473" w:rsidRDefault="005B5769" w:rsidP="00B9601B">
      <w:pPr>
        <w:pStyle w:val="Heading1smallspaceafter"/>
      </w:pPr>
      <w:r w:rsidRPr="00B77473">
        <w:t>Program Quality</w:t>
      </w:r>
    </w:p>
    <w:p w14:paraId="696D4741" w14:textId="6A6BF763" w:rsidR="005E7A39" w:rsidRPr="00B77473" w:rsidRDefault="005E7A39" w:rsidP="005E7A39">
      <w:pPr>
        <w:rPr>
          <w:rFonts w:ascii="Calibri Light" w:hAnsi="Calibri Light" w:cs="Calibri Light"/>
        </w:rPr>
      </w:pPr>
      <w:r w:rsidRPr="00B77473">
        <w:rPr>
          <w:rFonts w:ascii="Calibri Light" w:hAnsi="Calibri Light" w:cs="Calibri Light"/>
        </w:rPr>
        <w:t xml:space="preserve">Aid Quality Check (AQC) ratings across investments covering effectiveness and efficiency indicate the aid program to Tonga is working well and </w:t>
      </w:r>
      <w:r w:rsidR="008534F3" w:rsidRPr="00B77473">
        <w:rPr>
          <w:rFonts w:ascii="Calibri Light" w:hAnsi="Calibri Light" w:cs="Calibri Light"/>
        </w:rPr>
        <w:t>focused on</w:t>
      </w:r>
      <w:r w:rsidRPr="00B77473">
        <w:rPr>
          <w:rFonts w:ascii="Calibri Light" w:hAnsi="Calibri Light" w:cs="Calibri Light"/>
        </w:rPr>
        <w:t xml:space="preserve"> the right areas. </w:t>
      </w:r>
      <w:r w:rsidR="008534F3" w:rsidRPr="00B77473">
        <w:rPr>
          <w:rFonts w:ascii="Calibri Light" w:hAnsi="Calibri Light" w:cs="Calibri Light"/>
        </w:rPr>
        <w:t xml:space="preserve">Gender ratings remain solid and are in line with efforts to mainstream across all investments, apart from a rating of three for THSSP2 that reflects overall weak performance. Remedial contract management action in relation to efficiency for </w:t>
      </w:r>
      <w:r w:rsidR="003269A6" w:rsidRPr="00B77473">
        <w:rPr>
          <w:rFonts w:ascii="Calibri Light" w:hAnsi="Calibri Light" w:cs="Calibri Light"/>
        </w:rPr>
        <w:t>Tonga Skills</w:t>
      </w:r>
      <w:r w:rsidR="008534F3" w:rsidRPr="00B77473">
        <w:rPr>
          <w:rFonts w:ascii="Calibri Light" w:hAnsi="Calibri Light" w:cs="Calibri Light"/>
        </w:rPr>
        <w:t xml:space="preserve"> has already been taken at the time of drafting this report, and a remediation plan is in place for THSSP2.</w:t>
      </w:r>
    </w:p>
    <w:p w14:paraId="69DE737C" w14:textId="3C10BE9C" w:rsidR="005B5769" w:rsidRPr="00B77473" w:rsidRDefault="005B5769" w:rsidP="00B9601B">
      <w:pPr>
        <w:pStyle w:val="Heading1smallspaceafter"/>
      </w:pPr>
      <w:r w:rsidRPr="00B77473">
        <w:lastRenderedPageBreak/>
        <w:t xml:space="preserve">Management </w:t>
      </w:r>
      <w:r w:rsidR="00E65105" w:rsidRPr="00B77473">
        <w:t>actions</w:t>
      </w:r>
    </w:p>
    <w:p w14:paraId="16014865" w14:textId="231E1795" w:rsidR="005B5769" w:rsidRPr="00B77473" w:rsidRDefault="00D15414" w:rsidP="005E7A39">
      <w:pPr>
        <w:rPr>
          <w:rFonts w:ascii="Calibri Light" w:hAnsi="Calibri Light" w:cs="Calibri Light"/>
        </w:rPr>
      </w:pPr>
      <w:r w:rsidRPr="00B77473">
        <w:rPr>
          <w:rFonts w:ascii="Calibri Light" w:hAnsi="Calibri Light" w:cs="Calibri Light"/>
        </w:rPr>
        <w:t xml:space="preserve">A number of </w:t>
      </w:r>
      <w:r w:rsidR="0093722C" w:rsidRPr="00B77473">
        <w:rPr>
          <w:rFonts w:ascii="Calibri Light" w:hAnsi="Calibri Light" w:cs="Calibri Light"/>
        </w:rPr>
        <w:t xml:space="preserve">design and review </w:t>
      </w:r>
      <w:r w:rsidRPr="00B77473">
        <w:rPr>
          <w:rFonts w:ascii="Calibri Light" w:hAnsi="Calibri Light" w:cs="Calibri Light"/>
        </w:rPr>
        <w:t xml:space="preserve">activities of 2018-19 were </w:t>
      </w:r>
      <w:r w:rsidR="00CB0DD9" w:rsidRPr="00B77473">
        <w:rPr>
          <w:rFonts w:ascii="Calibri Light" w:hAnsi="Calibri Light" w:cs="Calibri Light"/>
        </w:rPr>
        <w:t>deferred</w:t>
      </w:r>
      <w:r w:rsidRPr="00B77473">
        <w:rPr>
          <w:rFonts w:ascii="Calibri Light" w:hAnsi="Calibri Light" w:cs="Calibri Light"/>
        </w:rPr>
        <w:t xml:space="preserve"> to 2019-20</w:t>
      </w:r>
      <w:r w:rsidR="003B7FC3" w:rsidRPr="00B77473">
        <w:rPr>
          <w:rFonts w:ascii="Calibri Light" w:hAnsi="Calibri Light" w:cs="Calibri Light"/>
        </w:rPr>
        <w:t xml:space="preserve">, as we prioritised </w:t>
      </w:r>
      <w:r w:rsidRPr="00B77473">
        <w:rPr>
          <w:rFonts w:ascii="Calibri Light" w:hAnsi="Calibri Light" w:cs="Calibri Light"/>
        </w:rPr>
        <w:t>the implementation of newly announced initiatives and engagements under Australia’s stepped-up engagement in the Pacific. Th</w:t>
      </w:r>
      <w:r w:rsidR="0093722C" w:rsidRPr="00B77473">
        <w:rPr>
          <w:rFonts w:ascii="Calibri Light" w:hAnsi="Calibri Light" w:cs="Calibri Light"/>
        </w:rPr>
        <w:t xml:space="preserve">e deferral of these activities </w:t>
      </w:r>
      <w:r w:rsidRPr="00B77473">
        <w:rPr>
          <w:rFonts w:ascii="Calibri Light" w:hAnsi="Calibri Light" w:cs="Calibri Light"/>
        </w:rPr>
        <w:t xml:space="preserve">did not impact </w:t>
      </w:r>
      <w:r w:rsidR="0093722C" w:rsidRPr="00B77473">
        <w:rPr>
          <w:rFonts w:ascii="Calibri Light" w:hAnsi="Calibri Light" w:cs="Calibri Light"/>
        </w:rPr>
        <w:t>aid performance over the reporting period</w:t>
      </w:r>
      <w:r w:rsidRPr="00B77473">
        <w:rPr>
          <w:rFonts w:ascii="Calibri Light" w:hAnsi="Calibri Light" w:cs="Calibri Light"/>
        </w:rPr>
        <w:t xml:space="preserve">. </w:t>
      </w:r>
      <w:r w:rsidR="003B7FC3" w:rsidRPr="00B77473">
        <w:rPr>
          <w:rFonts w:ascii="Calibri Light" w:hAnsi="Calibri Light" w:cs="Calibri Light"/>
        </w:rPr>
        <w:t>The</w:t>
      </w:r>
      <w:r w:rsidRPr="00B77473">
        <w:rPr>
          <w:rFonts w:ascii="Calibri Light" w:hAnsi="Calibri Light" w:cs="Calibri Light"/>
        </w:rPr>
        <w:t xml:space="preserve"> </w:t>
      </w:r>
      <w:r w:rsidR="005E7A39" w:rsidRPr="00B77473">
        <w:rPr>
          <w:rFonts w:ascii="Calibri Light" w:hAnsi="Calibri Light" w:cs="Calibri Light"/>
        </w:rPr>
        <w:t>management action</w:t>
      </w:r>
      <w:r w:rsidRPr="00B77473">
        <w:rPr>
          <w:rFonts w:ascii="Calibri Light" w:hAnsi="Calibri Light" w:cs="Calibri Light"/>
        </w:rPr>
        <w:t xml:space="preserve">s </w:t>
      </w:r>
      <w:r w:rsidR="005E7A39" w:rsidRPr="00B77473">
        <w:rPr>
          <w:rFonts w:ascii="Calibri Light" w:hAnsi="Calibri Light" w:cs="Calibri Light"/>
        </w:rPr>
        <w:t xml:space="preserve">identified </w:t>
      </w:r>
      <w:r w:rsidR="00184F1E" w:rsidRPr="00B77473">
        <w:rPr>
          <w:rFonts w:ascii="Calibri Light" w:hAnsi="Calibri Light" w:cs="Calibri Light"/>
        </w:rPr>
        <w:t>for</w:t>
      </w:r>
      <w:r w:rsidR="005E7A39" w:rsidRPr="00B77473">
        <w:rPr>
          <w:rFonts w:ascii="Calibri Light" w:hAnsi="Calibri Light" w:cs="Calibri Light"/>
        </w:rPr>
        <w:t xml:space="preserve"> the forthcoming 12 months</w:t>
      </w:r>
      <w:r w:rsidR="0093722C" w:rsidRPr="00B77473">
        <w:rPr>
          <w:rFonts w:ascii="Calibri Light" w:hAnsi="Calibri Light" w:cs="Calibri Light"/>
        </w:rPr>
        <w:t>, including carried over from 2018-19</w:t>
      </w:r>
      <w:r w:rsidRPr="00B77473">
        <w:rPr>
          <w:rFonts w:ascii="Calibri Light" w:hAnsi="Calibri Light" w:cs="Calibri Light"/>
        </w:rPr>
        <w:t xml:space="preserve"> are:</w:t>
      </w:r>
    </w:p>
    <w:p w14:paraId="70F67910" w14:textId="430D4C99" w:rsidR="00D15414" w:rsidRPr="00B77473" w:rsidRDefault="00D15414" w:rsidP="0025684A">
      <w:pPr>
        <w:pStyle w:val="Bullet3"/>
      </w:pPr>
      <w:r w:rsidRPr="00B77473">
        <w:t>Develop new Aid Investment Plan;</w:t>
      </w:r>
    </w:p>
    <w:p w14:paraId="7134C043" w14:textId="38262377" w:rsidR="00D15414" w:rsidRPr="00B77473" w:rsidRDefault="00D15414" w:rsidP="0025684A">
      <w:pPr>
        <w:pStyle w:val="Bullet3"/>
      </w:pPr>
      <w:r w:rsidRPr="00B77473">
        <w:t>Finalise the design of the new economic sector investment;</w:t>
      </w:r>
    </w:p>
    <w:p w14:paraId="2A2B5E21" w14:textId="3A746BD3" w:rsidR="00D15414" w:rsidRPr="00B77473" w:rsidRDefault="00D15414" w:rsidP="0025684A">
      <w:pPr>
        <w:pStyle w:val="Bullet3"/>
      </w:pPr>
      <w:r w:rsidRPr="00B77473">
        <w:t>Review Pacific Women Tonga;</w:t>
      </w:r>
    </w:p>
    <w:p w14:paraId="28B26507" w14:textId="5669B832" w:rsidR="00D15414" w:rsidRPr="00B77473" w:rsidRDefault="00146F0F" w:rsidP="0025684A">
      <w:pPr>
        <w:pStyle w:val="Bullet3"/>
      </w:pPr>
      <w:r>
        <w:t xml:space="preserve">Review our Australia Awards </w:t>
      </w:r>
      <w:r w:rsidR="00D15414" w:rsidRPr="00B77473">
        <w:t>scholarships program</w:t>
      </w:r>
      <w:r>
        <w:t>, and identify strategies to improve impact and coherence</w:t>
      </w:r>
      <w:r w:rsidR="00D15414" w:rsidRPr="00B77473">
        <w:t>; and</w:t>
      </w:r>
    </w:p>
    <w:p w14:paraId="21E50C6C" w14:textId="4AFE72D2" w:rsidR="0025684A" w:rsidRPr="00B77473" w:rsidRDefault="0025684A" w:rsidP="0025684A">
      <w:pPr>
        <w:pStyle w:val="Bullet3"/>
      </w:pPr>
      <w:r w:rsidRPr="00B77473">
        <w:t>Australia, in partnership with the Tongan Ministry of Health, will implement management actions in line with THSSP2 evaluation recommendations and DFAT will report related progress in line with the Investment Requiring Improvement remediation plan.</w:t>
      </w:r>
    </w:p>
    <w:p w14:paraId="1395EF93" w14:textId="77777777" w:rsidR="00015316" w:rsidRDefault="00015316" w:rsidP="005B5769">
      <w:pPr>
        <w:pStyle w:val="ListBullet"/>
        <w:tabs>
          <w:tab w:val="clear" w:pos="284"/>
        </w:tabs>
      </w:pPr>
    </w:p>
    <w:p w14:paraId="7A149EE2" w14:textId="77777777" w:rsidR="00015316" w:rsidRDefault="00015316" w:rsidP="005B5769">
      <w:pPr>
        <w:pStyle w:val="ListBullet"/>
        <w:tabs>
          <w:tab w:val="clear" w:pos="284"/>
        </w:tabs>
      </w:pPr>
    </w:p>
    <w:p w14:paraId="2FC63062" w14:textId="77777777" w:rsidR="00D00802" w:rsidRDefault="00D00802" w:rsidP="005B5769">
      <w:pPr>
        <w:pStyle w:val="ListBullet"/>
        <w:tabs>
          <w:tab w:val="clear" w:pos="284"/>
        </w:tabs>
        <w:sectPr w:rsidR="00D00802" w:rsidSect="00F568EB">
          <w:headerReference w:type="default" r:id="rId26"/>
          <w:footerReference w:type="default" r:id="rId27"/>
          <w:pgSz w:w="11906" w:h="16838" w:code="9"/>
          <w:pgMar w:top="1811" w:right="1134" w:bottom="851" w:left="1134" w:header="1565" w:footer="342" w:gutter="0"/>
          <w:cols w:space="397"/>
          <w:docGrid w:linePitch="360"/>
        </w:sectPr>
      </w:pPr>
    </w:p>
    <w:p w14:paraId="5308A2CD" w14:textId="77777777" w:rsidR="00AF1B85" w:rsidRPr="00EF26B5" w:rsidRDefault="00AF1B85" w:rsidP="00BB648A">
      <w:pPr>
        <w:pStyle w:val="Subtitle"/>
        <w:spacing w:before="360" w:after="120" w:line="300" w:lineRule="exact"/>
        <w:rPr>
          <w:rFonts w:asciiTheme="majorHAnsi" w:hAnsiTheme="majorHAnsi" w:cstheme="majorHAnsi"/>
        </w:rPr>
      </w:pPr>
      <w:r w:rsidRPr="00EF26B5">
        <w:rPr>
          <w:rFonts w:asciiTheme="majorHAnsi" w:hAnsiTheme="majorHAnsi" w:cstheme="majorHAnsi"/>
        </w:rPr>
        <w:lastRenderedPageBreak/>
        <w:t>Annex A - Progress in Addressing Management Responses</w:t>
      </w:r>
    </w:p>
    <w:p w14:paraId="0D5A8185" w14:textId="2479987C" w:rsidR="00AF1B85" w:rsidRPr="00085E5F" w:rsidRDefault="00AF1B85" w:rsidP="00C73C66">
      <w:pPr>
        <w:spacing w:after="120"/>
        <w:rPr>
          <w:color w:val="FF0000"/>
        </w:rPr>
      </w:pPr>
    </w:p>
    <w:tbl>
      <w:tblPr>
        <w:tblStyle w:val="TableGridLight"/>
        <w:tblpPr w:leftFromText="180" w:rightFromText="180" w:vertAnchor="text" w:tblpY="1"/>
        <w:tblW w:w="5074" w:type="pct"/>
        <w:tblLayout w:type="fixed"/>
        <w:tblLook w:val="0000" w:firstRow="0" w:lastRow="0" w:firstColumn="0" w:lastColumn="0" w:noHBand="0" w:noVBand="0"/>
        <w:tblCaption w:val="Annex A - Progress in addressing management responses"/>
      </w:tblPr>
      <w:tblGrid>
        <w:gridCol w:w="6329"/>
        <w:gridCol w:w="1160"/>
        <w:gridCol w:w="6744"/>
      </w:tblGrid>
      <w:tr w:rsidR="00AF1B85" w:rsidRPr="00812509" w14:paraId="6E89016F" w14:textId="77777777" w:rsidTr="00613DDD">
        <w:trPr>
          <w:tblHeader/>
        </w:trPr>
        <w:tc>
          <w:tcPr>
            <w:tcW w:w="6279" w:type="dxa"/>
          </w:tcPr>
          <w:p w14:paraId="64278622" w14:textId="5E47560A" w:rsidR="00AF1B85" w:rsidRPr="00812509" w:rsidRDefault="00AF1B85" w:rsidP="005D5723">
            <w:pPr>
              <w:keepLines/>
              <w:spacing w:before="80" w:after="80" w:line="200" w:lineRule="atLeast"/>
              <w:rPr>
                <w:rFonts w:eastAsia="Times New Roman"/>
                <w:b/>
                <w:iCs/>
                <w:szCs w:val="17"/>
              </w:rPr>
            </w:pPr>
            <w:r w:rsidRPr="00812509">
              <w:rPr>
                <w:rFonts w:eastAsia="Times New Roman"/>
                <w:b/>
                <w:iCs/>
                <w:szCs w:val="17"/>
              </w:rPr>
              <w:t>Management responses identified in 20</w:t>
            </w:r>
            <w:r w:rsidR="005D5723">
              <w:rPr>
                <w:rFonts w:eastAsia="Times New Roman"/>
                <w:b/>
                <w:iCs/>
                <w:szCs w:val="17"/>
              </w:rPr>
              <w:t>17-18</w:t>
            </w:r>
            <w:r w:rsidRPr="00812509">
              <w:rPr>
                <w:rFonts w:eastAsia="Times New Roman"/>
                <w:b/>
                <w:iCs/>
                <w:szCs w:val="17"/>
              </w:rPr>
              <w:t xml:space="preserve"> APPR</w:t>
            </w:r>
            <w:r w:rsidRPr="00812509">
              <w:rPr>
                <w:rFonts w:eastAsia="Times New Roman"/>
                <w:b/>
                <w:iCs/>
                <w:szCs w:val="17"/>
              </w:rPr>
              <w:tab/>
            </w:r>
          </w:p>
        </w:tc>
        <w:tc>
          <w:tcPr>
            <w:tcW w:w="1151" w:type="dxa"/>
          </w:tcPr>
          <w:p w14:paraId="5B51B6BE" w14:textId="77777777" w:rsidR="00AF1B85" w:rsidRPr="00613DDD" w:rsidRDefault="00AF1B85" w:rsidP="00812509">
            <w:pPr>
              <w:keepLines/>
              <w:spacing w:before="80" w:after="80" w:line="200" w:lineRule="atLeast"/>
              <w:jc w:val="center"/>
              <w:rPr>
                <w:rFonts w:eastAsia="Times New Roman"/>
                <w:b/>
                <w:iCs/>
                <w:szCs w:val="17"/>
              </w:rPr>
            </w:pPr>
            <w:r w:rsidRPr="00613DDD">
              <w:rPr>
                <w:rFonts w:eastAsia="Times New Roman"/>
                <w:b/>
                <w:iCs/>
                <w:szCs w:val="17"/>
              </w:rPr>
              <w:t>Rating</w:t>
            </w:r>
          </w:p>
        </w:tc>
        <w:tc>
          <w:tcPr>
            <w:tcW w:w="6691" w:type="dxa"/>
          </w:tcPr>
          <w:p w14:paraId="68DC828B" w14:textId="73E489EE" w:rsidR="00AF1B85" w:rsidRPr="00812509" w:rsidRDefault="00AF1B85" w:rsidP="005D5723">
            <w:pPr>
              <w:keepLines/>
              <w:spacing w:before="80" w:after="80" w:line="200" w:lineRule="atLeast"/>
              <w:jc w:val="center"/>
              <w:rPr>
                <w:rFonts w:eastAsia="Times New Roman"/>
                <w:b/>
                <w:iCs/>
                <w:szCs w:val="17"/>
              </w:rPr>
            </w:pPr>
            <w:r w:rsidRPr="00812509">
              <w:rPr>
                <w:rFonts w:eastAsia="Times New Roman"/>
                <w:b/>
                <w:iCs/>
                <w:szCs w:val="17"/>
              </w:rPr>
              <w:t>Progress made  in 201</w:t>
            </w:r>
            <w:r w:rsidR="005D5723">
              <w:rPr>
                <w:rFonts w:eastAsia="Times New Roman"/>
                <w:b/>
                <w:iCs/>
                <w:szCs w:val="17"/>
              </w:rPr>
              <w:t>8-19</w:t>
            </w:r>
          </w:p>
        </w:tc>
      </w:tr>
      <w:tr w:rsidR="00A305D3" w:rsidRPr="00812509" w14:paraId="5414D569" w14:textId="77777777" w:rsidTr="00613DDD">
        <w:tc>
          <w:tcPr>
            <w:tcW w:w="6279" w:type="dxa"/>
          </w:tcPr>
          <w:p w14:paraId="1908F198" w14:textId="4C6E3776" w:rsidR="00AF1B85" w:rsidRPr="00867C25" w:rsidRDefault="00867C25" w:rsidP="00867C25">
            <w:r>
              <w:t xml:space="preserve">The Aid Investment Plan and associated Performance Assessment Framework be updated to set the direction of the next three years of Australian aid investment in Tonga. </w:t>
            </w:r>
          </w:p>
        </w:tc>
        <w:tc>
          <w:tcPr>
            <w:tcW w:w="1151" w:type="dxa"/>
          </w:tcPr>
          <w:p w14:paraId="072907D9" w14:textId="171F8600" w:rsidR="00AF1B85" w:rsidRPr="00613DDD" w:rsidRDefault="00F8443D" w:rsidP="00D15A00">
            <w:pPr>
              <w:keepLines/>
              <w:spacing w:before="40" w:after="40" w:line="200" w:lineRule="atLeast"/>
              <w:jc w:val="center"/>
              <w:rPr>
                <w:rFonts w:asciiTheme="majorHAnsi" w:eastAsia="Times New Roman" w:hAnsiTheme="majorHAnsi" w:cstheme="majorHAnsi"/>
                <w:iCs/>
                <w:sz w:val="18"/>
                <w:szCs w:val="18"/>
              </w:rPr>
            </w:pPr>
            <w:r w:rsidRPr="00613DDD">
              <w:rPr>
                <w:rFonts w:asciiTheme="majorHAnsi" w:eastAsia="Times New Roman" w:hAnsiTheme="majorHAnsi" w:cstheme="majorHAnsi"/>
                <w:iCs/>
                <w:sz w:val="18"/>
                <w:szCs w:val="18"/>
              </w:rPr>
              <w:t xml:space="preserve">Not </w:t>
            </w:r>
            <w:r w:rsidR="00E209F2" w:rsidRPr="00613DDD">
              <w:rPr>
                <w:rFonts w:asciiTheme="majorHAnsi" w:eastAsia="Times New Roman" w:hAnsiTheme="majorHAnsi" w:cstheme="majorHAnsi"/>
                <w:iCs/>
                <w:sz w:val="18"/>
                <w:szCs w:val="18"/>
              </w:rPr>
              <w:t>achieved</w:t>
            </w:r>
          </w:p>
        </w:tc>
        <w:tc>
          <w:tcPr>
            <w:tcW w:w="6691" w:type="dxa"/>
          </w:tcPr>
          <w:p w14:paraId="4C1EC914" w14:textId="5EBD05DC" w:rsidR="00AF1B85" w:rsidRPr="00B66571" w:rsidRDefault="00E0481D" w:rsidP="00E0481D">
            <w:r>
              <w:t>Although p</w:t>
            </w:r>
            <w:r w:rsidR="00D15414">
              <w:t xml:space="preserve">reparatory </w:t>
            </w:r>
            <w:r w:rsidR="00F8443D">
              <w:t>work towards a new aid investment plan is underway</w:t>
            </w:r>
            <w:r>
              <w:t>, it was not completed within the reporting period</w:t>
            </w:r>
            <w:r w:rsidR="00D15414">
              <w:t>.</w:t>
            </w:r>
          </w:p>
        </w:tc>
      </w:tr>
      <w:tr w:rsidR="00AF1B85" w:rsidRPr="00812509" w14:paraId="02B8E8F1" w14:textId="77777777" w:rsidTr="00613DDD">
        <w:tc>
          <w:tcPr>
            <w:tcW w:w="6279" w:type="dxa"/>
          </w:tcPr>
          <w:p w14:paraId="3E4C127C" w14:textId="57D51453" w:rsidR="00AF1B85" w:rsidRPr="00867C25" w:rsidRDefault="00867C25" w:rsidP="00867C25">
            <w:r>
              <w:t xml:space="preserve">Mid-term evaluation of the Tonga Health Systems Support Program (THSSP2) to review progress and impact, and support program improvements for the remainder of the investment. </w:t>
            </w:r>
          </w:p>
        </w:tc>
        <w:tc>
          <w:tcPr>
            <w:tcW w:w="1151" w:type="dxa"/>
          </w:tcPr>
          <w:p w14:paraId="076DE3C3" w14:textId="77777777" w:rsidR="00AF1B85" w:rsidRPr="00613DDD" w:rsidRDefault="00AF1B85" w:rsidP="00D15A00">
            <w:pPr>
              <w:keepLines/>
              <w:spacing w:before="40" w:after="40" w:line="200" w:lineRule="atLeast"/>
              <w:jc w:val="center"/>
              <w:rPr>
                <w:rFonts w:asciiTheme="majorHAnsi" w:eastAsia="Times New Roman" w:hAnsiTheme="majorHAnsi" w:cstheme="majorHAnsi"/>
                <w:iCs/>
                <w:sz w:val="18"/>
                <w:szCs w:val="18"/>
              </w:rPr>
            </w:pPr>
            <w:r w:rsidRPr="00613DDD">
              <w:rPr>
                <w:rFonts w:asciiTheme="majorHAnsi" w:eastAsia="Times New Roman" w:hAnsiTheme="majorHAnsi" w:cstheme="majorHAnsi"/>
                <w:iCs/>
                <w:sz w:val="18"/>
                <w:szCs w:val="18"/>
              </w:rPr>
              <w:t>Achieved</w:t>
            </w:r>
            <w:r w:rsidRPr="00613DDD">
              <w:rPr>
                <w:rFonts w:asciiTheme="majorHAnsi" w:eastAsia="Times New Roman" w:hAnsiTheme="majorHAnsi" w:cstheme="majorHAnsi"/>
                <w:iCs/>
                <w:sz w:val="18"/>
                <w:szCs w:val="18"/>
              </w:rPr>
              <w:fldChar w:fldCharType="begin"/>
            </w:r>
            <w:r w:rsidRPr="00613DDD">
              <w:rPr>
                <w:rFonts w:asciiTheme="majorHAnsi" w:eastAsia="Times New Roman" w:hAnsiTheme="majorHAnsi" w:cstheme="majorHAnsi"/>
                <w:iCs/>
                <w:sz w:val="18"/>
                <w:szCs w:val="18"/>
              </w:rPr>
              <w:instrText xml:space="preserve"> AUTOTEXTLIST  \s "Rating bullet"\t "Right click to choose a rating" \* MERGEFORMAT </w:instrText>
            </w:r>
            <w:r w:rsidRPr="00613DDD">
              <w:rPr>
                <w:rFonts w:asciiTheme="majorHAnsi" w:eastAsia="Times New Roman" w:hAnsiTheme="majorHAnsi" w:cstheme="majorHAnsi"/>
                <w:iCs/>
                <w:sz w:val="18"/>
                <w:szCs w:val="18"/>
              </w:rPr>
              <w:fldChar w:fldCharType="end"/>
            </w:r>
          </w:p>
        </w:tc>
        <w:tc>
          <w:tcPr>
            <w:tcW w:w="6691" w:type="dxa"/>
          </w:tcPr>
          <w:p w14:paraId="1DC7529C" w14:textId="0B1D8B46" w:rsidR="00AF1B85" w:rsidRPr="00B66571" w:rsidRDefault="00B66571" w:rsidP="00B66571">
            <w:r w:rsidRPr="00B66571">
              <w:t>The evaluation has been completed, and at the time of drafting, the Ministry of Health and Tonga Health have been consulted</w:t>
            </w:r>
            <w:r>
              <w:t xml:space="preserve"> on the management response. Publication of the report is imminent.</w:t>
            </w:r>
          </w:p>
        </w:tc>
      </w:tr>
      <w:tr w:rsidR="00B66571" w:rsidRPr="00812509" w14:paraId="0DD6970C" w14:textId="77777777" w:rsidTr="00613DDD">
        <w:tc>
          <w:tcPr>
            <w:tcW w:w="6279" w:type="dxa"/>
          </w:tcPr>
          <w:p w14:paraId="070E2586" w14:textId="30840C9B" w:rsidR="00B66571" w:rsidRPr="00867C25" w:rsidRDefault="00B66571" w:rsidP="00B66571">
            <w:r>
              <w:t>New design for the economic sector investment to align with Foreign Policy White Paper priorities and implement the findings of the recent independent sector evaluation.</w:t>
            </w:r>
          </w:p>
        </w:tc>
        <w:tc>
          <w:tcPr>
            <w:tcW w:w="1151" w:type="dxa"/>
          </w:tcPr>
          <w:p w14:paraId="44C233D6" w14:textId="7A51E112" w:rsidR="00B66571" w:rsidRPr="00613DDD" w:rsidRDefault="00B66571" w:rsidP="00490B35">
            <w:pPr>
              <w:keepLines/>
              <w:spacing w:before="40" w:after="40" w:line="200" w:lineRule="atLeast"/>
              <w:jc w:val="center"/>
              <w:rPr>
                <w:rFonts w:asciiTheme="majorHAnsi" w:eastAsia="Times New Roman" w:hAnsiTheme="majorHAnsi" w:cstheme="majorHAnsi"/>
                <w:iCs/>
                <w:sz w:val="18"/>
                <w:szCs w:val="18"/>
              </w:rPr>
            </w:pPr>
            <w:r w:rsidRPr="00613DDD">
              <w:rPr>
                <w:rFonts w:asciiTheme="majorHAnsi" w:eastAsia="Times New Roman" w:hAnsiTheme="majorHAnsi" w:cstheme="majorHAnsi"/>
                <w:iCs/>
                <w:sz w:val="18"/>
                <w:szCs w:val="18"/>
              </w:rPr>
              <w:t xml:space="preserve">Partly </w:t>
            </w:r>
            <w:r w:rsidR="00490B35" w:rsidRPr="00613DDD">
              <w:rPr>
                <w:rFonts w:asciiTheme="majorHAnsi" w:eastAsia="Times New Roman" w:hAnsiTheme="majorHAnsi" w:cstheme="majorHAnsi"/>
                <w:iCs/>
                <w:sz w:val="18"/>
                <w:szCs w:val="18"/>
              </w:rPr>
              <w:t>A</w:t>
            </w:r>
            <w:r w:rsidRPr="00613DDD">
              <w:rPr>
                <w:rFonts w:asciiTheme="majorHAnsi" w:eastAsia="Times New Roman" w:hAnsiTheme="majorHAnsi" w:cstheme="majorHAnsi"/>
                <w:iCs/>
                <w:sz w:val="18"/>
                <w:szCs w:val="18"/>
              </w:rPr>
              <w:t>chieved</w:t>
            </w:r>
          </w:p>
        </w:tc>
        <w:tc>
          <w:tcPr>
            <w:tcW w:w="6691" w:type="dxa"/>
          </w:tcPr>
          <w:p w14:paraId="694B6E62" w14:textId="2F6476E8" w:rsidR="00B66571" w:rsidRPr="00B66571" w:rsidRDefault="00490B35" w:rsidP="00F8443D">
            <w:r>
              <w:t xml:space="preserve">The draft design is being appraised with a view to </w:t>
            </w:r>
            <w:r w:rsidR="00F8443D">
              <w:t>finalising</w:t>
            </w:r>
            <w:r>
              <w:t xml:space="preserve"> in September 2019.</w:t>
            </w:r>
          </w:p>
        </w:tc>
      </w:tr>
      <w:tr w:rsidR="00867C25" w:rsidRPr="00812509" w14:paraId="2041D230" w14:textId="77777777" w:rsidTr="00613DDD">
        <w:tc>
          <w:tcPr>
            <w:tcW w:w="6279" w:type="dxa"/>
          </w:tcPr>
          <w:p w14:paraId="7C6D5AFB" w14:textId="1E87C4AC" w:rsidR="00867C25" w:rsidRPr="00867C25" w:rsidRDefault="00867C25" w:rsidP="00867C25">
            <w:r>
              <w:t xml:space="preserve">Review of the Pacific Women Tonga country plan for gender to review progress and refocus our efforts to meet the target of </w:t>
            </w:r>
            <w:r w:rsidR="004E3C08">
              <w:t>AUD</w:t>
            </w:r>
            <w:r>
              <w:t>10 million over 10 years for Pacific Women activities.</w:t>
            </w:r>
          </w:p>
        </w:tc>
        <w:tc>
          <w:tcPr>
            <w:tcW w:w="1151" w:type="dxa"/>
          </w:tcPr>
          <w:p w14:paraId="0A485529" w14:textId="5E400E6B" w:rsidR="00867C25" w:rsidRPr="00613DDD" w:rsidRDefault="00490B35" w:rsidP="00867C25">
            <w:pPr>
              <w:keepLines/>
              <w:spacing w:before="40" w:after="40" w:line="200" w:lineRule="atLeast"/>
              <w:jc w:val="center"/>
              <w:rPr>
                <w:rFonts w:asciiTheme="majorHAnsi" w:eastAsia="Times New Roman" w:hAnsiTheme="majorHAnsi" w:cstheme="majorHAnsi"/>
                <w:iCs/>
                <w:sz w:val="18"/>
                <w:szCs w:val="18"/>
              </w:rPr>
            </w:pPr>
            <w:r w:rsidRPr="00613DDD">
              <w:rPr>
                <w:rFonts w:asciiTheme="majorHAnsi" w:eastAsia="Times New Roman" w:hAnsiTheme="majorHAnsi" w:cstheme="majorHAnsi"/>
                <w:iCs/>
                <w:sz w:val="18"/>
                <w:szCs w:val="18"/>
              </w:rPr>
              <w:t>Not Achieved</w:t>
            </w:r>
          </w:p>
        </w:tc>
        <w:tc>
          <w:tcPr>
            <w:tcW w:w="6691" w:type="dxa"/>
          </w:tcPr>
          <w:p w14:paraId="13F7B0AE" w14:textId="5B35028F" w:rsidR="00867C25" w:rsidRPr="00B66571" w:rsidRDefault="00490B35" w:rsidP="00C13E24">
            <w:r>
              <w:t xml:space="preserve">The review mission was delayed due to a clash of dates with </w:t>
            </w:r>
            <w:r w:rsidR="00C13E24">
              <w:t>a period of national holiday in Tonga</w:t>
            </w:r>
            <w:r>
              <w:t xml:space="preserve">. The next available dates for the team </w:t>
            </w:r>
            <w:r w:rsidR="007F482E">
              <w:t xml:space="preserve">were </w:t>
            </w:r>
            <w:r>
              <w:t>in late August 2019</w:t>
            </w:r>
            <w:r w:rsidR="00E60378">
              <w:t xml:space="preserve">. Although </w:t>
            </w:r>
            <w:r>
              <w:t xml:space="preserve">the mission </w:t>
            </w:r>
            <w:r w:rsidR="007F482E">
              <w:t xml:space="preserve">has </w:t>
            </w:r>
            <w:r w:rsidR="00E60378">
              <w:t xml:space="preserve">now </w:t>
            </w:r>
            <w:r w:rsidR="007F482E">
              <w:t>been completed</w:t>
            </w:r>
            <w:r w:rsidR="00E60378">
              <w:t>, it was not achieved within the reporting period</w:t>
            </w:r>
            <w:r>
              <w:t>.</w:t>
            </w:r>
          </w:p>
        </w:tc>
      </w:tr>
      <w:tr w:rsidR="00867C25" w:rsidRPr="00812509" w14:paraId="151004D0" w14:textId="77777777" w:rsidTr="00613DDD">
        <w:tc>
          <w:tcPr>
            <w:tcW w:w="6279" w:type="dxa"/>
          </w:tcPr>
          <w:p w14:paraId="18294026" w14:textId="691A9344" w:rsidR="00867C25" w:rsidRPr="00812509" w:rsidRDefault="00867C25" w:rsidP="00867C25">
            <w:pPr>
              <w:keepLines/>
              <w:spacing w:before="40" w:after="40" w:line="200" w:lineRule="atLeast"/>
              <w:rPr>
                <w:rFonts w:eastAsia="Times New Roman"/>
                <w:iCs/>
                <w:szCs w:val="17"/>
              </w:rPr>
            </w:pPr>
            <w:r>
              <w:t>Undertake a mid-term review of Australia’s humanitarian response to TC Gita.</w:t>
            </w:r>
          </w:p>
        </w:tc>
        <w:tc>
          <w:tcPr>
            <w:tcW w:w="1151" w:type="dxa"/>
          </w:tcPr>
          <w:p w14:paraId="018EBAF0" w14:textId="77777777" w:rsidR="00867C25" w:rsidRPr="00613DDD" w:rsidRDefault="00867C25" w:rsidP="00867C25">
            <w:pPr>
              <w:keepLines/>
              <w:spacing w:before="40" w:after="40" w:line="200" w:lineRule="atLeast"/>
              <w:jc w:val="center"/>
              <w:rPr>
                <w:rFonts w:asciiTheme="majorHAnsi" w:eastAsia="Times New Roman" w:hAnsiTheme="majorHAnsi" w:cstheme="majorHAnsi"/>
                <w:iCs/>
                <w:sz w:val="18"/>
                <w:szCs w:val="18"/>
              </w:rPr>
            </w:pPr>
            <w:r w:rsidRPr="00613DDD">
              <w:rPr>
                <w:rFonts w:asciiTheme="majorHAnsi" w:eastAsia="Times New Roman" w:hAnsiTheme="majorHAnsi" w:cstheme="majorHAnsi"/>
                <w:iCs/>
                <w:sz w:val="18"/>
                <w:szCs w:val="18"/>
              </w:rPr>
              <w:t>Achieved</w:t>
            </w:r>
          </w:p>
        </w:tc>
        <w:tc>
          <w:tcPr>
            <w:tcW w:w="6691" w:type="dxa"/>
          </w:tcPr>
          <w:p w14:paraId="5BA64774" w14:textId="47A11E8B" w:rsidR="00867C25" w:rsidRPr="00B66571" w:rsidRDefault="00B66571" w:rsidP="00B66571">
            <w:r>
              <w:t>Review and management response completed.</w:t>
            </w:r>
          </w:p>
        </w:tc>
      </w:tr>
      <w:tr w:rsidR="00867C25" w:rsidRPr="00812509" w14:paraId="627C87F0" w14:textId="77777777" w:rsidTr="00613DDD">
        <w:tc>
          <w:tcPr>
            <w:tcW w:w="6279" w:type="dxa"/>
          </w:tcPr>
          <w:p w14:paraId="22954C12" w14:textId="6687B40A" w:rsidR="00867C25" w:rsidRPr="00867C25" w:rsidRDefault="00867C25" w:rsidP="00867C25">
            <w:r>
              <w:t xml:space="preserve">Design a new scholarships program to improve coherence and determine investment impact.  </w:t>
            </w:r>
          </w:p>
        </w:tc>
        <w:tc>
          <w:tcPr>
            <w:tcW w:w="1151" w:type="dxa"/>
          </w:tcPr>
          <w:p w14:paraId="54942455" w14:textId="29A41640" w:rsidR="00867C25" w:rsidRPr="00613DDD" w:rsidRDefault="00B66571" w:rsidP="00867C25">
            <w:pPr>
              <w:keepLines/>
              <w:spacing w:before="40" w:after="40" w:line="200" w:lineRule="atLeast"/>
              <w:jc w:val="center"/>
              <w:rPr>
                <w:rFonts w:asciiTheme="majorHAnsi" w:eastAsia="Times New Roman" w:hAnsiTheme="majorHAnsi" w:cstheme="majorHAnsi"/>
                <w:iCs/>
                <w:sz w:val="18"/>
                <w:szCs w:val="18"/>
              </w:rPr>
            </w:pPr>
            <w:r w:rsidRPr="00613DDD">
              <w:rPr>
                <w:rFonts w:asciiTheme="majorHAnsi" w:eastAsia="Times New Roman" w:hAnsiTheme="majorHAnsi" w:cstheme="majorHAnsi"/>
                <w:iCs/>
                <w:sz w:val="18"/>
                <w:szCs w:val="18"/>
              </w:rPr>
              <w:t xml:space="preserve">Not </w:t>
            </w:r>
            <w:r w:rsidR="00867C25" w:rsidRPr="00613DDD">
              <w:rPr>
                <w:rFonts w:asciiTheme="majorHAnsi" w:eastAsia="Times New Roman" w:hAnsiTheme="majorHAnsi" w:cstheme="majorHAnsi"/>
                <w:iCs/>
                <w:sz w:val="18"/>
                <w:szCs w:val="18"/>
              </w:rPr>
              <w:t>Achieved</w:t>
            </w:r>
          </w:p>
        </w:tc>
        <w:tc>
          <w:tcPr>
            <w:tcW w:w="6691" w:type="dxa"/>
          </w:tcPr>
          <w:p w14:paraId="5242A9E5" w14:textId="502DA270" w:rsidR="00867C25" w:rsidRPr="00B66571" w:rsidRDefault="00B66571" w:rsidP="00792A03">
            <w:r>
              <w:t xml:space="preserve">A review of the program has been delayed to </w:t>
            </w:r>
            <w:r w:rsidR="00792A03">
              <w:t>2019-20</w:t>
            </w:r>
            <w:r>
              <w:t>.</w:t>
            </w:r>
          </w:p>
        </w:tc>
      </w:tr>
    </w:tbl>
    <w:p w14:paraId="26A28E9B" w14:textId="2211102B" w:rsidR="00AF1B85" w:rsidRPr="005251D5" w:rsidRDefault="005251D5" w:rsidP="00AF1B85">
      <w:pPr>
        <w:spacing w:before="20" w:after="20" w:line="180" w:lineRule="atLeast"/>
        <w:jc w:val="both"/>
        <w:rPr>
          <w:rFonts w:eastAsia="Times New Roman"/>
          <w:b/>
        </w:rPr>
      </w:pPr>
      <w:r>
        <w:rPr>
          <w:rFonts w:eastAsia="Times New Roman"/>
          <w:b/>
        </w:rPr>
        <w:t>Definition of Ratings</w:t>
      </w:r>
      <w:r w:rsidR="00AF1B85" w:rsidRPr="005251D5">
        <w:rPr>
          <w:rFonts w:eastAsia="Times New Roman"/>
          <w:b/>
        </w:rPr>
        <w:t xml:space="preserve">: </w:t>
      </w:r>
    </w:p>
    <w:p w14:paraId="45458522" w14:textId="5919D5EC" w:rsidR="00AF1B85" w:rsidRPr="005251D5" w:rsidRDefault="00AF1B85" w:rsidP="00AF1B85">
      <w:pPr>
        <w:spacing w:before="20" w:after="20" w:line="180" w:lineRule="atLeast"/>
        <w:jc w:val="both"/>
        <w:rPr>
          <w:rFonts w:eastAsia="Times New Roman"/>
        </w:rPr>
      </w:pPr>
      <w:r w:rsidRPr="005251D5">
        <w:rPr>
          <w:rFonts w:eastAsia="Times New Roman"/>
          <w:b/>
        </w:rPr>
        <w:t>Achieved</w:t>
      </w:r>
      <w:r w:rsidR="00613DDD" w:rsidRPr="005251D5">
        <w:rPr>
          <w:rFonts w:eastAsia="Times New Roman"/>
        </w:rPr>
        <w:t>: s</w:t>
      </w:r>
      <w:r w:rsidRPr="005251D5">
        <w:rPr>
          <w:rFonts w:eastAsia="Times New Roman"/>
        </w:rPr>
        <w:t xml:space="preserve">ignificant progress has been made in addressing the issue </w:t>
      </w:r>
    </w:p>
    <w:p w14:paraId="1711455E" w14:textId="3E70CF41" w:rsidR="00AF1B85" w:rsidRPr="005251D5" w:rsidRDefault="00AF1B85" w:rsidP="00AF1B85">
      <w:pPr>
        <w:spacing w:before="20" w:after="20" w:line="180" w:lineRule="atLeast"/>
        <w:jc w:val="both"/>
        <w:rPr>
          <w:rFonts w:eastAsia="Times New Roman"/>
        </w:rPr>
      </w:pPr>
      <w:r w:rsidRPr="005251D5">
        <w:rPr>
          <w:rFonts w:eastAsia="Times New Roman"/>
          <w:b/>
        </w:rPr>
        <w:t>Partly achieved</w:t>
      </w:r>
      <w:r w:rsidR="00613DDD" w:rsidRPr="005251D5">
        <w:rPr>
          <w:rFonts w:eastAsia="Times New Roman"/>
        </w:rPr>
        <w:t>: s</w:t>
      </w:r>
      <w:r w:rsidRPr="005251D5">
        <w:rPr>
          <w:rFonts w:eastAsia="Times New Roman"/>
        </w:rPr>
        <w:t xml:space="preserve">ome progress has been made in addressing the issue, but the issue has not been resolved </w:t>
      </w:r>
    </w:p>
    <w:p w14:paraId="0C9EDCBA" w14:textId="731134EC" w:rsidR="00AF1B85" w:rsidRPr="005251D5" w:rsidRDefault="00AF1B85" w:rsidP="00AF1B85">
      <w:pPr>
        <w:spacing w:before="20" w:after="20" w:line="180" w:lineRule="atLeast"/>
        <w:jc w:val="both"/>
        <w:rPr>
          <w:rFonts w:eastAsia="Times New Roman"/>
        </w:rPr>
      </w:pPr>
      <w:r w:rsidRPr="005251D5">
        <w:rPr>
          <w:rFonts w:eastAsia="Times New Roman"/>
          <w:b/>
        </w:rPr>
        <w:t>Not achieved</w:t>
      </w:r>
      <w:r w:rsidR="00613DDD" w:rsidRPr="005251D5">
        <w:rPr>
          <w:rFonts w:eastAsia="Times New Roman"/>
        </w:rPr>
        <w:t>: p</w:t>
      </w:r>
      <w:r w:rsidRPr="005251D5">
        <w:rPr>
          <w:rFonts w:eastAsia="Times New Roman"/>
        </w:rPr>
        <w:t>rogress in addressing the issue has been significantly below expectations</w:t>
      </w:r>
    </w:p>
    <w:p w14:paraId="3E4D4667" w14:textId="77777777" w:rsidR="00D00802" w:rsidRDefault="00D00802" w:rsidP="005B5769">
      <w:pPr>
        <w:pStyle w:val="ListBullet"/>
        <w:tabs>
          <w:tab w:val="clear" w:pos="284"/>
        </w:tabs>
        <w:sectPr w:rsidR="00D00802" w:rsidSect="00F568EB">
          <w:headerReference w:type="first" r:id="rId28"/>
          <w:pgSz w:w="16838" w:h="11906" w:orient="landscape" w:code="9"/>
          <w:pgMar w:top="1134" w:right="1952" w:bottom="1134" w:left="851" w:header="1107" w:footer="567" w:gutter="0"/>
          <w:cols w:space="397"/>
          <w:titlePg/>
          <w:docGrid w:linePitch="360"/>
        </w:sectPr>
      </w:pPr>
    </w:p>
    <w:p w14:paraId="3592B9A8" w14:textId="77777777" w:rsidR="00184F1E" w:rsidRPr="00EF26B5" w:rsidRDefault="00184F1E" w:rsidP="00BB648A">
      <w:pPr>
        <w:pStyle w:val="Subtitle"/>
        <w:spacing w:before="360" w:after="120" w:line="300" w:lineRule="exact"/>
        <w:rPr>
          <w:rFonts w:asciiTheme="majorHAnsi" w:hAnsiTheme="majorHAnsi" w:cstheme="majorHAnsi"/>
        </w:rPr>
      </w:pPr>
      <w:r w:rsidRPr="00EF26B5">
        <w:rPr>
          <w:rFonts w:asciiTheme="majorHAnsi" w:hAnsiTheme="majorHAnsi" w:cstheme="majorHAnsi"/>
        </w:rPr>
        <w:lastRenderedPageBreak/>
        <w:t>Annex B – PERFORMANCE BENCHMARKS</w:t>
      </w:r>
    </w:p>
    <w:p w14:paraId="58E92C82" w14:textId="56C3E5CF" w:rsidR="00184F1E" w:rsidRPr="00F8189A" w:rsidRDefault="00184F1E" w:rsidP="00184F1E">
      <w:pPr>
        <w:rPr>
          <w:rFonts w:eastAsia="Times New Roman" w:cstheme="minorHAnsi"/>
          <w:sz w:val="32"/>
          <w:szCs w:val="32"/>
        </w:rPr>
      </w:pPr>
      <w:r w:rsidRPr="00F8189A">
        <w:rPr>
          <w:rFonts w:eastAsia="Times New Roman" w:cstheme="minorHAnsi"/>
          <w:sz w:val="32"/>
          <w:szCs w:val="32"/>
        </w:rPr>
        <w:t>Progress towards Performance Benchmarks in 201</w:t>
      </w:r>
      <w:r w:rsidR="00F8189A" w:rsidRPr="00F8189A">
        <w:rPr>
          <w:rFonts w:eastAsia="Times New Roman" w:cstheme="minorHAnsi"/>
          <w:sz w:val="32"/>
          <w:szCs w:val="32"/>
        </w:rPr>
        <w:t>8-19</w:t>
      </w:r>
    </w:p>
    <w:tbl>
      <w:tblPr>
        <w:tblStyle w:val="TableGridLight"/>
        <w:tblW w:w="5154" w:type="pct"/>
        <w:tblInd w:w="-5" w:type="dxa"/>
        <w:tblLook w:val="04A0" w:firstRow="1" w:lastRow="0" w:firstColumn="1" w:lastColumn="0" w:noHBand="0" w:noVBand="1"/>
        <w:tblCaption w:val="Annex B - Progress towards Performance Benchmarks in 2018-2019"/>
      </w:tblPr>
      <w:tblGrid>
        <w:gridCol w:w="2015"/>
        <w:gridCol w:w="3794"/>
        <w:gridCol w:w="1417"/>
        <w:gridCol w:w="7231"/>
      </w:tblGrid>
      <w:tr w:rsidR="00184F1E" w:rsidRPr="005251D5" w14:paraId="060B423F" w14:textId="77777777" w:rsidTr="005251D5">
        <w:trPr>
          <w:tblHeader/>
        </w:trPr>
        <w:tc>
          <w:tcPr>
            <w:tcW w:w="697" w:type="pct"/>
          </w:tcPr>
          <w:p w14:paraId="72326563" w14:textId="77777777" w:rsidR="00184F1E" w:rsidRPr="005251D5" w:rsidRDefault="00184F1E" w:rsidP="00B73A55">
            <w:pPr>
              <w:keepLines/>
              <w:spacing w:before="80" w:after="80" w:line="200" w:lineRule="atLeast"/>
              <w:rPr>
                <w:rFonts w:eastAsia="Times New Roman" w:cstheme="minorHAnsi"/>
                <w:b/>
                <w:iCs/>
                <w:sz w:val="18"/>
                <w:szCs w:val="18"/>
              </w:rPr>
            </w:pPr>
            <w:r w:rsidRPr="005251D5">
              <w:rPr>
                <w:rFonts w:eastAsia="Times New Roman" w:cstheme="minorHAnsi"/>
                <w:b/>
                <w:iCs/>
                <w:sz w:val="18"/>
                <w:szCs w:val="18"/>
              </w:rPr>
              <w:t>Aid objective</w:t>
            </w:r>
          </w:p>
        </w:tc>
        <w:tc>
          <w:tcPr>
            <w:tcW w:w="1312" w:type="pct"/>
          </w:tcPr>
          <w:p w14:paraId="1268721E" w14:textId="77777777" w:rsidR="00184F1E" w:rsidRPr="005251D5" w:rsidRDefault="00184F1E" w:rsidP="00B73A55">
            <w:pPr>
              <w:keepLines/>
              <w:spacing w:before="80" w:after="80" w:line="200" w:lineRule="atLeast"/>
              <w:rPr>
                <w:rFonts w:eastAsia="Times New Roman" w:cstheme="minorHAnsi"/>
                <w:b/>
                <w:iCs/>
                <w:sz w:val="18"/>
                <w:szCs w:val="18"/>
              </w:rPr>
            </w:pPr>
            <w:r w:rsidRPr="005251D5">
              <w:rPr>
                <w:rFonts w:eastAsia="Times New Roman" w:cstheme="minorHAnsi"/>
                <w:b/>
                <w:iCs/>
                <w:sz w:val="18"/>
                <w:szCs w:val="18"/>
              </w:rPr>
              <w:t xml:space="preserve">Performance Benchmark </w:t>
            </w:r>
          </w:p>
        </w:tc>
        <w:tc>
          <w:tcPr>
            <w:tcW w:w="490" w:type="pct"/>
          </w:tcPr>
          <w:p w14:paraId="4BEE92C8" w14:textId="77777777" w:rsidR="00184F1E" w:rsidRPr="005251D5" w:rsidRDefault="00184F1E" w:rsidP="00B73A55">
            <w:pPr>
              <w:keepLines/>
              <w:spacing w:before="80" w:after="80" w:line="200" w:lineRule="atLeast"/>
              <w:jc w:val="center"/>
              <w:rPr>
                <w:rFonts w:eastAsia="Times New Roman" w:cstheme="minorHAnsi"/>
                <w:b/>
                <w:iCs/>
                <w:sz w:val="18"/>
                <w:szCs w:val="18"/>
              </w:rPr>
            </w:pPr>
            <w:r w:rsidRPr="005251D5">
              <w:rPr>
                <w:rFonts w:eastAsia="Times New Roman" w:cstheme="minorHAnsi"/>
                <w:b/>
                <w:iCs/>
                <w:sz w:val="18"/>
                <w:szCs w:val="18"/>
              </w:rPr>
              <w:t>Rating</w:t>
            </w:r>
          </w:p>
        </w:tc>
        <w:tc>
          <w:tcPr>
            <w:tcW w:w="2501" w:type="pct"/>
          </w:tcPr>
          <w:p w14:paraId="1A81F11A" w14:textId="41ED38B8" w:rsidR="00184F1E" w:rsidRPr="005251D5" w:rsidRDefault="00184F1E" w:rsidP="000847AD">
            <w:pPr>
              <w:keepLines/>
              <w:spacing w:before="80" w:after="80" w:line="200" w:lineRule="atLeast"/>
              <w:jc w:val="center"/>
              <w:rPr>
                <w:rFonts w:eastAsia="Times New Roman" w:cstheme="minorHAnsi"/>
                <w:b/>
                <w:iCs/>
                <w:sz w:val="18"/>
                <w:szCs w:val="18"/>
              </w:rPr>
            </w:pPr>
            <w:r w:rsidRPr="005251D5">
              <w:rPr>
                <w:rFonts w:eastAsia="Times New Roman" w:cstheme="minorHAnsi"/>
                <w:b/>
                <w:iCs/>
                <w:sz w:val="18"/>
                <w:szCs w:val="18"/>
              </w:rPr>
              <w:t>Progress in 201</w:t>
            </w:r>
            <w:r w:rsidR="000847AD" w:rsidRPr="005251D5">
              <w:rPr>
                <w:rFonts w:eastAsia="Times New Roman" w:cstheme="minorHAnsi"/>
                <w:b/>
                <w:iCs/>
                <w:sz w:val="18"/>
                <w:szCs w:val="18"/>
              </w:rPr>
              <w:t>8-19</w:t>
            </w:r>
          </w:p>
        </w:tc>
      </w:tr>
      <w:tr w:rsidR="00F8189A" w:rsidRPr="005251D5" w14:paraId="2D349504" w14:textId="77777777" w:rsidTr="005251D5">
        <w:tc>
          <w:tcPr>
            <w:tcW w:w="697" w:type="pct"/>
          </w:tcPr>
          <w:p w14:paraId="78F92F85" w14:textId="5EEAEE3E" w:rsidR="00F8189A" w:rsidRPr="005251D5" w:rsidRDefault="00867C25" w:rsidP="00F8189A">
            <w:pPr>
              <w:keepLines/>
              <w:spacing w:before="40" w:after="40" w:line="200" w:lineRule="atLeast"/>
              <w:rPr>
                <w:rFonts w:eastAsia="Times New Roman" w:cstheme="minorHAnsi"/>
                <w:iCs/>
                <w:color w:val="36424B" w:themeColor="text2" w:themeShade="BF"/>
                <w:sz w:val="18"/>
                <w:szCs w:val="18"/>
              </w:rPr>
            </w:pPr>
            <w:r w:rsidRPr="005251D5">
              <w:rPr>
                <w:rFonts w:eastAsia="Times New Roman" w:cstheme="minorHAnsi"/>
                <w:iCs/>
                <w:color w:val="36424B" w:themeColor="text2" w:themeShade="BF"/>
                <w:sz w:val="18"/>
                <w:szCs w:val="18"/>
              </w:rPr>
              <w:t>To progress economic reform</w:t>
            </w:r>
          </w:p>
        </w:tc>
        <w:tc>
          <w:tcPr>
            <w:tcW w:w="1312" w:type="pct"/>
          </w:tcPr>
          <w:p w14:paraId="0AA0E9D8" w14:textId="3C1912DB" w:rsidR="00F8189A" w:rsidRPr="005251D5" w:rsidRDefault="00313C1E" w:rsidP="00F8189A">
            <w:pPr>
              <w:keepLines/>
              <w:spacing w:before="40" w:after="40" w:line="200" w:lineRule="atLeast"/>
              <w:rPr>
                <w:rFonts w:eastAsia="Times New Roman" w:cstheme="minorHAnsi"/>
                <w:iCs/>
                <w:color w:val="36424B" w:themeColor="text2" w:themeShade="BF"/>
                <w:sz w:val="18"/>
                <w:szCs w:val="18"/>
              </w:rPr>
            </w:pPr>
            <w:r w:rsidRPr="005251D5">
              <w:rPr>
                <w:rFonts w:eastAsia="Times New Roman" w:cstheme="minorHAnsi"/>
                <w:iCs/>
                <w:color w:val="36424B" w:themeColor="text2" w:themeShade="BF"/>
                <w:sz w:val="18"/>
                <w:szCs w:val="18"/>
              </w:rPr>
              <w:t>Achievement of actions under Joint Policy Reform Matrix (to improve Tonga’s Public Financial Management) triggers release of donor funding</w:t>
            </w:r>
          </w:p>
        </w:tc>
        <w:tc>
          <w:tcPr>
            <w:tcW w:w="490" w:type="pct"/>
          </w:tcPr>
          <w:p w14:paraId="5A37C5EE" w14:textId="2086CA7F" w:rsidR="00F8189A" w:rsidRPr="005251D5" w:rsidRDefault="00332760" w:rsidP="00F8189A">
            <w:pPr>
              <w:keepLines/>
              <w:spacing w:before="40" w:after="40" w:line="200" w:lineRule="atLeast"/>
              <w:jc w:val="center"/>
              <w:rPr>
                <w:rFonts w:eastAsia="Times New Roman" w:cstheme="minorHAnsi"/>
                <w:iCs/>
                <w:sz w:val="18"/>
                <w:szCs w:val="18"/>
              </w:rPr>
            </w:pPr>
            <w:r w:rsidRPr="005251D5">
              <w:rPr>
                <w:rFonts w:eastAsia="Times New Roman" w:cstheme="minorHAnsi"/>
                <w:iCs/>
                <w:sz w:val="18"/>
                <w:szCs w:val="18"/>
              </w:rPr>
              <w:t>Partly achieved</w:t>
            </w:r>
          </w:p>
        </w:tc>
        <w:tc>
          <w:tcPr>
            <w:tcW w:w="2501" w:type="pct"/>
          </w:tcPr>
          <w:p w14:paraId="28B119B9" w14:textId="01B74310" w:rsidR="00F8189A" w:rsidRPr="005251D5" w:rsidRDefault="00332760" w:rsidP="00F8189A">
            <w:pPr>
              <w:keepLines/>
              <w:spacing w:before="40" w:after="40" w:line="200" w:lineRule="atLeast"/>
              <w:rPr>
                <w:rFonts w:eastAsia="Times New Roman" w:cstheme="minorHAnsi"/>
                <w:iCs/>
                <w:color w:val="36424B" w:themeColor="text2" w:themeShade="BF"/>
                <w:sz w:val="18"/>
                <w:szCs w:val="18"/>
              </w:rPr>
            </w:pPr>
            <w:r w:rsidRPr="005251D5">
              <w:rPr>
                <w:rFonts w:eastAsia="Times New Roman" w:cstheme="minorHAnsi"/>
                <w:iCs/>
                <w:color w:val="36424B" w:themeColor="text2" w:themeShade="BF"/>
                <w:sz w:val="18"/>
                <w:szCs w:val="18"/>
              </w:rPr>
              <w:t>Some but not all actions under JPRM were achieved, however Australia and all other donors agreed to release funding in acknowledgement of the impacts of TC Gita on the Government’s ability to process reforms.</w:t>
            </w:r>
          </w:p>
        </w:tc>
      </w:tr>
      <w:tr w:rsidR="00F8189A" w:rsidRPr="005251D5" w14:paraId="5135F5E1" w14:textId="77777777" w:rsidTr="005251D5">
        <w:tc>
          <w:tcPr>
            <w:tcW w:w="697" w:type="pct"/>
          </w:tcPr>
          <w:p w14:paraId="554586E1" w14:textId="6E9F2B8B" w:rsidR="00F8189A" w:rsidRPr="005251D5" w:rsidRDefault="00867C25" w:rsidP="00F8189A">
            <w:pPr>
              <w:keepLines/>
              <w:spacing w:before="40" w:after="40" w:line="200" w:lineRule="atLeast"/>
              <w:rPr>
                <w:rFonts w:eastAsia="Times New Roman" w:cstheme="minorHAnsi"/>
                <w:iCs/>
                <w:color w:val="36424B" w:themeColor="text2" w:themeShade="BF"/>
                <w:sz w:val="18"/>
                <w:szCs w:val="18"/>
              </w:rPr>
            </w:pPr>
            <w:r w:rsidRPr="005251D5">
              <w:rPr>
                <w:rFonts w:eastAsia="Times New Roman" w:cstheme="minorHAnsi"/>
                <w:iCs/>
                <w:color w:val="36424B" w:themeColor="text2" w:themeShade="BF"/>
                <w:sz w:val="18"/>
                <w:szCs w:val="18"/>
              </w:rPr>
              <w:t>To improve economic benefits through targeted renewable energy and trade enhancing infrastructure</w:t>
            </w:r>
          </w:p>
        </w:tc>
        <w:tc>
          <w:tcPr>
            <w:tcW w:w="1312" w:type="pct"/>
          </w:tcPr>
          <w:p w14:paraId="67544A11" w14:textId="54ED09F2" w:rsidR="00F8189A" w:rsidRPr="005251D5" w:rsidRDefault="00313C1E" w:rsidP="00F8189A">
            <w:pPr>
              <w:keepLines/>
              <w:spacing w:before="40" w:after="40" w:line="200" w:lineRule="atLeast"/>
              <w:rPr>
                <w:rFonts w:eastAsia="Times New Roman" w:cstheme="minorHAnsi"/>
                <w:iCs/>
                <w:color w:val="36424B" w:themeColor="text2" w:themeShade="BF"/>
                <w:sz w:val="18"/>
                <w:szCs w:val="18"/>
              </w:rPr>
            </w:pPr>
            <w:r w:rsidRPr="005251D5">
              <w:rPr>
                <w:rFonts w:eastAsia="Times New Roman" w:cstheme="minorHAnsi"/>
                <w:iCs/>
                <w:color w:val="36424B" w:themeColor="text2" w:themeShade="BF"/>
                <w:sz w:val="18"/>
                <w:szCs w:val="18"/>
              </w:rPr>
              <w:t>A further 220kWp of solar generation and 1,100kWh of energy storage installed in 3 more outer islands</w:t>
            </w:r>
          </w:p>
        </w:tc>
        <w:tc>
          <w:tcPr>
            <w:tcW w:w="490" w:type="pct"/>
          </w:tcPr>
          <w:p w14:paraId="27AA5055" w14:textId="425EBC58" w:rsidR="00F8189A" w:rsidRPr="005251D5" w:rsidRDefault="00332760" w:rsidP="00F8189A">
            <w:pPr>
              <w:keepLines/>
              <w:spacing w:before="40" w:after="40" w:line="200" w:lineRule="atLeast"/>
              <w:jc w:val="center"/>
              <w:rPr>
                <w:rFonts w:eastAsia="Times New Roman" w:cstheme="minorHAnsi"/>
                <w:iCs/>
                <w:sz w:val="18"/>
                <w:szCs w:val="18"/>
              </w:rPr>
            </w:pPr>
            <w:r w:rsidRPr="005251D5">
              <w:rPr>
                <w:rFonts w:eastAsia="Times New Roman" w:cstheme="minorHAnsi"/>
                <w:iCs/>
                <w:sz w:val="18"/>
                <w:szCs w:val="18"/>
              </w:rPr>
              <w:t>Partly achieved</w:t>
            </w:r>
          </w:p>
        </w:tc>
        <w:tc>
          <w:tcPr>
            <w:tcW w:w="2501" w:type="pct"/>
          </w:tcPr>
          <w:p w14:paraId="4BD8A4C5" w14:textId="65A7EF06" w:rsidR="00F8189A" w:rsidRPr="005251D5" w:rsidRDefault="00F14AD2" w:rsidP="00F8189A">
            <w:pPr>
              <w:keepLines/>
              <w:spacing w:before="40" w:after="40" w:line="200" w:lineRule="atLeast"/>
              <w:rPr>
                <w:rFonts w:eastAsia="Times New Roman" w:cstheme="minorHAnsi"/>
                <w:iCs/>
                <w:color w:val="36424B" w:themeColor="text2" w:themeShade="BF"/>
                <w:sz w:val="18"/>
                <w:szCs w:val="18"/>
              </w:rPr>
            </w:pPr>
            <w:r w:rsidRPr="005251D5">
              <w:rPr>
                <w:rFonts w:eastAsia="Times New Roman" w:cstheme="minorHAnsi"/>
                <w:iCs/>
                <w:color w:val="36424B" w:themeColor="text2" w:themeShade="BF"/>
                <w:sz w:val="18"/>
                <w:szCs w:val="18"/>
              </w:rPr>
              <w:t>Over the last 2 years, (2017-18 and 2018-19) OIREP is covering 6 islands in total, of which 1 (</w:t>
            </w:r>
            <w:proofErr w:type="spellStart"/>
            <w:r w:rsidRPr="005251D5">
              <w:rPr>
                <w:rFonts w:eastAsia="Times New Roman" w:cstheme="minorHAnsi"/>
                <w:iCs/>
                <w:color w:val="36424B" w:themeColor="text2" w:themeShade="BF"/>
                <w:sz w:val="18"/>
                <w:szCs w:val="18"/>
              </w:rPr>
              <w:t>Niuafo’ou</w:t>
            </w:r>
            <w:proofErr w:type="spellEnd"/>
            <w:r w:rsidRPr="005251D5">
              <w:rPr>
                <w:rFonts w:eastAsia="Times New Roman" w:cstheme="minorHAnsi"/>
                <w:iCs/>
                <w:color w:val="36424B" w:themeColor="text2" w:themeShade="BF"/>
                <w:sz w:val="18"/>
                <w:szCs w:val="18"/>
              </w:rPr>
              <w:t>) is completed, and 5 are ongoing in parallel, expected to be completed March 2020. When completed, the package will have delivered an additional 510kWp of solar generation and 1,245kWh of energy storage.</w:t>
            </w:r>
          </w:p>
        </w:tc>
      </w:tr>
      <w:tr w:rsidR="00867C25" w:rsidRPr="005251D5" w14:paraId="0A8C2F8F" w14:textId="77777777" w:rsidTr="005251D5">
        <w:tc>
          <w:tcPr>
            <w:tcW w:w="697" w:type="pct"/>
          </w:tcPr>
          <w:p w14:paraId="2BCC40B9" w14:textId="550BB231" w:rsidR="00867C25" w:rsidRPr="005251D5" w:rsidRDefault="00867C25" w:rsidP="00F8189A">
            <w:pPr>
              <w:keepLines/>
              <w:spacing w:before="40" w:after="40" w:line="200" w:lineRule="atLeast"/>
              <w:rPr>
                <w:rFonts w:eastAsia="Times New Roman" w:cstheme="minorHAnsi"/>
                <w:iCs/>
                <w:color w:val="36424B" w:themeColor="text2" w:themeShade="BF"/>
                <w:sz w:val="18"/>
                <w:szCs w:val="18"/>
              </w:rPr>
            </w:pPr>
            <w:r w:rsidRPr="005251D5">
              <w:rPr>
                <w:rFonts w:eastAsia="Times New Roman" w:cstheme="minorHAnsi"/>
                <w:iCs/>
                <w:color w:val="36424B" w:themeColor="text2" w:themeShade="BF"/>
                <w:sz w:val="18"/>
                <w:szCs w:val="18"/>
              </w:rPr>
              <w:t>To improve health system effectiveness, efficiency and equity</w:t>
            </w:r>
          </w:p>
        </w:tc>
        <w:tc>
          <w:tcPr>
            <w:tcW w:w="1312" w:type="pct"/>
          </w:tcPr>
          <w:p w14:paraId="55DBCED9" w14:textId="3FBF4277" w:rsidR="00867C25" w:rsidRPr="005251D5" w:rsidRDefault="00313C1E" w:rsidP="00F8189A">
            <w:pPr>
              <w:keepLines/>
              <w:spacing w:before="40" w:after="40" w:line="200" w:lineRule="atLeast"/>
              <w:rPr>
                <w:rFonts w:eastAsia="Times New Roman" w:cstheme="minorHAnsi"/>
                <w:iCs/>
                <w:color w:val="36424B" w:themeColor="text2" w:themeShade="BF"/>
                <w:sz w:val="18"/>
                <w:szCs w:val="18"/>
              </w:rPr>
            </w:pPr>
            <w:r w:rsidRPr="005251D5">
              <w:rPr>
                <w:rFonts w:eastAsia="Times New Roman" w:cstheme="minorHAnsi"/>
                <w:iCs/>
                <w:color w:val="36424B" w:themeColor="text2" w:themeShade="BF"/>
                <w:sz w:val="18"/>
                <w:szCs w:val="18"/>
              </w:rPr>
              <w:t>Ministry of Health and Tonga Health budgets (separately considered and excluding donor funds) as a percentage of the total government budget do not decrease against the 2015 baseline, and the proportion of the 2018-19 Ministry of Health budget (excluding donor funds) allocated to the Public Health Division, has continued to increase from the 2017-18 level</w:t>
            </w:r>
          </w:p>
        </w:tc>
        <w:tc>
          <w:tcPr>
            <w:tcW w:w="490" w:type="pct"/>
          </w:tcPr>
          <w:p w14:paraId="6C9B4C45" w14:textId="23E656CB" w:rsidR="00867C25" w:rsidRPr="005251D5" w:rsidRDefault="00B66571" w:rsidP="00F8189A">
            <w:pPr>
              <w:keepLines/>
              <w:spacing w:before="40" w:after="40" w:line="200" w:lineRule="atLeast"/>
              <w:jc w:val="center"/>
              <w:rPr>
                <w:rFonts w:eastAsia="Times New Roman" w:cstheme="minorHAnsi"/>
                <w:iCs/>
                <w:sz w:val="18"/>
                <w:szCs w:val="18"/>
              </w:rPr>
            </w:pPr>
            <w:r w:rsidRPr="005251D5">
              <w:rPr>
                <w:rFonts w:eastAsia="Times New Roman" w:cstheme="minorHAnsi"/>
                <w:iCs/>
                <w:sz w:val="18"/>
                <w:szCs w:val="18"/>
              </w:rPr>
              <w:t>Achieved</w:t>
            </w:r>
          </w:p>
        </w:tc>
        <w:tc>
          <w:tcPr>
            <w:tcW w:w="2501" w:type="pct"/>
          </w:tcPr>
          <w:p w14:paraId="17F4FB56" w14:textId="77777777" w:rsidR="006D69A6" w:rsidRPr="005251D5" w:rsidRDefault="006D69A6" w:rsidP="006D69A6">
            <w:pPr>
              <w:keepLines/>
              <w:spacing w:before="40" w:after="40" w:line="200" w:lineRule="atLeast"/>
              <w:rPr>
                <w:rFonts w:eastAsia="Times New Roman" w:cstheme="minorHAnsi"/>
                <w:iCs/>
                <w:color w:val="36424B" w:themeColor="text2" w:themeShade="BF"/>
                <w:sz w:val="18"/>
                <w:szCs w:val="18"/>
              </w:rPr>
            </w:pPr>
            <w:r w:rsidRPr="005251D5">
              <w:rPr>
                <w:rFonts w:eastAsia="Times New Roman" w:cstheme="minorHAnsi"/>
                <w:iCs/>
                <w:color w:val="36424B" w:themeColor="text2" w:themeShade="BF"/>
                <w:sz w:val="18"/>
                <w:szCs w:val="18"/>
              </w:rPr>
              <w:t>In the Government of Tonga 2018-19 Budget, allocation to:</w:t>
            </w:r>
          </w:p>
          <w:p w14:paraId="2C5ADF58" w14:textId="6A458259" w:rsidR="006D69A6" w:rsidRPr="005251D5" w:rsidRDefault="006D69A6" w:rsidP="006D69A6">
            <w:pPr>
              <w:pStyle w:val="Bullet2"/>
              <w:rPr>
                <w:rFonts w:cstheme="minorHAnsi"/>
                <w:sz w:val="18"/>
                <w:szCs w:val="18"/>
              </w:rPr>
            </w:pPr>
            <w:r w:rsidRPr="005251D5">
              <w:rPr>
                <w:rFonts w:cstheme="minorHAnsi"/>
                <w:sz w:val="18"/>
                <w:szCs w:val="18"/>
              </w:rPr>
              <w:t>Ministry of Health as a percentage of government budget was 11.7% (compared to 11.45% in 2015)</w:t>
            </w:r>
          </w:p>
          <w:p w14:paraId="3537094A" w14:textId="2CDDF26C" w:rsidR="006D69A6" w:rsidRPr="005251D5" w:rsidRDefault="006D69A6" w:rsidP="006D69A6">
            <w:pPr>
              <w:pStyle w:val="Bullet2"/>
              <w:rPr>
                <w:rFonts w:cstheme="minorHAnsi"/>
                <w:sz w:val="18"/>
                <w:szCs w:val="18"/>
              </w:rPr>
            </w:pPr>
            <w:r w:rsidRPr="005251D5">
              <w:rPr>
                <w:rFonts w:cstheme="minorHAnsi"/>
                <w:sz w:val="18"/>
                <w:szCs w:val="18"/>
              </w:rPr>
              <w:t xml:space="preserve">Tonga Health Promotion Foundation as a percentage of government budget </w:t>
            </w:r>
            <w:r w:rsidR="00C13E24" w:rsidRPr="005251D5">
              <w:rPr>
                <w:rFonts w:cstheme="minorHAnsi"/>
                <w:sz w:val="18"/>
                <w:szCs w:val="18"/>
              </w:rPr>
              <w:t xml:space="preserve">remained the same at </w:t>
            </w:r>
            <w:r w:rsidRPr="005251D5">
              <w:rPr>
                <w:rFonts w:cstheme="minorHAnsi"/>
                <w:sz w:val="18"/>
                <w:szCs w:val="18"/>
              </w:rPr>
              <w:t xml:space="preserve">0.2% </w:t>
            </w:r>
          </w:p>
          <w:p w14:paraId="1CC9F36C" w14:textId="52DAB173" w:rsidR="00867C25" w:rsidRPr="005251D5" w:rsidRDefault="006D69A6" w:rsidP="006D69A6">
            <w:pPr>
              <w:pStyle w:val="Bullet2"/>
              <w:rPr>
                <w:rFonts w:cstheme="minorHAnsi"/>
                <w:sz w:val="18"/>
                <w:szCs w:val="18"/>
              </w:rPr>
            </w:pPr>
            <w:r w:rsidRPr="005251D5">
              <w:rPr>
                <w:rFonts w:cstheme="minorHAnsi"/>
                <w:sz w:val="18"/>
                <w:szCs w:val="18"/>
              </w:rPr>
              <w:t>Public Health increased to 15.67% (from 12.8% in 2017)</w:t>
            </w:r>
          </w:p>
        </w:tc>
      </w:tr>
      <w:tr w:rsidR="00B66571" w:rsidRPr="005251D5" w14:paraId="7D7C4C9F" w14:textId="77777777" w:rsidTr="005251D5">
        <w:tc>
          <w:tcPr>
            <w:tcW w:w="697" w:type="pct"/>
          </w:tcPr>
          <w:p w14:paraId="61AA5E1A" w14:textId="6D945DDB" w:rsidR="00B66571" w:rsidRPr="005251D5" w:rsidRDefault="00B66571" w:rsidP="00B66571">
            <w:pPr>
              <w:keepLines/>
              <w:spacing w:before="40" w:after="40" w:line="200" w:lineRule="atLeast"/>
              <w:rPr>
                <w:rFonts w:eastAsia="Times New Roman" w:cstheme="minorHAnsi"/>
                <w:iCs/>
                <w:color w:val="36424B" w:themeColor="text2" w:themeShade="BF"/>
                <w:sz w:val="18"/>
                <w:szCs w:val="18"/>
              </w:rPr>
            </w:pPr>
            <w:r w:rsidRPr="005251D5">
              <w:rPr>
                <w:rFonts w:eastAsia="Times New Roman" w:cstheme="minorHAnsi"/>
                <w:iCs/>
                <w:color w:val="36424B" w:themeColor="text2" w:themeShade="BF"/>
                <w:sz w:val="18"/>
                <w:szCs w:val="18"/>
              </w:rPr>
              <w:t>To reduce the health and economic burden of NCDs</w:t>
            </w:r>
          </w:p>
        </w:tc>
        <w:tc>
          <w:tcPr>
            <w:tcW w:w="1312" w:type="pct"/>
          </w:tcPr>
          <w:p w14:paraId="5FE8EAAD" w14:textId="4EC8A607" w:rsidR="00B66571" w:rsidRPr="005251D5" w:rsidRDefault="00B66571" w:rsidP="00B66571">
            <w:pPr>
              <w:keepLines/>
              <w:spacing w:before="40" w:after="40" w:line="200" w:lineRule="atLeast"/>
              <w:rPr>
                <w:rFonts w:eastAsia="Times New Roman" w:cstheme="minorHAnsi"/>
                <w:iCs/>
                <w:color w:val="36424B" w:themeColor="text2" w:themeShade="BF"/>
                <w:sz w:val="18"/>
                <w:szCs w:val="18"/>
              </w:rPr>
            </w:pPr>
            <w:r w:rsidRPr="005251D5">
              <w:rPr>
                <w:rFonts w:eastAsia="Times New Roman" w:cstheme="minorHAnsi"/>
                <w:iCs/>
                <w:color w:val="36424B" w:themeColor="text2" w:themeShade="BF"/>
                <w:sz w:val="18"/>
                <w:szCs w:val="18"/>
              </w:rPr>
              <w:t>Launch of a multi-year, national scale, healthy eating public awareness campaign that improves healthy eating behaviours. Decrease in the rates of premature deaths and preventable disability related to NCDs in men and in women</w:t>
            </w:r>
          </w:p>
        </w:tc>
        <w:tc>
          <w:tcPr>
            <w:tcW w:w="490" w:type="pct"/>
          </w:tcPr>
          <w:p w14:paraId="057FE9E2" w14:textId="1045A130" w:rsidR="00B66571" w:rsidRPr="005251D5" w:rsidRDefault="00B66571" w:rsidP="00B66571">
            <w:pPr>
              <w:keepLines/>
              <w:spacing w:before="40" w:after="40" w:line="200" w:lineRule="atLeast"/>
              <w:jc w:val="center"/>
              <w:rPr>
                <w:rFonts w:eastAsia="Times New Roman" w:cstheme="minorHAnsi"/>
                <w:iCs/>
                <w:sz w:val="18"/>
                <w:szCs w:val="18"/>
              </w:rPr>
            </w:pPr>
            <w:r w:rsidRPr="005251D5">
              <w:rPr>
                <w:rFonts w:eastAsia="Times New Roman" w:cstheme="minorHAnsi"/>
                <w:iCs/>
                <w:sz w:val="18"/>
                <w:szCs w:val="18"/>
              </w:rPr>
              <w:t>Partly achieved</w:t>
            </w:r>
          </w:p>
        </w:tc>
        <w:tc>
          <w:tcPr>
            <w:tcW w:w="2501" w:type="pct"/>
          </w:tcPr>
          <w:p w14:paraId="61410ACD" w14:textId="77777777" w:rsidR="006D69A6" w:rsidRPr="005251D5" w:rsidRDefault="006D69A6" w:rsidP="006D69A6">
            <w:pPr>
              <w:keepLines/>
              <w:spacing w:before="40" w:after="40" w:line="200" w:lineRule="atLeast"/>
              <w:rPr>
                <w:rFonts w:eastAsia="Times New Roman" w:cstheme="minorHAnsi"/>
                <w:iCs/>
                <w:color w:val="36424B" w:themeColor="text2" w:themeShade="BF"/>
                <w:sz w:val="18"/>
                <w:szCs w:val="18"/>
              </w:rPr>
            </w:pPr>
            <w:r w:rsidRPr="005251D5">
              <w:rPr>
                <w:rFonts w:eastAsia="Times New Roman" w:cstheme="minorHAnsi"/>
                <w:iCs/>
                <w:color w:val="36424B" w:themeColor="text2" w:themeShade="BF"/>
                <w:sz w:val="18"/>
                <w:szCs w:val="18"/>
              </w:rPr>
              <w:t xml:space="preserve">Tonga Health Promotion Foundation has launched a national healthy eating campaign which in 2019 focuses on reducing consumption of sugar-sweetened beverages in primary school-aged children. </w:t>
            </w:r>
          </w:p>
          <w:p w14:paraId="173C4052" w14:textId="17483AE8" w:rsidR="00B66571" w:rsidRPr="005251D5" w:rsidRDefault="006D69A6" w:rsidP="006D69A6">
            <w:pPr>
              <w:keepLines/>
              <w:spacing w:before="40" w:after="40" w:line="200" w:lineRule="atLeast"/>
              <w:rPr>
                <w:rFonts w:eastAsia="Times New Roman" w:cstheme="minorHAnsi"/>
                <w:iCs/>
                <w:color w:val="36424B" w:themeColor="text2" w:themeShade="BF"/>
                <w:sz w:val="18"/>
                <w:szCs w:val="18"/>
              </w:rPr>
            </w:pPr>
            <w:r w:rsidRPr="005251D5">
              <w:rPr>
                <w:rFonts w:eastAsia="Times New Roman" w:cstheme="minorHAnsi"/>
                <w:iCs/>
                <w:color w:val="36424B" w:themeColor="text2" w:themeShade="BF"/>
                <w:sz w:val="18"/>
                <w:szCs w:val="18"/>
              </w:rPr>
              <w:t>While the THSSP2 mid-term evaluation found some promising signs of progress, assessment against the ambitions benchmark of decreased national rates of NCDs death and disability is difficult to judge due to lack of available government data.</w:t>
            </w:r>
          </w:p>
        </w:tc>
      </w:tr>
      <w:tr w:rsidR="00B66571" w:rsidRPr="005251D5" w14:paraId="22911280" w14:textId="77777777" w:rsidTr="005251D5">
        <w:tc>
          <w:tcPr>
            <w:tcW w:w="697" w:type="pct"/>
          </w:tcPr>
          <w:p w14:paraId="1E268A30" w14:textId="0CBDFEA3" w:rsidR="00B66571" w:rsidRPr="005251D5" w:rsidRDefault="00B66571" w:rsidP="00B66571">
            <w:pPr>
              <w:keepLines/>
              <w:spacing w:before="40" w:after="40" w:line="200" w:lineRule="atLeast"/>
              <w:rPr>
                <w:rFonts w:eastAsia="Times New Roman" w:cstheme="minorHAnsi"/>
                <w:iCs/>
                <w:color w:val="36424B" w:themeColor="text2" w:themeShade="BF"/>
                <w:sz w:val="18"/>
                <w:szCs w:val="18"/>
              </w:rPr>
            </w:pPr>
            <w:r w:rsidRPr="005251D5">
              <w:rPr>
                <w:rFonts w:eastAsia="Times New Roman" w:cstheme="minorHAnsi"/>
                <w:iCs/>
                <w:color w:val="36424B" w:themeColor="text2" w:themeShade="BF"/>
                <w:sz w:val="18"/>
                <w:szCs w:val="18"/>
              </w:rPr>
              <w:t>To increase the number of Tongans, especially women and those with disability, that are skilled to meet priority areas of labour demand</w:t>
            </w:r>
          </w:p>
        </w:tc>
        <w:tc>
          <w:tcPr>
            <w:tcW w:w="1312" w:type="pct"/>
          </w:tcPr>
          <w:p w14:paraId="479017EC" w14:textId="1950C26B" w:rsidR="00B66571" w:rsidRPr="005251D5" w:rsidRDefault="00B66571" w:rsidP="00B66571">
            <w:pPr>
              <w:keepLines/>
              <w:spacing w:before="40" w:after="40" w:line="200" w:lineRule="atLeast"/>
              <w:rPr>
                <w:rFonts w:eastAsia="Times New Roman" w:cstheme="minorHAnsi"/>
                <w:iCs/>
                <w:color w:val="36424B" w:themeColor="text2" w:themeShade="BF"/>
                <w:sz w:val="18"/>
                <w:szCs w:val="18"/>
              </w:rPr>
            </w:pPr>
            <w:r w:rsidRPr="005251D5">
              <w:rPr>
                <w:rFonts w:eastAsia="Times New Roman" w:cstheme="minorHAnsi"/>
                <w:iCs/>
                <w:color w:val="36424B" w:themeColor="text2" w:themeShade="BF"/>
                <w:sz w:val="18"/>
                <w:szCs w:val="18"/>
              </w:rPr>
              <w:t>80% Skills for Inclusive Economic Growth and scholarship students complete quality education, training and skills development opportunities aligned with labour market needs. 10% of university students are studying in non-traditional fields related to their gender</w:t>
            </w:r>
          </w:p>
        </w:tc>
        <w:tc>
          <w:tcPr>
            <w:tcW w:w="490" w:type="pct"/>
          </w:tcPr>
          <w:p w14:paraId="7DF29352" w14:textId="2E506D23" w:rsidR="00B66571" w:rsidRPr="005251D5" w:rsidRDefault="00B66571" w:rsidP="00F523DF">
            <w:pPr>
              <w:keepLines/>
              <w:spacing w:before="40" w:after="40" w:line="200" w:lineRule="atLeast"/>
              <w:jc w:val="center"/>
              <w:rPr>
                <w:rFonts w:eastAsia="Times New Roman" w:cstheme="minorHAnsi"/>
                <w:iCs/>
                <w:sz w:val="18"/>
                <w:szCs w:val="18"/>
              </w:rPr>
            </w:pPr>
            <w:r w:rsidRPr="005251D5">
              <w:rPr>
                <w:rFonts w:eastAsia="Times New Roman" w:cstheme="minorHAnsi"/>
                <w:iCs/>
                <w:sz w:val="18"/>
                <w:szCs w:val="18"/>
              </w:rPr>
              <w:t>Achieved</w:t>
            </w:r>
          </w:p>
        </w:tc>
        <w:tc>
          <w:tcPr>
            <w:tcW w:w="2501" w:type="pct"/>
          </w:tcPr>
          <w:p w14:paraId="5E0AA1C8" w14:textId="3BFC977F" w:rsidR="00B66571" w:rsidRPr="005251D5" w:rsidRDefault="00071D0C" w:rsidP="000E2DB0">
            <w:pPr>
              <w:keepLines/>
              <w:spacing w:before="40" w:after="40" w:line="200" w:lineRule="atLeast"/>
              <w:rPr>
                <w:rFonts w:eastAsia="Times New Roman" w:cstheme="minorHAnsi"/>
                <w:iCs/>
                <w:color w:val="36424B" w:themeColor="text2" w:themeShade="BF"/>
                <w:sz w:val="18"/>
                <w:szCs w:val="18"/>
              </w:rPr>
            </w:pPr>
            <w:r w:rsidRPr="005251D5">
              <w:rPr>
                <w:rFonts w:eastAsia="Times New Roman" w:cstheme="minorHAnsi"/>
                <w:iCs/>
                <w:color w:val="36424B" w:themeColor="text2" w:themeShade="BF"/>
                <w:sz w:val="18"/>
                <w:szCs w:val="18"/>
              </w:rPr>
              <w:t xml:space="preserve">Scholarships program has a greater than 90% completion rate, and fields of study are prioritised in consultation with Tonga’s Public Service Commission (which in turn consults will line agencies). </w:t>
            </w:r>
            <w:r w:rsidR="003269A6" w:rsidRPr="005251D5">
              <w:rPr>
                <w:rFonts w:eastAsia="Times New Roman" w:cstheme="minorHAnsi"/>
                <w:iCs/>
                <w:color w:val="36424B" w:themeColor="text2" w:themeShade="BF"/>
                <w:sz w:val="18"/>
                <w:szCs w:val="18"/>
              </w:rPr>
              <w:t>Tonga Skills</w:t>
            </w:r>
            <w:r w:rsidRPr="005251D5">
              <w:rPr>
                <w:rFonts w:eastAsia="Times New Roman" w:cstheme="minorHAnsi"/>
                <w:iCs/>
                <w:color w:val="36424B" w:themeColor="text2" w:themeShade="BF"/>
                <w:sz w:val="18"/>
                <w:szCs w:val="18"/>
              </w:rPr>
              <w:t xml:space="preserve"> training activities are delivered in line with industry and community demand, and experiences extremely low </w:t>
            </w:r>
            <w:r w:rsidR="000E2DB0" w:rsidRPr="005251D5">
              <w:rPr>
                <w:rFonts w:eastAsia="Times New Roman" w:cstheme="minorHAnsi"/>
                <w:iCs/>
                <w:color w:val="36424B" w:themeColor="text2" w:themeShade="BF"/>
                <w:sz w:val="18"/>
                <w:szCs w:val="18"/>
              </w:rPr>
              <w:t>dropout</w:t>
            </w:r>
            <w:r w:rsidRPr="005251D5">
              <w:rPr>
                <w:rFonts w:eastAsia="Times New Roman" w:cstheme="minorHAnsi"/>
                <w:iCs/>
                <w:color w:val="36424B" w:themeColor="text2" w:themeShade="BF"/>
                <w:sz w:val="18"/>
                <w:szCs w:val="18"/>
              </w:rPr>
              <w:t xml:space="preserve"> rates.</w:t>
            </w:r>
          </w:p>
          <w:p w14:paraId="35D489D4" w14:textId="5DB7F6F5" w:rsidR="000E2DB0" w:rsidRPr="005251D5" w:rsidRDefault="000E2DB0" w:rsidP="000E2DB0">
            <w:pPr>
              <w:keepLines/>
              <w:spacing w:before="40" w:after="40" w:line="200" w:lineRule="atLeast"/>
              <w:rPr>
                <w:rFonts w:eastAsia="Times New Roman" w:cstheme="minorHAnsi"/>
                <w:iCs/>
                <w:color w:val="36424B" w:themeColor="text2" w:themeShade="BF"/>
                <w:sz w:val="18"/>
                <w:szCs w:val="18"/>
              </w:rPr>
            </w:pPr>
            <w:r w:rsidRPr="005251D5">
              <w:rPr>
                <w:rFonts w:eastAsia="Times New Roman" w:cstheme="minorHAnsi"/>
                <w:iCs/>
                <w:color w:val="36424B" w:themeColor="text2" w:themeShade="BF"/>
                <w:sz w:val="18"/>
                <w:szCs w:val="18"/>
              </w:rPr>
              <w:t>22% of university students studies in non-traditional fields in 2018-19</w:t>
            </w:r>
          </w:p>
          <w:p w14:paraId="58ED4C32" w14:textId="77777777" w:rsidR="00B66571" w:rsidRPr="005251D5" w:rsidRDefault="00B66571" w:rsidP="000E2DB0">
            <w:pPr>
              <w:keepLines/>
              <w:spacing w:before="40" w:after="40" w:line="200" w:lineRule="atLeast"/>
              <w:rPr>
                <w:rFonts w:eastAsia="Times New Roman" w:cstheme="minorHAnsi"/>
                <w:iCs/>
                <w:color w:val="36424B" w:themeColor="text2" w:themeShade="BF"/>
                <w:sz w:val="18"/>
                <w:szCs w:val="18"/>
              </w:rPr>
            </w:pPr>
          </w:p>
        </w:tc>
      </w:tr>
    </w:tbl>
    <w:p w14:paraId="7DE8D6D8" w14:textId="77777777" w:rsidR="00C13E24" w:rsidRDefault="00C13E24" w:rsidP="00184F1E">
      <w:pPr>
        <w:spacing w:before="20" w:after="20" w:line="180" w:lineRule="atLeast"/>
        <w:jc w:val="both"/>
        <w:rPr>
          <w:rFonts w:eastAsia="Times New Roman"/>
          <w:b/>
          <w:sz w:val="16"/>
          <w:szCs w:val="14"/>
        </w:rPr>
      </w:pPr>
    </w:p>
    <w:p w14:paraId="2388CA6E" w14:textId="77777777" w:rsidR="005251D5" w:rsidRDefault="005251D5" w:rsidP="00184F1E">
      <w:pPr>
        <w:spacing w:before="20" w:after="20" w:line="180" w:lineRule="atLeast"/>
        <w:jc w:val="both"/>
        <w:rPr>
          <w:rFonts w:eastAsia="Times New Roman"/>
          <w:b/>
        </w:rPr>
      </w:pPr>
      <w:r>
        <w:rPr>
          <w:rFonts w:eastAsia="Times New Roman"/>
          <w:b/>
        </w:rPr>
        <w:lastRenderedPageBreak/>
        <w:t>Definition of Ratings</w:t>
      </w:r>
      <w:r w:rsidRPr="005251D5">
        <w:rPr>
          <w:rFonts w:eastAsia="Times New Roman"/>
          <w:b/>
        </w:rPr>
        <w:t xml:space="preserve">: </w:t>
      </w:r>
    </w:p>
    <w:p w14:paraId="617A3828" w14:textId="571D8BCB" w:rsidR="00184F1E" w:rsidRPr="005251D5" w:rsidRDefault="00184F1E" w:rsidP="00184F1E">
      <w:pPr>
        <w:spacing w:before="20" w:after="20" w:line="180" w:lineRule="atLeast"/>
        <w:jc w:val="both"/>
        <w:rPr>
          <w:rFonts w:eastAsia="Times New Roman"/>
        </w:rPr>
      </w:pPr>
      <w:r w:rsidRPr="005251D5">
        <w:rPr>
          <w:rFonts w:eastAsia="Times New Roman"/>
          <w:b/>
        </w:rPr>
        <w:t>Achieved</w:t>
      </w:r>
      <w:r w:rsidR="00613DDD" w:rsidRPr="005251D5">
        <w:rPr>
          <w:rFonts w:eastAsia="Times New Roman"/>
        </w:rPr>
        <w:t>:  s</w:t>
      </w:r>
      <w:r w:rsidRPr="005251D5">
        <w:rPr>
          <w:rFonts w:eastAsia="Times New Roman"/>
        </w:rPr>
        <w:t xml:space="preserve">ignificant progress has been made and the performance benchmark was achieved </w:t>
      </w:r>
    </w:p>
    <w:p w14:paraId="28C94A26" w14:textId="3A6BFB1E" w:rsidR="00184F1E" w:rsidRPr="005251D5" w:rsidRDefault="00184F1E" w:rsidP="00184F1E">
      <w:pPr>
        <w:spacing w:before="20" w:after="20" w:line="180" w:lineRule="atLeast"/>
        <w:jc w:val="both"/>
        <w:rPr>
          <w:rFonts w:eastAsia="Times New Roman"/>
        </w:rPr>
      </w:pPr>
      <w:r w:rsidRPr="005251D5">
        <w:rPr>
          <w:rFonts w:eastAsia="Times New Roman"/>
          <w:b/>
        </w:rPr>
        <w:t>Partly achieved</w:t>
      </w:r>
      <w:r w:rsidR="00613DDD" w:rsidRPr="005251D5">
        <w:rPr>
          <w:rFonts w:eastAsia="Times New Roman"/>
        </w:rPr>
        <w:t>:  s</w:t>
      </w:r>
      <w:r w:rsidRPr="005251D5">
        <w:rPr>
          <w:rFonts w:eastAsia="Times New Roman"/>
        </w:rPr>
        <w:t xml:space="preserve">ome progress has been made towards achieving the performance benchmark, but progress was less than anticipated. </w:t>
      </w:r>
    </w:p>
    <w:p w14:paraId="4D2E51B2" w14:textId="5BD6E1B1" w:rsidR="00184F1E" w:rsidRPr="005251D5" w:rsidRDefault="00184F1E" w:rsidP="00184F1E">
      <w:pPr>
        <w:spacing w:before="20" w:after="20" w:line="180" w:lineRule="atLeast"/>
        <w:jc w:val="both"/>
        <w:rPr>
          <w:rFonts w:eastAsia="Times New Roman"/>
        </w:rPr>
      </w:pPr>
      <w:r w:rsidRPr="005251D5">
        <w:rPr>
          <w:rFonts w:eastAsia="Times New Roman"/>
          <w:b/>
        </w:rPr>
        <w:t>Not achieved</w:t>
      </w:r>
      <w:r w:rsidR="00613DDD" w:rsidRPr="005251D5">
        <w:rPr>
          <w:rFonts w:eastAsia="Times New Roman"/>
        </w:rPr>
        <w:t>: p</w:t>
      </w:r>
      <w:r w:rsidRPr="005251D5">
        <w:rPr>
          <w:rFonts w:eastAsia="Times New Roman"/>
        </w:rPr>
        <w:t>rogress towards the performance benchmark has been significantly below expectations</w:t>
      </w:r>
    </w:p>
    <w:p w14:paraId="7DEC0523" w14:textId="6E2B86CF" w:rsidR="00184F1E" w:rsidRPr="005251D5" w:rsidRDefault="005251D5" w:rsidP="00C73C66">
      <w:pPr>
        <w:spacing w:after="120"/>
      </w:pPr>
      <w:r w:rsidRPr="005251D5">
        <w:rPr>
          <w:b/>
        </w:rPr>
        <w:t>Note:</w:t>
      </w:r>
      <w:r>
        <w:t xml:space="preserve"> </w:t>
      </w:r>
      <w:r w:rsidR="00313C1E" w:rsidRPr="005251D5">
        <w:t>Future</w:t>
      </w:r>
      <w:r w:rsidR="00867C25" w:rsidRPr="005251D5">
        <w:t xml:space="preserve"> performance benchmarks will be set </w:t>
      </w:r>
      <w:r w:rsidR="00313C1E" w:rsidRPr="005251D5">
        <w:t xml:space="preserve">during development of </w:t>
      </w:r>
      <w:r w:rsidR="00867C25" w:rsidRPr="005251D5">
        <w:t>the next Aid Investment Plan.</w:t>
      </w:r>
    </w:p>
    <w:p w14:paraId="0027CEFC" w14:textId="6BC16E30" w:rsidR="00AF1B85" w:rsidRPr="00EF26B5" w:rsidRDefault="00184F1E" w:rsidP="00BB648A">
      <w:pPr>
        <w:pStyle w:val="Subtitle"/>
        <w:spacing w:before="360" w:after="120" w:line="300" w:lineRule="exact"/>
        <w:rPr>
          <w:rFonts w:asciiTheme="majorHAnsi" w:hAnsiTheme="majorHAnsi" w:cstheme="majorHAnsi"/>
        </w:rPr>
      </w:pPr>
      <w:r>
        <w:br w:type="page"/>
      </w:r>
      <w:r w:rsidR="00AF1B85" w:rsidRPr="00EF26B5">
        <w:rPr>
          <w:rFonts w:asciiTheme="majorHAnsi" w:hAnsiTheme="majorHAnsi" w:cstheme="majorHAnsi"/>
        </w:rPr>
        <w:lastRenderedPageBreak/>
        <w:t xml:space="preserve">Annex </w:t>
      </w:r>
      <w:r w:rsidRPr="00EF26B5">
        <w:rPr>
          <w:rFonts w:asciiTheme="majorHAnsi" w:hAnsiTheme="majorHAnsi" w:cstheme="majorHAnsi"/>
        </w:rPr>
        <w:t>C</w:t>
      </w:r>
      <w:r w:rsidR="00AF1B85" w:rsidRPr="00EF26B5">
        <w:rPr>
          <w:rFonts w:asciiTheme="majorHAnsi" w:hAnsiTheme="majorHAnsi" w:cstheme="majorHAnsi"/>
        </w:rPr>
        <w:t xml:space="preserve"> - Evaluation Planning</w:t>
      </w:r>
    </w:p>
    <w:p w14:paraId="123C5258" w14:textId="4D890578" w:rsidR="00AF1B85" w:rsidRPr="00EF26B5" w:rsidRDefault="00EF26B5" w:rsidP="007A13AE">
      <w:pPr>
        <w:spacing w:before="360"/>
        <w:rPr>
          <w:rFonts w:eastAsiaTheme="majorEastAsia" w:cstheme="minorHAnsi"/>
          <w:caps/>
          <w:sz w:val="36"/>
          <w:szCs w:val="36"/>
        </w:rPr>
      </w:pPr>
      <w:r w:rsidRPr="00EF26B5">
        <w:rPr>
          <w:rFonts w:eastAsiaTheme="majorEastAsia" w:cstheme="minorHAnsi"/>
          <w:caps/>
          <w:sz w:val="36"/>
          <w:szCs w:val="36"/>
        </w:rPr>
        <w:t xml:space="preserve">1 </w:t>
      </w:r>
      <w:r w:rsidR="00AF1B85" w:rsidRPr="00EF26B5">
        <w:rPr>
          <w:rFonts w:eastAsiaTheme="majorEastAsia" w:cstheme="minorHAnsi"/>
          <w:caps/>
          <w:sz w:val="36"/>
          <w:szCs w:val="36"/>
        </w:rPr>
        <w:t xml:space="preserve">List of evaluations completed in the reporting period </w:t>
      </w:r>
    </w:p>
    <w:tbl>
      <w:tblPr>
        <w:tblStyle w:val="TableGridLight"/>
        <w:tblW w:w="14311" w:type="dxa"/>
        <w:tblLayout w:type="fixed"/>
        <w:tblLook w:val="04A0" w:firstRow="1" w:lastRow="0" w:firstColumn="1" w:lastColumn="0" w:noHBand="0" w:noVBand="1"/>
        <w:tblCaption w:val="List of evaluations completed in the reporting period of 2018-2019 "/>
      </w:tblPr>
      <w:tblGrid>
        <w:gridCol w:w="3107"/>
        <w:gridCol w:w="3716"/>
        <w:gridCol w:w="1416"/>
        <w:gridCol w:w="1980"/>
        <w:gridCol w:w="1694"/>
        <w:gridCol w:w="2398"/>
      </w:tblGrid>
      <w:tr w:rsidR="00AF1B85" w:rsidRPr="00C61187" w14:paraId="10048F22" w14:textId="77777777" w:rsidTr="00613DDD">
        <w:trPr>
          <w:tblHeader/>
        </w:trPr>
        <w:tc>
          <w:tcPr>
            <w:tcW w:w="3064" w:type="dxa"/>
          </w:tcPr>
          <w:p w14:paraId="2F2FC7AC" w14:textId="77777777" w:rsidR="00AF1B85" w:rsidRPr="00613DDD" w:rsidRDefault="00AF1B85" w:rsidP="00D15A00">
            <w:pPr>
              <w:keepLines/>
              <w:spacing w:line="200" w:lineRule="atLeast"/>
              <w:rPr>
                <w:rFonts w:eastAsia="Times New Roman"/>
                <w:b/>
                <w:iCs/>
                <w:szCs w:val="17"/>
              </w:rPr>
            </w:pPr>
            <w:r w:rsidRPr="00613DDD">
              <w:rPr>
                <w:rFonts w:eastAsia="Times New Roman"/>
                <w:b/>
                <w:iCs/>
                <w:szCs w:val="17"/>
              </w:rPr>
              <w:t xml:space="preserve">Investment number and name </w:t>
            </w:r>
          </w:p>
          <w:p w14:paraId="570BE130" w14:textId="77777777" w:rsidR="00AF1B85" w:rsidRPr="00613DDD" w:rsidRDefault="00AF1B85" w:rsidP="00D15A00">
            <w:pPr>
              <w:keepLines/>
              <w:spacing w:line="200" w:lineRule="atLeast"/>
              <w:rPr>
                <w:rFonts w:eastAsia="Times New Roman"/>
                <w:b/>
                <w:iCs/>
                <w:szCs w:val="17"/>
              </w:rPr>
            </w:pPr>
            <w:r w:rsidRPr="00613DDD">
              <w:rPr>
                <w:rFonts w:eastAsia="Times New Roman"/>
                <w:b/>
                <w:iCs/>
                <w:szCs w:val="17"/>
              </w:rPr>
              <w:t xml:space="preserve">(if applicable) </w:t>
            </w:r>
          </w:p>
        </w:tc>
        <w:tc>
          <w:tcPr>
            <w:tcW w:w="3665" w:type="dxa"/>
          </w:tcPr>
          <w:p w14:paraId="7DCADA55" w14:textId="77777777" w:rsidR="00AF1B85" w:rsidRPr="00613DDD" w:rsidRDefault="00AF1B85" w:rsidP="00D15A00">
            <w:pPr>
              <w:keepLines/>
              <w:spacing w:line="200" w:lineRule="atLeast"/>
              <w:rPr>
                <w:rFonts w:eastAsia="Times New Roman"/>
                <w:b/>
                <w:iCs/>
                <w:szCs w:val="17"/>
              </w:rPr>
            </w:pPr>
            <w:r w:rsidRPr="00613DDD">
              <w:rPr>
                <w:rFonts w:eastAsia="Times New Roman"/>
                <w:b/>
                <w:iCs/>
                <w:szCs w:val="17"/>
              </w:rPr>
              <w:t>Name of evaluation</w:t>
            </w:r>
          </w:p>
        </w:tc>
        <w:tc>
          <w:tcPr>
            <w:tcW w:w="1397" w:type="dxa"/>
          </w:tcPr>
          <w:p w14:paraId="6A26DE4C" w14:textId="77777777" w:rsidR="00AF1B85" w:rsidRPr="00613DDD" w:rsidRDefault="00AF1B85" w:rsidP="00D15A00">
            <w:pPr>
              <w:keepLines/>
              <w:spacing w:line="200" w:lineRule="atLeast"/>
              <w:rPr>
                <w:rFonts w:eastAsia="Times New Roman"/>
                <w:b/>
                <w:iCs/>
                <w:szCs w:val="17"/>
              </w:rPr>
            </w:pPr>
            <w:r w:rsidRPr="00613DDD">
              <w:rPr>
                <w:rFonts w:eastAsia="Times New Roman"/>
                <w:b/>
                <w:iCs/>
                <w:szCs w:val="17"/>
              </w:rPr>
              <w:t>Date completed</w:t>
            </w:r>
          </w:p>
        </w:tc>
        <w:tc>
          <w:tcPr>
            <w:tcW w:w="1953" w:type="dxa"/>
          </w:tcPr>
          <w:p w14:paraId="702AE758" w14:textId="77777777" w:rsidR="00AF1B85" w:rsidRPr="00613DDD" w:rsidRDefault="00AF1B85" w:rsidP="00D15A00">
            <w:pPr>
              <w:keepLines/>
              <w:spacing w:line="200" w:lineRule="atLeast"/>
              <w:rPr>
                <w:rFonts w:eastAsia="Times New Roman"/>
                <w:b/>
                <w:iCs/>
                <w:szCs w:val="17"/>
              </w:rPr>
            </w:pPr>
            <w:r w:rsidRPr="00613DDD">
              <w:rPr>
                <w:rFonts w:eastAsia="Times New Roman"/>
                <w:b/>
                <w:iCs/>
                <w:szCs w:val="17"/>
              </w:rPr>
              <w:t xml:space="preserve">Date Evaluation report Uploaded into </w:t>
            </w:r>
            <w:proofErr w:type="spellStart"/>
            <w:r w:rsidRPr="00613DDD">
              <w:rPr>
                <w:rFonts w:eastAsia="Times New Roman"/>
                <w:b/>
                <w:iCs/>
                <w:szCs w:val="17"/>
              </w:rPr>
              <w:t>AidWorks</w:t>
            </w:r>
            <w:proofErr w:type="spellEnd"/>
          </w:p>
        </w:tc>
        <w:tc>
          <w:tcPr>
            <w:tcW w:w="1671" w:type="dxa"/>
          </w:tcPr>
          <w:p w14:paraId="38F9FDBA" w14:textId="77777777" w:rsidR="00AF1B85" w:rsidRPr="00613DDD" w:rsidRDefault="00AF1B85" w:rsidP="00D15A00">
            <w:pPr>
              <w:keepLines/>
              <w:spacing w:line="200" w:lineRule="atLeast"/>
              <w:rPr>
                <w:rFonts w:eastAsia="Times New Roman"/>
                <w:b/>
                <w:iCs/>
                <w:szCs w:val="17"/>
              </w:rPr>
            </w:pPr>
            <w:r w:rsidRPr="00613DDD">
              <w:rPr>
                <w:rFonts w:eastAsia="Times New Roman"/>
                <w:b/>
                <w:iCs/>
                <w:szCs w:val="17"/>
              </w:rPr>
              <w:t xml:space="preserve">Date Management response uploaded into </w:t>
            </w:r>
            <w:proofErr w:type="spellStart"/>
            <w:r w:rsidRPr="00613DDD">
              <w:rPr>
                <w:rFonts w:eastAsia="Times New Roman"/>
                <w:b/>
                <w:iCs/>
                <w:szCs w:val="17"/>
              </w:rPr>
              <w:t>AidWorks</w:t>
            </w:r>
            <w:proofErr w:type="spellEnd"/>
          </w:p>
        </w:tc>
        <w:tc>
          <w:tcPr>
            <w:tcW w:w="2365" w:type="dxa"/>
          </w:tcPr>
          <w:p w14:paraId="69878BA1" w14:textId="77777777" w:rsidR="00AF1B85" w:rsidRPr="00613DDD" w:rsidRDefault="00AF1B85" w:rsidP="00D15A00">
            <w:pPr>
              <w:keepLines/>
              <w:spacing w:line="200" w:lineRule="atLeast"/>
              <w:rPr>
                <w:rFonts w:eastAsia="Times New Roman"/>
                <w:b/>
                <w:iCs/>
                <w:szCs w:val="17"/>
              </w:rPr>
            </w:pPr>
            <w:r w:rsidRPr="00613DDD">
              <w:rPr>
                <w:rFonts w:eastAsia="Times New Roman"/>
                <w:b/>
                <w:iCs/>
                <w:szCs w:val="17"/>
              </w:rPr>
              <w:t>Published on website</w:t>
            </w:r>
          </w:p>
        </w:tc>
      </w:tr>
      <w:tr w:rsidR="00176FA3" w:rsidRPr="003B5EE5" w14:paraId="5FD574AA" w14:textId="77777777" w:rsidTr="00613DDD">
        <w:tc>
          <w:tcPr>
            <w:tcW w:w="3064" w:type="dxa"/>
          </w:tcPr>
          <w:p w14:paraId="2466AAA2" w14:textId="77777777" w:rsidR="00176FA3" w:rsidRPr="00176FA3" w:rsidRDefault="00176FA3" w:rsidP="00176FA3">
            <w:pPr>
              <w:spacing w:before="40" w:after="40" w:line="200" w:lineRule="atLeast"/>
              <w:rPr>
                <w:b/>
                <w:color w:val="333F50"/>
                <w:szCs w:val="17"/>
                <w:lang w:val="en-AU"/>
              </w:rPr>
            </w:pPr>
            <w:r w:rsidRPr="00176FA3">
              <w:rPr>
                <w:color w:val="333F50"/>
                <w:szCs w:val="17"/>
              </w:rPr>
              <w:t>INL683- Tonga Health Systems Support Program 2</w:t>
            </w:r>
          </w:p>
          <w:p w14:paraId="04BF37BC" w14:textId="77777777" w:rsidR="00176FA3" w:rsidRPr="00176FA3" w:rsidRDefault="00176FA3" w:rsidP="00176FA3">
            <w:pPr>
              <w:keepLines/>
              <w:pBdr>
                <w:top w:val="nil"/>
                <w:left w:val="nil"/>
                <w:bottom w:val="nil"/>
                <w:right w:val="nil"/>
                <w:between w:val="nil"/>
                <w:bar w:val="nil"/>
              </w:pBdr>
              <w:spacing w:before="40" w:after="40" w:line="200" w:lineRule="atLeast"/>
              <w:rPr>
                <w:rFonts w:eastAsia="Times New Roman"/>
                <w:b/>
                <w:iCs/>
                <w:color w:val="36424B" w:themeColor="text2" w:themeShade="BF"/>
                <w:szCs w:val="17"/>
              </w:rPr>
            </w:pPr>
          </w:p>
        </w:tc>
        <w:tc>
          <w:tcPr>
            <w:tcW w:w="3665" w:type="dxa"/>
          </w:tcPr>
          <w:p w14:paraId="36C9E018" w14:textId="11ACD9DA" w:rsidR="00176FA3" w:rsidRPr="00176FA3" w:rsidRDefault="00176FA3" w:rsidP="00176FA3">
            <w:pPr>
              <w:pStyle w:val="Body"/>
              <w:keepLines/>
              <w:spacing w:before="40" w:after="40" w:line="200" w:lineRule="atLeast"/>
              <w:rPr>
                <w:rFonts w:eastAsia="Times New Roman"/>
                <w:b/>
                <w:iCs/>
                <w:color w:val="FF0000"/>
                <w:szCs w:val="17"/>
              </w:rPr>
            </w:pPr>
            <w:r w:rsidRPr="00176FA3">
              <w:rPr>
                <w:rFonts w:ascii="Calibri" w:hAnsi="Calibri" w:cs="Calibri"/>
                <w:color w:val="333F50"/>
                <w:szCs w:val="17"/>
                <w:lang w:eastAsia="en-US"/>
              </w:rPr>
              <w:t>Mid-term evaluation</w:t>
            </w:r>
          </w:p>
        </w:tc>
        <w:tc>
          <w:tcPr>
            <w:tcW w:w="1397" w:type="dxa"/>
          </w:tcPr>
          <w:p w14:paraId="79A6C66B" w14:textId="2F2E413C" w:rsidR="00176FA3" w:rsidRPr="00176FA3" w:rsidRDefault="00176FA3" w:rsidP="00176FA3">
            <w:pPr>
              <w:keepLines/>
              <w:spacing w:before="40" w:after="40" w:line="200" w:lineRule="atLeast"/>
              <w:rPr>
                <w:rFonts w:eastAsia="Times New Roman"/>
                <w:b/>
                <w:iCs/>
                <w:color w:val="FF0000"/>
                <w:szCs w:val="17"/>
              </w:rPr>
            </w:pPr>
            <w:r w:rsidRPr="00176FA3">
              <w:rPr>
                <w:color w:val="333F50"/>
                <w:szCs w:val="17"/>
              </w:rPr>
              <w:t>May 2019</w:t>
            </w:r>
          </w:p>
        </w:tc>
        <w:tc>
          <w:tcPr>
            <w:tcW w:w="1953" w:type="dxa"/>
          </w:tcPr>
          <w:p w14:paraId="0E16DE93" w14:textId="1C8967C0" w:rsidR="00176FA3" w:rsidRPr="00176FA3" w:rsidRDefault="00176FA3" w:rsidP="00176FA3">
            <w:pPr>
              <w:keepLines/>
              <w:spacing w:before="40" w:after="40" w:line="200" w:lineRule="atLeast"/>
              <w:rPr>
                <w:rFonts w:eastAsia="Times New Roman"/>
                <w:b/>
                <w:iCs/>
                <w:color w:val="FF0000"/>
                <w:szCs w:val="17"/>
              </w:rPr>
            </w:pPr>
            <w:r w:rsidRPr="00176FA3">
              <w:rPr>
                <w:color w:val="333F50"/>
                <w:szCs w:val="17"/>
              </w:rPr>
              <w:t>By August 2019</w:t>
            </w:r>
          </w:p>
        </w:tc>
        <w:tc>
          <w:tcPr>
            <w:tcW w:w="1671" w:type="dxa"/>
          </w:tcPr>
          <w:p w14:paraId="1E656FDE" w14:textId="5E5DF921" w:rsidR="00176FA3" w:rsidRPr="00176FA3" w:rsidRDefault="00176FA3" w:rsidP="00176FA3">
            <w:pPr>
              <w:keepLines/>
              <w:spacing w:before="40" w:after="40" w:line="200" w:lineRule="atLeast"/>
              <w:rPr>
                <w:rFonts w:eastAsia="Times New Roman"/>
                <w:b/>
                <w:iCs/>
                <w:color w:val="FF0000"/>
                <w:szCs w:val="17"/>
              </w:rPr>
            </w:pPr>
            <w:r w:rsidRPr="00176FA3">
              <w:rPr>
                <w:color w:val="333F50"/>
                <w:szCs w:val="17"/>
              </w:rPr>
              <w:t>By August 2019</w:t>
            </w:r>
          </w:p>
        </w:tc>
        <w:tc>
          <w:tcPr>
            <w:tcW w:w="2365" w:type="dxa"/>
          </w:tcPr>
          <w:p w14:paraId="34814F8C" w14:textId="562B52A9" w:rsidR="00176FA3" w:rsidRPr="00176FA3" w:rsidRDefault="00176FA3" w:rsidP="00176FA3">
            <w:pPr>
              <w:keepLines/>
              <w:spacing w:before="40" w:after="40" w:line="200" w:lineRule="atLeast"/>
              <w:rPr>
                <w:rFonts w:eastAsia="Times New Roman"/>
                <w:b/>
                <w:iCs/>
                <w:color w:val="FF0000"/>
                <w:szCs w:val="17"/>
              </w:rPr>
            </w:pPr>
            <w:r w:rsidRPr="00176FA3">
              <w:rPr>
                <w:color w:val="333F50"/>
                <w:szCs w:val="17"/>
              </w:rPr>
              <w:t>By August 2019</w:t>
            </w:r>
          </w:p>
        </w:tc>
      </w:tr>
    </w:tbl>
    <w:p w14:paraId="5307296B" w14:textId="4CC4A70A" w:rsidR="00AF1B85" w:rsidRPr="00EF26B5" w:rsidRDefault="00EF26B5" w:rsidP="007A13AE">
      <w:pPr>
        <w:spacing w:before="360"/>
        <w:rPr>
          <w:rFonts w:eastAsiaTheme="majorEastAsia" w:cstheme="minorHAnsi"/>
          <w:caps/>
          <w:sz w:val="36"/>
          <w:szCs w:val="36"/>
        </w:rPr>
      </w:pPr>
      <w:r w:rsidRPr="00EF26B5">
        <w:rPr>
          <w:rFonts w:eastAsiaTheme="majorEastAsia" w:cstheme="minorHAnsi"/>
          <w:caps/>
          <w:sz w:val="36"/>
          <w:szCs w:val="36"/>
        </w:rPr>
        <w:t xml:space="preserve">2 </w:t>
      </w:r>
      <w:r w:rsidR="00AF1B85" w:rsidRPr="00EF26B5">
        <w:rPr>
          <w:rFonts w:eastAsiaTheme="majorEastAsia" w:cstheme="minorHAnsi"/>
          <w:caps/>
          <w:sz w:val="36"/>
          <w:szCs w:val="36"/>
        </w:rPr>
        <w:t xml:space="preserve">List of program prioritised evaluations planned for the next 12 months </w:t>
      </w:r>
    </w:p>
    <w:tbl>
      <w:tblPr>
        <w:tblStyle w:val="TableGridLight"/>
        <w:tblW w:w="14311" w:type="dxa"/>
        <w:tblLook w:val="0600" w:firstRow="0" w:lastRow="0" w:firstColumn="0" w:lastColumn="0" w:noHBand="1" w:noVBand="1"/>
        <w:tblCaption w:val="List of program prioritised evaluations planned for the next 12 months"/>
        <w:tblDescription w:val="There are no evaluations planned."/>
      </w:tblPr>
      <w:tblGrid>
        <w:gridCol w:w="2478"/>
        <w:gridCol w:w="2389"/>
        <w:gridCol w:w="2070"/>
        <w:gridCol w:w="2239"/>
        <w:gridCol w:w="2357"/>
        <w:gridCol w:w="2778"/>
      </w:tblGrid>
      <w:tr w:rsidR="00AF1B85" w:rsidRPr="00C61187" w14:paraId="17367D7C" w14:textId="77777777" w:rsidTr="00613DDD">
        <w:trPr>
          <w:tblHeader/>
        </w:trPr>
        <w:tc>
          <w:tcPr>
            <w:tcW w:w="2444" w:type="dxa"/>
          </w:tcPr>
          <w:p w14:paraId="54CCE12F" w14:textId="77777777" w:rsidR="00AF1B85" w:rsidRPr="00812509" w:rsidRDefault="00AF1B85" w:rsidP="00D15A00">
            <w:pPr>
              <w:keepLines/>
              <w:spacing w:before="80" w:after="80" w:line="200" w:lineRule="atLeast"/>
              <w:rPr>
                <w:rFonts w:eastAsia="Times New Roman"/>
                <w:b/>
                <w:iCs/>
                <w:szCs w:val="17"/>
              </w:rPr>
            </w:pPr>
            <w:r w:rsidRPr="00812509">
              <w:rPr>
                <w:rFonts w:eastAsia="Times New Roman"/>
                <w:b/>
                <w:iCs/>
                <w:szCs w:val="17"/>
              </w:rPr>
              <w:t>Evaluation title</w:t>
            </w:r>
          </w:p>
        </w:tc>
        <w:tc>
          <w:tcPr>
            <w:tcW w:w="2356" w:type="dxa"/>
          </w:tcPr>
          <w:p w14:paraId="52E7B6D1" w14:textId="77777777" w:rsidR="00AF1B85" w:rsidRPr="00812509" w:rsidRDefault="00AF1B85" w:rsidP="00D15A00">
            <w:pPr>
              <w:keepLines/>
              <w:spacing w:before="80" w:after="80" w:line="200" w:lineRule="atLeast"/>
              <w:rPr>
                <w:rFonts w:eastAsia="Times New Roman"/>
                <w:b/>
                <w:iCs/>
                <w:szCs w:val="17"/>
              </w:rPr>
            </w:pPr>
            <w:r w:rsidRPr="00812509">
              <w:rPr>
                <w:rFonts w:eastAsia="Times New Roman"/>
                <w:b/>
                <w:iCs/>
                <w:szCs w:val="17"/>
              </w:rPr>
              <w:t xml:space="preserve">Investment number and name (if applicable) </w:t>
            </w:r>
          </w:p>
        </w:tc>
        <w:tc>
          <w:tcPr>
            <w:tcW w:w="2042" w:type="dxa"/>
          </w:tcPr>
          <w:p w14:paraId="1E5D5B9A" w14:textId="77777777" w:rsidR="00AF1B85" w:rsidRPr="00812509" w:rsidRDefault="00AF1B85" w:rsidP="00D15A00">
            <w:pPr>
              <w:keepLines/>
              <w:spacing w:before="80" w:after="80" w:line="200" w:lineRule="atLeast"/>
              <w:rPr>
                <w:rFonts w:eastAsia="Times New Roman"/>
                <w:b/>
                <w:iCs/>
                <w:szCs w:val="17"/>
              </w:rPr>
            </w:pPr>
            <w:r w:rsidRPr="00812509">
              <w:rPr>
                <w:rFonts w:eastAsia="Times New Roman"/>
                <w:b/>
                <w:iCs/>
                <w:szCs w:val="17"/>
              </w:rPr>
              <w:t>Date – planned commencement (month/year)</w:t>
            </w:r>
          </w:p>
        </w:tc>
        <w:tc>
          <w:tcPr>
            <w:tcW w:w="2208" w:type="dxa"/>
          </w:tcPr>
          <w:p w14:paraId="7E8FD718" w14:textId="77777777" w:rsidR="00AF1B85" w:rsidRPr="00812509" w:rsidRDefault="00AF1B85" w:rsidP="00D15A00">
            <w:pPr>
              <w:keepLines/>
              <w:spacing w:before="80" w:after="80" w:line="200" w:lineRule="atLeast"/>
              <w:rPr>
                <w:rFonts w:eastAsia="Times New Roman"/>
                <w:b/>
                <w:iCs/>
                <w:szCs w:val="17"/>
              </w:rPr>
            </w:pPr>
            <w:r w:rsidRPr="00812509">
              <w:rPr>
                <w:rFonts w:eastAsia="Times New Roman"/>
                <w:b/>
                <w:iCs/>
                <w:szCs w:val="17"/>
              </w:rPr>
              <w:t>Date – planned completion (month/year)</w:t>
            </w:r>
          </w:p>
        </w:tc>
        <w:tc>
          <w:tcPr>
            <w:tcW w:w="2325" w:type="dxa"/>
          </w:tcPr>
          <w:p w14:paraId="6F3B9DBD" w14:textId="77777777" w:rsidR="00AF1B85" w:rsidRPr="00812509" w:rsidRDefault="00AF1B85" w:rsidP="00D15A00">
            <w:pPr>
              <w:keepLines/>
              <w:spacing w:before="80" w:after="80" w:line="200" w:lineRule="atLeast"/>
              <w:rPr>
                <w:rFonts w:eastAsia="Times New Roman"/>
                <w:b/>
                <w:iCs/>
                <w:szCs w:val="17"/>
              </w:rPr>
            </w:pPr>
            <w:r w:rsidRPr="00812509">
              <w:rPr>
                <w:rFonts w:eastAsia="Times New Roman"/>
                <w:b/>
                <w:iCs/>
                <w:szCs w:val="17"/>
              </w:rPr>
              <w:t>Purpose of evaluation</w:t>
            </w:r>
          </w:p>
        </w:tc>
        <w:tc>
          <w:tcPr>
            <w:tcW w:w="2740" w:type="dxa"/>
          </w:tcPr>
          <w:p w14:paraId="5D1F5CC3" w14:textId="77777777" w:rsidR="00AF1B85" w:rsidRPr="00812509" w:rsidRDefault="00AF1B85" w:rsidP="00D15A00">
            <w:pPr>
              <w:keepLines/>
              <w:spacing w:before="80" w:after="80" w:line="200" w:lineRule="atLeast"/>
              <w:rPr>
                <w:rFonts w:eastAsia="Times New Roman"/>
                <w:b/>
                <w:iCs/>
                <w:szCs w:val="17"/>
              </w:rPr>
            </w:pPr>
            <w:r w:rsidRPr="00812509">
              <w:rPr>
                <w:rFonts w:eastAsia="Times New Roman"/>
                <w:b/>
                <w:iCs/>
                <w:szCs w:val="17"/>
              </w:rPr>
              <w:t>Evaluation type</w:t>
            </w:r>
          </w:p>
        </w:tc>
      </w:tr>
      <w:tr w:rsidR="00AF1B85" w:rsidRPr="00C61187" w14:paraId="2CE5EECC" w14:textId="77777777" w:rsidTr="00613DDD">
        <w:tc>
          <w:tcPr>
            <w:tcW w:w="2444" w:type="dxa"/>
          </w:tcPr>
          <w:p w14:paraId="2078ACF4" w14:textId="0E830392" w:rsidR="00AF1B85" w:rsidRPr="00085E5F" w:rsidRDefault="00176FA3" w:rsidP="00D15A00">
            <w:pPr>
              <w:keepLines/>
              <w:spacing w:before="40" w:after="40" w:line="200" w:lineRule="atLeast"/>
              <w:rPr>
                <w:rFonts w:eastAsia="Times New Roman"/>
                <w:iCs/>
                <w:color w:val="FF0000"/>
                <w:szCs w:val="17"/>
              </w:rPr>
            </w:pPr>
            <w:r w:rsidRPr="00176FA3">
              <w:rPr>
                <w:rFonts w:eastAsia="Times New Roman"/>
                <w:iCs/>
                <w:color w:val="36424B" w:themeColor="text2" w:themeShade="BF"/>
                <w:szCs w:val="17"/>
              </w:rPr>
              <w:t>N/A</w:t>
            </w:r>
          </w:p>
        </w:tc>
        <w:tc>
          <w:tcPr>
            <w:tcW w:w="2356" w:type="dxa"/>
          </w:tcPr>
          <w:p w14:paraId="39DAA1C1" w14:textId="7F3BFAFB" w:rsidR="00AF1B85" w:rsidRPr="00085E5F" w:rsidRDefault="00AF1B85" w:rsidP="00D15A00">
            <w:pPr>
              <w:keepLines/>
              <w:spacing w:before="40" w:after="40" w:line="200" w:lineRule="atLeast"/>
              <w:rPr>
                <w:rFonts w:eastAsia="Times New Roman"/>
                <w:iCs/>
                <w:color w:val="FF0000"/>
                <w:szCs w:val="17"/>
              </w:rPr>
            </w:pPr>
          </w:p>
        </w:tc>
        <w:tc>
          <w:tcPr>
            <w:tcW w:w="2042" w:type="dxa"/>
          </w:tcPr>
          <w:p w14:paraId="137C46DA" w14:textId="6C15110C" w:rsidR="00AF1B85" w:rsidRPr="00085E5F" w:rsidRDefault="00AF1B85" w:rsidP="00D15A00">
            <w:pPr>
              <w:keepLines/>
              <w:spacing w:before="40" w:after="40" w:line="200" w:lineRule="atLeast"/>
              <w:rPr>
                <w:rFonts w:eastAsia="Times New Roman"/>
                <w:iCs/>
                <w:color w:val="FF0000"/>
                <w:szCs w:val="17"/>
              </w:rPr>
            </w:pPr>
          </w:p>
        </w:tc>
        <w:tc>
          <w:tcPr>
            <w:tcW w:w="2208" w:type="dxa"/>
          </w:tcPr>
          <w:p w14:paraId="21B6D597" w14:textId="41F4EC2B" w:rsidR="00AF1B85" w:rsidRPr="00085E5F" w:rsidRDefault="00AF1B85" w:rsidP="00D15A00">
            <w:pPr>
              <w:keepLines/>
              <w:spacing w:before="40" w:after="40" w:line="200" w:lineRule="atLeast"/>
              <w:rPr>
                <w:rFonts w:eastAsia="Times New Roman"/>
                <w:iCs/>
                <w:color w:val="FF0000"/>
                <w:szCs w:val="17"/>
              </w:rPr>
            </w:pPr>
          </w:p>
        </w:tc>
        <w:tc>
          <w:tcPr>
            <w:tcW w:w="2325" w:type="dxa"/>
          </w:tcPr>
          <w:p w14:paraId="67E2E11D" w14:textId="79941BA1" w:rsidR="00AF1B85" w:rsidRPr="00085E5F" w:rsidRDefault="00AF1B85" w:rsidP="00D15A00">
            <w:pPr>
              <w:keepLines/>
              <w:spacing w:before="40" w:after="40" w:line="200" w:lineRule="atLeast"/>
              <w:rPr>
                <w:rFonts w:eastAsia="Times New Roman"/>
                <w:iCs/>
                <w:color w:val="FF0000"/>
                <w:szCs w:val="17"/>
              </w:rPr>
            </w:pPr>
          </w:p>
        </w:tc>
        <w:tc>
          <w:tcPr>
            <w:tcW w:w="2740" w:type="dxa"/>
          </w:tcPr>
          <w:p w14:paraId="2957EB2D" w14:textId="63D19027" w:rsidR="00AF1B85" w:rsidRPr="00085E5F" w:rsidRDefault="00AF1B85" w:rsidP="00D15A00">
            <w:pPr>
              <w:keepLines/>
              <w:spacing w:before="40" w:after="40" w:line="200" w:lineRule="atLeast"/>
              <w:rPr>
                <w:rFonts w:eastAsia="Times New Roman"/>
                <w:iCs/>
                <w:color w:val="FF0000"/>
                <w:szCs w:val="17"/>
              </w:rPr>
            </w:pPr>
          </w:p>
        </w:tc>
      </w:tr>
    </w:tbl>
    <w:p w14:paraId="0C06CC99" w14:textId="77777777" w:rsidR="0059146A" w:rsidRPr="0059146A" w:rsidRDefault="0059146A" w:rsidP="005B5769">
      <w:pPr>
        <w:pStyle w:val="ListBullet"/>
        <w:tabs>
          <w:tab w:val="clear" w:pos="284"/>
        </w:tabs>
      </w:pPr>
    </w:p>
    <w:p w14:paraId="7BE3BDCE" w14:textId="77777777" w:rsidR="0059146A" w:rsidRDefault="0059146A" w:rsidP="005B5769">
      <w:pPr>
        <w:pStyle w:val="ListBullet"/>
        <w:tabs>
          <w:tab w:val="clear" w:pos="284"/>
        </w:tabs>
      </w:pPr>
    </w:p>
    <w:p w14:paraId="5F8006D8" w14:textId="77777777" w:rsidR="005E606B" w:rsidRDefault="005E606B" w:rsidP="005B5769">
      <w:pPr>
        <w:pStyle w:val="ListBullet"/>
        <w:tabs>
          <w:tab w:val="clear" w:pos="284"/>
        </w:tabs>
        <w:sectPr w:rsidR="005E606B" w:rsidSect="00F568EB">
          <w:headerReference w:type="default" r:id="rId29"/>
          <w:headerReference w:type="first" r:id="rId30"/>
          <w:pgSz w:w="16838" w:h="11906" w:orient="landscape" w:code="9"/>
          <w:pgMar w:top="1134" w:right="1952" w:bottom="1134" w:left="851" w:header="1107" w:footer="567" w:gutter="0"/>
          <w:cols w:space="397"/>
          <w:docGrid w:linePitch="360"/>
        </w:sectPr>
      </w:pPr>
    </w:p>
    <w:p w14:paraId="4D938075" w14:textId="77777777" w:rsidR="0059146A" w:rsidRDefault="0059146A" w:rsidP="005B5769">
      <w:pPr>
        <w:pStyle w:val="ListBullet"/>
        <w:tabs>
          <w:tab w:val="clear" w:pos="284"/>
        </w:tabs>
      </w:pPr>
    </w:p>
    <w:p w14:paraId="2EB3E93D" w14:textId="77777777" w:rsidR="005E606B" w:rsidRPr="00EF26B5" w:rsidRDefault="005E606B" w:rsidP="00BB648A">
      <w:pPr>
        <w:pStyle w:val="Subtitle"/>
        <w:spacing w:before="360" w:after="120" w:line="300" w:lineRule="exact"/>
        <w:rPr>
          <w:rFonts w:asciiTheme="majorHAnsi" w:hAnsiTheme="majorHAnsi" w:cstheme="majorHAnsi"/>
        </w:rPr>
      </w:pPr>
      <w:r w:rsidRPr="00EF26B5">
        <w:rPr>
          <w:rFonts w:asciiTheme="majorHAnsi" w:hAnsiTheme="majorHAnsi" w:cstheme="majorHAnsi"/>
        </w:rPr>
        <w:t xml:space="preserve">Annex </w:t>
      </w:r>
      <w:r w:rsidR="00184F1E" w:rsidRPr="00EF26B5">
        <w:rPr>
          <w:rFonts w:asciiTheme="majorHAnsi" w:hAnsiTheme="majorHAnsi" w:cstheme="majorHAnsi"/>
        </w:rPr>
        <w:t>D</w:t>
      </w:r>
      <w:r w:rsidRPr="00EF26B5">
        <w:rPr>
          <w:rFonts w:asciiTheme="majorHAnsi" w:hAnsiTheme="majorHAnsi" w:cstheme="majorHAnsi"/>
        </w:rPr>
        <w:t xml:space="preserve"> - Aid Quality Check ratings</w:t>
      </w:r>
    </w:p>
    <w:p w14:paraId="47078FBE" w14:textId="20B5C500" w:rsidR="005E606B" w:rsidRPr="00EF26B5" w:rsidRDefault="00212FB7" w:rsidP="00A8197B">
      <w:pPr>
        <w:pStyle w:val="ListBullet"/>
        <w:tabs>
          <w:tab w:val="clear" w:pos="284"/>
        </w:tabs>
        <w:spacing w:before="400"/>
        <w:rPr>
          <w:rFonts w:asciiTheme="minorHAnsi" w:eastAsiaTheme="majorEastAsia" w:hAnsiTheme="minorHAnsi" w:cstheme="minorHAnsi"/>
          <w:caps/>
          <w:color w:val="495965" w:themeColor="text2"/>
          <w:sz w:val="36"/>
          <w:szCs w:val="36"/>
          <w:lang w:val="en-GB" w:eastAsia="en-US"/>
        </w:rPr>
      </w:pPr>
      <w:r w:rsidRPr="00EF26B5">
        <w:rPr>
          <w:rFonts w:asciiTheme="minorHAnsi" w:eastAsiaTheme="majorEastAsia" w:hAnsiTheme="minorHAnsi" w:cstheme="minorHAnsi"/>
          <w:caps/>
          <w:color w:val="495965" w:themeColor="text2"/>
          <w:sz w:val="36"/>
          <w:szCs w:val="36"/>
          <w:lang w:val="en-GB" w:eastAsia="en-US"/>
        </w:rPr>
        <w:t xml:space="preserve">1 </w:t>
      </w:r>
      <w:r w:rsidR="005E606B" w:rsidRPr="00EF26B5">
        <w:rPr>
          <w:rFonts w:asciiTheme="minorHAnsi" w:eastAsiaTheme="majorEastAsia" w:hAnsiTheme="minorHAnsi" w:cstheme="minorHAnsi"/>
          <w:caps/>
          <w:color w:val="495965" w:themeColor="text2"/>
          <w:sz w:val="36"/>
          <w:szCs w:val="36"/>
          <w:lang w:val="en-GB" w:eastAsia="en-US"/>
        </w:rPr>
        <w:t>AQC ratings</w:t>
      </w:r>
    </w:p>
    <w:tbl>
      <w:tblPr>
        <w:tblStyle w:val="TableGridLight"/>
        <w:tblW w:w="10060" w:type="dxa"/>
        <w:tblInd w:w="-147" w:type="dxa"/>
        <w:tblLayout w:type="fixed"/>
        <w:tblLook w:val="04A0" w:firstRow="1" w:lastRow="0" w:firstColumn="1" w:lastColumn="0" w:noHBand="0" w:noVBand="1"/>
        <w:tblCaption w:val="Annex D - Aid Quality Check (AQC) Ratings"/>
      </w:tblPr>
      <w:tblGrid>
        <w:gridCol w:w="3011"/>
        <w:gridCol w:w="992"/>
        <w:gridCol w:w="1134"/>
        <w:gridCol w:w="954"/>
        <w:gridCol w:w="992"/>
        <w:gridCol w:w="850"/>
        <w:gridCol w:w="992"/>
        <w:gridCol w:w="1135"/>
      </w:tblGrid>
      <w:tr w:rsidR="006C4AF6" w:rsidRPr="006C4AF6" w14:paraId="494E3CF5" w14:textId="77777777" w:rsidTr="00613DDD">
        <w:trPr>
          <w:trHeight w:val="1125"/>
          <w:tblHeader/>
        </w:trPr>
        <w:tc>
          <w:tcPr>
            <w:tcW w:w="3011" w:type="dxa"/>
          </w:tcPr>
          <w:p w14:paraId="245BD6A7" w14:textId="77777777" w:rsidR="00335073" w:rsidRPr="006C4AF6" w:rsidRDefault="00335073" w:rsidP="006C4AF6">
            <w:pPr>
              <w:pStyle w:val="Body"/>
              <w:suppressAutoHyphens w:val="0"/>
              <w:spacing w:before="0" w:after="0" w:line="240" w:lineRule="auto"/>
              <w:ind w:left="-10" w:firstLine="10"/>
              <w:jc w:val="center"/>
              <w:rPr>
                <w:color w:val="495965" w:themeColor="text2"/>
              </w:rPr>
            </w:pPr>
            <w:r w:rsidRPr="006C4AF6">
              <w:rPr>
                <w:b/>
                <w:bCs/>
                <w:color w:val="495965" w:themeColor="text2"/>
                <w:sz w:val="17"/>
                <w:szCs w:val="17"/>
                <w:lang w:val="en-US"/>
              </w:rPr>
              <w:t>Investment name</w:t>
            </w:r>
          </w:p>
        </w:tc>
        <w:tc>
          <w:tcPr>
            <w:tcW w:w="992" w:type="dxa"/>
          </w:tcPr>
          <w:p w14:paraId="18E2C26C" w14:textId="77777777" w:rsidR="00335073" w:rsidRPr="006C4AF6" w:rsidRDefault="00335073" w:rsidP="006C4AF6">
            <w:pPr>
              <w:pStyle w:val="Body"/>
              <w:suppressAutoHyphens w:val="0"/>
              <w:spacing w:before="0" w:after="0" w:line="240" w:lineRule="auto"/>
              <w:ind w:left="-10" w:firstLine="10"/>
              <w:jc w:val="center"/>
              <w:rPr>
                <w:color w:val="495965" w:themeColor="text2"/>
              </w:rPr>
            </w:pPr>
            <w:r w:rsidRPr="006C4AF6">
              <w:rPr>
                <w:b/>
                <w:bCs/>
                <w:color w:val="495965" w:themeColor="text2"/>
                <w:sz w:val="17"/>
                <w:szCs w:val="17"/>
                <w:lang w:val="en-US"/>
              </w:rPr>
              <w:t>year on year</w:t>
            </w:r>
          </w:p>
        </w:tc>
        <w:tc>
          <w:tcPr>
            <w:tcW w:w="1134" w:type="dxa"/>
          </w:tcPr>
          <w:p w14:paraId="4E495837" w14:textId="77777777" w:rsidR="00335073" w:rsidRPr="006C4AF6" w:rsidRDefault="00335073" w:rsidP="006C4AF6">
            <w:pPr>
              <w:pStyle w:val="Body"/>
              <w:suppressAutoHyphens w:val="0"/>
              <w:spacing w:before="0" w:after="0" w:line="240" w:lineRule="auto"/>
              <w:ind w:left="-10" w:firstLine="10"/>
              <w:jc w:val="center"/>
              <w:rPr>
                <w:color w:val="495965" w:themeColor="text2"/>
              </w:rPr>
            </w:pPr>
            <w:r w:rsidRPr="006C4AF6">
              <w:rPr>
                <w:b/>
                <w:bCs/>
                <w:color w:val="495965" w:themeColor="text2"/>
                <w:sz w:val="17"/>
                <w:szCs w:val="17"/>
                <w:lang w:val="en-US"/>
              </w:rPr>
              <w:t>Effectiveness</w:t>
            </w:r>
          </w:p>
        </w:tc>
        <w:tc>
          <w:tcPr>
            <w:tcW w:w="954" w:type="dxa"/>
          </w:tcPr>
          <w:p w14:paraId="6ECA0B8C" w14:textId="77777777" w:rsidR="00335073" w:rsidRPr="006C4AF6" w:rsidRDefault="00335073" w:rsidP="006C4AF6">
            <w:pPr>
              <w:pStyle w:val="Body"/>
              <w:suppressAutoHyphens w:val="0"/>
              <w:spacing w:before="0" w:after="0" w:line="240" w:lineRule="auto"/>
              <w:ind w:left="-10" w:firstLine="10"/>
              <w:jc w:val="center"/>
              <w:rPr>
                <w:color w:val="495965" w:themeColor="text2"/>
              </w:rPr>
            </w:pPr>
            <w:r w:rsidRPr="006C4AF6">
              <w:rPr>
                <w:b/>
                <w:bCs/>
                <w:color w:val="495965" w:themeColor="text2"/>
                <w:sz w:val="17"/>
                <w:szCs w:val="17"/>
                <w:lang w:val="en-US"/>
              </w:rPr>
              <w:t>Efficiency</w:t>
            </w:r>
          </w:p>
        </w:tc>
        <w:tc>
          <w:tcPr>
            <w:tcW w:w="992" w:type="dxa"/>
          </w:tcPr>
          <w:p w14:paraId="5829E455" w14:textId="77777777" w:rsidR="00335073" w:rsidRPr="006C4AF6" w:rsidRDefault="00335073" w:rsidP="006C4AF6">
            <w:pPr>
              <w:pStyle w:val="Body"/>
              <w:suppressAutoHyphens w:val="0"/>
              <w:spacing w:before="0" w:after="0" w:line="240" w:lineRule="auto"/>
              <w:ind w:left="-10" w:firstLine="10"/>
              <w:jc w:val="center"/>
              <w:rPr>
                <w:color w:val="495965" w:themeColor="text2"/>
              </w:rPr>
            </w:pPr>
            <w:r w:rsidRPr="006C4AF6">
              <w:rPr>
                <w:b/>
                <w:bCs/>
                <w:color w:val="495965" w:themeColor="text2"/>
                <w:sz w:val="17"/>
                <w:szCs w:val="17"/>
                <w:lang w:val="en-US"/>
              </w:rPr>
              <w:t>Relevance</w:t>
            </w:r>
          </w:p>
        </w:tc>
        <w:tc>
          <w:tcPr>
            <w:tcW w:w="850" w:type="dxa"/>
          </w:tcPr>
          <w:p w14:paraId="5A296F10" w14:textId="77777777" w:rsidR="00335073" w:rsidRPr="006C4AF6" w:rsidRDefault="00335073" w:rsidP="006C4AF6">
            <w:pPr>
              <w:pStyle w:val="Body"/>
              <w:suppressAutoHyphens w:val="0"/>
              <w:spacing w:before="0" w:after="0" w:line="240" w:lineRule="auto"/>
              <w:ind w:left="-10" w:firstLine="10"/>
              <w:jc w:val="center"/>
              <w:rPr>
                <w:color w:val="495965" w:themeColor="text2"/>
              </w:rPr>
            </w:pPr>
            <w:r w:rsidRPr="006C4AF6">
              <w:rPr>
                <w:b/>
                <w:bCs/>
                <w:color w:val="495965" w:themeColor="text2"/>
                <w:sz w:val="17"/>
                <w:szCs w:val="17"/>
                <w:lang w:val="en-US"/>
              </w:rPr>
              <w:t>Gender</w:t>
            </w:r>
          </w:p>
        </w:tc>
        <w:tc>
          <w:tcPr>
            <w:tcW w:w="992" w:type="dxa"/>
          </w:tcPr>
          <w:p w14:paraId="02969F05" w14:textId="77777777" w:rsidR="00335073" w:rsidRPr="006C4AF6" w:rsidRDefault="00335073" w:rsidP="006C4AF6">
            <w:pPr>
              <w:pStyle w:val="Body"/>
              <w:suppressAutoHyphens w:val="0"/>
              <w:spacing w:before="0" w:after="0" w:line="240" w:lineRule="auto"/>
              <w:ind w:left="-10" w:firstLine="10"/>
              <w:jc w:val="center"/>
              <w:rPr>
                <w:color w:val="495965" w:themeColor="text2"/>
              </w:rPr>
            </w:pPr>
            <w:r w:rsidRPr="006C4AF6">
              <w:rPr>
                <w:b/>
                <w:bCs/>
                <w:color w:val="495965" w:themeColor="text2"/>
                <w:sz w:val="17"/>
                <w:szCs w:val="17"/>
                <w:lang w:val="en-US"/>
              </w:rPr>
              <w:t>Monitoring and Evaluation</w:t>
            </w:r>
          </w:p>
        </w:tc>
        <w:tc>
          <w:tcPr>
            <w:tcW w:w="1135" w:type="dxa"/>
          </w:tcPr>
          <w:p w14:paraId="675F2D00" w14:textId="77777777" w:rsidR="00335073" w:rsidRPr="006C4AF6" w:rsidRDefault="00335073" w:rsidP="006C4AF6">
            <w:pPr>
              <w:pStyle w:val="Body"/>
              <w:suppressAutoHyphens w:val="0"/>
              <w:spacing w:before="0" w:after="0" w:line="240" w:lineRule="auto"/>
              <w:ind w:left="-10" w:firstLine="10"/>
              <w:jc w:val="center"/>
              <w:rPr>
                <w:color w:val="495965" w:themeColor="text2"/>
              </w:rPr>
            </w:pPr>
            <w:r w:rsidRPr="006C4AF6">
              <w:rPr>
                <w:b/>
                <w:bCs/>
                <w:color w:val="495965" w:themeColor="text2"/>
                <w:sz w:val="17"/>
                <w:szCs w:val="17"/>
                <w:lang w:val="en-US"/>
              </w:rPr>
              <w:t>Sustainability</w:t>
            </w:r>
          </w:p>
        </w:tc>
      </w:tr>
      <w:tr w:rsidR="006C4AF6" w:rsidRPr="006C4AF6" w14:paraId="2EC03050" w14:textId="77777777" w:rsidTr="00613DDD">
        <w:trPr>
          <w:trHeight w:val="460"/>
        </w:trPr>
        <w:tc>
          <w:tcPr>
            <w:tcW w:w="3011" w:type="dxa"/>
          </w:tcPr>
          <w:p w14:paraId="7E450F93" w14:textId="4AB688E3" w:rsidR="00335073" w:rsidRPr="006C4AF6" w:rsidRDefault="00335073" w:rsidP="006C4AF6">
            <w:pPr>
              <w:pStyle w:val="Body"/>
              <w:suppressAutoHyphens w:val="0"/>
              <w:spacing w:before="0" w:after="0" w:line="240" w:lineRule="auto"/>
              <w:ind w:left="-10" w:firstLine="10"/>
              <w:jc w:val="center"/>
              <w:rPr>
                <w:b/>
                <w:color w:val="495965" w:themeColor="text2"/>
                <w:sz w:val="17"/>
                <w:szCs w:val="17"/>
                <w:lang w:val="en-US"/>
              </w:rPr>
            </w:pPr>
            <w:r w:rsidRPr="006C4AF6">
              <w:rPr>
                <w:b/>
                <w:color w:val="495965" w:themeColor="text2"/>
                <w:sz w:val="17"/>
                <w:szCs w:val="17"/>
                <w:lang w:val="en-US"/>
              </w:rPr>
              <w:t>Economic and Public Sector Reform</w:t>
            </w:r>
          </w:p>
          <w:p w14:paraId="5E7A9F6F" w14:textId="77777777" w:rsidR="00335073" w:rsidRPr="006C4AF6" w:rsidRDefault="00335073" w:rsidP="006C4AF6">
            <w:pPr>
              <w:pStyle w:val="Body"/>
              <w:suppressAutoHyphens w:val="0"/>
              <w:spacing w:before="0" w:after="0" w:line="240" w:lineRule="auto"/>
              <w:ind w:left="-10" w:firstLine="10"/>
              <w:jc w:val="center"/>
              <w:rPr>
                <w:color w:val="495965" w:themeColor="text2"/>
                <w:sz w:val="17"/>
                <w:szCs w:val="17"/>
                <w:lang w:val="en-US"/>
              </w:rPr>
            </w:pPr>
            <w:r w:rsidRPr="006C4AF6">
              <w:rPr>
                <w:color w:val="495965" w:themeColor="text2"/>
                <w:sz w:val="17"/>
                <w:szCs w:val="17"/>
                <w:lang w:val="en-US"/>
              </w:rPr>
              <w:t>Approved budget: $24.6 million</w:t>
            </w:r>
          </w:p>
          <w:p w14:paraId="59855952" w14:textId="3F291B6A" w:rsidR="00335073" w:rsidRPr="006C4AF6" w:rsidRDefault="006C4AF6" w:rsidP="006C4AF6">
            <w:pPr>
              <w:pStyle w:val="Body"/>
              <w:suppressAutoHyphens w:val="0"/>
              <w:spacing w:before="0" w:after="0" w:line="240" w:lineRule="auto"/>
              <w:ind w:left="-10" w:firstLine="10"/>
              <w:jc w:val="center"/>
              <w:rPr>
                <w:color w:val="495965" w:themeColor="text2"/>
              </w:rPr>
            </w:pPr>
            <w:r w:rsidRPr="006C4AF6">
              <w:rPr>
                <w:color w:val="495965" w:themeColor="text2"/>
                <w:sz w:val="17"/>
                <w:szCs w:val="17"/>
                <w:lang w:val="en-US"/>
              </w:rPr>
              <w:t>Budget duration</w:t>
            </w:r>
            <w:r w:rsidR="00335073" w:rsidRPr="006C4AF6">
              <w:rPr>
                <w:color w:val="495965" w:themeColor="text2"/>
                <w:sz w:val="17"/>
                <w:szCs w:val="17"/>
                <w:lang w:val="en-US"/>
              </w:rPr>
              <w:t>: 2016-2024</w:t>
            </w:r>
          </w:p>
        </w:tc>
        <w:tc>
          <w:tcPr>
            <w:tcW w:w="992" w:type="dxa"/>
          </w:tcPr>
          <w:p w14:paraId="5350799B" w14:textId="77777777" w:rsidR="00335073" w:rsidRPr="006C4AF6" w:rsidRDefault="00335073" w:rsidP="006C4AF6">
            <w:pPr>
              <w:pStyle w:val="Body"/>
              <w:suppressAutoHyphens w:val="0"/>
              <w:spacing w:before="0" w:after="0" w:line="240" w:lineRule="auto"/>
              <w:ind w:left="-10" w:firstLine="10"/>
              <w:jc w:val="center"/>
              <w:rPr>
                <w:color w:val="495965" w:themeColor="text2"/>
              </w:rPr>
            </w:pPr>
            <w:r w:rsidRPr="006C4AF6">
              <w:rPr>
                <w:color w:val="495965" w:themeColor="text2"/>
                <w:sz w:val="17"/>
                <w:szCs w:val="17"/>
                <w:lang w:val="en-US"/>
              </w:rPr>
              <w:t>2019 AQC</w:t>
            </w:r>
          </w:p>
        </w:tc>
        <w:tc>
          <w:tcPr>
            <w:tcW w:w="1134" w:type="dxa"/>
          </w:tcPr>
          <w:p w14:paraId="51561270"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54" w:type="dxa"/>
          </w:tcPr>
          <w:p w14:paraId="6E0E3870"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92" w:type="dxa"/>
          </w:tcPr>
          <w:p w14:paraId="32981427"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p>
        </w:tc>
        <w:tc>
          <w:tcPr>
            <w:tcW w:w="850" w:type="dxa"/>
          </w:tcPr>
          <w:p w14:paraId="0F49F290" w14:textId="77777777" w:rsidR="00335073" w:rsidRPr="006C4AF6" w:rsidRDefault="00335073" w:rsidP="006C4AF6">
            <w:pPr>
              <w:pStyle w:val="Body"/>
              <w:suppressAutoHyphens w:val="0"/>
              <w:spacing w:before="0" w:after="0" w:line="240" w:lineRule="auto"/>
              <w:ind w:left="-10" w:firstLine="10"/>
              <w:jc w:val="center"/>
              <w:rPr>
                <w:b/>
                <w:color w:val="495965" w:themeColor="text2"/>
                <w:sz w:val="16"/>
                <w:szCs w:val="16"/>
              </w:rPr>
            </w:pPr>
            <w:r w:rsidRPr="006C4AF6">
              <w:rPr>
                <w:b/>
                <w:color w:val="495965" w:themeColor="text2"/>
                <w:sz w:val="16"/>
                <w:szCs w:val="16"/>
              </w:rPr>
              <w:t>4</w:t>
            </w:r>
          </w:p>
        </w:tc>
        <w:tc>
          <w:tcPr>
            <w:tcW w:w="992" w:type="dxa"/>
          </w:tcPr>
          <w:p w14:paraId="22EB4259"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p>
        </w:tc>
        <w:tc>
          <w:tcPr>
            <w:tcW w:w="1135" w:type="dxa"/>
          </w:tcPr>
          <w:p w14:paraId="365D2779"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p>
        </w:tc>
      </w:tr>
      <w:tr w:rsidR="006C4AF6" w:rsidRPr="006C4AF6" w14:paraId="3DE0004A" w14:textId="77777777" w:rsidTr="00613DDD">
        <w:trPr>
          <w:trHeight w:val="460"/>
        </w:trPr>
        <w:tc>
          <w:tcPr>
            <w:tcW w:w="3011" w:type="dxa"/>
          </w:tcPr>
          <w:p w14:paraId="61D9E3DC" w14:textId="77777777" w:rsidR="0085189F" w:rsidRPr="006C4AF6" w:rsidRDefault="0085189F" w:rsidP="0085189F">
            <w:pPr>
              <w:pStyle w:val="Body"/>
              <w:suppressAutoHyphens w:val="0"/>
              <w:spacing w:before="0" w:after="0" w:line="240" w:lineRule="auto"/>
              <w:ind w:left="-10" w:firstLine="10"/>
              <w:jc w:val="center"/>
              <w:rPr>
                <w:b/>
                <w:color w:val="495965" w:themeColor="text2"/>
                <w:sz w:val="17"/>
                <w:szCs w:val="17"/>
                <w:lang w:val="en-US"/>
              </w:rPr>
            </w:pPr>
            <w:r w:rsidRPr="006C4AF6">
              <w:rPr>
                <w:b/>
                <w:color w:val="495965" w:themeColor="text2"/>
                <w:sz w:val="17"/>
                <w:szCs w:val="17"/>
                <w:lang w:val="en-US"/>
              </w:rPr>
              <w:t>Economic and Public Sector Reform</w:t>
            </w:r>
          </w:p>
          <w:p w14:paraId="1E0A415C" w14:textId="7AF6CCFC" w:rsidR="00335073" w:rsidRPr="006C4AF6" w:rsidRDefault="00335073" w:rsidP="006C4AF6">
            <w:pPr>
              <w:pStyle w:val="Body"/>
              <w:suppressAutoHyphens w:val="0"/>
              <w:spacing w:before="0" w:after="0" w:line="240" w:lineRule="auto"/>
              <w:ind w:left="-10" w:firstLine="10"/>
              <w:jc w:val="center"/>
              <w:rPr>
                <w:color w:val="495965" w:themeColor="text2"/>
              </w:rPr>
            </w:pPr>
          </w:p>
        </w:tc>
        <w:tc>
          <w:tcPr>
            <w:tcW w:w="992" w:type="dxa"/>
          </w:tcPr>
          <w:p w14:paraId="0B3D2757" w14:textId="77777777" w:rsidR="00335073" w:rsidRPr="006C4AF6" w:rsidRDefault="00335073" w:rsidP="006C4AF6">
            <w:pPr>
              <w:pStyle w:val="Body"/>
              <w:suppressAutoHyphens w:val="0"/>
              <w:spacing w:before="0" w:after="0" w:line="240" w:lineRule="auto"/>
              <w:ind w:left="-10" w:firstLine="10"/>
              <w:jc w:val="center"/>
              <w:rPr>
                <w:color w:val="495965" w:themeColor="text2"/>
              </w:rPr>
            </w:pPr>
            <w:r w:rsidRPr="006C4AF6">
              <w:rPr>
                <w:color w:val="495965" w:themeColor="text2"/>
                <w:sz w:val="17"/>
                <w:szCs w:val="17"/>
                <w:lang w:val="en-US"/>
              </w:rPr>
              <w:t>2018 AQC</w:t>
            </w:r>
          </w:p>
        </w:tc>
        <w:tc>
          <w:tcPr>
            <w:tcW w:w="1134" w:type="dxa"/>
          </w:tcPr>
          <w:p w14:paraId="441AE71B"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54" w:type="dxa"/>
          </w:tcPr>
          <w:p w14:paraId="5720E0FB"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92" w:type="dxa"/>
          </w:tcPr>
          <w:p w14:paraId="2363E5C9"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5</w:t>
            </w:r>
          </w:p>
        </w:tc>
        <w:tc>
          <w:tcPr>
            <w:tcW w:w="850" w:type="dxa"/>
          </w:tcPr>
          <w:p w14:paraId="4A731960"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3</w:t>
            </w:r>
          </w:p>
        </w:tc>
        <w:tc>
          <w:tcPr>
            <w:tcW w:w="992" w:type="dxa"/>
          </w:tcPr>
          <w:p w14:paraId="3CA14B0C"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3</w:t>
            </w:r>
          </w:p>
        </w:tc>
        <w:tc>
          <w:tcPr>
            <w:tcW w:w="1135" w:type="dxa"/>
          </w:tcPr>
          <w:p w14:paraId="12C8D6AA"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r>
      <w:tr w:rsidR="006C4AF6" w:rsidRPr="006C4AF6" w14:paraId="5BD62D53" w14:textId="77777777" w:rsidTr="00613DDD">
        <w:trPr>
          <w:trHeight w:val="460"/>
        </w:trPr>
        <w:tc>
          <w:tcPr>
            <w:tcW w:w="3011" w:type="dxa"/>
          </w:tcPr>
          <w:p w14:paraId="59195342" w14:textId="77777777" w:rsidR="00335073" w:rsidRPr="006C4AF6" w:rsidRDefault="00335073" w:rsidP="006C4AF6">
            <w:pPr>
              <w:pStyle w:val="Body"/>
              <w:suppressAutoHyphens w:val="0"/>
              <w:spacing w:before="0" w:after="0" w:line="240" w:lineRule="auto"/>
              <w:ind w:left="-10" w:firstLine="10"/>
              <w:jc w:val="center"/>
              <w:rPr>
                <w:b/>
                <w:color w:val="495965" w:themeColor="text2"/>
                <w:sz w:val="17"/>
                <w:szCs w:val="17"/>
                <w:lang w:val="en-US"/>
              </w:rPr>
            </w:pPr>
            <w:r w:rsidRPr="006C4AF6">
              <w:rPr>
                <w:b/>
                <w:color w:val="495965" w:themeColor="text2"/>
                <w:sz w:val="17"/>
                <w:szCs w:val="17"/>
                <w:lang w:val="en-US"/>
              </w:rPr>
              <w:t>Tonga Health Systems Support Program II</w:t>
            </w:r>
          </w:p>
          <w:p w14:paraId="1E428EE5" w14:textId="77777777" w:rsidR="00335073" w:rsidRPr="006C4AF6" w:rsidRDefault="00335073" w:rsidP="006C4AF6">
            <w:pPr>
              <w:pStyle w:val="Body"/>
              <w:suppressAutoHyphens w:val="0"/>
              <w:spacing w:before="0" w:after="0" w:line="240" w:lineRule="auto"/>
              <w:ind w:left="-10" w:firstLine="10"/>
              <w:jc w:val="center"/>
              <w:rPr>
                <w:color w:val="495965" w:themeColor="text2"/>
                <w:sz w:val="17"/>
                <w:szCs w:val="17"/>
                <w:lang w:val="en-US"/>
              </w:rPr>
            </w:pPr>
            <w:r w:rsidRPr="006C4AF6">
              <w:rPr>
                <w:color w:val="495965" w:themeColor="text2"/>
                <w:sz w:val="17"/>
                <w:szCs w:val="17"/>
                <w:lang w:val="en-US"/>
              </w:rPr>
              <w:t>Approved budget: $16.4 million</w:t>
            </w:r>
          </w:p>
          <w:p w14:paraId="5577EA21" w14:textId="4AC676CE" w:rsidR="00335073" w:rsidRPr="006C4AF6" w:rsidRDefault="006C4AF6" w:rsidP="006C4AF6">
            <w:pPr>
              <w:pStyle w:val="Body"/>
              <w:suppressAutoHyphens w:val="0"/>
              <w:spacing w:before="0" w:after="0" w:line="240" w:lineRule="auto"/>
              <w:ind w:left="-10" w:firstLine="10"/>
              <w:jc w:val="center"/>
              <w:rPr>
                <w:color w:val="495965" w:themeColor="text2"/>
              </w:rPr>
            </w:pPr>
            <w:r w:rsidRPr="006C4AF6">
              <w:rPr>
                <w:color w:val="495965" w:themeColor="text2"/>
                <w:sz w:val="17"/>
                <w:szCs w:val="17"/>
                <w:lang w:val="en-US"/>
              </w:rPr>
              <w:t>Budget duration</w:t>
            </w:r>
            <w:r w:rsidR="00335073" w:rsidRPr="006C4AF6">
              <w:rPr>
                <w:color w:val="495965" w:themeColor="text2"/>
                <w:sz w:val="17"/>
                <w:szCs w:val="17"/>
                <w:lang w:val="en-US"/>
              </w:rPr>
              <w:t>: 2015-2020</w:t>
            </w:r>
          </w:p>
        </w:tc>
        <w:tc>
          <w:tcPr>
            <w:tcW w:w="992" w:type="dxa"/>
          </w:tcPr>
          <w:p w14:paraId="4C8BBCC0" w14:textId="77777777" w:rsidR="00335073" w:rsidRPr="006C4AF6" w:rsidRDefault="00335073" w:rsidP="006C4AF6">
            <w:pPr>
              <w:pStyle w:val="Body"/>
              <w:suppressAutoHyphens w:val="0"/>
              <w:spacing w:before="0" w:after="0" w:line="240" w:lineRule="auto"/>
              <w:ind w:left="-10" w:firstLine="10"/>
              <w:jc w:val="center"/>
              <w:rPr>
                <w:color w:val="495965" w:themeColor="text2"/>
              </w:rPr>
            </w:pPr>
            <w:r w:rsidRPr="006C4AF6">
              <w:rPr>
                <w:color w:val="495965" w:themeColor="text2"/>
                <w:sz w:val="17"/>
                <w:szCs w:val="17"/>
                <w:lang w:val="en-US"/>
              </w:rPr>
              <w:t>2019 AQC</w:t>
            </w:r>
          </w:p>
        </w:tc>
        <w:tc>
          <w:tcPr>
            <w:tcW w:w="1134" w:type="dxa"/>
          </w:tcPr>
          <w:p w14:paraId="27D4E572"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3</w:t>
            </w:r>
          </w:p>
        </w:tc>
        <w:tc>
          <w:tcPr>
            <w:tcW w:w="954" w:type="dxa"/>
          </w:tcPr>
          <w:p w14:paraId="2D731C22"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3</w:t>
            </w:r>
          </w:p>
        </w:tc>
        <w:tc>
          <w:tcPr>
            <w:tcW w:w="992" w:type="dxa"/>
          </w:tcPr>
          <w:p w14:paraId="340B1666"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p>
        </w:tc>
        <w:tc>
          <w:tcPr>
            <w:tcW w:w="850" w:type="dxa"/>
          </w:tcPr>
          <w:p w14:paraId="28671CED"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3</w:t>
            </w:r>
          </w:p>
        </w:tc>
        <w:tc>
          <w:tcPr>
            <w:tcW w:w="992" w:type="dxa"/>
          </w:tcPr>
          <w:p w14:paraId="16CD69B8"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p>
        </w:tc>
        <w:tc>
          <w:tcPr>
            <w:tcW w:w="1135" w:type="dxa"/>
          </w:tcPr>
          <w:p w14:paraId="615D8578"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p>
        </w:tc>
      </w:tr>
      <w:tr w:rsidR="006C4AF6" w:rsidRPr="006C4AF6" w14:paraId="671CCCFC" w14:textId="77777777" w:rsidTr="00613DDD">
        <w:trPr>
          <w:trHeight w:val="455"/>
        </w:trPr>
        <w:tc>
          <w:tcPr>
            <w:tcW w:w="3011" w:type="dxa"/>
          </w:tcPr>
          <w:p w14:paraId="4295B619" w14:textId="48FD6137" w:rsidR="00335073" w:rsidRPr="0085189F" w:rsidRDefault="0085189F" w:rsidP="0085189F">
            <w:pPr>
              <w:pStyle w:val="Body"/>
              <w:suppressAutoHyphens w:val="0"/>
              <w:spacing w:before="0" w:after="0" w:line="240" w:lineRule="auto"/>
              <w:ind w:left="-10" w:firstLine="10"/>
              <w:jc w:val="center"/>
              <w:rPr>
                <w:b/>
                <w:color w:val="495965" w:themeColor="text2"/>
                <w:sz w:val="17"/>
                <w:szCs w:val="17"/>
                <w:lang w:val="en-US"/>
              </w:rPr>
            </w:pPr>
            <w:r w:rsidRPr="006C4AF6">
              <w:rPr>
                <w:b/>
                <w:color w:val="495965" w:themeColor="text2"/>
                <w:sz w:val="17"/>
                <w:szCs w:val="17"/>
                <w:lang w:val="en-US"/>
              </w:rPr>
              <w:t>Tonga Health Systems Support Program II</w:t>
            </w:r>
          </w:p>
        </w:tc>
        <w:tc>
          <w:tcPr>
            <w:tcW w:w="992" w:type="dxa"/>
          </w:tcPr>
          <w:p w14:paraId="004C866D" w14:textId="77777777" w:rsidR="00335073" w:rsidRPr="006C4AF6" w:rsidRDefault="00335073" w:rsidP="006C4AF6">
            <w:pPr>
              <w:pStyle w:val="Body"/>
              <w:suppressAutoHyphens w:val="0"/>
              <w:spacing w:before="0" w:after="0" w:line="240" w:lineRule="auto"/>
              <w:ind w:left="-10" w:firstLine="10"/>
              <w:jc w:val="center"/>
              <w:rPr>
                <w:color w:val="495965" w:themeColor="text2"/>
              </w:rPr>
            </w:pPr>
            <w:r w:rsidRPr="006C4AF6">
              <w:rPr>
                <w:color w:val="495965" w:themeColor="text2"/>
                <w:sz w:val="17"/>
                <w:szCs w:val="17"/>
                <w:lang w:val="en-US"/>
              </w:rPr>
              <w:t>2018 AQC</w:t>
            </w:r>
          </w:p>
        </w:tc>
        <w:tc>
          <w:tcPr>
            <w:tcW w:w="1134" w:type="dxa"/>
          </w:tcPr>
          <w:p w14:paraId="12CDBE45"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54" w:type="dxa"/>
          </w:tcPr>
          <w:p w14:paraId="7A091928"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92" w:type="dxa"/>
          </w:tcPr>
          <w:p w14:paraId="4A1715AA"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5</w:t>
            </w:r>
          </w:p>
        </w:tc>
        <w:tc>
          <w:tcPr>
            <w:tcW w:w="850" w:type="dxa"/>
          </w:tcPr>
          <w:p w14:paraId="72A6E9A8"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3</w:t>
            </w:r>
          </w:p>
        </w:tc>
        <w:tc>
          <w:tcPr>
            <w:tcW w:w="992" w:type="dxa"/>
          </w:tcPr>
          <w:p w14:paraId="085EB624"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3</w:t>
            </w:r>
          </w:p>
        </w:tc>
        <w:tc>
          <w:tcPr>
            <w:tcW w:w="1135" w:type="dxa"/>
          </w:tcPr>
          <w:p w14:paraId="347E29F8"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r>
      <w:tr w:rsidR="006C4AF6" w:rsidRPr="006C4AF6" w14:paraId="1CC5C2BB" w14:textId="77777777" w:rsidTr="00613DDD">
        <w:trPr>
          <w:trHeight w:val="455"/>
        </w:trPr>
        <w:tc>
          <w:tcPr>
            <w:tcW w:w="3011" w:type="dxa"/>
          </w:tcPr>
          <w:p w14:paraId="13582BD4" w14:textId="77777777" w:rsidR="00335073" w:rsidRPr="006C4AF6" w:rsidRDefault="00335073" w:rsidP="006C4AF6">
            <w:pPr>
              <w:pStyle w:val="Body"/>
              <w:suppressAutoHyphens w:val="0"/>
              <w:spacing w:before="0" w:after="0" w:line="240" w:lineRule="auto"/>
              <w:ind w:left="-10" w:firstLine="10"/>
              <w:jc w:val="center"/>
              <w:rPr>
                <w:b/>
                <w:color w:val="495965" w:themeColor="text2"/>
                <w:sz w:val="17"/>
                <w:szCs w:val="17"/>
                <w:lang w:val="en-US"/>
              </w:rPr>
            </w:pPr>
            <w:r w:rsidRPr="006C4AF6">
              <w:rPr>
                <w:b/>
                <w:color w:val="495965" w:themeColor="text2"/>
                <w:sz w:val="17"/>
                <w:szCs w:val="17"/>
                <w:lang w:val="en-US"/>
              </w:rPr>
              <w:t>Nuku'alofa Urban Development Project</w:t>
            </w:r>
          </w:p>
          <w:p w14:paraId="2537EAD4" w14:textId="77777777" w:rsidR="00335073" w:rsidRPr="006C4AF6" w:rsidRDefault="00335073" w:rsidP="006C4AF6">
            <w:pPr>
              <w:pStyle w:val="Body"/>
              <w:suppressAutoHyphens w:val="0"/>
              <w:spacing w:before="0" w:after="0" w:line="240" w:lineRule="auto"/>
              <w:ind w:left="-10" w:firstLine="10"/>
              <w:jc w:val="center"/>
              <w:rPr>
                <w:color w:val="495965" w:themeColor="text2"/>
                <w:sz w:val="17"/>
                <w:szCs w:val="17"/>
                <w:lang w:val="en-US"/>
              </w:rPr>
            </w:pPr>
            <w:r w:rsidRPr="006C4AF6">
              <w:rPr>
                <w:color w:val="495965" w:themeColor="text2"/>
                <w:sz w:val="17"/>
                <w:szCs w:val="17"/>
                <w:lang w:val="en-US"/>
              </w:rPr>
              <w:t>Approved budget: $9.1 million</w:t>
            </w:r>
          </w:p>
          <w:p w14:paraId="56F0BABC" w14:textId="7A7197EB" w:rsidR="00335073" w:rsidRPr="006C4AF6" w:rsidRDefault="006C4AF6" w:rsidP="006C4AF6">
            <w:pPr>
              <w:pStyle w:val="Body"/>
              <w:suppressAutoHyphens w:val="0"/>
              <w:spacing w:before="0" w:after="0" w:line="240" w:lineRule="auto"/>
              <w:ind w:left="-10" w:firstLine="10"/>
              <w:jc w:val="center"/>
              <w:rPr>
                <w:color w:val="495965" w:themeColor="text2"/>
              </w:rPr>
            </w:pPr>
            <w:r w:rsidRPr="006C4AF6">
              <w:rPr>
                <w:color w:val="495965" w:themeColor="text2"/>
                <w:sz w:val="17"/>
                <w:szCs w:val="17"/>
                <w:lang w:val="en-US"/>
              </w:rPr>
              <w:t>Budget duration</w:t>
            </w:r>
            <w:r w:rsidR="00335073" w:rsidRPr="006C4AF6">
              <w:rPr>
                <w:color w:val="495965" w:themeColor="text2"/>
                <w:sz w:val="17"/>
                <w:szCs w:val="17"/>
                <w:lang w:val="en-US"/>
              </w:rPr>
              <w:t>: 2011-2019</w:t>
            </w:r>
          </w:p>
        </w:tc>
        <w:tc>
          <w:tcPr>
            <w:tcW w:w="992" w:type="dxa"/>
          </w:tcPr>
          <w:p w14:paraId="5284A4A3" w14:textId="77777777" w:rsidR="00335073" w:rsidRPr="006C4AF6" w:rsidRDefault="00335073" w:rsidP="006C4AF6">
            <w:pPr>
              <w:pStyle w:val="Body"/>
              <w:suppressAutoHyphens w:val="0"/>
              <w:spacing w:before="0" w:after="0" w:line="240" w:lineRule="auto"/>
              <w:ind w:left="-10" w:firstLine="10"/>
              <w:jc w:val="center"/>
              <w:rPr>
                <w:color w:val="495965" w:themeColor="text2"/>
              </w:rPr>
            </w:pPr>
            <w:r w:rsidRPr="006C4AF6">
              <w:rPr>
                <w:color w:val="495965" w:themeColor="text2"/>
                <w:sz w:val="17"/>
                <w:szCs w:val="17"/>
                <w:lang w:val="en-US"/>
              </w:rPr>
              <w:t>2019 AQC</w:t>
            </w:r>
          </w:p>
        </w:tc>
        <w:tc>
          <w:tcPr>
            <w:tcW w:w="1134" w:type="dxa"/>
          </w:tcPr>
          <w:p w14:paraId="45ACD642"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54" w:type="dxa"/>
          </w:tcPr>
          <w:p w14:paraId="12A4820A"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92" w:type="dxa"/>
          </w:tcPr>
          <w:p w14:paraId="4C1D67DD"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p>
        </w:tc>
        <w:tc>
          <w:tcPr>
            <w:tcW w:w="850" w:type="dxa"/>
          </w:tcPr>
          <w:p w14:paraId="1F2665E6"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92" w:type="dxa"/>
          </w:tcPr>
          <w:p w14:paraId="1F1FEF84"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p>
        </w:tc>
        <w:tc>
          <w:tcPr>
            <w:tcW w:w="1135" w:type="dxa"/>
          </w:tcPr>
          <w:p w14:paraId="27344EF5"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p>
        </w:tc>
      </w:tr>
      <w:tr w:rsidR="006C4AF6" w:rsidRPr="006C4AF6" w14:paraId="2D834C58" w14:textId="77777777" w:rsidTr="00613DDD">
        <w:trPr>
          <w:trHeight w:val="460"/>
        </w:trPr>
        <w:tc>
          <w:tcPr>
            <w:tcW w:w="3011" w:type="dxa"/>
          </w:tcPr>
          <w:p w14:paraId="14B9700F" w14:textId="77777777" w:rsidR="0085189F" w:rsidRPr="006C4AF6" w:rsidRDefault="0085189F" w:rsidP="0085189F">
            <w:pPr>
              <w:pStyle w:val="Body"/>
              <w:suppressAutoHyphens w:val="0"/>
              <w:spacing w:before="0" w:after="0" w:line="240" w:lineRule="auto"/>
              <w:ind w:left="-10" w:firstLine="10"/>
              <w:jc w:val="center"/>
              <w:rPr>
                <w:b/>
                <w:color w:val="495965" w:themeColor="text2"/>
                <w:sz w:val="17"/>
                <w:szCs w:val="17"/>
                <w:lang w:val="en-US"/>
              </w:rPr>
            </w:pPr>
            <w:r w:rsidRPr="006C4AF6">
              <w:rPr>
                <w:b/>
                <w:color w:val="495965" w:themeColor="text2"/>
                <w:sz w:val="17"/>
                <w:szCs w:val="17"/>
                <w:lang w:val="en-US"/>
              </w:rPr>
              <w:t>Nuku'alofa Urban Development Project</w:t>
            </w:r>
          </w:p>
          <w:p w14:paraId="69CC3C79" w14:textId="1C7776AF" w:rsidR="00335073" w:rsidRPr="006C4AF6" w:rsidRDefault="00335073" w:rsidP="006C4AF6">
            <w:pPr>
              <w:pStyle w:val="Body"/>
              <w:suppressAutoHyphens w:val="0"/>
              <w:spacing w:before="0" w:after="0" w:line="240" w:lineRule="auto"/>
              <w:ind w:left="-10" w:firstLine="10"/>
              <w:jc w:val="center"/>
              <w:rPr>
                <w:color w:val="495965" w:themeColor="text2"/>
              </w:rPr>
            </w:pPr>
          </w:p>
        </w:tc>
        <w:tc>
          <w:tcPr>
            <w:tcW w:w="992" w:type="dxa"/>
          </w:tcPr>
          <w:p w14:paraId="30BC7C16" w14:textId="77777777" w:rsidR="00335073" w:rsidRPr="006C4AF6" w:rsidRDefault="00335073" w:rsidP="006C4AF6">
            <w:pPr>
              <w:pStyle w:val="Body"/>
              <w:suppressAutoHyphens w:val="0"/>
              <w:spacing w:before="0" w:after="0" w:line="240" w:lineRule="auto"/>
              <w:ind w:left="-10" w:firstLine="10"/>
              <w:jc w:val="center"/>
              <w:rPr>
                <w:color w:val="495965" w:themeColor="text2"/>
              </w:rPr>
            </w:pPr>
            <w:r w:rsidRPr="006C4AF6">
              <w:rPr>
                <w:color w:val="495965" w:themeColor="text2"/>
                <w:sz w:val="17"/>
                <w:szCs w:val="17"/>
                <w:lang w:val="en-US"/>
              </w:rPr>
              <w:t>2018AQC</w:t>
            </w:r>
          </w:p>
        </w:tc>
        <w:tc>
          <w:tcPr>
            <w:tcW w:w="1134" w:type="dxa"/>
          </w:tcPr>
          <w:p w14:paraId="49F12D2F"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54" w:type="dxa"/>
          </w:tcPr>
          <w:p w14:paraId="445F5212"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92" w:type="dxa"/>
          </w:tcPr>
          <w:p w14:paraId="17DC48E5"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5</w:t>
            </w:r>
          </w:p>
        </w:tc>
        <w:tc>
          <w:tcPr>
            <w:tcW w:w="850" w:type="dxa"/>
          </w:tcPr>
          <w:p w14:paraId="78E53030"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5</w:t>
            </w:r>
          </w:p>
        </w:tc>
        <w:tc>
          <w:tcPr>
            <w:tcW w:w="992" w:type="dxa"/>
          </w:tcPr>
          <w:p w14:paraId="0B7687B8"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1135" w:type="dxa"/>
          </w:tcPr>
          <w:p w14:paraId="5D414F12"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5</w:t>
            </w:r>
          </w:p>
        </w:tc>
      </w:tr>
      <w:tr w:rsidR="006C4AF6" w:rsidRPr="006C4AF6" w14:paraId="12EC82B0" w14:textId="77777777" w:rsidTr="00613DDD">
        <w:trPr>
          <w:trHeight w:val="460"/>
        </w:trPr>
        <w:tc>
          <w:tcPr>
            <w:tcW w:w="3011" w:type="dxa"/>
          </w:tcPr>
          <w:p w14:paraId="5362B85F" w14:textId="77777777" w:rsidR="00335073" w:rsidRPr="006C4AF6" w:rsidRDefault="00335073" w:rsidP="006C4AF6">
            <w:pPr>
              <w:pStyle w:val="Body"/>
              <w:suppressAutoHyphens w:val="0"/>
              <w:spacing w:before="0" w:after="0" w:line="240" w:lineRule="auto"/>
              <w:ind w:left="-10" w:firstLine="10"/>
              <w:jc w:val="center"/>
              <w:rPr>
                <w:b/>
                <w:color w:val="495965" w:themeColor="text2"/>
                <w:sz w:val="17"/>
                <w:szCs w:val="17"/>
                <w:lang w:val="en-US"/>
              </w:rPr>
            </w:pPr>
            <w:r w:rsidRPr="006C4AF6">
              <w:rPr>
                <w:b/>
                <w:color w:val="495965" w:themeColor="text2"/>
                <w:sz w:val="17"/>
                <w:szCs w:val="17"/>
                <w:lang w:val="en-US"/>
              </w:rPr>
              <w:t>Tonga – Scholarships</w:t>
            </w:r>
          </w:p>
          <w:p w14:paraId="49F8651F" w14:textId="77777777" w:rsidR="00335073" w:rsidRPr="006C4AF6" w:rsidRDefault="00335073" w:rsidP="006C4AF6">
            <w:pPr>
              <w:pStyle w:val="Body"/>
              <w:suppressAutoHyphens w:val="0"/>
              <w:spacing w:before="0" w:after="0" w:line="240" w:lineRule="auto"/>
              <w:ind w:left="-10" w:firstLine="10"/>
              <w:jc w:val="center"/>
              <w:rPr>
                <w:color w:val="495965" w:themeColor="text2"/>
                <w:sz w:val="17"/>
                <w:szCs w:val="17"/>
                <w:lang w:val="en-US"/>
              </w:rPr>
            </w:pPr>
            <w:r w:rsidRPr="006C4AF6">
              <w:rPr>
                <w:color w:val="495965" w:themeColor="text2"/>
                <w:sz w:val="17"/>
                <w:szCs w:val="17"/>
                <w:lang w:val="en-US"/>
              </w:rPr>
              <w:t>Approved budget: $2.2 million</w:t>
            </w:r>
          </w:p>
          <w:p w14:paraId="2114878A" w14:textId="2004D623" w:rsidR="00335073" w:rsidRPr="006C4AF6" w:rsidRDefault="006C4AF6" w:rsidP="006C4AF6">
            <w:pPr>
              <w:pStyle w:val="Body"/>
              <w:suppressAutoHyphens w:val="0"/>
              <w:spacing w:before="0" w:after="0" w:line="240" w:lineRule="auto"/>
              <w:ind w:left="-10" w:firstLine="10"/>
              <w:jc w:val="center"/>
              <w:rPr>
                <w:color w:val="495965" w:themeColor="text2"/>
              </w:rPr>
            </w:pPr>
            <w:r w:rsidRPr="006C4AF6">
              <w:rPr>
                <w:color w:val="495965" w:themeColor="text2"/>
                <w:sz w:val="17"/>
                <w:szCs w:val="17"/>
                <w:lang w:val="en-US"/>
              </w:rPr>
              <w:t>Budget duration</w:t>
            </w:r>
            <w:r w:rsidR="00335073" w:rsidRPr="006C4AF6">
              <w:rPr>
                <w:color w:val="495965" w:themeColor="text2"/>
                <w:sz w:val="17"/>
                <w:szCs w:val="17"/>
                <w:lang w:val="en-US"/>
              </w:rPr>
              <w:t>: 2016-2017</w:t>
            </w:r>
          </w:p>
        </w:tc>
        <w:tc>
          <w:tcPr>
            <w:tcW w:w="992" w:type="dxa"/>
          </w:tcPr>
          <w:p w14:paraId="46C67393" w14:textId="77777777" w:rsidR="00335073" w:rsidRPr="006C4AF6" w:rsidRDefault="00335073" w:rsidP="006C4AF6">
            <w:pPr>
              <w:pStyle w:val="Body"/>
              <w:suppressAutoHyphens w:val="0"/>
              <w:spacing w:before="0" w:after="0" w:line="240" w:lineRule="auto"/>
              <w:ind w:left="-10" w:firstLine="10"/>
              <w:jc w:val="center"/>
              <w:rPr>
                <w:color w:val="495965" w:themeColor="text2"/>
              </w:rPr>
            </w:pPr>
            <w:r w:rsidRPr="006C4AF6">
              <w:rPr>
                <w:color w:val="495965" w:themeColor="text2"/>
                <w:sz w:val="17"/>
                <w:szCs w:val="17"/>
                <w:lang w:val="en-US"/>
              </w:rPr>
              <w:t>2019 AQC</w:t>
            </w:r>
          </w:p>
        </w:tc>
        <w:tc>
          <w:tcPr>
            <w:tcW w:w="1134" w:type="dxa"/>
          </w:tcPr>
          <w:p w14:paraId="464C9EBA"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54" w:type="dxa"/>
          </w:tcPr>
          <w:p w14:paraId="047214A0"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92" w:type="dxa"/>
          </w:tcPr>
          <w:p w14:paraId="278DE371"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p>
        </w:tc>
        <w:tc>
          <w:tcPr>
            <w:tcW w:w="850" w:type="dxa"/>
          </w:tcPr>
          <w:p w14:paraId="095B2B10"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92" w:type="dxa"/>
          </w:tcPr>
          <w:p w14:paraId="098FC375"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p>
        </w:tc>
        <w:tc>
          <w:tcPr>
            <w:tcW w:w="1135" w:type="dxa"/>
          </w:tcPr>
          <w:p w14:paraId="6B4A0D48"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p>
        </w:tc>
      </w:tr>
      <w:tr w:rsidR="006C4AF6" w:rsidRPr="006C4AF6" w14:paraId="3825615C" w14:textId="77777777" w:rsidTr="00613DDD">
        <w:trPr>
          <w:trHeight w:val="460"/>
        </w:trPr>
        <w:tc>
          <w:tcPr>
            <w:tcW w:w="3011" w:type="dxa"/>
          </w:tcPr>
          <w:p w14:paraId="627ACF12" w14:textId="77777777" w:rsidR="0085189F" w:rsidRPr="006C4AF6" w:rsidRDefault="0085189F" w:rsidP="0085189F">
            <w:pPr>
              <w:pStyle w:val="Body"/>
              <w:suppressAutoHyphens w:val="0"/>
              <w:spacing w:before="0" w:after="0" w:line="240" w:lineRule="auto"/>
              <w:ind w:left="-10" w:firstLine="10"/>
              <w:jc w:val="center"/>
              <w:rPr>
                <w:b/>
                <w:color w:val="495965" w:themeColor="text2"/>
                <w:sz w:val="17"/>
                <w:szCs w:val="17"/>
                <w:lang w:val="en-US"/>
              </w:rPr>
            </w:pPr>
            <w:r w:rsidRPr="006C4AF6">
              <w:rPr>
                <w:b/>
                <w:color w:val="495965" w:themeColor="text2"/>
                <w:sz w:val="17"/>
                <w:szCs w:val="17"/>
                <w:lang w:val="en-US"/>
              </w:rPr>
              <w:t>Tonga – Scholarships</w:t>
            </w:r>
          </w:p>
          <w:p w14:paraId="165E5369" w14:textId="2E10D8EA" w:rsidR="00335073" w:rsidRPr="006C4AF6" w:rsidRDefault="00335073" w:rsidP="006C4AF6">
            <w:pPr>
              <w:pStyle w:val="Body"/>
              <w:suppressAutoHyphens w:val="0"/>
              <w:spacing w:before="0" w:after="0" w:line="240" w:lineRule="auto"/>
              <w:ind w:left="-10" w:firstLine="10"/>
              <w:jc w:val="center"/>
              <w:rPr>
                <w:color w:val="495965" w:themeColor="text2"/>
              </w:rPr>
            </w:pPr>
          </w:p>
        </w:tc>
        <w:tc>
          <w:tcPr>
            <w:tcW w:w="992" w:type="dxa"/>
          </w:tcPr>
          <w:p w14:paraId="4F1DAE5A" w14:textId="77777777" w:rsidR="00335073" w:rsidRPr="006C4AF6" w:rsidRDefault="00335073" w:rsidP="006C4AF6">
            <w:pPr>
              <w:pStyle w:val="Body"/>
              <w:suppressAutoHyphens w:val="0"/>
              <w:spacing w:before="0" w:after="0" w:line="240" w:lineRule="auto"/>
              <w:ind w:left="-10" w:firstLine="10"/>
              <w:jc w:val="center"/>
              <w:rPr>
                <w:color w:val="495965" w:themeColor="text2"/>
              </w:rPr>
            </w:pPr>
            <w:r w:rsidRPr="006C4AF6">
              <w:rPr>
                <w:color w:val="495965" w:themeColor="text2"/>
                <w:sz w:val="17"/>
                <w:szCs w:val="17"/>
                <w:lang w:val="en-US"/>
              </w:rPr>
              <w:t>2018 AQC</w:t>
            </w:r>
          </w:p>
        </w:tc>
        <w:tc>
          <w:tcPr>
            <w:tcW w:w="1134" w:type="dxa"/>
          </w:tcPr>
          <w:p w14:paraId="40B69EE4"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54" w:type="dxa"/>
          </w:tcPr>
          <w:p w14:paraId="38FA75C2"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92" w:type="dxa"/>
          </w:tcPr>
          <w:p w14:paraId="7B8460A6"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5</w:t>
            </w:r>
          </w:p>
        </w:tc>
        <w:tc>
          <w:tcPr>
            <w:tcW w:w="850" w:type="dxa"/>
          </w:tcPr>
          <w:p w14:paraId="207CC3F5"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92" w:type="dxa"/>
          </w:tcPr>
          <w:p w14:paraId="6D764706"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3</w:t>
            </w:r>
          </w:p>
        </w:tc>
        <w:tc>
          <w:tcPr>
            <w:tcW w:w="1135" w:type="dxa"/>
          </w:tcPr>
          <w:p w14:paraId="6D8F93C8"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r>
      <w:tr w:rsidR="006C4AF6" w:rsidRPr="006C4AF6" w14:paraId="2D1BC1FF" w14:textId="77777777" w:rsidTr="00613DDD">
        <w:trPr>
          <w:trHeight w:val="460"/>
        </w:trPr>
        <w:tc>
          <w:tcPr>
            <w:tcW w:w="3011" w:type="dxa"/>
          </w:tcPr>
          <w:p w14:paraId="73BC3498" w14:textId="77777777" w:rsidR="00335073" w:rsidRPr="006C4AF6" w:rsidRDefault="00335073" w:rsidP="006C4AF6">
            <w:pPr>
              <w:pStyle w:val="Body"/>
              <w:suppressAutoHyphens w:val="0"/>
              <w:spacing w:before="0" w:after="0" w:line="240" w:lineRule="auto"/>
              <w:ind w:left="-10" w:firstLine="10"/>
              <w:jc w:val="center"/>
              <w:rPr>
                <w:b/>
                <w:color w:val="495965" w:themeColor="text2"/>
                <w:sz w:val="17"/>
                <w:szCs w:val="17"/>
                <w:lang w:val="en-US"/>
              </w:rPr>
            </w:pPr>
            <w:r w:rsidRPr="006C4AF6">
              <w:rPr>
                <w:b/>
                <w:color w:val="495965" w:themeColor="text2"/>
                <w:sz w:val="17"/>
                <w:szCs w:val="17"/>
                <w:lang w:val="en-US"/>
              </w:rPr>
              <w:t>Outer Island Renewable Energy Project</w:t>
            </w:r>
          </w:p>
          <w:p w14:paraId="3FFF9686" w14:textId="77777777" w:rsidR="00335073" w:rsidRPr="006C4AF6" w:rsidRDefault="00335073" w:rsidP="006C4AF6">
            <w:pPr>
              <w:pStyle w:val="Body"/>
              <w:suppressAutoHyphens w:val="0"/>
              <w:spacing w:before="0" w:after="0" w:line="240" w:lineRule="auto"/>
              <w:ind w:left="-10" w:firstLine="10"/>
              <w:jc w:val="center"/>
              <w:rPr>
                <w:color w:val="495965" w:themeColor="text2"/>
                <w:sz w:val="17"/>
                <w:szCs w:val="17"/>
                <w:lang w:val="en-US"/>
              </w:rPr>
            </w:pPr>
            <w:r w:rsidRPr="006C4AF6">
              <w:rPr>
                <w:color w:val="495965" w:themeColor="text2"/>
                <w:sz w:val="17"/>
                <w:szCs w:val="17"/>
                <w:lang w:val="en-US"/>
              </w:rPr>
              <w:t>Approved budget: $7.9 million</w:t>
            </w:r>
          </w:p>
          <w:p w14:paraId="0D14CA16" w14:textId="3C00C053" w:rsidR="00335073" w:rsidRPr="006C4AF6" w:rsidRDefault="006C4AF6" w:rsidP="006C4AF6">
            <w:pPr>
              <w:pStyle w:val="Body"/>
              <w:suppressAutoHyphens w:val="0"/>
              <w:spacing w:before="0" w:after="0" w:line="240" w:lineRule="auto"/>
              <w:ind w:left="-10" w:firstLine="10"/>
              <w:jc w:val="center"/>
              <w:rPr>
                <w:color w:val="495965" w:themeColor="text2"/>
              </w:rPr>
            </w:pPr>
            <w:r w:rsidRPr="006C4AF6">
              <w:rPr>
                <w:color w:val="495965" w:themeColor="text2"/>
                <w:sz w:val="17"/>
                <w:szCs w:val="17"/>
                <w:lang w:val="en-US"/>
              </w:rPr>
              <w:t>Budget duration</w:t>
            </w:r>
            <w:r w:rsidR="00335073" w:rsidRPr="006C4AF6">
              <w:rPr>
                <w:color w:val="495965" w:themeColor="text2"/>
                <w:sz w:val="17"/>
                <w:szCs w:val="17"/>
                <w:lang w:val="en-US"/>
              </w:rPr>
              <w:t>: 2012-2020</w:t>
            </w:r>
          </w:p>
        </w:tc>
        <w:tc>
          <w:tcPr>
            <w:tcW w:w="992" w:type="dxa"/>
          </w:tcPr>
          <w:p w14:paraId="245CA8D8" w14:textId="77777777" w:rsidR="00335073" w:rsidRPr="006C4AF6" w:rsidRDefault="00335073" w:rsidP="006C4AF6">
            <w:pPr>
              <w:pStyle w:val="Body"/>
              <w:suppressAutoHyphens w:val="0"/>
              <w:spacing w:before="0" w:after="0" w:line="240" w:lineRule="auto"/>
              <w:ind w:left="-10" w:firstLine="10"/>
              <w:jc w:val="center"/>
              <w:rPr>
                <w:color w:val="495965" w:themeColor="text2"/>
              </w:rPr>
            </w:pPr>
            <w:r w:rsidRPr="006C4AF6">
              <w:rPr>
                <w:color w:val="495965" w:themeColor="text2"/>
                <w:sz w:val="17"/>
                <w:szCs w:val="17"/>
                <w:lang w:val="en-US"/>
              </w:rPr>
              <w:t>2019 AQC</w:t>
            </w:r>
          </w:p>
        </w:tc>
        <w:tc>
          <w:tcPr>
            <w:tcW w:w="1134" w:type="dxa"/>
          </w:tcPr>
          <w:p w14:paraId="11C638F8"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54" w:type="dxa"/>
          </w:tcPr>
          <w:p w14:paraId="7C84350B"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92" w:type="dxa"/>
          </w:tcPr>
          <w:p w14:paraId="76F3D49D"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p>
        </w:tc>
        <w:tc>
          <w:tcPr>
            <w:tcW w:w="850" w:type="dxa"/>
          </w:tcPr>
          <w:p w14:paraId="0330815A"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92" w:type="dxa"/>
          </w:tcPr>
          <w:p w14:paraId="76DF05FA"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p>
        </w:tc>
        <w:tc>
          <w:tcPr>
            <w:tcW w:w="1135" w:type="dxa"/>
          </w:tcPr>
          <w:p w14:paraId="64F52F12"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p>
        </w:tc>
      </w:tr>
      <w:tr w:rsidR="006C4AF6" w:rsidRPr="006C4AF6" w14:paraId="42ACDDC5" w14:textId="77777777" w:rsidTr="00613DDD">
        <w:trPr>
          <w:trHeight w:val="460"/>
        </w:trPr>
        <w:tc>
          <w:tcPr>
            <w:tcW w:w="3011" w:type="dxa"/>
          </w:tcPr>
          <w:p w14:paraId="301B97A2" w14:textId="77777777" w:rsidR="0085189F" w:rsidRPr="006C4AF6" w:rsidRDefault="0085189F" w:rsidP="0085189F">
            <w:pPr>
              <w:pStyle w:val="Body"/>
              <w:suppressAutoHyphens w:val="0"/>
              <w:spacing w:before="0" w:after="0" w:line="240" w:lineRule="auto"/>
              <w:ind w:left="-10" w:firstLine="10"/>
              <w:jc w:val="center"/>
              <w:rPr>
                <w:b/>
                <w:color w:val="495965" w:themeColor="text2"/>
                <w:sz w:val="17"/>
                <w:szCs w:val="17"/>
                <w:lang w:val="en-US"/>
              </w:rPr>
            </w:pPr>
            <w:r w:rsidRPr="006C4AF6">
              <w:rPr>
                <w:b/>
                <w:color w:val="495965" w:themeColor="text2"/>
                <w:sz w:val="17"/>
                <w:szCs w:val="17"/>
                <w:lang w:val="en-US"/>
              </w:rPr>
              <w:t>Outer Island Renewable Energy Project</w:t>
            </w:r>
          </w:p>
          <w:p w14:paraId="1CEE222A" w14:textId="575E4B78" w:rsidR="00335073" w:rsidRPr="006C4AF6" w:rsidRDefault="00335073" w:rsidP="006C4AF6">
            <w:pPr>
              <w:pStyle w:val="Body"/>
              <w:suppressAutoHyphens w:val="0"/>
              <w:spacing w:before="0" w:after="0" w:line="240" w:lineRule="auto"/>
              <w:ind w:left="-10" w:firstLine="10"/>
              <w:jc w:val="center"/>
              <w:rPr>
                <w:color w:val="495965" w:themeColor="text2"/>
              </w:rPr>
            </w:pPr>
          </w:p>
        </w:tc>
        <w:tc>
          <w:tcPr>
            <w:tcW w:w="992" w:type="dxa"/>
          </w:tcPr>
          <w:p w14:paraId="28E6DE2D" w14:textId="77777777" w:rsidR="00335073" w:rsidRPr="006C4AF6" w:rsidRDefault="00335073" w:rsidP="006C4AF6">
            <w:pPr>
              <w:pStyle w:val="Body"/>
              <w:suppressAutoHyphens w:val="0"/>
              <w:spacing w:before="0" w:after="0" w:line="240" w:lineRule="auto"/>
              <w:ind w:left="-10" w:firstLine="10"/>
              <w:jc w:val="center"/>
              <w:rPr>
                <w:color w:val="495965" w:themeColor="text2"/>
              </w:rPr>
            </w:pPr>
            <w:r w:rsidRPr="006C4AF6">
              <w:rPr>
                <w:color w:val="495965" w:themeColor="text2"/>
                <w:sz w:val="17"/>
                <w:szCs w:val="17"/>
                <w:lang w:val="en-US"/>
              </w:rPr>
              <w:t>2018 AQC</w:t>
            </w:r>
          </w:p>
        </w:tc>
        <w:tc>
          <w:tcPr>
            <w:tcW w:w="1134" w:type="dxa"/>
          </w:tcPr>
          <w:p w14:paraId="3BE62084"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54" w:type="dxa"/>
          </w:tcPr>
          <w:p w14:paraId="067A3C54"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92" w:type="dxa"/>
          </w:tcPr>
          <w:p w14:paraId="1A6903DD"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5</w:t>
            </w:r>
          </w:p>
        </w:tc>
        <w:tc>
          <w:tcPr>
            <w:tcW w:w="850" w:type="dxa"/>
          </w:tcPr>
          <w:p w14:paraId="49C5E23E"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5</w:t>
            </w:r>
          </w:p>
        </w:tc>
        <w:tc>
          <w:tcPr>
            <w:tcW w:w="992" w:type="dxa"/>
          </w:tcPr>
          <w:p w14:paraId="47853DC3"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1135" w:type="dxa"/>
          </w:tcPr>
          <w:p w14:paraId="5D9F487D"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5</w:t>
            </w:r>
          </w:p>
        </w:tc>
      </w:tr>
      <w:tr w:rsidR="006C4AF6" w:rsidRPr="006C4AF6" w14:paraId="0B3D3BAE" w14:textId="77777777" w:rsidTr="00613DDD">
        <w:trPr>
          <w:trHeight w:val="460"/>
        </w:trPr>
        <w:tc>
          <w:tcPr>
            <w:tcW w:w="3011" w:type="dxa"/>
          </w:tcPr>
          <w:p w14:paraId="52C5B65F" w14:textId="77777777" w:rsidR="00335073" w:rsidRPr="006C4AF6" w:rsidRDefault="00335073" w:rsidP="006C4AF6">
            <w:pPr>
              <w:pStyle w:val="Body"/>
              <w:suppressAutoHyphens w:val="0"/>
              <w:spacing w:before="0" w:after="0" w:line="240" w:lineRule="auto"/>
              <w:ind w:left="-10" w:firstLine="10"/>
              <w:jc w:val="center"/>
              <w:rPr>
                <w:b/>
                <w:color w:val="495965" w:themeColor="text2"/>
                <w:sz w:val="17"/>
                <w:szCs w:val="17"/>
                <w:lang w:val="en-US"/>
              </w:rPr>
            </w:pPr>
            <w:r w:rsidRPr="006C4AF6">
              <w:rPr>
                <w:b/>
                <w:color w:val="495965" w:themeColor="text2"/>
                <w:sz w:val="17"/>
                <w:szCs w:val="17"/>
                <w:lang w:val="en-US"/>
              </w:rPr>
              <w:t>Tonga Skills</w:t>
            </w:r>
          </w:p>
          <w:p w14:paraId="0CC0EF83" w14:textId="77777777" w:rsidR="00335073" w:rsidRPr="006C4AF6" w:rsidRDefault="00335073" w:rsidP="006C4AF6">
            <w:pPr>
              <w:pStyle w:val="Body"/>
              <w:suppressAutoHyphens w:val="0"/>
              <w:spacing w:before="0" w:after="0" w:line="240" w:lineRule="auto"/>
              <w:ind w:left="-10" w:firstLine="10"/>
              <w:jc w:val="center"/>
              <w:rPr>
                <w:color w:val="495965" w:themeColor="text2"/>
                <w:sz w:val="17"/>
                <w:szCs w:val="17"/>
                <w:lang w:val="en-US"/>
              </w:rPr>
            </w:pPr>
            <w:r w:rsidRPr="006C4AF6">
              <w:rPr>
                <w:color w:val="495965" w:themeColor="text2"/>
                <w:sz w:val="17"/>
                <w:szCs w:val="17"/>
                <w:lang w:val="en-US"/>
              </w:rPr>
              <w:t>Approved budget: $7.5 million</w:t>
            </w:r>
          </w:p>
          <w:p w14:paraId="7CC499CB" w14:textId="147FE292" w:rsidR="00335073" w:rsidRPr="006C4AF6" w:rsidRDefault="006C4AF6" w:rsidP="006C4AF6">
            <w:pPr>
              <w:pStyle w:val="Body"/>
              <w:suppressAutoHyphens w:val="0"/>
              <w:spacing w:before="0" w:after="0" w:line="240" w:lineRule="auto"/>
              <w:ind w:left="-10" w:firstLine="10"/>
              <w:jc w:val="center"/>
              <w:rPr>
                <w:color w:val="495965" w:themeColor="text2"/>
              </w:rPr>
            </w:pPr>
            <w:r w:rsidRPr="006C4AF6">
              <w:rPr>
                <w:color w:val="495965" w:themeColor="text2"/>
                <w:sz w:val="17"/>
                <w:szCs w:val="17"/>
                <w:lang w:val="en-US"/>
              </w:rPr>
              <w:t>Budget d</w:t>
            </w:r>
            <w:r w:rsidR="00335073" w:rsidRPr="006C4AF6">
              <w:rPr>
                <w:color w:val="495965" w:themeColor="text2"/>
                <w:sz w:val="17"/>
                <w:szCs w:val="17"/>
                <w:lang w:val="en-US"/>
              </w:rPr>
              <w:t>uration: 2016-2021</w:t>
            </w:r>
          </w:p>
        </w:tc>
        <w:tc>
          <w:tcPr>
            <w:tcW w:w="992" w:type="dxa"/>
          </w:tcPr>
          <w:p w14:paraId="2A86E5ED" w14:textId="77777777" w:rsidR="00335073" w:rsidRPr="006C4AF6" w:rsidRDefault="00335073" w:rsidP="006C4AF6">
            <w:pPr>
              <w:pStyle w:val="Body"/>
              <w:suppressAutoHyphens w:val="0"/>
              <w:spacing w:before="0" w:after="0" w:line="240" w:lineRule="auto"/>
              <w:ind w:left="-10" w:firstLine="10"/>
              <w:jc w:val="center"/>
              <w:rPr>
                <w:color w:val="495965" w:themeColor="text2"/>
              </w:rPr>
            </w:pPr>
            <w:r w:rsidRPr="006C4AF6">
              <w:rPr>
                <w:color w:val="495965" w:themeColor="text2"/>
                <w:sz w:val="17"/>
                <w:szCs w:val="17"/>
                <w:lang w:val="en-US"/>
              </w:rPr>
              <w:t>2019 AQC</w:t>
            </w:r>
          </w:p>
        </w:tc>
        <w:tc>
          <w:tcPr>
            <w:tcW w:w="1134" w:type="dxa"/>
          </w:tcPr>
          <w:p w14:paraId="142F8DF7"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54" w:type="dxa"/>
          </w:tcPr>
          <w:p w14:paraId="7F660089"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3</w:t>
            </w:r>
          </w:p>
        </w:tc>
        <w:tc>
          <w:tcPr>
            <w:tcW w:w="992" w:type="dxa"/>
          </w:tcPr>
          <w:p w14:paraId="072F96BD"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p>
        </w:tc>
        <w:tc>
          <w:tcPr>
            <w:tcW w:w="850" w:type="dxa"/>
          </w:tcPr>
          <w:p w14:paraId="47B673A7"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92" w:type="dxa"/>
          </w:tcPr>
          <w:p w14:paraId="3D7FA0D7"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p>
        </w:tc>
        <w:tc>
          <w:tcPr>
            <w:tcW w:w="1135" w:type="dxa"/>
          </w:tcPr>
          <w:p w14:paraId="644A2368"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p>
        </w:tc>
      </w:tr>
      <w:tr w:rsidR="006C4AF6" w:rsidRPr="006C4AF6" w14:paraId="2325C1C7" w14:textId="77777777" w:rsidTr="00613DDD">
        <w:trPr>
          <w:trHeight w:val="465"/>
        </w:trPr>
        <w:tc>
          <w:tcPr>
            <w:tcW w:w="3011" w:type="dxa"/>
          </w:tcPr>
          <w:p w14:paraId="42E27C84" w14:textId="77777777" w:rsidR="0085189F" w:rsidRPr="006C4AF6" w:rsidRDefault="0085189F" w:rsidP="0085189F">
            <w:pPr>
              <w:pStyle w:val="Body"/>
              <w:suppressAutoHyphens w:val="0"/>
              <w:spacing w:before="0" w:after="0" w:line="240" w:lineRule="auto"/>
              <w:ind w:left="-10" w:firstLine="10"/>
              <w:jc w:val="center"/>
              <w:rPr>
                <w:b/>
                <w:color w:val="495965" w:themeColor="text2"/>
                <w:sz w:val="17"/>
                <w:szCs w:val="17"/>
                <w:lang w:val="en-US"/>
              </w:rPr>
            </w:pPr>
            <w:r w:rsidRPr="006C4AF6">
              <w:rPr>
                <w:b/>
                <w:color w:val="495965" w:themeColor="text2"/>
                <w:sz w:val="17"/>
                <w:szCs w:val="17"/>
                <w:lang w:val="en-US"/>
              </w:rPr>
              <w:t>Tonga Skills</w:t>
            </w:r>
          </w:p>
          <w:p w14:paraId="47272F18" w14:textId="578218DA" w:rsidR="00335073" w:rsidRPr="006C4AF6" w:rsidRDefault="00335073" w:rsidP="006C4AF6">
            <w:pPr>
              <w:pStyle w:val="Body"/>
              <w:suppressAutoHyphens w:val="0"/>
              <w:spacing w:before="0" w:after="0" w:line="240" w:lineRule="auto"/>
              <w:ind w:left="-10" w:firstLine="10"/>
              <w:jc w:val="center"/>
              <w:rPr>
                <w:color w:val="495965" w:themeColor="text2"/>
              </w:rPr>
            </w:pPr>
          </w:p>
        </w:tc>
        <w:tc>
          <w:tcPr>
            <w:tcW w:w="992" w:type="dxa"/>
          </w:tcPr>
          <w:p w14:paraId="3C5C3DAF" w14:textId="77777777" w:rsidR="00335073" w:rsidRPr="006C4AF6" w:rsidRDefault="00335073" w:rsidP="006C4AF6">
            <w:pPr>
              <w:pStyle w:val="Body"/>
              <w:suppressAutoHyphens w:val="0"/>
              <w:spacing w:before="0" w:after="0" w:line="240" w:lineRule="auto"/>
              <w:ind w:left="-10" w:firstLine="10"/>
              <w:jc w:val="center"/>
              <w:rPr>
                <w:color w:val="495965" w:themeColor="text2"/>
              </w:rPr>
            </w:pPr>
            <w:r w:rsidRPr="006C4AF6">
              <w:rPr>
                <w:color w:val="495965" w:themeColor="text2"/>
                <w:sz w:val="17"/>
                <w:szCs w:val="17"/>
                <w:lang w:val="en-US"/>
              </w:rPr>
              <w:t>2018 AQC</w:t>
            </w:r>
          </w:p>
        </w:tc>
        <w:tc>
          <w:tcPr>
            <w:tcW w:w="1134" w:type="dxa"/>
          </w:tcPr>
          <w:p w14:paraId="39B73632"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54" w:type="dxa"/>
          </w:tcPr>
          <w:p w14:paraId="44A6EAEA"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c>
          <w:tcPr>
            <w:tcW w:w="992" w:type="dxa"/>
          </w:tcPr>
          <w:p w14:paraId="528EE92D"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5</w:t>
            </w:r>
          </w:p>
        </w:tc>
        <w:tc>
          <w:tcPr>
            <w:tcW w:w="850" w:type="dxa"/>
          </w:tcPr>
          <w:p w14:paraId="4F9438D7"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5</w:t>
            </w:r>
          </w:p>
        </w:tc>
        <w:tc>
          <w:tcPr>
            <w:tcW w:w="992" w:type="dxa"/>
          </w:tcPr>
          <w:p w14:paraId="0455739D"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3</w:t>
            </w:r>
          </w:p>
        </w:tc>
        <w:tc>
          <w:tcPr>
            <w:tcW w:w="1135" w:type="dxa"/>
          </w:tcPr>
          <w:p w14:paraId="5D4109E7" w14:textId="77777777" w:rsidR="00335073" w:rsidRPr="006C4AF6" w:rsidRDefault="00335073" w:rsidP="006C4AF6">
            <w:pPr>
              <w:pStyle w:val="Body"/>
              <w:suppressAutoHyphens w:val="0"/>
              <w:spacing w:before="0" w:after="0" w:line="240" w:lineRule="auto"/>
              <w:ind w:left="-10" w:firstLine="10"/>
              <w:jc w:val="center"/>
              <w:rPr>
                <w:b/>
                <w:color w:val="495965" w:themeColor="text2"/>
              </w:rPr>
            </w:pPr>
            <w:r w:rsidRPr="006C4AF6">
              <w:rPr>
                <w:rFonts w:ascii="Franklin Gothic Book" w:eastAsia="Franklin Gothic Book" w:hAnsi="Franklin Gothic Book" w:cs="Franklin Gothic Book"/>
                <w:b/>
                <w:color w:val="495965" w:themeColor="text2"/>
                <w:sz w:val="16"/>
                <w:szCs w:val="16"/>
                <w:lang w:val="en-US"/>
              </w:rPr>
              <w:t>4</w:t>
            </w:r>
          </w:p>
        </w:tc>
      </w:tr>
    </w:tbl>
    <w:p w14:paraId="61C1B7CF" w14:textId="341E6B5F" w:rsidR="00B9601B" w:rsidRDefault="00B9601B" w:rsidP="005E606B">
      <w:pPr>
        <w:rPr>
          <w:iCs/>
        </w:rPr>
      </w:pPr>
    </w:p>
    <w:p w14:paraId="0E09F55B" w14:textId="77777777" w:rsidR="00B9601B" w:rsidRDefault="00B9601B">
      <w:pPr>
        <w:suppressAutoHyphens w:val="0"/>
        <w:spacing w:before="0" w:after="120" w:line="440" w:lineRule="atLeast"/>
        <w:rPr>
          <w:iCs/>
        </w:rPr>
      </w:pPr>
      <w:r>
        <w:rPr>
          <w:iCs/>
        </w:rPr>
        <w:br w:type="page"/>
      </w:r>
    </w:p>
    <w:p w14:paraId="5FB568B9" w14:textId="3FBBDA9A" w:rsidR="00A8197B" w:rsidRPr="00A8197B" w:rsidRDefault="00212FB7"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EF26B5">
        <w:rPr>
          <w:rFonts w:asciiTheme="minorHAnsi" w:eastAsiaTheme="majorEastAsia" w:hAnsiTheme="minorHAnsi" w:cstheme="minorHAnsi"/>
          <w:caps/>
          <w:color w:val="495965" w:themeColor="text2"/>
          <w:sz w:val="36"/>
          <w:szCs w:val="36"/>
          <w:lang w:val="en-GB" w:eastAsia="en-US"/>
        </w:rPr>
        <w:lastRenderedPageBreak/>
        <w:t xml:space="preserve">2 </w:t>
      </w:r>
      <w:r w:rsidR="00A8197B" w:rsidRPr="00EF26B5">
        <w:rPr>
          <w:rFonts w:asciiTheme="minorHAnsi" w:eastAsiaTheme="majorEastAsia" w:hAnsiTheme="minorHAnsi" w:cstheme="minorHAnsi"/>
          <w:caps/>
          <w:color w:val="495965" w:themeColor="text2"/>
          <w:sz w:val="36"/>
          <w:szCs w:val="36"/>
          <w:lang w:val="en-GB" w:eastAsia="en-US"/>
        </w:rPr>
        <w:t>H</w:t>
      </w:r>
      <w:r w:rsidR="00C13E24">
        <w:rPr>
          <w:rFonts w:asciiTheme="minorHAnsi" w:eastAsiaTheme="majorEastAsia" w:hAnsiTheme="minorHAnsi" w:cstheme="minorHAnsi"/>
          <w:caps/>
          <w:color w:val="495965" w:themeColor="text2"/>
          <w:sz w:val="36"/>
          <w:szCs w:val="36"/>
          <w:lang w:val="en-GB" w:eastAsia="en-US"/>
        </w:rPr>
        <w:t xml:space="preserve">umanitarian </w:t>
      </w:r>
      <w:r w:rsidR="00A8197B" w:rsidRPr="00EF26B5">
        <w:rPr>
          <w:rFonts w:asciiTheme="minorHAnsi" w:eastAsiaTheme="majorEastAsia" w:hAnsiTheme="minorHAnsi" w:cstheme="minorHAnsi"/>
          <w:caps/>
          <w:color w:val="495965" w:themeColor="text2"/>
          <w:sz w:val="36"/>
          <w:szCs w:val="36"/>
          <w:lang w:val="en-GB" w:eastAsia="en-US"/>
        </w:rPr>
        <w:t>AQC ratings</w:t>
      </w:r>
      <w:r w:rsidR="00A8197B" w:rsidRPr="00A8197B">
        <w:rPr>
          <w:rFonts w:asciiTheme="majorHAnsi" w:eastAsiaTheme="majorEastAsia" w:hAnsiTheme="majorHAnsi" w:cstheme="majorBidi"/>
          <w:caps/>
          <w:color w:val="495965" w:themeColor="text2"/>
          <w:sz w:val="38"/>
          <w:szCs w:val="26"/>
          <w:lang w:val="en-GB" w:eastAsia="en-US"/>
        </w:rPr>
        <w:t xml:space="preserve"> </w:t>
      </w:r>
      <w:r w:rsidR="00C13E24">
        <w:rPr>
          <w:rFonts w:asciiTheme="majorHAnsi" w:eastAsiaTheme="majorEastAsia" w:hAnsiTheme="majorHAnsi" w:cstheme="majorBidi"/>
          <w:caps/>
          <w:color w:val="495965" w:themeColor="text2"/>
          <w:sz w:val="38"/>
          <w:szCs w:val="26"/>
          <w:lang w:val="en-GB" w:eastAsia="en-US"/>
        </w:rPr>
        <w:br/>
      </w:r>
    </w:p>
    <w:tbl>
      <w:tblPr>
        <w:tblStyle w:val="TableGridLight"/>
        <w:tblW w:w="9052" w:type="dxa"/>
        <w:tblLook w:val="04A0" w:firstRow="1" w:lastRow="0" w:firstColumn="1" w:lastColumn="0" w:noHBand="0" w:noVBand="1"/>
        <w:tblCaption w:val="Humanitarian Aid Quality Check (HAQC) Ratings"/>
      </w:tblPr>
      <w:tblGrid>
        <w:gridCol w:w="1542"/>
        <w:gridCol w:w="657"/>
        <w:gridCol w:w="1115"/>
        <w:gridCol w:w="869"/>
        <w:gridCol w:w="913"/>
        <w:gridCol w:w="777"/>
        <w:gridCol w:w="984"/>
        <w:gridCol w:w="933"/>
        <w:gridCol w:w="1262"/>
      </w:tblGrid>
      <w:tr w:rsidR="006C4AF6" w:rsidRPr="006C4AF6" w14:paraId="08E75D49" w14:textId="77777777" w:rsidTr="00613DDD">
        <w:trPr>
          <w:trHeight w:val="1155"/>
          <w:tblHeader/>
        </w:trPr>
        <w:tc>
          <w:tcPr>
            <w:tcW w:w="1542" w:type="dxa"/>
            <w:noWrap/>
            <w:hideMark/>
          </w:tcPr>
          <w:p w14:paraId="30007C6C" w14:textId="77777777" w:rsidR="006C4AF6" w:rsidRPr="006C4AF6" w:rsidRDefault="006C4AF6" w:rsidP="006C4AF6">
            <w:pPr>
              <w:jc w:val="center"/>
              <w:rPr>
                <w:rFonts w:ascii="Calibri Light" w:eastAsia="Times New Roman" w:hAnsi="Calibri Light" w:cs="Calibri Light"/>
                <w:b/>
                <w:bCs/>
                <w:sz w:val="17"/>
                <w:szCs w:val="17"/>
                <w:lang w:val="en-AU" w:eastAsia="en-AU"/>
              </w:rPr>
            </w:pPr>
            <w:r w:rsidRPr="006C4AF6">
              <w:rPr>
                <w:rFonts w:ascii="Calibri Light" w:eastAsia="Times New Roman" w:hAnsi="Calibri Light" w:cs="Calibri Light"/>
                <w:b/>
                <w:bCs/>
                <w:sz w:val="17"/>
                <w:szCs w:val="17"/>
                <w:lang w:val="en-AU" w:eastAsia="en-AU"/>
              </w:rPr>
              <w:t>Investment Name</w:t>
            </w:r>
          </w:p>
        </w:tc>
        <w:tc>
          <w:tcPr>
            <w:tcW w:w="707" w:type="dxa"/>
            <w:hideMark/>
          </w:tcPr>
          <w:p w14:paraId="504774F5" w14:textId="77777777" w:rsidR="006C4AF6" w:rsidRPr="006C4AF6" w:rsidRDefault="006C4AF6" w:rsidP="006C4AF6">
            <w:pPr>
              <w:jc w:val="center"/>
              <w:rPr>
                <w:rFonts w:ascii="Calibri Light" w:eastAsia="Times New Roman" w:hAnsi="Calibri Light" w:cs="Calibri Light"/>
                <w:b/>
                <w:bCs/>
                <w:sz w:val="17"/>
                <w:szCs w:val="17"/>
                <w:lang w:val="en-AU" w:eastAsia="en-AU"/>
              </w:rPr>
            </w:pPr>
            <w:r w:rsidRPr="006C4AF6">
              <w:rPr>
                <w:rFonts w:ascii="Calibri Light" w:eastAsia="Times New Roman" w:hAnsi="Calibri Light" w:cs="Calibri Light"/>
                <w:b/>
                <w:bCs/>
                <w:sz w:val="17"/>
                <w:szCs w:val="17"/>
                <w:lang w:val="en-AU" w:eastAsia="en-AU"/>
              </w:rPr>
              <w:t>year on year</w:t>
            </w:r>
          </w:p>
        </w:tc>
        <w:tc>
          <w:tcPr>
            <w:tcW w:w="1115" w:type="dxa"/>
            <w:hideMark/>
          </w:tcPr>
          <w:p w14:paraId="605EC2C7" w14:textId="77777777" w:rsidR="006C4AF6" w:rsidRPr="006C4AF6" w:rsidRDefault="006C4AF6" w:rsidP="006C4AF6">
            <w:pPr>
              <w:jc w:val="center"/>
              <w:rPr>
                <w:rFonts w:ascii="Calibri Light" w:eastAsia="Times New Roman" w:hAnsi="Calibri Light" w:cs="Calibri Light"/>
                <w:b/>
                <w:bCs/>
                <w:sz w:val="17"/>
                <w:szCs w:val="17"/>
                <w:lang w:val="en-AU" w:eastAsia="en-AU"/>
              </w:rPr>
            </w:pPr>
            <w:r w:rsidRPr="006C4AF6">
              <w:rPr>
                <w:rFonts w:ascii="Calibri Light" w:eastAsia="Times New Roman" w:hAnsi="Calibri Light" w:cs="Calibri Light"/>
                <w:b/>
                <w:bCs/>
                <w:sz w:val="17"/>
                <w:szCs w:val="17"/>
                <w:lang w:val="en-AU" w:eastAsia="en-AU"/>
              </w:rPr>
              <w:t>Effectiveness</w:t>
            </w:r>
          </w:p>
        </w:tc>
        <w:tc>
          <w:tcPr>
            <w:tcW w:w="869" w:type="dxa"/>
            <w:hideMark/>
          </w:tcPr>
          <w:p w14:paraId="2E633C16" w14:textId="77777777" w:rsidR="006C4AF6" w:rsidRPr="006C4AF6" w:rsidRDefault="006C4AF6" w:rsidP="006C4AF6">
            <w:pPr>
              <w:jc w:val="center"/>
              <w:rPr>
                <w:rFonts w:ascii="Calibri Light" w:eastAsia="Times New Roman" w:hAnsi="Calibri Light" w:cs="Calibri Light"/>
                <w:b/>
                <w:bCs/>
                <w:sz w:val="17"/>
                <w:szCs w:val="17"/>
                <w:lang w:val="en-AU" w:eastAsia="en-AU"/>
              </w:rPr>
            </w:pPr>
            <w:r w:rsidRPr="006C4AF6">
              <w:rPr>
                <w:rFonts w:ascii="Calibri Light" w:eastAsia="Times New Roman" w:hAnsi="Calibri Light" w:cs="Calibri Light"/>
                <w:b/>
                <w:bCs/>
                <w:sz w:val="17"/>
                <w:szCs w:val="17"/>
                <w:lang w:val="en-AU" w:eastAsia="en-AU"/>
              </w:rPr>
              <w:t>Efficiency</w:t>
            </w:r>
          </w:p>
        </w:tc>
        <w:tc>
          <w:tcPr>
            <w:tcW w:w="913" w:type="dxa"/>
            <w:hideMark/>
          </w:tcPr>
          <w:p w14:paraId="3004F222" w14:textId="77777777" w:rsidR="006C4AF6" w:rsidRPr="006C4AF6" w:rsidRDefault="006C4AF6" w:rsidP="006C4AF6">
            <w:pPr>
              <w:jc w:val="center"/>
              <w:rPr>
                <w:rFonts w:ascii="Calibri Light" w:eastAsia="Times New Roman" w:hAnsi="Calibri Light" w:cs="Calibri Light"/>
                <w:b/>
                <w:bCs/>
                <w:sz w:val="17"/>
                <w:szCs w:val="17"/>
                <w:lang w:val="en-AU" w:eastAsia="en-AU"/>
              </w:rPr>
            </w:pPr>
            <w:r w:rsidRPr="006C4AF6">
              <w:rPr>
                <w:rFonts w:ascii="Calibri Light" w:eastAsia="Times New Roman" w:hAnsi="Calibri Light" w:cs="Calibri Light"/>
                <w:b/>
                <w:bCs/>
                <w:sz w:val="17"/>
                <w:szCs w:val="17"/>
                <w:lang w:val="en-AU" w:eastAsia="en-AU"/>
              </w:rPr>
              <w:t>Relevance</w:t>
            </w:r>
          </w:p>
        </w:tc>
        <w:tc>
          <w:tcPr>
            <w:tcW w:w="803" w:type="dxa"/>
            <w:hideMark/>
          </w:tcPr>
          <w:p w14:paraId="48C9C989" w14:textId="270D77B8" w:rsidR="006C4AF6" w:rsidRPr="006C4AF6" w:rsidRDefault="006C4AF6" w:rsidP="006C4AF6">
            <w:pPr>
              <w:jc w:val="center"/>
              <w:rPr>
                <w:rFonts w:ascii="Calibri Light" w:eastAsia="Times New Roman" w:hAnsi="Calibri Light" w:cs="Calibri Light"/>
                <w:b/>
                <w:bCs/>
                <w:sz w:val="17"/>
                <w:szCs w:val="17"/>
                <w:lang w:val="en-AU" w:eastAsia="en-AU"/>
              </w:rPr>
            </w:pPr>
            <w:r w:rsidRPr="006C4AF6">
              <w:rPr>
                <w:rFonts w:ascii="Calibri Light" w:eastAsia="Times New Roman" w:hAnsi="Calibri Light" w:cs="Calibri Light"/>
                <w:b/>
                <w:bCs/>
                <w:sz w:val="17"/>
                <w:szCs w:val="17"/>
                <w:lang w:val="en-AU" w:eastAsia="en-AU"/>
              </w:rPr>
              <w:t>Gender</w:t>
            </w:r>
          </w:p>
        </w:tc>
        <w:tc>
          <w:tcPr>
            <w:tcW w:w="908" w:type="dxa"/>
            <w:hideMark/>
          </w:tcPr>
          <w:p w14:paraId="004555AE" w14:textId="77777777" w:rsidR="006C4AF6" w:rsidRPr="006C4AF6" w:rsidRDefault="006C4AF6" w:rsidP="006C4AF6">
            <w:pPr>
              <w:jc w:val="center"/>
              <w:rPr>
                <w:rFonts w:ascii="Calibri Light" w:eastAsia="Times New Roman" w:hAnsi="Calibri Light" w:cs="Calibri Light"/>
                <w:b/>
                <w:bCs/>
                <w:sz w:val="17"/>
                <w:szCs w:val="17"/>
                <w:lang w:val="en-AU" w:eastAsia="en-AU"/>
              </w:rPr>
            </w:pPr>
            <w:r w:rsidRPr="006C4AF6">
              <w:rPr>
                <w:rFonts w:ascii="Calibri Light" w:eastAsia="Times New Roman" w:hAnsi="Calibri Light" w:cs="Calibri Light"/>
                <w:b/>
                <w:bCs/>
                <w:sz w:val="17"/>
                <w:szCs w:val="17"/>
                <w:lang w:val="en-AU" w:eastAsia="en-AU"/>
              </w:rPr>
              <w:t>Monitoring and Evaluation</w:t>
            </w:r>
          </w:p>
        </w:tc>
        <w:tc>
          <w:tcPr>
            <w:tcW w:w="933" w:type="dxa"/>
            <w:hideMark/>
          </w:tcPr>
          <w:p w14:paraId="7EF49D91" w14:textId="77777777" w:rsidR="006C4AF6" w:rsidRPr="006C4AF6" w:rsidRDefault="006C4AF6" w:rsidP="006C4AF6">
            <w:pPr>
              <w:jc w:val="center"/>
              <w:rPr>
                <w:rFonts w:ascii="Calibri Light" w:eastAsia="Times New Roman" w:hAnsi="Calibri Light" w:cs="Calibri Light"/>
                <w:b/>
                <w:bCs/>
                <w:sz w:val="17"/>
                <w:szCs w:val="17"/>
                <w:lang w:val="en-AU" w:eastAsia="en-AU"/>
              </w:rPr>
            </w:pPr>
            <w:r w:rsidRPr="006C4AF6">
              <w:rPr>
                <w:rFonts w:ascii="Calibri Light" w:eastAsia="Times New Roman" w:hAnsi="Calibri Light" w:cs="Calibri Light"/>
                <w:b/>
                <w:bCs/>
                <w:sz w:val="17"/>
                <w:szCs w:val="17"/>
                <w:lang w:val="en-AU" w:eastAsia="en-AU"/>
              </w:rPr>
              <w:t>Protection</w:t>
            </w:r>
          </w:p>
        </w:tc>
        <w:tc>
          <w:tcPr>
            <w:tcW w:w="1262" w:type="dxa"/>
            <w:hideMark/>
          </w:tcPr>
          <w:p w14:paraId="094DCE13" w14:textId="77777777" w:rsidR="006C4AF6" w:rsidRPr="006C4AF6" w:rsidRDefault="006C4AF6" w:rsidP="006C4AF6">
            <w:pPr>
              <w:jc w:val="center"/>
              <w:rPr>
                <w:rFonts w:ascii="Calibri Light" w:eastAsia="Times New Roman" w:hAnsi="Calibri Light" w:cs="Calibri Light"/>
                <w:b/>
                <w:bCs/>
                <w:sz w:val="17"/>
                <w:szCs w:val="17"/>
                <w:lang w:val="en-AU" w:eastAsia="en-AU"/>
              </w:rPr>
            </w:pPr>
            <w:r w:rsidRPr="006C4AF6">
              <w:rPr>
                <w:rFonts w:ascii="Calibri Light" w:eastAsia="Times New Roman" w:hAnsi="Calibri Light" w:cs="Calibri Light"/>
                <w:b/>
                <w:bCs/>
                <w:sz w:val="17"/>
                <w:szCs w:val="17"/>
                <w:lang w:val="en-AU" w:eastAsia="en-AU"/>
              </w:rPr>
              <w:t>Connectedness</w:t>
            </w:r>
          </w:p>
        </w:tc>
      </w:tr>
      <w:tr w:rsidR="006C4AF6" w:rsidRPr="006C4AF6" w14:paraId="61AA94DF" w14:textId="77777777" w:rsidTr="0085189F">
        <w:trPr>
          <w:trHeight w:val="615"/>
        </w:trPr>
        <w:tc>
          <w:tcPr>
            <w:tcW w:w="1542" w:type="dxa"/>
            <w:noWrap/>
            <w:hideMark/>
          </w:tcPr>
          <w:p w14:paraId="72F29BC8" w14:textId="77777777" w:rsidR="006C4AF6" w:rsidRPr="006C4AF6" w:rsidRDefault="006C4AF6" w:rsidP="006C4AF6">
            <w:pPr>
              <w:jc w:val="center"/>
              <w:rPr>
                <w:rFonts w:ascii="Calibri Light" w:eastAsia="Times New Roman" w:hAnsi="Calibri Light" w:cs="Calibri Light"/>
                <w:b/>
                <w:sz w:val="17"/>
                <w:szCs w:val="17"/>
                <w:lang w:val="en-AU" w:eastAsia="en-AU"/>
              </w:rPr>
            </w:pPr>
            <w:r w:rsidRPr="006C4AF6">
              <w:rPr>
                <w:rFonts w:ascii="Calibri Light" w:eastAsia="Times New Roman" w:hAnsi="Calibri Light" w:cs="Calibri Light"/>
                <w:b/>
                <w:sz w:val="17"/>
                <w:szCs w:val="17"/>
                <w:lang w:val="en-AU" w:eastAsia="en-AU"/>
              </w:rPr>
              <w:t>Tropical Cyclone Gita</w:t>
            </w:r>
          </w:p>
          <w:p w14:paraId="1E9AB9F5" w14:textId="77777777" w:rsidR="006C4AF6" w:rsidRPr="006C4AF6" w:rsidRDefault="006C4AF6" w:rsidP="006C4AF6">
            <w:pPr>
              <w:jc w:val="center"/>
              <w:rPr>
                <w:rFonts w:ascii="Calibri Light" w:eastAsia="Times New Roman" w:hAnsi="Calibri Light" w:cs="Calibri Light"/>
                <w:sz w:val="17"/>
                <w:szCs w:val="17"/>
                <w:lang w:val="en-AU" w:eastAsia="en-AU"/>
              </w:rPr>
            </w:pPr>
            <w:r w:rsidRPr="006C4AF6">
              <w:rPr>
                <w:rFonts w:ascii="Calibri Light" w:eastAsia="Times New Roman" w:hAnsi="Calibri Light" w:cs="Calibri Light"/>
                <w:sz w:val="17"/>
                <w:szCs w:val="17"/>
                <w:lang w:val="en-AU" w:eastAsia="en-AU"/>
              </w:rPr>
              <w:t>Approved budget: $8.4 million</w:t>
            </w:r>
          </w:p>
          <w:p w14:paraId="2EF27DB5" w14:textId="62D984DF" w:rsidR="006C4AF6" w:rsidRPr="006C4AF6" w:rsidRDefault="006C4AF6" w:rsidP="006C4AF6">
            <w:pPr>
              <w:jc w:val="center"/>
              <w:rPr>
                <w:rFonts w:ascii="Calibri Light" w:eastAsia="Times New Roman" w:hAnsi="Calibri Light" w:cs="Calibri Light"/>
                <w:sz w:val="17"/>
                <w:szCs w:val="17"/>
                <w:lang w:val="en-AU" w:eastAsia="en-AU"/>
              </w:rPr>
            </w:pPr>
            <w:r w:rsidRPr="006C4AF6">
              <w:rPr>
                <w:rFonts w:ascii="Calibri Light" w:eastAsia="Times New Roman" w:hAnsi="Calibri Light" w:cs="Calibri Light"/>
                <w:sz w:val="17"/>
                <w:szCs w:val="17"/>
                <w:lang w:val="en-AU" w:eastAsia="en-AU"/>
              </w:rPr>
              <w:t>Budget duration: 2018-2021</w:t>
            </w:r>
          </w:p>
        </w:tc>
        <w:tc>
          <w:tcPr>
            <w:tcW w:w="707" w:type="dxa"/>
            <w:hideMark/>
          </w:tcPr>
          <w:p w14:paraId="093BA1B6" w14:textId="77777777" w:rsidR="006C4AF6" w:rsidRPr="006C4AF6" w:rsidRDefault="006C4AF6" w:rsidP="006C4AF6">
            <w:pPr>
              <w:jc w:val="center"/>
              <w:rPr>
                <w:rFonts w:ascii="Calibri Light" w:eastAsia="Times New Roman" w:hAnsi="Calibri Light" w:cs="Calibri Light"/>
                <w:sz w:val="17"/>
                <w:szCs w:val="17"/>
                <w:lang w:val="en-AU" w:eastAsia="en-AU"/>
              </w:rPr>
            </w:pPr>
            <w:r w:rsidRPr="006C4AF6">
              <w:rPr>
                <w:rFonts w:ascii="Calibri Light" w:eastAsia="Times New Roman" w:hAnsi="Calibri Light" w:cs="Calibri Light"/>
                <w:sz w:val="17"/>
                <w:szCs w:val="17"/>
                <w:lang w:val="en-AU" w:eastAsia="en-AU"/>
              </w:rPr>
              <w:t>2019 AQC</w:t>
            </w:r>
          </w:p>
        </w:tc>
        <w:tc>
          <w:tcPr>
            <w:tcW w:w="1115" w:type="dxa"/>
            <w:hideMark/>
          </w:tcPr>
          <w:p w14:paraId="4FB771CC" w14:textId="77777777" w:rsidR="006C4AF6" w:rsidRPr="006C4AF6" w:rsidRDefault="006C4AF6" w:rsidP="006C4AF6">
            <w:pPr>
              <w:jc w:val="center"/>
              <w:rPr>
                <w:rFonts w:ascii="Franklin Gothic Book" w:eastAsia="Times New Roman" w:hAnsi="Franklin Gothic Book" w:cs="Calibri"/>
                <w:b/>
                <w:sz w:val="16"/>
                <w:szCs w:val="16"/>
                <w:lang w:val="en-AU" w:eastAsia="en-AU"/>
              </w:rPr>
            </w:pPr>
            <w:r w:rsidRPr="006C4AF6">
              <w:rPr>
                <w:rFonts w:ascii="Franklin Gothic Book" w:eastAsia="Times New Roman" w:hAnsi="Franklin Gothic Book" w:cs="Calibri"/>
                <w:b/>
                <w:sz w:val="16"/>
                <w:szCs w:val="16"/>
                <w:lang w:val="en-AU" w:eastAsia="en-AU"/>
              </w:rPr>
              <w:t>5</w:t>
            </w:r>
          </w:p>
        </w:tc>
        <w:tc>
          <w:tcPr>
            <w:tcW w:w="869" w:type="dxa"/>
            <w:hideMark/>
          </w:tcPr>
          <w:p w14:paraId="4B957F2B" w14:textId="77777777" w:rsidR="006C4AF6" w:rsidRPr="006C4AF6" w:rsidRDefault="006C4AF6" w:rsidP="006C4AF6">
            <w:pPr>
              <w:jc w:val="center"/>
              <w:rPr>
                <w:rFonts w:ascii="Franklin Gothic Book" w:eastAsia="Times New Roman" w:hAnsi="Franklin Gothic Book" w:cs="Calibri"/>
                <w:b/>
                <w:sz w:val="16"/>
                <w:szCs w:val="16"/>
                <w:lang w:val="en-AU" w:eastAsia="en-AU"/>
              </w:rPr>
            </w:pPr>
            <w:r w:rsidRPr="006C4AF6">
              <w:rPr>
                <w:rFonts w:ascii="Franklin Gothic Book" w:eastAsia="Times New Roman" w:hAnsi="Franklin Gothic Book" w:cs="Calibri"/>
                <w:b/>
                <w:sz w:val="16"/>
                <w:szCs w:val="16"/>
                <w:lang w:val="en-AU" w:eastAsia="en-AU"/>
              </w:rPr>
              <w:t>5</w:t>
            </w:r>
          </w:p>
        </w:tc>
        <w:tc>
          <w:tcPr>
            <w:tcW w:w="913" w:type="dxa"/>
            <w:hideMark/>
          </w:tcPr>
          <w:p w14:paraId="413C6937" w14:textId="77777777" w:rsidR="006C4AF6" w:rsidRPr="006C4AF6" w:rsidRDefault="006C4AF6" w:rsidP="006C4AF6">
            <w:pPr>
              <w:jc w:val="center"/>
              <w:rPr>
                <w:rFonts w:ascii="Franklin Gothic Book" w:eastAsia="Times New Roman" w:hAnsi="Franklin Gothic Book" w:cs="Calibri"/>
                <w:b/>
                <w:sz w:val="16"/>
                <w:szCs w:val="16"/>
                <w:lang w:val="en-AU" w:eastAsia="en-AU"/>
              </w:rPr>
            </w:pPr>
            <w:r w:rsidRPr="006C4AF6">
              <w:rPr>
                <w:rFonts w:ascii="Franklin Gothic Book" w:eastAsia="Times New Roman" w:hAnsi="Franklin Gothic Book" w:cs="Calibri"/>
                <w:b/>
                <w:sz w:val="16"/>
                <w:szCs w:val="16"/>
                <w:lang w:val="en-AU" w:eastAsia="en-AU"/>
              </w:rPr>
              <w:t>5</w:t>
            </w:r>
          </w:p>
        </w:tc>
        <w:tc>
          <w:tcPr>
            <w:tcW w:w="803" w:type="dxa"/>
          </w:tcPr>
          <w:p w14:paraId="459D3F98" w14:textId="77777777" w:rsidR="006C4AF6" w:rsidRPr="006C4AF6" w:rsidRDefault="006C4AF6" w:rsidP="006C4AF6">
            <w:pPr>
              <w:jc w:val="center"/>
              <w:rPr>
                <w:rFonts w:ascii="Franklin Gothic Book" w:eastAsia="Times New Roman" w:hAnsi="Franklin Gothic Book" w:cs="Calibri"/>
                <w:b/>
                <w:sz w:val="16"/>
                <w:szCs w:val="16"/>
                <w:lang w:val="en-AU" w:eastAsia="en-AU"/>
              </w:rPr>
            </w:pPr>
            <w:r w:rsidRPr="006C4AF6">
              <w:rPr>
                <w:rFonts w:ascii="Franklin Gothic Book" w:eastAsia="Times New Roman" w:hAnsi="Franklin Gothic Book" w:cs="Calibri"/>
                <w:b/>
                <w:sz w:val="16"/>
                <w:szCs w:val="16"/>
                <w:lang w:val="en-AU" w:eastAsia="en-AU"/>
              </w:rPr>
              <w:t>4</w:t>
            </w:r>
          </w:p>
        </w:tc>
        <w:tc>
          <w:tcPr>
            <w:tcW w:w="908" w:type="dxa"/>
            <w:hideMark/>
          </w:tcPr>
          <w:p w14:paraId="3C9D712D" w14:textId="77777777" w:rsidR="006C4AF6" w:rsidRPr="006C4AF6" w:rsidRDefault="006C4AF6" w:rsidP="006C4AF6">
            <w:pPr>
              <w:jc w:val="center"/>
              <w:rPr>
                <w:rFonts w:ascii="Franklin Gothic Book" w:eastAsia="Times New Roman" w:hAnsi="Franklin Gothic Book" w:cs="Calibri"/>
                <w:b/>
                <w:sz w:val="16"/>
                <w:szCs w:val="16"/>
                <w:lang w:val="en-AU" w:eastAsia="en-AU"/>
              </w:rPr>
            </w:pPr>
            <w:r w:rsidRPr="006C4AF6">
              <w:rPr>
                <w:rFonts w:ascii="Franklin Gothic Book" w:eastAsia="Times New Roman" w:hAnsi="Franklin Gothic Book" w:cs="Calibri"/>
                <w:b/>
                <w:sz w:val="16"/>
                <w:szCs w:val="16"/>
                <w:lang w:val="en-AU" w:eastAsia="en-AU"/>
              </w:rPr>
              <w:t>4</w:t>
            </w:r>
          </w:p>
        </w:tc>
        <w:tc>
          <w:tcPr>
            <w:tcW w:w="933" w:type="dxa"/>
            <w:hideMark/>
          </w:tcPr>
          <w:p w14:paraId="7F0BA5B5" w14:textId="77777777" w:rsidR="006C4AF6" w:rsidRPr="006C4AF6" w:rsidRDefault="006C4AF6" w:rsidP="006C4AF6">
            <w:pPr>
              <w:jc w:val="center"/>
              <w:rPr>
                <w:rFonts w:ascii="Franklin Gothic Book" w:eastAsia="Times New Roman" w:hAnsi="Franklin Gothic Book" w:cs="Calibri"/>
                <w:b/>
                <w:sz w:val="16"/>
                <w:szCs w:val="16"/>
                <w:lang w:val="en-AU" w:eastAsia="en-AU"/>
              </w:rPr>
            </w:pPr>
            <w:r w:rsidRPr="006C4AF6">
              <w:rPr>
                <w:rFonts w:ascii="Franklin Gothic Book" w:eastAsia="Times New Roman" w:hAnsi="Franklin Gothic Book" w:cs="Calibri"/>
                <w:b/>
                <w:sz w:val="16"/>
                <w:szCs w:val="16"/>
                <w:lang w:val="en-AU" w:eastAsia="en-AU"/>
              </w:rPr>
              <w:t>4</w:t>
            </w:r>
          </w:p>
        </w:tc>
        <w:tc>
          <w:tcPr>
            <w:tcW w:w="1262" w:type="dxa"/>
            <w:hideMark/>
          </w:tcPr>
          <w:p w14:paraId="7CE11333" w14:textId="77777777" w:rsidR="006C4AF6" w:rsidRPr="006C4AF6" w:rsidRDefault="006C4AF6" w:rsidP="006C4AF6">
            <w:pPr>
              <w:jc w:val="center"/>
              <w:rPr>
                <w:rFonts w:ascii="Franklin Gothic Book" w:eastAsia="Times New Roman" w:hAnsi="Franklin Gothic Book" w:cs="Calibri"/>
                <w:b/>
                <w:sz w:val="16"/>
                <w:szCs w:val="16"/>
                <w:lang w:val="en-AU" w:eastAsia="en-AU"/>
              </w:rPr>
            </w:pPr>
            <w:r w:rsidRPr="006C4AF6">
              <w:rPr>
                <w:rFonts w:ascii="Franklin Gothic Book" w:eastAsia="Times New Roman" w:hAnsi="Franklin Gothic Book" w:cs="Calibri"/>
                <w:b/>
                <w:sz w:val="16"/>
                <w:szCs w:val="16"/>
                <w:lang w:val="en-AU" w:eastAsia="en-AU"/>
              </w:rPr>
              <w:t>5</w:t>
            </w:r>
          </w:p>
        </w:tc>
      </w:tr>
    </w:tbl>
    <w:p w14:paraId="42419201" w14:textId="2E0752AA" w:rsidR="0059146A" w:rsidRDefault="0059146A" w:rsidP="005B5769">
      <w:pPr>
        <w:pStyle w:val="ListBullet"/>
        <w:tabs>
          <w:tab w:val="clear" w:pos="284"/>
        </w:tabs>
      </w:pPr>
    </w:p>
    <w:p w14:paraId="69FB1BB9" w14:textId="61636B7C" w:rsidR="00EF0E2D" w:rsidRPr="005251D5" w:rsidRDefault="00EF0E2D" w:rsidP="005B5769">
      <w:pPr>
        <w:pStyle w:val="ListBullet"/>
        <w:tabs>
          <w:tab w:val="clear" w:pos="284"/>
        </w:tabs>
        <w:rPr>
          <w:rFonts w:asciiTheme="minorHAnsi" w:hAnsiTheme="minorHAnsi" w:cstheme="minorHAnsi"/>
          <w:color w:val="495965" w:themeColor="text2"/>
          <w:sz w:val="22"/>
          <w:szCs w:val="22"/>
        </w:rPr>
      </w:pPr>
      <w:r w:rsidRPr="005251D5">
        <w:rPr>
          <w:rFonts w:asciiTheme="minorHAnsi" w:hAnsiTheme="minorHAnsi" w:cstheme="minorHAnsi"/>
          <w:color w:val="495965" w:themeColor="text2"/>
          <w:sz w:val="22"/>
          <w:szCs w:val="22"/>
        </w:rPr>
        <w:t>For 2018-19, investments are rated against three criteria: effectiveness, efficiency and gender equality. This reduction in criteria rated is to ensure stronger management attention is given to assessing these criteria which are fundamental to the success of Australian aid investments. Other important issues, such as monitoring and evaluation, are now assessed under the three priority criteria.</w:t>
      </w:r>
    </w:p>
    <w:p w14:paraId="2743D6A0" w14:textId="77777777" w:rsidR="00A8197B" w:rsidRPr="005251D5" w:rsidRDefault="00A8197B" w:rsidP="00A8197B">
      <w:pPr>
        <w:spacing w:before="20" w:after="20" w:line="180" w:lineRule="atLeast"/>
        <w:jc w:val="both"/>
        <w:rPr>
          <w:rFonts w:eastAsia="Times New Roman"/>
          <w:b/>
        </w:rPr>
      </w:pPr>
    </w:p>
    <w:p w14:paraId="708D71BE" w14:textId="4D4CA765" w:rsidR="00A8197B" w:rsidRPr="005251D5" w:rsidRDefault="00A8197B" w:rsidP="00A8197B">
      <w:pPr>
        <w:spacing w:before="20" w:after="20" w:line="180" w:lineRule="atLeast"/>
        <w:jc w:val="both"/>
        <w:rPr>
          <w:rFonts w:eastAsia="Times New Roman"/>
          <w:b/>
        </w:rPr>
      </w:pPr>
      <w:r w:rsidRPr="005251D5">
        <w:rPr>
          <w:rFonts w:eastAsia="Times New Roman"/>
          <w:b/>
        </w:rPr>
        <w:t xml:space="preserve">Definitions of </w:t>
      </w:r>
      <w:r w:rsidR="005251D5">
        <w:rPr>
          <w:rFonts w:eastAsia="Times New Roman"/>
          <w:b/>
        </w:rPr>
        <w:t xml:space="preserve">AQC </w:t>
      </w:r>
      <w:r w:rsidRPr="005251D5">
        <w:rPr>
          <w:rFonts w:eastAsia="Times New Roman"/>
          <w:b/>
        </w:rPr>
        <w:t>rating scale:</w:t>
      </w:r>
      <w:r w:rsidRPr="005251D5">
        <w:rPr>
          <w:rFonts w:eastAsia="Times New Roman"/>
          <w:b/>
        </w:rPr>
        <w:tab/>
      </w:r>
    </w:p>
    <w:p w14:paraId="7283B3EC" w14:textId="77777777" w:rsidR="00613DDD" w:rsidRPr="005251D5" w:rsidRDefault="00613DDD" w:rsidP="00A8197B">
      <w:pPr>
        <w:spacing w:before="20" w:after="20" w:line="180" w:lineRule="atLeast"/>
        <w:jc w:val="both"/>
        <w:rPr>
          <w:rFonts w:eastAsia="Times New Roman"/>
          <w:b/>
        </w:rPr>
      </w:pPr>
    </w:p>
    <w:p w14:paraId="7D517A02" w14:textId="77777777" w:rsidR="00A8197B" w:rsidRPr="005251D5" w:rsidRDefault="00A8197B" w:rsidP="00A8197B">
      <w:pPr>
        <w:spacing w:before="20" w:after="20" w:line="180" w:lineRule="atLeast"/>
        <w:jc w:val="both"/>
        <w:rPr>
          <w:rFonts w:eastAsia="Times New Roman"/>
          <w:b/>
        </w:rPr>
      </w:pPr>
      <w:r w:rsidRPr="005251D5">
        <w:rPr>
          <w:rFonts w:eastAsia="Times New Roman"/>
          <w:b/>
        </w:rPr>
        <w:t>Satisfactory (4, 5 and 6)</w:t>
      </w:r>
    </w:p>
    <w:p w14:paraId="16636904" w14:textId="77777777" w:rsidR="00613DDD" w:rsidRPr="005251D5" w:rsidRDefault="00A8197B" w:rsidP="00812509">
      <w:pPr>
        <w:spacing w:before="20" w:after="20" w:line="180" w:lineRule="atLeast"/>
        <w:rPr>
          <w:rFonts w:eastAsia="Times New Roman"/>
          <w:color w:val="72AF2F"/>
        </w:rPr>
      </w:pPr>
      <w:r w:rsidRPr="005251D5">
        <w:rPr>
          <w:rFonts w:eastAsia="Times New Roman"/>
          <w:b/>
        </w:rPr>
        <w:t>6</w:t>
      </w:r>
      <w:r w:rsidRPr="005251D5">
        <w:rPr>
          <w:rFonts w:eastAsia="Times New Roman"/>
        </w:rPr>
        <w:t xml:space="preserve"> = Very good; satisfies criteria in all areas.  </w:t>
      </w:r>
    </w:p>
    <w:p w14:paraId="39C2A5D3" w14:textId="4A7C1CA3" w:rsidR="00A8197B" w:rsidRPr="005251D5" w:rsidRDefault="00A8197B" w:rsidP="00812509">
      <w:pPr>
        <w:spacing w:before="20" w:after="20" w:line="180" w:lineRule="atLeast"/>
        <w:rPr>
          <w:rFonts w:eastAsia="Times New Roman"/>
        </w:rPr>
      </w:pPr>
      <w:r w:rsidRPr="005251D5">
        <w:rPr>
          <w:rFonts w:eastAsia="Times New Roman"/>
          <w:b/>
        </w:rPr>
        <w:t>5</w:t>
      </w:r>
      <w:r w:rsidRPr="005251D5">
        <w:rPr>
          <w:rFonts w:eastAsia="Times New Roman"/>
        </w:rPr>
        <w:t xml:space="preserve"> = Good; satisfies criteria in almost all areas.</w:t>
      </w:r>
    </w:p>
    <w:p w14:paraId="7B60564E" w14:textId="3212387A" w:rsidR="00A8197B" w:rsidRPr="005251D5" w:rsidRDefault="00A8197B" w:rsidP="00812509">
      <w:pPr>
        <w:spacing w:before="20" w:after="20" w:line="180" w:lineRule="atLeast"/>
        <w:rPr>
          <w:rFonts w:eastAsia="Times New Roman"/>
        </w:rPr>
      </w:pPr>
      <w:r w:rsidRPr="005251D5">
        <w:rPr>
          <w:rFonts w:eastAsia="Times New Roman"/>
          <w:b/>
        </w:rPr>
        <w:t>4</w:t>
      </w:r>
      <w:r w:rsidRPr="005251D5">
        <w:rPr>
          <w:rFonts w:eastAsia="Times New Roman"/>
        </w:rPr>
        <w:t xml:space="preserve"> = Adequate; on balance, satisfies criteria; does not fail in any major area.</w:t>
      </w:r>
    </w:p>
    <w:p w14:paraId="000D78E4" w14:textId="77777777" w:rsidR="00613DDD" w:rsidRPr="005251D5" w:rsidRDefault="00613DDD" w:rsidP="00812509">
      <w:pPr>
        <w:spacing w:before="20" w:after="20" w:line="180" w:lineRule="atLeast"/>
        <w:rPr>
          <w:rFonts w:eastAsia="Times New Roman"/>
          <w:b/>
        </w:rPr>
      </w:pPr>
    </w:p>
    <w:p w14:paraId="39DBF98E" w14:textId="77777777" w:rsidR="00A8197B" w:rsidRPr="005251D5" w:rsidRDefault="00A8197B" w:rsidP="00812509">
      <w:pPr>
        <w:spacing w:before="20" w:after="20" w:line="180" w:lineRule="atLeast"/>
        <w:rPr>
          <w:rFonts w:eastAsia="Times New Roman"/>
          <w:b/>
        </w:rPr>
      </w:pPr>
      <w:r w:rsidRPr="005251D5">
        <w:rPr>
          <w:rFonts w:eastAsia="Times New Roman"/>
          <w:b/>
        </w:rPr>
        <w:t>Less than satisfactory (1, 2 and 3)</w:t>
      </w:r>
    </w:p>
    <w:p w14:paraId="470182F2" w14:textId="2B62038E" w:rsidR="00A8197B" w:rsidRPr="005251D5" w:rsidRDefault="00A8197B" w:rsidP="00812509">
      <w:pPr>
        <w:spacing w:before="20" w:after="20" w:line="180" w:lineRule="atLeast"/>
        <w:rPr>
          <w:rFonts w:eastAsia="Times New Roman"/>
        </w:rPr>
      </w:pPr>
      <w:r w:rsidRPr="005251D5">
        <w:rPr>
          <w:rFonts w:eastAsia="Times New Roman"/>
          <w:b/>
        </w:rPr>
        <w:t>3</w:t>
      </w:r>
      <w:r w:rsidRPr="005251D5">
        <w:rPr>
          <w:rFonts w:eastAsia="Times New Roman"/>
        </w:rPr>
        <w:t xml:space="preserve"> = Less than adequate; on balance does not satisfy criteria and/or fails in at least one major area.</w:t>
      </w:r>
    </w:p>
    <w:p w14:paraId="0A22DBAF" w14:textId="77777777" w:rsidR="00613DDD" w:rsidRPr="005251D5" w:rsidRDefault="00A8197B" w:rsidP="00812509">
      <w:pPr>
        <w:spacing w:before="20" w:after="20" w:line="180" w:lineRule="atLeast"/>
        <w:rPr>
          <w:rFonts w:eastAsia="Times New Roman"/>
        </w:rPr>
      </w:pPr>
      <w:r w:rsidRPr="005251D5">
        <w:rPr>
          <w:rFonts w:eastAsia="Times New Roman"/>
          <w:b/>
        </w:rPr>
        <w:t>2</w:t>
      </w:r>
      <w:r w:rsidRPr="005251D5">
        <w:rPr>
          <w:rFonts w:eastAsia="Times New Roman"/>
        </w:rPr>
        <w:t xml:space="preserve"> = Poor; does not satisfy criteria in major areas.  </w:t>
      </w:r>
    </w:p>
    <w:p w14:paraId="200946E6" w14:textId="542BDEE1" w:rsidR="00A8197B" w:rsidRPr="005251D5" w:rsidRDefault="00A8197B" w:rsidP="00812509">
      <w:pPr>
        <w:spacing w:before="20" w:after="20" w:line="180" w:lineRule="atLeast"/>
      </w:pPr>
      <w:r w:rsidRPr="005251D5">
        <w:rPr>
          <w:rFonts w:eastAsia="Times New Roman"/>
          <w:b/>
        </w:rPr>
        <w:t>1</w:t>
      </w:r>
      <w:r w:rsidRPr="005251D5">
        <w:rPr>
          <w:rFonts w:eastAsia="Times New Roman"/>
        </w:rPr>
        <w:t xml:space="preserve"> = Very poor; does not satisfy criteria in many major area.</w:t>
      </w:r>
    </w:p>
    <w:p w14:paraId="3CEB3CBF" w14:textId="39096615" w:rsidR="00184F1E" w:rsidRDefault="00184F1E">
      <w:pPr>
        <w:suppressAutoHyphens w:val="0"/>
        <w:spacing w:before="0" w:after="120" w:line="440" w:lineRule="atLeast"/>
        <w:rPr>
          <w:rFonts w:ascii="Franklin Gothic Book" w:eastAsia="Times New Roman" w:hAnsi="Franklin Gothic Book" w:cs="Times New Roman"/>
          <w:color w:val="auto"/>
          <w:sz w:val="21"/>
          <w:szCs w:val="24"/>
          <w:lang w:val="en-AU" w:eastAsia="en-AU"/>
        </w:rPr>
      </w:pPr>
    </w:p>
    <w:sectPr w:rsidR="00184F1E" w:rsidSect="00F568EB">
      <w:headerReference w:type="default" r:id="rId31"/>
      <w:pgSz w:w="11906" w:h="16838" w:code="9"/>
      <w:pgMar w:top="1527" w:right="1134" w:bottom="851" w:left="1134" w:header="1418" w:footer="19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61D62" w14:textId="77777777" w:rsidR="004B720D" w:rsidRDefault="004B720D" w:rsidP="00EF4574">
      <w:pPr>
        <w:spacing w:before="0" w:after="0" w:line="240" w:lineRule="auto"/>
      </w:pPr>
      <w:r>
        <w:separator/>
      </w:r>
    </w:p>
  </w:endnote>
  <w:endnote w:type="continuationSeparator" w:id="0">
    <w:p w14:paraId="7F469773" w14:textId="77777777" w:rsidR="004B720D" w:rsidRDefault="004B720D"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43ED7" w14:textId="77777777" w:rsidR="009B633E" w:rsidRDefault="009B6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C315" w14:textId="77777777" w:rsidR="004B720D" w:rsidRDefault="004B720D" w:rsidP="004839E3">
    <w:pPr>
      <w:pStyle w:val="Footer"/>
      <w:rPr>
        <w:lang w:val="en-AU"/>
      </w:rPr>
    </w:pPr>
  </w:p>
  <w:p w14:paraId="6E63B07A" w14:textId="77777777" w:rsidR="004B720D" w:rsidRDefault="004B720D" w:rsidP="004839E3">
    <w:pPr>
      <w:pStyle w:val="Footer"/>
    </w:pPr>
  </w:p>
  <w:p w14:paraId="01762CD7" w14:textId="77777777" w:rsidR="004B720D" w:rsidRPr="00CD0E4B" w:rsidRDefault="004B720D" w:rsidP="004839E3">
    <w:pPr>
      <w:pStyle w:val="Footer"/>
    </w:pPr>
    <w:r w:rsidRPr="00CD0E4B">
      <w:rPr>
        <w:noProof/>
        <w:lang w:val="en-AU" w:eastAsia="en-AU"/>
      </w:rPr>
      <w:drawing>
        <wp:inline distT="0" distB="0" distL="0" distR="0" wp14:anchorId="16CE16C9" wp14:editId="7B4CCA93">
          <wp:extent cx="90000" cy="74520"/>
          <wp:effectExtent l="0" t="0" r="571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2DA2D29A" w14:textId="77777777" w:rsidR="004B720D" w:rsidRPr="00CD0E4B" w:rsidRDefault="004B720D" w:rsidP="004839E3">
    <w:pPr>
      <w:pStyle w:val="Footer"/>
      <w:rPr>
        <w:color w:val="ACD08C" w:themeColor="accent3"/>
      </w:rPr>
    </w:pPr>
    <w:r w:rsidRPr="00CD0E4B">
      <w:rPr>
        <w:color w:val="ACD08C" w:themeColor="accent3"/>
      </w:rPr>
      <w:t>DFAT.GOV.AU</w:t>
    </w:r>
  </w:p>
  <w:p w14:paraId="5A763503" w14:textId="77777777" w:rsidR="004B720D" w:rsidRPr="004839E3" w:rsidRDefault="004B720D"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FE437" w14:textId="38ED081F" w:rsidR="004B720D" w:rsidRPr="004839E3" w:rsidRDefault="004B720D" w:rsidP="0085189F">
    <w:pPr>
      <w:spacing w:before="0" w:after="0" w:line="240" w:lineRule="exact"/>
      <w:ind w:right="284"/>
      <w:jc w:val="center"/>
      <w:rPr>
        <w:color w:val="FFFFFF" w:themeColor="background1"/>
      </w:rPr>
    </w:pPr>
    <w:r w:rsidRPr="004839E3">
      <w:rPr>
        <w:color w:val="FFFFFF" w:themeColor="background1"/>
      </w:rPr>
      <w:t>DFAT</w:t>
    </w:r>
  </w:p>
  <w:p w14:paraId="25B2D5CB" w14:textId="77777777" w:rsidR="004B720D" w:rsidRDefault="004B720D" w:rsidP="004839E3">
    <w:pPr>
      <w:spacing w:before="0" w:after="0" w:line="240" w:lineRule="exact"/>
      <w:ind w:right="284"/>
      <w:jc w:val="right"/>
    </w:pPr>
    <w:r w:rsidRPr="004839E3">
      <w:rPr>
        <w:color w:val="ACD08C" w:themeColor="accent3"/>
      </w:rPr>
      <w:t>DFAT.GOV.AU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70D0B" w14:textId="77777777" w:rsidR="004B720D" w:rsidRDefault="004B720D" w:rsidP="004839E3">
    <w:pPr>
      <w:pStyle w:val="Footer"/>
      <w:rPr>
        <w:lang w:val="en-AU"/>
      </w:rPr>
    </w:pPr>
  </w:p>
  <w:p w14:paraId="407C2E45" w14:textId="77777777" w:rsidR="004B720D" w:rsidRDefault="004B720D" w:rsidP="004839E3">
    <w:pPr>
      <w:pStyle w:val="Footer"/>
    </w:pPr>
  </w:p>
  <w:p w14:paraId="7707EDA5" w14:textId="77777777" w:rsidR="004B720D" w:rsidRPr="00CD0E4B" w:rsidRDefault="004B720D" w:rsidP="004839E3">
    <w:pPr>
      <w:pStyle w:val="Footer"/>
    </w:pPr>
    <w:r w:rsidRPr="00CD0E4B">
      <w:rPr>
        <w:noProof/>
        <w:lang w:val="en-AU" w:eastAsia="en-AU"/>
      </w:rPr>
      <w:drawing>
        <wp:inline distT="0" distB="0" distL="0" distR="0" wp14:anchorId="629D54FA" wp14:editId="48D1EF42">
          <wp:extent cx="90000" cy="74520"/>
          <wp:effectExtent l="0" t="0" r="571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0634D851" w14:textId="77777777" w:rsidR="004B720D" w:rsidRPr="00CD0E4B" w:rsidRDefault="004B720D" w:rsidP="004839E3">
    <w:pPr>
      <w:pStyle w:val="Footer"/>
      <w:rPr>
        <w:color w:val="ACD08C" w:themeColor="accent3"/>
      </w:rPr>
    </w:pPr>
    <w:r w:rsidRPr="00CD0E4B">
      <w:rPr>
        <w:color w:val="ACD08C" w:themeColor="accent3"/>
      </w:rPr>
      <w:t>DFAT.GOV.AU</w:t>
    </w:r>
  </w:p>
  <w:p w14:paraId="345B5B31" w14:textId="77777777" w:rsidR="004B720D" w:rsidRPr="004839E3" w:rsidRDefault="004B720D" w:rsidP="004839E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41877" w14:textId="77777777" w:rsidR="004B720D" w:rsidRPr="008C5A0E" w:rsidRDefault="004B720D" w:rsidP="001D663E">
      <w:pPr>
        <w:pStyle w:val="Footer"/>
        <w:pBdr>
          <w:top w:val="single" w:sz="4" w:space="1" w:color="495965" w:themeColor="text2"/>
        </w:pBdr>
      </w:pPr>
    </w:p>
  </w:footnote>
  <w:footnote w:type="continuationSeparator" w:id="0">
    <w:p w14:paraId="090121DB" w14:textId="77777777" w:rsidR="004B720D" w:rsidRDefault="004B720D" w:rsidP="00EF4574">
      <w:pPr>
        <w:spacing w:before="0" w:after="0" w:line="240" w:lineRule="auto"/>
      </w:pPr>
      <w:r>
        <w:continuationSeparator/>
      </w:r>
    </w:p>
  </w:footnote>
  <w:footnote w:id="1">
    <w:p w14:paraId="2CC882BD" w14:textId="77E24E75" w:rsidR="004B720D" w:rsidRPr="00102906" w:rsidRDefault="004B720D">
      <w:pPr>
        <w:pStyle w:val="FootnoteText"/>
        <w:rPr>
          <w:lang w:val="en-AU"/>
        </w:rPr>
      </w:pPr>
      <w:r>
        <w:rPr>
          <w:rStyle w:val="FootnoteReference"/>
        </w:rPr>
        <w:footnoteRef/>
      </w:r>
      <w:r>
        <w:t xml:space="preserve"> </w:t>
      </w:r>
      <w:r>
        <w:rPr>
          <w:lang w:val="en-AU"/>
        </w:rPr>
        <w:t>Other donors are the World Bank (lead donor), Asian Development Bank, New Zealand and the European Union</w:t>
      </w:r>
    </w:p>
  </w:footnote>
  <w:footnote w:id="2">
    <w:p w14:paraId="787804E9" w14:textId="5E6E1109" w:rsidR="004B720D" w:rsidRPr="0025457E" w:rsidRDefault="004B720D">
      <w:pPr>
        <w:pStyle w:val="FootnoteText"/>
        <w:rPr>
          <w:lang w:val="en-AU"/>
        </w:rPr>
      </w:pPr>
      <w:r>
        <w:rPr>
          <w:rStyle w:val="FootnoteReference"/>
        </w:rPr>
        <w:footnoteRef/>
      </w:r>
      <w:r>
        <w:t xml:space="preserve"> </w:t>
      </w:r>
      <w:r>
        <w:rPr>
          <w:lang w:val="en-AU"/>
        </w:rPr>
        <w:t xml:space="preserve">Reported by </w:t>
      </w:r>
      <w:r>
        <w:rPr>
          <w:color w:val="595959"/>
          <w:u w:color="595959"/>
          <w:lang w:val="en-US"/>
        </w:rPr>
        <w:t>t</w:t>
      </w:r>
      <w:r w:rsidRPr="001A3A45">
        <w:rPr>
          <w:color w:val="595959"/>
          <w:u w:color="595959"/>
          <w:lang w:val="en-US"/>
        </w:rPr>
        <w:t>he Ministry of Finance’s Central Procurement Unit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4C583" w14:textId="77777777" w:rsidR="009B633E" w:rsidRDefault="009B6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F32B3" w14:textId="77777777" w:rsidR="004B720D" w:rsidRPr="00333501" w:rsidRDefault="004B720D" w:rsidP="008F56A8">
    <w:pPr>
      <w:pStyle w:val="Header"/>
      <w:jc w:val="left"/>
    </w:pPr>
    <w:r>
      <w:rPr>
        <w:noProof/>
        <w:lang w:val="en-AU" w:eastAsia="en-AU"/>
      </w:rPr>
      <w:drawing>
        <wp:anchor distT="0" distB="0" distL="114300" distR="114300" simplePos="0" relativeHeight="251671552" behindDoc="1" locked="1" layoutInCell="1" allowOverlap="1" wp14:anchorId="58320DC1" wp14:editId="13469BA7">
          <wp:simplePos x="0" y="0"/>
          <wp:positionH relativeFrom="page">
            <wp:posOffset>1378585</wp:posOffset>
          </wp:positionH>
          <wp:positionV relativeFrom="page">
            <wp:posOffset>272415</wp:posOffset>
          </wp:positionV>
          <wp:extent cx="10248900" cy="102355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8ACEC" w14:textId="77777777" w:rsidR="004B720D" w:rsidRPr="003D352D" w:rsidRDefault="004B720D" w:rsidP="003D352D">
    <w:pPr>
      <w:pStyle w:val="Header"/>
      <w:jc w:val="left"/>
    </w:pPr>
    <w:r>
      <w:rPr>
        <w:noProof/>
        <w:lang w:val="en-AU" w:eastAsia="en-AU"/>
      </w:rPr>
      <w:drawing>
        <wp:anchor distT="0" distB="0" distL="114300" distR="114300" simplePos="0" relativeHeight="251669504" behindDoc="1" locked="1" layoutInCell="1" allowOverlap="1" wp14:anchorId="4C045406" wp14:editId="5D18564D">
          <wp:simplePos x="0" y="0"/>
          <wp:positionH relativeFrom="page">
            <wp:posOffset>-23495</wp:posOffset>
          </wp:positionH>
          <wp:positionV relativeFrom="page">
            <wp:posOffset>15875</wp:posOffset>
          </wp:positionV>
          <wp:extent cx="7734935" cy="108292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5F4CA" w14:textId="77777777" w:rsidR="004B720D" w:rsidRPr="00333501" w:rsidRDefault="004B720D" w:rsidP="008F56A8">
    <w:pPr>
      <w:pStyle w:val="Header"/>
      <w:jc w:val="left"/>
    </w:pPr>
    <w:r>
      <w:rPr>
        <w:noProof/>
        <w:lang w:val="en-AU" w:eastAsia="en-AU"/>
      </w:rPr>
      <w:drawing>
        <wp:anchor distT="0" distB="0" distL="114300" distR="114300" simplePos="0" relativeHeight="251685888" behindDoc="1" locked="1" layoutInCell="1" allowOverlap="1" wp14:anchorId="4F5121C0" wp14:editId="7688A2E1">
          <wp:simplePos x="0" y="0"/>
          <wp:positionH relativeFrom="margin">
            <wp:posOffset>-652145</wp:posOffset>
          </wp:positionH>
          <wp:positionV relativeFrom="page">
            <wp:posOffset>122555</wp:posOffset>
          </wp:positionV>
          <wp:extent cx="7409815" cy="10589895"/>
          <wp:effectExtent l="0" t="0" r="635"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9E970" w14:textId="77777777" w:rsidR="004B720D" w:rsidRPr="003D352D" w:rsidRDefault="004B720D" w:rsidP="003D352D">
    <w:pPr>
      <w:pStyle w:val="Header"/>
      <w:jc w:val="left"/>
    </w:pPr>
    <w:r>
      <w:rPr>
        <w:noProof/>
        <w:lang w:val="en-AU" w:eastAsia="en-AU"/>
      </w:rPr>
      <w:drawing>
        <wp:anchor distT="0" distB="0" distL="114300" distR="114300" simplePos="0" relativeHeight="251673600" behindDoc="1" locked="1" layoutInCell="1" allowOverlap="1" wp14:anchorId="0F596B3B" wp14:editId="747382A2">
          <wp:simplePos x="0" y="0"/>
          <wp:positionH relativeFrom="page">
            <wp:posOffset>0</wp:posOffset>
          </wp:positionH>
          <wp:positionV relativeFrom="page">
            <wp:posOffset>0</wp:posOffset>
          </wp:positionV>
          <wp:extent cx="10694035" cy="7465695"/>
          <wp:effectExtent l="0" t="0" r="0" b="1905"/>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9338E" w14:textId="77777777" w:rsidR="004B720D" w:rsidRPr="00333501" w:rsidRDefault="004B720D" w:rsidP="008F56A8">
    <w:pPr>
      <w:pStyle w:val="Header"/>
      <w:jc w:val="left"/>
    </w:pPr>
    <w:r>
      <w:rPr>
        <w:noProof/>
        <w:lang w:val="en-AU" w:eastAsia="en-AU"/>
      </w:rPr>
      <w:drawing>
        <wp:anchor distT="0" distB="0" distL="114300" distR="114300" simplePos="0" relativeHeight="251687936" behindDoc="1" locked="1" layoutInCell="1" allowOverlap="1" wp14:anchorId="3976B966" wp14:editId="1AB35367">
          <wp:simplePos x="0" y="0"/>
          <wp:positionH relativeFrom="page">
            <wp:posOffset>40640</wp:posOffset>
          </wp:positionH>
          <wp:positionV relativeFrom="margin">
            <wp:posOffset>-721995</wp:posOffset>
          </wp:positionV>
          <wp:extent cx="10754360" cy="7082790"/>
          <wp:effectExtent l="0" t="0" r="889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DFA81" w14:textId="77777777" w:rsidR="004B720D" w:rsidRPr="003D352D" w:rsidRDefault="004B720D" w:rsidP="003D352D">
    <w:pPr>
      <w:pStyle w:val="Header"/>
      <w:jc w:val="left"/>
    </w:pPr>
    <w:r>
      <w:rPr>
        <w:noProof/>
        <w:lang w:val="en-AU" w:eastAsia="en-AU"/>
      </w:rPr>
      <w:drawing>
        <wp:anchor distT="0" distB="0" distL="114300" distR="114300" simplePos="0" relativeHeight="251675648" behindDoc="1" locked="1" layoutInCell="1" allowOverlap="1" wp14:anchorId="614F969B" wp14:editId="45519658">
          <wp:simplePos x="0" y="0"/>
          <wp:positionH relativeFrom="page">
            <wp:posOffset>-15875</wp:posOffset>
          </wp:positionH>
          <wp:positionV relativeFrom="page">
            <wp:posOffset>0</wp:posOffset>
          </wp:positionV>
          <wp:extent cx="10702290" cy="7458075"/>
          <wp:effectExtent l="0" t="0" r="3810" b="9525"/>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E11" w14:textId="77777777" w:rsidR="004B720D" w:rsidRPr="00333501" w:rsidRDefault="004B720D" w:rsidP="008F56A8">
    <w:pPr>
      <w:pStyle w:val="Header"/>
      <w:jc w:val="left"/>
    </w:pPr>
    <w:r>
      <w:rPr>
        <w:noProof/>
        <w:lang w:val="en-AU" w:eastAsia="en-AU"/>
      </w:rPr>
      <w:drawing>
        <wp:anchor distT="0" distB="0" distL="114300" distR="114300" simplePos="0" relativeHeight="251683840" behindDoc="1" locked="1" layoutInCell="1" allowOverlap="1" wp14:anchorId="20F242BB" wp14:editId="08F6C47F">
          <wp:simplePos x="0" y="0"/>
          <wp:positionH relativeFrom="page">
            <wp:posOffset>46990</wp:posOffset>
          </wp:positionH>
          <wp:positionV relativeFrom="page">
            <wp:posOffset>95250</wp:posOffset>
          </wp:positionV>
          <wp:extent cx="7561580" cy="10757535"/>
          <wp:effectExtent l="0" t="0" r="1270" b="571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3B5900"/>
    <w:multiLevelType w:val="hybridMultilevel"/>
    <w:tmpl w:val="1EF8602C"/>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4B4694"/>
    <w:multiLevelType w:val="hybridMultilevel"/>
    <w:tmpl w:val="C870FA12"/>
    <w:lvl w:ilvl="0" w:tplc="A16AD7B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5567E7"/>
    <w:multiLevelType w:val="hybridMultilevel"/>
    <w:tmpl w:val="A1941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734DA8"/>
    <w:multiLevelType w:val="hybridMultilevel"/>
    <w:tmpl w:val="ED0811FA"/>
    <w:lvl w:ilvl="0" w:tplc="F2B838E4">
      <w:start w:val="17"/>
      <w:numFmt w:val="bullet"/>
      <w:lvlText w:val="-"/>
      <w:lvlJc w:val="left"/>
      <w:pPr>
        <w:ind w:left="720" w:hanging="360"/>
      </w:pPr>
      <w:rPr>
        <w:rFonts w:ascii="Helvetica" w:eastAsia="Calibri" w:hAnsi="Helvetica"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D3C1EA7"/>
    <w:multiLevelType w:val="multilevel"/>
    <w:tmpl w:val="43428892"/>
    <w:numStyleLink w:val="BulletsList"/>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8D3321"/>
    <w:multiLevelType w:val="hybridMultilevel"/>
    <w:tmpl w:val="77600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3F72B2"/>
    <w:multiLevelType w:val="hybridMultilevel"/>
    <w:tmpl w:val="E5605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1"/>
  </w:num>
  <w:num w:numId="10">
    <w:abstractNumId w:val="2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13"/>
  </w:num>
  <w:num w:numId="23">
    <w:abstractNumId w:val="13"/>
  </w:num>
  <w:num w:numId="24">
    <w:abstractNumId w:val="22"/>
  </w:num>
  <w:num w:numId="25">
    <w:abstractNumId w:val="22"/>
  </w:num>
  <w:num w:numId="26">
    <w:abstractNumId w:val="22"/>
  </w:num>
  <w:num w:numId="27">
    <w:abstractNumId w:val="21"/>
  </w:num>
  <w:num w:numId="28">
    <w:abstractNumId w:val="10"/>
  </w:num>
  <w:num w:numId="29">
    <w:abstractNumId w:val="10"/>
  </w:num>
  <w:num w:numId="30">
    <w:abstractNumId w:val="10"/>
  </w:num>
  <w:num w:numId="31">
    <w:abstractNumId w:val="14"/>
  </w:num>
  <w:num w:numId="32">
    <w:abstractNumId w:val="19"/>
  </w:num>
  <w:num w:numId="33">
    <w:abstractNumId w:val="25"/>
  </w:num>
  <w:num w:numId="34">
    <w:abstractNumId w:val="17"/>
  </w:num>
  <w:num w:numId="35">
    <w:abstractNumId w:val="12"/>
  </w:num>
  <w:num w:numId="36">
    <w:abstractNumId w:val="15"/>
  </w:num>
  <w:num w:numId="37">
    <w:abstractNumId w:val="22"/>
  </w:num>
  <w:num w:numId="38">
    <w:abstractNumId w:val="22"/>
  </w:num>
  <w:num w:numId="39">
    <w:abstractNumId w:val="20"/>
  </w:num>
  <w:num w:numId="40">
    <w:abstractNumId w:val="16"/>
  </w:num>
  <w:num w:numId="41">
    <w:abstractNumId w:val="27"/>
  </w:num>
  <w:num w:numId="42">
    <w:abstractNumId w:val="26"/>
  </w:num>
  <w:num w:numId="43">
    <w:abstractNumId w:val="18"/>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14F3D"/>
    <w:rsid w:val="00015316"/>
    <w:rsid w:val="000170EC"/>
    <w:rsid w:val="000171BF"/>
    <w:rsid w:val="0002080A"/>
    <w:rsid w:val="0002782F"/>
    <w:rsid w:val="00031512"/>
    <w:rsid w:val="00040EE7"/>
    <w:rsid w:val="00047F1C"/>
    <w:rsid w:val="00054E4D"/>
    <w:rsid w:val="00057C66"/>
    <w:rsid w:val="00060073"/>
    <w:rsid w:val="00060268"/>
    <w:rsid w:val="000603A3"/>
    <w:rsid w:val="0006168D"/>
    <w:rsid w:val="00071D0C"/>
    <w:rsid w:val="00072ADB"/>
    <w:rsid w:val="0007552F"/>
    <w:rsid w:val="00076806"/>
    <w:rsid w:val="00084483"/>
    <w:rsid w:val="000847AD"/>
    <w:rsid w:val="00085E5F"/>
    <w:rsid w:val="0009201C"/>
    <w:rsid w:val="00092EBC"/>
    <w:rsid w:val="00096849"/>
    <w:rsid w:val="000B31CC"/>
    <w:rsid w:val="000D66D6"/>
    <w:rsid w:val="000E1E2C"/>
    <w:rsid w:val="000E2DB0"/>
    <w:rsid w:val="000E314A"/>
    <w:rsid w:val="000E55D1"/>
    <w:rsid w:val="00102906"/>
    <w:rsid w:val="00122863"/>
    <w:rsid w:val="00132566"/>
    <w:rsid w:val="001330F2"/>
    <w:rsid w:val="00141619"/>
    <w:rsid w:val="00141AA1"/>
    <w:rsid w:val="001446E7"/>
    <w:rsid w:val="00146F0F"/>
    <w:rsid w:val="00150E59"/>
    <w:rsid w:val="001541EA"/>
    <w:rsid w:val="00162DE2"/>
    <w:rsid w:val="00166DDA"/>
    <w:rsid w:val="00176471"/>
    <w:rsid w:val="00176FA3"/>
    <w:rsid w:val="001778FF"/>
    <w:rsid w:val="001827E8"/>
    <w:rsid w:val="00184F1E"/>
    <w:rsid w:val="001A3A45"/>
    <w:rsid w:val="001C14EA"/>
    <w:rsid w:val="001C45FF"/>
    <w:rsid w:val="001D663E"/>
    <w:rsid w:val="001E1DC0"/>
    <w:rsid w:val="001F5C34"/>
    <w:rsid w:val="00212FB7"/>
    <w:rsid w:val="002174C5"/>
    <w:rsid w:val="00221E24"/>
    <w:rsid w:val="002238A0"/>
    <w:rsid w:val="00223B4B"/>
    <w:rsid w:val="00235011"/>
    <w:rsid w:val="0023628E"/>
    <w:rsid w:val="00236A53"/>
    <w:rsid w:val="00240B22"/>
    <w:rsid w:val="00253307"/>
    <w:rsid w:val="0025457E"/>
    <w:rsid w:val="0025684A"/>
    <w:rsid w:val="00265B7C"/>
    <w:rsid w:val="00272B5F"/>
    <w:rsid w:val="00275DB7"/>
    <w:rsid w:val="00284957"/>
    <w:rsid w:val="0028602A"/>
    <w:rsid w:val="00297FBE"/>
    <w:rsid w:val="002A1BF5"/>
    <w:rsid w:val="002A3F89"/>
    <w:rsid w:val="002A4A0E"/>
    <w:rsid w:val="002A51CA"/>
    <w:rsid w:val="002A62C8"/>
    <w:rsid w:val="002B3E95"/>
    <w:rsid w:val="002B5E10"/>
    <w:rsid w:val="002E4D5F"/>
    <w:rsid w:val="002E4F8F"/>
    <w:rsid w:val="003002C0"/>
    <w:rsid w:val="00301144"/>
    <w:rsid w:val="00310032"/>
    <w:rsid w:val="00313C1E"/>
    <w:rsid w:val="003148B7"/>
    <w:rsid w:val="003158C3"/>
    <w:rsid w:val="00323E53"/>
    <w:rsid w:val="003269A6"/>
    <w:rsid w:val="003274CD"/>
    <w:rsid w:val="00332760"/>
    <w:rsid w:val="00333501"/>
    <w:rsid w:val="00335073"/>
    <w:rsid w:val="003407A5"/>
    <w:rsid w:val="003457C4"/>
    <w:rsid w:val="00347EC3"/>
    <w:rsid w:val="0035119D"/>
    <w:rsid w:val="00353365"/>
    <w:rsid w:val="00355299"/>
    <w:rsid w:val="00375EB5"/>
    <w:rsid w:val="00380104"/>
    <w:rsid w:val="003922A9"/>
    <w:rsid w:val="003B4F12"/>
    <w:rsid w:val="003B7FC3"/>
    <w:rsid w:val="003C14B0"/>
    <w:rsid w:val="003C54B6"/>
    <w:rsid w:val="003C60E9"/>
    <w:rsid w:val="003D352D"/>
    <w:rsid w:val="003D6258"/>
    <w:rsid w:val="003E305C"/>
    <w:rsid w:val="003E44B9"/>
    <w:rsid w:val="00400B0F"/>
    <w:rsid w:val="00402ACC"/>
    <w:rsid w:val="00403136"/>
    <w:rsid w:val="004120EC"/>
    <w:rsid w:val="0042041F"/>
    <w:rsid w:val="00423F31"/>
    <w:rsid w:val="00431899"/>
    <w:rsid w:val="00433A3D"/>
    <w:rsid w:val="00436526"/>
    <w:rsid w:val="0043703B"/>
    <w:rsid w:val="004527D9"/>
    <w:rsid w:val="0046772B"/>
    <w:rsid w:val="004679C9"/>
    <w:rsid w:val="00480422"/>
    <w:rsid w:val="00480CF2"/>
    <w:rsid w:val="004839E3"/>
    <w:rsid w:val="00484435"/>
    <w:rsid w:val="00486804"/>
    <w:rsid w:val="00490B35"/>
    <w:rsid w:val="004977A1"/>
    <w:rsid w:val="004A245E"/>
    <w:rsid w:val="004B3775"/>
    <w:rsid w:val="004B37F8"/>
    <w:rsid w:val="004B6998"/>
    <w:rsid w:val="004B720D"/>
    <w:rsid w:val="004D0BA0"/>
    <w:rsid w:val="004E0264"/>
    <w:rsid w:val="004E058F"/>
    <w:rsid w:val="004E3B87"/>
    <w:rsid w:val="004E3C08"/>
    <w:rsid w:val="004F44A2"/>
    <w:rsid w:val="004F6B1D"/>
    <w:rsid w:val="00501ABD"/>
    <w:rsid w:val="00510921"/>
    <w:rsid w:val="00510AD3"/>
    <w:rsid w:val="00513348"/>
    <w:rsid w:val="005139AF"/>
    <w:rsid w:val="005251D5"/>
    <w:rsid w:val="00533B5D"/>
    <w:rsid w:val="00546014"/>
    <w:rsid w:val="00550890"/>
    <w:rsid w:val="005511BF"/>
    <w:rsid w:val="0055580A"/>
    <w:rsid w:val="0057393F"/>
    <w:rsid w:val="00580A64"/>
    <w:rsid w:val="0059146A"/>
    <w:rsid w:val="005A06C8"/>
    <w:rsid w:val="005B027B"/>
    <w:rsid w:val="005B1F70"/>
    <w:rsid w:val="005B2882"/>
    <w:rsid w:val="005B5769"/>
    <w:rsid w:val="005B6CF8"/>
    <w:rsid w:val="005C78DB"/>
    <w:rsid w:val="005D3655"/>
    <w:rsid w:val="005D5723"/>
    <w:rsid w:val="005E1E71"/>
    <w:rsid w:val="005E606B"/>
    <w:rsid w:val="005E7A39"/>
    <w:rsid w:val="005F0595"/>
    <w:rsid w:val="005F379B"/>
    <w:rsid w:val="00613DDD"/>
    <w:rsid w:val="00623BA1"/>
    <w:rsid w:val="00625CEC"/>
    <w:rsid w:val="006346BC"/>
    <w:rsid w:val="00646156"/>
    <w:rsid w:val="006545B9"/>
    <w:rsid w:val="006620B8"/>
    <w:rsid w:val="0066652A"/>
    <w:rsid w:val="00680522"/>
    <w:rsid w:val="00681F08"/>
    <w:rsid w:val="00682167"/>
    <w:rsid w:val="00695730"/>
    <w:rsid w:val="006A6D90"/>
    <w:rsid w:val="006B6FE8"/>
    <w:rsid w:val="006C42AF"/>
    <w:rsid w:val="006C4AF6"/>
    <w:rsid w:val="006D69A6"/>
    <w:rsid w:val="006E59CF"/>
    <w:rsid w:val="006F27B1"/>
    <w:rsid w:val="006F4992"/>
    <w:rsid w:val="00711D8E"/>
    <w:rsid w:val="0071227D"/>
    <w:rsid w:val="00712672"/>
    <w:rsid w:val="00734E3F"/>
    <w:rsid w:val="00735BC1"/>
    <w:rsid w:val="007367F9"/>
    <w:rsid w:val="00736985"/>
    <w:rsid w:val="00745DF5"/>
    <w:rsid w:val="00753763"/>
    <w:rsid w:val="00753C5A"/>
    <w:rsid w:val="0076250F"/>
    <w:rsid w:val="00762D05"/>
    <w:rsid w:val="0076591B"/>
    <w:rsid w:val="00771B53"/>
    <w:rsid w:val="00784031"/>
    <w:rsid w:val="00792A03"/>
    <w:rsid w:val="007A13AE"/>
    <w:rsid w:val="007A6119"/>
    <w:rsid w:val="007A61AD"/>
    <w:rsid w:val="007B6200"/>
    <w:rsid w:val="007C5B2E"/>
    <w:rsid w:val="007E6475"/>
    <w:rsid w:val="007F1D6C"/>
    <w:rsid w:val="007F3395"/>
    <w:rsid w:val="007F482E"/>
    <w:rsid w:val="00801B9F"/>
    <w:rsid w:val="008057FD"/>
    <w:rsid w:val="0081073D"/>
    <w:rsid w:val="00812509"/>
    <w:rsid w:val="00841694"/>
    <w:rsid w:val="008433E9"/>
    <w:rsid w:val="008475F0"/>
    <w:rsid w:val="008502A6"/>
    <w:rsid w:val="0085189F"/>
    <w:rsid w:val="008534F3"/>
    <w:rsid w:val="008610B4"/>
    <w:rsid w:val="00864210"/>
    <w:rsid w:val="00867C25"/>
    <w:rsid w:val="008733D1"/>
    <w:rsid w:val="00877607"/>
    <w:rsid w:val="008A5AFE"/>
    <w:rsid w:val="008B68D7"/>
    <w:rsid w:val="008C2F58"/>
    <w:rsid w:val="008C5A0E"/>
    <w:rsid w:val="008C79BA"/>
    <w:rsid w:val="008D4779"/>
    <w:rsid w:val="008F56A8"/>
    <w:rsid w:val="00912657"/>
    <w:rsid w:val="00916FB1"/>
    <w:rsid w:val="00925157"/>
    <w:rsid w:val="00925BEF"/>
    <w:rsid w:val="0093722C"/>
    <w:rsid w:val="00940DAD"/>
    <w:rsid w:val="009510F6"/>
    <w:rsid w:val="0097152F"/>
    <w:rsid w:val="009765EF"/>
    <w:rsid w:val="00985524"/>
    <w:rsid w:val="009903F3"/>
    <w:rsid w:val="00992C76"/>
    <w:rsid w:val="009A3812"/>
    <w:rsid w:val="009B2A16"/>
    <w:rsid w:val="009B4D3B"/>
    <w:rsid w:val="009B633E"/>
    <w:rsid w:val="009D5B32"/>
    <w:rsid w:val="009D7407"/>
    <w:rsid w:val="009E0866"/>
    <w:rsid w:val="009F5488"/>
    <w:rsid w:val="009F6423"/>
    <w:rsid w:val="00A10CE8"/>
    <w:rsid w:val="00A1296B"/>
    <w:rsid w:val="00A24A62"/>
    <w:rsid w:val="00A305D3"/>
    <w:rsid w:val="00A31C9F"/>
    <w:rsid w:val="00A4144F"/>
    <w:rsid w:val="00A56F14"/>
    <w:rsid w:val="00A56FC0"/>
    <w:rsid w:val="00A65A7D"/>
    <w:rsid w:val="00A70265"/>
    <w:rsid w:val="00A726D8"/>
    <w:rsid w:val="00A73537"/>
    <w:rsid w:val="00A80F95"/>
    <w:rsid w:val="00A8197B"/>
    <w:rsid w:val="00A8410F"/>
    <w:rsid w:val="00A84162"/>
    <w:rsid w:val="00A92CF2"/>
    <w:rsid w:val="00A938DA"/>
    <w:rsid w:val="00A94E8A"/>
    <w:rsid w:val="00AA7BE3"/>
    <w:rsid w:val="00AB5E7F"/>
    <w:rsid w:val="00AC164A"/>
    <w:rsid w:val="00AD27EB"/>
    <w:rsid w:val="00AE1990"/>
    <w:rsid w:val="00AE2B01"/>
    <w:rsid w:val="00AF0F3F"/>
    <w:rsid w:val="00AF1B85"/>
    <w:rsid w:val="00AF2050"/>
    <w:rsid w:val="00B01274"/>
    <w:rsid w:val="00B03CA8"/>
    <w:rsid w:val="00B12980"/>
    <w:rsid w:val="00B23835"/>
    <w:rsid w:val="00B331DC"/>
    <w:rsid w:val="00B438D3"/>
    <w:rsid w:val="00B45A74"/>
    <w:rsid w:val="00B470FF"/>
    <w:rsid w:val="00B5040F"/>
    <w:rsid w:val="00B52A94"/>
    <w:rsid w:val="00B55E19"/>
    <w:rsid w:val="00B66571"/>
    <w:rsid w:val="00B717A8"/>
    <w:rsid w:val="00B73A55"/>
    <w:rsid w:val="00B754C8"/>
    <w:rsid w:val="00B77473"/>
    <w:rsid w:val="00B8475C"/>
    <w:rsid w:val="00B907C7"/>
    <w:rsid w:val="00B9601B"/>
    <w:rsid w:val="00BA3B3F"/>
    <w:rsid w:val="00BA4B6D"/>
    <w:rsid w:val="00BB26C5"/>
    <w:rsid w:val="00BB648A"/>
    <w:rsid w:val="00BC46A5"/>
    <w:rsid w:val="00BD0B32"/>
    <w:rsid w:val="00BD29CD"/>
    <w:rsid w:val="00BE1BEB"/>
    <w:rsid w:val="00BF3260"/>
    <w:rsid w:val="00BF4DE6"/>
    <w:rsid w:val="00C056B3"/>
    <w:rsid w:val="00C13E24"/>
    <w:rsid w:val="00C14195"/>
    <w:rsid w:val="00C22A3C"/>
    <w:rsid w:val="00C33BA3"/>
    <w:rsid w:val="00C42CDE"/>
    <w:rsid w:val="00C5182A"/>
    <w:rsid w:val="00C523F9"/>
    <w:rsid w:val="00C56C26"/>
    <w:rsid w:val="00C56C62"/>
    <w:rsid w:val="00C6297B"/>
    <w:rsid w:val="00C63EE9"/>
    <w:rsid w:val="00C6626C"/>
    <w:rsid w:val="00C7139B"/>
    <w:rsid w:val="00C73C66"/>
    <w:rsid w:val="00C8120F"/>
    <w:rsid w:val="00CA37B1"/>
    <w:rsid w:val="00CA7371"/>
    <w:rsid w:val="00CB0DD9"/>
    <w:rsid w:val="00CB1959"/>
    <w:rsid w:val="00CC4767"/>
    <w:rsid w:val="00CD0E4B"/>
    <w:rsid w:val="00CD1652"/>
    <w:rsid w:val="00CE0155"/>
    <w:rsid w:val="00CE2B3E"/>
    <w:rsid w:val="00CE39E0"/>
    <w:rsid w:val="00CF39F3"/>
    <w:rsid w:val="00CF670F"/>
    <w:rsid w:val="00CF6FF5"/>
    <w:rsid w:val="00D00802"/>
    <w:rsid w:val="00D0296C"/>
    <w:rsid w:val="00D03A13"/>
    <w:rsid w:val="00D061BB"/>
    <w:rsid w:val="00D146A2"/>
    <w:rsid w:val="00D15414"/>
    <w:rsid w:val="00D15A00"/>
    <w:rsid w:val="00D2653F"/>
    <w:rsid w:val="00D64BD1"/>
    <w:rsid w:val="00D711A8"/>
    <w:rsid w:val="00D72760"/>
    <w:rsid w:val="00D83D64"/>
    <w:rsid w:val="00D9568B"/>
    <w:rsid w:val="00DA20ED"/>
    <w:rsid w:val="00DC63BF"/>
    <w:rsid w:val="00DD0FEC"/>
    <w:rsid w:val="00DD1986"/>
    <w:rsid w:val="00DD3362"/>
    <w:rsid w:val="00DD3FAF"/>
    <w:rsid w:val="00DE084C"/>
    <w:rsid w:val="00DE1829"/>
    <w:rsid w:val="00DF55AA"/>
    <w:rsid w:val="00E01C62"/>
    <w:rsid w:val="00E01E95"/>
    <w:rsid w:val="00E0481D"/>
    <w:rsid w:val="00E209F2"/>
    <w:rsid w:val="00E24EB0"/>
    <w:rsid w:val="00E3522B"/>
    <w:rsid w:val="00E357B7"/>
    <w:rsid w:val="00E53800"/>
    <w:rsid w:val="00E60378"/>
    <w:rsid w:val="00E6081F"/>
    <w:rsid w:val="00E65105"/>
    <w:rsid w:val="00E72356"/>
    <w:rsid w:val="00E94C5C"/>
    <w:rsid w:val="00E9577E"/>
    <w:rsid w:val="00EA04B2"/>
    <w:rsid w:val="00EA20F3"/>
    <w:rsid w:val="00EA6162"/>
    <w:rsid w:val="00EA6E81"/>
    <w:rsid w:val="00EC340E"/>
    <w:rsid w:val="00ED1CD6"/>
    <w:rsid w:val="00ED2831"/>
    <w:rsid w:val="00ED43D1"/>
    <w:rsid w:val="00EE4EE1"/>
    <w:rsid w:val="00EF0E2D"/>
    <w:rsid w:val="00EF26B5"/>
    <w:rsid w:val="00EF3EA4"/>
    <w:rsid w:val="00EF4574"/>
    <w:rsid w:val="00EF4AD9"/>
    <w:rsid w:val="00F06182"/>
    <w:rsid w:val="00F12B27"/>
    <w:rsid w:val="00F14AD2"/>
    <w:rsid w:val="00F15BDB"/>
    <w:rsid w:val="00F2684E"/>
    <w:rsid w:val="00F27D08"/>
    <w:rsid w:val="00F30714"/>
    <w:rsid w:val="00F4140A"/>
    <w:rsid w:val="00F51130"/>
    <w:rsid w:val="00F523DF"/>
    <w:rsid w:val="00F5404C"/>
    <w:rsid w:val="00F568EB"/>
    <w:rsid w:val="00F729EF"/>
    <w:rsid w:val="00F7583B"/>
    <w:rsid w:val="00F77CAE"/>
    <w:rsid w:val="00F813BC"/>
    <w:rsid w:val="00F8189A"/>
    <w:rsid w:val="00F81B6E"/>
    <w:rsid w:val="00F82271"/>
    <w:rsid w:val="00F83428"/>
    <w:rsid w:val="00F84330"/>
    <w:rsid w:val="00F8443D"/>
    <w:rsid w:val="00F96BB9"/>
    <w:rsid w:val="00FA7528"/>
    <w:rsid w:val="00FB4F75"/>
    <w:rsid w:val="00FB7D1D"/>
    <w:rsid w:val="00FE6D51"/>
    <w:rsid w:val="00FF09F3"/>
    <w:rsid w:val="00FF0C20"/>
    <w:rsid w:val="00FF4B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894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C22A3C"/>
    <w:pPr>
      <w:keepNext/>
      <w:spacing w:before="20" w:after="20" w:line="180" w:lineRule="atLeast"/>
      <w:jc w:val="both"/>
    </w:pPr>
    <w:rPr>
      <w:rFonts w:asciiTheme="minorHAnsi" w:hAnsiTheme="minorHAnsi"/>
      <w:iCs w:val="0"/>
      <w:color w:val="495965" w:themeColor="text2"/>
      <w:sz w:val="16"/>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C22A3C"/>
    <w:rPr>
      <w:rFonts w:eastAsia="Times New Roman" w:cs="Times New Roman"/>
      <w:color w:val="495965" w:themeColor="text2"/>
      <w:sz w:val="16"/>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43703B"/>
    <w:pPr>
      <w:pBdr>
        <w:top w:val="nil"/>
        <w:left w:val="nil"/>
        <w:bottom w:val="nil"/>
        <w:right w:val="nil"/>
        <w:between w:val="nil"/>
        <w:bar w:val="nil"/>
      </w:pBdr>
      <w:suppressAutoHyphens/>
      <w:spacing w:before="120" w:after="60" w:line="230" w:lineRule="atLeast"/>
    </w:pPr>
    <w:rPr>
      <w:rFonts w:ascii="Calibri Light" w:eastAsia="Calibri Light" w:hAnsi="Calibri Light" w:cs="Calibri Light"/>
      <w:color w:val="495965"/>
      <w:u w:color="495965"/>
      <w:bdr w:val="nil"/>
      <w:lang w:eastAsia="en-AU"/>
    </w:rPr>
  </w:style>
  <w:style w:type="paragraph" w:styleId="ListParagraph">
    <w:name w:val="List Paragraph"/>
    <w:aliases w:val="Recommendation,List Paragraph1,List Paragraph11,L,List Paragraph2,Medium Grid 1 - Accent 21,CV text,Table text,F5 List Paragraph,Dot pt,Numbered Paragraph,List Paragraph111,ADB List Paragraph,Bulleted Para,NFP GP Bulleted List,FooterText"/>
    <w:basedOn w:val="Normal"/>
    <w:link w:val="ListParagraphChar"/>
    <w:uiPriority w:val="34"/>
    <w:qFormat/>
    <w:rsid w:val="006D69A6"/>
    <w:pPr>
      <w:suppressAutoHyphens w:val="0"/>
      <w:spacing w:before="0" w:after="0" w:line="240" w:lineRule="auto"/>
      <w:ind w:left="720"/>
    </w:pPr>
    <w:rPr>
      <w:rFonts w:ascii="Calibri" w:hAnsi="Calibri" w:cs="Calibri"/>
      <w:color w:val="auto"/>
      <w:lang w:val="en-AU"/>
    </w:rPr>
  </w:style>
  <w:style w:type="character" w:styleId="CommentReference">
    <w:name w:val="annotation reference"/>
    <w:basedOn w:val="DefaultParagraphFont"/>
    <w:uiPriority w:val="99"/>
    <w:semiHidden/>
    <w:unhideWhenUsed/>
    <w:rsid w:val="004B37F8"/>
    <w:rPr>
      <w:sz w:val="16"/>
      <w:szCs w:val="16"/>
    </w:rPr>
  </w:style>
  <w:style w:type="paragraph" w:styleId="CommentText">
    <w:name w:val="annotation text"/>
    <w:basedOn w:val="Normal"/>
    <w:link w:val="CommentTextChar"/>
    <w:uiPriority w:val="99"/>
    <w:unhideWhenUsed/>
    <w:rsid w:val="004B37F8"/>
    <w:pPr>
      <w:spacing w:line="240" w:lineRule="auto"/>
    </w:pPr>
    <w:rPr>
      <w:sz w:val="20"/>
      <w:szCs w:val="20"/>
    </w:rPr>
  </w:style>
  <w:style w:type="character" w:customStyle="1" w:styleId="CommentTextChar">
    <w:name w:val="Comment Text Char"/>
    <w:basedOn w:val="DefaultParagraphFont"/>
    <w:link w:val="CommentText"/>
    <w:uiPriority w:val="99"/>
    <w:rsid w:val="004B37F8"/>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B37F8"/>
    <w:rPr>
      <w:b/>
      <w:bCs/>
    </w:rPr>
  </w:style>
  <w:style w:type="character" w:customStyle="1" w:styleId="CommentSubjectChar">
    <w:name w:val="Comment Subject Char"/>
    <w:basedOn w:val="CommentTextChar"/>
    <w:link w:val="CommentSubject"/>
    <w:uiPriority w:val="99"/>
    <w:semiHidden/>
    <w:rsid w:val="004B37F8"/>
    <w:rPr>
      <w:b/>
      <w:bCs/>
      <w:color w:val="495965" w:themeColor="text2"/>
      <w:sz w:val="20"/>
      <w:szCs w:val="20"/>
      <w:lang w:val="en-GB"/>
    </w:rPr>
  </w:style>
  <w:style w:type="paragraph" w:customStyle="1" w:styleId="Default">
    <w:name w:val="Default"/>
    <w:rsid w:val="004B37F8"/>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ListParagraphChar">
    <w:name w:val="List Paragraph Char"/>
    <w:aliases w:val="Recommendation Char,List Paragraph1 Char,List Paragraph11 Char,L Char,List Paragraph2 Char,Medium Grid 1 - Accent 21 Char,CV text Char,Table text Char,F5 List Paragraph Char,Dot pt Char,Numbered Paragraph Char,List Paragraph111 Char"/>
    <w:basedOn w:val="DefaultParagraphFont"/>
    <w:link w:val="ListParagraph"/>
    <w:uiPriority w:val="34"/>
    <w:qFormat/>
    <w:locked/>
    <w:rsid w:val="00072ADB"/>
    <w:rPr>
      <w:rFonts w:ascii="Calibri" w:hAnsi="Calibri" w:cs="Calibri"/>
    </w:rPr>
  </w:style>
  <w:style w:type="table" w:styleId="TableGridLight">
    <w:name w:val="Grid Table Light"/>
    <w:basedOn w:val="TableNormal"/>
    <w:uiPriority w:val="40"/>
    <w:rsid w:val="008518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2300">
      <w:bodyDiv w:val="1"/>
      <w:marLeft w:val="0"/>
      <w:marRight w:val="0"/>
      <w:marTop w:val="0"/>
      <w:marBottom w:val="0"/>
      <w:divBdr>
        <w:top w:val="none" w:sz="0" w:space="0" w:color="auto"/>
        <w:left w:val="none" w:sz="0" w:space="0" w:color="auto"/>
        <w:bottom w:val="none" w:sz="0" w:space="0" w:color="auto"/>
        <w:right w:val="none" w:sz="0" w:space="0" w:color="auto"/>
      </w:divBdr>
    </w:div>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311838960">
      <w:bodyDiv w:val="1"/>
      <w:marLeft w:val="0"/>
      <w:marRight w:val="0"/>
      <w:marTop w:val="0"/>
      <w:marBottom w:val="0"/>
      <w:divBdr>
        <w:top w:val="none" w:sz="0" w:space="0" w:color="auto"/>
        <w:left w:val="none" w:sz="0" w:space="0" w:color="auto"/>
        <w:bottom w:val="none" w:sz="0" w:space="0" w:color="auto"/>
        <w:right w:val="none" w:sz="0" w:space="0" w:color="auto"/>
      </w:divBdr>
    </w:div>
    <w:div w:id="385884670">
      <w:bodyDiv w:val="1"/>
      <w:marLeft w:val="0"/>
      <w:marRight w:val="0"/>
      <w:marTop w:val="0"/>
      <w:marBottom w:val="0"/>
      <w:divBdr>
        <w:top w:val="none" w:sz="0" w:space="0" w:color="auto"/>
        <w:left w:val="none" w:sz="0" w:space="0" w:color="auto"/>
        <w:bottom w:val="none" w:sz="0" w:space="0" w:color="auto"/>
        <w:right w:val="none" w:sz="0" w:space="0" w:color="auto"/>
      </w:divBdr>
    </w:div>
    <w:div w:id="617417234">
      <w:bodyDiv w:val="1"/>
      <w:marLeft w:val="0"/>
      <w:marRight w:val="0"/>
      <w:marTop w:val="0"/>
      <w:marBottom w:val="0"/>
      <w:divBdr>
        <w:top w:val="none" w:sz="0" w:space="0" w:color="auto"/>
        <w:left w:val="none" w:sz="0" w:space="0" w:color="auto"/>
        <w:bottom w:val="none" w:sz="0" w:space="0" w:color="auto"/>
        <w:right w:val="none" w:sz="0" w:space="0" w:color="auto"/>
      </w:divBdr>
    </w:div>
    <w:div w:id="654647254">
      <w:bodyDiv w:val="1"/>
      <w:marLeft w:val="0"/>
      <w:marRight w:val="0"/>
      <w:marTop w:val="0"/>
      <w:marBottom w:val="0"/>
      <w:divBdr>
        <w:top w:val="none" w:sz="0" w:space="0" w:color="auto"/>
        <w:left w:val="none" w:sz="0" w:space="0" w:color="auto"/>
        <w:bottom w:val="none" w:sz="0" w:space="0" w:color="auto"/>
        <w:right w:val="none" w:sz="0" w:space="0" w:color="auto"/>
      </w:divBdr>
    </w:div>
    <w:div w:id="729813730">
      <w:bodyDiv w:val="1"/>
      <w:marLeft w:val="0"/>
      <w:marRight w:val="0"/>
      <w:marTop w:val="0"/>
      <w:marBottom w:val="0"/>
      <w:divBdr>
        <w:top w:val="none" w:sz="0" w:space="0" w:color="auto"/>
        <w:left w:val="none" w:sz="0" w:space="0" w:color="auto"/>
        <w:bottom w:val="none" w:sz="0" w:space="0" w:color="auto"/>
        <w:right w:val="none" w:sz="0" w:space="0" w:color="auto"/>
      </w:divBdr>
    </w:div>
    <w:div w:id="873924027">
      <w:bodyDiv w:val="1"/>
      <w:marLeft w:val="0"/>
      <w:marRight w:val="0"/>
      <w:marTop w:val="0"/>
      <w:marBottom w:val="0"/>
      <w:divBdr>
        <w:top w:val="none" w:sz="0" w:space="0" w:color="auto"/>
        <w:left w:val="none" w:sz="0" w:space="0" w:color="auto"/>
        <w:bottom w:val="none" w:sz="0" w:space="0" w:color="auto"/>
        <w:right w:val="none" w:sz="0" w:space="0" w:color="auto"/>
      </w:divBdr>
    </w:div>
    <w:div w:id="915364756">
      <w:bodyDiv w:val="1"/>
      <w:marLeft w:val="0"/>
      <w:marRight w:val="0"/>
      <w:marTop w:val="0"/>
      <w:marBottom w:val="0"/>
      <w:divBdr>
        <w:top w:val="none" w:sz="0" w:space="0" w:color="auto"/>
        <w:left w:val="none" w:sz="0" w:space="0" w:color="auto"/>
        <w:bottom w:val="none" w:sz="0" w:space="0" w:color="auto"/>
        <w:right w:val="none" w:sz="0" w:space="0" w:color="auto"/>
      </w:divBdr>
    </w:div>
    <w:div w:id="926233389">
      <w:bodyDiv w:val="1"/>
      <w:marLeft w:val="0"/>
      <w:marRight w:val="0"/>
      <w:marTop w:val="0"/>
      <w:marBottom w:val="0"/>
      <w:divBdr>
        <w:top w:val="none" w:sz="0" w:space="0" w:color="auto"/>
        <w:left w:val="none" w:sz="0" w:space="0" w:color="auto"/>
        <w:bottom w:val="none" w:sz="0" w:space="0" w:color="auto"/>
        <w:right w:val="none" w:sz="0" w:space="0" w:color="auto"/>
      </w:divBdr>
    </w:div>
    <w:div w:id="1003436050">
      <w:bodyDiv w:val="1"/>
      <w:marLeft w:val="0"/>
      <w:marRight w:val="0"/>
      <w:marTop w:val="0"/>
      <w:marBottom w:val="0"/>
      <w:divBdr>
        <w:top w:val="none" w:sz="0" w:space="0" w:color="auto"/>
        <w:left w:val="none" w:sz="0" w:space="0" w:color="auto"/>
        <w:bottom w:val="none" w:sz="0" w:space="0" w:color="auto"/>
        <w:right w:val="none" w:sz="0" w:space="0" w:color="auto"/>
      </w:divBdr>
    </w:div>
    <w:div w:id="1244029135">
      <w:bodyDiv w:val="1"/>
      <w:marLeft w:val="0"/>
      <w:marRight w:val="0"/>
      <w:marTop w:val="0"/>
      <w:marBottom w:val="0"/>
      <w:divBdr>
        <w:top w:val="none" w:sz="0" w:space="0" w:color="auto"/>
        <w:left w:val="none" w:sz="0" w:space="0" w:color="auto"/>
        <w:bottom w:val="none" w:sz="0" w:space="0" w:color="auto"/>
        <w:right w:val="none" w:sz="0" w:space="0" w:color="auto"/>
      </w:divBdr>
    </w:div>
    <w:div w:id="153094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jpeg"/><Relationship Id="rId28" Type="http://schemas.openxmlformats.org/officeDocument/2006/relationships/header" Target="header5.xml"/><Relationship Id="rId36"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jpeg"/><Relationship Id="rId27" Type="http://schemas.openxmlformats.org/officeDocument/2006/relationships/footer" Target="footer4.xml"/><Relationship Id="rId30" Type="http://schemas.openxmlformats.org/officeDocument/2006/relationships/header" Target="header7.xml"/><Relationship Id="rId35" Type="http://schemas.openxmlformats.org/officeDocument/2006/relationships/customXml" Target="../customXml/item3.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DDF4E7-1EBD-47A5-987A-5BB1B0D090E0}"/>
</file>

<file path=customXml/itemProps2.xml><?xml version="1.0" encoding="utf-8"?>
<ds:datastoreItem xmlns:ds="http://schemas.openxmlformats.org/officeDocument/2006/customXml" ds:itemID="{143D836D-95F2-46D6-96E7-004D1CB24818}"/>
</file>

<file path=customXml/itemProps3.xml><?xml version="1.0" encoding="utf-8"?>
<ds:datastoreItem xmlns:ds="http://schemas.openxmlformats.org/officeDocument/2006/customXml" ds:itemID="{5B741845-B0AD-4A41-A55D-6991A126464B}"/>
</file>

<file path=customXml/itemProps4.xml><?xml version="1.0" encoding="utf-8"?>
<ds:datastoreItem xmlns:ds="http://schemas.openxmlformats.org/officeDocument/2006/customXml" ds:itemID="{49DBDBC6-C51A-4902-A02D-098DED17C244}"/>
</file>

<file path=docProps/app.xml><?xml version="1.0" encoding="utf-8"?>
<Properties xmlns="http://schemas.openxmlformats.org/officeDocument/2006/extended-properties" xmlns:vt="http://schemas.openxmlformats.org/officeDocument/2006/docPropsVTypes">
  <Template>Normal.dotm</Template>
  <TotalTime>0</TotalTime>
  <Pages>15</Pages>
  <Words>4734</Words>
  <Characters>26984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2019-09-20T00:34:00Z</dcterms:created>
  <dcterms:modified xsi:type="dcterms:W3CDTF">2019-09-20T00:34:00Z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687bd4ef-9940-40ba-bfe1-69db962b3677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1264800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