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7.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4B8" w:rsidRDefault="00834F71">
      <w:pPr>
        <w:pStyle w:val="Body"/>
      </w:pPr>
      <w:bookmarkStart w:id="0" w:name="_GoBack"/>
      <w:bookmarkEnd w:id="0"/>
      <w:r>
        <w:rPr>
          <w:noProof/>
        </w:rPr>
        <w:drawing>
          <wp:anchor distT="0" distB="0" distL="0" distR="0" simplePos="0" relativeHeight="251657216" behindDoc="1" locked="0" layoutInCell="1" allowOverlap="1" wp14:anchorId="0E65BED3" wp14:editId="7056616B">
            <wp:simplePos x="0" y="0"/>
            <wp:positionH relativeFrom="page">
              <wp:posOffset>872490</wp:posOffset>
            </wp:positionH>
            <wp:positionV relativeFrom="page">
              <wp:posOffset>1561465</wp:posOffset>
            </wp:positionV>
            <wp:extent cx="3167380" cy="554355"/>
            <wp:effectExtent l="0" t="0" r="0" b="0"/>
            <wp:wrapNone/>
            <wp:docPr id="1073741828" name="officeArt object" descr="DFAT-corporate-grey.png"/>
            <wp:cNvGraphicFramePr/>
            <a:graphic xmlns:a="http://schemas.openxmlformats.org/drawingml/2006/main">
              <a:graphicData uri="http://schemas.openxmlformats.org/drawingml/2006/picture">
                <pic:pic xmlns:pic="http://schemas.openxmlformats.org/drawingml/2006/picture">
                  <pic:nvPicPr>
                    <pic:cNvPr id="1073741828" name="DFAT-corporate-grey.png" descr="DFAT-corporate-grey.png"/>
                    <pic:cNvPicPr>
                      <a:picLocks noChangeAspect="1"/>
                    </pic:cNvPicPr>
                  </pic:nvPicPr>
                  <pic:blipFill>
                    <a:blip r:embed="rId8">
                      <a:extLst/>
                    </a:blip>
                    <a:stretch>
                      <a:fillRect/>
                    </a:stretch>
                  </pic:blipFill>
                  <pic:spPr>
                    <a:xfrm>
                      <a:off x="0" y="0"/>
                      <a:ext cx="3167380" cy="554355"/>
                    </a:xfrm>
                    <a:prstGeom prst="rect">
                      <a:avLst/>
                    </a:prstGeom>
                    <a:ln w="12700" cap="flat">
                      <a:noFill/>
                      <a:miter lim="400000"/>
                    </a:ln>
                    <a:effectLst/>
                  </pic:spPr>
                </pic:pic>
              </a:graphicData>
            </a:graphic>
          </wp:anchor>
        </w:drawing>
      </w:r>
      <w:r>
        <w:rPr>
          <w:noProof/>
        </w:rPr>
        <w:drawing>
          <wp:anchor distT="0" distB="0" distL="0" distR="0" simplePos="0" relativeHeight="251656192" behindDoc="1" locked="0" layoutInCell="1" allowOverlap="1" wp14:anchorId="3CE42BA0" wp14:editId="186A6661">
            <wp:simplePos x="0" y="0"/>
            <wp:positionH relativeFrom="page">
              <wp:posOffset>-23495</wp:posOffset>
            </wp:positionH>
            <wp:positionV relativeFrom="page">
              <wp:posOffset>15875</wp:posOffset>
            </wp:positionV>
            <wp:extent cx="7585075" cy="10694035"/>
            <wp:effectExtent l="0" t="0" r="0" b="0"/>
            <wp:wrapNone/>
            <wp:docPr id="1073741829" name="officeArt object" descr="Report-Cover-1-Gradient-Mask.png"/>
            <wp:cNvGraphicFramePr/>
            <a:graphic xmlns:a="http://schemas.openxmlformats.org/drawingml/2006/main">
              <a:graphicData uri="http://schemas.openxmlformats.org/drawingml/2006/picture">
                <pic:pic xmlns:pic="http://schemas.openxmlformats.org/drawingml/2006/picture">
                  <pic:nvPicPr>
                    <pic:cNvPr id="1073741829" name="Report-Cover-1-Gradient-Mask.png" descr="Report-Cover-1-Gradient-Mask.png"/>
                    <pic:cNvPicPr>
                      <a:picLocks noChangeAspect="1"/>
                    </pic:cNvPicPr>
                  </pic:nvPicPr>
                  <pic:blipFill>
                    <a:blip r:embed="rId9">
                      <a:extLst/>
                    </a:blip>
                    <a:stretch>
                      <a:fillRect/>
                    </a:stretch>
                  </pic:blipFill>
                  <pic:spPr>
                    <a:xfrm>
                      <a:off x="0" y="0"/>
                      <a:ext cx="7585075" cy="10694035"/>
                    </a:xfrm>
                    <a:prstGeom prst="rect">
                      <a:avLst/>
                    </a:prstGeom>
                    <a:ln w="12700" cap="flat">
                      <a:noFill/>
                      <a:miter lim="400000"/>
                    </a:ln>
                    <a:effectLst/>
                  </pic:spPr>
                </pic:pic>
              </a:graphicData>
            </a:graphic>
          </wp:anchor>
        </w:drawing>
      </w: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5644B8">
      <w:pPr>
        <w:pStyle w:val="Body"/>
      </w:pPr>
    </w:p>
    <w:p w:rsidR="005644B8" w:rsidRDefault="00834F71">
      <w:pPr>
        <w:pStyle w:val="Title"/>
        <w:spacing w:after="120" w:line="600" w:lineRule="exact"/>
        <w:rPr>
          <w:spacing w:val="-20"/>
          <w:sz w:val="60"/>
          <w:szCs w:val="60"/>
        </w:rPr>
      </w:pPr>
      <w:r>
        <w:rPr>
          <w:spacing w:val="-20"/>
          <w:sz w:val="60"/>
          <w:szCs w:val="60"/>
        </w:rPr>
        <w:t>Aid program performance report 2017-18</w:t>
      </w:r>
    </w:p>
    <w:p w:rsidR="005644B8" w:rsidRDefault="00834F71">
      <w:pPr>
        <w:pStyle w:val="Body"/>
        <w:sectPr w:rsidR="005644B8">
          <w:headerReference w:type="even" r:id="rId10"/>
          <w:headerReference w:type="default" r:id="rId11"/>
          <w:footerReference w:type="even" r:id="rId12"/>
          <w:footerReference w:type="default" r:id="rId13"/>
          <w:headerReference w:type="first" r:id="rId14"/>
          <w:footerReference w:type="first" r:id="rId15"/>
          <w:pgSz w:w="11900" w:h="16840"/>
          <w:pgMar w:top="1952" w:right="1134" w:bottom="851" w:left="1134" w:header="1107" w:footer="192" w:gutter="0"/>
          <w:cols w:space="720"/>
          <w:titlePg/>
        </w:sectPr>
      </w:pPr>
      <w:r>
        <w:rPr>
          <w:sz w:val="40"/>
          <w:szCs w:val="40"/>
          <w:lang w:val="pt-PT"/>
        </w:rPr>
        <w:t>Tonga</w:t>
      </w:r>
      <w:r>
        <w:rPr>
          <w:sz w:val="40"/>
          <w:szCs w:val="40"/>
        </w:rPr>
        <w:br/>
      </w:r>
      <w:r>
        <w:rPr>
          <w:sz w:val="24"/>
          <w:szCs w:val="24"/>
        </w:rPr>
        <w:t>September 2018</w:t>
      </w:r>
    </w:p>
    <w:p w:rsidR="005644B8" w:rsidRDefault="00834F71">
      <w:pPr>
        <w:pStyle w:val="Title"/>
      </w:pPr>
      <w:r>
        <w:lastRenderedPageBreak/>
        <w:t>TONGA Aid Program Performance 2017-18</w:t>
      </w:r>
    </w:p>
    <w:p w:rsidR="00A86C3F" w:rsidRDefault="00A86C3F" w:rsidP="00ED57B5">
      <w:pPr>
        <w:pStyle w:val="Body"/>
        <w:rPr>
          <w:color w:val="595959"/>
          <w:u w:color="595959"/>
          <w:lang w:val="en-US"/>
        </w:rPr>
      </w:pPr>
      <w:r>
        <w:rPr>
          <w:rFonts w:ascii="Calibri" w:eastAsia="Calibri" w:hAnsi="Calibri" w:cs="Calibri"/>
          <w:caps/>
          <w:sz w:val="36"/>
          <w:szCs w:val="36"/>
        </w:rPr>
        <w:t>Summary</w:t>
      </w:r>
    </w:p>
    <w:p w:rsidR="00EE3D67" w:rsidRDefault="00834F71">
      <w:pPr>
        <w:pStyle w:val="Body"/>
        <w:spacing w:before="240"/>
        <w:rPr>
          <w:color w:val="595959"/>
          <w:u w:color="595959"/>
        </w:rPr>
      </w:pPr>
      <w:r>
        <w:rPr>
          <w:color w:val="595959"/>
          <w:u w:color="595959"/>
          <w:lang w:val="en-US"/>
        </w:rPr>
        <w:t>Tonga is a</w:t>
      </w:r>
      <w:r w:rsidR="004953AC">
        <w:rPr>
          <w:color w:val="595959"/>
          <w:u w:color="595959"/>
          <w:lang w:val="en-US"/>
        </w:rPr>
        <w:t xml:space="preserve"> small</w:t>
      </w:r>
      <w:r>
        <w:rPr>
          <w:color w:val="595959"/>
          <w:u w:color="595959"/>
          <w:lang w:val="en-US"/>
        </w:rPr>
        <w:t xml:space="preserve"> Pacific country</w:t>
      </w:r>
      <w:r w:rsidR="000735C5">
        <w:rPr>
          <w:color w:val="595959"/>
          <w:u w:color="595959"/>
          <w:lang w:val="en-US"/>
        </w:rPr>
        <w:t xml:space="preserve"> with</w:t>
      </w:r>
      <w:r>
        <w:rPr>
          <w:color w:val="595959"/>
          <w:u w:color="595959"/>
          <w:lang w:val="en-US"/>
        </w:rPr>
        <w:t xml:space="preserve"> a population of just over 100,000, most of whom live on the main island </w:t>
      </w:r>
      <w:r w:rsidRPr="005126F9">
        <w:rPr>
          <w:color w:val="595959"/>
          <w:u w:color="595959"/>
          <w:lang w:val="en-US"/>
        </w:rPr>
        <w:t>(</w:t>
      </w:r>
      <w:r w:rsidR="004953AC">
        <w:rPr>
          <w:color w:val="595959"/>
          <w:u w:color="595959"/>
          <w:lang w:val="en-US"/>
        </w:rPr>
        <w:t>75,000</w:t>
      </w:r>
      <w:r w:rsidR="001777A4" w:rsidRPr="005126F9">
        <w:rPr>
          <w:color w:val="595959"/>
          <w:u w:color="595959"/>
          <w:lang w:val="en-US"/>
        </w:rPr>
        <w:t xml:space="preserve"> </w:t>
      </w:r>
      <w:r w:rsidRPr="005126F9">
        <w:rPr>
          <w:color w:val="595959"/>
          <w:u w:color="595959"/>
          <w:lang w:val="en-US"/>
        </w:rPr>
        <w:t>on Tongatapu) and in the capital (</w:t>
      </w:r>
      <w:r w:rsidR="004953AC">
        <w:rPr>
          <w:color w:val="595959"/>
          <w:u w:color="595959"/>
          <w:lang w:val="en-US"/>
        </w:rPr>
        <w:t xml:space="preserve">36,000 </w:t>
      </w:r>
      <w:r w:rsidRPr="005126F9">
        <w:rPr>
          <w:color w:val="595959"/>
          <w:u w:color="595959"/>
          <w:lang w:val="en-US"/>
        </w:rPr>
        <w:t>in Nuku</w:t>
      </w:r>
      <w:r w:rsidRPr="005126F9">
        <w:rPr>
          <w:color w:val="595959"/>
          <w:u w:color="595959"/>
        </w:rPr>
        <w:t>’</w:t>
      </w:r>
      <w:r w:rsidRPr="005126F9">
        <w:rPr>
          <w:color w:val="595959"/>
          <w:u w:color="595959"/>
          <w:lang w:val="en-US"/>
        </w:rPr>
        <w:t>alofa)</w:t>
      </w:r>
      <w:r w:rsidR="004953AC">
        <w:rPr>
          <w:rStyle w:val="FootnoteReference"/>
          <w:color w:val="595959"/>
          <w:u w:color="595959"/>
          <w:lang w:val="en-US"/>
        </w:rPr>
        <w:footnoteReference w:id="1"/>
      </w:r>
      <w:r w:rsidRPr="005126F9">
        <w:rPr>
          <w:color w:val="595959"/>
          <w:u w:color="595959"/>
          <w:lang w:val="en-US"/>
        </w:rPr>
        <w:t>. A significant number of Tongans (est</w:t>
      </w:r>
      <w:r w:rsidR="00452FDA">
        <w:rPr>
          <w:color w:val="595959"/>
          <w:u w:color="595959"/>
          <w:lang w:val="en-US"/>
        </w:rPr>
        <w:t xml:space="preserve">imated </w:t>
      </w:r>
      <w:r w:rsidR="001777A4" w:rsidRPr="005126F9">
        <w:rPr>
          <w:color w:val="595959"/>
          <w:u w:color="595959"/>
          <w:lang w:val="en-US"/>
        </w:rPr>
        <w:t>1</w:t>
      </w:r>
      <w:r w:rsidR="00452FDA">
        <w:rPr>
          <w:color w:val="595959"/>
          <w:u w:color="595959"/>
          <w:lang w:val="en-US"/>
        </w:rPr>
        <w:t>5</w:t>
      </w:r>
      <w:r w:rsidR="001777A4" w:rsidRPr="005126F9">
        <w:rPr>
          <w:color w:val="595959"/>
          <w:u w:color="595959"/>
          <w:lang w:val="en-US"/>
        </w:rPr>
        <w:t>0,000</w:t>
      </w:r>
      <w:r w:rsidRPr="005126F9">
        <w:rPr>
          <w:color w:val="595959"/>
          <w:u w:color="595959"/>
          <w:lang w:val="en-US"/>
        </w:rPr>
        <w:t>) live overseas and remittances make a significant contribution to household income</w:t>
      </w:r>
      <w:r w:rsidR="00721DE5">
        <w:rPr>
          <w:color w:val="595959"/>
          <w:u w:color="595959"/>
          <w:lang w:val="en-US"/>
        </w:rPr>
        <w:t xml:space="preserve"> </w:t>
      </w:r>
      <w:r w:rsidR="00721DE5" w:rsidRPr="005126F9">
        <w:rPr>
          <w:color w:val="595959"/>
          <w:u w:color="595959"/>
          <w:lang w:val="en-US"/>
        </w:rPr>
        <w:t>(30</w:t>
      </w:r>
      <w:r w:rsidR="00E63868">
        <w:rPr>
          <w:color w:val="595959"/>
          <w:u w:color="595959"/>
          <w:lang w:val="en-US"/>
        </w:rPr>
        <w:t xml:space="preserve"> per cent</w:t>
      </w:r>
      <w:r w:rsidR="00721DE5" w:rsidRPr="005126F9">
        <w:rPr>
          <w:color w:val="595959"/>
          <w:u w:color="595959"/>
          <w:lang w:val="en-US"/>
        </w:rPr>
        <w:t xml:space="preserve"> of nominal GDP in 2016</w:t>
      </w:r>
      <w:r w:rsidR="00E63868">
        <w:rPr>
          <w:color w:val="595959"/>
          <w:u w:color="595959"/>
          <w:lang w:val="en-US"/>
        </w:rPr>
        <w:t>-</w:t>
      </w:r>
      <w:r w:rsidR="00721DE5" w:rsidRPr="005126F9">
        <w:rPr>
          <w:color w:val="595959"/>
          <w:u w:color="595959"/>
          <w:lang w:val="en-US"/>
        </w:rPr>
        <w:t>17)</w:t>
      </w:r>
      <w:r w:rsidR="004953AC">
        <w:rPr>
          <w:rStyle w:val="FootnoteReference"/>
          <w:color w:val="595959"/>
          <w:u w:color="595959"/>
          <w:lang w:val="en-US"/>
        </w:rPr>
        <w:footnoteReference w:id="2"/>
      </w:r>
      <w:r w:rsidRPr="005126F9">
        <w:rPr>
          <w:color w:val="595959"/>
          <w:u w:color="595959"/>
          <w:lang w:val="en-US"/>
        </w:rPr>
        <w:t>. Locally, agriculture, tourism and handicrafts are the most significant economic sectors, with the overall economy strongly driven by donor infrastructure investment. Tonga is relatively isolated, distant from international markets and services, and highly vulnerable to significant hazard events.</w:t>
      </w:r>
    </w:p>
    <w:p w:rsidR="005644B8" w:rsidRPr="005126F9" w:rsidRDefault="00D40762">
      <w:pPr>
        <w:pStyle w:val="Body"/>
        <w:spacing w:before="240"/>
        <w:rPr>
          <w:color w:val="595959"/>
          <w:u w:color="595959"/>
        </w:rPr>
      </w:pPr>
      <w:r w:rsidRPr="00623CFD">
        <w:rPr>
          <w:color w:val="595959"/>
          <w:u w:color="595959"/>
          <w:lang w:val="en-US"/>
        </w:rPr>
        <w:t>Key o</w:t>
      </w:r>
      <w:r w:rsidR="007B021E" w:rsidRPr="00623CFD">
        <w:rPr>
          <w:color w:val="595959"/>
          <w:u w:color="595959"/>
          <w:lang w:val="en-US"/>
        </w:rPr>
        <w:t xml:space="preserve">ngoing constraints to </w:t>
      </w:r>
      <w:r w:rsidRPr="00623CFD">
        <w:rPr>
          <w:color w:val="595959"/>
          <w:u w:color="595959"/>
          <w:lang w:val="en-US"/>
        </w:rPr>
        <w:t xml:space="preserve">equitable </w:t>
      </w:r>
      <w:r w:rsidR="007B021E" w:rsidRPr="00623CFD">
        <w:rPr>
          <w:color w:val="595959"/>
          <w:u w:color="595959"/>
          <w:lang w:val="en-US"/>
        </w:rPr>
        <w:t xml:space="preserve">development </w:t>
      </w:r>
      <w:r w:rsidRPr="00623CFD">
        <w:rPr>
          <w:color w:val="595959"/>
          <w:u w:color="595959"/>
          <w:lang w:val="en-US"/>
        </w:rPr>
        <w:t xml:space="preserve">and </w:t>
      </w:r>
      <w:r w:rsidR="007B021E" w:rsidRPr="00623CFD">
        <w:rPr>
          <w:color w:val="595959"/>
          <w:u w:color="595959"/>
          <w:lang w:val="en-US"/>
        </w:rPr>
        <w:t>growth include</w:t>
      </w:r>
      <w:r w:rsidRPr="00623CFD">
        <w:rPr>
          <w:color w:val="595959"/>
          <w:u w:color="595959"/>
          <w:lang w:val="en-US"/>
        </w:rPr>
        <w:t>:</w:t>
      </w:r>
      <w:r w:rsidR="007B021E" w:rsidRPr="00623CFD">
        <w:rPr>
          <w:color w:val="595959"/>
          <w:u w:color="595959"/>
          <w:lang w:val="en-US"/>
        </w:rPr>
        <w:t xml:space="preserve"> Tonga’s high levels of government debt</w:t>
      </w:r>
      <w:r w:rsidR="007B021E" w:rsidRPr="005126F9">
        <w:rPr>
          <w:color w:val="595959"/>
          <w:u w:color="595959"/>
          <w:lang w:val="en-US"/>
        </w:rPr>
        <w:t xml:space="preserve"> (47</w:t>
      </w:r>
      <w:r w:rsidR="00E63868">
        <w:rPr>
          <w:color w:val="595959"/>
          <w:u w:color="595959"/>
          <w:lang w:val="en-US"/>
        </w:rPr>
        <w:t xml:space="preserve"> per cent</w:t>
      </w:r>
      <w:r w:rsidR="007B021E" w:rsidRPr="005126F9">
        <w:rPr>
          <w:color w:val="595959"/>
          <w:u w:color="595959"/>
          <w:lang w:val="en-US"/>
        </w:rPr>
        <w:t xml:space="preserve"> of GDP </w:t>
      </w:r>
      <w:r w:rsidR="007B021E">
        <w:rPr>
          <w:color w:val="595959"/>
          <w:u w:color="595959"/>
          <w:lang w:val="en-US"/>
        </w:rPr>
        <w:t>in June 2018</w:t>
      </w:r>
      <w:r w:rsidR="007B021E" w:rsidRPr="005126F9">
        <w:rPr>
          <w:color w:val="595959"/>
          <w:u w:color="595959"/>
          <w:lang w:val="en-US"/>
        </w:rPr>
        <w:t>)</w:t>
      </w:r>
      <w:r>
        <w:rPr>
          <w:color w:val="595959"/>
          <w:u w:color="595959"/>
          <w:lang w:val="en-US"/>
        </w:rPr>
        <w:t>;</w:t>
      </w:r>
      <w:r w:rsidR="007B021E">
        <w:rPr>
          <w:color w:val="595959"/>
          <w:u w:color="595959"/>
          <w:lang w:val="en-US"/>
        </w:rPr>
        <w:t xml:space="preserve"> the impact of non-communicable diseases</w:t>
      </w:r>
      <w:r>
        <w:rPr>
          <w:color w:val="595959"/>
          <w:u w:color="595959"/>
          <w:lang w:val="en-US"/>
        </w:rPr>
        <w:t>; and a contested space for</w:t>
      </w:r>
      <w:r w:rsidR="007B021E">
        <w:rPr>
          <w:color w:val="595959"/>
          <w:u w:color="595959"/>
          <w:lang w:val="en-US"/>
        </w:rPr>
        <w:t xml:space="preserve"> gender equality</w:t>
      </w:r>
      <w:r>
        <w:rPr>
          <w:color w:val="595959"/>
          <w:u w:color="595959"/>
          <w:lang w:val="en-US"/>
        </w:rPr>
        <w:t xml:space="preserve"> and inclusion of people with disabilities</w:t>
      </w:r>
      <w:r w:rsidR="007B021E">
        <w:rPr>
          <w:color w:val="595959"/>
          <w:u w:color="595959"/>
          <w:lang w:val="en-US"/>
        </w:rPr>
        <w:t>.</w:t>
      </w:r>
      <w:r w:rsidR="004505C9">
        <w:rPr>
          <w:color w:val="595959"/>
          <w:u w:color="595959"/>
          <w:lang w:val="en-US"/>
        </w:rPr>
        <w:t xml:space="preserve"> </w:t>
      </w:r>
      <w:r w:rsidR="00834F71" w:rsidRPr="005126F9">
        <w:rPr>
          <w:color w:val="595959"/>
          <w:u w:color="595959"/>
          <w:lang w:val="en-US"/>
        </w:rPr>
        <w:t>In 2017-18</w:t>
      </w:r>
      <w:r w:rsidR="000304F9">
        <w:rPr>
          <w:color w:val="595959"/>
          <w:u w:color="595959"/>
          <w:lang w:val="en-US"/>
        </w:rPr>
        <w:t>,</w:t>
      </w:r>
      <w:r w:rsidR="00834F71" w:rsidRPr="005126F9">
        <w:rPr>
          <w:color w:val="595959"/>
          <w:u w:color="595959"/>
          <w:lang w:val="en-US"/>
        </w:rPr>
        <w:t xml:space="preserve"> Tonga faced two significant </w:t>
      </w:r>
      <w:r w:rsidR="00285877">
        <w:rPr>
          <w:color w:val="595959"/>
          <w:u w:color="595959"/>
          <w:lang w:val="en-US"/>
        </w:rPr>
        <w:t xml:space="preserve">and unexpected </w:t>
      </w:r>
      <w:r w:rsidR="00834F71" w:rsidRPr="005126F9">
        <w:rPr>
          <w:color w:val="595959"/>
          <w:u w:color="595959"/>
          <w:lang w:val="en-US"/>
        </w:rPr>
        <w:t>challenges</w:t>
      </w:r>
      <w:r w:rsidR="003E5BB0">
        <w:rPr>
          <w:color w:val="595959"/>
          <w:u w:color="595959"/>
          <w:lang w:val="en-US"/>
        </w:rPr>
        <w:t xml:space="preserve"> which had implications for the Australian aid program</w:t>
      </w:r>
      <w:r w:rsidR="00834F71" w:rsidRPr="005126F9">
        <w:rPr>
          <w:color w:val="595959"/>
          <w:u w:color="595959"/>
          <w:lang w:val="en-US"/>
        </w:rPr>
        <w:t xml:space="preserve">: </w:t>
      </w:r>
      <w:r w:rsidR="004137D9">
        <w:rPr>
          <w:color w:val="595959"/>
          <w:u w:color="595959"/>
          <w:lang w:val="en-US"/>
        </w:rPr>
        <w:t xml:space="preserve">an extended period of political hiatus </w:t>
      </w:r>
      <w:r w:rsidR="00552229">
        <w:rPr>
          <w:color w:val="595959"/>
          <w:u w:color="595959"/>
          <w:lang w:val="en-US"/>
        </w:rPr>
        <w:t xml:space="preserve">from </w:t>
      </w:r>
      <w:r w:rsidR="00721DE5">
        <w:rPr>
          <w:color w:val="595959"/>
          <w:u w:color="595959"/>
          <w:lang w:val="en-US"/>
        </w:rPr>
        <w:t>August 2017</w:t>
      </w:r>
      <w:r w:rsidR="007B021E">
        <w:rPr>
          <w:color w:val="595959"/>
          <w:u w:color="595959"/>
          <w:lang w:val="en-US"/>
        </w:rPr>
        <w:t xml:space="preserve"> </w:t>
      </w:r>
      <w:r w:rsidR="004137D9">
        <w:rPr>
          <w:color w:val="595959"/>
          <w:u w:color="595959"/>
          <w:lang w:val="en-US"/>
        </w:rPr>
        <w:t xml:space="preserve">when parliament was dissolved </w:t>
      </w:r>
      <w:r w:rsidR="00552229">
        <w:rPr>
          <w:color w:val="595959"/>
          <w:u w:color="595959"/>
          <w:lang w:val="en-US"/>
        </w:rPr>
        <w:t>to</w:t>
      </w:r>
      <w:r w:rsidR="00721DE5">
        <w:rPr>
          <w:color w:val="595959"/>
          <w:u w:color="595959"/>
          <w:lang w:val="en-US"/>
        </w:rPr>
        <w:t xml:space="preserve"> January 2018</w:t>
      </w:r>
      <w:r w:rsidR="00552229">
        <w:rPr>
          <w:color w:val="595959"/>
          <w:u w:color="595959"/>
          <w:lang w:val="en-US"/>
        </w:rPr>
        <w:t xml:space="preserve"> when the new government was installed;</w:t>
      </w:r>
      <w:r w:rsidR="00721DE5">
        <w:rPr>
          <w:color w:val="595959"/>
          <w:u w:color="595959"/>
          <w:lang w:val="en-US"/>
        </w:rPr>
        <w:t xml:space="preserve"> </w:t>
      </w:r>
      <w:r w:rsidR="00400CEA">
        <w:rPr>
          <w:color w:val="595959"/>
          <w:u w:color="595959"/>
          <w:lang w:val="en-US"/>
        </w:rPr>
        <w:t xml:space="preserve">and </w:t>
      </w:r>
      <w:r w:rsidR="00B86D81">
        <w:rPr>
          <w:color w:val="595959"/>
          <w:u w:color="595959"/>
          <w:lang w:val="en-US"/>
        </w:rPr>
        <w:t xml:space="preserve">the significant damage caused by </w:t>
      </w:r>
      <w:r w:rsidR="00552229">
        <w:rPr>
          <w:color w:val="595959"/>
          <w:u w:color="595959"/>
          <w:lang w:val="en-US"/>
        </w:rPr>
        <w:t xml:space="preserve">Tropical </w:t>
      </w:r>
      <w:r w:rsidR="00834F71" w:rsidRPr="005126F9">
        <w:rPr>
          <w:color w:val="595959"/>
          <w:u w:color="595959"/>
          <w:lang w:val="en-US"/>
        </w:rPr>
        <w:t>Cyclone Gita</w:t>
      </w:r>
      <w:r w:rsidR="00D6687B">
        <w:rPr>
          <w:color w:val="595959"/>
          <w:u w:color="595959"/>
          <w:lang w:val="en-US"/>
        </w:rPr>
        <w:t xml:space="preserve"> </w:t>
      </w:r>
      <w:r w:rsidR="00B86D81">
        <w:rPr>
          <w:color w:val="595959"/>
          <w:u w:color="595959"/>
          <w:lang w:val="en-US"/>
        </w:rPr>
        <w:t>which</w:t>
      </w:r>
      <w:r w:rsidR="00834F71" w:rsidRPr="005126F9">
        <w:rPr>
          <w:color w:val="595959"/>
          <w:u w:color="595959"/>
          <w:lang w:val="en-US"/>
        </w:rPr>
        <w:t xml:space="preserve"> hit Tongatapu and nearby islands in February</w:t>
      </w:r>
      <w:r w:rsidR="00D6687B">
        <w:rPr>
          <w:color w:val="595959"/>
          <w:u w:color="595959"/>
          <w:lang w:val="en-US"/>
        </w:rPr>
        <w:t xml:space="preserve"> 2018</w:t>
      </w:r>
      <w:r w:rsidR="00552229">
        <w:rPr>
          <w:color w:val="595959"/>
          <w:u w:color="595959"/>
          <w:lang w:val="en-US"/>
        </w:rPr>
        <w:t xml:space="preserve"> (total</w:t>
      </w:r>
      <w:r w:rsidR="00FF2875" w:rsidRPr="00623CFD">
        <w:rPr>
          <w:color w:val="595959"/>
          <w:u w:color="595959"/>
          <w:lang w:val="en-US"/>
        </w:rPr>
        <w:t xml:space="preserve"> recovery and reconstruction estimated at TOP$330.</w:t>
      </w:r>
      <w:r w:rsidR="00E15FD5" w:rsidRPr="00623CFD">
        <w:rPr>
          <w:color w:val="595959"/>
          <w:u w:color="595959"/>
          <w:lang w:val="en-US"/>
        </w:rPr>
        <w:t>8</w:t>
      </w:r>
      <w:r w:rsidR="00FF2875" w:rsidRPr="00623CFD">
        <w:rPr>
          <w:color w:val="595959"/>
          <w:u w:color="595959"/>
          <w:lang w:val="en-US"/>
        </w:rPr>
        <w:t xml:space="preserve"> million)</w:t>
      </w:r>
      <w:r w:rsidR="004953AC">
        <w:rPr>
          <w:rStyle w:val="FootnoteReference"/>
        </w:rPr>
        <w:footnoteReference w:id="3"/>
      </w:r>
      <w:r w:rsidR="00FF2875" w:rsidRPr="005126F9">
        <w:t xml:space="preserve">.  </w:t>
      </w:r>
    </w:p>
    <w:p w:rsidR="005644B8" w:rsidRPr="005126F9" w:rsidRDefault="004137D9">
      <w:pPr>
        <w:pStyle w:val="Body"/>
        <w:spacing w:before="240"/>
        <w:rPr>
          <w:color w:val="595959"/>
          <w:u w:color="595959"/>
        </w:rPr>
      </w:pPr>
      <w:r>
        <w:rPr>
          <w:color w:val="595959"/>
          <w:u w:color="595959"/>
          <w:lang w:val="en-US"/>
        </w:rPr>
        <w:t xml:space="preserve">These </w:t>
      </w:r>
      <w:r w:rsidR="003E5BB0">
        <w:rPr>
          <w:color w:val="595959"/>
          <w:u w:color="595959"/>
          <w:lang w:val="en-US"/>
        </w:rPr>
        <w:t xml:space="preserve">events resulted in </w:t>
      </w:r>
      <w:r>
        <w:rPr>
          <w:color w:val="595959"/>
          <w:u w:color="595959"/>
          <w:lang w:val="en-US"/>
        </w:rPr>
        <w:t>slowe</w:t>
      </w:r>
      <w:r w:rsidR="003E5BB0">
        <w:rPr>
          <w:color w:val="595959"/>
          <w:u w:color="595959"/>
          <w:lang w:val="en-US"/>
        </w:rPr>
        <w:t xml:space="preserve">r </w:t>
      </w:r>
      <w:r>
        <w:rPr>
          <w:color w:val="595959"/>
          <w:u w:color="595959"/>
          <w:lang w:val="en-US"/>
        </w:rPr>
        <w:t xml:space="preserve">progress </w:t>
      </w:r>
      <w:r w:rsidR="003E5BB0">
        <w:rPr>
          <w:color w:val="595959"/>
          <w:u w:color="595959"/>
          <w:lang w:val="en-US"/>
        </w:rPr>
        <w:t>on aid</w:t>
      </w:r>
      <w:r>
        <w:rPr>
          <w:color w:val="595959"/>
          <w:u w:color="595959"/>
          <w:lang w:val="en-US"/>
        </w:rPr>
        <w:t xml:space="preserve"> projects, and a major </w:t>
      </w:r>
      <w:r w:rsidR="000735C5" w:rsidRPr="005126F9">
        <w:rPr>
          <w:color w:val="595959"/>
          <w:u w:color="595959"/>
          <w:lang w:val="en-US"/>
        </w:rPr>
        <w:t>broaden</w:t>
      </w:r>
      <w:r>
        <w:rPr>
          <w:color w:val="595959"/>
          <w:u w:color="595959"/>
          <w:lang w:val="en-US"/>
        </w:rPr>
        <w:t>ing</w:t>
      </w:r>
      <w:r w:rsidR="004E6246">
        <w:rPr>
          <w:color w:val="595959"/>
          <w:u w:color="595959"/>
          <w:lang w:val="en-US"/>
        </w:rPr>
        <w:t xml:space="preserve"> </w:t>
      </w:r>
      <w:r>
        <w:rPr>
          <w:color w:val="595959"/>
          <w:u w:color="595959"/>
          <w:lang w:val="en-US"/>
        </w:rPr>
        <w:t xml:space="preserve">of Australian assistance </w:t>
      </w:r>
      <w:r w:rsidR="00834F71" w:rsidRPr="005126F9">
        <w:rPr>
          <w:color w:val="595959"/>
          <w:u w:color="595959"/>
          <w:lang w:val="en-US"/>
        </w:rPr>
        <w:t xml:space="preserve">to </w:t>
      </w:r>
      <w:r>
        <w:rPr>
          <w:color w:val="595959"/>
          <w:u w:color="595959"/>
          <w:lang w:val="en-US"/>
        </w:rPr>
        <w:t>respond to</w:t>
      </w:r>
      <w:r w:rsidRPr="005126F9">
        <w:rPr>
          <w:color w:val="595959"/>
          <w:u w:color="595959"/>
          <w:lang w:val="en-US"/>
        </w:rPr>
        <w:t xml:space="preserve"> </w:t>
      </w:r>
      <w:r w:rsidR="00834F71" w:rsidRPr="005126F9">
        <w:rPr>
          <w:color w:val="595959"/>
          <w:u w:color="595959"/>
          <w:lang w:val="en-US"/>
        </w:rPr>
        <w:t xml:space="preserve">Cyclone Gita </w:t>
      </w:r>
      <w:r>
        <w:rPr>
          <w:color w:val="595959"/>
          <w:u w:color="595959"/>
          <w:lang w:val="en-US"/>
        </w:rPr>
        <w:t>and</w:t>
      </w:r>
      <w:r w:rsidR="00834F71" w:rsidRPr="005126F9">
        <w:rPr>
          <w:color w:val="595959"/>
          <w:u w:color="595959"/>
          <w:lang w:val="en-US"/>
        </w:rPr>
        <w:t xml:space="preserve"> support </w:t>
      </w:r>
      <w:r>
        <w:rPr>
          <w:color w:val="595959"/>
          <w:u w:color="595959"/>
          <w:lang w:val="en-US"/>
        </w:rPr>
        <w:t xml:space="preserve">the </w:t>
      </w:r>
      <w:r w:rsidR="00834F71" w:rsidRPr="005126F9">
        <w:rPr>
          <w:color w:val="595959"/>
          <w:u w:color="595959"/>
          <w:lang w:val="en-US"/>
        </w:rPr>
        <w:t>national election</w:t>
      </w:r>
      <w:r>
        <w:rPr>
          <w:color w:val="595959"/>
          <w:u w:color="595959"/>
          <w:lang w:val="en-US"/>
        </w:rPr>
        <w:t xml:space="preserve"> in November</w:t>
      </w:r>
      <w:r w:rsidR="00834F71" w:rsidRPr="005126F9">
        <w:rPr>
          <w:color w:val="595959"/>
          <w:u w:color="595959"/>
        </w:rPr>
        <w:t>.</w:t>
      </w:r>
      <w:r w:rsidR="00243938">
        <w:rPr>
          <w:color w:val="595959"/>
          <w:u w:color="595959"/>
        </w:rPr>
        <w:t xml:space="preserve"> New initiatives, such as a pharmaceutical testing program, </w:t>
      </w:r>
      <w:r w:rsidR="003E5BB0">
        <w:rPr>
          <w:color w:val="595959"/>
          <w:u w:color="595959"/>
        </w:rPr>
        <w:t>were introduced</w:t>
      </w:r>
      <w:r w:rsidR="004E6246">
        <w:rPr>
          <w:color w:val="595959"/>
          <w:u w:color="595959"/>
        </w:rPr>
        <w:t xml:space="preserve"> under </w:t>
      </w:r>
      <w:r w:rsidR="00243938">
        <w:rPr>
          <w:color w:val="595959"/>
          <w:u w:color="595959"/>
        </w:rPr>
        <w:t xml:space="preserve">our </w:t>
      </w:r>
      <w:r w:rsidR="004E6246">
        <w:rPr>
          <w:color w:val="595959"/>
          <w:u w:color="595959"/>
        </w:rPr>
        <w:t>program of stepped up engagement in the Pacific</w:t>
      </w:r>
      <w:r w:rsidR="003E5BB0">
        <w:rPr>
          <w:color w:val="595959"/>
          <w:u w:color="595959"/>
        </w:rPr>
        <w:t xml:space="preserve"> </w:t>
      </w:r>
      <w:r w:rsidR="00DA6A95">
        <w:rPr>
          <w:color w:val="595959"/>
          <w:u w:color="595959"/>
        </w:rPr>
        <w:t xml:space="preserve">as </w:t>
      </w:r>
      <w:r w:rsidR="000304F9">
        <w:rPr>
          <w:color w:val="595959"/>
          <w:u w:color="595959"/>
        </w:rPr>
        <w:t xml:space="preserve">outlined in </w:t>
      </w:r>
      <w:r w:rsidR="00243938">
        <w:rPr>
          <w:color w:val="595959"/>
          <w:u w:color="595959"/>
        </w:rPr>
        <w:t>Australia’s</w:t>
      </w:r>
      <w:r w:rsidR="003E5BB0">
        <w:rPr>
          <w:color w:val="595959"/>
          <w:u w:color="595959"/>
        </w:rPr>
        <w:t xml:space="preserve"> Foreign Policy White Paper.</w:t>
      </w:r>
    </w:p>
    <w:p w:rsidR="005644B8" w:rsidRDefault="00834F71">
      <w:pPr>
        <w:pStyle w:val="Body"/>
        <w:spacing w:before="240"/>
        <w:rPr>
          <w:color w:val="595959"/>
          <w:u w:color="595959"/>
        </w:rPr>
      </w:pPr>
      <w:r w:rsidRPr="005126F9">
        <w:rPr>
          <w:color w:val="595959"/>
          <w:u w:color="595959"/>
          <w:lang w:val="en-US"/>
        </w:rPr>
        <w:t xml:space="preserve">Australia is one of the largest donors to Tonga. </w:t>
      </w:r>
      <w:r w:rsidR="004E6246">
        <w:rPr>
          <w:color w:val="595959"/>
          <w:u w:color="595959"/>
          <w:lang w:val="en-US"/>
        </w:rPr>
        <w:t xml:space="preserve">Our assistance is provided under the </w:t>
      </w:r>
      <w:r w:rsidR="004E6246" w:rsidRPr="005126F9">
        <w:rPr>
          <w:color w:val="595959"/>
          <w:u w:color="595959"/>
          <w:lang w:val="en-US"/>
        </w:rPr>
        <w:t>Australia-Tonga Partnership Arrangement (2015-19)</w:t>
      </w:r>
      <w:r w:rsidR="004E6246">
        <w:rPr>
          <w:color w:val="595959"/>
          <w:u w:color="595959"/>
          <w:lang w:val="en-US"/>
        </w:rPr>
        <w:t>.</w:t>
      </w:r>
      <w:r w:rsidR="004E6246" w:rsidRPr="005126F9">
        <w:rPr>
          <w:color w:val="595959"/>
          <w:u w:color="595959"/>
          <w:lang w:val="en-US"/>
        </w:rPr>
        <w:t xml:space="preserve"> </w:t>
      </w:r>
      <w:r w:rsidRPr="005126F9">
        <w:rPr>
          <w:color w:val="595959"/>
          <w:u w:color="595959"/>
          <w:lang w:val="en-US"/>
        </w:rPr>
        <w:t>In 2017-18, Australia</w:t>
      </w:r>
      <w:r w:rsidRPr="005126F9">
        <w:rPr>
          <w:color w:val="595959"/>
          <w:u w:color="595959"/>
        </w:rPr>
        <w:t>’</w:t>
      </w:r>
      <w:r w:rsidRPr="005126F9">
        <w:rPr>
          <w:color w:val="595959"/>
          <w:u w:color="595959"/>
          <w:lang w:val="en-US"/>
        </w:rPr>
        <w:t>s official development assistance</w:t>
      </w:r>
      <w:r>
        <w:rPr>
          <w:color w:val="595959"/>
          <w:u w:color="595959"/>
          <w:lang w:val="en-US"/>
        </w:rPr>
        <w:t xml:space="preserve"> </w:t>
      </w:r>
      <w:r w:rsidR="004137D9">
        <w:rPr>
          <w:color w:val="595959"/>
          <w:u w:color="595959"/>
          <w:lang w:val="en-US"/>
        </w:rPr>
        <w:t xml:space="preserve">(ODA) </w:t>
      </w:r>
      <w:r>
        <w:rPr>
          <w:color w:val="595959"/>
          <w:u w:color="595959"/>
          <w:lang w:val="en-US"/>
        </w:rPr>
        <w:t>was $34.6 million</w:t>
      </w:r>
      <w:r w:rsidR="004505C9">
        <w:rPr>
          <w:color w:val="595959"/>
          <w:u w:color="595959"/>
          <w:lang w:val="en-US"/>
        </w:rPr>
        <w:t xml:space="preserve"> (including $</w:t>
      </w:r>
      <w:r w:rsidR="001C446F">
        <w:rPr>
          <w:color w:val="595959"/>
          <w:u w:color="595959"/>
          <w:lang w:val="en-US"/>
        </w:rPr>
        <w:t>6.25</w:t>
      </w:r>
      <w:r w:rsidR="004505C9">
        <w:rPr>
          <w:color w:val="595959"/>
          <w:u w:color="595959"/>
          <w:lang w:val="en-US"/>
        </w:rPr>
        <w:t xml:space="preserve"> </w:t>
      </w:r>
      <w:r w:rsidR="00D03BE6">
        <w:rPr>
          <w:color w:val="595959"/>
          <w:u w:color="595959"/>
          <w:lang w:val="en-US"/>
        </w:rPr>
        <w:t xml:space="preserve">million </w:t>
      </w:r>
      <w:r w:rsidR="004505C9">
        <w:rPr>
          <w:color w:val="595959"/>
          <w:u w:color="595959"/>
          <w:lang w:val="en-US"/>
        </w:rPr>
        <w:t xml:space="preserve">in </w:t>
      </w:r>
      <w:r w:rsidR="001C446F">
        <w:rPr>
          <w:color w:val="595959"/>
          <w:u w:color="595959"/>
          <w:lang w:val="en-US"/>
        </w:rPr>
        <w:t>additional</w:t>
      </w:r>
      <w:r w:rsidR="004505C9">
        <w:rPr>
          <w:color w:val="595959"/>
          <w:u w:color="595959"/>
          <w:lang w:val="en-US"/>
        </w:rPr>
        <w:t xml:space="preserve"> emergency funding for cyclone response),</w:t>
      </w:r>
      <w:r w:rsidR="002314D0">
        <w:rPr>
          <w:color w:val="595959"/>
          <w:u w:color="595959"/>
          <w:lang w:val="en-US"/>
        </w:rPr>
        <w:t xml:space="preserve"> compared to Tonga’s national budget of </w:t>
      </w:r>
      <w:r w:rsidR="0086348E">
        <w:rPr>
          <w:color w:val="595959"/>
          <w:u w:color="595959"/>
          <w:lang w:val="en-US"/>
        </w:rPr>
        <w:t>$366.0 million</w:t>
      </w:r>
      <w:r>
        <w:rPr>
          <w:color w:val="595959"/>
          <w:u w:color="595959"/>
          <w:lang w:val="en-US"/>
        </w:rPr>
        <w:t>.</w:t>
      </w:r>
      <w:r w:rsidR="004E6246">
        <w:rPr>
          <w:color w:val="595959"/>
          <w:u w:color="595959"/>
          <w:lang w:val="en-US"/>
        </w:rPr>
        <w:t xml:space="preserve"> </w:t>
      </w:r>
      <w:r>
        <w:rPr>
          <w:color w:val="595959"/>
          <w:u w:color="595959"/>
          <w:lang w:val="en-US"/>
        </w:rPr>
        <w:t xml:space="preserve">Other significant </w:t>
      </w:r>
      <w:r w:rsidR="004E6246">
        <w:rPr>
          <w:color w:val="595959"/>
          <w:u w:color="595959"/>
          <w:lang w:val="en-US"/>
        </w:rPr>
        <w:t>partners</w:t>
      </w:r>
      <w:r>
        <w:rPr>
          <w:color w:val="595959"/>
          <w:u w:color="595959"/>
          <w:lang w:val="en-US"/>
        </w:rPr>
        <w:t xml:space="preserve"> include New Zealand, Japan</w:t>
      </w:r>
      <w:r w:rsidR="004E6246">
        <w:rPr>
          <w:color w:val="595959"/>
          <w:u w:color="595959"/>
          <w:lang w:val="en-US"/>
        </w:rPr>
        <w:t>,</w:t>
      </w:r>
      <w:r>
        <w:rPr>
          <w:color w:val="595959"/>
          <w:u w:color="595959"/>
          <w:lang w:val="en-US"/>
        </w:rPr>
        <w:t xml:space="preserve"> China</w:t>
      </w:r>
      <w:r w:rsidR="004E6246">
        <w:rPr>
          <w:color w:val="595959"/>
          <w:u w:color="595959"/>
          <w:lang w:val="en-US"/>
        </w:rPr>
        <w:t>,</w:t>
      </w:r>
      <w:r>
        <w:rPr>
          <w:color w:val="595959"/>
          <w:u w:color="595959"/>
          <w:lang w:val="en-US"/>
        </w:rPr>
        <w:t xml:space="preserve"> </w:t>
      </w:r>
      <w:r w:rsidR="004E6246">
        <w:rPr>
          <w:color w:val="595959"/>
          <w:u w:color="595959"/>
          <w:lang w:val="en-US"/>
        </w:rPr>
        <w:t>t</w:t>
      </w:r>
      <w:r>
        <w:rPr>
          <w:color w:val="595959"/>
          <w:u w:color="595959"/>
          <w:lang w:val="en-US"/>
        </w:rPr>
        <w:t xml:space="preserve">he World Bank and Asian Development Bank (ADB). UN agencies, churches and NGOs also provide development </w:t>
      </w:r>
      <w:r w:rsidR="001F2567">
        <w:rPr>
          <w:color w:val="595959"/>
          <w:u w:color="595959"/>
          <w:lang w:val="en-US"/>
        </w:rPr>
        <w:t xml:space="preserve">support </w:t>
      </w:r>
      <w:r>
        <w:rPr>
          <w:color w:val="595959"/>
          <w:u w:color="595959"/>
          <w:lang w:val="en-US"/>
        </w:rPr>
        <w:t>in Tonga.</w:t>
      </w:r>
    </w:p>
    <w:p w:rsidR="005644B8" w:rsidRDefault="00834F71" w:rsidP="008D3193">
      <w:pPr>
        <w:pStyle w:val="ListBullet"/>
        <w:keepNext/>
        <w:tabs>
          <w:tab w:val="clear" w:pos="284"/>
        </w:tabs>
        <w:spacing w:before="360" w:line="22" w:lineRule="atLeast"/>
        <w:rPr>
          <w:rFonts w:ascii="Calibri" w:eastAsia="Calibri" w:hAnsi="Calibri" w:cs="Calibri"/>
          <w:caps/>
          <w:color w:val="495965"/>
          <w:sz w:val="38"/>
          <w:szCs w:val="38"/>
          <w:u w:color="495965"/>
        </w:rPr>
      </w:pPr>
      <w:r>
        <w:rPr>
          <w:rFonts w:ascii="Calibri" w:eastAsia="Calibri" w:hAnsi="Calibri" w:cs="Calibri"/>
          <w:caps/>
          <w:color w:val="495965"/>
          <w:sz w:val="38"/>
          <w:szCs w:val="38"/>
          <w:u w:color="495965"/>
        </w:rPr>
        <w:t>Expenditure</w:t>
      </w:r>
    </w:p>
    <w:p w:rsidR="00446514" w:rsidRDefault="00834F71" w:rsidP="008D3193">
      <w:pPr>
        <w:pStyle w:val="Body"/>
        <w:keepNext/>
        <w:spacing w:line="22" w:lineRule="atLeast"/>
        <w:rPr>
          <w:rFonts w:asciiTheme="minorHAnsi" w:hAnsiTheme="minorHAnsi"/>
          <w:b/>
          <w:bCs/>
          <w:lang w:val="en-US"/>
        </w:rPr>
      </w:pPr>
      <w:r w:rsidRPr="004F0B6E">
        <w:rPr>
          <w:rFonts w:asciiTheme="minorHAnsi" w:hAnsiTheme="minorHAnsi"/>
          <w:b/>
          <w:bCs/>
          <w:lang w:val="en-US"/>
        </w:rPr>
        <w:t>Table 1 Total ODA Expenditure in FY 201</w:t>
      </w:r>
      <w:r w:rsidR="009A5320">
        <w:rPr>
          <w:rFonts w:asciiTheme="minorHAnsi" w:hAnsiTheme="minorHAnsi"/>
          <w:b/>
          <w:bCs/>
          <w:lang w:val="en-US"/>
        </w:rPr>
        <w:t>7</w:t>
      </w:r>
      <w:r w:rsidRPr="004F0B6E">
        <w:rPr>
          <w:rFonts w:asciiTheme="minorHAnsi" w:hAnsiTheme="minorHAnsi"/>
          <w:b/>
          <w:bCs/>
          <w:lang w:val="en-US"/>
        </w:rPr>
        <w:t>-1</w:t>
      </w:r>
      <w:r w:rsidR="009A5320">
        <w:rPr>
          <w:rFonts w:asciiTheme="minorHAnsi" w:hAnsiTheme="minorHAnsi"/>
          <w:b/>
          <w:bCs/>
          <w:lang w:val="en-US"/>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276"/>
        <w:gridCol w:w="1366"/>
      </w:tblGrid>
      <w:tr w:rsidR="002028A1" w:rsidRPr="009906AF" w:rsidTr="004F0B6E">
        <w:trPr>
          <w:trHeight w:val="439"/>
        </w:trPr>
        <w:tc>
          <w:tcPr>
            <w:tcW w:w="6374" w:type="dxa"/>
            <w:tcBorders>
              <w:top w:val="single" w:sz="12" w:space="0" w:color="595959"/>
            </w:tcBorders>
          </w:tcPr>
          <w:p w:rsidR="00446514" w:rsidRPr="004F0B6E" w:rsidRDefault="00446514" w:rsidP="005E74B3">
            <w:pPr>
              <w:rPr>
                <w:b/>
                <w:color w:val="595959"/>
                <w:sz w:val="18"/>
                <w:szCs w:val="18"/>
              </w:rPr>
            </w:pPr>
            <w:r w:rsidRPr="004F0B6E">
              <w:rPr>
                <w:rFonts w:ascii="Times New Roman" w:hAnsi="Times New Roman"/>
                <w:b/>
                <w:color w:val="595959"/>
                <w:sz w:val="18"/>
                <w:szCs w:val="18"/>
              </w:rPr>
              <w:t>Objective</w:t>
            </w:r>
          </w:p>
        </w:tc>
        <w:tc>
          <w:tcPr>
            <w:tcW w:w="1276" w:type="dxa"/>
            <w:tcBorders>
              <w:top w:val="single" w:sz="12" w:space="0" w:color="595959"/>
            </w:tcBorders>
          </w:tcPr>
          <w:p w:rsidR="00446514" w:rsidRPr="004F0B6E" w:rsidRDefault="00D03BE6" w:rsidP="00D03BE6">
            <w:pPr>
              <w:jc w:val="right"/>
              <w:rPr>
                <w:b/>
                <w:color w:val="595959"/>
                <w:sz w:val="18"/>
                <w:szCs w:val="18"/>
              </w:rPr>
            </w:pPr>
            <w:r>
              <w:rPr>
                <w:rFonts w:ascii="Times New Roman" w:hAnsi="Times New Roman"/>
                <w:b/>
                <w:color w:val="595959"/>
                <w:sz w:val="18"/>
                <w:szCs w:val="18"/>
              </w:rPr>
              <w:t xml:space="preserve">     </w:t>
            </w:r>
            <w:r w:rsidR="00446514" w:rsidRPr="004F0B6E">
              <w:rPr>
                <w:rFonts w:ascii="Times New Roman" w:hAnsi="Times New Roman"/>
                <w:b/>
                <w:color w:val="595959"/>
                <w:sz w:val="18"/>
                <w:szCs w:val="18"/>
              </w:rPr>
              <w:t>A$ million</w:t>
            </w:r>
          </w:p>
        </w:tc>
        <w:tc>
          <w:tcPr>
            <w:tcW w:w="1366" w:type="dxa"/>
            <w:tcBorders>
              <w:top w:val="single" w:sz="12" w:space="0" w:color="595959"/>
            </w:tcBorders>
          </w:tcPr>
          <w:p w:rsidR="00446514" w:rsidRPr="004F0B6E" w:rsidRDefault="00D03BE6" w:rsidP="00D03BE6">
            <w:pPr>
              <w:jc w:val="right"/>
              <w:rPr>
                <w:b/>
                <w:color w:val="595959"/>
                <w:sz w:val="18"/>
                <w:szCs w:val="18"/>
              </w:rPr>
            </w:pPr>
            <w:r>
              <w:rPr>
                <w:rFonts w:ascii="Times New Roman" w:hAnsi="Times New Roman"/>
                <w:b/>
                <w:color w:val="595959"/>
                <w:sz w:val="18"/>
                <w:szCs w:val="18"/>
              </w:rPr>
              <w:t xml:space="preserve">      </w:t>
            </w:r>
            <w:r w:rsidR="00446514" w:rsidRPr="004F0B6E">
              <w:rPr>
                <w:rFonts w:ascii="Times New Roman" w:hAnsi="Times New Roman"/>
                <w:b/>
                <w:color w:val="595959"/>
                <w:sz w:val="18"/>
                <w:szCs w:val="18"/>
              </w:rPr>
              <w:t xml:space="preserve">% of total </w:t>
            </w:r>
            <w:r>
              <w:rPr>
                <w:rFonts w:ascii="Times New Roman" w:hAnsi="Times New Roman"/>
                <w:b/>
                <w:color w:val="595959"/>
                <w:sz w:val="18"/>
                <w:szCs w:val="18"/>
              </w:rPr>
              <w:t xml:space="preserve">   </w:t>
            </w:r>
            <w:r w:rsidR="00446514" w:rsidRPr="004F0B6E">
              <w:rPr>
                <w:rFonts w:ascii="Times New Roman" w:hAnsi="Times New Roman"/>
                <w:b/>
                <w:color w:val="595959"/>
                <w:sz w:val="18"/>
                <w:szCs w:val="18"/>
              </w:rPr>
              <w:t>ODA</w:t>
            </w:r>
          </w:p>
        </w:tc>
      </w:tr>
      <w:tr w:rsidR="002028A1" w:rsidRPr="009906AF" w:rsidTr="004F0B6E">
        <w:trPr>
          <w:trHeight w:val="588"/>
        </w:trPr>
        <w:tc>
          <w:tcPr>
            <w:tcW w:w="6374" w:type="dxa"/>
          </w:tcPr>
          <w:p w:rsidR="00446514" w:rsidRPr="004F0B6E" w:rsidRDefault="00446514" w:rsidP="005E74B3">
            <w:pPr>
              <w:rPr>
                <w:color w:val="595959"/>
                <w:sz w:val="18"/>
                <w:szCs w:val="18"/>
              </w:rPr>
            </w:pPr>
            <w:r w:rsidRPr="004F0B6E">
              <w:rPr>
                <w:rFonts w:ascii="Times New Roman" w:hAnsi="Times New Roman"/>
                <w:color w:val="595959"/>
                <w:sz w:val="18"/>
                <w:szCs w:val="18"/>
              </w:rPr>
              <w:t>Governance, economic and private sector development reforms (including gender equality, disaster resilience and preparedness)</w:t>
            </w:r>
          </w:p>
        </w:tc>
        <w:tc>
          <w:tcPr>
            <w:tcW w:w="127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7.2</w:t>
            </w:r>
          </w:p>
        </w:tc>
        <w:tc>
          <w:tcPr>
            <w:tcW w:w="136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21</w:t>
            </w:r>
          </w:p>
        </w:tc>
      </w:tr>
      <w:tr w:rsidR="002028A1" w:rsidRPr="009906AF" w:rsidTr="004F0B6E">
        <w:trPr>
          <w:trHeight w:val="439"/>
        </w:trPr>
        <w:tc>
          <w:tcPr>
            <w:tcW w:w="6374" w:type="dxa"/>
          </w:tcPr>
          <w:p w:rsidR="00446514" w:rsidRPr="004F0B6E" w:rsidRDefault="00446514" w:rsidP="005E74B3">
            <w:pPr>
              <w:pBdr>
                <w:top w:val="nil"/>
                <w:left w:val="nil"/>
                <w:bottom w:val="nil"/>
                <w:right w:val="nil"/>
                <w:between w:val="nil"/>
                <w:bar w:val="nil"/>
              </w:pBdr>
              <w:rPr>
                <w:color w:val="595959"/>
                <w:sz w:val="18"/>
                <w:szCs w:val="18"/>
              </w:rPr>
            </w:pPr>
            <w:r w:rsidRPr="004F0B6E">
              <w:rPr>
                <w:rFonts w:ascii="Times New Roman" w:hAnsi="Times New Roman"/>
                <w:color w:val="595959"/>
                <w:sz w:val="18"/>
                <w:szCs w:val="18"/>
              </w:rPr>
              <w:t xml:space="preserve">A more effective, efficient and equitable health system </w:t>
            </w:r>
          </w:p>
        </w:tc>
        <w:tc>
          <w:tcPr>
            <w:tcW w:w="127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3.0</w:t>
            </w:r>
          </w:p>
        </w:tc>
        <w:tc>
          <w:tcPr>
            <w:tcW w:w="136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9</w:t>
            </w:r>
          </w:p>
        </w:tc>
      </w:tr>
      <w:tr w:rsidR="002028A1" w:rsidRPr="009906AF" w:rsidTr="004F0B6E">
        <w:trPr>
          <w:trHeight w:val="558"/>
        </w:trPr>
        <w:tc>
          <w:tcPr>
            <w:tcW w:w="6374" w:type="dxa"/>
          </w:tcPr>
          <w:p w:rsidR="00446514" w:rsidRPr="004F0B6E" w:rsidRDefault="00446514" w:rsidP="005E74B3">
            <w:pPr>
              <w:rPr>
                <w:color w:val="595959"/>
                <w:sz w:val="18"/>
                <w:szCs w:val="18"/>
              </w:rPr>
            </w:pPr>
            <w:r w:rsidRPr="004F0B6E">
              <w:rPr>
                <w:rFonts w:ascii="Times New Roman" w:hAnsi="Times New Roman"/>
                <w:color w:val="595959"/>
                <w:sz w:val="18"/>
                <w:szCs w:val="18"/>
              </w:rPr>
              <w:t>Skills development in support of economic opportunities for Tongan workers (including scholarships)</w:t>
            </w:r>
          </w:p>
        </w:tc>
        <w:tc>
          <w:tcPr>
            <w:tcW w:w="127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2.5</w:t>
            </w:r>
          </w:p>
        </w:tc>
        <w:tc>
          <w:tcPr>
            <w:tcW w:w="136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7</w:t>
            </w:r>
          </w:p>
        </w:tc>
      </w:tr>
      <w:tr w:rsidR="002028A1" w:rsidRPr="009906AF" w:rsidTr="004F0B6E">
        <w:trPr>
          <w:trHeight w:val="439"/>
        </w:trPr>
        <w:tc>
          <w:tcPr>
            <w:tcW w:w="6374" w:type="dxa"/>
          </w:tcPr>
          <w:p w:rsidR="00446514" w:rsidRPr="004F0B6E" w:rsidRDefault="00446514" w:rsidP="005E74B3">
            <w:pPr>
              <w:rPr>
                <w:color w:val="595959"/>
                <w:sz w:val="18"/>
                <w:szCs w:val="18"/>
              </w:rPr>
            </w:pPr>
            <w:r w:rsidRPr="004F0B6E">
              <w:rPr>
                <w:rFonts w:ascii="Times New Roman" w:hAnsi="Times New Roman"/>
                <w:color w:val="595959"/>
                <w:sz w:val="18"/>
                <w:szCs w:val="18"/>
              </w:rPr>
              <w:t>Tropical Cyclone Gita (response and recovery)</w:t>
            </w:r>
            <w:r w:rsidRPr="004F0B6E">
              <w:rPr>
                <w:rFonts w:ascii="Times New Roman" w:hAnsi="Times New Roman"/>
                <w:color w:val="595959"/>
                <w:sz w:val="18"/>
                <w:szCs w:val="18"/>
              </w:rPr>
              <w:tab/>
            </w:r>
          </w:p>
        </w:tc>
        <w:tc>
          <w:tcPr>
            <w:tcW w:w="127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11.2</w:t>
            </w:r>
          </w:p>
        </w:tc>
        <w:tc>
          <w:tcPr>
            <w:tcW w:w="136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32</w:t>
            </w:r>
          </w:p>
        </w:tc>
      </w:tr>
      <w:tr w:rsidR="002028A1" w:rsidRPr="009906AF" w:rsidTr="004F0B6E">
        <w:trPr>
          <w:trHeight w:val="439"/>
        </w:trPr>
        <w:tc>
          <w:tcPr>
            <w:tcW w:w="6374" w:type="dxa"/>
          </w:tcPr>
          <w:p w:rsidR="00446514" w:rsidRPr="004F0B6E" w:rsidRDefault="00446514" w:rsidP="005E74B3">
            <w:pPr>
              <w:rPr>
                <w:b/>
                <w:color w:val="595959"/>
                <w:sz w:val="18"/>
                <w:szCs w:val="18"/>
              </w:rPr>
            </w:pPr>
            <w:r w:rsidRPr="004F0B6E">
              <w:rPr>
                <w:rFonts w:ascii="Times New Roman" w:hAnsi="Times New Roman"/>
                <w:b/>
                <w:color w:val="595959"/>
                <w:sz w:val="18"/>
                <w:szCs w:val="18"/>
              </w:rPr>
              <w:t>Sub-Total Bilateral</w:t>
            </w:r>
          </w:p>
        </w:tc>
        <w:tc>
          <w:tcPr>
            <w:tcW w:w="1276" w:type="dxa"/>
          </w:tcPr>
          <w:p w:rsidR="00446514" w:rsidRPr="004F0B6E" w:rsidRDefault="00446514" w:rsidP="005E74B3">
            <w:pPr>
              <w:jc w:val="right"/>
              <w:rPr>
                <w:b/>
                <w:color w:val="595959"/>
                <w:sz w:val="18"/>
                <w:szCs w:val="18"/>
              </w:rPr>
            </w:pPr>
            <w:r w:rsidRPr="004F0B6E">
              <w:rPr>
                <w:rFonts w:ascii="Times New Roman" w:hAnsi="Times New Roman"/>
                <w:b/>
                <w:color w:val="595959"/>
                <w:sz w:val="18"/>
                <w:szCs w:val="18"/>
              </w:rPr>
              <w:t>23.9</w:t>
            </w:r>
          </w:p>
        </w:tc>
        <w:tc>
          <w:tcPr>
            <w:tcW w:w="1366" w:type="dxa"/>
          </w:tcPr>
          <w:p w:rsidR="00446514" w:rsidRPr="004F0B6E" w:rsidRDefault="00446514" w:rsidP="005E74B3">
            <w:pPr>
              <w:jc w:val="right"/>
              <w:rPr>
                <w:b/>
                <w:color w:val="595959"/>
                <w:sz w:val="18"/>
                <w:szCs w:val="18"/>
              </w:rPr>
            </w:pPr>
            <w:r w:rsidRPr="004F0B6E">
              <w:rPr>
                <w:rFonts w:ascii="Times New Roman" w:hAnsi="Times New Roman"/>
                <w:b/>
                <w:color w:val="595959"/>
                <w:sz w:val="18"/>
                <w:szCs w:val="18"/>
              </w:rPr>
              <w:t>69</w:t>
            </w:r>
          </w:p>
        </w:tc>
      </w:tr>
      <w:tr w:rsidR="002028A1" w:rsidRPr="009906AF" w:rsidTr="004F0B6E">
        <w:trPr>
          <w:trHeight w:val="439"/>
        </w:trPr>
        <w:tc>
          <w:tcPr>
            <w:tcW w:w="6374" w:type="dxa"/>
          </w:tcPr>
          <w:p w:rsidR="00446514" w:rsidRPr="004F0B6E" w:rsidRDefault="00446514" w:rsidP="005E74B3">
            <w:pPr>
              <w:rPr>
                <w:color w:val="595959"/>
                <w:sz w:val="18"/>
                <w:szCs w:val="18"/>
              </w:rPr>
            </w:pPr>
            <w:r w:rsidRPr="004F0B6E">
              <w:rPr>
                <w:rFonts w:ascii="Times New Roman" w:hAnsi="Times New Roman"/>
                <w:color w:val="595959"/>
                <w:sz w:val="18"/>
                <w:szCs w:val="18"/>
              </w:rPr>
              <w:t>Regional and Global</w:t>
            </w:r>
          </w:p>
        </w:tc>
        <w:tc>
          <w:tcPr>
            <w:tcW w:w="127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7.2</w:t>
            </w:r>
          </w:p>
        </w:tc>
        <w:tc>
          <w:tcPr>
            <w:tcW w:w="136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21</w:t>
            </w:r>
          </w:p>
        </w:tc>
      </w:tr>
      <w:tr w:rsidR="002028A1" w:rsidRPr="009906AF" w:rsidTr="004F0B6E">
        <w:trPr>
          <w:trHeight w:val="439"/>
        </w:trPr>
        <w:tc>
          <w:tcPr>
            <w:tcW w:w="6374" w:type="dxa"/>
          </w:tcPr>
          <w:p w:rsidR="00446514" w:rsidRPr="004F0B6E" w:rsidRDefault="00446514" w:rsidP="005E74B3">
            <w:pPr>
              <w:rPr>
                <w:color w:val="595959"/>
                <w:sz w:val="18"/>
                <w:szCs w:val="18"/>
              </w:rPr>
            </w:pPr>
            <w:r w:rsidRPr="004F0B6E">
              <w:rPr>
                <w:rFonts w:ascii="Times New Roman" w:hAnsi="Times New Roman"/>
                <w:color w:val="595959"/>
                <w:sz w:val="18"/>
                <w:szCs w:val="18"/>
              </w:rPr>
              <w:t>Other Australian Government Departments</w:t>
            </w:r>
          </w:p>
        </w:tc>
        <w:tc>
          <w:tcPr>
            <w:tcW w:w="127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3.5</w:t>
            </w:r>
          </w:p>
        </w:tc>
        <w:tc>
          <w:tcPr>
            <w:tcW w:w="1366" w:type="dxa"/>
          </w:tcPr>
          <w:p w:rsidR="00446514" w:rsidRPr="004F0B6E" w:rsidRDefault="00446514" w:rsidP="005E74B3">
            <w:pPr>
              <w:jc w:val="right"/>
              <w:rPr>
                <w:color w:val="595959"/>
                <w:sz w:val="18"/>
                <w:szCs w:val="18"/>
              </w:rPr>
            </w:pPr>
            <w:r w:rsidRPr="004F0B6E">
              <w:rPr>
                <w:rFonts w:ascii="Times New Roman" w:hAnsi="Times New Roman"/>
                <w:color w:val="595959"/>
                <w:sz w:val="18"/>
                <w:szCs w:val="18"/>
              </w:rPr>
              <w:t>10</w:t>
            </w:r>
          </w:p>
        </w:tc>
      </w:tr>
      <w:tr w:rsidR="002028A1" w:rsidRPr="009906AF" w:rsidTr="004F0B6E">
        <w:trPr>
          <w:trHeight w:val="440"/>
        </w:trPr>
        <w:tc>
          <w:tcPr>
            <w:tcW w:w="6374" w:type="dxa"/>
            <w:tcBorders>
              <w:bottom w:val="single" w:sz="12" w:space="0" w:color="auto"/>
            </w:tcBorders>
          </w:tcPr>
          <w:p w:rsidR="00446514" w:rsidRPr="004F0B6E" w:rsidRDefault="00446514" w:rsidP="005E74B3">
            <w:pPr>
              <w:rPr>
                <w:b/>
                <w:color w:val="595959"/>
                <w:sz w:val="18"/>
                <w:szCs w:val="18"/>
              </w:rPr>
            </w:pPr>
            <w:r w:rsidRPr="004F0B6E">
              <w:rPr>
                <w:rFonts w:ascii="Times New Roman" w:hAnsi="Times New Roman"/>
                <w:b/>
                <w:color w:val="595959"/>
                <w:sz w:val="18"/>
                <w:szCs w:val="18"/>
              </w:rPr>
              <w:lastRenderedPageBreak/>
              <w:t>Total ODA Expenditure</w:t>
            </w:r>
          </w:p>
        </w:tc>
        <w:tc>
          <w:tcPr>
            <w:tcW w:w="1276" w:type="dxa"/>
            <w:tcBorders>
              <w:bottom w:val="single" w:sz="12" w:space="0" w:color="auto"/>
            </w:tcBorders>
          </w:tcPr>
          <w:p w:rsidR="00446514" w:rsidRPr="004F0B6E" w:rsidRDefault="00446514" w:rsidP="005E74B3">
            <w:pPr>
              <w:jc w:val="right"/>
              <w:rPr>
                <w:b/>
                <w:color w:val="595959"/>
                <w:sz w:val="18"/>
                <w:szCs w:val="18"/>
              </w:rPr>
            </w:pPr>
            <w:r w:rsidRPr="004F0B6E">
              <w:rPr>
                <w:rFonts w:ascii="Times New Roman" w:hAnsi="Times New Roman"/>
                <w:b/>
                <w:color w:val="595959"/>
                <w:sz w:val="18"/>
                <w:szCs w:val="18"/>
              </w:rPr>
              <w:t>34.6</w:t>
            </w:r>
          </w:p>
        </w:tc>
        <w:tc>
          <w:tcPr>
            <w:tcW w:w="1366" w:type="dxa"/>
            <w:tcBorders>
              <w:bottom w:val="single" w:sz="12" w:space="0" w:color="auto"/>
            </w:tcBorders>
          </w:tcPr>
          <w:p w:rsidR="00446514" w:rsidRPr="004F0B6E" w:rsidRDefault="00446514" w:rsidP="005E74B3">
            <w:pPr>
              <w:jc w:val="right"/>
              <w:rPr>
                <w:b/>
                <w:color w:val="595959"/>
                <w:sz w:val="18"/>
                <w:szCs w:val="18"/>
              </w:rPr>
            </w:pPr>
            <w:r w:rsidRPr="004F0B6E">
              <w:rPr>
                <w:rFonts w:ascii="Times New Roman" w:hAnsi="Times New Roman"/>
                <w:b/>
                <w:color w:val="595959"/>
                <w:sz w:val="18"/>
                <w:szCs w:val="18"/>
              </w:rPr>
              <w:t>100</w:t>
            </w:r>
          </w:p>
        </w:tc>
      </w:tr>
    </w:tbl>
    <w:p w:rsidR="00446514" w:rsidRDefault="00446514" w:rsidP="004F0B6E">
      <w:pPr>
        <w:pStyle w:val="Body"/>
        <w:spacing w:line="22" w:lineRule="atLeast"/>
        <w:rPr>
          <w:rFonts w:asciiTheme="minorHAnsi" w:hAnsiTheme="minorHAnsi"/>
          <w:b/>
          <w:bCs/>
          <w:lang w:val="en-US"/>
        </w:rPr>
      </w:pPr>
    </w:p>
    <w:p w:rsidR="005644B8" w:rsidRDefault="00834F71" w:rsidP="008D3193">
      <w:pPr>
        <w:pStyle w:val="ListBullet"/>
        <w:keepNext/>
        <w:tabs>
          <w:tab w:val="clear" w:pos="284"/>
        </w:tabs>
        <w:spacing w:before="360" w:line="22" w:lineRule="atLeast"/>
        <w:rPr>
          <w:rFonts w:ascii="Calibri" w:eastAsia="Calibri" w:hAnsi="Calibri" w:cs="Calibri"/>
          <w:caps/>
          <w:color w:val="495965"/>
          <w:sz w:val="36"/>
          <w:szCs w:val="36"/>
          <w:u w:color="495965"/>
        </w:rPr>
      </w:pPr>
      <w:r>
        <w:rPr>
          <w:rFonts w:ascii="Calibri" w:eastAsia="Calibri" w:hAnsi="Calibri" w:cs="Calibri"/>
          <w:caps/>
          <w:color w:val="495965"/>
          <w:sz w:val="36"/>
          <w:szCs w:val="36"/>
          <w:u w:color="495965"/>
        </w:rPr>
        <w:t>Performance against AID INVESTMENT PLAN</w:t>
      </w:r>
    </w:p>
    <w:tbl>
      <w:tblPr>
        <w:tblW w:w="86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5849"/>
        <w:gridCol w:w="1126"/>
        <w:gridCol w:w="430"/>
        <w:gridCol w:w="1195"/>
      </w:tblGrid>
      <w:tr w:rsidR="00446514" w:rsidRPr="00446514" w:rsidTr="004F0B6E">
        <w:trPr>
          <w:trHeight w:val="491"/>
        </w:trPr>
        <w:tc>
          <w:tcPr>
            <w:tcW w:w="5849" w:type="dxa"/>
            <w:tcBorders>
              <w:top w:val="single" w:sz="12" w:space="0" w:color="595959"/>
              <w:left w:val="nil"/>
              <w:bottom w:val="nil"/>
              <w:right w:val="nil"/>
            </w:tcBorders>
            <w:shd w:val="clear" w:color="auto" w:fill="auto"/>
            <w:tcMar>
              <w:top w:w="80" w:type="dxa"/>
              <w:left w:w="205" w:type="dxa"/>
              <w:bottom w:w="80" w:type="dxa"/>
              <w:right w:w="80" w:type="dxa"/>
            </w:tcMar>
          </w:tcPr>
          <w:p w:rsidR="00446514" w:rsidRPr="004F0B6E" w:rsidRDefault="00446514" w:rsidP="004F0B6E">
            <w:pPr>
              <w:pStyle w:val="TableTextColumnHeading"/>
              <w:spacing w:line="22" w:lineRule="atLeast"/>
              <w:jc w:val="both"/>
              <w:rPr>
                <w:color w:val="595959"/>
                <w:sz w:val="18"/>
                <w:szCs w:val="18"/>
              </w:rPr>
            </w:pPr>
            <w:r w:rsidRPr="004F0B6E">
              <w:rPr>
                <w:color w:val="595959"/>
                <w:sz w:val="18"/>
                <w:szCs w:val="18"/>
              </w:rPr>
              <w:t>Objective</w:t>
            </w:r>
          </w:p>
        </w:tc>
        <w:tc>
          <w:tcPr>
            <w:tcW w:w="1126" w:type="dxa"/>
            <w:tcBorders>
              <w:top w:val="single" w:sz="12" w:space="0" w:color="595959"/>
              <w:left w:val="nil"/>
              <w:bottom w:val="nil"/>
              <w:right w:val="nil"/>
            </w:tcBorders>
            <w:shd w:val="clear" w:color="auto" w:fill="auto"/>
            <w:tcMar>
              <w:top w:w="80" w:type="dxa"/>
              <w:left w:w="205" w:type="dxa"/>
              <w:bottom w:w="80" w:type="dxa"/>
              <w:right w:w="80" w:type="dxa"/>
            </w:tcMar>
          </w:tcPr>
          <w:p w:rsidR="00446514" w:rsidRPr="004F0B6E" w:rsidRDefault="00446514" w:rsidP="004F0B6E">
            <w:pPr>
              <w:pStyle w:val="TableTextColumnHeading"/>
              <w:spacing w:line="22" w:lineRule="atLeast"/>
              <w:jc w:val="both"/>
              <w:rPr>
                <w:color w:val="595959"/>
                <w:sz w:val="18"/>
                <w:szCs w:val="18"/>
              </w:rPr>
            </w:pPr>
            <w:r w:rsidRPr="004F0B6E">
              <w:rPr>
                <w:color w:val="595959"/>
                <w:sz w:val="18"/>
                <w:szCs w:val="18"/>
              </w:rPr>
              <w:t>Previous Rating</w:t>
            </w:r>
          </w:p>
        </w:tc>
        <w:tc>
          <w:tcPr>
            <w:tcW w:w="430" w:type="dxa"/>
            <w:tcBorders>
              <w:top w:val="single" w:sz="12" w:space="0" w:color="595959"/>
              <w:left w:val="nil"/>
              <w:bottom w:val="nil"/>
              <w:right w:val="nil"/>
            </w:tcBorders>
            <w:shd w:val="clear" w:color="auto" w:fill="auto"/>
            <w:tcMar>
              <w:top w:w="80" w:type="dxa"/>
              <w:left w:w="205" w:type="dxa"/>
              <w:bottom w:w="80" w:type="dxa"/>
              <w:right w:w="80" w:type="dxa"/>
            </w:tcMar>
          </w:tcPr>
          <w:p w:rsidR="00446514" w:rsidRPr="004F0B6E" w:rsidRDefault="00446514" w:rsidP="004F0B6E">
            <w:pPr>
              <w:spacing w:line="22" w:lineRule="atLeast"/>
              <w:jc w:val="both"/>
              <w:rPr>
                <w:color w:val="595959"/>
                <w:sz w:val="18"/>
                <w:szCs w:val="18"/>
              </w:rPr>
            </w:pPr>
          </w:p>
        </w:tc>
        <w:tc>
          <w:tcPr>
            <w:tcW w:w="1195" w:type="dxa"/>
            <w:tcBorders>
              <w:top w:val="single" w:sz="12" w:space="0" w:color="595959"/>
              <w:left w:val="nil"/>
              <w:bottom w:val="nil"/>
              <w:right w:val="nil"/>
            </w:tcBorders>
            <w:shd w:val="clear" w:color="auto" w:fill="auto"/>
            <w:tcMar>
              <w:top w:w="80" w:type="dxa"/>
              <w:left w:w="205" w:type="dxa"/>
              <w:bottom w:w="80" w:type="dxa"/>
              <w:right w:w="80" w:type="dxa"/>
            </w:tcMar>
          </w:tcPr>
          <w:p w:rsidR="00446514" w:rsidRPr="004F0B6E" w:rsidRDefault="00446514" w:rsidP="004F0B6E">
            <w:pPr>
              <w:pStyle w:val="TableTextColumnHeading"/>
              <w:spacing w:line="22" w:lineRule="atLeast"/>
              <w:jc w:val="both"/>
              <w:rPr>
                <w:color w:val="595959"/>
                <w:sz w:val="18"/>
                <w:szCs w:val="18"/>
              </w:rPr>
            </w:pPr>
            <w:r w:rsidRPr="004F0B6E">
              <w:rPr>
                <w:color w:val="595959"/>
                <w:sz w:val="18"/>
                <w:szCs w:val="18"/>
              </w:rPr>
              <w:t>Current Rating</w:t>
            </w:r>
          </w:p>
        </w:tc>
      </w:tr>
      <w:tr w:rsidR="00446514" w:rsidRPr="00446514" w:rsidTr="004F0B6E">
        <w:trPr>
          <w:trHeight w:val="240"/>
        </w:trPr>
        <w:tc>
          <w:tcPr>
            <w:tcW w:w="5849" w:type="dxa"/>
            <w:tcBorders>
              <w:top w:val="nil"/>
              <w:left w:val="nil"/>
              <w:bottom w:val="nil"/>
              <w:right w:val="nil"/>
            </w:tcBorders>
            <w:shd w:val="clear" w:color="auto" w:fill="auto"/>
            <w:tcMar>
              <w:top w:w="80" w:type="dxa"/>
              <w:left w:w="80" w:type="dxa"/>
              <w:bottom w:w="80" w:type="dxa"/>
              <w:right w:w="80" w:type="dxa"/>
            </w:tcMar>
          </w:tcPr>
          <w:p w:rsidR="00446514" w:rsidRPr="004F0B6E" w:rsidRDefault="00446514" w:rsidP="008D3193">
            <w:pPr>
              <w:pStyle w:val="Default"/>
              <w:suppressAutoHyphens w:val="0"/>
              <w:spacing w:before="0" w:line="22" w:lineRule="atLeast"/>
              <w:rPr>
                <w:sz w:val="18"/>
                <w:szCs w:val="18"/>
              </w:rPr>
            </w:pPr>
            <w:r w:rsidRPr="004F0B6E">
              <w:rPr>
                <w:sz w:val="18"/>
                <w:szCs w:val="18"/>
              </w:rPr>
              <w:t xml:space="preserve">Governance, economic and private sector development reforms </w:t>
            </w:r>
          </w:p>
        </w:tc>
        <w:tc>
          <w:tcPr>
            <w:tcW w:w="1126" w:type="dxa"/>
            <w:tcBorders>
              <w:top w:val="nil"/>
              <w:left w:val="nil"/>
              <w:bottom w:val="nil"/>
              <w:right w:val="nil"/>
            </w:tcBorders>
            <w:shd w:val="clear" w:color="auto" w:fill="72AF2F"/>
            <w:tcMar>
              <w:top w:w="80" w:type="dxa"/>
              <w:left w:w="80" w:type="dxa"/>
              <w:bottom w:w="80" w:type="dxa"/>
              <w:right w:w="80" w:type="dxa"/>
            </w:tcMar>
          </w:tcPr>
          <w:p w:rsidR="00446514" w:rsidRPr="004F0B6E" w:rsidRDefault="00446514" w:rsidP="008D3193">
            <w:pPr>
              <w:pStyle w:val="TableTextEntries"/>
              <w:suppressAutoHyphens w:val="0"/>
              <w:spacing w:line="22" w:lineRule="atLeast"/>
              <w:jc w:val="center"/>
              <w:rPr>
                <w:sz w:val="18"/>
                <w:szCs w:val="18"/>
              </w:rPr>
            </w:pPr>
            <w:r w:rsidRPr="004F0B6E">
              <w:rPr>
                <w:rFonts w:ascii="Calibri Light" w:eastAsia="Calibri Light" w:hAnsi="Calibri Light" w:cs="Calibri Light"/>
                <w:color w:val="FFFFFF"/>
                <w:sz w:val="18"/>
                <w:szCs w:val="18"/>
                <w:u w:color="FFFFFF"/>
              </w:rPr>
              <w:t>Green</w:t>
            </w:r>
          </w:p>
        </w:tc>
        <w:tc>
          <w:tcPr>
            <w:tcW w:w="430" w:type="dxa"/>
            <w:tcBorders>
              <w:top w:val="nil"/>
              <w:left w:val="nil"/>
              <w:bottom w:val="nil"/>
              <w:right w:val="nil"/>
            </w:tcBorders>
            <w:shd w:val="clear" w:color="auto" w:fill="auto"/>
            <w:tcMar>
              <w:top w:w="80" w:type="dxa"/>
              <w:left w:w="80" w:type="dxa"/>
              <w:bottom w:w="80" w:type="dxa"/>
              <w:right w:w="80" w:type="dxa"/>
            </w:tcMar>
          </w:tcPr>
          <w:p w:rsidR="00446514" w:rsidRPr="004F0B6E" w:rsidRDefault="00446514" w:rsidP="008D3193">
            <w:pPr>
              <w:spacing w:line="22" w:lineRule="atLeast"/>
              <w:rPr>
                <w:sz w:val="18"/>
                <w:szCs w:val="18"/>
              </w:rPr>
            </w:pPr>
          </w:p>
        </w:tc>
        <w:tc>
          <w:tcPr>
            <w:tcW w:w="1195" w:type="dxa"/>
            <w:tcBorders>
              <w:top w:val="nil"/>
              <w:left w:val="nil"/>
              <w:bottom w:val="nil"/>
              <w:right w:val="nil"/>
            </w:tcBorders>
            <w:shd w:val="clear" w:color="auto" w:fill="FF9900"/>
            <w:tcMar>
              <w:top w:w="80" w:type="dxa"/>
              <w:left w:w="80" w:type="dxa"/>
              <w:bottom w:w="80" w:type="dxa"/>
              <w:right w:w="80" w:type="dxa"/>
            </w:tcMar>
          </w:tcPr>
          <w:p w:rsidR="00446514" w:rsidRPr="004F0B6E" w:rsidRDefault="00446514" w:rsidP="008D3193">
            <w:pPr>
              <w:pStyle w:val="TableTextEntries"/>
              <w:suppressAutoHyphens w:val="0"/>
              <w:spacing w:line="22" w:lineRule="atLeast"/>
              <w:jc w:val="center"/>
              <w:rPr>
                <w:sz w:val="18"/>
                <w:szCs w:val="18"/>
              </w:rPr>
            </w:pPr>
            <w:r w:rsidRPr="004F0B6E">
              <w:rPr>
                <w:rFonts w:ascii="Calibri Light" w:eastAsia="Calibri Light" w:hAnsi="Calibri Light" w:cs="Calibri Light"/>
                <w:color w:val="FFFFFF"/>
                <w:sz w:val="18"/>
                <w:szCs w:val="18"/>
                <w:u w:color="FFFFFF"/>
              </w:rPr>
              <w:t>Amber</w:t>
            </w:r>
          </w:p>
        </w:tc>
      </w:tr>
      <w:tr w:rsidR="00446514" w:rsidRPr="00446514" w:rsidTr="004F0B6E">
        <w:trPr>
          <w:trHeight w:val="240"/>
        </w:trPr>
        <w:tc>
          <w:tcPr>
            <w:tcW w:w="5849" w:type="dxa"/>
            <w:tcBorders>
              <w:top w:val="nil"/>
              <w:left w:val="nil"/>
              <w:bottom w:val="nil"/>
              <w:right w:val="nil"/>
            </w:tcBorders>
            <w:shd w:val="clear" w:color="auto" w:fill="auto"/>
            <w:tcMar>
              <w:top w:w="80" w:type="dxa"/>
              <w:left w:w="80" w:type="dxa"/>
              <w:bottom w:w="80" w:type="dxa"/>
              <w:right w:w="80" w:type="dxa"/>
            </w:tcMar>
          </w:tcPr>
          <w:p w:rsidR="00446514" w:rsidRPr="004F0B6E" w:rsidRDefault="00446514" w:rsidP="008D3193">
            <w:pPr>
              <w:pStyle w:val="Default"/>
              <w:suppressAutoHyphens w:val="0"/>
              <w:spacing w:before="0" w:line="22" w:lineRule="atLeast"/>
              <w:rPr>
                <w:sz w:val="18"/>
                <w:szCs w:val="18"/>
              </w:rPr>
            </w:pPr>
            <w:r w:rsidRPr="004F0B6E">
              <w:rPr>
                <w:sz w:val="18"/>
                <w:szCs w:val="18"/>
              </w:rPr>
              <w:t xml:space="preserve">A more effective, efficient and equitable health system  </w:t>
            </w:r>
          </w:p>
        </w:tc>
        <w:tc>
          <w:tcPr>
            <w:tcW w:w="1126" w:type="dxa"/>
            <w:tcBorders>
              <w:top w:val="nil"/>
              <w:left w:val="nil"/>
              <w:bottom w:val="nil"/>
              <w:right w:val="nil"/>
            </w:tcBorders>
            <w:shd w:val="clear" w:color="auto" w:fill="FF9900"/>
            <w:tcMar>
              <w:top w:w="80" w:type="dxa"/>
              <w:left w:w="80" w:type="dxa"/>
              <w:bottom w:w="80" w:type="dxa"/>
              <w:right w:w="80" w:type="dxa"/>
            </w:tcMar>
          </w:tcPr>
          <w:p w:rsidR="00446514" w:rsidRPr="004F0B6E" w:rsidRDefault="00446514" w:rsidP="008D3193">
            <w:pPr>
              <w:pStyle w:val="TableTextEntries"/>
              <w:suppressAutoHyphens w:val="0"/>
              <w:spacing w:line="22" w:lineRule="atLeast"/>
              <w:jc w:val="center"/>
              <w:rPr>
                <w:sz w:val="18"/>
                <w:szCs w:val="18"/>
              </w:rPr>
            </w:pPr>
            <w:r w:rsidRPr="004F0B6E">
              <w:rPr>
                <w:rFonts w:ascii="Calibri Light" w:eastAsia="Calibri Light" w:hAnsi="Calibri Light" w:cs="Calibri Light"/>
                <w:color w:val="FFFFFF"/>
                <w:sz w:val="18"/>
                <w:szCs w:val="18"/>
                <w:u w:color="FFFFFF"/>
              </w:rPr>
              <w:t>Amber</w:t>
            </w:r>
          </w:p>
        </w:tc>
        <w:tc>
          <w:tcPr>
            <w:tcW w:w="430" w:type="dxa"/>
            <w:tcBorders>
              <w:top w:val="nil"/>
              <w:left w:val="nil"/>
              <w:bottom w:val="nil"/>
              <w:right w:val="nil"/>
            </w:tcBorders>
            <w:shd w:val="clear" w:color="auto" w:fill="auto"/>
            <w:tcMar>
              <w:top w:w="80" w:type="dxa"/>
              <w:left w:w="80" w:type="dxa"/>
              <w:bottom w:w="80" w:type="dxa"/>
              <w:right w:w="80" w:type="dxa"/>
            </w:tcMar>
          </w:tcPr>
          <w:p w:rsidR="00446514" w:rsidRPr="004F0B6E" w:rsidRDefault="00446514" w:rsidP="008D3193">
            <w:pPr>
              <w:spacing w:line="22" w:lineRule="atLeast"/>
              <w:rPr>
                <w:sz w:val="18"/>
                <w:szCs w:val="18"/>
              </w:rPr>
            </w:pPr>
          </w:p>
        </w:tc>
        <w:tc>
          <w:tcPr>
            <w:tcW w:w="1195" w:type="dxa"/>
            <w:tcBorders>
              <w:top w:val="nil"/>
              <w:left w:val="nil"/>
              <w:bottom w:val="nil"/>
              <w:right w:val="nil"/>
            </w:tcBorders>
            <w:shd w:val="clear" w:color="auto" w:fill="FF9900"/>
            <w:tcMar>
              <w:top w:w="80" w:type="dxa"/>
              <w:left w:w="80" w:type="dxa"/>
              <w:bottom w:w="80" w:type="dxa"/>
              <w:right w:w="80" w:type="dxa"/>
            </w:tcMar>
          </w:tcPr>
          <w:p w:rsidR="00446514" w:rsidRPr="004F0B6E" w:rsidRDefault="00446514" w:rsidP="008D3193">
            <w:pPr>
              <w:pStyle w:val="TableTextEntries"/>
              <w:suppressAutoHyphens w:val="0"/>
              <w:spacing w:line="22" w:lineRule="atLeast"/>
              <w:jc w:val="center"/>
              <w:rPr>
                <w:sz w:val="18"/>
                <w:szCs w:val="18"/>
              </w:rPr>
            </w:pPr>
            <w:r w:rsidRPr="004F0B6E">
              <w:rPr>
                <w:rFonts w:ascii="Calibri Light" w:eastAsia="Calibri Light" w:hAnsi="Calibri Light" w:cs="Calibri Light"/>
                <w:color w:val="FFFFFF"/>
                <w:sz w:val="18"/>
                <w:szCs w:val="18"/>
                <w:u w:color="FFFFFF"/>
              </w:rPr>
              <w:t>Amber</w:t>
            </w:r>
          </w:p>
        </w:tc>
      </w:tr>
      <w:tr w:rsidR="00446514" w:rsidRPr="00446514" w:rsidTr="004F0B6E">
        <w:trPr>
          <w:trHeight w:val="420"/>
        </w:trPr>
        <w:tc>
          <w:tcPr>
            <w:tcW w:w="5849" w:type="dxa"/>
            <w:tcBorders>
              <w:top w:val="nil"/>
              <w:left w:val="nil"/>
              <w:bottom w:val="single" w:sz="12" w:space="0" w:color="595959"/>
              <w:right w:val="nil"/>
            </w:tcBorders>
            <w:shd w:val="clear" w:color="auto" w:fill="auto"/>
            <w:tcMar>
              <w:top w:w="80" w:type="dxa"/>
              <w:left w:w="80" w:type="dxa"/>
              <w:bottom w:w="80" w:type="dxa"/>
              <w:right w:w="80" w:type="dxa"/>
            </w:tcMar>
          </w:tcPr>
          <w:p w:rsidR="00446514" w:rsidRPr="004F0B6E" w:rsidRDefault="00446514" w:rsidP="008D3193">
            <w:pPr>
              <w:pStyle w:val="Default"/>
              <w:suppressAutoHyphens w:val="0"/>
              <w:spacing w:before="0" w:line="22" w:lineRule="atLeast"/>
              <w:rPr>
                <w:sz w:val="18"/>
                <w:szCs w:val="18"/>
              </w:rPr>
            </w:pPr>
            <w:r w:rsidRPr="004F0B6E">
              <w:rPr>
                <w:sz w:val="18"/>
                <w:szCs w:val="18"/>
              </w:rPr>
              <w:t xml:space="preserve">Skills development in support of economic opportunities for Tongan workers </w:t>
            </w:r>
          </w:p>
        </w:tc>
        <w:tc>
          <w:tcPr>
            <w:tcW w:w="1126" w:type="dxa"/>
            <w:tcBorders>
              <w:top w:val="nil"/>
              <w:left w:val="nil"/>
              <w:bottom w:val="single" w:sz="12" w:space="0" w:color="595959"/>
              <w:right w:val="nil"/>
            </w:tcBorders>
            <w:shd w:val="clear" w:color="auto" w:fill="72AF2F"/>
            <w:tcMar>
              <w:top w:w="80" w:type="dxa"/>
              <w:left w:w="80" w:type="dxa"/>
              <w:bottom w:w="80" w:type="dxa"/>
              <w:right w:w="80" w:type="dxa"/>
            </w:tcMar>
          </w:tcPr>
          <w:p w:rsidR="00446514" w:rsidRPr="004F0B6E" w:rsidRDefault="00446514" w:rsidP="008D3193">
            <w:pPr>
              <w:pStyle w:val="TableTextEntries"/>
              <w:suppressAutoHyphens w:val="0"/>
              <w:spacing w:line="22" w:lineRule="atLeast"/>
              <w:jc w:val="center"/>
              <w:rPr>
                <w:sz w:val="18"/>
                <w:szCs w:val="18"/>
              </w:rPr>
            </w:pPr>
            <w:r w:rsidRPr="004F0B6E">
              <w:rPr>
                <w:rFonts w:ascii="Calibri Light" w:eastAsia="Calibri Light" w:hAnsi="Calibri Light" w:cs="Calibri Light"/>
                <w:color w:val="FFFFFF"/>
                <w:sz w:val="18"/>
                <w:szCs w:val="18"/>
                <w:u w:color="FFFFFF"/>
              </w:rPr>
              <w:t>Green</w:t>
            </w:r>
          </w:p>
        </w:tc>
        <w:tc>
          <w:tcPr>
            <w:tcW w:w="430" w:type="dxa"/>
            <w:tcBorders>
              <w:top w:val="nil"/>
              <w:left w:val="nil"/>
              <w:bottom w:val="single" w:sz="12" w:space="0" w:color="595959"/>
              <w:right w:val="nil"/>
            </w:tcBorders>
            <w:shd w:val="clear" w:color="auto" w:fill="auto"/>
            <w:tcMar>
              <w:top w:w="80" w:type="dxa"/>
              <w:left w:w="80" w:type="dxa"/>
              <w:bottom w:w="80" w:type="dxa"/>
              <w:right w:w="80" w:type="dxa"/>
            </w:tcMar>
          </w:tcPr>
          <w:p w:rsidR="00446514" w:rsidRPr="004F0B6E" w:rsidRDefault="00446514" w:rsidP="008D3193">
            <w:pPr>
              <w:spacing w:line="22" w:lineRule="atLeast"/>
              <w:rPr>
                <w:sz w:val="18"/>
                <w:szCs w:val="18"/>
              </w:rPr>
            </w:pPr>
          </w:p>
        </w:tc>
        <w:tc>
          <w:tcPr>
            <w:tcW w:w="1195" w:type="dxa"/>
            <w:tcBorders>
              <w:top w:val="nil"/>
              <w:left w:val="nil"/>
              <w:bottom w:val="single" w:sz="12" w:space="0" w:color="595959"/>
              <w:right w:val="nil"/>
            </w:tcBorders>
            <w:shd w:val="clear" w:color="auto" w:fill="7FB64D"/>
            <w:tcMar>
              <w:top w:w="80" w:type="dxa"/>
              <w:left w:w="80" w:type="dxa"/>
              <w:bottom w:w="80" w:type="dxa"/>
              <w:right w:w="80" w:type="dxa"/>
            </w:tcMar>
          </w:tcPr>
          <w:p w:rsidR="00446514" w:rsidRPr="004F0B6E" w:rsidRDefault="00446514" w:rsidP="008D3193">
            <w:pPr>
              <w:pStyle w:val="TableTextEntries"/>
              <w:suppressAutoHyphens w:val="0"/>
              <w:spacing w:line="22" w:lineRule="atLeast"/>
              <w:jc w:val="center"/>
              <w:rPr>
                <w:sz w:val="18"/>
                <w:szCs w:val="18"/>
              </w:rPr>
            </w:pPr>
            <w:r w:rsidRPr="004F0B6E">
              <w:rPr>
                <w:rFonts w:ascii="Calibri Light" w:eastAsia="Calibri Light" w:hAnsi="Calibri Light" w:cs="Calibri Light"/>
                <w:color w:val="FFFFFF"/>
                <w:sz w:val="18"/>
                <w:szCs w:val="18"/>
                <w:u w:color="FFFFFF"/>
              </w:rPr>
              <w:t>Green</w:t>
            </w:r>
          </w:p>
        </w:tc>
      </w:tr>
    </w:tbl>
    <w:p w:rsidR="005644B8" w:rsidRDefault="00834F71" w:rsidP="008D3193">
      <w:pPr>
        <w:pStyle w:val="Note"/>
        <w:spacing w:line="22" w:lineRule="atLeast"/>
        <w:rPr>
          <w:rFonts w:ascii="Calibri Light" w:eastAsia="Calibri Light" w:hAnsi="Calibri Light" w:cs="Calibri Light"/>
          <w:sz w:val="16"/>
          <w:szCs w:val="16"/>
        </w:rPr>
      </w:pPr>
      <w:r>
        <w:rPr>
          <w:rFonts w:ascii="Calibri Light" w:eastAsia="Calibri Light" w:hAnsi="Calibri Light" w:cs="Calibri Light"/>
          <w:sz w:val="16"/>
          <w:szCs w:val="16"/>
        </w:rPr>
        <w:t xml:space="preserve">Note: </w:t>
      </w:r>
    </w:p>
    <w:p w:rsidR="005644B8" w:rsidRDefault="00834F71" w:rsidP="008D3193">
      <w:pPr>
        <w:pStyle w:val="Note"/>
        <w:spacing w:line="22" w:lineRule="atLeast"/>
        <w:rPr>
          <w:rFonts w:ascii="Calibri Light" w:eastAsia="Calibri Light" w:hAnsi="Calibri Light" w:cs="Calibri Light"/>
          <w:sz w:val="16"/>
          <w:szCs w:val="16"/>
        </w:rPr>
      </w:pPr>
      <w:r>
        <w:rPr>
          <w:rFonts w:ascii="Webdings" w:hAnsi="Webdings"/>
          <w:color w:val="72AF2F"/>
          <w:sz w:val="16"/>
          <w:szCs w:val="16"/>
          <w:u w:color="72AF2F"/>
        </w:rPr>
        <w:sym w:font="Webdings" w:char="F067"/>
      </w:r>
      <w:r>
        <w:rPr>
          <w:rFonts w:ascii="Calibri Light" w:eastAsia="Calibri Light" w:hAnsi="Calibri Light" w:cs="Calibri Light"/>
          <w:sz w:val="16"/>
          <w:szCs w:val="16"/>
        </w:rPr>
        <w:t>  Green. Progress is as expected at this stage of implementation and it is likely that the objective will be achieved. Standard program management practices are sufficient.</w:t>
      </w:r>
    </w:p>
    <w:p w:rsidR="005644B8" w:rsidRDefault="00834F71" w:rsidP="008D3193">
      <w:pPr>
        <w:pStyle w:val="Note"/>
        <w:spacing w:line="22" w:lineRule="atLeast"/>
        <w:rPr>
          <w:rFonts w:ascii="Calibri Light" w:eastAsia="Calibri Light" w:hAnsi="Calibri Light" w:cs="Calibri Light"/>
          <w:sz w:val="16"/>
          <w:szCs w:val="16"/>
        </w:rPr>
      </w:pPr>
      <w:r>
        <w:rPr>
          <w:rFonts w:ascii="Webdings" w:hAnsi="Webdings"/>
          <w:color w:val="E36C0A"/>
          <w:sz w:val="16"/>
          <w:szCs w:val="16"/>
          <w:u w:color="E36C0A"/>
        </w:rPr>
        <w:sym w:font="Webdings" w:char="F067"/>
      </w:r>
      <w:r>
        <w:rPr>
          <w:rFonts w:ascii="Calibri Light" w:eastAsia="Calibri Light" w:hAnsi="Calibri Light" w:cs="Calibri Light"/>
          <w:sz w:val="16"/>
          <w:szCs w:val="16"/>
        </w:rPr>
        <w:t>  Amber. Progress is somewhat less than expected at this stage of implementation and restorative action will be necessary if the objective is to be achieved. Close performance monitoring is recommended.</w:t>
      </w:r>
    </w:p>
    <w:p w:rsidR="005644B8" w:rsidRDefault="00834F71" w:rsidP="008D3193">
      <w:pPr>
        <w:pStyle w:val="Note"/>
        <w:spacing w:line="22" w:lineRule="atLeast"/>
        <w:rPr>
          <w:rFonts w:ascii="Calibri Light" w:eastAsia="Calibri Light" w:hAnsi="Calibri Light" w:cs="Calibri Light"/>
          <w:sz w:val="16"/>
          <w:szCs w:val="16"/>
        </w:rPr>
      </w:pPr>
      <w:r>
        <w:rPr>
          <w:rFonts w:ascii="Webdings" w:hAnsi="Webdings"/>
          <w:color w:val="FF0000"/>
          <w:sz w:val="16"/>
          <w:szCs w:val="16"/>
          <w:u w:color="FF0000"/>
        </w:rPr>
        <w:sym w:font="Webdings" w:char="F067"/>
      </w:r>
      <w:r>
        <w:rPr>
          <w:rFonts w:ascii="Calibri Light" w:eastAsia="Calibri Light" w:hAnsi="Calibri Light" w:cs="Calibri Light"/>
          <w:sz w:val="16"/>
          <w:szCs w:val="16"/>
        </w:rPr>
        <w:t>  Red. Progress is significantly less than expected at this stage of implementation and the objective is not likely to be met given available resources and priorities. Recasting the objective may be required.</w:t>
      </w:r>
    </w:p>
    <w:p w:rsidR="005644B8" w:rsidRDefault="00834F71" w:rsidP="008D3193">
      <w:pPr>
        <w:pStyle w:val="Note"/>
        <w:spacing w:line="22" w:lineRule="atLeast"/>
      </w:pPr>
      <w:r>
        <w:t xml:space="preserve">  </w:t>
      </w:r>
    </w:p>
    <w:p w:rsidR="005644B8" w:rsidRPr="008D3193" w:rsidRDefault="00834F71" w:rsidP="008C62C8">
      <w:pPr>
        <w:spacing w:line="22" w:lineRule="atLeast"/>
        <w:rPr>
          <w:rFonts w:ascii="Calibri" w:eastAsia="Calibri" w:hAnsi="Calibri" w:cs="Calibri"/>
          <w:caps/>
          <w:color w:val="495965"/>
          <w:sz w:val="36"/>
          <w:szCs w:val="36"/>
          <w:u w:color="495965"/>
        </w:rPr>
      </w:pPr>
      <w:r w:rsidRPr="008D3193">
        <w:rPr>
          <w:rFonts w:ascii="Calibri" w:eastAsia="Calibri" w:hAnsi="Calibri" w:cs="Calibri"/>
          <w:caps/>
          <w:color w:val="495965"/>
          <w:sz w:val="36"/>
          <w:szCs w:val="36"/>
          <w:u w:color="495965"/>
        </w:rPr>
        <w:t xml:space="preserve">Governance, economic and private sector development </w:t>
      </w:r>
    </w:p>
    <w:tbl>
      <w:tblPr>
        <w:tblW w:w="96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2017"/>
        <w:gridCol w:w="1904"/>
        <w:gridCol w:w="1906"/>
        <w:gridCol w:w="1905"/>
        <w:gridCol w:w="1905"/>
      </w:tblGrid>
      <w:tr w:rsidR="005644B8" w:rsidTr="00E63868">
        <w:trPr>
          <w:trHeight w:val="1107"/>
        </w:trPr>
        <w:tc>
          <w:tcPr>
            <w:tcW w:w="2017"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pacing w:before="80" w:after="80"/>
              <w:jc w:val="center"/>
            </w:pPr>
            <w:r>
              <w:rPr>
                <w:caps/>
                <w:noProof/>
                <w:sz w:val="38"/>
                <w:szCs w:val="38"/>
              </w:rPr>
              <w:drawing>
                <wp:inline distT="0" distB="0" distL="0" distR="0" wp14:anchorId="3B102850" wp14:editId="75E762A5">
                  <wp:extent cx="1028700" cy="647700"/>
                  <wp:effectExtent l="0" t="0" r="0" b="0"/>
                  <wp:docPr id="1073741831" name="officeArt object" descr="cid:image001.jpg@01D44083.968C5660"/>
                  <wp:cNvGraphicFramePr/>
                  <a:graphic xmlns:a="http://schemas.openxmlformats.org/drawingml/2006/main">
                    <a:graphicData uri="http://schemas.openxmlformats.org/drawingml/2006/picture">
                      <pic:pic xmlns:pic="http://schemas.openxmlformats.org/drawingml/2006/picture">
                        <pic:nvPicPr>
                          <pic:cNvPr id="1073741831" name="cid:image001.jpg@01D44083.968C5660" descr="cid:image001.jpg@01D44083.968C5660"/>
                          <pic:cNvPicPr>
                            <a:picLocks noChangeAspect="1"/>
                          </pic:cNvPicPr>
                        </pic:nvPicPr>
                        <pic:blipFill>
                          <a:blip r:embed="rId16">
                            <a:extLst/>
                          </a:blip>
                          <a:stretch>
                            <a:fillRect/>
                          </a:stretch>
                        </pic:blipFill>
                        <pic:spPr>
                          <a:xfrm>
                            <a:off x="0" y="0"/>
                            <a:ext cx="1028700" cy="647700"/>
                          </a:xfrm>
                          <a:prstGeom prst="rect">
                            <a:avLst/>
                          </a:prstGeom>
                          <a:ln w="12700" cap="flat">
                            <a:noFill/>
                            <a:miter lim="400000"/>
                          </a:ln>
                          <a:effectLst/>
                        </pic:spPr>
                      </pic:pic>
                    </a:graphicData>
                  </a:graphic>
                </wp:inline>
              </w:drawing>
            </w:r>
          </w:p>
        </w:tc>
        <w:tc>
          <w:tcPr>
            <w:tcW w:w="1904"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pacing w:before="160" w:after="80"/>
              <w:jc w:val="center"/>
            </w:pPr>
            <w:r>
              <w:rPr>
                <w:caps/>
                <w:noProof/>
                <w:sz w:val="38"/>
                <w:szCs w:val="38"/>
              </w:rPr>
              <w:drawing>
                <wp:inline distT="0" distB="0" distL="0" distR="0" wp14:anchorId="48C04F20" wp14:editId="14A849C8">
                  <wp:extent cx="609600" cy="609600"/>
                  <wp:effectExtent l="0" t="0" r="0" b="0"/>
                  <wp:docPr id="1073741832" name="officeArt object" descr="cid:image002.png@01D44083.968C5660"/>
                  <wp:cNvGraphicFramePr/>
                  <a:graphic xmlns:a="http://schemas.openxmlformats.org/drawingml/2006/main">
                    <a:graphicData uri="http://schemas.openxmlformats.org/drawingml/2006/picture">
                      <pic:pic xmlns:pic="http://schemas.openxmlformats.org/drawingml/2006/picture">
                        <pic:nvPicPr>
                          <pic:cNvPr id="1073741832" name="cid:image002.png@01D44083.968C5660" descr="cid:image002.png@01D44083.968C5660"/>
                          <pic:cNvPicPr>
                            <a:picLocks noChangeAspect="1"/>
                          </pic:cNvPicPr>
                        </pic:nvPicPr>
                        <pic:blipFill>
                          <a:blip r:embed="rId17">
                            <a:extLst/>
                          </a:blip>
                          <a:stretch>
                            <a:fillRect/>
                          </a:stretch>
                        </pic:blipFill>
                        <pic:spPr>
                          <a:xfrm>
                            <a:off x="0" y="0"/>
                            <a:ext cx="609600" cy="609600"/>
                          </a:xfrm>
                          <a:prstGeom prst="rect">
                            <a:avLst/>
                          </a:prstGeom>
                          <a:ln w="12700" cap="flat">
                            <a:noFill/>
                            <a:miter lim="400000"/>
                          </a:ln>
                          <a:effectLst/>
                        </pic:spPr>
                      </pic:pic>
                    </a:graphicData>
                  </a:graphic>
                </wp:inline>
              </w:drawing>
            </w:r>
          </w:p>
        </w:tc>
        <w:tc>
          <w:tcPr>
            <w:tcW w:w="1906"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pacing w:before="160" w:after="80"/>
              <w:jc w:val="center"/>
            </w:pPr>
            <w:r>
              <w:rPr>
                <w:noProof/>
              </w:rPr>
              <w:drawing>
                <wp:inline distT="0" distB="0" distL="0" distR="0" wp14:anchorId="17233841" wp14:editId="3D31CABD">
                  <wp:extent cx="609600" cy="609600"/>
                  <wp:effectExtent l="0" t="0" r="0" b="0"/>
                  <wp:docPr id="1073741833" name="officeArt object" descr="cid:image003.jpg@01D44083.968C5660"/>
                  <wp:cNvGraphicFramePr/>
                  <a:graphic xmlns:a="http://schemas.openxmlformats.org/drawingml/2006/main">
                    <a:graphicData uri="http://schemas.openxmlformats.org/drawingml/2006/picture">
                      <pic:pic xmlns:pic="http://schemas.openxmlformats.org/drawingml/2006/picture">
                        <pic:nvPicPr>
                          <pic:cNvPr id="1073741833" name="cid:image003.jpg@01D44083.968C5660" descr="cid:image003.jpg@01D44083.968C5660"/>
                          <pic:cNvPicPr>
                            <a:picLocks noChangeAspect="1"/>
                          </pic:cNvPicPr>
                        </pic:nvPicPr>
                        <pic:blipFill>
                          <a:blip r:embed="rId18">
                            <a:extLst/>
                          </a:blip>
                          <a:stretch>
                            <a:fillRect/>
                          </a:stretch>
                        </pic:blipFill>
                        <pic:spPr>
                          <a:xfrm>
                            <a:off x="0" y="0"/>
                            <a:ext cx="609600" cy="609600"/>
                          </a:xfrm>
                          <a:prstGeom prst="rect">
                            <a:avLst/>
                          </a:prstGeom>
                          <a:ln w="12700" cap="flat">
                            <a:noFill/>
                            <a:miter lim="400000"/>
                          </a:ln>
                          <a:effectLst/>
                        </pic:spPr>
                      </pic:pic>
                    </a:graphicData>
                  </a:graphic>
                </wp:inline>
              </w:drawing>
            </w:r>
          </w:p>
        </w:tc>
        <w:tc>
          <w:tcPr>
            <w:tcW w:w="1905"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pacing w:before="160" w:after="80"/>
              <w:jc w:val="center"/>
            </w:pPr>
            <w:r>
              <w:rPr>
                <w:noProof/>
              </w:rPr>
              <w:drawing>
                <wp:inline distT="0" distB="0" distL="0" distR="0" wp14:anchorId="3A3B862F" wp14:editId="18978488">
                  <wp:extent cx="609600" cy="609600"/>
                  <wp:effectExtent l="0" t="0" r="0" b="0"/>
                  <wp:docPr id="1073741834" name="officeArt object" descr="SDG 8"/>
                  <wp:cNvGraphicFramePr/>
                  <a:graphic xmlns:a="http://schemas.openxmlformats.org/drawingml/2006/main">
                    <a:graphicData uri="http://schemas.openxmlformats.org/drawingml/2006/picture">
                      <pic:pic xmlns:pic="http://schemas.openxmlformats.org/drawingml/2006/picture">
                        <pic:nvPicPr>
                          <pic:cNvPr id="1073741834" name="SDG 8" descr="SDG 8"/>
                          <pic:cNvPicPr>
                            <a:picLocks noChangeAspect="1"/>
                          </pic:cNvPicPr>
                        </pic:nvPicPr>
                        <pic:blipFill>
                          <a:blip r:embed="rId19">
                            <a:extLst/>
                          </a:blip>
                          <a:stretch>
                            <a:fillRect/>
                          </a:stretch>
                        </pic:blipFill>
                        <pic:spPr>
                          <a:xfrm>
                            <a:off x="0" y="0"/>
                            <a:ext cx="609600" cy="609600"/>
                          </a:xfrm>
                          <a:prstGeom prst="rect">
                            <a:avLst/>
                          </a:prstGeom>
                          <a:ln w="12700" cap="flat">
                            <a:noFill/>
                            <a:miter lim="400000"/>
                          </a:ln>
                          <a:effectLst/>
                        </pic:spPr>
                      </pic:pic>
                    </a:graphicData>
                  </a:graphic>
                </wp:inline>
              </w:drawing>
            </w:r>
          </w:p>
        </w:tc>
        <w:tc>
          <w:tcPr>
            <w:tcW w:w="1905"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pacing w:before="160" w:after="80"/>
              <w:jc w:val="center"/>
            </w:pPr>
            <w:r>
              <w:rPr>
                <w:noProof/>
              </w:rPr>
              <w:drawing>
                <wp:inline distT="0" distB="0" distL="0" distR="0" wp14:anchorId="07C40584" wp14:editId="06143D99">
                  <wp:extent cx="609600" cy="609600"/>
                  <wp:effectExtent l="0" t="0" r="0" b="0"/>
                  <wp:docPr id="1073741835" name="officeArt object" descr="cid:image005.png@01D44083.968C5660"/>
                  <wp:cNvGraphicFramePr/>
                  <a:graphic xmlns:a="http://schemas.openxmlformats.org/drawingml/2006/main">
                    <a:graphicData uri="http://schemas.openxmlformats.org/drawingml/2006/picture">
                      <pic:pic xmlns:pic="http://schemas.openxmlformats.org/drawingml/2006/picture">
                        <pic:nvPicPr>
                          <pic:cNvPr id="1073741835" name="cid:image005.png@01D44083.968C5660" descr="cid:image005.png@01D44083.968C5660"/>
                          <pic:cNvPicPr>
                            <a:picLocks noChangeAspect="1"/>
                          </pic:cNvPicPr>
                        </pic:nvPicPr>
                        <pic:blipFill>
                          <a:blip r:embed="rId20">
                            <a:extLst/>
                          </a:blip>
                          <a:stretch>
                            <a:fillRect/>
                          </a:stretch>
                        </pic:blipFill>
                        <pic:spPr>
                          <a:xfrm>
                            <a:off x="0" y="0"/>
                            <a:ext cx="609600" cy="609600"/>
                          </a:xfrm>
                          <a:prstGeom prst="rect">
                            <a:avLst/>
                          </a:prstGeom>
                          <a:ln w="12700" cap="flat">
                            <a:noFill/>
                            <a:miter lim="400000"/>
                          </a:ln>
                          <a:effectLst/>
                        </pic:spPr>
                      </pic:pic>
                    </a:graphicData>
                  </a:graphic>
                </wp:inline>
              </w:drawing>
            </w:r>
          </w:p>
        </w:tc>
      </w:tr>
    </w:tbl>
    <w:p w:rsidR="00E63868" w:rsidRDefault="00E63868" w:rsidP="00E63868">
      <w:pPr>
        <w:pStyle w:val="Body"/>
        <w:spacing w:before="240"/>
        <w:rPr>
          <w:color w:val="595959"/>
          <w:u w:color="595959"/>
        </w:rPr>
      </w:pPr>
      <w:r>
        <w:rPr>
          <w:color w:val="595959"/>
          <w:u w:color="595959"/>
        </w:rPr>
        <w:t>Progress against this objective has been strong, with good outcomes achieved through a range of interventions.</w:t>
      </w:r>
      <w:r w:rsidR="00E15FD5">
        <w:rPr>
          <w:color w:val="595959"/>
          <w:u w:color="595959"/>
        </w:rPr>
        <w:t xml:space="preserve"> </w:t>
      </w:r>
      <w:r w:rsidR="00E15FD5">
        <w:rPr>
          <w:color w:val="595959"/>
          <w:u w:color="595959"/>
          <w:lang w:val="en-US"/>
        </w:rPr>
        <w:t xml:space="preserve">With the disbursement of the Australian budget support payment, and </w:t>
      </w:r>
      <w:r w:rsidR="00E15FD5" w:rsidRPr="00F06D89">
        <w:rPr>
          <w:color w:val="595959"/>
          <w:u w:color="595959"/>
          <w:lang w:val="en-US"/>
        </w:rPr>
        <w:t>an additional 220kWp of solar generation</w:t>
      </w:r>
      <w:r w:rsidR="000304F9">
        <w:rPr>
          <w:color w:val="595959"/>
          <w:u w:color="595959"/>
          <w:lang w:val="en-US"/>
        </w:rPr>
        <w:t>,</w:t>
      </w:r>
      <w:r w:rsidR="00E15FD5" w:rsidRPr="00F06D89">
        <w:rPr>
          <w:color w:val="595959"/>
          <w:u w:color="595959"/>
          <w:lang w:val="en-US"/>
        </w:rPr>
        <w:t xml:space="preserve"> and 1,100kWh of energy storage i</w:t>
      </w:r>
      <w:r w:rsidR="00E15FD5">
        <w:rPr>
          <w:color w:val="595959"/>
          <w:u w:color="595959"/>
          <w:lang w:val="en-US"/>
        </w:rPr>
        <w:t xml:space="preserve">nstalled in three outer islands, the performance benchmarks for this objective </w:t>
      </w:r>
      <w:r w:rsidR="00D03BE6">
        <w:rPr>
          <w:color w:val="595959"/>
          <w:u w:color="595959"/>
          <w:lang w:val="en-US"/>
        </w:rPr>
        <w:t>have</w:t>
      </w:r>
      <w:r w:rsidR="00E15FD5">
        <w:rPr>
          <w:color w:val="595959"/>
          <w:u w:color="595959"/>
          <w:lang w:val="en-US"/>
        </w:rPr>
        <w:t xml:space="preserve"> been met. </w:t>
      </w:r>
      <w:r>
        <w:rPr>
          <w:color w:val="595959"/>
          <w:u w:color="595959"/>
        </w:rPr>
        <w:t xml:space="preserve">However, the objective has been given an amber rating due to delayed progress towards achieving some reform actions </w:t>
      </w:r>
      <w:r w:rsidR="00623CFD">
        <w:rPr>
          <w:color w:val="595959"/>
          <w:u w:color="595959"/>
        </w:rPr>
        <w:t xml:space="preserve">under the Joint Policy Reform Matrix (JPRM) process. These delays were caused largely by </w:t>
      </w:r>
      <w:r>
        <w:rPr>
          <w:color w:val="595959"/>
          <w:u w:color="595959"/>
        </w:rPr>
        <w:t xml:space="preserve">the unexpected disruption to parliament and </w:t>
      </w:r>
      <w:r w:rsidR="00623CFD">
        <w:rPr>
          <w:color w:val="595959"/>
          <w:u w:color="595959"/>
        </w:rPr>
        <w:t xml:space="preserve">the disruption caused by </w:t>
      </w:r>
      <w:r w:rsidR="000304F9">
        <w:rPr>
          <w:color w:val="595959"/>
          <w:u w:color="595959"/>
        </w:rPr>
        <w:t xml:space="preserve">Tropical </w:t>
      </w:r>
      <w:r w:rsidR="00623CFD">
        <w:rPr>
          <w:color w:val="595959"/>
          <w:u w:color="595959"/>
        </w:rPr>
        <w:t>C</w:t>
      </w:r>
      <w:r>
        <w:rPr>
          <w:color w:val="595959"/>
          <w:u w:color="595959"/>
        </w:rPr>
        <w:t>yclone Gita</w:t>
      </w:r>
      <w:r w:rsidR="000304F9">
        <w:rPr>
          <w:color w:val="595959"/>
          <w:u w:color="595959"/>
        </w:rPr>
        <w:t xml:space="preserve"> (TC Gita)</w:t>
      </w:r>
      <w:r>
        <w:rPr>
          <w:color w:val="595959"/>
          <w:u w:color="595959"/>
        </w:rPr>
        <w:t>.</w:t>
      </w:r>
    </w:p>
    <w:p w:rsidR="00E35DB0" w:rsidRPr="008D3193" w:rsidRDefault="00E35DB0" w:rsidP="00E35DB0">
      <w:pPr>
        <w:pStyle w:val="Body"/>
        <w:spacing w:before="240"/>
        <w:rPr>
          <w:color w:val="7F7F7F"/>
          <w:u w:color="7F7F7F"/>
        </w:rPr>
      </w:pPr>
      <w:r>
        <w:rPr>
          <w:color w:val="595959"/>
          <w:u w:color="595959"/>
          <w:lang w:val="en-US"/>
        </w:rPr>
        <w:t xml:space="preserve">In line with the Foreign Policy White Paper, Australia supported key steps towards Tonga’s economic integration with the region. Tonga signed the PACER+ regional trade agreement in 2017-18, and continues to participate </w:t>
      </w:r>
      <w:r w:rsidR="00623CFD">
        <w:rPr>
          <w:color w:val="595959"/>
          <w:u w:color="595959"/>
          <w:lang w:val="en-US"/>
        </w:rPr>
        <w:t xml:space="preserve">strongly </w:t>
      </w:r>
      <w:r>
        <w:rPr>
          <w:color w:val="595959"/>
          <w:u w:color="595959"/>
          <w:lang w:val="en-US"/>
        </w:rPr>
        <w:t xml:space="preserve">in the </w:t>
      </w:r>
      <w:r w:rsidR="003E5BB0">
        <w:rPr>
          <w:color w:val="595959"/>
          <w:u w:color="595959"/>
          <w:lang w:val="en-US"/>
        </w:rPr>
        <w:t>S</w:t>
      </w:r>
      <w:r>
        <w:rPr>
          <w:color w:val="595959"/>
          <w:u w:color="595959"/>
          <w:lang w:val="en-US"/>
        </w:rPr>
        <w:t xml:space="preserve">easonal </w:t>
      </w:r>
      <w:r w:rsidR="003E5BB0">
        <w:rPr>
          <w:color w:val="595959"/>
          <w:u w:color="595959"/>
          <w:lang w:val="en-US"/>
        </w:rPr>
        <w:t>W</w:t>
      </w:r>
      <w:r>
        <w:rPr>
          <w:color w:val="595959"/>
          <w:u w:color="595959"/>
          <w:lang w:val="en-US"/>
        </w:rPr>
        <w:t xml:space="preserve">orkers </w:t>
      </w:r>
      <w:r w:rsidR="003E5BB0">
        <w:rPr>
          <w:color w:val="595959"/>
          <w:u w:color="595959"/>
          <w:lang w:val="en-US"/>
        </w:rPr>
        <w:t xml:space="preserve">Programme </w:t>
      </w:r>
      <w:r>
        <w:rPr>
          <w:color w:val="595959"/>
          <w:u w:color="595959"/>
          <w:lang w:val="en-US"/>
        </w:rPr>
        <w:t>supported by t</w:t>
      </w:r>
      <w:r w:rsidRPr="008D3193">
        <w:rPr>
          <w:color w:val="595959"/>
          <w:u w:color="595959"/>
          <w:lang w:val="en-US"/>
        </w:rPr>
        <w:t>he Labour Mob</w:t>
      </w:r>
      <w:r>
        <w:rPr>
          <w:color w:val="595959"/>
          <w:u w:color="595959"/>
          <w:lang w:val="en-US"/>
        </w:rPr>
        <w:t xml:space="preserve">ility Assistance Program. </w:t>
      </w:r>
    </w:p>
    <w:p w:rsidR="00E63868" w:rsidRDefault="00E63868" w:rsidP="00E63868">
      <w:pPr>
        <w:pStyle w:val="Body"/>
        <w:spacing w:before="240"/>
        <w:rPr>
          <w:color w:val="595959"/>
          <w:u w:color="595959"/>
        </w:rPr>
      </w:pPr>
      <w:r>
        <w:rPr>
          <w:color w:val="595959"/>
          <w:u w:color="595959"/>
          <w:lang w:val="en-US"/>
        </w:rPr>
        <w:t xml:space="preserve">A 2017-18 program highlight was the assistance provided </w:t>
      </w:r>
      <w:r w:rsidR="003E5BB0">
        <w:rPr>
          <w:color w:val="595959"/>
          <w:u w:color="595959"/>
          <w:lang w:val="en-US"/>
        </w:rPr>
        <w:t>by the</w:t>
      </w:r>
      <w:r>
        <w:rPr>
          <w:color w:val="595959"/>
          <w:u w:color="595959"/>
          <w:lang w:val="fr-FR"/>
        </w:rPr>
        <w:t xml:space="preserve"> Australian Electoral Commission </w:t>
      </w:r>
      <w:r>
        <w:rPr>
          <w:color w:val="595959"/>
          <w:u w:color="595959"/>
          <w:lang w:val="en-US"/>
        </w:rPr>
        <w:t>(AEC) to quickly mobilise support for the</w:t>
      </w:r>
      <w:r>
        <w:rPr>
          <w:color w:val="595959"/>
          <w:u w:color="595959"/>
          <w:lang w:val="fr-FR"/>
        </w:rPr>
        <w:t xml:space="preserve"> Tonga Electoral Commission </w:t>
      </w:r>
      <w:r>
        <w:rPr>
          <w:color w:val="595959"/>
          <w:u w:color="595959"/>
          <w:lang w:val="en-US"/>
        </w:rPr>
        <w:t>to run the November 2017 election</w:t>
      </w:r>
      <w:r w:rsidR="003E5BB0">
        <w:rPr>
          <w:color w:val="595959"/>
          <w:u w:color="595959"/>
          <w:lang w:val="en-US"/>
        </w:rPr>
        <w:t>, a year sooner than expected</w:t>
      </w:r>
      <w:r>
        <w:rPr>
          <w:color w:val="595959"/>
          <w:u w:color="595959"/>
          <w:lang w:val="en-US"/>
        </w:rPr>
        <w:t>. This assistance was critical to the integrity of the electoral process, which was strongly endorsed by Commonwealth Election Observers</w:t>
      </w:r>
      <w:r w:rsidRPr="00CC5970">
        <w:rPr>
          <w:color w:val="595959"/>
          <w:u w:color="595959"/>
          <w:lang w:val="en-US"/>
        </w:rPr>
        <w:t>.</w:t>
      </w:r>
      <w:r>
        <w:rPr>
          <w:color w:val="595959"/>
          <w:u w:color="595959"/>
          <w:lang w:val="en-US"/>
        </w:rPr>
        <w:t xml:space="preserve"> The AEC assistance was complemented by a program delivered by the Australian Broadcasting Co</w:t>
      </w:r>
      <w:r w:rsidR="007B0622">
        <w:rPr>
          <w:color w:val="595959"/>
          <w:u w:color="595959"/>
          <w:lang w:val="en-US"/>
        </w:rPr>
        <w:t>rporation</w:t>
      </w:r>
      <w:r>
        <w:rPr>
          <w:color w:val="595959"/>
          <w:u w:color="595959"/>
          <w:lang w:val="en-US"/>
        </w:rPr>
        <w:t xml:space="preserve"> to assist female electoral candidates to effectively use media during their campaigns.</w:t>
      </w:r>
    </w:p>
    <w:p w:rsidR="00E63868" w:rsidRDefault="00E63868" w:rsidP="00243938">
      <w:pPr>
        <w:pStyle w:val="Body"/>
        <w:spacing w:before="240"/>
        <w:rPr>
          <w:color w:val="595959"/>
          <w:u w:color="595959"/>
          <w:lang w:val="en-US"/>
        </w:rPr>
      </w:pPr>
      <w:r w:rsidRPr="008D3193">
        <w:rPr>
          <w:color w:val="595959"/>
          <w:u w:color="595959"/>
          <w:lang w:val="en-US"/>
        </w:rPr>
        <w:t xml:space="preserve">An evaluation of Australia’s </w:t>
      </w:r>
      <w:r>
        <w:rPr>
          <w:color w:val="595959"/>
          <w:u w:color="595959"/>
          <w:lang w:val="en-US"/>
        </w:rPr>
        <w:t>economic sector governance program found that</w:t>
      </w:r>
      <w:r w:rsidRPr="008D3193">
        <w:rPr>
          <w:color w:val="595959"/>
          <w:u w:color="595959"/>
          <w:lang w:val="en-US"/>
        </w:rPr>
        <w:t xml:space="preserve"> the </w:t>
      </w:r>
      <w:r w:rsidR="00623CFD">
        <w:rPr>
          <w:color w:val="595959"/>
          <w:u w:color="595959"/>
          <w:lang w:val="en-US"/>
        </w:rPr>
        <w:t>JPRM</w:t>
      </w:r>
      <w:r w:rsidRPr="008D3193">
        <w:rPr>
          <w:color w:val="595959"/>
          <w:u w:color="595959"/>
          <w:lang w:val="en-US"/>
        </w:rPr>
        <w:t xml:space="preserve"> process has underwritten important reforms in Tonga – the introduction of fiscal anchors is a critical reform in ensuring fiscal sustainability and a stable macro-</w:t>
      </w:r>
      <w:r>
        <w:rPr>
          <w:color w:val="595959"/>
          <w:u w:color="595959"/>
          <w:lang w:val="en-US"/>
        </w:rPr>
        <w:t xml:space="preserve">economy. The introduction of </w:t>
      </w:r>
      <w:r w:rsidR="003E5BB0">
        <w:rPr>
          <w:color w:val="595959"/>
          <w:u w:color="595959"/>
          <w:lang w:val="en-US"/>
        </w:rPr>
        <w:t xml:space="preserve">taxes on unhealthy foods and tobacco </w:t>
      </w:r>
      <w:r>
        <w:rPr>
          <w:color w:val="595959"/>
          <w:u w:color="595959"/>
          <w:lang w:val="en-US"/>
        </w:rPr>
        <w:t xml:space="preserve">to fight non-communicable diseases </w:t>
      </w:r>
      <w:r w:rsidR="003E5BB0">
        <w:rPr>
          <w:color w:val="595959"/>
          <w:u w:color="595959"/>
          <w:lang w:val="en-US"/>
        </w:rPr>
        <w:t xml:space="preserve">like diabetes </w:t>
      </w:r>
      <w:r w:rsidRPr="008D3193">
        <w:rPr>
          <w:color w:val="595959"/>
          <w:u w:color="595959"/>
          <w:lang w:val="en-US"/>
        </w:rPr>
        <w:t xml:space="preserve">has increased revenue and early indications are that it is </w:t>
      </w:r>
      <w:r w:rsidRPr="008D3193">
        <w:rPr>
          <w:color w:val="595959"/>
          <w:u w:color="595959"/>
          <w:lang w:val="en-US"/>
        </w:rPr>
        <w:lastRenderedPageBreak/>
        <w:t xml:space="preserve">incentivising healthier </w:t>
      </w:r>
      <w:r w:rsidR="00953941">
        <w:rPr>
          <w:color w:val="595959"/>
          <w:u w:color="595959"/>
          <w:lang w:val="en-US"/>
        </w:rPr>
        <w:t>behaviour</w:t>
      </w:r>
      <w:r w:rsidRPr="008D3193">
        <w:rPr>
          <w:color w:val="595959"/>
          <w:u w:color="595959"/>
          <w:lang w:val="en-US"/>
        </w:rPr>
        <w:t xml:space="preserve">. </w:t>
      </w:r>
      <w:r>
        <w:rPr>
          <w:color w:val="595959"/>
          <w:u w:color="595959"/>
          <w:lang w:val="en-US"/>
        </w:rPr>
        <w:t>However</w:t>
      </w:r>
      <w:r w:rsidR="003E5BB0">
        <w:rPr>
          <w:color w:val="595959"/>
          <w:u w:color="595959"/>
          <w:lang w:val="en-US"/>
        </w:rPr>
        <w:t>,</w:t>
      </w:r>
      <w:r>
        <w:rPr>
          <w:color w:val="595959"/>
          <w:u w:color="595959"/>
          <w:lang w:val="en-US"/>
        </w:rPr>
        <w:t xml:space="preserve"> more effort will be needed to effectively prosecute cross-sectoral priorities such as gender, </w:t>
      </w:r>
      <w:r w:rsidR="00077372">
        <w:rPr>
          <w:color w:val="595959"/>
          <w:u w:color="595959"/>
          <w:lang w:val="en-US"/>
        </w:rPr>
        <w:t xml:space="preserve">disability inclusion, </w:t>
      </w:r>
      <w:r>
        <w:rPr>
          <w:color w:val="595959"/>
          <w:u w:color="595959"/>
          <w:lang w:val="en-US"/>
        </w:rPr>
        <w:t xml:space="preserve">health, and climate change and disaster readiness into the next phase. </w:t>
      </w:r>
      <w:r w:rsidRPr="008D3193">
        <w:rPr>
          <w:color w:val="595959"/>
          <w:u w:color="595959"/>
          <w:lang w:val="en-US"/>
        </w:rPr>
        <w:t xml:space="preserve">The </w:t>
      </w:r>
      <w:r>
        <w:rPr>
          <w:color w:val="595959"/>
          <w:u w:color="595959"/>
          <w:lang w:val="en-US"/>
        </w:rPr>
        <w:t>process</w:t>
      </w:r>
      <w:r w:rsidRPr="008D3193">
        <w:rPr>
          <w:color w:val="595959"/>
          <w:u w:color="595959"/>
          <w:lang w:val="en-US"/>
        </w:rPr>
        <w:t xml:space="preserve"> reduces transaction costs of donor funding</w:t>
      </w:r>
      <w:r>
        <w:rPr>
          <w:color w:val="595959"/>
          <w:u w:color="595959"/>
          <w:lang w:val="en-US"/>
        </w:rPr>
        <w:t>,</w:t>
      </w:r>
      <w:r w:rsidRPr="008D3193">
        <w:rPr>
          <w:color w:val="595959"/>
          <w:u w:color="595959"/>
          <w:lang w:val="en-US"/>
        </w:rPr>
        <w:t xml:space="preserve"> accelerates policy reforms and supplements recurrent revenue. </w:t>
      </w:r>
    </w:p>
    <w:p w:rsidR="00E15FD5" w:rsidRDefault="00E63868" w:rsidP="00E63868">
      <w:pPr>
        <w:pStyle w:val="Body"/>
        <w:spacing w:before="240"/>
        <w:rPr>
          <w:color w:val="595959"/>
          <w:u w:color="595959"/>
          <w:lang w:val="en-US"/>
        </w:rPr>
      </w:pPr>
      <w:r>
        <w:rPr>
          <w:color w:val="595959"/>
          <w:u w:color="595959"/>
          <w:lang w:val="en-US"/>
        </w:rPr>
        <w:t xml:space="preserve">The focus of reforms in 2017-18 was public sector expenditure and performance, taxation, energy, foreign investment and private sector development, procurement, SOE reforms and labour protection. </w:t>
      </w:r>
      <w:r w:rsidR="00DB30E8">
        <w:rPr>
          <w:color w:val="595959"/>
          <w:u w:color="595959"/>
          <w:lang w:val="en-US"/>
        </w:rPr>
        <w:t xml:space="preserve">Although targets were not met, </w:t>
      </w:r>
      <w:r w:rsidR="00E15FD5">
        <w:rPr>
          <w:color w:val="595959"/>
          <w:u w:color="595959"/>
          <w:lang w:val="en-US"/>
        </w:rPr>
        <w:t>Australia and New Zealand disbursed budget support payments</w:t>
      </w:r>
      <w:r w:rsidR="00DB30E8">
        <w:rPr>
          <w:color w:val="595959"/>
          <w:u w:color="595959"/>
          <w:lang w:val="en-US"/>
        </w:rPr>
        <w:t xml:space="preserve">, in recognition that this was a result of the </w:t>
      </w:r>
      <w:r w:rsidR="00623CFD">
        <w:rPr>
          <w:color w:val="595959"/>
          <w:u w:color="595959"/>
          <w:lang w:val="en-US"/>
        </w:rPr>
        <w:t>dissolution of parliament</w:t>
      </w:r>
      <w:r w:rsidR="008E00BB">
        <w:rPr>
          <w:color w:val="595959"/>
          <w:u w:color="595959"/>
          <w:lang w:val="en-US"/>
        </w:rPr>
        <w:t xml:space="preserve"> and Cyclone Gita</w:t>
      </w:r>
      <w:r w:rsidR="00DB30E8">
        <w:rPr>
          <w:color w:val="595959"/>
          <w:u w:color="595959"/>
          <w:lang w:val="en-US"/>
        </w:rPr>
        <w:t>, and following the Government of</w:t>
      </w:r>
      <w:r w:rsidR="003E5BB0">
        <w:rPr>
          <w:color w:val="595959"/>
          <w:u w:color="595959"/>
          <w:lang w:val="en-US"/>
        </w:rPr>
        <w:t xml:space="preserve"> </w:t>
      </w:r>
      <w:r w:rsidR="00E15FD5">
        <w:rPr>
          <w:color w:val="595959"/>
          <w:u w:color="595959"/>
          <w:lang w:val="en-US"/>
        </w:rPr>
        <w:t>Tonga’s confirm</w:t>
      </w:r>
      <w:r w:rsidR="00DB30E8">
        <w:rPr>
          <w:color w:val="595959"/>
          <w:u w:color="595959"/>
          <w:lang w:val="en-US"/>
        </w:rPr>
        <w:t xml:space="preserve">ation of </w:t>
      </w:r>
      <w:r w:rsidR="00E15FD5">
        <w:rPr>
          <w:color w:val="595959"/>
          <w:u w:color="595959"/>
          <w:lang w:val="en-US"/>
        </w:rPr>
        <w:t xml:space="preserve">its commitment to the economic reform process. </w:t>
      </w:r>
    </w:p>
    <w:p w:rsidR="00E63868" w:rsidRDefault="00094BDE" w:rsidP="00E63868">
      <w:pPr>
        <w:pStyle w:val="Body"/>
        <w:spacing w:before="240"/>
        <w:rPr>
          <w:color w:val="595959"/>
          <w:u w:color="595959"/>
        </w:rPr>
      </w:pPr>
      <w:r>
        <w:rPr>
          <w:color w:val="595959"/>
          <w:u w:color="595959"/>
          <w:lang w:val="en-US"/>
        </w:rPr>
        <w:t>We complement budget support with</w:t>
      </w:r>
      <w:r w:rsidR="00734881">
        <w:rPr>
          <w:color w:val="595959"/>
          <w:u w:color="595959"/>
          <w:lang w:val="en-US"/>
        </w:rPr>
        <w:t xml:space="preserve"> </w:t>
      </w:r>
      <w:r w:rsidR="00E63868">
        <w:rPr>
          <w:color w:val="595959"/>
          <w:u w:color="595959"/>
          <w:lang w:val="en-US"/>
        </w:rPr>
        <w:t xml:space="preserve">assistance for Tonga to implement its public financial management roadmap. </w:t>
      </w:r>
      <w:r>
        <w:rPr>
          <w:color w:val="595959"/>
          <w:u w:color="595959"/>
          <w:lang w:val="en-US"/>
        </w:rPr>
        <w:t>In</w:t>
      </w:r>
      <w:r w:rsidR="00E63868">
        <w:rPr>
          <w:color w:val="595959"/>
          <w:u w:color="595959"/>
          <w:lang w:val="en-US"/>
        </w:rPr>
        <w:t xml:space="preserve"> 2017-18, Australia provided </w:t>
      </w:r>
      <w:r>
        <w:rPr>
          <w:color w:val="595959"/>
          <w:u w:color="595959"/>
          <w:lang w:val="en-US"/>
        </w:rPr>
        <w:t>technical assistance</w:t>
      </w:r>
      <w:r w:rsidR="00E63868">
        <w:rPr>
          <w:color w:val="595959"/>
          <w:u w:color="595959"/>
          <w:lang w:val="en-US"/>
        </w:rPr>
        <w:t xml:space="preserve"> for</w:t>
      </w:r>
      <w:r w:rsidR="00734881">
        <w:rPr>
          <w:color w:val="595959"/>
          <w:u w:color="595959"/>
          <w:lang w:val="en-US"/>
        </w:rPr>
        <w:t xml:space="preserve"> strengthening central and</w:t>
      </w:r>
      <w:r w:rsidR="00E63868">
        <w:rPr>
          <w:color w:val="595959"/>
          <w:u w:color="595959"/>
          <w:lang w:val="en-US"/>
        </w:rPr>
        <w:t xml:space="preserve"> health procurement</w:t>
      </w:r>
      <w:r w:rsidR="008E00BB">
        <w:rPr>
          <w:color w:val="595959"/>
          <w:u w:color="595959"/>
          <w:lang w:val="en-US"/>
        </w:rPr>
        <w:t>. A</w:t>
      </w:r>
      <w:r w:rsidR="00E63868">
        <w:rPr>
          <w:color w:val="595959"/>
          <w:u w:color="595959"/>
          <w:lang w:val="en-US"/>
        </w:rPr>
        <w:t xml:space="preserve">udit capacity and public accounts committee </w:t>
      </w:r>
      <w:r>
        <w:rPr>
          <w:color w:val="595959"/>
          <w:u w:color="595959"/>
          <w:lang w:val="en-US"/>
        </w:rPr>
        <w:t>training</w:t>
      </w:r>
      <w:r w:rsidR="008E00BB">
        <w:rPr>
          <w:color w:val="595959"/>
          <w:u w:color="595959"/>
          <w:lang w:val="en-US"/>
        </w:rPr>
        <w:t>,</w:t>
      </w:r>
      <w:r w:rsidR="00734881">
        <w:rPr>
          <w:color w:val="595959"/>
          <w:u w:color="595959"/>
          <w:lang w:val="en-US"/>
        </w:rPr>
        <w:t xml:space="preserve"> delivered by the Pacific Association for Supreme Audit Institutions</w:t>
      </w:r>
      <w:r w:rsidR="008E00BB">
        <w:rPr>
          <w:color w:val="595959"/>
          <w:u w:color="595959"/>
          <w:lang w:val="en-US"/>
        </w:rPr>
        <w:t>,</w:t>
      </w:r>
      <w:r w:rsidR="00734881">
        <w:rPr>
          <w:color w:val="595959"/>
          <w:u w:color="595959"/>
          <w:lang w:val="en-US"/>
        </w:rPr>
        <w:t xml:space="preserve"> </w:t>
      </w:r>
      <w:r w:rsidR="00E63868">
        <w:rPr>
          <w:color w:val="595959"/>
          <w:u w:color="595959"/>
          <w:lang w:val="en-US"/>
        </w:rPr>
        <w:t xml:space="preserve">was </w:t>
      </w:r>
      <w:r w:rsidR="00D03BE6">
        <w:rPr>
          <w:color w:val="595959"/>
          <w:u w:color="595959"/>
          <w:lang w:val="en-US"/>
        </w:rPr>
        <w:t>assessed</w:t>
      </w:r>
      <w:r w:rsidR="00E63868">
        <w:rPr>
          <w:color w:val="595959"/>
          <w:u w:color="595959"/>
          <w:lang w:val="en-US"/>
        </w:rPr>
        <w:t xml:space="preserve"> as </w:t>
      </w:r>
      <w:r w:rsidR="008E00BB">
        <w:rPr>
          <w:color w:val="595959"/>
          <w:u w:color="595959"/>
          <w:lang w:val="en-US"/>
        </w:rPr>
        <w:t xml:space="preserve">being both effective and </w:t>
      </w:r>
      <w:r w:rsidR="00E63868">
        <w:rPr>
          <w:color w:val="595959"/>
          <w:u w:color="595959"/>
          <w:lang w:val="en-US"/>
        </w:rPr>
        <w:t>contextually relevant.</w:t>
      </w:r>
    </w:p>
    <w:p w:rsidR="00E63868" w:rsidRPr="00F06D89" w:rsidRDefault="00E63868" w:rsidP="00E63868">
      <w:pPr>
        <w:pStyle w:val="Body"/>
        <w:spacing w:before="240"/>
        <w:rPr>
          <w:color w:val="595959"/>
          <w:u w:color="595959"/>
          <w:lang w:val="en-US"/>
        </w:rPr>
      </w:pPr>
      <w:r>
        <w:rPr>
          <w:color w:val="595959"/>
          <w:u w:color="595959"/>
          <w:lang w:val="en-US"/>
        </w:rPr>
        <w:t xml:space="preserve">In 2017-18, there was steady </w:t>
      </w:r>
      <w:r w:rsidRPr="00E15FD5">
        <w:rPr>
          <w:color w:val="595959"/>
          <w:u w:color="595959"/>
          <w:lang w:val="en-US"/>
        </w:rPr>
        <w:t xml:space="preserve">progress under two Australian co-financed ADB programs that enhance resilient urban infrastructure: </w:t>
      </w:r>
      <w:r w:rsidRPr="004F0B6E">
        <w:rPr>
          <w:color w:val="595959"/>
          <w:u w:color="7F7F7F"/>
          <w:lang w:val="en-US"/>
        </w:rPr>
        <w:t xml:space="preserve">the </w:t>
      </w:r>
      <w:r w:rsidRPr="004F0B6E">
        <w:rPr>
          <w:iCs/>
          <w:color w:val="595959"/>
          <w:u w:color="7F7F7F"/>
          <w:lang w:val="en-US"/>
        </w:rPr>
        <w:t>Outer Islands Renewable Energy Project</w:t>
      </w:r>
      <w:r w:rsidR="001C446F">
        <w:rPr>
          <w:iCs/>
          <w:color w:val="595959"/>
          <w:u w:color="7F7F7F"/>
          <w:lang w:val="en-US"/>
        </w:rPr>
        <w:t xml:space="preserve"> (OIREP)</w:t>
      </w:r>
      <w:r w:rsidRPr="004F0B6E">
        <w:rPr>
          <w:i/>
          <w:iCs/>
          <w:color w:val="595959"/>
          <w:u w:color="7F7F7F"/>
          <w:lang w:val="en-US"/>
        </w:rPr>
        <w:t xml:space="preserve"> </w:t>
      </w:r>
      <w:r w:rsidRPr="004F0B6E">
        <w:rPr>
          <w:color w:val="595959"/>
          <w:u w:color="7F7F7F"/>
          <w:lang w:val="en-US"/>
        </w:rPr>
        <w:t>and the Nuku</w:t>
      </w:r>
      <w:r w:rsidRPr="004F0B6E">
        <w:rPr>
          <w:color w:val="595959"/>
          <w:u w:color="7F7F7F"/>
        </w:rPr>
        <w:t>’</w:t>
      </w:r>
      <w:r w:rsidRPr="004F0B6E">
        <w:rPr>
          <w:color w:val="595959"/>
          <w:u w:color="7F7F7F"/>
          <w:lang w:val="en-US"/>
        </w:rPr>
        <w:t>alofa Urban Sector Development Project</w:t>
      </w:r>
      <w:r w:rsidR="00651889">
        <w:rPr>
          <w:color w:val="595959"/>
          <w:u w:color="7F7F7F"/>
          <w:lang w:val="en-US"/>
        </w:rPr>
        <w:t xml:space="preserve"> (NUDSP)</w:t>
      </w:r>
      <w:r w:rsidRPr="004F0B6E">
        <w:rPr>
          <w:color w:val="595959"/>
          <w:u w:color="7F7F7F"/>
          <w:lang w:val="en-US"/>
        </w:rPr>
        <w:t xml:space="preserve">. </w:t>
      </w:r>
      <w:r w:rsidR="001C446F">
        <w:rPr>
          <w:color w:val="595959"/>
          <w:u w:color="595959"/>
          <w:lang w:val="en-US"/>
        </w:rPr>
        <w:t>OIREP</w:t>
      </w:r>
      <w:r w:rsidRPr="00E15FD5">
        <w:rPr>
          <w:color w:val="595959"/>
          <w:u w:color="595959"/>
          <w:lang w:val="en-US"/>
        </w:rPr>
        <w:t xml:space="preserve"> has supported the reduction of diesel consumption and contributed to the Tonga Energy Roadmap </w:t>
      </w:r>
      <w:r w:rsidRPr="00F06D89">
        <w:rPr>
          <w:color w:val="595959"/>
          <w:u w:color="595959"/>
          <w:lang w:val="en-US"/>
        </w:rPr>
        <w:t>target of 50% Renewable Energy by 2020. The investment</w:t>
      </w:r>
      <w:r>
        <w:rPr>
          <w:color w:val="595959"/>
          <w:u w:color="595959"/>
          <w:lang w:val="en-US"/>
        </w:rPr>
        <w:t xml:space="preserve"> has</w:t>
      </w:r>
      <w:r w:rsidRPr="00F06D89">
        <w:rPr>
          <w:color w:val="595959"/>
          <w:u w:color="595959"/>
          <w:lang w:val="en-US"/>
        </w:rPr>
        <w:t xml:space="preserve"> enabled Tonga Power Limited </w:t>
      </w:r>
      <w:r>
        <w:rPr>
          <w:color w:val="595959"/>
          <w:u w:color="595959"/>
          <w:lang w:val="en-US"/>
        </w:rPr>
        <w:t>to reduce tariffs</w:t>
      </w:r>
      <w:r w:rsidRPr="00F06D89">
        <w:rPr>
          <w:color w:val="595959"/>
          <w:u w:color="595959"/>
          <w:lang w:val="en-US"/>
        </w:rPr>
        <w:t>.</w:t>
      </w:r>
      <w:r>
        <w:rPr>
          <w:color w:val="595959"/>
          <w:u w:color="595959"/>
          <w:lang w:val="en-US"/>
        </w:rPr>
        <w:t xml:space="preserve"> During 2017-18, </w:t>
      </w:r>
      <w:r w:rsidR="00651889">
        <w:rPr>
          <w:color w:val="595959"/>
          <w:u w:color="595959"/>
          <w:lang w:val="en-US"/>
        </w:rPr>
        <w:t>NUDSP</w:t>
      </w:r>
      <w:r w:rsidRPr="00F06D89">
        <w:rPr>
          <w:color w:val="595959"/>
          <w:u w:color="595959"/>
          <w:lang w:val="en-US"/>
        </w:rPr>
        <w:t xml:space="preserve"> helped Tonga Waste Authority and Tonga Water Board to complete asset management plans. A 4000 m³ reserv</w:t>
      </w:r>
      <w:r w:rsidR="001C446F">
        <w:rPr>
          <w:color w:val="595959"/>
          <w:u w:color="595959"/>
          <w:lang w:val="en-US"/>
        </w:rPr>
        <w:t>oir was completed, providing 24 </w:t>
      </w:r>
      <w:r w:rsidRPr="00F06D89">
        <w:rPr>
          <w:color w:val="595959"/>
          <w:u w:color="595959"/>
          <w:lang w:val="en-US"/>
        </w:rPr>
        <w:t>hours additional storage capacity to reduce disaster vulnerability</w:t>
      </w:r>
      <w:r w:rsidR="009C5C89">
        <w:rPr>
          <w:color w:val="595959"/>
          <w:u w:color="595959"/>
          <w:lang w:val="en-US"/>
        </w:rPr>
        <w:t xml:space="preserve"> in Nuku’alofa</w:t>
      </w:r>
      <w:r w:rsidRPr="00F06D89">
        <w:rPr>
          <w:color w:val="595959"/>
          <w:u w:color="595959"/>
          <w:lang w:val="en-US"/>
        </w:rPr>
        <w:t xml:space="preserve">. </w:t>
      </w:r>
      <w:r>
        <w:rPr>
          <w:color w:val="595959"/>
          <w:u w:color="595959"/>
          <w:lang w:val="en-US"/>
        </w:rPr>
        <w:t>A</w:t>
      </w:r>
      <w:r w:rsidRPr="00F06D89">
        <w:rPr>
          <w:color w:val="595959"/>
          <w:u w:color="595959"/>
          <w:lang w:val="en-US"/>
        </w:rPr>
        <w:t xml:space="preserve"> single Utilities Board </w:t>
      </w:r>
      <w:r>
        <w:rPr>
          <w:color w:val="595959"/>
          <w:u w:color="595959"/>
          <w:lang w:val="en-US"/>
        </w:rPr>
        <w:t>was established to improve</w:t>
      </w:r>
      <w:r w:rsidRPr="00F06D89">
        <w:rPr>
          <w:color w:val="595959"/>
          <w:u w:color="595959"/>
          <w:lang w:val="en-US"/>
        </w:rPr>
        <w:t xml:space="preserve"> revenue collection, billing an</w:t>
      </w:r>
      <w:r>
        <w:rPr>
          <w:color w:val="595959"/>
          <w:u w:color="595959"/>
          <w:lang w:val="en-US"/>
        </w:rPr>
        <w:t>d financial management capacity</w:t>
      </w:r>
      <w:r w:rsidRPr="00F06D89">
        <w:rPr>
          <w:color w:val="595959"/>
          <w:u w:color="595959"/>
          <w:lang w:val="en-US"/>
        </w:rPr>
        <w:t xml:space="preserve">.  Five public convenience facilities were rehabilitated in the Nuku'alofa </w:t>
      </w:r>
      <w:r w:rsidR="001C446F">
        <w:rPr>
          <w:color w:val="595959"/>
          <w:u w:color="595959"/>
          <w:lang w:val="en-US"/>
        </w:rPr>
        <w:t>town centre</w:t>
      </w:r>
      <w:r w:rsidR="00D35704">
        <w:rPr>
          <w:color w:val="595959"/>
          <w:u w:color="595959"/>
          <w:lang w:val="en-US"/>
        </w:rPr>
        <w:t>, including ensuring accessibility</w:t>
      </w:r>
      <w:r w:rsidRPr="00F06D89">
        <w:rPr>
          <w:color w:val="595959"/>
          <w:u w:color="595959"/>
          <w:lang w:val="en-US"/>
        </w:rPr>
        <w:t xml:space="preserve">. </w:t>
      </w:r>
      <w:r w:rsidR="009C5C89">
        <w:rPr>
          <w:color w:val="595959"/>
          <w:u w:color="595959"/>
          <w:lang w:val="en-US"/>
        </w:rPr>
        <w:t>A</w:t>
      </w:r>
      <w:r w:rsidRPr="00F06D89">
        <w:rPr>
          <w:color w:val="595959"/>
          <w:u w:color="595959"/>
          <w:lang w:val="en-US"/>
        </w:rPr>
        <w:t xml:space="preserve"> Women of Tonga video series highlighting women working in urban and public services</w:t>
      </w:r>
      <w:r w:rsidR="009C5C89">
        <w:rPr>
          <w:color w:val="595959"/>
          <w:u w:color="595959"/>
          <w:lang w:val="en-US"/>
        </w:rPr>
        <w:t xml:space="preserve"> was distributed to schools in Tonga an</w:t>
      </w:r>
      <w:r w:rsidR="00817053">
        <w:rPr>
          <w:color w:val="595959"/>
          <w:u w:color="595959"/>
          <w:lang w:val="en-US"/>
        </w:rPr>
        <w:t>d to Pacific partners to promote</w:t>
      </w:r>
      <w:r w:rsidR="009C5C89">
        <w:rPr>
          <w:color w:val="595959"/>
          <w:u w:color="595959"/>
          <w:lang w:val="en-US"/>
        </w:rPr>
        <w:t xml:space="preserve"> women’s employment in non-traditional fields</w:t>
      </w:r>
      <w:r w:rsidRPr="00F06D89">
        <w:rPr>
          <w:color w:val="595959"/>
          <w:u w:color="595959"/>
          <w:lang w:val="en-US"/>
        </w:rPr>
        <w:t xml:space="preserve">. </w:t>
      </w:r>
    </w:p>
    <w:p w:rsidR="005644B8" w:rsidRDefault="00834F71">
      <w:pPr>
        <w:pStyle w:val="Body"/>
        <w:rPr>
          <w:rFonts w:ascii="Calibri" w:eastAsia="Calibri" w:hAnsi="Calibri" w:cs="Calibri"/>
          <w:caps/>
          <w:sz w:val="38"/>
          <w:szCs w:val="38"/>
        </w:rPr>
      </w:pPr>
      <w:r>
        <w:rPr>
          <w:rFonts w:ascii="Calibri" w:eastAsia="Calibri" w:hAnsi="Calibri" w:cs="Calibri"/>
          <w:caps/>
          <w:sz w:val="38"/>
          <w:szCs w:val="38"/>
          <w:lang w:val="en-US"/>
        </w:rPr>
        <w:t xml:space="preserve">A more effective, efficient and equitable health system </w:t>
      </w:r>
    </w:p>
    <w:tbl>
      <w:tblPr>
        <w:tblW w:w="96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2017"/>
        <w:gridCol w:w="1904"/>
        <w:gridCol w:w="1906"/>
        <w:gridCol w:w="1905"/>
        <w:gridCol w:w="1905"/>
      </w:tblGrid>
      <w:tr w:rsidR="005644B8">
        <w:trPr>
          <w:trHeight w:val="1130"/>
        </w:trPr>
        <w:tc>
          <w:tcPr>
            <w:tcW w:w="2016"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uppressAutoHyphens w:val="0"/>
              <w:spacing w:before="80" w:after="80" w:line="240" w:lineRule="auto"/>
              <w:jc w:val="center"/>
            </w:pPr>
            <w:r>
              <w:rPr>
                <w:rFonts w:ascii="Calibri" w:eastAsia="Calibri" w:hAnsi="Calibri" w:cs="Calibri"/>
                <w:caps/>
                <w:noProof/>
                <w:sz w:val="38"/>
                <w:szCs w:val="38"/>
              </w:rPr>
              <w:drawing>
                <wp:inline distT="0" distB="0" distL="0" distR="0" wp14:anchorId="3530AFFD" wp14:editId="27DC58B3">
                  <wp:extent cx="1028700" cy="651076"/>
                  <wp:effectExtent l="0" t="0" r="0" b="0"/>
                  <wp:docPr id="1073741836" name="officeArt object" descr="SDG Contribution.JPG"/>
                  <wp:cNvGraphicFramePr/>
                  <a:graphic xmlns:a="http://schemas.openxmlformats.org/drawingml/2006/main">
                    <a:graphicData uri="http://schemas.openxmlformats.org/drawingml/2006/picture">
                      <pic:pic xmlns:pic="http://schemas.openxmlformats.org/drawingml/2006/picture">
                        <pic:nvPicPr>
                          <pic:cNvPr id="1073741836" name="SDG Contribution.JPG" descr="SDG Contribution.JPG"/>
                          <pic:cNvPicPr>
                            <a:picLocks noChangeAspect="1"/>
                          </pic:cNvPicPr>
                        </pic:nvPicPr>
                        <pic:blipFill>
                          <a:blip r:embed="rId21">
                            <a:extLst/>
                          </a:blip>
                          <a:stretch>
                            <a:fillRect/>
                          </a:stretch>
                        </pic:blipFill>
                        <pic:spPr>
                          <a:xfrm>
                            <a:off x="0" y="0"/>
                            <a:ext cx="1028700" cy="651076"/>
                          </a:xfrm>
                          <a:prstGeom prst="rect">
                            <a:avLst/>
                          </a:prstGeom>
                          <a:ln w="12700" cap="flat">
                            <a:noFill/>
                            <a:miter lim="400000"/>
                          </a:ln>
                          <a:effectLst/>
                        </pic:spPr>
                      </pic:pic>
                    </a:graphicData>
                  </a:graphic>
                </wp:inline>
              </w:drawing>
            </w:r>
          </w:p>
        </w:tc>
        <w:tc>
          <w:tcPr>
            <w:tcW w:w="1904"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uppressAutoHyphens w:val="0"/>
              <w:spacing w:before="160" w:after="80" w:line="240" w:lineRule="auto"/>
              <w:jc w:val="center"/>
            </w:pPr>
            <w:r>
              <w:rPr>
                <w:noProof/>
              </w:rPr>
              <w:drawing>
                <wp:inline distT="0" distB="0" distL="0" distR="0" wp14:anchorId="4B43920F" wp14:editId="7A472AC7">
                  <wp:extent cx="612000" cy="612000"/>
                  <wp:effectExtent l="0" t="0" r="0" b="0"/>
                  <wp:docPr id="1073741837" name="officeArt object" descr="SDG 3.jpg"/>
                  <wp:cNvGraphicFramePr/>
                  <a:graphic xmlns:a="http://schemas.openxmlformats.org/drawingml/2006/main">
                    <a:graphicData uri="http://schemas.openxmlformats.org/drawingml/2006/picture">
                      <pic:pic xmlns:pic="http://schemas.openxmlformats.org/drawingml/2006/picture">
                        <pic:nvPicPr>
                          <pic:cNvPr id="1073741837" name="SDG 3.jpg" descr="SDG 3.jpg"/>
                          <pic:cNvPicPr>
                            <a:picLocks noChangeAspect="1"/>
                          </pic:cNvPicPr>
                        </pic:nvPicPr>
                        <pic:blipFill>
                          <a:blip r:embed="rId22">
                            <a:extLst/>
                          </a:blip>
                          <a:stretch>
                            <a:fillRect/>
                          </a:stretch>
                        </pic:blipFill>
                        <pic:spPr>
                          <a:xfrm>
                            <a:off x="0" y="0"/>
                            <a:ext cx="612000" cy="612000"/>
                          </a:xfrm>
                          <a:prstGeom prst="rect">
                            <a:avLst/>
                          </a:prstGeom>
                          <a:ln w="12700" cap="flat">
                            <a:noFill/>
                            <a:miter lim="400000"/>
                          </a:ln>
                          <a:effectLst/>
                        </pic:spPr>
                      </pic:pic>
                    </a:graphicData>
                  </a:graphic>
                </wp:inline>
              </w:drawing>
            </w:r>
          </w:p>
        </w:tc>
        <w:tc>
          <w:tcPr>
            <w:tcW w:w="1906"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uppressAutoHyphens w:val="0"/>
              <w:spacing w:before="160" w:after="80" w:line="240" w:lineRule="auto"/>
              <w:jc w:val="center"/>
            </w:pPr>
            <w:r>
              <w:rPr>
                <w:noProof/>
              </w:rPr>
              <w:drawing>
                <wp:inline distT="0" distB="0" distL="0" distR="0" wp14:anchorId="174112A0" wp14:editId="36744131">
                  <wp:extent cx="612000" cy="612000"/>
                  <wp:effectExtent l="0" t="0" r="0" b="0"/>
                  <wp:docPr id="1073741838" name="officeArt object" descr="SDG 5.jpg"/>
                  <wp:cNvGraphicFramePr/>
                  <a:graphic xmlns:a="http://schemas.openxmlformats.org/drawingml/2006/main">
                    <a:graphicData uri="http://schemas.openxmlformats.org/drawingml/2006/picture">
                      <pic:pic xmlns:pic="http://schemas.openxmlformats.org/drawingml/2006/picture">
                        <pic:nvPicPr>
                          <pic:cNvPr id="1073741838" name="SDG 5.jpg" descr="SDG 5.jpg"/>
                          <pic:cNvPicPr>
                            <a:picLocks noChangeAspect="1"/>
                          </pic:cNvPicPr>
                        </pic:nvPicPr>
                        <pic:blipFill>
                          <a:blip r:embed="rId23">
                            <a:extLst/>
                          </a:blip>
                          <a:stretch>
                            <a:fillRect/>
                          </a:stretch>
                        </pic:blipFill>
                        <pic:spPr>
                          <a:xfrm>
                            <a:off x="0" y="0"/>
                            <a:ext cx="612000" cy="612000"/>
                          </a:xfrm>
                          <a:prstGeom prst="rect">
                            <a:avLst/>
                          </a:prstGeom>
                          <a:ln w="12700" cap="flat">
                            <a:noFill/>
                            <a:miter lim="400000"/>
                          </a:ln>
                          <a:effectLst/>
                        </pic:spPr>
                      </pic:pic>
                    </a:graphicData>
                  </a:graphic>
                </wp:inline>
              </w:drawing>
            </w:r>
          </w:p>
        </w:tc>
        <w:tc>
          <w:tcPr>
            <w:tcW w:w="1905"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uppressAutoHyphens w:val="0"/>
              <w:spacing w:before="160" w:after="80" w:line="240" w:lineRule="auto"/>
              <w:jc w:val="center"/>
            </w:pPr>
            <w:r>
              <w:rPr>
                <w:noProof/>
              </w:rPr>
              <w:drawing>
                <wp:inline distT="0" distB="0" distL="0" distR="0" wp14:anchorId="24F5D011" wp14:editId="053BD8CC">
                  <wp:extent cx="612000" cy="612000"/>
                  <wp:effectExtent l="0" t="0" r="0" b="0"/>
                  <wp:docPr id="1073741839" name="officeArt object" descr="SDG 10.png"/>
                  <wp:cNvGraphicFramePr/>
                  <a:graphic xmlns:a="http://schemas.openxmlformats.org/drawingml/2006/main">
                    <a:graphicData uri="http://schemas.openxmlformats.org/drawingml/2006/picture">
                      <pic:pic xmlns:pic="http://schemas.openxmlformats.org/drawingml/2006/picture">
                        <pic:nvPicPr>
                          <pic:cNvPr id="1073741839" name="SDG 10.png" descr="SDG 10.png"/>
                          <pic:cNvPicPr>
                            <a:picLocks noChangeAspect="1"/>
                          </pic:cNvPicPr>
                        </pic:nvPicPr>
                        <pic:blipFill>
                          <a:blip r:embed="rId24">
                            <a:extLst/>
                          </a:blip>
                          <a:stretch>
                            <a:fillRect/>
                          </a:stretch>
                        </pic:blipFill>
                        <pic:spPr>
                          <a:xfrm>
                            <a:off x="0" y="0"/>
                            <a:ext cx="612000" cy="612000"/>
                          </a:xfrm>
                          <a:prstGeom prst="rect">
                            <a:avLst/>
                          </a:prstGeom>
                          <a:ln w="12700" cap="flat">
                            <a:noFill/>
                            <a:miter lim="400000"/>
                          </a:ln>
                          <a:effectLst/>
                        </pic:spPr>
                      </pic:pic>
                    </a:graphicData>
                  </a:graphic>
                </wp:inline>
              </w:drawing>
            </w:r>
          </w:p>
        </w:tc>
        <w:tc>
          <w:tcPr>
            <w:tcW w:w="1905" w:type="dxa"/>
            <w:tcBorders>
              <w:top w:val="nil"/>
              <w:left w:val="nil"/>
              <w:bottom w:val="nil"/>
              <w:right w:val="nil"/>
            </w:tcBorders>
            <w:shd w:val="clear" w:color="auto" w:fill="auto"/>
            <w:tcMar>
              <w:top w:w="80" w:type="dxa"/>
              <w:left w:w="80" w:type="dxa"/>
              <w:bottom w:w="80" w:type="dxa"/>
              <w:right w:w="80" w:type="dxa"/>
            </w:tcMar>
          </w:tcPr>
          <w:p w:rsidR="005644B8" w:rsidRDefault="005644B8">
            <w:pPr>
              <w:pStyle w:val="Body"/>
              <w:suppressAutoHyphens w:val="0"/>
              <w:spacing w:before="160" w:after="80" w:line="240" w:lineRule="auto"/>
              <w:jc w:val="center"/>
            </w:pPr>
          </w:p>
        </w:tc>
      </w:tr>
    </w:tbl>
    <w:p w:rsidR="00A44C3F" w:rsidRDefault="00834F71">
      <w:pPr>
        <w:pStyle w:val="Body"/>
        <w:rPr>
          <w:color w:val="595959"/>
          <w:u w:color="595959"/>
          <w:lang w:val="en-US"/>
        </w:rPr>
      </w:pPr>
      <w:r>
        <w:rPr>
          <w:color w:val="595959"/>
          <w:u w:color="595959"/>
          <w:lang w:val="en-US"/>
        </w:rPr>
        <w:t xml:space="preserve">This objective has been given an amber performance rating. The main </w:t>
      </w:r>
      <w:r w:rsidR="00A44C3F">
        <w:rPr>
          <w:color w:val="595959"/>
          <w:u w:color="595959"/>
          <w:lang w:val="en-US"/>
        </w:rPr>
        <w:t xml:space="preserve">performance </w:t>
      </w:r>
      <w:r>
        <w:rPr>
          <w:color w:val="595959"/>
          <w:u w:color="595959"/>
          <w:lang w:val="en-US"/>
        </w:rPr>
        <w:t xml:space="preserve">indicators </w:t>
      </w:r>
      <w:r w:rsidR="008E00BB">
        <w:rPr>
          <w:color w:val="595959"/>
          <w:u w:color="595959"/>
          <w:lang w:val="en-US"/>
        </w:rPr>
        <w:t xml:space="preserve">relating to </w:t>
      </w:r>
      <w:r>
        <w:rPr>
          <w:color w:val="595959"/>
          <w:u w:color="595959"/>
          <w:lang w:val="en-US"/>
        </w:rPr>
        <w:t>Tonga</w:t>
      </w:r>
      <w:r>
        <w:rPr>
          <w:color w:val="595959"/>
          <w:u w:color="595959"/>
        </w:rPr>
        <w:t>’</w:t>
      </w:r>
      <w:r>
        <w:rPr>
          <w:color w:val="595959"/>
          <w:u w:color="595959"/>
          <w:lang w:val="en-US"/>
        </w:rPr>
        <w:t>s budgetary commitment to health</w:t>
      </w:r>
      <w:r w:rsidR="00077372">
        <w:rPr>
          <w:color w:val="595959"/>
          <w:u w:color="595959"/>
          <w:lang w:val="en-US"/>
        </w:rPr>
        <w:t xml:space="preserve"> and services for gestational diabetes screening</w:t>
      </w:r>
      <w:r w:rsidR="008E00BB">
        <w:rPr>
          <w:color w:val="595959"/>
          <w:u w:color="595959"/>
          <w:lang w:val="en-US"/>
        </w:rPr>
        <w:t>,</w:t>
      </w:r>
      <w:r>
        <w:rPr>
          <w:color w:val="595959"/>
          <w:u w:color="595959"/>
          <w:lang w:val="en-US"/>
        </w:rPr>
        <w:t xml:space="preserve"> </w:t>
      </w:r>
      <w:r w:rsidR="00A44C3F">
        <w:rPr>
          <w:color w:val="595959"/>
          <w:u w:color="595959"/>
          <w:lang w:val="en-US"/>
        </w:rPr>
        <w:t>were</w:t>
      </w:r>
      <w:r>
        <w:rPr>
          <w:color w:val="595959"/>
          <w:u w:color="595959"/>
          <w:lang w:val="en-US"/>
        </w:rPr>
        <w:t xml:space="preserve"> met and the partnership in the health sector is strong</w:t>
      </w:r>
      <w:r w:rsidR="00A44C3F">
        <w:rPr>
          <w:color w:val="595959"/>
          <w:u w:color="595959"/>
          <w:lang w:val="en-US"/>
        </w:rPr>
        <w:t xml:space="preserve"> across a wide range of </w:t>
      </w:r>
      <w:r w:rsidR="000304F9">
        <w:rPr>
          <w:color w:val="595959"/>
          <w:u w:color="595959"/>
          <w:lang w:val="en-US"/>
        </w:rPr>
        <w:t>non-communicable disease (</w:t>
      </w:r>
      <w:r w:rsidR="00A44C3F">
        <w:rPr>
          <w:color w:val="595959"/>
          <w:u w:color="595959"/>
          <w:lang w:val="en-US"/>
        </w:rPr>
        <w:t>NCD</w:t>
      </w:r>
      <w:r w:rsidR="000304F9">
        <w:rPr>
          <w:color w:val="595959"/>
          <w:u w:color="595959"/>
          <w:lang w:val="en-US"/>
        </w:rPr>
        <w:t>)</w:t>
      </w:r>
      <w:r w:rsidR="00A44C3F">
        <w:rPr>
          <w:color w:val="595959"/>
          <w:u w:color="595959"/>
          <w:lang w:val="en-US"/>
        </w:rPr>
        <w:t xml:space="preserve"> prevention and treatment activities.</w:t>
      </w:r>
      <w:r>
        <w:rPr>
          <w:color w:val="595959"/>
          <w:u w:color="595959"/>
          <w:lang w:val="en-US"/>
        </w:rPr>
        <w:t xml:space="preserve"> However,</w:t>
      </w:r>
      <w:r w:rsidR="00400CEA">
        <w:rPr>
          <w:color w:val="595959"/>
          <w:u w:color="595959"/>
          <w:lang w:val="en-US"/>
        </w:rPr>
        <w:t xml:space="preserve"> there is</w:t>
      </w:r>
      <w:r>
        <w:rPr>
          <w:color w:val="595959"/>
          <w:u w:color="595959"/>
          <w:lang w:val="en-US"/>
        </w:rPr>
        <w:t xml:space="preserve"> </w:t>
      </w:r>
      <w:r w:rsidR="00077372">
        <w:rPr>
          <w:color w:val="595959"/>
          <w:u w:color="595959"/>
          <w:lang w:val="en-US"/>
        </w:rPr>
        <w:t>slow progress on embedding systems improvements</w:t>
      </w:r>
      <w:r w:rsidR="00A44C3F">
        <w:rPr>
          <w:color w:val="595959"/>
          <w:u w:color="595959"/>
          <w:lang w:val="en-US"/>
        </w:rPr>
        <w:t xml:space="preserve">. While there has been progress in planning for improved measuring and reporting of higher level outcomes, and for using the data for planning, these systems will take some time to become operational. </w:t>
      </w:r>
      <w:r w:rsidR="00B76FDB">
        <w:rPr>
          <w:color w:val="595959"/>
          <w:u w:color="595959"/>
          <w:lang w:val="en-US"/>
        </w:rPr>
        <w:t xml:space="preserve">The program continues to promote disability inclusion for a more equitable health system, supporting </w:t>
      </w:r>
      <w:r w:rsidR="00B76FDB" w:rsidRPr="00B76FDB">
        <w:rPr>
          <w:color w:val="595959"/>
          <w:u w:color="595959"/>
          <w:lang w:val="en-US"/>
        </w:rPr>
        <w:t>people with disabilities to access the services and assistive products they need</w:t>
      </w:r>
      <w:r w:rsidR="00B76FDB">
        <w:rPr>
          <w:color w:val="595959"/>
          <w:u w:color="595959"/>
          <w:lang w:val="en-US"/>
        </w:rPr>
        <w:t xml:space="preserve">, including using </w:t>
      </w:r>
      <w:r w:rsidR="009653E7">
        <w:rPr>
          <w:color w:val="595959"/>
          <w:u w:color="595959"/>
          <w:lang w:val="en-US"/>
        </w:rPr>
        <w:t>fund</w:t>
      </w:r>
      <w:r w:rsidR="00B76FDB">
        <w:rPr>
          <w:color w:val="595959"/>
          <w:u w:color="595959"/>
          <w:lang w:val="en-US"/>
        </w:rPr>
        <w:t xml:space="preserve">ing of </w:t>
      </w:r>
      <w:r w:rsidR="009653E7">
        <w:rPr>
          <w:color w:val="595959"/>
          <w:u w:color="595959"/>
          <w:lang w:val="en-US"/>
        </w:rPr>
        <w:t>$3 million earmarked for disability inclusion activities</w:t>
      </w:r>
      <w:r w:rsidR="00B76FDB">
        <w:rPr>
          <w:color w:val="595959"/>
          <w:u w:color="595959"/>
          <w:lang w:val="en-US"/>
        </w:rPr>
        <w:t>.</w:t>
      </w:r>
    </w:p>
    <w:p w:rsidR="00C80AC6" w:rsidRDefault="00834F71" w:rsidP="00D95B11">
      <w:pPr>
        <w:pStyle w:val="Body"/>
        <w:rPr>
          <w:rFonts w:ascii="Calibri" w:eastAsia="Calibri" w:hAnsi="Calibri" w:cs="Calibri"/>
          <w:caps/>
          <w:color w:val="595959"/>
          <w:sz w:val="38"/>
          <w:szCs w:val="38"/>
          <w:u w:color="595959"/>
        </w:rPr>
      </w:pPr>
      <w:r>
        <w:rPr>
          <w:color w:val="595959"/>
          <w:u w:color="595959"/>
          <w:lang w:val="en-US"/>
        </w:rPr>
        <w:t>The Tonga Health System Support Program (THSSP2) ($17 million, 2015</w:t>
      </w:r>
      <w:r w:rsidR="00C80AC6">
        <w:rPr>
          <w:color w:val="595959"/>
          <w:u w:color="595959"/>
          <w:lang w:val="en-US"/>
        </w:rPr>
        <w:t>-</w:t>
      </w:r>
      <w:r>
        <w:rPr>
          <w:color w:val="595959"/>
          <w:u w:color="595959"/>
          <w:lang w:val="en-US"/>
        </w:rPr>
        <w:t>20)—</w:t>
      </w:r>
      <w:r w:rsidR="00C80AC6">
        <w:rPr>
          <w:color w:val="595959"/>
          <w:u w:color="595959"/>
          <w:lang w:val="en-US"/>
        </w:rPr>
        <w:t>forms the core of a</w:t>
      </w:r>
      <w:r>
        <w:rPr>
          <w:color w:val="595959"/>
          <w:u w:color="595959"/>
          <w:lang w:val="en-US"/>
        </w:rPr>
        <w:t xml:space="preserve"> strong relationship between Australia and </w:t>
      </w:r>
      <w:r w:rsidR="00C80AC6">
        <w:rPr>
          <w:color w:val="595959"/>
          <w:u w:color="595959"/>
          <w:lang w:val="en-US"/>
        </w:rPr>
        <w:t>Tonga’s health sector</w:t>
      </w:r>
      <w:r w:rsidR="00D03BE6">
        <w:rPr>
          <w:color w:val="595959"/>
          <w:u w:color="595959"/>
          <w:lang w:val="en-US"/>
        </w:rPr>
        <w:t>s</w:t>
      </w:r>
      <w:r w:rsidR="00C80AC6">
        <w:rPr>
          <w:color w:val="595959"/>
          <w:u w:color="595959"/>
          <w:lang w:val="en-US"/>
        </w:rPr>
        <w:t>. THSSP2 supports the Ministry of Health (MoH) with a direct funding agreement ($</w:t>
      </w:r>
      <w:r w:rsidR="00077372">
        <w:rPr>
          <w:color w:val="595959"/>
          <w:u w:color="595959"/>
          <w:lang w:val="en-US"/>
        </w:rPr>
        <w:t>11 million, 2015-20</w:t>
      </w:r>
      <w:r w:rsidR="00C80AC6">
        <w:rPr>
          <w:color w:val="595959"/>
          <w:u w:color="595959"/>
          <w:lang w:val="en-US"/>
        </w:rPr>
        <w:t>), focusing on the management of NCDs in primary care, health promotion, and support for gender equality and social inclusion.</w:t>
      </w:r>
      <w:r w:rsidR="00D95B11">
        <w:rPr>
          <w:color w:val="595959"/>
          <w:u w:color="595959"/>
          <w:lang w:val="en-US"/>
        </w:rPr>
        <w:t xml:space="preserve"> </w:t>
      </w:r>
      <w:r w:rsidR="00C80AC6">
        <w:rPr>
          <w:color w:val="595959"/>
          <w:u w:color="595959"/>
          <w:lang w:val="en-US"/>
        </w:rPr>
        <w:t>THSSP2 also includes a grant agreement with Tonga Health</w:t>
      </w:r>
      <w:r w:rsidR="00077372">
        <w:rPr>
          <w:color w:val="595959"/>
          <w:u w:color="595959"/>
          <w:lang w:val="en-US"/>
        </w:rPr>
        <w:t xml:space="preserve"> ($2 million, 2016-20)</w:t>
      </w:r>
      <w:r w:rsidR="00C80AC6">
        <w:rPr>
          <w:color w:val="595959"/>
          <w:u w:color="595959"/>
          <w:lang w:val="en-US"/>
        </w:rPr>
        <w:t xml:space="preserve"> to implement and coordinate Tonga</w:t>
      </w:r>
      <w:r w:rsidR="00C80AC6">
        <w:rPr>
          <w:color w:val="595959"/>
          <w:u w:color="595959"/>
        </w:rPr>
        <w:t>’</w:t>
      </w:r>
      <w:r w:rsidR="00C80AC6">
        <w:rPr>
          <w:color w:val="595959"/>
          <w:u w:color="595959"/>
          <w:lang w:val="en-US"/>
        </w:rPr>
        <w:t>s national NCD strategy.</w:t>
      </w:r>
    </w:p>
    <w:p w:rsidR="005644B8" w:rsidRPr="008D3193" w:rsidRDefault="00400CEA" w:rsidP="008D3193">
      <w:pPr>
        <w:pStyle w:val="Body"/>
        <w:rPr>
          <w:color w:val="595959"/>
          <w:u w:color="595959"/>
          <w:lang w:val="en-US"/>
        </w:rPr>
      </w:pPr>
      <w:r w:rsidRPr="00C50955">
        <w:rPr>
          <w:color w:val="595959"/>
          <w:u w:color="595959"/>
          <w:lang w:val="en-US"/>
        </w:rPr>
        <w:lastRenderedPageBreak/>
        <w:t>MoH did not achieve the expected level of budget expenditure for the year</w:t>
      </w:r>
      <w:r>
        <w:rPr>
          <w:color w:val="595959"/>
          <w:u w:color="595959"/>
          <w:lang w:val="en-US"/>
        </w:rPr>
        <w:t xml:space="preserve"> (exact expenditure is yet to be acquitted). It was d</w:t>
      </w:r>
      <w:r w:rsidR="00A44C3F">
        <w:rPr>
          <w:color w:val="595959"/>
          <w:u w:color="595959"/>
          <w:lang w:val="en-US"/>
        </w:rPr>
        <w:t xml:space="preserve">elayed by a number of factors including the dissolution of government, MoH’s involvement in the response to Cyclone Gita, </w:t>
      </w:r>
      <w:r w:rsidR="00C80AC6">
        <w:rPr>
          <w:color w:val="595959"/>
          <w:u w:color="595959"/>
          <w:lang w:val="en-US"/>
        </w:rPr>
        <w:t>and</w:t>
      </w:r>
      <w:r w:rsidR="00077372">
        <w:rPr>
          <w:color w:val="595959"/>
          <w:u w:color="595959"/>
          <w:lang w:val="en-US"/>
        </w:rPr>
        <w:t xml:space="preserve"> pr</w:t>
      </w:r>
      <w:r w:rsidR="000304F9">
        <w:rPr>
          <w:color w:val="595959"/>
          <w:u w:color="595959"/>
          <w:lang w:val="en-US"/>
        </w:rPr>
        <w:t>ior</w:t>
      </w:r>
      <w:r w:rsidR="00C80AC6">
        <w:rPr>
          <w:color w:val="595959"/>
          <w:u w:color="595959"/>
          <w:lang w:val="en-US"/>
        </w:rPr>
        <w:t xml:space="preserve"> administrative delays which resulted in the payment of the 2017-18 tranche being pushed </w:t>
      </w:r>
      <w:r w:rsidR="00C80AC6" w:rsidRPr="00C50955">
        <w:rPr>
          <w:color w:val="595959"/>
          <w:u w:color="595959"/>
          <w:lang w:val="en-US"/>
        </w:rPr>
        <w:t>back to November instead of August</w:t>
      </w:r>
      <w:r w:rsidR="00834F71" w:rsidRPr="00C50955">
        <w:rPr>
          <w:color w:val="595959"/>
          <w:u w:color="595959"/>
          <w:lang w:val="en-US"/>
        </w:rPr>
        <w:t xml:space="preserve">. </w:t>
      </w:r>
      <w:r w:rsidR="00341BAD" w:rsidRPr="00C50955">
        <w:rPr>
          <w:color w:val="595959"/>
          <w:u w:color="595959"/>
          <w:lang w:val="en-US"/>
        </w:rPr>
        <w:t>In addition</w:t>
      </w:r>
      <w:r w:rsidR="00341BAD">
        <w:rPr>
          <w:color w:val="595959"/>
          <w:u w:color="595959"/>
          <w:lang w:val="en-US"/>
        </w:rPr>
        <w:t xml:space="preserve">, protracted negotations </w:t>
      </w:r>
      <w:r w:rsidR="00971E32">
        <w:rPr>
          <w:color w:val="595959"/>
          <w:u w:color="595959"/>
          <w:lang w:val="en-US"/>
        </w:rPr>
        <w:t xml:space="preserve">between MoH and DFAT </w:t>
      </w:r>
      <w:r w:rsidR="00341BAD">
        <w:rPr>
          <w:color w:val="595959"/>
          <w:u w:color="595959"/>
          <w:lang w:val="en-US"/>
        </w:rPr>
        <w:t xml:space="preserve">about the quality assurance and risk management standards required to proceed with </w:t>
      </w:r>
      <w:r w:rsidR="00E447EA">
        <w:rPr>
          <w:color w:val="595959"/>
          <w:u w:color="595959"/>
          <w:lang w:val="en-US"/>
        </w:rPr>
        <w:t xml:space="preserve">large </w:t>
      </w:r>
      <w:r w:rsidR="00341BAD">
        <w:rPr>
          <w:color w:val="595959"/>
          <w:u w:color="595959"/>
          <w:lang w:val="en-US"/>
        </w:rPr>
        <w:t xml:space="preserve">activities including the introduction of a new generalist doctor cadre and the refurbishment of the psychiatric ward at Vaiola hospital </w:t>
      </w:r>
      <w:r w:rsidR="00032AA3">
        <w:rPr>
          <w:color w:val="595959"/>
          <w:u w:color="595959"/>
          <w:lang w:val="en-US"/>
        </w:rPr>
        <w:t xml:space="preserve">further </w:t>
      </w:r>
      <w:r w:rsidR="00341BAD">
        <w:rPr>
          <w:color w:val="595959"/>
          <w:u w:color="595959"/>
          <w:lang w:val="en-US"/>
        </w:rPr>
        <w:t xml:space="preserve">delayed </w:t>
      </w:r>
      <w:r w:rsidR="000304F9">
        <w:rPr>
          <w:color w:val="595959"/>
          <w:u w:color="595959"/>
          <w:lang w:val="en-US"/>
        </w:rPr>
        <w:t>implementation</w:t>
      </w:r>
      <w:r w:rsidR="00341BAD">
        <w:rPr>
          <w:color w:val="595959"/>
          <w:u w:color="595959"/>
          <w:lang w:val="en-US"/>
        </w:rPr>
        <w:t xml:space="preserve">. </w:t>
      </w:r>
      <w:r w:rsidR="001F2567">
        <w:rPr>
          <w:color w:val="595959"/>
          <w:u w:color="595959"/>
          <w:lang w:val="en-US"/>
        </w:rPr>
        <w:t>Similarly, progress of Tonga Health’s grant-funded activities slowed over the year as partners’ implementation delays snowballed</w:t>
      </w:r>
      <w:r w:rsidR="007910C4">
        <w:rPr>
          <w:color w:val="595959"/>
          <w:u w:color="595959"/>
          <w:lang w:val="en-US"/>
        </w:rPr>
        <w:t>, and Tonga Health awarded only four new grants in the year (compared to 20 in 2016-17)</w:t>
      </w:r>
      <w:r w:rsidR="001F2567">
        <w:rPr>
          <w:color w:val="595959"/>
          <w:u w:color="595959"/>
          <w:lang w:val="en-US"/>
        </w:rPr>
        <w:t xml:space="preserve">. </w:t>
      </w:r>
      <w:r w:rsidR="00341BAD">
        <w:rPr>
          <w:color w:val="595959"/>
          <w:u w:color="595959"/>
          <w:lang w:val="en-US"/>
        </w:rPr>
        <w:t xml:space="preserve">However, </w:t>
      </w:r>
      <w:r w:rsidR="00971E32">
        <w:rPr>
          <w:color w:val="595959"/>
          <w:u w:color="595959"/>
          <w:lang w:val="en-US"/>
        </w:rPr>
        <w:t>planned</w:t>
      </w:r>
      <w:r w:rsidR="00341BAD">
        <w:rPr>
          <w:color w:val="595959"/>
          <w:u w:color="595959"/>
          <w:lang w:val="en-US"/>
        </w:rPr>
        <w:t xml:space="preserve"> NCD services continued to be delivered with Australian support, and a major investment with Motivation Australia for a new mobility device service is on track. </w:t>
      </w:r>
      <w:r w:rsidR="001C446F">
        <w:rPr>
          <w:color w:val="595959"/>
          <w:u w:color="595959"/>
          <w:lang w:val="en-US"/>
        </w:rPr>
        <w:t>DFAT supported several anti-tobacco activities with</w:t>
      </w:r>
      <w:r w:rsidR="00834F71" w:rsidRPr="001F2567">
        <w:rPr>
          <w:color w:val="595959"/>
          <w:u w:color="595959"/>
          <w:lang w:val="en-US"/>
        </w:rPr>
        <w:t xml:space="preserve"> Tonga</w:t>
      </w:r>
      <w:r w:rsidR="000304F9">
        <w:rPr>
          <w:color w:val="595959"/>
          <w:u w:color="595959"/>
          <w:lang w:val="en-US"/>
        </w:rPr>
        <w:t xml:space="preserve"> </w:t>
      </w:r>
      <w:r w:rsidR="00834F71" w:rsidRPr="001F2567">
        <w:rPr>
          <w:color w:val="595959"/>
          <w:u w:color="595959"/>
          <w:lang w:val="en-US"/>
        </w:rPr>
        <w:t>Health and the Ministry of Health</w:t>
      </w:r>
      <w:r w:rsidR="001C446F">
        <w:rPr>
          <w:color w:val="595959"/>
          <w:u w:color="595959"/>
          <w:lang w:val="en-US"/>
        </w:rPr>
        <w:t>, which</w:t>
      </w:r>
      <w:r w:rsidR="00834F71" w:rsidRPr="001F2567">
        <w:rPr>
          <w:color w:val="595959"/>
          <w:u w:color="595959"/>
          <w:lang w:val="en-US"/>
        </w:rPr>
        <w:t xml:space="preserve"> were jointly awarded the World Health Organization’s ‘World No Tobacco Day Award’ for “their outstanding contribution to the fight against tobacco use in the region”.</w:t>
      </w:r>
    </w:p>
    <w:p w:rsidR="00834F71" w:rsidRDefault="005E74B3" w:rsidP="00C50955">
      <w:pPr>
        <w:pStyle w:val="Body"/>
      </w:pPr>
      <w:r>
        <w:rPr>
          <w:color w:val="595959"/>
          <w:u w:color="595959"/>
          <w:lang w:val="en-US"/>
        </w:rPr>
        <w:t>S</w:t>
      </w:r>
      <w:r w:rsidR="00190F0A">
        <w:rPr>
          <w:color w:val="595959"/>
          <w:u w:color="595959"/>
          <w:lang w:val="en-US"/>
        </w:rPr>
        <w:t xml:space="preserve">trategic health </w:t>
      </w:r>
      <w:r>
        <w:rPr>
          <w:color w:val="595959"/>
          <w:u w:color="595959"/>
          <w:lang w:val="en-US"/>
        </w:rPr>
        <w:t xml:space="preserve">system </w:t>
      </w:r>
      <w:r w:rsidR="00190F0A">
        <w:rPr>
          <w:color w:val="595959"/>
          <w:u w:color="595959"/>
          <w:lang w:val="en-US"/>
        </w:rPr>
        <w:t xml:space="preserve">challenges </w:t>
      </w:r>
      <w:r w:rsidR="001F2567">
        <w:rPr>
          <w:color w:val="595959"/>
          <w:u w:color="595959"/>
          <w:lang w:val="en-US"/>
        </w:rPr>
        <w:t xml:space="preserve">are having an increasing effect on program success </w:t>
      </w:r>
      <w:r w:rsidR="00190F0A">
        <w:rPr>
          <w:color w:val="595959"/>
          <w:u w:color="595959"/>
          <w:lang w:val="en-US"/>
        </w:rPr>
        <w:t xml:space="preserve">across our partnerships with both MoH and Tonga Health, </w:t>
      </w:r>
      <w:r w:rsidR="001F2567">
        <w:rPr>
          <w:color w:val="595959"/>
          <w:u w:color="595959"/>
          <w:lang w:val="en-US"/>
        </w:rPr>
        <w:t>a</w:t>
      </w:r>
      <w:r w:rsidR="00190F0A">
        <w:rPr>
          <w:color w:val="595959"/>
          <w:u w:color="595959"/>
          <w:lang w:val="en-US"/>
        </w:rPr>
        <w:t>ffect</w:t>
      </w:r>
      <w:r w:rsidR="001F2567">
        <w:rPr>
          <w:color w:val="595959"/>
          <w:u w:color="595959"/>
          <w:lang w:val="en-US"/>
        </w:rPr>
        <w:t>ing</w:t>
      </w:r>
      <w:r w:rsidR="00190F0A">
        <w:rPr>
          <w:color w:val="595959"/>
          <w:u w:color="595959"/>
          <w:lang w:val="en-US"/>
        </w:rPr>
        <w:t xml:space="preserve"> the ability to achieve sustainable, inclusive reforms. </w:t>
      </w:r>
      <w:r w:rsidR="001F2567">
        <w:rPr>
          <w:color w:val="595959"/>
          <w:u w:color="595959"/>
          <w:lang w:val="en-US"/>
        </w:rPr>
        <w:t>Several k</w:t>
      </w:r>
      <w:r w:rsidR="00190F0A">
        <w:rPr>
          <w:color w:val="595959"/>
          <w:u w:color="595959"/>
          <w:lang w:val="en-US"/>
        </w:rPr>
        <w:t>ey counter</w:t>
      </w:r>
      <w:r w:rsidR="00834F71">
        <w:rPr>
          <w:color w:val="595959"/>
          <w:u w:color="595959"/>
          <w:lang w:val="en-US"/>
        </w:rPr>
        <w:t>part staff positions in the MoH</w:t>
      </w:r>
      <w:r w:rsidR="001F2567">
        <w:rPr>
          <w:color w:val="595959"/>
          <w:u w:color="595959"/>
          <w:lang w:val="en-US"/>
        </w:rPr>
        <w:t xml:space="preserve"> and </w:t>
      </w:r>
      <w:r w:rsidR="00190F0A">
        <w:rPr>
          <w:color w:val="595959"/>
          <w:u w:color="595959"/>
          <w:lang w:val="en-US"/>
        </w:rPr>
        <w:t>Tonga Health were vacant for several months of 2017-18</w:t>
      </w:r>
      <w:r w:rsidR="00834F71">
        <w:rPr>
          <w:color w:val="595959"/>
          <w:u w:color="595959"/>
          <w:lang w:val="en-US"/>
        </w:rPr>
        <w:t>.</w:t>
      </w:r>
      <w:r w:rsidR="00D374D2">
        <w:rPr>
          <w:color w:val="595959"/>
          <w:u w:color="595959"/>
          <w:lang w:val="en-US"/>
        </w:rPr>
        <w:t xml:space="preserve"> High</w:t>
      </w:r>
      <w:r w:rsidR="00ED6044">
        <w:rPr>
          <w:color w:val="595959"/>
          <w:u w:color="595959"/>
          <w:lang w:val="en-US"/>
        </w:rPr>
        <w:t>-</w:t>
      </w:r>
      <w:r w:rsidR="00D374D2">
        <w:rPr>
          <w:color w:val="595959"/>
          <w:u w:color="595959"/>
          <w:lang w:val="en-US"/>
        </w:rPr>
        <w:t>level governance meetings such as the National Health Development Committee, National NCD Committee, and Tonga Health Board have not been routine</w:t>
      </w:r>
      <w:r w:rsidR="001F2567">
        <w:rPr>
          <w:color w:val="595959"/>
          <w:u w:color="595959"/>
          <w:lang w:val="en-US"/>
        </w:rPr>
        <w:t xml:space="preserve"> </w:t>
      </w:r>
      <w:r w:rsidR="00D374D2">
        <w:rPr>
          <w:color w:val="595959"/>
          <w:u w:color="595959"/>
          <w:lang w:val="en-US"/>
        </w:rPr>
        <w:t>2017-18</w:t>
      </w:r>
      <w:r w:rsidR="00DB30E8">
        <w:rPr>
          <w:color w:val="595959"/>
          <w:u w:color="595959"/>
          <w:lang w:val="en-US"/>
        </w:rPr>
        <w:t>. Both of these factors</w:t>
      </w:r>
      <w:r w:rsidR="00D374D2">
        <w:rPr>
          <w:color w:val="595959"/>
          <w:u w:color="595959"/>
          <w:lang w:val="en-US"/>
        </w:rPr>
        <w:t xml:space="preserve"> limited Australia’s ability to </w:t>
      </w:r>
      <w:r w:rsidR="001F2567">
        <w:rPr>
          <w:color w:val="595959"/>
          <w:u w:color="595959"/>
          <w:lang w:val="en-US"/>
        </w:rPr>
        <w:t xml:space="preserve">participate </w:t>
      </w:r>
      <w:r w:rsidR="00D374D2">
        <w:rPr>
          <w:color w:val="595959"/>
          <w:u w:color="595959"/>
          <w:lang w:val="en-US"/>
        </w:rPr>
        <w:t xml:space="preserve">in strategic discussions. The lack </w:t>
      </w:r>
      <w:r w:rsidR="0015460A">
        <w:rPr>
          <w:color w:val="595959"/>
          <w:u w:color="595959"/>
          <w:lang w:val="en-US"/>
        </w:rPr>
        <w:t xml:space="preserve">of integrated </w:t>
      </w:r>
      <w:r w:rsidR="00D374D2">
        <w:rPr>
          <w:color w:val="595959"/>
          <w:u w:color="595959"/>
          <w:lang w:val="en-US"/>
        </w:rPr>
        <w:t>approaches to budgeting, planning, assessing and reporting on health activities</w:t>
      </w:r>
      <w:r w:rsidR="001F2567">
        <w:rPr>
          <w:color w:val="595959"/>
          <w:u w:color="595959"/>
          <w:lang w:val="en-US"/>
        </w:rPr>
        <w:t xml:space="preserve"> becoming embedded over the first three years of the program</w:t>
      </w:r>
      <w:r w:rsidR="00D374D2">
        <w:rPr>
          <w:color w:val="595959"/>
          <w:u w:color="595959"/>
          <w:lang w:val="en-US"/>
        </w:rPr>
        <w:t xml:space="preserve"> mean</w:t>
      </w:r>
      <w:r w:rsidR="00400CEA">
        <w:rPr>
          <w:color w:val="595959"/>
          <w:u w:color="595959"/>
          <w:lang w:val="en-US"/>
        </w:rPr>
        <w:t>s</w:t>
      </w:r>
      <w:r w:rsidR="00D374D2">
        <w:rPr>
          <w:color w:val="595959"/>
          <w:u w:color="595959"/>
          <w:lang w:val="en-US"/>
        </w:rPr>
        <w:t xml:space="preserve"> that the impact of THSSP2 activities on higher level outcomes remains unclear. However</w:t>
      </w:r>
      <w:r w:rsidR="00DB30E8">
        <w:rPr>
          <w:color w:val="595959"/>
          <w:u w:color="595959"/>
          <w:lang w:val="en-US"/>
        </w:rPr>
        <w:t>,</w:t>
      </w:r>
      <w:r w:rsidR="00D374D2">
        <w:rPr>
          <w:color w:val="595959"/>
          <w:u w:color="595959"/>
          <w:lang w:val="en-US"/>
        </w:rPr>
        <w:t xml:space="preserve"> significant new activities in 2018-19 including the implementation of the </w:t>
      </w:r>
      <w:r w:rsidR="00650271">
        <w:rPr>
          <w:color w:val="595959"/>
          <w:u w:color="595959"/>
          <w:lang w:val="en-US"/>
        </w:rPr>
        <w:t xml:space="preserve">DFAT-supported </w:t>
      </w:r>
      <w:r w:rsidR="00D374D2">
        <w:rPr>
          <w:color w:val="595959"/>
          <w:u w:color="595959"/>
          <w:lang w:val="en-US"/>
        </w:rPr>
        <w:t xml:space="preserve">Package of Essential Health Services as the core of MoH budgeting processes, the reporting of national NCDs data from the STEPS survey, and the direction from a new corporate services team, are expected to result in major improvements. </w:t>
      </w:r>
    </w:p>
    <w:p w:rsidR="005644B8" w:rsidRDefault="00834F71">
      <w:pPr>
        <w:pStyle w:val="Body"/>
        <w:rPr>
          <w:rFonts w:ascii="Calibri" w:eastAsia="Calibri" w:hAnsi="Calibri" w:cs="Calibri"/>
          <w:caps/>
          <w:sz w:val="38"/>
          <w:szCs w:val="38"/>
        </w:rPr>
      </w:pPr>
      <w:r>
        <w:rPr>
          <w:rFonts w:ascii="Calibri" w:eastAsia="Calibri" w:hAnsi="Calibri" w:cs="Calibri"/>
          <w:caps/>
          <w:sz w:val="38"/>
          <w:szCs w:val="38"/>
          <w:lang w:val="en-US"/>
        </w:rPr>
        <w:t xml:space="preserve">Skills development in support of economic opportunities for Tongan workers </w:t>
      </w:r>
    </w:p>
    <w:tbl>
      <w:tblPr>
        <w:tblW w:w="96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2017"/>
        <w:gridCol w:w="1904"/>
        <w:gridCol w:w="1906"/>
        <w:gridCol w:w="1905"/>
        <w:gridCol w:w="1905"/>
      </w:tblGrid>
      <w:tr w:rsidR="005644B8">
        <w:trPr>
          <w:trHeight w:val="1149"/>
        </w:trPr>
        <w:tc>
          <w:tcPr>
            <w:tcW w:w="2016"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uppressAutoHyphens w:val="0"/>
              <w:spacing w:before="80" w:after="80" w:line="240" w:lineRule="auto"/>
              <w:jc w:val="center"/>
            </w:pPr>
            <w:r>
              <w:rPr>
                <w:rFonts w:ascii="Calibri" w:eastAsia="Calibri" w:hAnsi="Calibri" w:cs="Calibri"/>
                <w:caps/>
                <w:noProof/>
                <w:sz w:val="38"/>
                <w:szCs w:val="38"/>
              </w:rPr>
              <w:drawing>
                <wp:inline distT="0" distB="0" distL="0" distR="0" wp14:anchorId="63F8BB8F" wp14:editId="584058A8">
                  <wp:extent cx="1047750" cy="663134"/>
                  <wp:effectExtent l="0" t="0" r="0" b="0"/>
                  <wp:docPr id="1073741840" name="officeArt object" descr="SDG Contribution.JPG"/>
                  <wp:cNvGraphicFramePr/>
                  <a:graphic xmlns:a="http://schemas.openxmlformats.org/drawingml/2006/main">
                    <a:graphicData uri="http://schemas.openxmlformats.org/drawingml/2006/picture">
                      <pic:pic xmlns:pic="http://schemas.openxmlformats.org/drawingml/2006/picture">
                        <pic:nvPicPr>
                          <pic:cNvPr id="1073741840" name="SDG Contribution.JPG" descr="SDG Contribution.JPG"/>
                          <pic:cNvPicPr>
                            <a:picLocks noChangeAspect="1"/>
                          </pic:cNvPicPr>
                        </pic:nvPicPr>
                        <pic:blipFill>
                          <a:blip r:embed="rId21">
                            <a:extLst/>
                          </a:blip>
                          <a:stretch>
                            <a:fillRect/>
                          </a:stretch>
                        </pic:blipFill>
                        <pic:spPr>
                          <a:xfrm>
                            <a:off x="0" y="0"/>
                            <a:ext cx="1047750" cy="663134"/>
                          </a:xfrm>
                          <a:prstGeom prst="rect">
                            <a:avLst/>
                          </a:prstGeom>
                          <a:ln w="12700" cap="flat">
                            <a:noFill/>
                            <a:miter lim="400000"/>
                          </a:ln>
                          <a:effectLst/>
                        </pic:spPr>
                      </pic:pic>
                    </a:graphicData>
                  </a:graphic>
                </wp:inline>
              </w:drawing>
            </w:r>
          </w:p>
        </w:tc>
        <w:tc>
          <w:tcPr>
            <w:tcW w:w="1904"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uppressAutoHyphens w:val="0"/>
              <w:spacing w:before="160" w:after="80" w:line="240" w:lineRule="auto"/>
              <w:jc w:val="center"/>
            </w:pPr>
            <w:r>
              <w:rPr>
                <w:rFonts w:ascii="Calibri" w:eastAsia="Calibri" w:hAnsi="Calibri" w:cs="Calibri"/>
                <w:caps/>
                <w:noProof/>
                <w:sz w:val="38"/>
                <w:szCs w:val="38"/>
              </w:rPr>
              <w:drawing>
                <wp:inline distT="0" distB="0" distL="0" distR="0" wp14:anchorId="3795FA9A" wp14:editId="0FBBAA0F">
                  <wp:extent cx="609600" cy="609600"/>
                  <wp:effectExtent l="0" t="0" r="0" b="0"/>
                  <wp:docPr id="1073741841" name="officeArt object" descr="Picture 2"/>
                  <wp:cNvGraphicFramePr/>
                  <a:graphic xmlns:a="http://schemas.openxmlformats.org/drawingml/2006/main">
                    <a:graphicData uri="http://schemas.openxmlformats.org/drawingml/2006/picture">
                      <pic:pic xmlns:pic="http://schemas.openxmlformats.org/drawingml/2006/picture">
                        <pic:nvPicPr>
                          <pic:cNvPr id="1073741841" name="Picture 2" descr="Picture 2"/>
                          <pic:cNvPicPr>
                            <a:picLocks noChangeAspect="1"/>
                          </pic:cNvPicPr>
                        </pic:nvPicPr>
                        <pic:blipFill>
                          <a:blip r:embed="rId25">
                            <a:extLst/>
                          </a:blip>
                          <a:stretch>
                            <a:fillRect/>
                          </a:stretch>
                        </pic:blipFill>
                        <pic:spPr>
                          <a:xfrm>
                            <a:off x="0" y="0"/>
                            <a:ext cx="609600" cy="609600"/>
                          </a:xfrm>
                          <a:prstGeom prst="rect">
                            <a:avLst/>
                          </a:prstGeom>
                          <a:ln w="12700" cap="flat">
                            <a:noFill/>
                            <a:miter lim="400000"/>
                          </a:ln>
                          <a:effectLst/>
                        </pic:spPr>
                      </pic:pic>
                    </a:graphicData>
                  </a:graphic>
                </wp:inline>
              </w:drawing>
            </w:r>
          </w:p>
        </w:tc>
        <w:tc>
          <w:tcPr>
            <w:tcW w:w="1906"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uppressAutoHyphens w:val="0"/>
              <w:spacing w:before="160" w:after="80" w:line="240" w:lineRule="auto"/>
              <w:jc w:val="center"/>
            </w:pPr>
            <w:r>
              <w:rPr>
                <w:rFonts w:ascii="Franklin Gothic Book" w:eastAsia="Franklin Gothic Book" w:hAnsi="Franklin Gothic Book" w:cs="Franklin Gothic Book"/>
                <w:noProof/>
                <w:color w:val="000000"/>
                <w:sz w:val="21"/>
                <w:szCs w:val="21"/>
                <w:u w:color="000000"/>
              </w:rPr>
              <w:drawing>
                <wp:inline distT="0" distB="0" distL="0" distR="0" wp14:anchorId="2D77B933" wp14:editId="65089265">
                  <wp:extent cx="612000" cy="612000"/>
                  <wp:effectExtent l="0" t="0" r="0" b="0"/>
                  <wp:docPr id="1073741842" name="officeArt object" descr="SDG 4.png"/>
                  <wp:cNvGraphicFramePr/>
                  <a:graphic xmlns:a="http://schemas.openxmlformats.org/drawingml/2006/main">
                    <a:graphicData uri="http://schemas.openxmlformats.org/drawingml/2006/picture">
                      <pic:pic xmlns:pic="http://schemas.openxmlformats.org/drawingml/2006/picture">
                        <pic:nvPicPr>
                          <pic:cNvPr id="1073741842" name="SDG 4.png" descr="SDG 4.png"/>
                          <pic:cNvPicPr>
                            <a:picLocks noChangeAspect="1"/>
                          </pic:cNvPicPr>
                        </pic:nvPicPr>
                        <pic:blipFill>
                          <a:blip r:embed="rId26">
                            <a:extLst/>
                          </a:blip>
                          <a:stretch>
                            <a:fillRect/>
                          </a:stretch>
                        </pic:blipFill>
                        <pic:spPr>
                          <a:xfrm>
                            <a:off x="0" y="0"/>
                            <a:ext cx="612000" cy="612000"/>
                          </a:xfrm>
                          <a:prstGeom prst="rect">
                            <a:avLst/>
                          </a:prstGeom>
                          <a:ln w="12700" cap="flat">
                            <a:noFill/>
                            <a:miter lim="400000"/>
                          </a:ln>
                          <a:effectLst/>
                        </pic:spPr>
                      </pic:pic>
                    </a:graphicData>
                  </a:graphic>
                </wp:inline>
              </w:drawing>
            </w:r>
          </w:p>
        </w:tc>
        <w:tc>
          <w:tcPr>
            <w:tcW w:w="1905"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suppressAutoHyphens w:val="0"/>
              <w:spacing w:before="160" w:after="80" w:line="240" w:lineRule="auto"/>
              <w:jc w:val="center"/>
            </w:pPr>
            <w:r>
              <w:rPr>
                <w:noProof/>
              </w:rPr>
              <w:drawing>
                <wp:inline distT="0" distB="0" distL="0" distR="0" wp14:anchorId="14E527BA" wp14:editId="3631C7CA">
                  <wp:extent cx="609600" cy="609600"/>
                  <wp:effectExtent l="0" t="0" r="0" b="0"/>
                  <wp:docPr id="1073741843" name="officeArt object" descr="C:\Users\scarpen2\AppData\Local\Microsoft\Windows\INetCache\Content.Word\SDG 8.png"/>
                  <wp:cNvGraphicFramePr/>
                  <a:graphic xmlns:a="http://schemas.openxmlformats.org/drawingml/2006/main">
                    <a:graphicData uri="http://schemas.openxmlformats.org/drawingml/2006/picture">
                      <pic:pic xmlns:pic="http://schemas.openxmlformats.org/drawingml/2006/picture">
                        <pic:nvPicPr>
                          <pic:cNvPr id="1073741843" name="C:\Users\scarpen2\AppData\Local\Microsoft\Windows\INetCache\Content.Word\SDG 8.png" descr="C:\Users\scarpen2\AppData\Local\Microsoft\Windows\INetCache\Content.Word\SDG 8.png"/>
                          <pic:cNvPicPr>
                            <a:picLocks noChangeAspect="1"/>
                          </pic:cNvPicPr>
                        </pic:nvPicPr>
                        <pic:blipFill>
                          <a:blip r:embed="rId27">
                            <a:extLst/>
                          </a:blip>
                          <a:stretch>
                            <a:fillRect/>
                          </a:stretch>
                        </pic:blipFill>
                        <pic:spPr>
                          <a:xfrm>
                            <a:off x="0" y="0"/>
                            <a:ext cx="609600" cy="609600"/>
                          </a:xfrm>
                          <a:prstGeom prst="rect">
                            <a:avLst/>
                          </a:prstGeom>
                          <a:ln w="12700" cap="flat">
                            <a:noFill/>
                            <a:miter lim="400000"/>
                          </a:ln>
                          <a:effectLst/>
                        </pic:spPr>
                      </pic:pic>
                    </a:graphicData>
                  </a:graphic>
                </wp:inline>
              </w:drawing>
            </w:r>
          </w:p>
        </w:tc>
        <w:tc>
          <w:tcPr>
            <w:tcW w:w="1905" w:type="dxa"/>
            <w:tcBorders>
              <w:top w:val="nil"/>
              <w:left w:val="nil"/>
              <w:bottom w:val="nil"/>
              <w:right w:val="nil"/>
            </w:tcBorders>
            <w:shd w:val="clear" w:color="auto" w:fill="auto"/>
            <w:tcMar>
              <w:top w:w="80" w:type="dxa"/>
              <w:left w:w="80" w:type="dxa"/>
              <w:bottom w:w="80" w:type="dxa"/>
              <w:right w:w="80" w:type="dxa"/>
            </w:tcMar>
          </w:tcPr>
          <w:p w:rsidR="005644B8" w:rsidRDefault="005644B8">
            <w:pPr>
              <w:pStyle w:val="Body"/>
              <w:suppressAutoHyphens w:val="0"/>
              <w:spacing w:before="160" w:after="80" w:line="240" w:lineRule="auto"/>
              <w:jc w:val="center"/>
            </w:pPr>
          </w:p>
        </w:tc>
      </w:tr>
    </w:tbl>
    <w:p w:rsidR="00F72E63" w:rsidRDefault="00032AA3" w:rsidP="005255B4">
      <w:pPr>
        <w:pStyle w:val="Body"/>
        <w:rPr>
          <w:color w:val="595959"/>
          <w:u w:color="595959"/>
          <w:lang w:val="en-US"/>
        </w:rPr>
      </w:pPr>
      <w:r>
        <w:rPr>
          <w:color w:val="595959"/>
          <w:u w:color="595959"/>
          <w:lang w:val="en-US"/>
        </w:rPr>
        <w:t>This objective has been given a green performance rating</w:t>
      </w:r>
      <w:r w:rsidR="00E447EA">
        <w:rPr>
          <w:color w:val="595959"/>
          <w:u w:color="595959"/>
          <w:lang w:val="en-US"/>
        </w:rPr>
        <w:t>.</w:t>
      </w:r>
      <w:r w:rsidR="0086348E">
        <w:rPr>
          <w:color w:val="595959"/>
          <w:u w:color="595959"/>
          <w:lang w:val="en-US"/>
        </w:rPr>
        <w:t xml:space="preserve">  The</w:t>
      </w:r>
      <w:r w:rsidR="00502AC6">
        <w:rPr>
          <w:color w:val="595959"/>
          <w:u w:color="595959"/>
          <w:lang w:val="en-US"/>
        </w:rPr>
        <w:t xml:space="preserve"> main performance indicator of increasing number of students trained and completed w</w:t>
      </w:r>
      <w:r w:rsidR="00400CEA">
        <w:rPr>
          <w:color w:val="595959"/>
          <w:u w:color="595959"/>
          <w:lang w:val="en-US"/>
        </w:rPr>
        <w:t>as</w:t>
      </w:r>
      <w:r w:rsidR="00502AC6">
        <w:rPr>
          <w:color w:val="595959"/>
          <w:u w:color="595959"/>
          <w:lang w:val="en-US"/>
        </w:rPr>
        <w:t xml:space="preserve"> met</w:t>
      </w:r>
      <w:r w:rsidR="00F72E63">
        <w:rPr>
          <w:color w:val="595959"/>
          <w:u w:color="595959"/>
          <w:lang w:val="en-US"/>
        </w:rPr>
        <w:t xml:space="preserve">, as was the target for students and trainees in </w:t>
      </w:r>
      <w:r w:rsidR="008E00BB">
        <w:rPr>
          <w:color w:val="595959"/>
          <w:u w:color="595959"/>
          <w:lang w:val="en-US"/>
        </w:rPr>
        <w:t xml:space="preserve">non-traditional </w:t>
      </w:r>
      <w:r w:rsidR="00F72E63">
        <w:rPr>
          <w:color w:val="595959"/>
          <w:u w:color="595959"/>
          <w:lang w:val="en-US"/>
        </w:rPr>
        <w:t>gender fields.</w:t>
      </w:r>
      <w:r w:rsidR="00E447EA">
        <w:rPr>
          <w:color w:val="595959"/>
          <w:u w:color="595959"/>
          <w:lang w:val="en-US"/>
        </w:rPr>
        <w:t xml:space="preserve"> </w:t>
      </w:r>
      <w:r w:rsidR="00F72E63">
        <w:rPr>
          <w:color w:val="595959"/>
          <w:u w:color="595959"/>
          <w:lang w:val="en-US"/>
        </w:rPr>
        <w:t xml:space="preserve">A 2018 mid-term review found that the program had contributed to the strengthening of coordination and planning of the skills sector in Tonga, and a more responsive, flexible and inclusive national skills development network. Tonga Skills has </w:t>
      </w:r>
      <w:r w:rsidR="00F72E63" w:rsidRPr="00F72E63">
        <w:rPr>
          <w:color w:val="595959"/>
          <w:u w:color="595959"/>
          <w:lang w:val="en-US"/>
        </w:rPr>
        <w:t xml:space="preserve">created trust and credibility within these key networks, </w:t>
      </w:r>
      <w:r w:rsidR="00DB30E8">
        <w:rPr>
          <w:color w:val="595959"/>
          <w:u w:color="595959"/>
          <w:lang w:val="en-US"/>
        </w:rPr>
        <w:t xml:space="preserve">which has enabled it to pursue </w:t>
      </w:r>
      <w:r w:rsidR="00F72E63" w:rsidRPr="00F72E63">
        <w:rPr>
          <w:color w:val="595959"/>
          <w:u w:color="595959"/>
          <w:lang w:val="en-US"/>
        </w:rPr>
        <w:t xml:space="preserve">reform-focused initiatives. It </w:t>
      </w:r>
      <w:r w:rsidR="00D03BE6">
        <w:rPr>
          <w:color w:val="595959"/>
          <w:u w:color="595959"/>
          <w:lang w:val="en-US"/>
        </w:rPr>
        <w:t>also found that Tonga Skills had</w:t>
      </w:r>
      <w:r w:rsidR="00F72E63" w:rsidRPr="00F72E63">
        <w:rPr>
          <w:color w:val="595959"/>
          <w:u w:color="595959"/>
          <w:lang w:val="en-US"/>
        </w:rPr>
        <w:t xml:space="preserve"> made good progress on delivering training and other outputs, but needs to improve</w:t>
      </w:r>
      <w:r w:rsidR="00F72E63">
        <w:rPr>
          <w:color w:val="595959"/>
          <w:u w:color="595959"/>
          <w:lang w:val="en-US"/>
        </w:rPr>
        <w:t xml:space="preserve"> internal management and</w:t>
      </w:r>
      <w:r w:rsidR="00F72E63" w:rsidRPr="00F72E63">
        <w:rPr>
          <w:color w:val="595959"/>
          <w:u w:color="595959"/>
          <w:lang w:val="en-US"/>
        </w:rPr>
        <w:t xml:space="preserve"> performance monitoring</w:t>
      </w:r>
      <w:r w:rsidR="00F72E63">
        <w:rPr>
          <w:color w:val="595959"/>
          <w:u w:color="595959"/>
          <w:lang w:val="en-US"/>
        </w:rPr>
        <w:t xml:space="preserve"> to understand higher level impacts</w:t>
      </w:r>
      <w:r w:rsidR="00F72E63" w:rsidRPr="00F72E63">
        <w:rPr>
          <w:color w:val="595959"/>
          <w:u w:color="595959"/>
          <w:lang w:val="en-US"/>
        </w:rPr>
        <w:t>.</w:t>
      </w:r>
    </w:p>
    <w:p w:rsidR="005255B4" w:rsidRPr="00ED57B5" w:rsidRDefault="005D0D11" w:rsidP="005255B4">
      <w:pPr>
        <w:pStyle w:val="Body"/>
        <w:rPr>
          <w:color w:val="595959"/>
          <w:u w:color="595959"/>
          <w:lang w:val="en-US"/>
        </w:rPr>
      </w:pPr>
      <w:r>
        <w:rPr>
          <w:color w:val="595959"/>
          <w:u w:color="595959"/>
          <w:lang w:val="en-US"/>
        </w:rPr>
        <w:t xml:space="preserve">Along with New Zealand and the US, Australia is an important labour market for Tongan workers. We support training to ensure Tongans, especially women and people with disabilities, have the right skills to take advantage of areas of labour demand nationally and internationally through a range of education, training and skills development opportunities. </w:t>
      </w:r>
      <w:r w:rsidR="005255B4">
        <w:rPr>
          <w:color w:val="595959"/>
          <w:u w:color="595959"/>
          <w:lang w:val="en-US"/>
        </w:rPr>
        <w:t xml:space="preserve">Between October 2016 and May 2018, Tonga Skills facilitated flexible and inclusive skills training to approximately 400 clients through 14 training providers (local </w:t>
      </w:r>
      <w:r w:rsidR="00D03BE6">
        <w:rPr>
          <w:color w:val="595959"/>
          <w:u w:color="595959"/>
          <w:lang w:val="en-US"/>
        </w:rPr>
        <w:t>and</w:t>
      </w:r>
      <w:r w:rsidR="005255B4">
        <w:rPr>
          <w:color w:val="595959"/>
          <w:u w:color="595959"/>
          <w:lang w:val="en-US"/>
        </w:rPr>
        <w:t xml:space="preserve"> international) in priority employment sectors of tourism, manufacturing, construction, fisheries and agriculture</w:t>
      </w:r>
      <w:r w:rsidR="00BE384E">
        <w:rPr>
          <w:color w:val="595959"/>
          <w:u w:color="595959"/>
          <w:lang w:val="en-US"/>
        </w:rPr>
        <w:t>. This marked a significant increase in overall training delivery.</w:t>
      </w:r>
      <w:r w:rsidR="005255B4">
        <w:rPr>
          <w:color w:val="595959"/>
          <w:u w:color="595959"/>
          <w:lang w:val="en-US"/>
        </w:rPr>
        <w:t xml:space="preserve"> A Tonga Skills Tracer Study (June </w:t>
      </w:r>
      <w:r w:rsidR="00400CEA">
        <w:rPr>
          <w:color w:val="595959"/>
          <w:u w:color="595959"/>
          <w:lang w:val="en-US"/>
        </w:rPr>
        <w:t>2018) showed that 65 per cent of</w:t>
      </w:r>
      <w:r w:rsidR="005255B4">
        <w:rPr>
          <w:color w:val="595959"/>
          <w:u w:color="595959"/>
          <w:lang w:val="en-US"/>
        </w:rPr>
        <w:t xml:space="preserve"> trainees reported an increase in income after the training, 71 per </w:t>
      </w:r>
      <w:r w:rsidR="005255B4">
        <w:rPr>
          <w:color w:val="595959"/>
          <w:u w:color="595959"/>
          <w:lang w:val="en-US"/>
        </w:rPr>
        <w:lastRenderedPageBreak/>
        <w:t>cent were more productive, 38 per cent started new businesses, 6 per cent received promotions and 87 per cent reported obtaining other benefits such as attracting new clients and working better and smarter. The program prioritises gender inclusion, with the majority of trainers, participants and governance committee members all being women.</w:t>
      </w:r>
      <w:r w:rsidR="005255B4" w:rsidRPr="00ED57B5">
        <w:rPr>
          <w:color w:val="595959"/>
          <w:u w:color="595959"/>
          <w:lang w:val="en-US"/>
        </w:rPr>
        <w:t xml:space="preserve"> Importantly, the economic and social empowerment of women</w:t>
      </w:r>
      <w:r w:rsidR="00955AB9" w:rsidRPr="00ED57B5">
        <w:rPr>
          <w:color w:val="595959"/>
          <w:u w:color="595959"/>
          <w:lang w:val="en-US"/>
        </w:rPr>
        <w:t xml:space="preserve"> (53 per cent of completed trainees)</w:t>
      </w:r>
      <w:r w:rsidR="005255B4" w:rsidRPr="00ED57B5">
        <w:rPr>
          <w:color w:val="595959"/>
          <w:u w:color="595959"/>
          <w:lang w:val="en-US"/>
        </w:rPr>
        <w:t xml:space="preserve"> and people with disabilities</w:t>
      </w:r>
      <w:r w:rsidR="00955AB9" w:rsidRPr="00ED57B5">
        <w:rPr>
          <w:color w:val="595959"/>
          <w:u w:color="595959"/>
          <w:lang w:val="en-US"/>
        </w:rPr>
        <w:t xml:space="preserve"> (3 per cent of completed)</w:t>
      </w:r>
      <w:r w:rsidR="005255B4" w:rsidRPr="00ED57B5">
        <w:rPr>
          <w:color w:val="595959"/>
          <w:u w:color="595959"/>
          <w:lang w:val="en-US"/>
        </w:rPr>
        <w:t xml:space="preserve"> has also been boosted through specifically targeted skills development activities. </w:t>
      </w:r>
    </w:p>
    <w:p w:rsidR="005644B8" w:rsidRDefault="00BE384E" w:rsidP="005255B4">
      <w:pPr>
        <w:pStyle w:val="Body"/>
        <w:rPr>
          <w:color w:val="595959"/>
          <w:u w:color="595959"/>
        </w:rPr>
      </w:pPr>
      <w:r>
        <w:rPr>
          <w:color w:val="595959"/>
          <w:u w:color="595959"/>
          <w:lang w:val="en-US"/>
        </w:rPr>
        <w:t>With</w:t>
      </w:r>
      <w:r w:rsidR="005255B4">
        <w:rPr>
          <w:color w:val="595959"/>
          <w:u w:color="595959"/>
          <w:lang w:val="en-US"/>
        </w:rPr>
        <w:t xml:space="preserve"> the World Bank and New Zealand also active in the sector, </w:t>
      </w:r>
      <w:r>
        <w:rPr>
          <w:color w:val="595959"/>
          <w:u w:color="595959"/>
          <w:lang w:val="en-US"/>
        </w:rPr>
        <w:t xml:space="preserve">donor coordination is becoming more important as we seek </w:t>
      </w:r>
      <w:r w:rsidR="005255B4">
        <w:rPr>
          <w:color w:val="595959"/>
          <w:u w:color="595959"/>
          <w:lang w:val="en-US"/>
        </w:rPr>
        <w:t xml:space="preserve">to achieve a coherent approach to </w:t>
      </w:r>
      <w:r w:rsidR="00700FC5">
        <w:rPr>
          <w:color w:val="595959"/>
          <w:u w:color="595959"/>
          <w:lang w:val="en-US"/>
        </w:rPr>
        <w:t>servicing of</w:t>
      </w:r>
      <w:r w:rsidR="005255B4">
        <w:rPr>
          <w:color w:val="595959"/>
          <w:u w:color="595959"/>
          <w:lang w:val="en-US"/>
        </w:rPr>
        <w:t xml:space="preserve"> labour market needs (</w:t>
      </w:r>
      <w:r w:rsidR="00700FC5">
        <w:rPr>
          <w:color w:val="595959"/>
          <w:u w:color="595959"/>
          <w:lang w:val="en-US"/>
        </w:rPr>
        <w:t xml:space="preserve">domestic or </w:t>
      </w:r>
      <w:r w:rsidR="005255B4">
        <w:rPr>
          <w:color w:val="595959"/>
          <w:u w:color="595959"/>
          <w:lang w:val="en-US"/>
        </w:rPr>
        <w:t>ov</w:t>
      </w:r>
      <w:r w:rsidR="00700FC5">
        <w:rPr>
          <w:color w:val="595959"/>
          <w:u w:color="595959"/>
          <w:lang w:val="en-US"/>
        </w:rPr>
        <w:t>erseas)</w:t>
      </w:r>
      <w:r w:rsidR="005255B4">
        <w:rPr>
          <w:color w:val="595959"/>
          <w:u w:color="595959"/>
          <w:lang w:val="en-US"/>
        </w:rPr>
        <w:t xml:space="preserve"> by local providers.</w:t>
      </w:r>
      <w:r w:rsidR="000536DD">
        <w:rPr>
          <w:color w:val="595959"/>
          <w:u w:color="595959"/>
          <w:lang w:val="en-US"/>
        </w:rPr>
        <w:t xml:space="preserve"> </w:t>
      </w:r>
      <w:r>
        <w:rPr>
          <w:color w:val="595959"/>
          <w:u w:color="595959"/>
          <w:lang w:val="en-US"/>
        </w:rPr>
        <w:t>O</w:t>
      </w:r>
      <w:r w:rsidR="000536DD">
        <w:rPr>
          <w:color w:val="595959"/>
          <w:u w:color="595959"/>
          <w:lang w:val="en-US"/>
        </w:rPr>
        <w:t xml:space="preserve">ngoing discussions </w:t>
      </w:r>
      <w:r w:rsidR="005255B4">
        <w:rPr>
          <w:color w:val="595959"/>
          <w:u w:color="595959"/>
          <w:lang w:val="en-US"/>
        </w:rPr>
        <w:t xml:space="preserve">to </w:t>
      </w:r>
      <w:r w:rsidR="00700FC5">
        <w:rPr>
          <w:color w:val="595959"/>
          <w:u w:color="595959"/>
          <w:lang w:val="en-US"/>
        </w:rPr>
        <w:t>align</w:t>
      </w:r>
      <w:r w:rsidR="005255B4">
        <w:rPr>
          <w:color w:val="595959"/>
          <w:u w:color="595959"/>
          <w:lang w:val="en-US"/>
        </w:rPr>
        <w:t xml:space="preserve"> the Australia Pacific Training Coalition program </w:t>
      </w:r>
      <w:r w:rsidR="000536DD">
        <w:rPr>
          <w:color w:val="595959"/>
          <w:u w:color="595959"/>
          <w:lang w:val="en-US"/>
        </w:rPr>
        <w:t xml:space="preserve">(which delivered 41 Tonga graduates in 2017-18) </w:t>
      </w:r>
      <w:r w:rsidR="005255B4">
        <w:rPr>
          <w:color w:val="595959"/>
          <w:u w:color="595959"/>
          <w:lang w:val="en-US"/>
        </w:rPr>
        <w:t>and Tonga Skills</w:t>
      </w:r>
      <w:r>
        <w:rPr>
          <w:color w:val="595959"/>
          <w:u w:color="595959"/>
          <w:lang w:val="en-US"/>
        </w:rPr>
        <w:t xml:space="preserve"> are equally imp</w:t>
      </w:r>
      <w:r w:rsidR="000304F9">
        <w:rPr>
          <w:color w:val="595959"/>
          <w:u w:color="595959"/>
          <w:lang w:val="en-US"/>
        </w:rPr>
        <w:t>o</w:t>
      </w:r>
      <w:r>
        <w:rPr>
          <w:color w:val="595959"/>
          <w:u w:color="595959"/>
          <w:lang w:val="en-US"/>
        </w:rPr>
        <w:t>rtant</w:t>
      </w:r>
      <w:r w:rsidR="005255B4">
        <w:rPr>
          <w:color w:val="595959"/>
          <w:u w:color="595959"/>
          <w:lang w:val="en-US"/>
        </w:rPr>
        <w:t xml:space="preserve">. </w:t>
      </w:r>
    </w:p>
    <w:p w:rsidR="005644B8" w:rsidRDefault="00834F71">
      <w:pPr>
        <w:pStyle w:val="Body"/>
        <w:rPr>
          <w:color w:val="595959"/>
          <w:u w:color="595959"/>
          <w:lang w:val="en-US"/>
        </w:rPr>
      </w:pPr>
      <w:r>
        <w:rPr>
          <w:color w:val="595959"/>
          <w:sz w:val="24"/>
          <w:szCs w:val="24"/>
          <w:u w:color="595959"/>
        </w:rPr>
        <w:t>T</w:t>
      </w:r>
      <w:r>
        <w:rPr>
          <w:color w:val="595959"/>
          <w:u w:color="595959"/>
          <w:lang w:val="de-DE"/>
        </w:rPr>
        <w:t>he Australia Awards</w:t>
      </w:r>
      <w:r>
        <w:rPr>
          <w:i/>
          <w:iCs/>
          <w:color w:val="595959"/>
          <w:u w:color="595959"/>
        </w:rPr>
        <w:t xml:space="preserve"> </w:t>
      </w:r>
      <w:r>
        <w:rPr>
          <w:color w:val="595959"/>
          <w:u w:color="595959"/>
          <w:lang w:val="en-US"/>
        </w:rPr>
        <w:t>continued to provide higher education opportunities for Tongans, with 33 university students</w:t>
      </w:r>
      <w:r w:rsidR="007A406D">
        <w:rPr>
          <w:color w:val="595959"/>
          <w:u w:color="595959"/>
          <w:lang w:val="en-US"/>
        </w:rPr>
        <w:t xml:space="preserve"> (61 per cent female)</w:t>
      </w:r>
      <w:r>
        <w:rPr>
          <w:color w:val="595959"/>
          <w:u w:color="595959"/>
          <w:lang w:val="en-US"/>
        </w:rPr>
        <w:t xml:space="preserve"> graduating from Australian and Pacific institutions in 2017-18</w:t>
      </w:r>
      <w:r w:rsidR="00A6565E">
        <w:rPr>
          <w:color w:val="595959"/>
          <w:u w:color="595959"/>
          <w:lang w:val="en-US"/>
        </w:rPr>
        <w:t xml:space="preserve"> to address priority employment gaps nominated by the public and private sectors</w:t>
      </w:r>
      <w:r>
        <w:rPr>
          <w:color w:val="595959"/>
          <w:u w:color="595959"/>
          <w:lang w:val="en-US"/>
        </w:rPr>
        <w:t>.</w:t>
      </w:r>
      <w:r>
        <w:rPr>
          <w:color w:val="595959"/>
          <w:u w:color="595959"/>
        </w:rPr>
        <w:t xml:space="preserve">  </w:t>
      </w:r>
      <w:r>
        <w:rPr>
          <w:color w:val="595959"/>
          <w:u w:color="595959"/>
          <w:lang w:val="en-US"/>
        </w:rPr>
        <w:t xml:space="preserve">Two graduates were recognised as most outstanding in their fields at the University of the South Pacific. </w:t>
      </w:r>
      <w:r w:rsidR="00BE384E">
        <w:rPr>
          <w:color w:val="595959"/>
          <w:u w:color="595959"/>
          <w:lang w:val="en-US"/>
        </w:rPr>
        <w:t>An additional</w:t>
      </w:r>
      <w:r>
        <w:rPr>
          <w:color w:val="595959"/>
          <w:u w:color="595959"/>
          <w:lang w:val="en-US"/>
        </w:rPr>
        <w:t xml:space="preserve"> 95 Tongans were supported under long-term scholarship and fellowship programs (62 per cent female). In 2017-18, 35</w:t>
      </w:r>
      <w:r w:rsidR="00A6624D">
        <w:rPr>
          <w:color w:val="595959"/>
          <w:u w:color="595959"/>
          <w:lang w:val="en-US"/>
        </w:rPr>
        <w:t> </w:t>
      </w:r>
      <w:r>
        <w:rPr>
          <w:color w:val="595959"/>
          <w:u w:color="595959"/>
          <w:lang w:val="en-US"/>
        </w:rPr>
        <w:t>per</w:t>
      </w:r>
      <w:r w:rsidR="00A6624D">
        <w:rPr>
          <w:color w:val="595959"/>
          <w:u w:color="595959"/>
          <w:lang w:val="en-US"/>
        </w:rPr>
        <w:t> </w:t>
      </w:r>
      <w:r>
        <w:rPr>
          <w:color w:val="595959"/>
          <w:u w:color="595959"/>
          <w:lang w:val="en-US"/>
        </w:rPr>
        <w:t xml:space="preserve">cent of university students studied in non-traditional fields related to their gender </w:t>
      </w:r>
      <w:r w:rsidR="000735C5">
        <w:rPr>
          <w:color w:val="595959"/>
          <w:u w:color="595959"/>
          <w:lang w:val="en-US"/>
        </w:rPr>
        <w:t xml:space="preserve">(an improvement on </w:t>
      </w:r>
      <w:r>
        <w:rPr>
          <w:color w:val="595959"/>
          <w:u w:color="595959"/>
          <w:lang w:val="en-US"/>
        </w:rPr>
        <w:t>32</w:t>
      </w:r>
      <w:r w:rsidR="00A6624D">
        <w:rPr>
          <w:color w:val="595959"/>
          <w:u w:color="595959"/>
          <w:lang w:val="en-US"/>
        </w:rPr>
        <w:t> </w:t>
      </w:r>
      <w:r>
        <w:rPr>
          <w:color w:val="595959"/>
          <w:u w:color="595959"/>
          <w:lang w:val="en-US"/>
        </w:rPr>
        <w:t>per</w:t>
      </w:r>
      <w:r w:rsidR="00CA2338">
        <w:rPr>
          <w:color w:val="595959"/>
          <w:u w:color="595959"/>
          <w:lang w:val="en-US"/>
        </w:rPr>
        <w:t xml:space="preserve"> </w:t>
      </w:r>
      <w:r>
        <w:rPr>
          <w:color w:val="595959"/>
          <w:u w:color="595959"/>
          <w:lang w:val="en-US"/>
        </w:rPr>
        <w:t xml:space="preserve">cent in 2016-17). </w:t>
      </w:r>
      <w:r w:rsidR="00CC00EC">
        <w:rPr>
          <w:color w:val="595959"/>
          <w:u w:color="595959"/>
          <w:lang w:val="en-US"/>
        </w:rPr>
        <w:t xml:space="preserve">However </w:t>
      </w:r>
      <w:r w:rsidR="00CC00EC" w:rsidRPr="004F0B6E">
        <w:rPr>
          <w:color w:val="595959"/>
          <w:u w:color="595959"/>
          <w:lang w:val="en-US"/>
        </w:rPr>
        <w:t>scholarship</w:t>
      </w:r>
      <w:r w:rsidR="00CC00EC">
        <w:rPr>
          <w:color w:val="595959"/>
          <w:u w:color="595959"/>
          <w:lang w:val="en-US"/>
        </w:rPr>
        <w:t xml:space="preserve"> alumni engagement</w:t>
      </w:r>
      <w:r w:rsidR="00A6565E">
        <w:rPr>
          <w:color w:val="595959"/>
          <w:u w:color="595959"/>
          <w:lang w:val="en-US"/>
        </w:rPr>
        <w:t xml:space="preserve"> was not able to be</w:t>
      </w:r>
      <w:r w:rsidR="00CC00EC">
        <w:rPr>
          <w:color w:val="595959"/>
          <w:u w:color="595959"/>
          <w:lang w:val="en-US"/>
        </w:rPr>
        <w:t xml:space="preserve"> progressed</w:t>
      </w:r>
      <w:r w:rsidR="00A6565E">
        <w:rPr>
          <w:color w:val="595959"/>
          <w:u w:color="595959"/>
          <w:lang w:val="en-US"/>
        </w:rPr>
        <w:t>.</w:t>
      </w:r>
    </w:p>
    <w:p w:rsidR="00F5516F" w:rsidRPr="00F5516F" w:rsidRDefault="00F5516F">
      <w:pPr>
        <w:pStyle w:val="Body"/>
        <w:rPr>
          <w:color w:val="595959"/>
          <w:u w:color="595959"/>
        </w:rPr>
      </w:pPr>
      <w:r w:rsidRPr="00F5516F">
        <w:rPr>
          <w:color w:val="595959"/>
          <w:u w:color="595959"/>
        </w:rPr>
        <w:t>Australia supported 45 students from Universit</w:t>
      </w:r>
      <w:r w:rsidR="000304F9">
        <w:rPr>
          <w:color w:val="595959"/>
          <w:u w:color="595959"/>
        </w:rPr>
        <w:t>ies</w:t>
      </w:r>
      <w:r w:rsidRPr="00F5516F">
        <w:rPr>
          <w:color w:val="595959"/>
          <w:u w:color="595959"/>
        </w:rPr>
        <w:t xml:space="preserve"> of Sydney, South</w:t>
      </w:r>
      <w:r w:rsidR="000304F9">
        <w:rPr>
          <w:color w:val="595959"/>
          <w:u w:color="595959"/>
        </w:rPr>
        <w:t>ern</w:t>
      </w:r>
      <w:r w:rsidRPr="00F5516F">
        <w:rPr>
          <w:color w:val="595959"/>
          <w:u w:color="595959"/>
        </w:rPr>
        <w:t xml:space="preserve"> Cross and Canberra to travel to Tonga in 2017, under the N</w:t>
      </w:r>
      <w:r w:rsidR="000304F9">
        <w:rPr>
          <w:color w:val="595959"/>
          <w:u w:color="595959"/>
        </w:rPr>
        <w:t xml:space="preserve">ew </w:t>
      </w:r>
      <w:r w:rsidRPr="00F5516F">
        <w:rPr>
          <w:color w:val="595959"/>
          <w:u w:color="595959"/>
        </w:rPr>
        <w:t>C</w:t>
      </w:r>
      <w:r w:rsidR="000304F9">
        <w:rPr>
          <w:color w:val="595959"/>
          <w:u w:color="595959"/>
        </w:rPr>
        <w:t xml:space="preserve">olombo </w:t>
      </w:r>
      <w:r w:rsidRPr="00F5516F">
        <w:rPr>
          <w:color w:val="595959"/>
          <w:u w:color="595959"/>
        </w:rPr>
        <w:t>P</w:t>
      </w:r>
      <w:r w:rsidR="000304F9">
        <w:rPr>
          <w:color w:val="595959"/>
          <w:u w:color="595959"/>
        </w:rPr>
        <w:t>lan</w:t>
      </w:r>
      <w:r w:rsidRPr="00F5516F">
        <w:rPr>
          <w:color w:val="595959"/>
          <w:u w:color="595959"/>
        </w:rPr>
        <w:t xml:space="preserve"> mobility programs in the fields of nursing and environmental science. Of those who completed their programs, an estimated 87 per cent were women.</w:t>
      </w:r>
    </w:p>
    <w:p w:rsidR="005644B8" w:rsidRDefault="00834F71">
      <w:pPr>
        <w:pStyle w:val="Body"/>
        <w:spacing w:line="240" w:lineRule="auto"/>
        <w:rPr>
          <w:rFonts w:ascii="Calibri" w:eastAsia="Calibri" w:hAnsi="Calibri" w:cs="Calibri"/>
          <w:caps/>
          <w:sz w:val="38"/>
          <w:szCs w:val="38"/>
        </w:rPr>
      </w:pPr>
      <w:r>
        <w:rPr>
          <w:rFonts w:ascii="Calibri" w:eastAsia="Calibri" w:hAnsi="Calibri" w:cs="Calibri"/>
          <w:caps/>
          <w:sz w:val="38"/>
          <w:szCs w:val="38"/>
          <w:lang w:val="en-US"/>
        </w:rPr>
        <w:t>Tropical cyclone gita</w:t>
      </w:r>
    </w:p>
    <w:p w:rsidR="005D1078" w:rsidRPr="004F0B6E" w:rsidRDefault="005D1078" w:rsidP="005D1078">
      <w:pPr>
        <w:pStyle w:val="Body"/>
        <w:rPr>
          <w:color w:val="595959"/>
          <w:u w:color="7F7F7F"/>
          <w:lang w:val="en-US"/>
        </w:rPr>
      </w:pPr>
      <w:r w:rsidRPr="004F0B6E">
        <w:rPr>
          <w:color w:val="595959"/>
          <w:u w:color="7F7F7F"/>
          <w:lang w:val="en-US"/>
        </w:rPr>
        <w:t xml:space="preserve">On 12 February 2018, </w:t>
      </w:r>
      <w:r w:rsidR="000304F9">
        <w:rPr>
          <w:color w:val="595959"/>
          <w:u w:color="7F7F7F"/>
          <w:lang w:val="en-US"/>
        </w:rPr>
        <w:t>TC</w:t>
      </w:r>
      <w:r w:rsidRPr="004F0B6E">
        <w:rPr>
          <w:color w:val="595959"/>
          <w:u w:color="7F7F7F"/>
          <w:lang w:val="en-US"/>
        </w:rPr>
        <w:t xml:space="preserve"> Gita struck Tonga at Category 4 strength</w:t>
      </w:r>
      <w:r w:rsidR="00BE384E">
        <w:rPr>
          <w:color w:val="595959"/>
          <w:u w:color="7F7F7F"/>
          <w:lang w:val="en-US"/>
        </w:rPr>
        <w:t>,</w:t>
      </w:r>
      <w:r w:rsidRPr="004F0B6E">
        <w:rPr>
          <w:color w:val="595959"/>
          <w:u w:color="7F7F7F"/>
          <w:lang w:val="en-US"/>
        </w:rPr>
        <w:t xml:space="preserve"> causing severe damage to Tongatapu and nearby smaller islands, particularly ‘Eua.</w:t>
      </w:r>
      <w:r w:rsidR="003D4B4F" w:rsidRPr="004F0B6E">
        <w:rPr>
          <w:color w:val="595959"/>
          <w:u w:color="7F7F7F"/>
          <w:lang w:val="en-US"/>
        </w:rPr>
        <w:t xml:space="preserve"> </w:t>
      </w:r>
      <w:r w:rsidRPr="004F0B6E">
        <w:rPr>
          <w:color w:val="595959"/>
          <w:u w:color="7F7F7F"/>
          <w:lang w:val="en-US"/>
        </w:rPr>
        <w:t xml:space="preserve">Australia responded </w:t>
      </w:r>
      <w:r w:rsidR="00DB15EA">
        <w:rPr>
          <w:color w:val="595959"/>
          <w:u w:color="7F7F7F"/>
          <w:lang w:val="en-US"/>
        </w:rPr>
        <w:t xml:space="preserve">by </w:t>
      </w:r>
      <w:r w:rsidRPr="004F0B6E">
        <w:rPr>
          <w:color w:val="595959"/>
          <w:u w:color="7F7F7F"/>
          <w:lang w:val="en-US"/>
        </w:rPr>
        <w:t>mobilis</w:t>
      </w:r>
      <w:r w:rsidR="00DB15EA">
        <w:rPr>
          <w:color w:val="595959"/>
          <w:u w:color="7F7F7F"/>
          <w:lang w:val="en-US"/>
        </w:rPr>
        <w:t>ing</w:t>
      </w:r>
      <w:r w:rsidRPr="004F0B6E">
        <w:rPr>
          <w:color w:val="595959"/>
          <w:u w:color="7F7F7F"/>
          <w:lang w:val="en-US"/>
        </w:rPr>
        <w:t xml:space="preserve"> support within 24 hours of Tonga’s request for assistance, and developed a $14 million response and recovery package to meet immediate humanitarian need and support longer-term reconstruction efforts.</w:t>
      </w:r>
    </w:p>
    <w:p w:rsidR="005D1078" w:rsidRPr="004F0B6E" w:rsidRDefault="005D1078" w:rsidP="005D1078">
      <w:pPr>
        <w:pStyle w:val="Body"/>
        <w:rPr>
          <w:color w:val="595959"/>
          <w:u w:color="7F7F7F"/>
          <w:lang w:val="en-US"/>
        </w:rPr>
      </w:pPr>
      <w:r w:rsidRPr="004F0B6E">
        <w:rPr>
          <w:color w:val="595959"/>
          <w:u w:color="7F7F7F"/>
          <w:lang w:val="en-US"/>
        </w:rPr>
        <w:t>Australia worked closely with key humanitarian partners throughout the response, including robust engagement with the Government of Tonga. Our FRANZ partnership with New Zealand and France was highly successful in facilitating a coordinated, streamlined response.  We supported localization of assistance by funding local organisations, such as the Tongan Red Cross Society and local NGO MORDI. We also leveraged an innovative public-private partnership with Energy Networks Australia</w:t>
      </w:r>
      <w:r w:rsidR="00BE384E">
        <w:rPr>
          <w:color w:val="595959"/>
          <w:u w:color="7F7F7F"/>
          <w:lang w:val="en-US"/>
        </w:rPr>
        <w:t>,</w:t>
      </w:r>
      <w:r w:rsidR="00DB30E8">
        <w:rPr>
          <w:color w:val="595959"/>
          <w:u w:color="7F7F7F"/>
          <w:lang w:val="en-US"/>
        </w:rPr>
        <w:t xml:space="preserve"> which saw the deployment of </w:t>
      </w:r>
      <w:r w:rsidR="00ED57B5">
        <w:rPr>
          <w:color w:val="595959"/>
          <w:u w:color="7F7F7F"/>
          <w:lang w:val="en-US"/>
        </w:rPr>
        <w:t>20</w:t>
      </w:r>
      <w:r w:rsidR="00DB30E8">
        <w:rPr>
          <w:color w:val="595959"/>
          <w:u w:color="7F7F7F"/>
          <w:lang w:val="en-US"/>
        </w:rPr>
        <w:t xml:space="preserve"> line technicians from Australia</w:t>
      </w:r>
      <w:r w:rsidRPr="004F0B6E">
        <w:rPr>
          <w:color w:val="595959"/>
          <w:u w:color="7F7F7F"/>
          <w:lang w:val="en-US"/>
        </w:rPr>
        <w:t xml:space="preserve"> to help Tonga Power Ltd rapidly restore power for an estimated 6,600 people</w:t>
      </w:r>
      <w:r w:rsidR="00582F64">
        <w:rPr>
          <w:color w:val="595959"/>
          <w:u w:color="7F7F7F"/>
          <w:lang w:val="en-US"/>
        </w:rPr>
        <w:t>, including 342 female-headed households</w:t>
      </w:r>
      <w:r w:rsidRPr="004F0B6E">
        <w:rPr>
          <w:color w:val="595959"/>
          <w:u w:color="7F7F7F"/>
          <w:lang w:val="en-US"/>
        </w:rPr>
        <w:t>.</w:t>
      </w:r>
    </w:p>
    <w:p w:rsidR="005D1078" w:rsidRPr="004F0B6E" w:rsidRDefault="00DB30E8" w:rsidP="005D1078">
      <w:pPr>
        <w:pStyle w:val="Body"/>
        <w:rPr>
          <w:color w:val="595959"/>
          <w:u w:color="7F7F7F"/>
          <w:lang w:val="en-US"/>
        </w:rPr>
      </w:pPr>
      <w:r>
        <w:rPr>
          <w:color w:val="595959"/>
          <w:u w:color="7F7F7F"/>
          <w:lang w:val="en-US"/>
        </w:rPr>
        <w:t>The n</w:t>
      </w:r>
      <w:r w:rsidR="005D1078" w:rsidRPr="004F0B6E">
        <w:rPr>
          <w:color w:val="595959"/>
          <w:u w:color="7F7F7F"/>
          <w:lang w:val="en-US"/>
        </w:rPr>
        <w:t xml:space="preserve">eeds of the most vulnerable were </w:t>
      </w:r>
      <w:r w:rsidR="00094BDE">
        <w:rPr>
          <w:color w:val="595959"/>
          <w:u w:color="7F7F7F"/>
          <w:lang w:val="en-US"/>
        </w:rPr>
        <w:t>specifically targeted</w:t>
      </w:r>
      <w:r w:rsidR="005D1078" w:rsidRPr="004F0B6E">
        <w:rPr>
          <w:color w:val="595959"/>
          <w:u w:color="7F7F7F"/>
          <w:lang w:val="en-US"/>
        </w:rPr>
        <w:t>. We provided cash assistance to 3,</w:t>
      </w:r>
      <w:r w:rsidR="005D0D11">
        <w:rPr>
          <w:color w:val="595959"/>
          <w:u w:color="7F7F7F"/>
          <w:lang w:val="en-US"/>
        </w:rPr>
        <w:t>692</w:t>
      </w:r>
      <w:r w:rsidR="005D1078" w:rsidRPr="004F0B6E">
        <w:rPr>
          <w:color w:val="595959"/>
          <w:u w:color="7F7F7F"/>
          <w:lang w:val="en-US"/>
        </w:rPr>
        <w:t xml:space="preserve"> elderly and people</w:t>
      </w:r>
      <w:r w:rsidR="001D5F10" w:rsidRPr="004F0B6E">
        <w:rPr>
          <w:color w:val="595959"/>
          <w:u w:color="7F7F7F"/>
          <w:lang w:val="en-US"/>
        </w:rPr>
        <w:t xml:space="preserve"> with disabilities</w:t>
      </w:r>
      <w:r w:rsidR="005D1078" w:rsidRPr="004F0B6E">
        <w:rPr>
          <w:color w:val="595959"/>
          <w:u w:color="7F7F7F"/>
          <w:lang w:val="en-US"/>
        </w:rPr>
        <w:t xml:space="preserve"> through Tonga’s social protection systems. Sexual and reproductive health supplies were delivered to an estimated 2,169 beneficiaries, and funding to the Women and Children’s Crisis helped protect women in need. Support to the Australian and Tongan Red Cross Societies is helping an estimated 2,000 households with emergency shelter assistance, and funding to CARE, Live and Learn and MORDI is providing 2,250 people with improved shelters and 3,250 people with livelihoods rehabilitation.</w:t>
      </w:r>
    </w:p>
    <w:p w:rsidR="005D1078" w:rsidRPr="004F0B6E" w:rsidRDefault="005D1078" w:rsidP="005D1078">
      <w:pPr>
        <w:pStyle w:val="Body"/>
        <w:rPr>
          <w:color w:val="595959"/>
          <w:u w:color="7F7F7F"/>
          <w:lang w:val="en-US"/>
        </w:rPr>
      </w:pPr>
      <w:r w:rsidRPr="004F0B6E">
        <w:rPr>
          <w:color w:val="595959"/>
          <w:u w:color="7F7F7F"/>
          <w:lang w:val="en-US"/>
        </w:rPr>
        <w:t xml:space="preserve">Our </w:t>
      </w:r>
      <w:r w:rsidR="002B2F9A">
        <w:rPr>
          <w:color w:val="595959"/>
          <w:u w:color="7F7F7F"/>
          <w:lang w:val="en-US"/>
        </w:rPr>
        <w:t>as</w:t>
      </w:r>
      <w:r w:rsidRPr="004F0B6E">
        <w:rPr>
          <w:color w:val="595959"/>
          <w:u w:color="7F7F7F"/>
          <w:lang w:val="en-US"/>
        </w:rPr>
        <w:t xml:space="preserve">sistance will help reduce the impact of future disasters in Tonga through a strong focus on disaster risk reduction and </w:t>
      </w:r>
      <w:r w:rsidR="000304F9">
        <w:rPr>
          <w:color w:val="595959"/>
          <w:u w:color="7F7F7F"/>
          <w:lang w:val="en-US"/>
        </w:rPr>
        <w:t xml:space="preserve">by </w:t>
      </w:r>
      <w:r w:rsidRPr="004F0B6E">
        <w:rPr>
          <w:color w:val="595959"/>
          <w:u w:color="7F7F7F"/>
          <w:lang w:val="en-US"/>
        </w:rPr>
        <w:t>‘building back better’. For example, we are supporting the repair, retrofit and reconstruction of damaged schools to improved resilience standards through the World Bank’s Pacific Resilience Program.</w:t>
      </w:r>
    </w:p>
    <w:p w:rsidR="0006127B" w:rsidRPr="004F0B6E" w:rsidRDefault="005D1078">
      <w:pPr>
        <w:pStyle w:val="Body"/>
        <w:spacing w:line="240" w:lineRule="auto"/>
        <w:rPr>
          <w:color w:val="595959"/>
          <w:u w:color="7F7F7F"/>
          <w:lang w:val="en-US"/>
        </w:rPr>
      </w:pPr>
      <w:r w:rsidRPr="004F0B6E">
        <w:rPr>
          <w:color w:val="595959"/>
          <w:u w:color="7F7F7F"/>
          <w:lang w:val="en-US"/>
        </w:rPr>
        <w:t xml:space="preserve">The combination of Tonga’s inherent vulnerability to natural hazards and the impacts of climate change on local weather patterns and seasonal variability means that disaster preparedness is becoming an increasingly prominent part of Australia’s development assistance in Tonga. Australia also actively supports Tonga with disaster preparedness through technical cooperation and financing for the National Emergency Management Office and Tonga Red Cross and other NGOs. However, </w:t>
      </w:r>
      <w:r w:rsidR="000304F9">
        <w:rPr>
          <w:color w:val="595959"/>
          <w:u w:color="7F7F7F"/>
          <w:lang w:val="en-US"/>
        </w:rPr>
        <w:t>TC</w:t>
      </w:r>
      <w:r w:rsidRPr="004F0B6E">
        <w:rPr>
          <w:color w:val="595959"/>
          <w:u w:color="7F7F7F"/>
          <w:lang w:val="en-US"/>
        </w:rPr>
        <w:t xml:space="preserve"> Gita exposed a number of capacity gap</w:t>
      </w:r>
      <w:r w:rsidR="00B157BC" w:rsidRPr="004F0B6E">
        <w:rPr>
          <w:color w:val="595959"/>
          <w:u w:color="7F7F7F"/>
          <w:lang w:val="en-US"/>
        </w:rPr>
        <w:t>s and lessons learned both for Tonga and partners</w:t>
      </w:r>
      <w:r w:rsidR="005E74B3" w:rsidRPr="004F0B6E">
        <w:rPr>
          <w:color w:val="595959"/>
          <w:u w:color="7F7F7F"/>
          <w:lang w:val="en-US"/>
        </w:rPr>
        <w:t xml:space="preserve">. </w:t>
      </w:r>
      <w:r w:rsidR="00B157BC" w:rsidRPr="004F0B6E">
        <w:rPr>
          <w:color w:val="595959"/>
          <w:u w:color="7F7F7F"/>
          <w:lang w:val="en-US"/>
        </w:rPr>
        <w:t>Australia will focus on supporting reforms to</w:t>
      </w:r>
      <w:r w:rsidR="005E74B3" w:rsidRPr="004F0B6E">
        <w:rPr>
          <w:color w:val="595959"/>
          <w:u w:color="7F7F7F"/>
          <w:lang w:val="en-US"/>
        </w:rPr>
        <w:t xml:space="preserve"> </w:t>
      </w:r>
      <w:r w:rsidR="005E74B3" w:rsidRPr="004F0B6E">
        <w:rPr>
          <w:color w:val="595959"/>
          <w:u w:color="7F7F7F"/>
          <w:lang w:val="en-US"/>
        </w:rPr>
        <w:lastRenderedPageBreak/>
        <w:t>strengthening the ability of local government systems to respond, assess and address vulnerability</w:t>
      </w:r>
      <w:r w:rsidR="000304F9">
        <w:rPr>
          <w:color w:val="595959"/>
          <w:u w:color="7F7F7F"/>
          <w:lang w:val="en-US"/>
        </w:rPr>
        <w:t>,</w:t>
      </w:r>
      <w:r w:rsidR="005E74B3" w:rsidRPr="004F0B6E">
        <w:rPr>
          <w:color w:val="595959"/>
          <w:u w:color="7F7F7F"/>
          <w:lang w:val="en-US"/>
        </w:rPr>
        <w:t xml:space="preserve"> and </w:t>
      </w:r>
      <w:r w:rsidR="0006127B" w:rsidRPr="004F0B6E">
        <w:rPr>
          <w:color w:val="595959"/>
          <w:u w:color="7F7F7F"/>
          <w:lang w:val="en-US"/>
        </w:rPr>
        <w:t>continu</w:t>
      </w:r>
      <w:r w:rsidR="008E00BB">
        <w:rPr>
          <w:color w:val="595959"/>
          <w:u w:color="7F7F7F"/>
          <w:lang w:val="en-US"/>
        </w:rPr>
        <w:t>e</w:t>
      </w:r>
      <w:r w:rsidR="0006127B" w:rsidRPr="004F0B6E">
        <w:rPr>
          <w:color w:val="595959"/>
          <w:u w:color="7F7F7F"/>
          <w:lang w:val="en-US"/>
        </w:rPr>
        <w:t xml:space="preserve"> to improve coordination between all levels of government, donors, and NGOs.</w:t>
      </w:r>
    </w:p>
    <w:p w:rsidR="005644B8" w:rsidRDefault="00834F71" w:rsidP="004F0B6E">
      <w:pPr>
        <w:pStyle w:val="Body"/>
        <w:keepNext/>
        <w:spacing w:line="240" w:lineRule="auto"/>
        <w:rPr>
          <w:rFonts w:ascii="Calibri" w:eastAsia="Calibri" w:hAnsi="Calibri" w:cs="Calibri"/>
          <w:caps/>
          <w:sz w:val="38"/>
          <w:szCs w:val="38"/>
        </w:rPr>
      </w:pPr>
      <w:r>
        <w:rPr>
          <w:rFonts w:ascii="Calibri" w:eastAsia="Calibri" w:hAnsi="Calibri" w:cs="Calibri"/>
          <w:caps/>
          <w:sz w:val="38"/>
          <w:szCs w:val="38"/>
          <w:lang w:val="en-US"/>
        </w:rPr>
        <w:t>GENDER</w:t>
      </w:r>
      <w:r w:rsidR="00A16968">
        <w:rPr>
          <w:rFonts w:ascii="Calibri" w:eastAsia="Calibri" w:hAnsi="Calibri" w:cs="Calibri"/>
          <w:caps/>
          <w:sz w:val="38"/>
          <w:szCs w:val="38"/>
          <w:lang w:val="en-US"/>
        </w:rPr>
        <w:t xml:space="preserve"> and disability</w:t>
      </w:r>
    </w:p>
    <w:p w:rsidR="008D3193" w:rsidRPr="004F0B6E" w:rsidRDefault="00687CEC" w:rsidP="007A406D">
      <w:pPr>
        <w:pStyle w:val="Body"/>
        <w:rPr>
          <w:color w:val="595959"/>
          <w:u w:color="7F7F7F"/>
          <w:lang w:val="en-US"/>
        </w:rPr>
      </w:pPr>
      <w:r>
        <w:rPr>
          <w:color w:val="595959"/>
          <w:u w:color="7F7F7F"/>
        </w:rPr>
        <w:t xml:space="preserve">Australia’s investment in </w:t>
      </w:r>
      <w:r w:rsidR="008D3193" w:rsidRPr="004F0B6E">
        <w:rPr>
          <w:color w:val="595959"/>
          <w:u w:color="7F7F7F"/>
        </w:rPr>
        <w:t xml:space="preserve">gender </w:t>
      </w:r>
      <w:r>
        <w:rPr>
          <w:color w:val="595959"/>
          <w:u w:color="7F7F7F"/>
        </w:rPr>
        <w:t xml:space="preserve">equality </w:t>
      </w:r>
      <w:r w:rsidR="008D3193" w:rsidRPr="004F0B6E">
        <w:rPr>
          <w:color w:val="595959"/>
          <w:u w:color="7F7F7F"/>
        </w:rPr>
        <w:t xml:space="preserve">is gaining momentum. </w:t>
      </w:r>
      <w:r>
        <w:rPr>
          <w:color w:val="595959"/>
          <w:u w:color="7F7F7F"/>
        </w:rPr>
        <w:t>We are</w:t>
      </w:r>
      <w:r w:rsidR="0010617E" w:rsidRPr="004F0B6E">
        <w:rPr>
          <w:color w:val="595959"/>
          <w:u w:color="7F7F7F"/>
        </w:rPr>
        <w:t xml:space="preserve"> supporting </w:t>
      </w:r>
      <w:r w:rsidR="008D3193" w:rsidRPr="004F0B6E">
        <w:rPr>
          <w:color w:val="595959"/>
          <w:u w:color="7F7F7F"/>
        </w:rPr>
        <w:t xml:space="preserve">the Tongan </w:t>
      </w:r>
      <w:r>
        <w:rPr>
          <w:color w:val="595959"/>
          <w:u w:color="7F7F7F"/>
        </w:rPr>
        <w:t>G</w:t>
      </w:r>
      <w:r w:rsidR="008D3193" w:rsidRPr="004F0B6E">
        <w:rPr>
          <w:color w:val="595959"/>
          <w:u w:color="7F7F7F"/>
        </w:rPr>
        <w:t xml:space="preserve">overnment’s </w:t>
      </w:r>
      <w:r w:rsidR="0010617E" w:rsidRPr="004F0B6E">
        <w:rPr>
          <w:color w:val="595959"/>
          <w:u w:color="7F7F7F"/>
        </w:rPr>
        <w:t xml:space="preserve">Women’s Affairs Division </w:t>
      </w:r>
      <w:r w:rsidR="008D3193" w:rsidRPr="004F0B6E">
        <w:rPr>
          <w:color w:val="595959"/>
          <w:u w:color="7F7F7F"/>
        </w:rPr>
        <w:t xml:space="preserve">to </w:t>
      </w:r>
      <w:r w:rsidR="0010617E" w:rsidRPr="004F0B6E">
        <w:rPr>
          <w:color w:val="595959"/>
          <w:u w:color="7F7F7F"/>
        </w:rPr>
        <w:t xml:space="preserve">coordinate </w:t>
      </w:r>
      <w:r w:rsidR="008D3193" w:rsidRPr="004F0B6E">
        <w:rPr>
          <w:color w:val="595959"/>
          <w:u w:color="7F7F7F"/>
        </w:rPr>
        <w:t>implemen</w:t>
      </w:r>
      <w:r w:rsidR="0010617E" w:rsidRPr="004F0B6E">
        <w:rPr>
          <w:color w:val="595959"/>
          <w:u w:color="7F7F7F"/>
        </w:rPr>
        <w:t>ta</w:t>
      </w:r>
      <w:r w:rsidR="008D3193" w:rsidRPr="004F0B6E">
        <w:rPr>
          <w:color w:val="595959"/>
          <w:u w:color="7F7F7F"/>
        </w:rPr>
        <w:t>t</w:t>
      </w:r>
      <w:r w:rsidR="0010617E" w:rsidRPr="004F0B6E">
        <w:rPr>
          <w:color w:val="595959"/>
          <w:u w:color="7F7F7F"/>
        </w:rPr>
        <w:t>ion of</w:t>
      </w:r>
      <w:r w:rsidR="008D3193" w:rsidRPr="004F0B6E">
        <w:rPr>
          <w:color w:val="595959"/>
          <w:u w:color="7F7F7F"/>
        </w:rPr>
        <w:t xml:space="preserve"> the </w:t>
      </w:r>
      <w:r w:rsidR="000D176E" w:rsidRPr="00ED57B5">
        <w:rPr>
          <w:i/>
          <w:color w:val="595959"/>
          <w:u w:color="7F7F7F"/>
        </w:rPr>
        <w:t>F</w:t>
      </w:r>
      <w:r w:rsidR="008D3193" w:rsidRPr="00ED57B5">
        <w:rPr>
          <w:i/>
          <w:color w:val="595959"/>
          <w:u w:color="7F7F7F"/>
        </w:rPr>
        <w:t xml:space="preserve">amily </w:t>
      </w:r>
      <w:r w:rsidR="000D176E" w:rsidRPr="00ED57B5">
        <w:rPr>
          <w:i/>
          <w:color w:val="595959"/>
          <w:u w:color="7F7F7F"/>
        </w:rPr>
        <w:t>P</w:t>
      </w:r>
      <w:r w:rsidR="008D3193" w:rsidRPr="00ED57B5">
        <w:rPr>
          <w:i/>
          <w:color w:val="595959"/>
          <w:u w:color="7F7F7F"/>
        </w:rPr>
        <w:t xml:space="preserve">rotection </w:t>
      </w:r>
      <w:r w:rsidR="000D176E" w:rsidRPr="00ED57B5">
        <w:rPr>
          <w:i/>
          <w:color w:val="595959"/>
          <w:u w:color="7F7F7F"/>
        </w:rPr>
        <w:t>A</w:t>
      </w:r>
      <w:r w:rsidR="008D3193" w:rsidRPr="00ED57B5">
        <w:rPr>
          <w:i/>
          <w:color w:val="595959"/>
          <w:u w:color="7F7F7F"/>
        </w:rPr>
        <w:t>ct</w:t>
      </w:r>
      <w:r w:rsidR="008D3193" w:rsidRPr="004F0B6E">
        <w:rPr>
          <w:color w:val="595959"/>
          <w:u w:color="7F7F7F"/>
        </w:rPr>
        <w:t xml:space="preserve">, develop </w:t>
      </w:r>
      <w:r w:rsidR="0010617E" w:rsidRPr="004F0B6E">
        <w:rPr>
          <w:color w:val="595959"/>
          <w:u w:color="7F7F7F"/>
        </w:rPr>
        <w:t xml:space="preserve">gender </w:t>
      </w:r>
      <w:r w:rsidR="008D3193" w:rsidRPr="004F0B6E">
        <w:rPr>
          <w:color w:val="595959"/>
          <w:u w:color="7F7F7F"/>
        </w:rPr>
        <w:t>policy</w:t>
      </w:r>
      <w:r w:rsidR="0010617E" w:rsidRPr="004F0B6E">
        <w:rPr>
          <w:color w:val="595959"/>
          <w:u w:color="7F7F7F"/>
        </w:rPr>
        <w:t>,</w:t>
      </w:r>
      <w:r w:rsidR="008D3193" w:rsidRPr="004F0B6E">
        <w:rPr>
          <w:color w:val="595959"/>
          <w:u w:color="7F7F7F"/>
        </w:rPr>
        <w:t xml:space="preserve"> and monitor and evaluat</w:t>
      </w:r>
      <w:r w:rsidR="0010617E" w:rsidRPr="004F0B6E">
        <w:rPr>
          <w:color w:val="595959"/>
          <w:u w:color="7F7F7F"/>
        </w:rPr>
        <w:t>e</w:t>
      </w:r>
      <w:r w:rsidR="008D3193" w:rsidRPr="004F0B6E">
        <w:rPr>
          <w:color w:val="595959"/>
          <w:u w:color="7F7F7F"/>
        </w:rPr>
        <w:t>.</w:t>
      </w:r>
      <w:r w:rsidR="0010617E" w:rsidRPr="004F0B6E">
        <w:rPr>
          <w:color w:val="595959"/>
          <w:u w:color="7F7F7F"/>
        </w:rPr>
        <w:t xml:space="preserve"> The A</w:t>
      </w:r>
      <w:r w:rsidR="000438CE">
        <w:rPr>
          <w:color w:val="595959"/>
          <w:u w:color="7F7F7F"/>
          <w:lang w:val="en-US"/>
        </w:rPr>
        <w:t xml:space="preserve">ustralian </w:t>
      </w:r>
      <w:r w:rsidR="0010617E" w:rsidRPr="004F0B6E">
        <w:rPr>
          <w:color w:val="595959"/>
          <w:u w:color="7F7F7F"/>
        </w:rPr>
        <w:t>F</w:t>
      </w:r>
      <w:r w:rsidR="000438CE">
        <w:rPr>
          <w:color w:val="595959"/>
          <w:u w:color="7F7F7F"/>
          <w:lang w:val="en-US"/>
        </w:rPr>
        <w:t xml:space="preserve">ederal </w:t>
      </w:r>
      <w:r w:rsidR="0010617E" w:rsidRPr="004F0B6E">
        <w:rPr>
          <w:color w:val="595959"/>
          <w:u w:color="7F7F7F"/>
        </w:rPr>
        <w:t>P</w:t>
      </w:r>
      <w:r w:rsidR="000438CE">
        <w:rPr>
          <w:color w:val="595959"/>
          <w:u w:color="7F7F7F"/>
          <w:lang w:val="en-US"/>
        </w:rPr>
        <w:t xml:space="preserve">olice </w:t>
      </w:r>
      <w:r w:rsidR="0010617E" w:rsidRPr="004F0B6E">
        <w:rPr>
          <w:color w:val="595959"/>
          <w:u w:color="7F7F7F"/>
        </w:rPr>
        <w:t xml:space="preserve">is in the early stages of implementing </w:t>
      </w:r>
      <w:r w:rsidR="000438CE">
        <w:rPr>
          <w:color w:val="595959"/>
          <w:u w:color="7F7F7F"/>
          <w:lang w:val="en-US"/>
        </w:rPr>
        <w:t xml:space="preserve">the </w:t>
      </w:r>
      <w:r w:rsidR="0010617E" w:rsidRPr="004F0B6E">
        <w:rPr>
          <w:color w:val="595959"/>
          <w:u w:color="7F7F7F"/>
        </w:rPr>
        <w:t>DFAT-funded Families Free of Violence Program</w:t>
      </w:r>
      <w:r w:rsidR="000438CE">
        <w:rPr>
          <w:color w:val="595959"/>
          <w:u w:color="7F7F7F"/>
          <w:lang w:val="en-US"/>
        </w:rPr>
        <w:t>,</w:t>
      </w:r>
      <w:r w:rsidR="0010617E" w:rsidRPr="004F0B6E">
        <w:rPr>
          <w:color w:val="595959"/>
          <w:u w:color="7F7F7F"/>
        </w:rPr>
        <w:t xml:space="preserve"> focused on enhancing police capacity to respond appropriately to family and gender-based violence.</w:t>
      </w:r>
      <w:r w:rsidR="008D3193" w:rsidRPr="004F0B6E">
        <w:rPr>
          <w:color w:val="595959"/>
          <w:u w:color="7F7F7F"/>
        </w:rPr>
        <w:t xml:space="preserve"> </w:t>
      </w:r>
      <w:r w:rsidR="000438CE">
        <w:rPr>
          <w:color w:val="595959"/>
          <w:u w:color="7F7F7F"/>
          <w:lang w:val="en-US"/>
        </w:rPr>
        <w:t>We</w:t>
      </w:r>
      <w:r w:rsidR="000438CE" w:rsidRPr="004F0B6E">
        <w:rPr>
          <w:color w:val="595959"/>
          <w:u w:color="7F7F7F"/>
        </w:rPr>
        <w:t xml:space="preserve"> </w:t>
      </w:r>
      <w:r w:rsidR="008D3193" w:rsidRPr="004F0B6E">
        <w:rPr>
          <w:color w:val="595959"/>
          <w:u w:color="7F7F7F"/>
        </w:rPr>
        <w:t xml:space="preserve">continue to invest in key local NGOs, </w:t>
      </w:r>
      <w:r w:rsidR="00E35DB0">
        <w:rPr>
          <w:color w:val="595959"/>
          <w:u w:color="7F7F7F"/>
          <w:lang w:val="en-US"/>
        </w:rPr>
        <w:t>such as</w:t>
      </w:r>
      <w:r w:rsidR="008D3193" w:rsidRPr="004F0B6E">
        <w:rPr>
          <w:color w:val="595959"/>
          <w:u w:color="7F7F7F"/>
        </w:rPr>
        <w:t xml:space="preserve"> the Women and Children</w:t>
      </w:r>
      <w:r w:rsidR="00ED57B5">
        <w:rPr>
          <w:color w:val="595959"/>
          <w:u w:color="7F7F7F"/>
        </w:rPr>
        <w:t>’s</w:t>
      </w:r>
      <w:r w:rsidR="008D3193" w:rsidRPr="004F0B6E">
        <w:rPr>
          <w:color w:val="595959"/>
          <w:u w:color="7F7F7F"/>
        </w:rPr>
        <w:t xml:space="preserve"> </w:t>
      </w:r>
      <w:r w:rsidR="008E00BB">
        <w:rPr>
          <w:color w:val="595959"/>
          <w:u w:color="7F7F7F"/>
        </w:rPr>
        <w:t>C</w:t>
      </w:r>
      <w:r w:rsidR="008D3193" w:rsidRPr="004F0B6E">
        <w:rPr>
          <w:color w:val="595959"/>
          <w:u w:color="7F7F7F"/>
        </w:rPr>
        <w:t xml:space="preserve">risis </w:t>
      </w:r>
      <w:r w:rsidR="008E00BB">
        <w:rPr>
          <w:color w:val="595959"/>
          <w:u w:color="7F7F7F"/>
        </w:rPr>
        <w:t>C</w:t>
      </w:r>
      <w:r w:rsidR="008D3193" w:rsidRPr="004F0B6E">
        <w:rPr>
          <w:color w:val="595959"/>
          <w:u w:color="7F7F7F"/>
        </w:rPr>
        <w:t xml:space="preserve">entre for counselling and protection of survivors of violence, legal representation, </w:t>
      </w:r>
      <w:r w:rsidR="00E35DB0">
        <w:rPr>
          <w:color w:val="595959"/>
          <w:u w:color="7F7F7F"/>
          <w:lang w:val="en-US"/>
        </w:rPr>
        <w:t xml:space="preserve">and </w:t>
      </w:r>
      <w:r w:rsidR="008D3193" w:rsidRPr="004F0B6E">
        <w:rPr>
          <w:color w:val="595959"/>
          <w:u w:color="7F7F7F"/>
        </w:rPr>
        <w:t>advocacy.</w:t>
      </w:r>
      <w:r w:rsidR="0010617E" w:rsidRPr="004F0B6E">
        <w:rPr>
          <w:color w:val="595959"/>
          <w:u w:color="7F7F7F"/>
        </w:rPr>
        <w:t xml:space="preserve"> </w:t>
      </w:r>
      <w:r w:rsidR="008D3193" w:rsidRPr="004F0B6E">
        <w:rPr>
          <w:color w:val="595959"/>
          <w:u w:color="7F7F7F"/>
          <w:lang w:val="en-US"/>
        </w:rPr>
        <w:t xml:space="preserve">Active engagement </w:t>
      </w:r>
      <w:r w:rsidR="00E35DB0">
        <w:rPr>
          <w:color w:val="595959"/>
          <w:u w:color="7F7F7F"/>
          <w:lang w:val="en-US"/>
        </w:rPr>
        <w:t>is</w:t>
      </w:r>
      <w:r w:rsidR="008D3193" w:rsidRPr="004F0B6E">
        <w:rPr>
          <w:color w:val="595959"/>
          <w:u w:color="7F7F7F"/>
          <w:lang w:val="en-US"/>
        </w:rPr>
        <w:t xml:space="preserve"> needed to</w:t>
      </w:r>
      <w:r w:rsidR="00E35DB0">
        <w:rPr>
          <w:color w:val="595959"/>
          <w:u w:color="7F7F7F"/>
          <w:lang w:val="en-US"/>
        </w:rPr>
        <w:t xml:space="preserve"> improve coherence</w:t>
      </w:r>
      <w:r w:rsidR="008D3193" w:rsidRPr="004F0B6E">
        <w:rPr>
          <w:color w:val="595959"/>
          <w:u w:color="7F7F7F"/>
          <w:lang w:val="en-US"/>
        </w:rPr>
        <w:t xml:space="preserve"> at the country level. The integration of gender </w:t>
      </w:r>
      <w:r w:rsidR="0010617E" w:rsidRPr="004F0B6E">
        <w:rPr>
          <w:color w:val="595959"/>
          <w:u w:color="7F7F7F"/>
          <w:lang w:val="en-US"/>
        </w:rPr>
        <w:t>into other investments</w:t>
      </w:r>
      <w:r w:rsidR="008D3193" w:rsidRPr="004F0B6E">
        <w:rPr>
          <w:color w:val="595959"/>
          <w:u w:color="7F7F7F"/>
          <w:lang w:val="en-US"/>
        </w:rPr>
        <w:t xml:space="preserve"> has improved from the previous reporting period, with infrastructure and skills programs performing particularly well</w:t>
      </w:r>
      <w:r w:rsidR="0010617E" w:rsidRPr="004F0B6E">
        <w:rPr>
          <w:color w:val="595959"/>
          <w:u w:color="7F7F7F"/>
          <w:lang w:val="en-US"/>
        </w:rPr>
        <w:t>, although further work is needed in the</w:t>
      </w:r>
      <w:r w:rsidR="008D3193" w:rsidRPr="004F0B6E">
        <w:rPr>
          <w:color w:val="595959"/>
          <w:u w:color="7F7F7F"/>
          <w:lang w:val="en-US"/>
        </w:rPr>
        <w:t xml:space="preserve"> health and economic sector programs.</w:t>
      </w:r>
    </w:p>
    <w:p w:rsidR="0067267C" w:rsidRDefault="00E367CE" w:rsidP="007A406D">
      <w:pPr>
        <w:pStyle w:val="Body"/>
        <w:rPr>
          <w:color w:val="595959"/>
          <w:u w:color="7F7F7F"/>
          <w:lang w:val="en-US"/>
        </w:rPr>
      </w:pPr>
      <w:r>
        <w:rPr>
          <w:color w:val="595959"/>
          <w:u w:color="7F7F7F"/>
          <w:lang w:val="en-US"/>
        </w:rPr>
        <w:t>Our program is making good progress with a twin</w:t>
      </w:r>
      <w:r w:rsidRPr="004F0B6E">
        <w:rPr>
          <w:color w:val="595959"/>
          <w:u w:color="7F7F7F"/>
          <w:lang w:val="en-US"/>
        </w:rPr>
        <w:t>-track approach to disability in</w:t>
      </w:r>
      <w:r w:rsidRPr="007A406D">
        <w:rPr>
          <w:color w:val="595959"/>
          <w:u w:color="7F7F7F"/>
          <w:lang w:val="en-US"/>
        </w:rPr>
        <w:t>clusion</w:t>
      </w:r>
      <w:r w:rsidR="00687CEC">
        <w:rPr>
          <w:color w:val="595959"/>
          <w:u w:color="7F7F7F"/>
          <w:lang w:val="en-US"/>
        </w:rPr>
        <w:t xml:space="preserve"> through</w:t>
      </w:r>
      <w:r w:rsidRPr="007A406D">
        <w:rPr>
          <w:color w:val="595959"/>
          <w:u w:color="7F7F7F"/>
          <w:lang w:val="en-US"/>
        </w:rPr>
        <w:t xml:space="preserve"> specific t</w:t>
      </w:r>
      <w:r>
        <w:rPr>
          <w:color w:val="595959"/>
          <w:u w:color="7F7F7F"/>
          <w:lang w:val="en-US"/>
        </w:rPr>
        <w:t>argeted activities and mainstream</w:t>
      </w:r>
      <w:r w:rsidR="00D35704">
        <w:rPr>
          <w:color w:val="595959"/>
          <w:u w:color="7F7F7F"/>
          <w:lang w:val="en-US"/>
        </w:rPr>
        <w:t>ing</w:t>
      </w:r>
      <w:r>
        <w:rPr>
          <w:color w:val="595959"/>
          <w:u w:color="7F7F7F"/>
          <w:lang w:val="en-US"/>
        </w:rPr>
        <w:t xml:space="preserve"> disability inclusion. </w:t>
      </w:r>
      <w:r w:rsidR="00687CEC">
        <w:rPr>
          <w:color w:val="595959"/>
          <w:u w:color="7F7F7F"/>
          <w:lang w:val="en-US"/>
        </w:rPr>
        <w:t>Funding has been</w:t>
      </w:r>
      <w:r>
        <w:rPr>
          <w:color w:val="595959"/>
          <w:u w:color="7F7F7F"/>
          <w:lang w:val="en-US"/>
        </w:rPr>
        <w:t xml:space="preserve"> earmarked for disability inclusive activities</w:t>
      </w:r>
      <w:r w:rsidR="00687CEC">
        <w:rPr>
          <w:color w:val="595959"/>
          <w:u w:color="7F7F7F"/>
          <w:lang w:val="en-US"/>
        </w:rPr>
        <w:t xml:space="preserve"> in the health sector</w:t>
      </w:r>
      <w:r>
        <w:rPr>
          <w:color w:val="595959"/>
          <w:u w:color="7F7F7F"/>
          <w:lang w:val="en-US"/>
        </w:rPr>
        <w:t xml:space="preserve">, as well as training to improve mainstream consideration of the needs of people with disabilities in all Ministry of Health and Tonga Health activities. The </w:t>
      </w:r>
      <w:r w:rsidR="002B26D5">
        <w:rPr>
          <w:color w:val="595959"/>
          <w:u w:color="7F7F7F"/>
          <w:lang w:val="en-US"/>
        </w:rPr>
        <w:t xml:space="preserve">programming of </w:t>
      </w:r>
      <w:r>
        <w:rPr>
          <w:color w:val="595959"/>
          <w:u w:color="7F7F7F"/>
          <w:lang w:val="en-US"/>
        </w:rPr>
        <w:t>earmarked funding is overseen by a s</w:t>
      </w:r>
      <w:r w:rsidR="00ED57B5">
        <w:rPr>
          <w:color w:val="595959"/>
          <w:u w:color="7F7F7F"/>
          <w:lang w:val="en-US"/>
        </w:rPr>
        <w:t>teering</w:t>
      </w:r>
      <w:r>
        <w:rPr>
          <w:color w:val="595959"/>
          <w:u w:color="7F7F7F"/>
          <w:lang w:val="en-US"/>
        </w:rPr>
        <w:t xml:space="preserve"> committee </w:t>
      </w:r>
      <w:r w:rsidR="00687CEC">
        <w:rPr>
          <w:color w:val="595959"/>
          <w:u w:color="7F7F7F"/>
          <w:lang w:val="en-US"/>
        </w:rPr>
        <w:t xml:space="preserve">which </w:t>
      </w:r>
      <w:r>
        <w:rPr>
          <w:color w:val="595959"/>
          <w:u w:color="7F7F7F"/>
          <w:lang w:val="en-US"/>
        </w:rPr>
        <w:t>includ</w:t>
      </w:r>
      <w:r w:rsidR="00687CEC">
        <w:rPr>
          <w:color w:val="595959"/>
          <w:u w:color="7F7F7F"/>
          <w:lang w:val="en-US"/>
        </w:rPr>
        <w:t xml:space="preserve">es </w:t>
      </w:r>
      <w:r>
        <w:rPr>
          <w:color w:val="595959"/>
          <w:u w:color="7F7F7F"/>
          <w:lang w:val="en-US"/>
        </w:rPr>
        <w:t xml:space="preserve">representatives of Tongan </w:t>
      </w:r>
      <w:r w:rsidR="00687CEC">
        <w:rPr>
          <w:color w:val="595959"/>
          <w:u w:color="7F7F7F"/>
          <w:lang w:val="en-US"/>
        </w:rPr>
        <w:t>d</w:t>
      </w:r>
      <w:r>
        <w:rPr>
          <w:color w:val="595959"/>
          <w:u w:color="7F7F7F"/>
          <w:lang w:val="en-US"/>
        </w:rPr>
        <w:t xml:space="preserve">isabled </w:t>
      </w:r>
      <w:r w:rsidR="00687CEC">
        <w:rPr>
          <w:color w:val="595959"/>
          <w:u w:color="7F7F7F"/>
          <w:lang w:val="en-US"/>
        </w:rPr>
        <w:t>p</w:t>
      </w:r>
      <w:r>
        <w:rPr>
          <w:color w:val="595959"/>
          <w:u w:color="7F7F7F"/>
          <w:lang w:val="en-US"/>
        </w:rPr>
        <w:t xml:space="preserve">ersons’ </w:t>
      </w:r>
      <w:r w:rsidR="00687CEC">
        <w:rPr>
          <w:color w:val="595959"/>
          <w:u w:color="7F7F7F"/>
          <w:lang w:val="en-US"/>
        </w:rPr>
        <w:t>o</w:t>
      </w:r>
      <w:r>
        <w:rPr>
          <w:color w:val="595959"/>
          <w:u w:color="7F7F7F"/>
          <w:lang w:val="en-US"/>
        </w:rPr>
        <w:t xml:space="preserve">rganisations. </w:t>
      </w:r>
      <w:r w:rsidR="000E16B4">
        <w:rPr>
          <w:color w:val="595959"/>
          <w:u w:color="7F7F7F"/>
          <w:lang w:val="en-US"/>
        </w:rPr>
        <w:t xml:space="preserve">The Tonga Skills program has also </w:t>
      </w:r>
      <w:r w:rsidR="00D35704">
        <w:rPr>
          <w:color w:val="595959"/>
          <w:u w:color="7F7F7F"/>
          <w:lang w:val="en-US"/>
        </w:rPr>
        <w:t>provided both targeted trainings and increasing participation of people with disabilities across all courses. Improvements are needed in the economic and infrastructure sector programs to both address needs and encourage consultative decision-making.</w:t>
      </w:r>
    </w:p>
    <w:p w:rsidR="005644B8" w:rsidRDefault="00834F71">
      <w:pPr>
        <w:pStyle w:val="ListBullet"/>
        <w:tabs>
          <w:tab w:val="clear" w:pos="284"/>
        </w:tabs>
        <w:spacing w:before="400"/>
        <w:rPr>
          <w:rFonts w:ascii="Calibri" w:eastAsia="Calibri" w:hAnsi="Calibri" w:cs="Calibri"/>
          <w:caps/>
          <w:color w:val="495965"/>
          <w:sz w:val="38"/>
          <w:szCs w:val="38"/>
          <w:u w:color="495965"/>
        </w:rPr>
      </w:pPr>
      <w:r>
        <w:rPr>
          <w:rFonts w:ascii="Calibri" w:eastAsia="Calibri" w:hAnsi="Calibri" w:cs="Calibri"/>
          <w:caps/>
          <w:color w:val="495965"/>
          <w:sz w:val="38"/>
          <w:szCs w:val="38"/>
          <w:u w:color="495965"/>
        </w:rPr>
        <w:t>Program Quality AND Management Actions</w:t>
      </w:r>
    </w:p>
    <w:p w:rsidR="005644B8" w:rsidRPr="00955AB9" w:rsidRDefault="00834F71">
      <w:pPr>
        <w:pStyle w:val="Body"/>
        <w:rPr>
          <w:color w:val="595959"/>
          <w:u w:color="595959"/>
        </w:rPr>
      </w:pPr>
      <w:r>
        <w:rPr>
          <w:color w:val="595959"/>
          <w:u w:color="595959"/>
          <w:lang w:val="en-US"/>
        </w:rPr>
        <w:t xml:space="preserve">Aid Quality Check (AQC) ratings across investments covering relevance, effectiveness, efficiency and </w:t>
      </w:r>
      <w:r w:rsidRPr="007A406D">
        <w:rPr>
          <w:color w:val="595959"/>
          <w:u w:color="595959"/>
          <w:lang w:val="en-US"/>
        </w:rPr>
        <w:t>sustainability indicate the aid program to Tonga is working well and in the right areas</w:t>
      </w:r>
      <w:r w:rsidR="00E35DB0">
        <w:rPr>
          <w:color w:val="595959"/>
          <w:u w:color="595959"/>
          <w:lang w:val="en-US"/>
        </w:rPr>
        <w:t>.</w:t>
      </w:r>
      <w:r w:rsidRPr="007A406D">
        <w:rPr>
          <w:color w:val="595959"/>
          <w:u w:color="595959"/>
          <w:lang w:val="en-US"/>
        </w:rPr>
        <w:t xml:space="preserve"> Monitoring and evaluation needs to be further improved</w:t>
      </w:r>
      <w:r w:rsidR="00E35DB0">
        <w:rPr>
          <w:color w:val="595959"/>
          <w:u w:color="595959"/>
          <w:lang w:val="en-US"/>
        </w:rPr>
        <w:t xml:space="preserve"> to understand higher level impacts</w:t>
      </w:r>
      <w:r w:rsidRPr="00955AB9">
        <w:rPr>
          <w:color w:val="595959"/>
          <w:u w:color="595959"/>
        </w:rPr>
        <w:t xml:space="preserve">. </w:t>
      </w:r>
    </w:p>
    <w:p w:rsidR="005644B8" w:rsidRPr="00955AB9" w:rsidRDefault="0067267C">
      <w:pPr>
        <w:pStyle w:val="Body"/>
        <w:rPr>
          <w:color w:val="595959"/>
          <w:u w:color="595959"/>
        </w:rPr>
      </w:pPr>
      <w:r>
        <w:rPr>
          <w:color w:val="595959"/>
          <w:u w:color="595959"/>
          <w:lang w:val="en-US"/>
        </w:rPr>
        <w:t>T</w:t>
      </w:r>
      <w:r w:rsidR="00687CEC">
        <w:rPr>
          <w:color w:val="595959"/>
          <w:u w:color="595959"/>
          <w:lang w:val="en-US"/>
        </w:rPr>
        <w:t>o increase t</w:t>
      </w:r>
      <w:r w:rsidR="00834F71" w:rsidRPr="007A406D">
        <w:rPr>
          <w:color w:val="595959"/>
          <w:u w:color="595959"/>
          <w:lang w:val="en-US"/>
        </w:rPr>
        <w:t xml:space="preserve">he </w:t>
      </w:r>
      <w:r w:rsidR="00687CEC">
        <w:rPr>
          <w:color w:val="595959"/>
          <w:u w:color="595959"/>
          <w:lang w:val="en-US"/>
        </w:rPr>
        <w:t>effectiveness of Australian aid to Tonga and address problems encountered in 2017-18</w:t>
      </w:r>
      <w:r w:rsidR="00BE384E">
        <w:rPr>
          <w:color w:val="595959"/>
          <w:u w:color="595959"/>
          <w:lang w:val="en-US"/>
        </w:rPr>
        <w:t>,</w:t>
      </w:r>
      <w:r w:rsidR="00687CEC">
        <w:rPr>
          <w:color w:val="595959"/>
          <w:u w:color="595959"/>
          <w:lang w:val="en-US"/>
        </w:rPr>
        <w:t xml:space="preserve"> the </w:t>
      </w:r>
      <w:r w:rsidR="00834F71" w:rsidRPr="007A406D">
        <w:rPr>
          <w:color w:val="595959"/>
          <w:u w:color="595959"/>
          <w:lang w:val="en-US"/>
        </w:rPr>
        <w:t xml:space="preserve">following management </w:t>
      </w:r>
      <w:r w:rsidR="008E00BB">
        <w:rPr>
          <w:color w:val="595959"/>
          <w:u w:color="595959"/>
          <w:lang w:val="en-US"/>
        </w:rPr>
        <w:t xml:space="preserve">actions </w:t>
      </w:r>
      <w:r w:rsidR="00834F71" w:rsidRPr="007A406D">
        <w:rPr>
          <w:color w:val="595959"/>
          <w:u w:color="595959"/>
          <w:lang w:val="en-US"/>
        </w:rPr>
        <w:t xml:space="preserve">will be </w:t>
      </w:r>
      <w:r w:rsidR="00687CEC">
        <w:rPr>
          <w:color w:val="595959"/>
          <w:u w:color="595959"/>
          <w:lang w:val="en-US"/>
        </w:rPr>
        <w:t xml:space="preserve">undertaken </w:t>
      </w:r>
      <w:r w:rsidR="00834F71" w:rsidRPr="00955AB9">
        <w:rPr>
          <w:color w:val="595959"/>
          <w:u w:color="595959"/>
          <w:lang w:val="en-US"/>
        </w:rPr>
        <w:t>in 2018-19</w:t>
      </w:r>
      <w:r w:rsidR="00834F71" w:rsidRPr="00955AB9">
        <w:rPr>
          <w:color w:val="595959"/>
          <w:u w:color="595959"/>
        </w:rPr>
        <w:t>:</w:t>
      </w:r>
    </w:p>
    <w:p w:rsidR="005644B8" w:rsidRPr="007A406D" w:rsidRDefault="000304F9">
      <w:pPr>
        <w:pStyle w:val="ListParagraph"/>
        <w:numPr>
          <w:ilvl w:val="0"/>
          <w:numId w:val="6"/>
        </w:numPr>
        <w:suppressAutoHyphens w:val="0"/>
        <w:rPr>
          <w:color w:val="595959"/>
        </w:rPr>
      </w:pPr>
      <w:r>
        <w:rPr>
          <w:color w:val="595959"/>
          <w:u w:color="595959"/>
        </w:rPr>
        <w:t>The</w:t>
      </w:r>
      <w:r w:rsidR="00834F71" w:rsidRPr="00955AB9">
        <w:rPr>
          <w:color w:val="595959"/>
          <w:u w:color="595959"/>
        </w:rPr>
        <w:t xml:space="preserve"> Aid Investment Plan and associated Performance Assessment Framework</w:t>
      </w:r>
      <w:r w:rsidR="00582F64">
        <w:rPr>
          <w:color w:val="595959"/>
          <w:u w:color="595959"/>
        </w:rPr>
        <w:t xml:space="preserve"> </w:t>
      </w:r>
      <w:r>
        <w:rPr>
          <w:color w:val="595959"/>
          <w:u w:color="595959"/>
        </w:rPr>
        <w:t xml:space="preserve">be updated </w:t>
      </w:r>
      <w:r w:rsidR="00582F64">
        <w:rPr>
          <w:color w:val="595959"/>
          <w:u w:color="595959"/>
        </w:rPr>
        <w:t>to set the direction of the next three years of Australian aid investment in Tonga</w:t>
      </w:r>
      <w:r w:rsidR="00BE384E">
        <w:rPr>
          <w:color w:val="595959"/>
          <w:u w:color="595959"/>
        </w:rPr>
        <w:t>.</w:t>
      </w:r>
      <w:r w:rsidR="00582F64">
        <w:rPr>
          <w:color w:val="595959"/>
          <w:u w:color="595959"/>
        </w:rPr>
        <w:t xml:space="preserve"> </w:t>
      </w:r>
    </w:p>
    <w:p w:rsidR="005644B8" w:rsidRPr="007A406D" w:rsidRDefault="0067267C">
      <w:pPr>
        <w:pStyle w:val="ListParagraph"/>
        <w:numPr>
          <w:ilvl w:val="0"/>
          <w:numId w:val="6"/>
        </w:numPr>
        <w:suppressAutoHyphens w:val="0"/>
        <w:rPr>
          <w:color w:val="595959"/>
        </w:rPr>
      </w:pPr>
      <w:r>
        <w:rPr>
          <w:color w:val="595959"/>
          <w:u w:color="595959"/>
        </w:rPr>
        <w:t xml:space="preserve">Mid-term </w:t>
      </w:r>
      <w:r w:rsidR="009E225B">
        <w:rPr>
          <w:color w:val="595959"/>
          <w:u w:color="595959"/>
        </w:rPr>
        <w:t>evaluation</w:t>
      </w:r>
      <w:r>
        <w:rPr>
          <w:color w:val="595959"/>
          <w:u w:color="595959"/>
        </w:rPr>
        <w:t xml:space="preserve"> of the Tonga Health Systems Support Program (THSSP2) to review progress and impact, and support program improvements for the remainder of the investment. </w:t>
      </w:r>
    </w:p>
    <w:p w:rsidR="005644B8" w:rsidRPr="00955AB9" w:rsidRDefault="009C49CF">
      <w:pPr>
        <w:pStyle w:val="ListParagraph"/>
        <w:numPr>
          <w:ilvl w:val="0"/>
          <w:numId w:val="6"/>
        </w:numPr>
        <w:suppressAutoHyphens w:val="0"/>
        <w:rPr>
          <w:color w:val="595959"/>
        </w:rPr>
      </w:pPr>
      <w:r w:rsidRPr="00955AB9">
        <w:rPr>
          <w:color w:val="595959"/>
          <w:u w:color="595959"/>
        </w:rPr>
        <w:t xml:space="preserve">New design for </w:t>
      </w:r>
      <w:r w:rsidR="000304F9">
        <w:rPr>
          <w:color w:val="595959"/>
          <w:u w:color="595959"/>
        </w:rPr>
        <w:t>the e</w:t>
      </w:r>
      <w:r w:rsidR="00834F71" w:rsidRPr="00955AB9">
        <w:rPr>
          <w:color w:val="595959"/>
          <w:u w:color="595959"/>
        </w:rPr>
        <w:t xml:space="preserve">conomic sector </w:t>
      </w:r>
      <w:r w:rsidRPr="00955AB9">
        <w:rPr>
          <w:color w:val="595959"/>
          <w:u w:color="595959"/>
        </w:rPr>
        <w:t xml:space="preserve">investment to align with Foreign Policy White Paper priorities and implement the findings of the </w:t>
      </w:r>
      <w:r w:rsidR="000304F9">
        <w:rPr>
          <w:color w:val="595959"/>
          <w:u w:color="595959"/>
        </w:rPr>
        <w:t>recent i</w:t>
      </w:r>
      <w:r w:rsidRPr="00955AB9">
        <w:rPr>
          <w:color w:val="595959"/>
          <w:u w:color="595959"/>
        </w:rPr>
        <w:t xml:space="preserve">ndependent </w:t>
      </w:r>
      <w:r w:rsidR="000304F9">
        <w:rPr>
          <w:color w:val="595959"/>
          <w:u w:color="595959"/>
        </w:rPr>
        <w:t>sector e</w:t>
      </w:r>
      <w:r w:rsidRPr="00955AB9">
        <w:rPr>
          <w:color w:val="595959"/>
          <w:u w:color="595959"/>
        </w:rPr>
        <w:t>valuation</w:t>
      </w:r>
      <w:r w:rsidR="00BE384E">
        <w:rPr>
          <w:color w:val="595959"/>
          <w:u w:color="595959"/>
        </w:rPr>
        <w:t>.</w:t>
      </w:r>
    </w:p>
    <w:p w:rsidR="005644B8" w:rsidRPr="00955AB9" w:rsidRDefault="00834F71">
      <w:pPr>
        <w:pStyle w:val="ListParagraph"/>
        <w:numPr>
          <w:ilvl w:val="0"/>
          <w:numId w:val="6"/>
        </w:numPr>
        <w:suppressAutoHyphens w:val="0"/>
        <w:rPr>
          <w:color w:val="595959"/>
        </w:rPr>
      </w:pPr>
      <w:r w:rsidRPr="00955AB9">
        <w:rPr>
          <w:color w:val="595959"/>
          <w:u w:color="595959"/>
        </w:rPr>
        <w:t>Tonga Skills to address findings</w:t>
      </w:r>
      <w:r w:rsidR="00400CEA">
        <w:rPr>
          <w:color w:val="595959"/>
          <w:u w:color="595959"/>
        </w:rPr>
        <w:t xml:space="preserve"> of the mid-term r</w:t>
      </w:r>
      <w:r w:rsidR="00955AB9" w:rsidRPr="00955AB9">
        <w:rPr>
          <w:color w:val="595959"/>
          <w:u w:color="595959"/>
        </w:rPr>
        <w:t>eview with a particular focus on monitoring and evaluation and internal management</w:t>
      </w:r>
      <w:r w:rsidR="00BE384E">
        <w:rPr>
          <w:color w:val="595959"/>
          <w:u w:color="595959"/>
        </w:rPr>
        <w:t>.</w:t>
      </w:r>
    </w:p>
    <w:p w:rsidR="005644B8" w:rsidRPr="004F0B6E" w:rsidRDefault="00834F71">
      <w:pPr>
        <w:pStyle w:val="ListParagraph"/>
        <w:numPr>
          <w:ilvl w:val="0"/>
          <w:numId w:val="6"/>
        </w:numPr>
        <w:suppressAutoHyphens w:val="0"/>
        <w:rPr>
          <w:color w:val="595959"/>
        </w:rPr>
      </w:pPr>
      <w:r w:rsidRPr="004F0B6E">
        <w:rPr>
          <w:color w:val="595959"/>
          <w:u w:color="7F7F7F"/>
        </w:rPr>
        <w:t xml:space="preserve">Review of </w:t>
      </w:r>
      <w:r w:rsidR="005052D9" w:rsidRPr="00C23F43">
        <w:rPr>
          <w:color w:val="595959"/>
          <w:u w:color="7F7F7F"/>
        </w:rPr>
        <w:t xml:space="preserve">the </w:t>
      </w:r>
      <w:r w:rsidR="005052D9" w:rsidRPr="00ED57B5">
        <w:rPr>
          <w:color w:val="595959"/>
          <w:u w:color="7F7F7F"/>
        </w:rPr>
        <w:t>Pacific Women</w:t>
      </w:r>
      <w:r w:rsidR="005052D9" w:rsidRPr="00C23F43">
        <w:rPr>
          <w:color w:val="595959"/>
          <w:u w:color="7F7F7F"/>
        </w:rPr>
        <w:t xml:space="preserve"> </w:t>
      </w:r>
      <w:r w:rsidRPr="00C23F43">
        <w:rPr>
          <w:color w:val="595959"/>
          <w:u w:color="7F7F7F"/>
        </w:rPr>
        <w:t>Tonga</w:t>
      </w:r>
      <w:r w:rsidRPr="004F0B6E">
        <w:rPr>
          <w:color w:val="595959"/>
          <w:u w:color="7F7F7F"/>
        </w:rPr>
        <w:t xml:space="preserve"> country </w:t>
      </w:r>
      <w:r w:rsidR="005052D9" w:rsidRPr="004F0B6E">
        <w:rPr>
          <w:color w:val="595959"/>
          <w:u w:color="7F7F7F"/>
        </w:rPr>
        <w:t>plan</w:t>
      </w:r>
      <w:r w:rsidRPr="004F0B6E">
        <w:rPr>
          <w:color w:val="595959"/>
          <w:u w:color="7F7F7F"/>
        </w:rPr>
        <w:t xml:space="preserve"> for gender</w:t>
      </w:r>
      <w:r w:rsidR="009C49CF" w:rsidRPr="004F0B6E">
        <w:rPr>
          <w:color w:val="595959"/>
          <w:u w:color="7F7F7F"/>
        </w:rPr>
        <w:t xml:space="preserve"> to review progress and refocus our efforts to meet the target of $10 million over 10 years for </w:t>
      </w:r>
      <w:r w:rsidR="009C49CF" w:rsidRPr="00ED57B5">
        <w:rPr>
          <w:color w:val="595959"/>
          <w:u w:color="7F7F7F"/>
        </w:rPr>
        <w:t>Pacific Women</w:t>
      </w:r>
      <w:r w:rsidR="009C49CF" w:rsidRPr="004F0B6E">
        <w:rPr>
          <w:color w:val="595959"/>
          <w:u w:color="7F7F7F"/>
        </w:rPr>
        <w:t xml:space="preserve"> activities.</w:t>
      </w:r>
    </w:p>
    <w:p w:rsidR="005644B8" w:rsidRPr="004F0B6E" w:rsidRDefault="000304F9">
      <w:pPr>
        <w:pStyle w:val="ListParagraph"/>
        <w:numPr>
          <w:ilvl w:val="0"/>
          <w:numId w:val="6"/>
        </w:numPr>
        <w:suppressAutoHyphens w:val="0"/>
        <w:rPr>
          <w:color w:val="595959"/>
        </w:rPr>
      </w:pPr>
      <w:r>
        <w:rPr>
          <w:color w:val="595959"/>
          <w:u w:color="7F7F7F"/>
        </w:rPr>
        <w:t>Undertake a m</w:t>
      </w:r>
      <w:r w:rsidR="00687CEC">
        <w:rPr>
          <w:color w:val="595959"/>
          <w:u w:color="7F7F7F"/>
        </w:rPr>
        <w:t>id-term review of Australia’s humanitarian response to T</w:t>
      </w:r>
      <w:r>
        <w:rPr>
          <w:color w:val="595959"/>
          <w:u w:color="7F7F7F"/>
        </w:rPr>
        <w:t>C</w:t>
      </w:r>
      <w:r w:rsidR="00834F71" w:rsidRPr="004F0B6E">
        <w:rPr>
          <w:color w:val="595959"/>
          <w:u w:color="7F7F7F"/>
        </w:rPr>
        <w:t xml:space="preserve"> Gita</w:t>
      </w:r>
      <w:r w:rsidR="00687CEC">
        <w:rPr>
          <w:color w:val="595959"/>
          <w:u w:color="7F7F7F"/>
        </w:rPr>
        <w:t>.</w:t>
      </w:r>
      <w:r w:rsidR="00834F71" w:rsidRPr="004F0B6E">
        <w:rPr>
          <w:color w:val="595959"/>
          <w:u w:color="7F7F7F"/>
        </w:rPr>
        <w:t xml:space="preserve"> </w:t>
      </w:r>
    </w:p>
    <w:p w:rsidR="0095425B" w:rsidRPr="004F0B6E" w:rsidRDefault="000304F9">
      <w:pPr>
        <w:pStyle w:val="ListParagraph"/>
        <w:numPr>
          <w:ilvl w:val="0"/>
          <w:numId w:val="6"/>
        </w:numPr>
        <w:suppressAutoHyphens w:val="0"/>
        <w:rPr>
          <w:color w:val="595959"/>
          <w:u w:color="7F7F7F"/>
        </w:rPr>
        <w:sectPr w:rsidR="0095425B" w:rsidRPr="004F0B6E">
          <w:headerReference w:type="default" r:id="rId28"/>
          <w:footerReference w:type="default" r:id="rId29"/>
          <w:pgSz w:w="11900" w:h="16840"/>
          <w:pgMar w:top="1135" w:right="1134" w:bottom="1276" w:left="1134" w:header="1107" w:footer="192" w:gutter="0"/>
          <w:cols w:space="720"/>
        </w:sectPr>
      </w:pPr>
      <w:r>
        <w:rPr>
          <w:color w:val="595959"/>
          <w:u w:color="7F7F7F"/>
        </w:rPr>
        <w:t>D</w:t>
      </w:r>
      <w:r w:rsidR="00955AB9" w:rsidRPr="004F0B6E">
        <w:rPr>
          <w:color w:val="595959"/>
          <w:u w:color="7F7F7F"/>
        </w:rPr>
        <w:t>esign</w:t>
      </w:r>
      <w:r w:rsidR="00834F71" w:rsidRPr="004F0B6E">
        <w:rPr>
          <w:color w:val="595959"/>
          <w:u w:color="7F7F7F"/>
        </w:rPr>
        <w:t xml:space="preserve"> </w:t>
      </w:r>
      <w:r>
        <w:rPr>
          <w:color w:val="595959"/>
          <w:u w:color="7F7F7F"/>
        </w:rPr>
        <w:t xml:space="preserve">a new </w:t>
      </w:r>
      <w:r w:rsidR="00834F71" w:rsidRPr="004F0B6E">
        <w:rPr>
          <w:color w:val="595959"/>
          <w:u w:color="7F7F7F"/>
        </w:rPr>
        <w:t xml:space="preserve">scholarships program </w:t>
      </w:r>
      <w:r w:rsidR="00955AB9" w:rsidRPr="004F0B6E">
        <w:rPr>
          <w:color w:val="595959"/>
          <w:u w:color="7F7F7F"/>
        </w:rPr>
        <w:t xml:space="preserve">to improve coherence and determine investment impact. </w:t>
      </w:r>
    </w:p>
    <w:p w:rsidR="005644B8" w:rsidRDefault="00834F71">
      <w:pPr>
        <w:pStyle w:val="Subtitle"/>
      </w:pPr>
      <w:r>
        <w:lastRenderedPageBreak/>
        <w:t>Annex A - Progress in Addressing Management Responses</w:t>
      </w:r>
    </w:p>
    <w:p w:rsidR="005644B8" w:rsidRDefault="005644B8">
      <w:pPr>
        <w:pStyle w:val="Body"/>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6409"/>
        <w:gridCol w:w="1195"/>
        <w:gridCol w:w="6825"/>
      </w:tblGrid>
      <w:tr w:rsidR="005644B8" w:rsidTr="008D3193">
        <w:trPr>
          <w:trHeight w:val="460"/>
        </w:trPr>
        <w:tc>
          <w:tcPr>
            <w:tcW w:w="2221"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Management responses identified in 2016-17 APPR</w:t>
            </w:r>
            <w:r>
              <w:rPr>
                <w:b/>
                <w:bCs/>
                <w:sz w:val="17"/>
                <w:szCs w:val="17"/>
                <w:lang w:val="en-US"/>
              </w:rPr>
              <w:tab/>
            </w:r>
          </w:p>
        </w:tc>
        <w:tc>
          <w:tcPr>
            <w:tcW w:w="414"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jc w:val="center"/>
            </w:pPr>
            <w:r>
              <w:rPr>
                <w:b/>
                <w:bCs/>
                <w:sz w:val="17"/>
                <w:szCs w:val="17"/>
                <w:lang w:val="en-US"/>
              </w:rPr>
              <w:t>Rating</w:t>
            </w:r>
          </w:p>
        </w:tc>
        <w:tc>
          <w:tcPr>
            <w:tcW w:w="2365"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jc w:val="center"/>
            </w:pPr>
            <w:r>
              <w:rPr>
                <w:b/>
                <w:bCs/>
                <w:sz w:val="17"/>
                <w:szCs w:val="17"/>
                <w:lang w:val="en-US"/>
              </w:rPr>
              <w:t>Progress made  in 2017-18</w:t>
            </w:r>
          </w:p>
        </w:tc>
      </w:tr>
      <w:tr w:rsidR="005644B8" w:rsidTr="008D3193">
        <w:trPr>
          <w:trHeight w:val="680"/>
        </w:trPr>
        <w:tc>
          <w:tcPr>
            <w:tcW w:w="2221"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Default"/>
              <w:suppressAutoHyphens w:val="0"/>
              <w:spacing w:before="0"/>
            </w:pPr>
            <w:r>
              <w:rPr>
                <w:color w:val="495965"/>
                <w:sz w:val="17"/>
                <w:szCs w:val="17"/>
                <w:u w:color="495965"/>
              </w:rPr>
              <w:t>Review our work in the economic sector, with a particular focus on risk, gender, climate change and disaster reduction, and procurement</w:t>
            </w:r>
          </w:p>
        </w:tc>
        <w:tc>
          <w:tcPr>
            <w:tcW w:w="414" w:type="pct"/>
            <w:tcBorders>
              <w:top w:val="nil"/>
              <w:left w:val="nil"/>
              <w:bottom w:val="nil"/>
              <w:right w:val="nil"/>
            </w:tcBorders>
            <w:shd w:val="clear" w:color="auto" w:fill="92D050"/>
            <w:tcMar>
              <w:top w:w="80" w:type="dxa"/>
              <w:left w:w="80" w:type="dxa"/>
              <w:bottom w:w="80" w:type="dxa"/>
              <w:right w:w="80" w:type="dxa"/>
            </w:tcMar>
          </w:tcPr>
          <w:p w:rsidR="005644B8" w:rsidRDefault="00834F71">
            <w:pPr>
              <w:pStyle w:val="Body"/>
              <w:keepLines/>
              <w:spacing w:before="40" w:after="40" w:line="200" w:lineRule="atLeast"/>
              <w:jc w:val="center"/>
            </w:pPr>
            <w:r>
              <w:rPr>
                <w:b/>
                <w:bCs/>
                <w:color w:val="FFFFFF"/>
                <w:sz w:val="17"/>
                <w:szCs w:val="17"/>
                <w:u w:color="FFFFFF"/>
                <w:lang w:val="en-US"/>
              </w:rPr>
              <w:t>Green</w:t>
            </w:r>
          </w:p>
        </w:tc>
        <w:tc>
          <w:tcPr>
            <w:tcW w:w="2365" w:type="pct"/>
            <w:tcBorders>
              <w:top w:val="nil"/>
              <w:left w:val="nil"/>
              <w:bottom w:val="nil"/>
              <w:right w:val="nil"/>
            </w:tcBorders>
            <w:shd w:val="clear" w:color="auto" w:fill="auto"/>
            <w:tcMar>
              <w:top w:w="80" w:type="dxa"/>
              <w:left w:w="80" w:type="dxa"/>
              <w:bottom w:w="80" w:type="dxa"/>
              <w:right w:w="80" w:type="dxa"/>
            </w:tcMar>
          </w:tcPr>
          <w:p w:rsidR="005644B8" w:rsidRDefault="002A0B1B" w:rsidP="00BE384E">
            <w:pPr>
              <w:pStyle w:val="Body"/>
              <w:keepLines/>
              <w:spacing w:before="40" w:after="40" w:line="200" w:lineRule="atLeast"/>
            </w:pPr>
            <w:r>
              <w:rPr>
                <w:sz w:val="17"/>
                <w:szCs w:val="17"/>
                <w:lang w:val="en-US"/>
              </w:rPr>
              <w:t>The independent review of the economic sector was completed in May 2018. The review found that the mechanism of budget support and economic reforms</w:t>
            </w:r>
            <w:r w:rsidR="00BE384E">
              <w:rPr>
                <w:sz w:val="17"/>
                <w:szCs w:val="17"/>
                <w:lang w:val="en-US"/>
              </w:rPr>
              <w:t>, with</w:t>
            </w:r>
            <w:r>
              <w:rPr>
                <w:sz w:val="17"/>
                <w:szCs w:val="17"/>
                <w:lang w:val="en-US"/>
              </w:rPr>
              <w:t xml:space="preserve"> which DFAT is supporting the Government of Tonga, is an effective vehicle to support economic and public-sector reforms in Tonga. A management response for this report should be publicly available before the end of December 2018.</w:t>
            </w:r>
          </w:p>
        </w:tc>
      </w:tr>
      <w:tr w:rsidR="005644B8" w:rsidTr="008D3193">
        <w:trPr>
          <w:trHeight w:val="1560"/>
        </w:trPr>
        <w:tc>
          <w:tcPr>
            <w:tcW w:w="2221"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pPr>
            <w:r>
              <w:rPr>
                <w:sz w:val="17"/>
                <w:szCs w:val="17"/>
                <w:lang w:val="en-US"/>
              </w:rPr>
              <w:t>Undertake a mid-term review of our skills program to ensure it is still relevant and effective, and supports Australia’s step</w:t>
            </w:r>
            <w:r w:rsidR="00426AB7">
              <w:rPr>
                <w:sz w:val="17"/>
                <w:szCs w:val="17"/>
                <w:lang w:val="en-US"/>
              </w:rPr>
              <w:t>ped up</w:t>
            </w:r>
            <w:r>
              <w:rPr>
                <w:sz w:val="17"/>
                <w:szCs w:val="17"/>
                <w:lang w:val="en-US"/>
              </w:rPr>
              <w:t xml:space="preserve"> Pacific engagement.  We will continue to work towards strategic donor coordination with the World Bank and New Zealand, and coherence with our regional investment in the Australia Pacific Training Coalition</w:t>
            </w:r>
          </w:p>
        </w:tc>
        <w:tc>
          <w:tcPr>
            <w:tcW w:w="414" w:type="pct"/>
            <w:tcBorders>
              <w:top w:val="nil"/>
              <w:left w:val="nil"/>
              <w:bottom w:val="nil"/>
              <w:right w:val="nil"/>
            </w:tcBorders>
            <w:shd w:val="clear" w:color="auto" w:fill="92D050"/>
            <w:tcMar>
              <w:top w:w="80" w:type="dxa"/>
              <w:left w:w="80" w:type="dxa"/>
              <w:bottom w:w="80" w:type="dxa"/>
              <w:right w:w="80" w:type="dxa"/>
            </w:tcMar>
          </w:tcPr>
          <w:p w:rsidR="005644B8" w:rsidRDefault="00834F71">
            <w:pPr>
              <w:pStyle w:val="Body"/>
              <w:keepLines/>
              <w:spacing w:before="40" w:after="40" w:line="200" w:lineRule="atLeast"/>
              <w:jc w:val="center"/>
            </w:pPr>
            <w:r>
              <w:rPr>
                <w:b/>
                <w:bCs/>
                <w:color w:val="FFFFFF"/>
                <w:sz w:val="17"/>
                <w:szCs w:val="17"/>
                <w:u w:color="FFFFFF"/>
                <w:lang w:val="en-US"/>
              </w:rPr>
              <w:t>Green</w:t>
            </w:r>
          </w:p>
        </w:tc>
        <w:tc>
          <w:tcPr>
            <w:tcW w:w="2365" w:type="pct"/>
            <w:tcBorders>
              <w:top w:val="nil"/>
              <w:left w:val="nil"/>
              <w:bottom w:val="nil"/>
              <w:right w:val="nil"/>
            </w:tcBorders>
            <w:shd w:val="clear" w:color="auto" w:fill="auto"/>
            <w:tcMar>
              <w:top w:w="80" w:type="dxa"/>
              <w:left w:w="80" w:type="dxa"/>
              <w:bottom w:w="80" w:type="dxa"/>
              <w:right w:w="80" w:type="dxa"/>
            </w:tcMar>
          </w:tcPr>
          <w:p w:rsidR="005644B8" w:rsidRPr="00452FDA" w:rsidRDefault="00834F71" w:rsidP="00452FDA">
            <w:pPr>
              <w:pStyle w:val="Body"/>
              <w:keepLines/>
              <w:spacing w:before="40" w:after="40" w:line="200" w:lineRule="atLeast"/>
              <w:rPr>
                <w:sz w:val="17"/>
                <w:szCs w:val="17"/>
              </w:rPr>
            </w:pPr>
            <w:r w:rsidRPr="002A0B1B">
              <w:rPr>
                <w:sz w:val="17"/>
                <w:szCs w:val="17"/>
                <w:lang w:val="en-US"/>
              </w:rPr>
              <w:t xml:space="preserve">The Mid-Term Review has been completed </w:t>
            </w:r>
            <w:r w:rsidR="002A0B1B" w:rsidRPr="002A0B1B">
              <w:rPr>
                <w:sz w:val="17"/>
                <w:szCs w:val="17"/>
                <w:lang w:val="en-US"/>
              </w:rPr>
              <w:t xml:space="preserve">in </w:t>
            </w:r>
            <w:r w:rsidR="002A0B1B">
              <w:rPr>
                <w:sz w:val="17"/>
                <w:szCs w:val="17"/>
                <w:lang w:val="en-US"/>
              </w:rPr>
              <w:t xml:space="preserve">May 2018 </w:t>
            </w:r>
            <w:r w:rsidRPr="002A0B1B">
              <w:rPr>
                <w:sz w:val="17"/>
                <w:szCs w:val="17"/>
                <w:lang w:val="en-US"/>
              </w:rPr>
              <w:t>and has re-shaped the Skills Program.</w:t>
            </w:r>
            <w:r w:rsidR="002A0B1B" w:rsidRPr="00452FDA">
              <w:rPr>
                <w:sz w:val="17"/>
                <w:szCs w:val="17"/>
              </w:rPr>
              <w:t xml:space="preserve"> Overall, satisfactory progress has been made to date.  Unlike previous Australian-funded programs</w:t>
            </w:r>
            <w:r w:rsidR="00BE384E">
              <w:rPr>
                <w:sz w:val="17"/>
                <w:szCs w:val="17"/>
              </w:rPr>
              <w:t>,</w:t>
            </w:r>
            <w:r w:rsidR="002A0B1B" w:rsidRPr="00452FDA">
              <w:rPr>
                <w:sz w:val="17"/>
                <w:szCs w:val="17"/>
              </w:rPr>
              <w:t xml:space="preserve"> Tonga Skills is, and is perceived to be, Tongan driven.  This is warmly welcomed by stakeholders and has enabled good relationships to be developed.  </w:t>
            </w:r>
            <w:r w:rsidR="00452FDA" w:rsidRPr="00452FDA">
              <w:rPr>
                <w:sz w:val="17"/>
                <w:szCs w:val="17"/>
                <w:lang w:val="en-GB"/>
              </w:rPr>
              <w:t>Tonga Skills has reported significant achievements in promoting inclusiveness</w:t>
            </w:r>
            <w:r w:rsidR="00452FDA">
              <w:rPr>
                <w:sz w:val="17"/>
                <w:szCs w:val="17"/>
                <w:lang w:val="en-GB"/>
              </w:rPr>
              <w:t xml:space="preserve">. </w:t>
            </w:r>
            <w:r w:rsidR="00452FDA">
              <w:rPr>
                <w:sz w:val="17"/>
                <w:szCs w:val="17"/>
                <w:lang w:val="en-US"/>
              </w:rPr>
              <w:t>A management response for this report should be publicly available before the end of October 2018.</w:t>
            </w:r>
          </w:p>
        </w:tc>
      </w:tr>
      <w:tr w:rsidR="005644B8" w:rsidTr="008D3193">
        <w:trPr>
          <w:trHeight w:val="680"/>
        </w:trPr>
        <w:tc>
          <w:tcPr>
            <w:tcW w:w="2221"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pPr>
            <w:r>
              <w:rPr>
                <w:sz w:val="17"/>
                <w:szCs w:val="17"/>
                <w:lang w:val="en-US"/>
              </w:rPr>
              <w:t xml:space="preserve">Lifting our engagement with the Ministry of Health to include more strategic planning and decision making </w:t>
            </w:r>
          </w:p>
        </w:tc>
        <w:tc>
          <w:tcPr>
            <w:tcW w:w="414" w:type="pct"/>
            <w:tcBorders>
              <w:top w:val="nil"/>
              <w:left w:val="nil"/>
              <w:bottom w:val="nil"/>
              <w:right w:val="nil"/>
            </w:tcBorders>
            <w:shd w:val="clear" w:color="auto" w:fill="92D050"/>
            <w:tcMar>
              <w:top w:w="80" w:type="dxa"/>
              <w:left w:w="80" w:type="dxa"/>
              <w:bottom w:w="80" w:type="dxa"/>
              <w:right w:w="80" w:type="dxa"/>
            </w:tcMar>
          </w:tcPr>
          <w:p w:rsidR="005644B8" w:rsidRDefault="00834F71">
            <w:pPr>
              <w:pStyle w:val="Body"/>
              <w:keepLines/>
              <w:spacing w:before="40" w:after="40" w:line="200" w:lineRule="atLeast"/>
              <w:jc w:val="center"/>
            </w:pPr>
            <w:r>
              <w:rPr>
                <w:b/>
                <w:bCs/>
                <w:color w:val="FFFFFF"/>
                <w:sz w:val="17"/>
                <w:szCs w:val="17"/>
                <w:u w:color="FFFFFF"/>
                <w:lang w:val="en-US"/>
              </w:rPr>
              <w:t>Green</w:t>
            </w:r>
          </w:p>
        </w:tc>
        <w:tc>
          <w:tcPr>
            <w:tcW w:w="2365" w:type="pct"/>
            <w:tcBorders>
              <w:top w:val="nil"/>
              <w:left w:val="nil"/>
              <w:bottom w:val="nil"/>
              <w:right w:val="nil"/>
            </w:tcBorders>
            <w:shd w:val="clear" w:color="auto" w:fill="auto"/>
            <w:tcMar>
              <w:top w:w="80" w:type="dxa"/>
              <w:left w:w="80" w:type="dxa"/>
              <w:bottom w:w="80" w:type="dxa"/>
              <w:right w:w="80" w:type="dxa"/>
            </w:tcMar>
          </w:tcPr>
          <w:p w:rsidR="005644B8" w:rsidRDefault="005D5A2D" w:rsidP="00BE384E">
            <w:pPr>
              <w:pStyle w:val="Body"/>
              <w:keepLines/>
              <w:spacing w:before="40" w:after="40" w:line="200" w:lineRule="atLeast"/>
            </w:pPr>
            <w:r>
              <w:rPr>
                <w:sz w:val="17"/>
                <w:szCs w:val="17"/>
                <w:lang w:val="en-US"/>
              </w:rPr>
              <w:t xml:space="preserve">This has been a significant focus of our engagement with the Ministry and other partners in 2017-18. Progress has </w:t>
            </w:r>
            <w:r w:rsidR="002A0B1B">
              <w:rPr>
                <w:sz w:val="17"/>
                <w:szCs w:val="17"/>
                <w:lang w:val="en-US"/>
              </w:rPr>
              <w:t>included</w:t>
            </w:r>
            <w:r>
              <w:rPr>
                <w:sz w:val="17"/>
                <w:szCs w:val="17"/>
                <w:lang w:val="en-US"/>
              </w:rPr>
              <w:t xml:space="preserve"> increased donor coordination, continued advocacy to the Ministry on improving strategic governance, engagement with priority setting on the core Package of Essential Health Services (PEHS). Progress is expected </w:t>
            </w:r>
            <w:r w:rsidR="00BE384E">
              <w:rPr>
                <w:sz w:val="17"/>
                <w:szCs w:val="17"/>
                <w:lang w:val="en-US"/>
              </w:rPr>
              <w:t>improve</w:t>
            </w:r>
            <w:r>
              <w:rPr>
                <w:sz w:val="17"/>
                <w:szCs w:val="17"/>
                <w:lang w:val="en-US"/>
              </w:rPr>
              <w:t xml:space="preserve"> in 201</w:t>
            </w:r>
            <w:r w:rsidR="00BE384E">
              <w:rPr>
                <w:sz w:val="17"/>
                <w:szCs w:val="17"/>
                <w:lang w:val="en-US"/>
              </w:rPr>
              <w:t>8-19</w:t>
            </w:r>
            <w:r>
              <w:rPr>
                <w:sz w:val="17"/>
                <w:szCs w:val="17"/>
                <w:lang w:val="en-US"/>
              </w:rPr>
              <w:t xml:space="preserve"> with the engagement </w:t>
            </w:r>
            <w:r w:rsidR="002A0B1B">
              <w:rPr>
                <w:sz w:val="17"/>
                <w:szCs w:val="17"/>
                <w:lang w:val="en-US"/>
              </w:rPr>
              <w:t>of a</w:t>
            </w:r>
            <w:r>
              <w:rPr>
                <w:sz w:val="17"/>
                <w:szCs w:val="17"/>
                <w:lang w:val="en-US"/>
              </w:rPr>
              <w:t xml:space="preserve"> new Corporate Services team, financing and budgeting planning coalescing around the PEHS, and the findings of the THSSP2 evaluation.</w:t>
            </w:r>
          </w:p>
        </w:tc>
      </w:tr>
      <w:tr w:rsidR="005644B8" w:rsidTr="008D3193">
        <w:trPr>
          <w:trHeight w:val="1340"/>
        </w:trPr>
        <w:tc>
          <w:tcPr>
            <w:tcW w:w="2221"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pPr>
            <w:r>
              <w:rPr>
                <w:sz w:val="17"/>
                <w:szCs w:val="17"/>
                <w:lang w:val="en-US"/>
              </w:rPr>
              <w:t>Developing a strategy to guide our private sector engagement</w:t>
            </w:r>
          </w:p>
        </w:tc>
        <w:tc>
          <w:tcPr>
            <w:tcW w:w="414" w:type="pct"/>
            <w:tcBorders>
              <w:top w:val="nil"/>
              <w:left w:val="nil"/>
              <w:bottom w:val="nil"/>
              <w:right w:val="nil"/>
            </w:tcBorders>
            <w:shd w:val="clear" w:color="auto" w:fill="FF9900"/>
            <w:tcMar>
              <w:top w:w="80" w:type="dxa"/>
              <w:left w:w="80" w:type="dxa"/>
              <w:bottom w:w="80" w:type="dxa"/>
              <w:right w:w="80" w:type="dxa"/>
            </w:tcMar>
          </w:tcPr>
          <w:p w:rsidR="005644B8" w:rsidRDefault="00834F71">
            <w:pPr>
              <w:pStyle w:val="Body"/>
              <w:keepLines/>
              <w:spacing w:before="40" w:after="40" w:line="200" w:lineRule="atLeast"/>
              <w:jc w:val="center"/>
            </w:pPr>
            <w:r>
              <w:rPr>
                <w:b/>
                <w:bCs/>
                <w:color w:val="FFFFFF"/>
                <w:sz w:val="17"/>
                <w:szCs w:val="17"/>
                <w:u w:color="FFFFFF"/>
                <w:lang w:val="en-US"/>
              </w:rPr>
              <w:t>Amber</w:t>
            </w:r>
          </w:p>
        </w:tc>
        <w:tc>
          <w:tcPr>
            <w:tcW w:w="2365" w:type="pct"/>
            <w:tcBorders>
              <w:top w:val="nil"/>
              <w:left w:val="nil"/>
              <w:bottom w:val="nil"/>
              <w:right w:val="nil"/>
            </w:tcBorders>
            <w:shd w:val="clear" w:color="auto" w:fill="auto"/>
            <w:tcMar>
              <w:top w:w="80" w:type="dxa"/>
              <w:left w:w="80" w:type="dxa"/>
              <w:bottom w:w="80" w:type="dxa"/>
              <w:right w:w="80" w:type="dxa"/>
            </w:tcMar>
          </w:tcPr>
          <w:p w:rsidR="005644B8" w:rsidRDefault="000304F9">
            <w:pPr>
              <w:pStyle w:val="Body"/>
              <w:keepLines/>
              <w:spacing w:before="40" w:after="40" w:line="200" w:lineRule="atLeast"/>
            </w:pPr>
            <w:r>
              <w:rPr>
                <w:sz w:val="17"/>
                <w:szCs w:val="17"/>
                <w:lang w:val="en-US"/>
              </w:rPr>
              <w:t>T</w:t>
            </w:r>
            <w:r w:rsidR="00834F71">
              <w:rPr>
                <w:sz w:val="17"/>
                <w:szCs w:val="17"/>
                <w:lang w:val="en-US"/>
              </w:rPr>
              <w:t xml:space="preserve">his work </w:t>
            </w:r>
            <w:r>
              <w:rPr>
                <w:sz w:val="17"/>
                <w:szCs w:val="17"/>
                <w:lang w:val="en-US"/>
              </w:rPr>
              <w:t xml:space="preserve">will be put on hold </w:t>
            </w:r>
            <w:r w:rsidR="00834F71">
              <w:rPr>
                <w:sz w:val="17"/>
                <w:szCs w:val="17"/>
                <w:lang w:val="en-US"/>
              </w:rPr>
              <w:t>until the Government of Tonga finalises its Private Sector Development Strategy.  A Strategy Paper has been drafted with the PSDI support that will be submitted to the Government of Tonga for endorsement.  This document will be used as a basis of Post’s Strategy</w:t>
            </w:r>
            <w:r w:rsidR="00955AB9">
              <w:rPr>
                <w:sz w:val="17"/>
                <w:szCs w:val="17"/>
                <w:lang w:val="en-US"/>
              </w:rPr>
              <w:t>, which will include specific gender and disability analysis</w:t>
            </w:r>
            <w:r w:rsidR="00834F71">
              <w:rPr>
                <w:sz w:val="17"/>
                <w:szCs w:val="17"/>
                <w:lang w:val="en-US"/>
              </w:rPr>
              <w:t xml:space="preserve"> </w:t>
            </w:r>
            <w:r w:rsidR="00955AB9">
              <w:rPr>
                <w:sz w:val="17"/>
                <w:szCs w:val="17"/>
                <w:lang w:val="en-US"/>
              </w:rPr>
              <w:t>and actions.</w:t>
            </w:r>
          </w:p>
        </w:tc>
      </w:tr>
      <w:tr w:rsidR="005644B8" w:rsidTr="008D3193">
        <w:trPr>
          <w:trHeight w:val="680"/>
        </w:trPr>
        <w:tc>
          <w:tcPr>
            <w:tcW w:w="2221"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pPr>
            <w:r>
              <w:rPr>
                <w:sz w:val="17"/>
                <w:szCs w:val="17"/>
                <w:lang w:val="en-US"/>
              </w:rPr>
              <w:t xml:space="preserve">Develop a Performance Assessment Framework </w:t>
            </w:r>
            <w:r w:rsidR="000304F9">
              <w:rPr>
                <w:sz w:val="17"/>
                <w:szCs w:val="17"/>
                <w:lang w:val="en-US"/>
              </w:rPr>
              <w:t xml:space="preserve">(PAF) </w:t>
            </w:r>
            <w:r>
              <w:rPr>
                <w:sz w:val="17"/>
                <w:szCs w:val="17"/>
                <w:lang w:val="en-US"/>
              </w:rPr>
              <w:t xml:space="preserve">for the aid program in Tonga, which includes measurable outcomes for gender equality </w:t>
            </w:r>
          </w:p>
        </w:tc>
        <w:tc>
          <w:tcPr>
            <w:tcW w:w="414" w:type="pct"/>
            <w:tcBorders>
              <w:top w:val="nil"/>
              <w:left w:val="nil"/>
              <w:bottom w:val="nil"/>
              <w:right w:val="nil"/>
            </w:tcBorders>
            <w:shd w:val="clear" w:color="auto" w:fill="FF0000"/>
            <w:tcMar>
              <w:top w:w="80" w:type="dxa"/>
              <w:left w:w="80" w:type="dxa"/>
              <w:bottom w:w="80" w:type="dxa"/>
              <w:right w:w="80" w:type="dxa"/>
            </w:tcMar>
          </w:tcPr>
          <w:p w:rsidR="005644B8" w:rsidRDefault="00834F71">
            <w:pPr>
              <w:pStyle w:val="Body"/>
              <w:keepLines/>
              <w:spacing w:before="40" w:after="40" w:line="200" w:lineRule="atLeast"/>
              <w:jc w:val="center"/>
            </w:pPr>
            <w:r>
              <w:rPr>
                <w:b/>
                <w:bCs/>
                <w:color w:val="FFFFFF"/>
                <w:sz w:val="17"/>
                <w:szCs w:val="17"/>
                <w:u w:color="FFFFFF"/>
                <w:lang w:val="en-US"/>
              </w:rPr>
              <w:t>Red</w:t>
            </w:r>
          </w:p>
        </w:tc>
        <w:tc>
          <w:tcPr>
            <w:tcW w:w="2365" w:type="pct"/>
            <w:tcBorders>
              <w:top w:val="nil"/>
              <w:left w:val="nil"/>
              <w:bottom w:val="nil"/>
              <w:right w:val="nil"/>
            </w:tcBorders>
            <w:shd w:val="clear" w:color="auto" w:fill="auto"/>
            <w:tcMar>
              <w:top w:w="80" w:type="dxa"/>
              <w:left w:w="80" w:type="dxa"/>
              <w:bottom w:w="80" w:type="dxa"/>
              <w:right w:w="80" w:type="dxa"/>
            </w:tcMar>
          </w:tcPr>
          <w:p w:rsidR="005644B8" w:rsidRDefault="004953AC" w:rsidP="000304F9">
            <w:pPr>
              <w:pStyle w:val="Body"/>
              <w:keepLines/>
              <w:spacing w:before="40" w:after="40" w:line="200" w:lineRule="atLeast"/>
            </w:pPr>
            <w:r w:rsidRPr="004953AC">
              <w:rPr>
                <w:sz w:val="17"/>
                <w:szCs w:val="17"/>
                <w:lang w:val="en-US"/>
              </w:rPr>
              <w:t>As a result of Tonga’s unanticipated election and cyclone Gita, it was not possible to develop a PAF during 2017-18. Given that the program has significantly evolved from the AIP, DFAT will develop a PAF in support of the next AIP instead.</w:t>
            </w:r>
          </w:p>
        </w:tc>
      </w:tr>
    </w:tbl>
    <w:p w:rsidR="005644B8" w:rsidRDefault="00834F71">
      <w:pPr>
        <w:pStyle w:val="Body"/>
        <w:spacing w:before="20" w:after="20" w:line="180" w:lineRule="atLeast"/>
        <w:jc w:val="both"/>
        <w:rPr>
          <w:rFonts w:ascii="Helvetica" w:eastAsia="Helvetica" w:hAnsi="Helvetica" w:cs="Helvetica"/>
          <w:b/>
          <w:bCs/>
          <w:sz w:val="16"/>
          <w:szCs w:val="16"/>
        </w:rPr>
      </w:pPr>
      <w:r>
        <w:rPr>
          <w:rFonts w:ascii="Helvetica" w:hAnsi="Helvetica"/>
          <w:b/>
          <w:bCs/>
          <w:sz w:val="16"/>
          <w:szCs w:val="16"/>
          <w:lang w:val="de-DE"/>
        </w:rPr>
        <w:t xml:space="preserve">Note: </w:t>
      </w:r>
    </w:p>
    <w:p w:rsidR="005644B8" w:rsidRDefault="00834F71">
      <w:pPr>
        <w:pStyle w:val="Body"/>
        <w:spacing w:before="20" w:after="20" w:line="180" w:lineRule="atLeast"/>
        <w:jc w:val="both"/>
        <w:rPr>
          <w:rFonts w:ascii="Helvetica" w:eastAsia="Helvetica" w:hAnsi="Helvetica" w:cs="Helvetica"/>
          <w:b/>
          <w:bCs/>
          <w:sz w:val="16"/>
          <w:szCs w:val="16"/>
        </w:rPr>
      </w:pPr>
      <w:r>
        <w:rPr>
          <w:rFonts w:ascii="Webdings" w:hAnsi="Webdings"/>
          <w:color w:val="72AF2F"/>
          <w:sz w:val="16"/>
          <w:szCs w:val="16"/>
          <w:u w:color="72AF2F"/>
        </w:rPr>
        <w:sym w:font="Webdings" w:char="F067"/>
      </w:r>
      <w:r>
        <w:rPr>
          <w:rFonts w:ascii="Helvetica" w:hAnsi="Helvetica"/>
          <w:b/>
          <w:bCs/>
          <w:sz w:val="16"/>
          <w:szCs w:val="16"/>
        </w:rPr>
        <w:t xml:space="preserve">  </w:t>
      </w:r>
      <w:r>
        <w:rPr>
          <w:rFonts w:ascii="Helvetica" w:hAnsi="Helvetica"/>
          <w:b/>
          <w:bCs/>
          <w:sz w:val="16"/>
          <w:szCs w:val="16"/>
          <w:lang w:val="en-US"/>
        </w:rPr>
        <w:t xml:space="preserve">Achieved.  Significant progress has been made in addressing the issue </w:t>
      </w:r>
    </w:p>
    <w:p w:rsidR="005644B8" w:rsidRDefault="00834F71">
      <w:pPr>
        <w:pStyle w:val="Body"/>
        <w:spacing w:before="20" w:after="20" w:line="180" w:lineRule="atLeast"/>
        <w:jc w:val="both"/>
        <w:rPr>
          <w:rFonts w:ascii="Helvetica" w:eastAsia="Helvetica" w:hAnsi="Helvetica" w:cs="Helvetica"/>
          <w:b/>
          <w:bCs/>
          <w:sz w:val="16"/>
          <w:szCs w:val="16"/>
        </w:rPr>
      </w:pPr>
      <w:r>
        <w:rPr>
          <w:rFonts w:ascii="Webdings" w:hAnsi="Webdings"/>
          <w:color w:val="E36C0A"/>
          <w:sz w:val="16"/>
          <w:szCs w:val="16"/>
          <w:u w:color="E36C0A"/>
        </w:rPr>
        <w:sym w:font="Webdings" w:char="F067"/>
      </w:r>
      <w:r>
        <w:rPr>
          <w:rFonts w:ascii="Helvetica" w:hAnsi="Helvetica"/>
          <w:b/>
          <w:bCs/>
          <w:sz w:val="16"/>
          <w:szCs w:val="16"/>
        </w:rPr>
        <w:t xml:space="preserve">  </w:t>
      </w:r>
      <w:r>
        <w:rPr>
          <w:rFonts w:ascii="Helvetica" w:hAnsi="Helvetica"/>
          <w:b/>
          <w:bCs/>
          <w:sz w:val="16"/>
          <w:szCs w:val="16"/>
          <w:lang w:val="en-US"/>
        </w:rPr>
        <w:t xml:space="preserve">Partly achieved.  Some progress has been made in addressing the issue, but the issue has not been resolved </w:t>
      </w:r>
    </w:p>
    <w:p w:rsidR="005644B8" w:rsidRDefault="00834F71">
      <w:pPr>
        <w:pStyle w:val="Body"/>
        <w:spacing w:before="20" w:after="20" w:line="180" w:lineRule="atLeast"/>
        <w:jc w:val="both"/>
        <w:rPr>
          <w:rFonts w:ascii="Helvetica" w:eastAsia="Helvetica" w:hAnsi="Helvetica" w:cs="Helvetica"/>
          <w:b/>
          <w:bCs/>
          <w:sz w:val="16"/>
          <w:szCs w:val="16"/>
        </w:rPr>
      </w:pPr>
      <w:r>
        <w:rPr>
          <w:rFonts w:ascii="Webdings" w:hAnsi="Webdings"/>
          <w:color w:val="FF0000"/>
          <w:sz w:val="16"/>
          <w:szCs w:val="16"/>
          <w:u w:color="FF0000"/>
        </w:rPr>
        <w:sym w:font="Webdings" w:char="F067"/>
      </w:r>
      <w:r>
        <w:rPr>
          <w:rFonts w:ascii="Helvetica" w:hAnsi="Helvetica"/>
          <w:b/>
          <w:bCs/>
          <w:sz w:val="16"/>
          <w:szCs w:val="16"/>
        </w:rPr>
        <w:t xml:space="preserve">  </w:t>
      </w:r>
      <w:r>
        <w:rPr>
          <w:rFonts w:ascii="Helvetica" w:hAnsi="Helvetica"/>
          <w:b/>
          <w:bCs/>
          <w:sz w:val="16"/>
          <w:szCs w:val="16"/>
          <w:lang w:val="en-US"/>
        </w:rPr>
        <w:t>Not achieved. Progress in addressing the issue has been significantly below expectations</w:t>
      </w:r>
    </w:p>
    <w:p w:rsidR="005644B8" w:rsidRDefault="005644B8">
      <w:pPr>
        <w:pStyle w:val="ListBullet"/>
        <w:tabs>
          <w:tab w:val="clear" w:pos="284"/>
        </w:tabs>
        <w:sectPr w:rsidR="005644B8" w:rsidSect="008D3193">
          <w:headerReference w:type="default" r:id="rId30"/>
          <w:pgSz w:w="16840" w:h="11900" w:orient="landscape"/>
          <w:pgMar w:top="1134" w:right="1135" w:bottom="1134" w:left="1276" w:header="1107" w:footer="192" w:gutter="0"/>
          <w:cols w:space="720"/>
          <w:docGrid w:linePitch="326"/>
        </w:sectPr>
      </w:pPr>
    </w:p>
    <w:p w:rsidR="005644B8" w:rsidRDefault="00834F71">
      <w:pPr>
        <w:pStyle w:val="Subtitle"/>
      </w:pPr>
      <w:r>
        <w:lastRenderedPageBreak/>
        <w:t>Annex B – PERFORMANCE BENCHMARKS</w:t>
      </w:r>
    </w:p>
    <w:p w:rsidR="005644B8" w:rsidRDefault="00834F71">
      <w:pPr>
        <w:pStyle w:val="Body"/>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b/>
          <w:bCs/>
          <w:sz w:val="24"/>
          <w:szCs w:val="24"/>
          <w:lang w:val="en-US"/>
        </w:rPr>
        <w:t>Progress towards Performance Benchmarks in 2017-18</w:t>
      </w:r>
    </w:p>
    <w:p w:rsidR="005644B8" w:rsidRDefault="005644B8">
      <w:pPr>
        <w:pStyle w:val="Body"/>
      </w:pPr>
    </w:p>
    <w:tbl>
      <w:tblPr>
        <w:tblW w:w="140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65C5B4"/>
        <w:tblLayout w:type="fixed"/>
        <w:tblLook w:val="04A0" w:firstRow="1" w:lastRow="0" w:firstColumn="1" w:lastColumn="0" w:noHBand="0" w:noVBand="1"/>
      </w:tblPr>
      <w:tblGrid>
        <w:gridCol w:w="2189"/>
        <w:gridCol w:w="6775"/>
        <w:gridCol w:w="993"/>
        <w:gridCol w:w="4078"/>
      </w:tblGrid>
      <w:tr w:rsidR="005644B8" w:rsidTr="008D3193">
        <w:trPr>
          <w:tblHeader/>
        </w:trPr>
        <w:tc>
          <w:tcPr>
            <w:tcW w:w="2189" w:type="dxa"/>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Aid objective</w:t>
            </w:r>
          </w:p>
        </w:tc>
        <w:tc>
          <w:tcPr>
            <w:tcW w:w="6775" w:type="dxa"/>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 xml:space="preserve">Performance Benchmark </w:t>
            </w:r>
          </w:p>
        </w:tc>
        <w:tc>
          <w:tcPr>
            <w:tcW w:w="993" w:type="dxa"/>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jc w:val="center"/>
            </w:pPr>
            <w:r>
              <w:rPr>
                <w:b/>
                <w:bCs/>
                <w:sz w:val="17"/>
                <w:szCs w:val="17"/>
                <w:lang w:val="en-US"/>
              </w:rPr>
              <w:t>Rating</w:t>
            </w:r>
          </w:p>
        </w:tc>
        <w:tc>
          <w:tcPr>
            <w:tcW w:w="4078" w:type="dxa"/>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jc w:val="center"/>
            </w:pPr>
            <w:r>
              <w:rPr>
                <w:b/>
                <w:bCs/>
                <w:sz w:val="17"/>
                <w:szCs w:val="17"/>
                <w:lang w:val="en-US"/>
              </w:rPr>
              <w:t>Progress in 2017-18</w:t>
            </w:r>
          </w:p>
        </w:tc>
      </w:tr>
      <w:tr w:rsidR="005644B8" w:rsidTr="008D3193">
        <w:tblPrEx>
          <w:shd w:val="clear" w:color="auto" w:fill="D1E9E4"/>
        </w:tblPrEx>
        <w:tc>
          <w:tcPr>
            <w:tcW w:w="2189"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pPr>
            <w:r>
              <w:rPr>
                <w:sz w:val="17"/>
                <w:szCs w:val="17"/>
                <w:lang w:val="en-US"/>
              </w:rPr>
              <w:t>Governance, economic and private sector development reforms</w:t>
            </w:r>
          </w:p>
        </w:tc>
        <w:tc>
          <w:tcPr>
            <w:tcW w:w="6775"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rPr>
                <w:sz w:val="17"/>
                <w:szCs w:val="17"/>
                <w:lang w:val="en-US"/>
              </w:rPr>
            </w:pPr>
            <w:r>
              <w:rPr>
                <w:sz w:val="17"/>
                <w:szCs w:val="17"/>
                <w:lang w:val="en-US"/>
              </w:rPr>
              <w:t>Achievement of actions under Joint Policy Reform Matrix triggers release of donor funding</w:t>
            </w:r>
            <w:r w:rsidR="00EC467D">
              <w:rPr>
                <w:sz w:val="17"/>
                <w:szCs w:val="17"/>
                <w:lang w:val="en-US"/>
              </w:rPr>
              <w:t>.</w:t>
            </w:r>
          </w:p>
          <w:p w:rsidR="00EC467D" w:rsidRPr="008D3193" w:rsidRDefault="00EC467D">
            <w:pPr>
              <w:pStyle w:val="Body"/>
              <w:keepLines/>
              <w:spacing w:before="40" w:after="40" w:line="200" w:lineRule="atLeast"/>
              <w:rPr>
                <w:sz w:val="17"/>
                <w:szCs w:val="17"/>
                <w:lang w:val="en-US"/>
              </w:rPr>
            </w:pPr>
            <w:r w:rsidRPr="008D3193">
              <w:rPr>
                <w:sz w:val="17"/>
                <w:szCs w:val="17"/>
                <w:lang w:val="en-US"/>
              </w:rPr>
              <w:t>An additional 220kWp of solar generation and 1,100kWh of energy storage installed in 3 outer islands.</w:t>
            </w:r>
          </w:p>
        </w:tc>
        <w:tc>
          <w:tcPr>
            <w:tcW w:w="993" w:type="dxa"/>
            <w:tcBorders>
              <w:top w:val="nil"/>
              <w:left w:val="nil"/>
              <w:bottom w:val="nil"/>
              <w:right w:val="nil"/>
            </w:tcBorders>
            <w:shd w:val="clear" w:color="auto" w:fill="FF9900"/>
            <w:tcMar>
              <w:top w:w="80" w:type="dxa"/>
              <w:left w:w="80" w:type="dxa"/>
              <w:bottom w:w="80" w:type="dxa"/>
              <w:right w:w="80" w:type="dxa"/>
            </w:tcMar>
          </w:tcPr>
          <w:p w:rsidR="005644B8" w:rsidRPr="008D3193" w:rsidRDefault="00FD0BED">
            <w:pPr>
              <w:pStyle w:val="Body"/>
              <w:keepLines/>
              <w:spacing w:before="40" w:after="40" w:line="200" w:lineRule="atLeast"/>
              <w:jc w:val="center"/>
              <w:rPr>
                <w:b/>
                <w:bCs/>
                <w:color w:val="FFFFFF"/>
                <w:sz w:val="17"/>
                <w:szCs w:val="17"/>
                <w:u w:color="FFFFFF"/>
                <w:lang w:val="en-US"/>
              </w:rPr>
            </w:pPr>
            <w:r>
              <w:rPr>
                <w:b/>
                <w:bCs/>
                <w:color w:val="FFFFFF"/>
                <w:sz w:val="17"/>
                <w:szCs w:val="17"/>
                <w:u w:color="FFFFFF"/>
                <w:lang w:val="en-US"/>
              </w:rPr>
              <w:t>Amber</w:t>
            </w:r>
          </w:p>
        </w:tc>
        <w:tc>
          <w:tcPr>
            <w:tcW w:w="4078" w:type="dxa"/>
            <w:tcBorders>
              <w:top w:val="nil"/>
              <w:left w:val="nil"/>
              <w:bottom w:val="nil"/>
              <w:right w:val="nil"/>
            </w:tcBorders>
            <w:shd w:val="clear" w:color="auto" w:fill="auto"/>
            <w:tcMar>
              <w:top w:w="80" w:type="dxa"/>
              <w:left w:w="80" w:type="dxa"/>
              <w:bottom w:w="80" w:type="dxa"/>
              <w:right w:w="80" w:type="dxa"/>
            </w:tcMar>
          </w:tcPr>
          <w:p w:rsidR="005644B8" w:rsidRDefault="002A0B1B" w:rsidP="007A406D">
            <w:pPr>
              <w:pStyle w:val="Body"/>
              <w:keepLines/>
              <w:spacing w:before="40" w:after="40" w:line="200" w:lineRule="atLeast"/>
            </w:pPr>
            <w:r>
              <w:rPr>
                <w:sz w:val="17"/>
                <w:szCs w:val="17"/>
                <w:lang w:val="en-US"/>
              </w:rPr>
              <w:t xml:space="preserve">Due to the </w:t>
            </w:r>
            <w:r w:rsidR="00EA0485">
              <w:rPr>
                <w:sz w:val="17"/>
                <w:szCs w:val="17"/>
                <w:lang w:val="en-US"/>
              </w:rPr>
              <w:t xml:space="preserve">unexpected </w:t>
            </w:r>
            <w:r>
              <w:rPr>
                <w:sz w:val="17"/>
                <w:szCs w:val="17"/>
                <w:lang w:val="en-US"/>
              </w:rPr>
              <w:t>elections in November 2017, and Cyclone Gita in February 2018, there were delays in achieving agreed actions outlined for 2017/18 in the JPRM.</w:t>
            </w:r>
          </w:p>
        </w:tc>
      </w:tr>
      <w:tr w:rsidR="005644B8" w:rsidTr="008D3193">
        <w:tblPrEx>
          <w:shd w:val="clear" w:color="auto" w:fill="D1E9E4"/>
        </w:tblPrEx>
        <w:tc>
          <w:tcPr>
            <w:tcW w:w="2189" w:type="dxa"/>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pPr>
            <w:r>
              <w:rPr>
                <w:sz w:val="17"/>
                <w:szCs w:val="17"/>
                <w:lang w:val="en-US"/>
              </w:rPr>
              <w:t>A more effective, efficient and equitable health system</w:t>
            </w:r>
          </w:p>
        </w:tc>
        <w:tc>
          <w:tcPr>
            <w:tcW w:w="6775" w:type="dxa"/>
            <w:tcBorders>
              <w:top w:val="nil"/>
              <w:left w:val="nil"/>
              <w:bottom w:val="nil"/>
              <w:right w:val="nil"/>
            </w:tcBorders>
            <w:shd w:val="clear" w:color="auto" w:fill="auto"/>
            <w:tcMar>
              <w:top w:w="80" w:type="dxa"/>
              <w:left w:w="80" w:type="dxa"/>
              <w:bottom w:w="80" w:type="dxa"/>
              <w:right w:w="80" w:type="dxa"/>
            </w:tcMar>
          </w:tcPr>
          <w:p w:rsidR="00EC467D" w:rsidRDefault="00834F71">
            <w:pPr>
              <w:pStyle w:val="Body"/>
              <w:keepLines/>
              <w:spacing w:before="40" w:after="40" w:line="200" w:lineRule="atLeast"/>
              <w:rPr>
                <w:sz w:val="17"/>
                <w:szCs w:val="17"/>
                <w:lang w:val="en-US"/>
              </w:rPr>
            </w:pPr>
            <w:r>
              <w:rPr>
                <w:sz w:val="17"/>
                <w:szCs w:val="17"/>
                <w:lang w:val="en-US"/>
              </w:rPr>
              <w:t>Ministry of Health and Tonga Health budgets (separately considered and excluding donor funds) as a percentage of the total government budget do not decrease against the 2015 baseline</w:t>
            </w:r>
            <w:r w:rsidR="00FD0BED">
              <w:rPr>
                <w:sz w:val="17"/>
                <w:szCs w:val="17"/>
                <w:lang w:val="en-US"/>
              </w:rPr>
              <w:t>, and the proportion of the 2017-18 Ministry of Health budget allocated to the Public Health Division has continued to increase from the 2016-17 level</w:t>
            </w:r>
            <w:r>
              <w:rPr>
                <w:sz w:val="17"/>
                <w:szCs w:val="17"/>
                <w:lang w:val="en-US"/>
              </w:rPr>
              <w:t xml:space="preserve">. </w:t>
            </w:r>
          </w:p>
          <w:p w:rsidR="005644B8" w:rsidRDefault="00EC467D">
            <w:pPr>
              <w:pStyle w:val="Body"/>
              <w:keepLines/>
              <w:spacing w:before="40" w:after="40" w:line="200" w:lineRule="atLeast"/>
            </w:pPr>
            <w:r>
              <w:rPr>
                <w:sz w:val="17"/>
                <w:szCs w:val="17"/>
                <w:lang w:val="en-US"/>
              </w:rPr>
              <w:t>Introduction of universal screening for gestational diabetes and implementation of related clinical care and lifestyle education for pregnant mothers. An increase overall in the number of babies exclusively breastfed until 6 months (compared to 2014).</w:t>
            </w:r>
          </w:p>
        </w:tc>
        <w:tc>
          <w:tcPr>
            <w:tcW w:w="993" w:type="dxa"/>
            <w:tcBorders>
              <w:top w:val="nil"/>
              <w:left w:val="nil"/>
              <w:bottom w:val="nil"/>
              <w:right w:val="nil"/>
            </w:tcBorders>
            <w:shd w:val="clear" w:color="auto" w:fill="FF9900"/>
            <w:tcMar>
              <w:top w:w="80" w:type="dxa"/>
              <w:left w:w="80" w:type="dxa"/>
              <w:bottom w:w="80" w:type="dxa"/>
              <w:right w:w="80" w:type="dxa"/>
            </w:tcMar>
          </w:tcPr>
          <w:p w:rsidR="005644B8" w:rsidRDefault="005644B8">
            <w:pPr>
              <w:pStyle w:val="Body"/>
              <w:keepLines/>
              <w:spacing w:before="40" w:after="40" w:line="200" w:lineRule="atLeast"/>
              <w:jc w:val="center"/>
              <w:rPr>
                <w:b/>
                <w:bCs/>
                <w:color w:val="FFFFFF"/>
                <w:sz w:val="17"/>
                <w:szCs w:val="17"/>
                <w:u w:color="FFFFFF"/>
                <w:lang w:val="en-US"/>
              </w:rPr>
            </w:pPr>
          </w:p>
          <w:p w:rsidR="0095425B" w:rsidRDefault="0095425B">
            <w:pPr>
              <w:pStyle w:val="Body"/>
              <w:keepLines/>
              <w:spacing w:before="40" w:after="40" w:line="200" w:lineRule="atLeast"/>
              <w:jc w:val="center"/>
            </w:pPr>
            <w:r>
              <w:rPr>
                <w:b/>
                <w:bCs/>
                <w:color w:val="FFFFFF"/>
                <w:sz w:val="17"/>
                <w:szCs w:val="17"/>
                <w:u w:color="FFFFFF"/>
                <w:lang w:val="en-US"/>
              </w:rPr>
              <w:t>A</w:t>
            </w:r>
            <w:r w:rsidR="00834F71">
              <w:rPr>
                <w:b/>
                <w:bCs/>
                <w:color w:val="FFFFFF"/>
                <w:sz w:val="17"/>
                <w:szCs w:val="17"/>
                <w:u w:color="FFFFFF"/>
                <w:lang w:val="en-US"/>
              </w:rPr>
              <w:t>mber</w:t>
            </w:r>
          </w:p>
          <w:p w:rsidR="005644B8" w:rsidRPr="008D3193" w:rsidRDefault="005644B8" w:rsidP="008D3193"/>
        </w:tc>
        <w:tc>
          <w:tcPr>
            <w:tcW w:w="4078" w:type="dxa"/>
            <w:tcBorders>
              <w:top w:val="nil"/>
              <w:left w:val="nil"/>
              <w:bottom w:val="nil"/>
              <w:right w:val="nil"/>
            </w:tcBorders>
            <w:shd w:val="clear" w:color="auto" w:fill="auto"/>
            <w:tcMar>
              <w:top w:w="80" w:type="dxa"/>
              <w:left w:w="80" w:type="dxa"/>
              <w:bottom w:w="80" w:type="dxa"/>
              <w:right w:w="80" w:type="dxa"/>
            </w:tcMar>
          </w:tcPr>
          <w:p w:rsidR="005644B8" w:rsidRDefault="00E367CE" w:rsidP="00DA6A95">
            <w:pPr>
              <w:pStyle w:val="Body"/>
              <w:keepLines/>
              <w:spacing w:before="40" w:after="40" w:line="200" w:lineRule="atLeast"/>
            </w:pPr>
            <w:r>
              <w:rPr>
                <w:sz w:val="17"/>
                <w:szCs w:val="17"/>
                <w:lang w:val="en-US"/>
              </w:rPr>
              <w:t>B</w:t>
            </w:r>
            <w:r w:rsidR="00834F71">
              <w:rPr>
                <w:sz w:val="17"/>
                <w:szCs w:val="17"/>
                <w:lang w:val="en-US"/>
              </w:rPr>
              <w:t>udget benchmarks were met,</w:t>
            </w:r>
            <w:r>
              <w:rPr>
                <w:sz w:val="17"/>
                <w:szCs w:val="17"/>
                <w:lang w:val="en-US"/>
              </w:rPr>
              <w:t xml:space="preserve"> with to</w:t>
            </w:r>
            <w:r w:rsidR="00DA6A95">
              <w:rPr>
                <w:sz w:val="17"/>
                <w:szCs w:val="17"/>
                <w:lang w:val="en-US"/>
              </w:rPr>
              <w:t>tal GoT funding to health, and p</w:t>
            </w:r>
            <w:r>
              <w:rPr>
                <w:sz w:val="17"/>
                <w:szCs w:val="17"/>
                <w:lang w:val="en-US"/>
              </w:rPr>
              <w:t>rev</w:t>
            </w:r>
            <w:r w:rsidR="000E53F4">
              <w:rPr>
                <w:sz w:val="17"/>
                <w:szCs w:val="17"/>
                <w:lang w:val="en-US"/>
              </w:rPr>
              <w:t xml:space="preserve">entative health budgets increasing compared to 2016-17. Gestational diabetes screening has been introduced, </w:t>
            </w:r>
            <w:r w:rsidR="00154B06">
              <w:rPr>
                <w:sz w:val="17"/>
                <w:szCs w:val="17"/>
                <w:lang w:val="en-US"/>
              </w:rPr>
              <w:t>and clinical guidelines have been developed. 60 nurses completed refresher training on breastfeeding support</w:t>
            </w:r>
            <w:r w:rsidR="00DA6A95">
              <w:rPr>
                <w:sz w:val="17"/>
                <w:szCs w:val="17"/>
                <w:lang w:val="en-US"/>
              </w:rPr>
              <w:t xml:space="preserve">. </w:t>
            </w:r>
            <w:r w:rsidR="002E7E5D">
              <w:rPr>
                <w:sz w:val="17"/>
                <w:szCs w:val="17"/>
              </w:rPr>
              <w:t>However, available data reflects a decrease in exclusive breastfeeding until 6 months (between 2014 and 2017), and this remains a challenge.</w:t>
            </w:r>
          </w:p>
        </w:tc>
      </w:tr>
      <w:tr w:rsidR="005644B8" w:rsidTr="008D3193">
        <w:tblPrEx>
          <w:shd w:val="clear" w:color="auto" w:fill="D1E9E4"/>
        </w:tblPrEx>
        <w:tc>
          <w:tcPr>
            <w:tcW w:w="2189" w:type="dxa"/>
            <w:tcBorders>
              <w:top w:val="nil"/>
              <w:left w:val="nil"/>
              <w:bottom w:val="single" w:sz="12" w:space="0" w:color="000000"/>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pPr>
            <w:r>
              <w:rPr>
                <w:sz w:val="17"/>
                <w:szCs w:val="17"/>
                <w:lang w:val="en-US"/>
              </w:rPr>
              <w:t>Skills development in support of economic opportunities for Tongan workers</w:t>
            </w:r>
          </w:p>
        </w:tc>
        <w:tc>
          <w:tcPr>
            <w:tcW w:w="6775" w:type="dxa"/>
            <w:tcBorders>
              <w:top w:val="nil"/>
              <w:left w:val="nil"/>
              <w:bottom w:val="single" w:sz="12" w:space="0" w:color="000000"/>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pPr>
            <w:r>
              <w:rPr>
                <w:sz w:val="17"/>
                <w:szCs w:val="17"/>
                <w:lang w:val="en-US"/>
              </w:rPr>
              <w:t>75% Skills for Inclusive Economic Growth and scholarship students complete quality education, training and skills development opportunities aligned with labour market needs. 7% of university students are studying in non-traditional fields related to their gender</w:t>
            </w:r>
            <w:r w:rsidR="00EC467D">
              <w:rPr>
                <w:sz w:val="17"/>
                <w:szCs w:val="17"/>
                <w:lang w:val="en-US"/>
              </w:rPr>
              <w:t>.</w:t>
            </w:r>
          </w:p>
        </w:tc>
        <w:tc>
          <w:tcPr>
            <w:tcW w:w="993" w:type="dxa"/>
            <w:tcBorders>
              <w:top w:val="nil"/>
              <w:left w:val="nil"/>
              <w:bottom w:val="single" w:sz="12" w:space="0" w:color="000000"/>
              <w:right w:val="nil"/>
            </w:tcBorders>
            <w:shd w:val="clear" w:color="auto" w:fill="7FB64D"/>
            <w:tcMar>
              <w:top w:w="80" w:type="dxa"/>
              <w:left w:w="80" w:type="dxa"/>
              <w:bottom w:w="80" w:type="dxa"/>
              <w:right w:w="80" w:type="dxa"/>
            </w:tcMar>
          </w:tcPr>
          <w:p w:rsidR="005644B8" w:rsidRDefault="005644B8">
            <w:pPr>
              <w:pStyle w:val="Body"/>
              <w:keepLines/>
              <w:spacing w:before="40" w:after="40" w:line="200" w:lineRule="atLeast"/>
              <w:jc w:val="center"/>
              <w:rPr>
                <w:b/>
                <w:bCs/>
                <w:color w:val="FFFFFF"/>
                <w:sz w:val="17"/>
                <w:szCs w:val="17"/>
                <w:u w:color="FFFFFF"/>
                <w:lang w:val="en-US"/>
              </w:rPr>
            </w:pPr>
          </w:p>
          <w:p w:rsidR="005644B8" w:rsidRDefault="005644B8">
            <w:pPr>
              <w:pStyle w:val="Body"/>
              <w:keepLines/>
              <w:spacing w:before="40" w:after="40" w:line="200" w:lineRule="atLeast"/>
              <w:jc w:val="center"/>
              <w:rPr>
                <w:b/>
                <w:bCs/>
                <w:color w:val="FFFFFF"/>
                <w:sz w:val="17"/>
                <w:szCs w:val="17"/>
                <w:u w:color="FFFFFF"/>
                <w:lang w:val="en-US"/>
              </w:rPr>
            </w:pPr>
          </w:p>
          <w:p w:rsidR="005644B8" w:rsidRDefault="00834F71">
            <w:pPr>
              <w:pStyle w:val="Body"/>
              <w:keepLines/>
              <w:spacing w:before="40" w:after="40" w:line="200" w:lineRule="atLeast"/>
              <w:jc w:val="center"/>
            </w:pPr>
            <w:r>
              <w:rPr>
                <w:b/>
                <w:bCs/>
                <w:color w:val="F2F2F2"/>
                <w:sz w:val="17"/>
                <w:szCs w:val="17"/>
                <w:u w:color="F2F2F2"/>
                <w:lang w:val="en-US"/>
              </w:rPr>
              <w:t>Green</w:t>
            </w:r>
          </w:p>
        </w:tc>
        <w:tc>
          <w:tcPr>
            <w:tcW w:w="4078" w:type="dxa"/>
            <w:tcBorders>
              <w:top w:val="nil"/>
              <w:left w:val="nil"/>
              <w:bottom w:val="single" w:sz="12" w:space="0" w:color="000000"/>
              <w:right w:val="nil"/>
            </w:tcBorders>
            <w:shd w:val="clear" w:color="auto" w:fill="auto"/>
            <w:tcMar>
              <w:top w:w="80" w:type="dxa"/>
              <w:left w:w="80" w:type="dxa"/>
              <w:bottom w:w="80" w:type="dxa"/>
              <w:right w:w="80" w:type="dxa"/>
            </w:tcMar>
          </w:tcPr>
          <w:p w:rsidR="005644B8" w:rsidRDefault="00834F71">
            <w:pPr>
              <w:pStyle w:val="TableTextEntries"/>
              <w:keepNext/>
              <w:suppressAutoHyphens w:val="0"/>
              <w:rPr>
                <w:rFonts w:ascii="Calibri Light" w:eastAsia="Calibri Light" w:hAnsi="Calibri Light" w:cs="Calibri Light"/>
                <w:color w:val="495965"/>
                <w:u w:color="495965"/>
              </w:rPr>
            </w:pPr>
            <w:r>
              <w:rPr>
                <w:rFonts w:ascii="Helvetica" w:eastAsia="Calibri Light" w:hAnsi="Helvetica" w:cs="Calibri Light"/>
                <w:b/>
                <w:bCs/>
                <w:color w:val="495965"/>
                <w:u w:color="495965"/>
              </w:rPr>
              <w:t>Achieved:</w:t>
            </w:r>
            <w:r>
              <w:rPr>
                <w:rFonts w:ascii="Calibri Light" w:eastAsia="Calibri Light" w:hAnsi="Calibri Light" w:cs="Calibri Light"/>
                <w:color w:val="495965"/>
                <w:u w:color="495965"/>
              </w:rPr>
              <w:t xml:space="preserve"> 97% of scholarship students and 88% (369/463) of </w:t>
            </w:r>
            <w:r w:rsidR="00955AB9">
              <w:rPr>
                <w:rFonts w:ascii="Calibri Light" w:eastAsia="Calibri Light" w:hAnsi="Calibri Light" w:cs="Calibri Light"/>
                <w:color w:val="495965"/>
                <w:u w:color="495965"/>
              </w:rPr>
              <w:t>Tonga Skills trainees</w:t>
            </w:r>
            <w:r>
              <w:rPr>
                <w:rFonts w:ascii="Calibri Light" w:eastAsia="Calibri Light" w:hAnsi="Calibri Light" w:cs="Calibri Light"/>
                <w:color w:val="495965"/>
                <w:u w:color="495965"/>
              </w:rPr>
              <w:t xml:space="preserve"> successfully completed courses.  This is an improvement from 2016-17 of 85% of scholarship students and 72% of ISDF / Tonga Skills students successfully completed courses.  Baseline</w:t>
            </w:r>
            <w:r w:rsidR="00C23F43">
              <w:rPr>
                <w:rFonts w:ascii="Calibri Light" w:eastAsia="Calibri Light" w:hAnsi="Calibri Light" w:cs="Calibri Light"/>
                <w:color w:val="495965"/>
                <w:u w:color="495965"/>
              </w:rPr>
              <w:t>:</w:t>
            </w:r>
            <w:r>
              <w:rPr>
                <w:rFonts w:ascii="Calibri Light" w:eastAsia="Calibri Light" w:hAnsi="Calibri Light" w:cs="Calibri Light"/>
                <w:color w:val="495965"/>
                <w:u w:color="495965"/>
              </w:rPr>
              <w:t xml:space="preserve">  73% for 2015-16</w:t>
            </w:r>
          </w:p>
          <w:p w:rsidR="005644B8" w:rsidRDefault="005644B8">
            <w:pPr>
              <w:pStyle w:val="Body"/>
              <w:keepLines/>
              <w:spacing w:before="40" w:after="40" w:line="200" w:lineRule="atLeast"/>
              <w:rPr>
                <w:sz w:val="17"/>
                <w:szCs w:val="17"/>
                <w:lang w:val="en-US"/>
              </w:rPr>
            </w:pPr>
          </w:p>
          <w:p w:rsidR="005644B8" w:rsidRDefault="00834F71">
            <w:pPr>
              <w:pStyle w:val="Body"/>
              <w:keepLines/>
              <w:spacing w:before="40" w:after="40" w:line="200" w:lineRule="atLeast"/>
            </w:pPr>
            <w:r>
              <w:rPr>
                <w:sz w:val="17"/>
                <w:szCs w:val="17"/>
                <w:lang w:val="en-US"/>
              </w:rPr>
              <w:t>35% of university students are studying in non-traditional fields related to their gender</w:t>
            </w:r>
          </w:p>
        </w:tc>
      </w:tr>
    </w:tbl>
    <w:p w:rsidR="005644B8" w:rsidRDefault="005644B8">
      <w:pPr>
        <w:pStyle w:val="Body"/>
        <w:widowControl w:val="0"/>
        <w:spacing w:line="240" w:lineRule="auto"/>
      </w:pPr>
    </w:p>
    <w:p w:rsidR="005644B8" w:rsidRDefault="00834F71">
      <w:pPr>
        <w:pStyle w:val="Body"/>
        <w:spacing w:before="20" w:after="20" w:line="180" w:lineRule="atLeast"/>
        <w:jc w:val="both"/>
        <w:rPr>
          <w:rFonts w:ascii="Helvetica" w:eastAsia="Helvetica" w:hAnsi="Helvetica" w:cs="Helvetica"/>
          <w:b/>
          <w:bCs/>
          <w:sz w:val="16"/>
          <w:szCs w:val="16"/>
        </w:rPr>
      </w:pPr>
      <w:r>
        <w:rPr>
          <w:rFonts w:ascii="Helvetica" w:hAnsi="Helvetica"/>
          <w:b/>
          <w:bCs/>
          <w:sz w:val="16"/>
          <w:szCs w:val="16"/>
          <w:lang w:val="de-DE"/>
        </w:rPr>
        <w:t xml:space="preserve">Note: </w:t>
      </w:r>
    </w:p>
    <w:p w:rsidR="005644B8" w:rsidRDefault="00834F71">
      <w:pPr>
        <w:pStyle w:val="Body"/>
        <w:spacing w:before="20" w:after="20" w:line="180" w:lineRule="atLeast"/>
        <w:jc w:val="both"/>
        <w:rPr>
          <w:rFonts w:ascii="Helvetica" w:eastAsia="Helvetica" w:hAnsi="Helvetica" w:cs="Helvetica"/>
          <w:b/>
          <w:bCs/>
          <w:sz w:val="16"/>
          <w:szCs w:val="16"/>
        </w:rPr>
      </w:pPr>
      <w:r>
        <w:rPr>
          <w:rFonts w:ascii="Webdings" w:hAnsi="Webdings"/>
          <w:color w:val="72AF2F"/>
          <w:sz w:val="16"/>
          <w:szCs w:val="16"/>
          <w:u w:color="72AF2F"/>
        </w:rPr>
        <w:sym w:font="Webdings" w:char="F067"/>
      </w:r>
      <w:r>
        <w:rPr>
          <w:rFonts w:ascii="Helvetica" w:hAnsi="Helvetica"/>
          <w:b/>
          <w:bCs/>
          <w:sz w:val="16"/>
          <w:szCs w:val="16"/>
        </w:rPr>
        <w:t xml:space="preserve">  </w:t>
      </w:r>
      <w:r>
        <w:rPr>
          <w:rFonts w:ascii="Helvetica" w:hAnsi="Helvetica"/>
          <w:b/>
          <w:bCs/>
          <w:sz w:val="16"/>
          <w:szCs w:val="16"/>
          <w:lang w:val="en-US"/>
        </w:rPr>
        <w:t xml:space="preserve">Achieved.  Significant progress has been made and the performance benchmark was achieved </w:t>
      </w:r>
    </w:p>
    <w:p w:rsidR="005644B8" w:rsidRDefault="00834F71">
      <w:pPr>
        <w:pStyle w:val="Body"/>
        <w:spacing w:before="20" w:after="20" w:line="180" w:lineRule="atLeast"/>
        <w:jc w:val="both"/>
        <w:rPr>
          <w:rFonts w:ascii="Helvetica" w:eastAsia="Helvetica" w:hAnsi="Helvetica" w:cs="Helvetica"/>
          <w:b/>
          <w:bCs/>
          <w:sz w:val="16"/>
          <w:szCs w:val="16"/>
        </w:rPr>
      </w:pPr>
      <w:r>
        <w:rPr>
          <w:rFonts w:ascii="Webdings" w:hAnsi="Webdings"/>
          <w:color w:val="E36C0A"/>
          <w:sz w:val="16"/>
          <w:szCs w:val="16"/>
          <w:u w:color="E36C0A"/>
        </w:rPr>
        <w:sym w:font="Webdings" w:char="F067"/>
      </w:r>
      <w:r>
        <w:rPr>
          <w:rFonts w:ascii="Helvetica" w:hAnsi="Helvetica"/>
          <w:b/>
          <w:bCs/>
          <w:sz w:val="16"/>
          <w:szCs w:val="16"/>
        </w:rPr>
        <w:t xml:space="preserve">  </w:t>
      </w:r>
      <w:r>
        <w:rPr>
          <w:rFonts w:ascii="Helvetica" w:hAnsi="Helvetica"/>
          <w:b/>
          <w:bCs/>
          <w:sz w:val="16"/>
          <w:szCs w:val="16"/>
          <w:lang w:val="en-US"/>
        </w:rPr>
        <w:t xml:space="preserve">Partly achieved.  Some progress has been made towards achieving the performance benchmark, but progress was less than anticipated. </w:t>
      </w:r>
    </w:p>
    <w:p w:rsidR="005644B8" w:rsidRDefault="00834F71">
      <w:pPr>
        <w:pStyle w:val="Body"/>
        <w:spacing w:before="20" w:after="20" w:line="180" w:lineRule="atLeast"/>
        <w:jc w:val="both"/>
        <w:rPr>
          <w:rFonts w:ascii="Helvetica" w:eastAsia="Helvetica" w:hAnsi="Helvetica" w:cs="Helvetica"/>
          <w:b/>
          <w:bCs/>
          <w:sz w:val="16"/>
          <w:szCs w:val="16"/>
        </w:rPr>
      </w:pPr>
      <w:r>
        <w:rPr>
          <w:rFonts w:ascii="Webdings" w:hAnsi="Webdings"/>
          <w:color w:val="FF0000"/>
          <w:sz w:val="16"/>
          <w:szCs w:val="16"/>
          <w:u w:color="FF0000"/>
        </w:rPr>
        <w:sym w:font="Webdings" w:char="F067"/>
      </w:r>
      <w:r>
        <w:rPr>
          <w:rFonts w:ascii="Helvetica" w:hAnsi="Helvetica"/>
          <w:b/>
          <w:bCs/>
          <w:sz w:val="16"/>
          <w:szCs w:val="16"/>
        </w:rPr>
        <w:t xml:space="preserve">  </w:t>
      </w:r>
      <w:r>
        <w:rPr>
          <w:rFonts w:ascii="Helvetica" w:hAnsi="Helvetica"/>
          <w:b/>
          <w:bCs/>
          <w:sz w:val="16"/>
          <w:szCs w:val="16"/>
          <w:lang w:val="en-US"/>
        </w:rPr>
        <w:t>Not achieved. Progress towards the performance benchmark has been significantly below expectations</w:t>
      </w:r>
    </w:p>
    <w:p w:rsidR="005644B8" w:rsidRDefault="005644B8">
      <w:pPr>
        <w:pStyle w:val="Body"/>
        <w:rPr>
          <w:rFonts w:ascii="Franklin Gothic Book" w:eastAsia="Franklin Gothic Book" w:hAnsi="Franklin Gothic Book" w:cs="Franklin Gothic Book"/>
          <w:b/>
          <w:bCs/>
          <w:sz w:val="24"/>
          <w:szCs w:val="24"/>
        </w:rPr>
      </w:pPr>
    </w:p>
    <w:p w:rsidR="005644B8" w:rsidRDefault="00834F71">
      <w:pPr>
        <w:pStyle w:val="Body"/>
        <w:rPr>
          <w:rFonts w:ascii="Franklin Gothic Book" w:eastAsia="Franklin Gothic Book" w:hAnsi="Franklin Gothic Book" w:cs="Franklin Gothic Book"/>
          <w:b/>
          <w:bCs/>
          <w:sz w:val="24"/>
          <w:szCs w:val="24"/>
        </w:rPr>
      </w:pPr>
      <w:r>
        <w:rPr>
          <w:rFonts w:ascii="Franklin Gothic Book" w:eastAsia="Franklin Gothic Book" w:hAnsi="Franklin Gothic Book" w:cs="Franklin Gothic Book"/>
          <w:b/>
          <w:bCs/>
          <w:sz w:val="24"/>
          <w:szCs w:val="24"/>
          <w:lang w:val="en-US"/>
        </w:rPr>
        <w:t xml:space="preserve">Performance Benchmarks for remainder of Aid Investment Plan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ook w:val="04A0" w:firstRow="1" w:lastRow="0" w:firstColumn="1" w:lastColumn="0" w:noHBand="0" w:noVBand="1"/>
      </w:tblPr>
      <w:tblGrid>
        <w:gridCol w:w="5508"/>
        <w:gridCol w:w="9064"/>
      </w:tblGrid>
      <w:tr w:rsidR="00180D91" w:rsidTr="008D3193">
        <w:tc>
          <w:tcPr>
            <w:tcW w:w="1890" w:type="pct"/>
            <w:tcBorders>
              <w:top w:val="single" w:sz="12" w:space="0" w:color="000000"/>
              <w:left w:val="nil"/>
              <w:bottom w:val="nil"/>
              <w:right w:val="nil"/>
            </w:tcBorders>
            <w:shd w:val="clear" w:color="auto" w:fill="auto"/>
            <w:tcMar>
              <w:top w:w="80" w:type="dxa"/>
              <w:left w:w="364" w:type="dxa"/>
              <w:bottom w:w="80" w:type="dxa"/>
              <w:right w:w="80" w:type="dxa"/>
            </w:tcMar>
          </w:tcPr>
          <w:p w:rsidR="00180D91" w:rsidRDefault="00180D91">
            <w:pPr>
              <w:pStyle w:val="NormalIndented"/>
            </w:pPr>
            <w:r>
              <w:rPr>
                <w:rFonts w:ascii="Helvetica" w:hAnsi="Helvetica"/>
                <w:b/>
                <w:bCs/>
                <w:sz w:val="17"/>
                <w:szCs w:val="17"/>
              </w:rPr>
              <w:t>Aid objective</w:t>
            </w:r>
          </w:p>
        </w:tc>
        <w:tc>
          <w:tcPr>
            <w:tcW w:w="3110" w:type="pct"/>
            <w:tcBorders>
              <w:top w:val="single" w:sz="12" w:space="0" w:color="000000"/>
              <w:left w:val="nil"/>
              <w:bottom w:val="nil"/>
              <w:right w:val="nil"/>
            </w:tcBorders>
            <w:shd w:val="clear" w:color="auto" w:fill="auto"/>
            <w:tcMar>
              <w:top w:w="80" w:type="dxa"/>
              <w:left w:w="113" w:type="dxa"/>
              <w:bottom w:w="80" w:type="dxa"/>
              <w:right w:w="80" w:type="dxa"/>
            </w:tcMar>
          </w:tcPr>
          <w:p w:rsidR="00180D91" w:rsidRDefault="00180D91">
            <w:pPr>
              <w:pStyle w:val="NormalIndented"/>
              <w:ind w:left="33"/>
              <w:jc w:val="center"/>
            </w:pPr>
            <w:r>
              <w:rPr>
                <w:b/>
                <w:bCs/>
                <w:sz w:val="17"/>
                <w:szCs w:val="17"/>
              </w:rPr>
              <w:t>2018-19</w:t>
            </w:r>
          </w:p>
        </w:tc>
      </w:tr>
      <w:tr w:rsidR="00180D91" w:rsidTr="008D3193">
        <w:tc>
          <w:tcPr>
            <w:tcW w:w="189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To progress economic reform</w:t>
            </w:r>
          </w:p>
        </w:tc>
        <w:tc>
          <w:tcPr>
            <w:tcW w:w="311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Achievement of actions under Joint Policy Reform Matrix (to improve Tonga’s Public Financial Management) triggers release of donor funding</w:t>
            </w:r>
          </w:p>
        </w:tc>
      </w:tr>
      <w:tr w:rsidR="00180D91" w:rsidTr="008D3193">
        <w:tc>
          <w:tcPr>
            <w:tcW w:w="189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 xml:space="preserve">To improve economic benefits through targeted renewable energy and trade enhancing infrastructure </w:t>
            </w:r>
          </w:p>
        </w:tc>
        <w:tc>
          <w:tcPr>
            <w:tcW w:w="311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 xml:space="preserve">A further 220kWp of solar generation and 1,100kWh of energy storage installed in 3 more outer islands </w:t>
            </w:r>
          </w:p>
        </w:tc>
      </w:tr>
      <w:tr w:rsidR="00180D91" w:rsidTr="008D3193">
        <w:tc>
          <w:tcPr>
            <w:tcW w:w="189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To improve health system effectiveness, efficiency and equity</w:t>
            </w:r>
          </w:p>
        </w:tc>
        <w:tc>
          <w:tcPr>
            <w:tcW w:w="311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Ministry of Health and Tonga Health budgets (separately considered and excluding donor funds) as a percentage of the total government budget do not decrease against the 2015 baseline, and the proportion of the 2018-19 Ministry of Health budget (excluding donor funds) allocated to the Public Health Division, has continued to increase from the 2017-18 level</w:t>
            </w:r>
          </w:p>
        </w:tc>
      </w:tr>
      <w:tr w:rsidR="00180D91" w:rsidTr="008D3193">
        <w:tc>
          <w:tcPr>
            <w:tcW w:w="1890" w:type="pct"/>
            <w:tcBorders>
              <w:top w:val="nil"/>
              <w:left w:val="nil"/>
              <w:bottom w:val="nil"/>
              <w:right w:val="nil"/>
            </w:tcBorders>
            <w:shd w:val="clear" w:color="auto" w:fill="auto"/>
            <w:tcMar>
              <w:top w:w="80" w:type="dxa"/>
              <w:left w:w="80" w:type="dxa"/>
              <w:bottom w:w="80" w:type="dxa"/>
              <w:right w:w="80" w:type="dxa"/>
            </w:tcMar>
          </w:tcPr>
          <w:p w:rsidR="00180D91" w:rsidRDefault="00180D91" w:rsidP="00DA6A95">
            <w:pPr>
              <w:pStyle w:val="Body"/>
              <w:keepLines/>
              <w:spacing w:before="40" w:after="40" w:line="200" w:lineRule="atLeast"/>
            </w:pPr>
            <w:r>
              <w:rPr>
                <w:sz w:val="17"/>
                <w:szCs w:val="17"/>
                <w:lang w:val="en-US"/>
              </w:rPr>
              <w:t xml:space="preserve">To reduce the health and economic burden of NCDs </w:t>
            </w:r>
          </w:p>
        </w:tc>
        <w:tc>
          <w:tcPr>
            <w:tcW w:w="311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Launch of a multi-year, national scale, healthy eating public awareness campaign that improves healthy eating behaviours. Decrease in the rates of premature deaths and preventable disability related to NCDs in men and in women</w:t>
            </w:r>
          </w:p>
        </w:tc>
      </w:tr>
      <w:tr w:rsidR="00180D91" w:rsidTr="008D3193">
        <w:tc>
          <w:tcPr>
            <w:tcW w:w="189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 xml:space="preserve">To increase the number of Tongans, especially women and those with disability, that are skilled to meet priority areas of labour demand </w:t>
            </w:r>
          </w:p>
        </w:tc>
        <w:tc>
          <w:tcPr>
            <w:tcW w:w="3110" w:type="pct"/>
            <w:tcBorders>
              <w:top w:val="nil"/>
              <w:left w:val="nil"/>
              <w:bottom w:val="nil"/>
              <w:right w:val="nil"/>
            </w:tcBorders>
            <w:shd w:val="clear" w:color="auto" w:fill="auto"/>
            <w:tcMar>
              <w:top w:w="80" w:type="dxa"/>
              <w:left w:w="80" w:type="dxa"/>
              <w:bottom w:w="80" w:type="dxa"/>
              <w:right w:w="80" w:type="dxa"/>
            </w:tcMar>
          </w:tcPr>
          <w:p w:rsidR="00180D91" w:rsidRDefault="00180D91">
            <w:pPr>
              <w:pStyle w:val="Body"/>
              <w:keepLines/>
              <w:spacing w:before="40" w:after="40" w:line="200" w:lineRule="atLeast"/>
            </w:pPr>
            <w:r>
              <w:rPr>
                <w:sz w:val="17"/>
                <w:szCs w:val="17"/>
                <w:lang w:val="en-US"/>
              </w:rPr>
              <w:t>80% Skills for Inclusive Economic Growth and scholarship students complete quality education, training and skills development opportunities aligned with labour market needs. 10% of university students are studying in non-traditional fields related to their gender</w:t>
            </w:r>
          </w:p>
        </w:tc>
      </w:tr>
    </w:tbl>
    <w:p w:rsidR="005644B8" w:rsidRDefault="005644B8">
      <w:pPr>
        <w:pStyle w:val="Body"/>
        <w:widowControl w:val="0"/>
        <w:spacing w:line="240" w:lineRule="auto"/>
        <w:rPr>
          <w:rFonts w:ascii="Franklin Gothic Book" w:eastAsia="Franklin Gothic Book" w:hAnsi="Franklin Gothic Book" w:cs="Franklin Gothic Book"/>
          <w:b/>
          <w:bCs/>
          <w:sz w:val="24"/>
          <w:szCs w:val="24"/>
        </w:rPr>
      </w:pPr>
    </w:p>
    <w:p w:rsidR="005644B8" w:rsidRDefault="005644B8">
      <w:pPr>
        <w:pStyle w:val="Subtitle"/>
      </w:pPr>
    </w:p>
    <w:p w:rsidR="005644B8" w:rsidRDefault="005644B8">
      <w:pPr>
        <w:pStyle w:val="Subtitle"/>
      </w:pPr>
    </w:p>
    <w:p w:rsidR="00180D91" w:rsidRDefault="00180D91">
      <w:pPr>
        <w:rPr>
          <w:rFonts w:ascii="Calibri Light" w:eastAsia="Calibri Light" w:hAnsi="Calibri Light" w:cs="Calibri Light"/>
          <w:caps/>
          <w:color w:val="495965"/>
          <w:spacing w:val="-10"/>
          <w:kern w:val="28"/>
          <w:sz w:val="38"/>
          <w:szCs w:val="38"/>
          <w:u w:color="495965"/>
          <w:lang w:eastAsia="en-AU"/>
        </w:rPr>
      </w:pPr>
      <w:r>
        <w:br w:type="page"/>
      </w:r>
    </w:p>
    <w:p w:rsidR="005644B8" w:rsidRDefault="00834F71">
      <w:pPr>
        <w:pStyle w:val="Subtitle"/>
      </w:pPr>
      <w:r>
        <w:lastRenderedPageBreak/>
        <w:t>Annex C - Evaluation Planning</w:t>
      </w:r>
    </w:p>
    <w:p w:rsidR="005644B8" w:rsidRDefault="00834F71">
      <w:pPr>
        <w:pStyle w:val="ListBullet"/>
        <w:tabs>
          <w:tab w:val="clear" w:pos="284"/>
        </w:tabs>
        <w:spacing w:before="400"/>
        <w:rPr>
          <w:rFonts w:ascii="Calibri" w:eastAsia="Calibri" w:hAnsi="Calibri" w:cs="Calibri"/>
          <w:caps/>
          <w:color w:val="495965"/>
          <w:sz w:val="38"/>
          <w:szCs w:val="38"/>
          <w:u w:color="495965"/>
        </w:rPr>
      </w:pPr>
      <w:r>
        <w:rPr>
          <w:rFonts w:ascii="Calibri" w:eastAsia="Calibri" w:hAnsi="Calibri" w:cs="Calibri"/>
          <w:caps/>
          <w:color w:val="495965"/>
          <w:sz w:val="38"/>
          <w:szCs w:val="38"/>
          <w:u w:color="495965"/>
        </w:rPr>
        <w:t xml:space="preserve">List of evaluations completed in the reporting period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4367"/>
        <w:gridCol w:w="5008"/>
        <w:gridCol w:w="1933"/>
        <w:gridCol w:w="3264"/>
      </w:tblGrid>
      <w:tr w:rsidR="00ED57B5" w:rsidTr="003240AC">
        <w:trPr>
          <w:trHeight w:val="1560"/>
        </w:trPr>
        <w:tc>
          <w:tcPr>
            <w:tcW w:w="1498" w:type="pct"/>
            <w:tcBorders>
              <w:top w:val="nil"/>
              <w:left w:val="nil"/>
              <w:bottom w:val="nil"/>
              <w:right w:val="nil"/>
            </w:tcBorders>
            <w:shd w:val="clear" w:color="auto" w:fill="auto"/>
            <w:tcMar>
              <w:top w:w="80" w:type="dxa"/>
              <w:left w:w="80" w:type="dxa"/>
              <w:bottom w:w="80" w:type="dxa"/>
              <w:right w:w="80" w:type="dxa"/>
            </w:tcMar>
          </w:tcPr>
          <w:p w:rsidR="00ED57B5" w:rsidRDefault="00ED57B5">
            <w:pPr>
              <w:pStyle w:val="Body"/>
              <w:keepLines/>
              <w:spacing w:line="200" w:lineRule="atLeast"/>
              <w:rPr>
                <w:b/>
                <w:bCs/>
                <w:sz w:val="17"/>
                <w:szCs w:val="17"/>
              </w:rPr>
            </w:pPr>
            <w:r>
              <w:rPr>
                <w:b/>
                <w:bCs/>
                <w:sz w:val="17"/>
                <w:szCs w:val="17"/>
                <w:lang w:val="en-US"/>
              </w:rPr>
              <w:t xml:space="preserve">Investment number and name </w:t>
            </w:r>
          </w:p>
          <w:p w:rsidR="00ED57B5" w:rsidRDefault="00ED57B5">
            <w:pPr>
              <w:pStyle w:val="Body"/>
              <w:keepLines/>
              <w:spacing w:line="200" w:lineRule="atLeast"/>
            </w:pPr>
          </w:p>
        </w:tc>
        <w:tc>
          <w:tcPr>
            <w:tcW w:w="1718" w:type="pct"/>
            <w:tcBorders>
              <w:top w:val="nil"/>
              <w:left w:val="nil"/>
              <w:bottom w:val="nil"/>
              <w:right w:val="nil"/>
            </w:tcBorders>
            <w:shd w:val="clear" w:color="auto" w:fill="auto"/>
            <w:tcMar>
              <w:top w:w="80" w:type="dxa"/>
              <w:left w:w="80" w:type="dxa"/>
              <w:bottom w:w="80" w:type="dxa"/>
              <w:right w:w="80" w:type="dxa"/>
            </w:tcMar>
          </w:tcPr>
          <w:p w:rsidR="00ED57B5" w:rsidRDefault="00ED57B5">
            <w:pPr>
              <w:pStyle w:val="Body"/>
              <w:keepLines/>
              <w:spacing w:line="200" w:lineRule="atLeast"/>
            </w:pPr>
            <w:r>
              <w:rPr>
                <w:b/>
                <w:bCs/>
                <w:sz w:val="17"/>
                <w:szCs w:val="17"/>
                <w:lang w:val="en-US"/>
              </w:rPr>
              <w:t>Name of evaluation</w:t>
            </w:r>
          </w:p>
        </w:tc>
        <w:tc>
          <w:tcPr>
            <w:tcW w:w="663" w:type="pct"/>
            <w:tcBorders>
              <w:top w:val="nil"/>
              <w:left w:val="nil"/>
              <w:bottom w:val="nil"/>
              <w:right w:val="nil"/>
            </w:tcBorders>
            <w:shd w:val="clear" w:color="auto" w:fill="auto"/>
            <w:tcMar>
              <w:top w:w="80" w:type="dxa"/>
              <w:left w:w="80" w:type="dxa"/>
              <w:bottom w:w="80" w:type="dxa"/>
              <w:right w:w="80" w:type="dxa"/>
            </w:tcMar>
          </w:tcPr>
          <w:p w:rsidR="00ED57B5" w:rsidRDefault="00ED57B5">
            <w:pPr>
              <w:pStyle w:val="Body"/>
              <w:keepLines/>
              <w:spacing w:line="200" w:lineRule="atLeast"/>
            </w:pPr>
            <w:r>
              <w:rPr>
                <w:b/>
                <w:bCs/>
                <w:sz w:val="17"/>
                <w:szCs w:val="17"/>
                <w:lang w:val="en-US"/>
              </w:rPr>
              <w:t>Date completed</w:t>
            </w:r>
          </w:p>
        </w:tc>
        <w:tc>
          <w:tcPr>
            <w:tcW w:w="1120" w:type="pct"/>
            <w:tcBorders>
              <w:top w:val="nil"/>
              <w:left w:val="nil"/>
              <w:bottom w:val="nil"/>
              <w:right w:val="nil"/>
            </w:tcBorders>
            <w:shd w:val="clear" w:color="auto" w:fill="auto"/>
            <w:tcMar>
              <w:top w:w="80" w:type="dxa"/>
              <w:left w:w="80" w:type="dxa"/>
              <w:bottom w:w="80" w:type="dxa"/>
              <w:right w:w="80" w:type="dxa"/>
            </w:tcMar>
          </w:tcPr>
          <w:p w:rsidR="00ED57B5" w:rsidRDefault="00ED57B5">
            <w:pPr>
              <w:pStyle w:val="Body"/>
              <w:keepLines/>
              <w:spacing w:line="200" w:lineRule="atLeast"/>
            </w:pPr>
            <w:r>
              <w:rPr>
                <w:b/>
                <w:bCs/>
                <w:sz w:val="17"/>
                <w:szCs w:val="17"/>
                <w:lang w:val="en-US"/>
              </w:rPr>
              <w:t>Published on website</w:t>
            </w:r>
          </w:p>
        </w:tc>
      </w:tr>
      <w:tr w:rsidR="00ED57B5" w:rsidTr="003240AC">
        <w:trPr>
          <w:trHeight w:val="1720"/>
        </w:trPr>
        <w:tc>
          <w:tcPr>
            <w:tcW w:w="1498" w:type="pct"/>
            <w:tcBorders>
              <w:top w:val="nil"/>
              <w:left w:val="nil"/>
              <w:bottom w:val="nil"/>
              <w:right w:val="nil"/>
            </w:tcBorders>
            <w:shd w:val="clear" w:color="auto" w:fill="auto"/>
            <w:tcMar>
              <w:top w:w="80" w:type="dxa"/>
              <w:left w:w="80" w:type="dxa"/>
              <w:bottom w:w="80" w:type="dxa"/>
              <w:right w:w="80" w:type="dxa"/>
            </w:tcMar>
          </w:tcPr>
          <w:p w:rsidR="00ED57B5" w:rsidRDefault="00ED57B5">
            <w:pPr>
              <w:pStyle w:val="Body"/>
              <w:keepLines/>
              <w:spacing w:before="40" w:after="40" w:line="200" w:lineRule="atLeast"/>
              <w:rPr>
                <w:sz w:val="17"/>
                <w:szCs w:val="17"/>
              </w:rPr>
            </w:pPr>
            <w:r>
              <w:rPr>
                <w:sz w:val="17"/>
                <w:szCs w:val="17"/>
                <w:lang w:val="en-US"/>
              </w:rPr>
              <w:t>Economic Governance</w:t>
            </w:r>
          </w:p>
          <w:p w:rsidR="00ED57B5" w:rsidRDefault="00ED57B5">
            <w:pPr>
              <w:pStyle w:val="Body"/>
              <w:keepLines/>
              <w:spacing w:before="40" w:after="40" w:line="200" w:lineRule="atLeast"/>
              <w:rPr>
                <w:sz w:val="17"/>
                <w:szCs w:val="17"/>
                <w:lang w:val="en-US"/>
              </w:rPr>
            </w:pPr>
          </w:p>
          <w:p w:rsidR="00ED57B5" w:rsidRDefault="00ED57B5">
            <w:pPr>
              <w:pStyle w:val="Body"/>
              <w:keepLines/>
              <w:spacing w:before="40" w:after="40" w:line="200" w:lineRule="atLeast"/>
              <w:rPr>
                <w:sz w:val="17"/>
                <w:szCs w:val="17"/>
              </w:rPr>
            </w:pPr>
            <w:r>
              <w:rPr>
                <w:sz w:val="17"/>
                <w:szCs w:val="17"/>
                <w:lang w:val="en-US"/>
              </w:rPr>
              <w:t xml:space="preserve">Skills for Inclusive Economic Growth           </w:t>
            </w:r>
          </w:p>
          <w:p w:rsidR="00ED57B5" w:rsidRDefault="00ED57B5">
            <w:pPr>
              <w:pStyle w:val="Body"/>
              <w:keepLines/>
              <w:spacing w:before="40" w:after="40" w:line="200" w:lineRule="atLeast"/>
            </w:pPr>
          </w:p>
        </w:tc>
        <w:tc>
          <w:tcPr>
            <w:tcW w:w="1718" w:type="pct"/>
            <w:tcBorders>
              <w:top w:val="nil"/>
              <w:left w:val="nil"/>
              <w:bottom w:val="nil"/>
              <w:right w:val="nil"/>
            </w:tcBorders>
            <w:shd w:val="clear" w:color="auto" w:fill="auto"/>
            <w:tcMar>
              <w:top w:w="80" w:type="dxa"/>
              <w:left w:w="80" w:type="dxa"/>
              <w:bottom w:w="80" w:type="dxa"/>
              <w:right w:w="80" w:type="dxa"/>
            </w:tcMar>
          </w:tcPr>
          <w:p w:rsidR="00ED57B5" w:rsidRDefault="00ED57B5">
            <w:pPr>
              <w:pStyle w:val="Body"/>
              <w:keepLines/>
              <w:spacing w:before="40" w:after="40" w:line="200" w:lineRule="atLeast"/>
              <w:rPr>
                <w:sz w:val="17"/>
                <w:szCs w:val="17"/>
              </w:rPr>
            </w:pPr>
            <w:r>
              <w:rPr>
                <w:sz w:val="17"/>
                <w:szCs w:val="17"/>
                <w:lang w:val="en-US"/>
              </w:rPr>
              <w:t>Independent Evaluation</w:t>
            </w:r>
          </w:p>
          <w:p w:rsidR="00ED57B5" w:rsidRDefault="00ED57B5">
            <w:pPr>
              <w:pStyle w:val="Body"/>
              <w:keepLines/>
              <w:spacing w:before="40" w:after="40" w:line="200" w:lineRule="atLeast"/>
              <w:rPr>
                <w:sz w:val="17"/>
                <w:szCs w:val="17"/>
                <w:lang w:val="en-US"/>
              </w:rPr>
            </w:pPr>
          </w:p>
          <w:p w:rsidR="00ED57B5" w:rsidRDefault="00ED57B5">
            <w:pPr>
              <w:pStyle w:val="Body"/>
              <w:keepLines/>
              <w:spacing w:before="40" w:after="40" w:line="200" w:lineRule="atLeast"/>
              <w:rPr>
                <w:sz w:val="17"/>
                <w:szCs w:val="17"/>
              </w:rPr>
            </w:pPr>
            <w:r>
              <w:rPr>
                <w:sz w:val="17"/>
                <w:szCs w:val="17"/>
                <w:lang w:val="en-US"/>
              </w:rPr>
              <w:t xml:space="preserve">Mid Term Review </w:t>
            </w:r>
          </w:p>
          <w:p w:rsidR="00ED57B5" w:rsidRDefault="00ED57B5">
            <w:pPr>
              <w:pStyle w:val="Body"/>
              <w:keepLines/>
              <w:spacing w:before="40" w:after="40" w:line="200" w:lineRule="atLeast"/>
            </w:pPr>
            <w:r>
              <w:rPr>
                <w:sz w:val="17"/>
                <w:szCs w:val="17"/>
                <w:lang w:val="en-US"/>
              </w:rPr>
              <w:t xml:space="preserve"> </w:t>
            </w:r>
          </w:p>
        </w:tc>
        <w:tc>
          <w:tcPr>
            <w:tcW w:w="663" w:type="pct"/>
            <w:tcBorders>
              <w:top w:val="nil"/>
              <w:left w:val="nil"/>
              <w:bottom w:val="nil"/>
              <w:right w:val="nil"/>
            </w:tcBorders>
            <w:shd w:val="clear" w:color="auto" w:fill="auto"/>
            <w:tcMar>
              <w:top w:w="80" w:type="dxa"/>
              <w:left w:w="80" w:type="dxa"/>
              <w:bottom w:w="80" w:type="dxa"/>
              <w:right w:w="80" w:type="dxa"/>
            </w:tcMar>
          </w:tcPr>
          <w:p w:rsidR="00ED57B5" w:rsidRDefault="00ED57B5">
            <w:pPr>
              <w:pStyle w:val="Body"/>
              <w:keepLines/>
              <w:spacing w:before="40" w:after="40" w:line="200" w:lineRule="atLeast"/>
              <w:rPr>
                <w:sz w:val="17"/>
                <w:szCs w:val="17"/>
              </w:rPr>
            </w:pPr>
            <w:r>
              <w:rPr>
                <w:sz w:val="17"/>
                <w:szCs w:val="17"/>
                <w:lang w:val="en-US"/>
              </w:rPr>
              <w:t>April 2018</w:t>
            </w:r>
          </w:p>
          <w:p w:rsidR="00ED57B5" w:rsidRDefault="00ED57B5">
            <w:pPr>
              <w:pStyle w:val="Body"/>
              <w:keepLines/>
              <w:spacing w:before="40" w:after="40" w:line="200" w:lineRule="atLeast"/>
              <w:rPr>
                <w:sz w:val="17"/>
                <w:szCs w:val="17"/>
                <w:lang w:val="en-US"/>
              </w:rPr>
            </w:pPr>
          </w:p>
          <w:p w:rsidR="00ED57B5" w:rsidRDefault="00ED57B5">
            <w:pPr>
              <w:pStyle w:val="Body"/>
              <w:keepLines/>
              <w:spacing w:before="40" w:after="40" w:line="200" w:lineRule="atLeast"/>
              <w:rPr>
                <w:sz w:val="17"/>
                <w:szCs w:val="17"/>
              </w:rPr>
            </w:pPr>
            <w:r>
              <w:rPr>
                <w:sz w:val="17"/>
                <w:szCs w:val="17"/>
                <w:lang w:val="en-US"/>
              </w:rPr>
              <w:t>June 2018</w:t>
            </w:r>
          </w:p>
          <w:p w:rsidR="00ED57B5" w:rsidRDefault="00ED57B5">
            <w:pPr>
              <w:pStyle w:val="Body"/>
              <w:keepLines/>
              <w:spacing w:before="40" w:after="40" w:line="200" w:lineRule="atLeast"/>
            </w:pPr>
          </w:p>
        </w:tc>
        <w:tc>
          <w:tcPr>
            <w:tcW w:w="1120" w:type="pct"/>
            <w:tcBorders>
              <w:top w:val="nil"/>
              <w:left w:val="nil"/>
              <w:bottom w:val="nil"/>
              <w:right w:val="nil"/>
            </w:tcBorders>
            <w:shd w:val="clear" w:color="auto" w:fill="auto"/>
            <w:tcMar>
              <w:top w:w="80" w:type="dxa"/>
              <w:left w:w="80" w:type="dxa"/>
              <w:bottom w:w="80" w:type="dxa"/>
              <w:right w:w="80" w:type="dxa"/>
            </w:tcMar>
          </w:tcPr>
          <w:p w:rsidR="00E24A0C" w:rsidRDefault="00E24A0C" w:rsidP="00E24A0C">
            <w:pPr>
              <w:pStyle w:val="Body"/>
              <w:keepLines/>
              <w:spacing w:before="40" w:after="40" w:line="200" w:lineRule="atLeast"/>
              <w:rPr>
                <w:sz w:val="17"/>
                <w:szCs w:val="17"/>
                <w:lang w:val="en-US"/>
              </w:rPr>
            </w:pPr>
            <w:r>
              <w:rPr>
                <w:sz w:val="17"/>
                <w:szCs w:val="17"/>
                <w:lang w:val="en-US"/>
              </w:rPr>
              <w:t>By December 2018</w:t>
            </w:r>
          </w:p>
          <w:p w:rsidR="00E24A0C" w:rsidRDefault="00E24A0C" w:rsidP="00E24A0C">
            <w:pPr>
              <w:pStyle w:val="Body"/>
              <w:keepLines/>
              <w:spacing w:before="40" w:after="40" w:line="200" w:lineRule="atLeast"/>
              <w:rPr>
                <w:sz w:val="17"/>
                <w:szCs w:val="17"/>
                <w:lang w:val="en-US"/>
              </w:rPr>
            </w:pPr>
          </w:p>
          <w:p w:rsidR="00E24A0C" w:rsidRDefault="00E24A0C" w:rsidP="00E24A0C">
            <w:pPr>
              <w:pStyle w:val="Body"/>
              <w:keepLines/>
              <w:spacing w:before="40" w:after="40" w:line="200" w:lineRule="atLeast"/>
              <w:rPr>
                <w:sz w:val="17"/>
                <w:szCs w:val="17"/>
                <w:lang w:val="en-US"/>
              </w:rPr>
            </w:pPr>
            <w:r>
              <w:rPr>
                <w:sz w:val="17"/>
                <w:szCs w:val="17"/>
                <w:lang w:val="en-US"/>
              </w:rPr>
              <w:t>By December 2018</w:t>
            </w:r>
          </w:p>
          <w:p w:rsidR="00ED57B5" w:rsidRDefault="00ED57B5" w:rsidP="00E24A0C">
            <w:pPr>
              <w:pStyle w:val="Body"/>
              <w:keepLines/>
              <w:spacing w:before="40" w:after="40" w:line="200" w:lineRule="atLeast"/>
            </w:pPr>
          </w:p>
        </w:tc>
      </w:tr>
    </w:tbl>
    <w:p w:rsidR="005644B8" w:rsidRDefault="005644B8">
      <w:pPr>
        <w:pStyle w:val="ListBullet"/>
        <w:widowControl w:val="0"/>
        <w:tabs>
          <w:tab w:val="clear" w:pos="284"/>
        </w:tabs>
        <w:spacing w:before="400" w:line="240" w:lineRule="auto"/>
        <w:rPr>
          <w:rFonts w:ascii="Calibri" w:eastAsia="Calibri" w:hAnsi="Calibri" w:cs="Calibri"/>
          <w:caps/>
          <w:color w:val="495965"/>
          <w:sz w:val="38"/>
          <w:szCs w:val="38"/>
          <w:u w:color="495965"/>
        </w:rPr>
      </w:pPr>
    </w:p>
    <w:p w:rsidR="005644B8" w:rsidRDefault="005644B8">
      <w:pPr>
        <w:pStyle w:val="ListBullet"/>
        <w:tabs>
          <w:tab w:val="clear" w:pos="284"/>
        </w:tabs>
        <w:spacing w:before="400"/>
        <w:rPr>
          <w:rFonts w:ascii="Calibri" w:eastAsia="Calibri" w:hAnsi="Calibri" w:cs="Calibri"/>
          <w:caps/>
          <w:color w:val="495965"/>
          <w:sz w:val="38"/>
          <w:szCs w:val="38"/>
          <w:u w:color="495965"/>
        </w:rPr>
      </w:pPr>
    </w:p>
    <w:p w:rsidR="005644B8" w:rsidRDefault="005644B8">
      <w:pPr>
        <w:pStyle w:val="ListBullet"/>
        <w:tabs>
          <w:tab w:val="clear" w:pos="284"/>
        </w:tabs>
        <w:spacing w:before="400"/>
        <w:rPr>
          <w:rFonts w:ascii="Calibri" w:eastAsia="Calibri" w:hAnsi="Calibri" w:cs="Calibri"/>
          <w:caps/>
          <w:color w:val="495965"/>
          <w:sz w:val="38"/>
          <w:szCs w:val="38"/>
          <w:u w:color="495965"/>
        </w:rPr>
      </w:pPr>
    </w:p>
    <w:p w:rsidR="005644B8" w:rsidRDefault="005644B8">
      <w:pPr>
        <w:pStyle w:val="ListBullet"/>
        <w:tabs>
          <w:tab w:val="clear" w:pos="284"/>
        </w:tabs>
        <w:spacing w:before="400"/>
        <w:rPr>
          <w:rFonts w:ascii="Calibri" w:eastAsia="Calibri" w:hAnsi="Calibri" w:cs="Calibri"/>
          <w:caps/>
          <w:color w:val="495965"/>
          <w:sz w:val="38"/>
          <w:szCs w:val="38"/>
          <w:u w:color="495965"/>
        </w:rPr>
      </w:pPr>
    </w:p>
    <w:p w:rsidR="005644B8" w:rsidRDefault="005644B8">
      <w:pPr>
        <w:pStyle w:val="ListBullet"/>
        <w:tabs>
          <w:tab w:val="clear" w:pos="284"/>
        </w:tabs>
        <w:spacing w:before="400"/>
        <w:rPr>
          <w:rFonts w:ascii="Calibri" w:eastAsia="Calibri" w:hAnsi="Calibri" w:cs="Calibri"/>
          <w:caps/>
          <w:color w:val="495965"/>
          <w:sz w:val="38"/>
          <w:szCs w:val="38"/>
          <w:u w:color="495965"/>
        </w:rPr>
      </w:pPr>
    </w:p>
    <w:p w:rsidR="005644B8" w:rsidRDefault="00834F71">
      <w:pPr>
        <w:pStyle w:val="ListBullet"/>
        <w:tabs>
          <w:tab w:val="clear" w:pos="284"/>
        </w:tabs>
        <w:spacing w:before="400"/>
        <w:rPr>
          <w:rFonts w:ascii="Calibri" w:eastAsia="Calibri" w:hAnsi="Calibri" w:cs="Calibri"/>
          <w:caps/>
          <w:color w:val="495965"/>
          <w:sz w:val="38"/>
          <w:szCs w:val="38"/>
          <w:u w:color="495965"/>
        </w:rPr>
      </w:pPr>
      <w:r>
        <w:rPr>
          <w:rFonts w:ascii="Calibri" w:eastAsia="Calibri" w:hAnsi="Calibri" w:cs="Calibri"/>
          <w:caps/>
          <w:color w:val="495965"/>
          <w:sz w:val="38"/>
          <w:szCs w:val="38"/>
          <w:u w:color="495965"/>
        </w:rPr>
        <w:lastRenderedPageBreak/>
        <w:t xml:space="preserve">List of program prioritised evaluations planned for the next 12 months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2535"/>
        <w:gridCol w:w="2428"/>
        <w:gridCol w:w="2107"/>
        <w:gridCol w:w="2276"/>
        <w:gridCol w:w="2396"/>
        <w:gridCol w:w="2830"/>
      </w:tblGrid>
      <w:tr w:rsidR="005644B8" w:rsidTr="008D3193">
        <w:trPr>
          <w:trHeight w:val="1115"/>
        </w:trPr>
        <w:tc>
          <w:tcPr>
            <w:tcW w:w="870" w:type="pct"/>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Evaluation title</w:t>
            </w:r>
          </w:p>
        </w:tc>
        <w:tc>
          <w:tcPr>
            <w:tcW w:w="833" w:type="pct"/>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 xml:space="preserve">Investment number and name (if applicable) </w:t>
            </w:r>
          </w:p>
        </w:tc>
        <w:tc>
          <w:tcPr>
            <w:tcW w:w="723" w:type="pct"/>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Date – planned commencement (month/year)</w:t>
            </w:r>
          </w:p>
        </w:tc>
        <w:tc>
          <w:tcPr>
            <w:tcW w:w="781" w:type="pct"/>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Date – planned completion (month/year)</w:t>
            </w:r>
          </w:p>
        </w:tc>
        <w:tc>
          <w:tcPr>
            <w:tcW w:w="822" w:type="pct"/>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Purpose of evaluation</w:t>
            </w:r>
          </w:p>
        </w:tc>
        <w:tc>
          <w:tcPr>
            <w:tcW w:w="972" w:type="pct"/>
            <w:tcBorders>
              <w:top w:val="single" w:sz="12" w:space="0" w:color="000000"/>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80" w:after="80" w:line="200" w:lineRule="atLeast"/>
            </w:pPr>
            <w:r>
              <w:rPr>
                <w:b/>
                <w:bCs/>
                <w:sz w:val="17"/>
                <w:szCs w:val="17"/>
                <w:lang w:val="en-US"/>
              </w:rPr>
              <w:t>Evaluation type</w:t>
            </w:r>
          </w:p>
        </w:tc>
      </w:tr>
      <w:tr w:rsidR="005644B8" w:rsidTr="008D3193">
        <w:trPr>
          <w:trHeight w:val="230"/>
        </w:trPr>
        <w:tc>
          <w:tcPr>
            <w:tcW w:w="870" w:type="pct"/>
            <w:tcBorders>
              <w:top w:val="nil"/>
              <w:left w:val="nil"/>
              <w:bottom w:val="nil"/>
              <w:right w:val="nil"/>
            </w:tcBorders>
            <w:shd w:val="clear" w:color="auto" w:fill="auto"/>
            <w:tcMar>
              <w:top w:w="80" w:type="dxa"/>
              <w:left w:w="80" w:type="dxa"/>
              <w:bottom w:w="80" w:type="dxa"/>
              <w:right w:w="80" w:type="dxa"/>
            </w:tcMar>
          </w:tcPr>
          <w:p w:rsidR="005644B8" w:rsidRDefault="005644B8"/>
        </w:tc>
        <w:tc>
          <w:tcPr>
            <w:tcW w:w="833" w:type="pct"/>
            <w:tcBorders>
              <w:top w:val="nil"/>
              <w:left w:val="nil"/>
              <w:bottom w:val="nil"/>
              <w:right w:val="nil"/>
            </w:tcBorders>
            <w:shd w:val="clear" w:color="auto" w:fill="auto"/>
            <w:tcMar>
              <w:top w:w="80" w:type="dxa"/>
              <w:left w:w="80" w:type="dxa"/>
              <w:bottom w:w="80" w:type="dxa"/>
              <w:right w:w="80" w:type="dxa"/>
            </w:tcMar>
          </w:tcPr>
          <w:p w:rsidR="005644B8" w:rsidRDefault="005644B8"/>
        </w:tc>
        <w:tc>
          <w:tcPr>
            <w:tcW w:w="723" w:type="pct"/>
            <w:tcBorders>
              <w:top w:val="nil"/>
              <w:left w:val="nil"/>
              <w:bottom w:val="nil"/>
              <w:right w:val="nil"/>
            </w:tcBorders>
            <w:shd w:val="clear" w:color="auto" w:fill="auto"/>
            <w:tcMar>
              <w:top w:w="80" w:type="dxa"/>
              <w:left w:w="80" w:type="dxa"/>
              <w:bottom w:w="80" w:type="dxa"/>
              <w:right w:w="80" w:type="dxa"/>
            </w:tcMar>
          </w:tcPr>
          <w:p w:rsidR="005644B8" w:rsidRDefault="005644B8"/>
        </w:tc>
        <w:tc>
          <w:tcPr>
            <w:tcW w:w="781" w:type="pct"/>
            <w:tcBorders>
              <w:top w:val="nil"/>
              <w:left w:val="nil"/>
              <w:bottom w:val="nil"/>
              <w:right w:val="nil"/>
            </w:tcBorders>
            <w:shd w:val="clear" w:color="auto" w:fill="auto"/>
            <w:tcMar>
              <w:top w:w="80" w:type="dxa"/>
              <w:left w:w="80" w:type="dxa"/>
              <w:bottom w:w="80" w:type="dxa"/>
              <w:right w:w="80" w:type="dxa"/>
            </w:tcMar>
          </w:tcPr>
          <w:p w:rsidR="005644B8" w:rsidRDefault="005644B8"/>
        </w:tc>
        <w:tc>
          <w:tcPr>
            <w:tcW w:w="822" w:type="pct"/>
            <w:tcBorders>
              <w:top w:val="nil"/>
              <w:left w:val="nil"/>
              <w:bottom w:val="nil"/>
              <w:right w:val="nil"/>
            </w:tcBorders>
            <w:shd w:val="clear" w:color="auto" w:fill="auto"/>
            <w:tcMar>
              <w:top w:w="80" w:type="dxa"/>
              <w:left w:w="80" w:type="dxa"/>
              <w:bottom w:w="80" w:type="dxa"/>
              <w:right w:w="80" w:type="dxa"/>
            </w:tcMar>
          </w:tcPr>
          <w:p w:rsidR="005644B8" w:rsidRDefault="005644B8"/>
        </w:tc>
        <w:tc>
          <w:tcPr>
            <w:tcW w:w="972" w:type="pct"/>
            <w:tcBorders>
              <w:top w:val="nil"/>
              <w:left w:val="nil"/>
              <w:bottom w:val="nil"/>
              <w:right w:val="nil"/>
            </w:tcBorders>
            <w:shd w:val="clear" w:color="auto" w:fill="auto"/>
            <w:tcMar>
              <w:top w:w="80" w:type="dxa"/>
              <w:left w:w="80" w:type="dxa"/>
              <w:bottom w:w="80" w:type="dxa"/>
              <w:right w:w="80" w:type="dxa"/>
            </w:tcMar>
          </w:tcPr>
          <w:p w:rsidR="005644B8" w:rsidRDefault="005644B8"/>
        </w:tc>
      </w:tr>
      <w:tr w:rsidR="005644B8" w:rsidRPr="002A0B1B" w:rsidTr="008D3193">
        <w:trPr>
          <w:trHeight w:val="3520"/>
        </w:trPr>
        <w:tc>
          <w:tcPr>
            <w:tcW w:w="870" w:type="pct"/>
            <w:tcBorders>
              <w:top w:val="nil"/>
              <w:left w:val="nil"/>
              <w:bottom w:val="nil"/>
              <w:right w:val="nil"/>
            </w:tcBorders>
            <w:shd w:val="clear" w:color="auto" w:fill="auto"/>
            <w:tcMar>
              <w:top w:w="80" w:type="dxa"/>
              <w:left w:w="80" w:type="dxa"/>
              <w:bottom w:w="80" w:type="dxa"/>
              <w:right w:w="80" w:type="dxa"/>
            </w:tcMar>
          </w:tcPr>
          <w:p w:rsidR="005644B8" w:rsidRPr="002A0B1B" w:rsidRDefault="00834F71">
            <w:pPr>
              <w:pStyle w:val="Body"/>
              <w:keepLines/>
              <w:spacing w:before="40" w:after="40" w:line="200" w:lineRule="atLeast"/>
              <w:rPr>
                <w:sz w:val="17"/>
                <w:szCs w:val="17"/>
              </w:rPr>
            </w:pPr>
            <w:r w:rsidRPr="002A0B1B">
              <w:rPr>
                <w:sz w:val="17"/>
                <w:szCs w:val="17"/>
                <w:lang w:val="en-US"/>
              </w:rPr>
              <w:t xml:space="preserve">Tonga Health Systems Support Program 2 </w:t>
            </w: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Pr="002A0B1B" w:rsidRDefault="00E24A0C">
            <w:pPr>
              <w:pStyle w:val="Body"/>
              <w:keepLines/>
              <w:spacing w:before="40" w:after="40" w:line="200" w:lineRule="atLeast"/>
              <w:rPr>
                <w:sz w:val="17"/>
                <w:szCs w:val="17"/>
                <w:lang w:val="en-US"/>
              </w:rPr>
            </w:pPr>
          </w:p>
          <w:p w:rsidR="00E24A0C" w:rsidRPr="002A0B1B" w:rsidRDefault="00E24A0C">
            <w:pPr>
              <w:pStyle w:val="Body"/>
              <w:keepLines/>
              <w:spacing w:before="40" w:after="40" w:line="200" w:lineRule="atLeast"/>
              <w:rPr>
                <w:sz w:val="17"/>
                <w:szCs w:val="17"/>
                <w:lang w:val="en-US"/>
              </w:rPr>
            </w:pPr>
          </w:p>
          <w:p w:rsidR="002A0B1B" w:rsidRPr="002A0B1B" w:rsidRDefault="002A0B1B">
            <w:pPr>
              <w:pStyle w:val="Body"/>
              <w:keepLines/>
              <w:spacing w:before="40" w:after="40" w:line="200" w:lineRule="atLeast"/>
              <w:rPr>
                <w:sz w:val="17"/>
                <w:szCs w:val="17"/>
                <w:lang w:val="en-US"/>
              </w:rPr>
            </w:pPr>
          </w:p>
          <w:p w:rsidR="002A0B1B" w:rsidRPr="002A0B1B" w:rsidRDefault="002A0B1B">
            <w:pPr>
              <w:pStyle w:val="Body"/>
              <w:keepLines/>
              <w:spacing w:before="40" w:after="40" w:line="200" w:lineRule="atLeast"/>
              <w:rPr>
                <w:sz w:val="17"/>
                <w:szCs w:val="17"/>
              </w:rPr>
            </w:pPr>
            <w:r w:rsidRPr="002A0B1B">
              <w:rPr>
                <w:sz w:val="17"/>
                <w:szCs w:val="17"/>
                <w:lang w:val="en-US"/>
              </w:rPr>
              <w:t>T</w:t>
            </w:r>
            <w:r w:rsidR="00E24A0C">
              <w:rPr>
                <w:sz w:val="17"/>
                <w:szCs w:val="17"/>
                <w:lang w:val="en-US"/>
              </w:rPr>
              <w:t>ropical Cyclone</w:t>
            </w:r>
            <w:r w:rsidRPr="002A0B1B">
              <w:rPr>
                <w:sz w:val="17"/>
                <w:szCs w:val="17"/>
                <w:lang w:val="en-US"/>
              </w:rPr>
              <w:t xml:space="preserve"> Gita Mid Term Review</w:t>
            </w:r>
          </w:p>
        </w:tc>
        <w:tc>
          <w:tcPr>
            <w:tcW w:w="833" w:type="pct"/>
            <w:tcBorders>
              <w:top w:val="nil"/>
              <w:left w:val="nil"/>
              <w:bottom w:val="nil"/>
              <w:right w:val="nil"/>
            </w:tcBorders>
            <w:shd w:val="clear" w:color="auto" w:fill="auto"/>
            <w:tcMar>
              <w:top w:w="80" w:type="dxa"/>
              <w:left w:w="80" w:type="dxa"/>
              <w:bottom w:w="80" w:type="dxa"/>
              <w:right w:w="80" w:type="dxa"/>
            </w:tcMar>
          </w:tcPr>
          <w:p w:rsidR="005644B8" w:rsidRPr="002A0B1B" w:rsidRDefault="00834F71">
            <w:pPr>
              <w:pStyle w:val="Body"/>
              <w:keepLines/>
              <w:spacing w:before="40" w:after="40" w:line="200" w:lineRule="atLeast"/>
              <w:rPr>
                <w:sz w:val="17"/>
                <w:szCs w:val="17"/>
              </w:rPr>
            </w:pPr>
            <w:r w:rsidRPr="002A0B1B">
              <w:rPr>
                <w:sz w:val="17"/>
                <w:szCs w:val="17"/>
                <w:lang w:val="en-US"/>
              </w:rPr>
              <w:t>INL683- Tonga Health Systems Support Program 2</w:t>
            </w: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Pr="002A0B1B" w:rsidRDefault="00E24A0C">
            <w:pPr>
              <w:pStyle w:val="Body"/>
              <w:keepLines/>
              <w:spacing w:before="40" w:after="40" w:line="200" w:lineRule="atLeast"/>
              <w:rPr>
                <w:sz w:val="17"/>
                <w:szCs w:val="17"/>
                <w:lang w:val="en-US"/>
              </w:rPr>
            </w:pPr>
          </w:p>
          <w:p w:rsidR="002A0B1B" w:rsidRPr="002A0B1B" w:rsidRDefault="002A0B1B">
            <w:pPr>
              <w:pStyle w:val="Body"/>
              <w:keepLines/>
              <w:spacing w:before="40" w:after="40" w:line="200" w:lineRule="atLeast"/>
              <w:rPr>
                <w:sz w:val="17"/>
                <w:szCs w:val="17"/>
                <w:lang w:val="en-US"/>
              </w:rPr>
            </w:pPr>
          </w:p>
          <w:p w:rsidR="002A0B1B" w:rsidRPr="002A0B1B" w:rsidRDefault="00E24A0C">
            <w:pPr>
              <w:pStyle w:val="Body"/>
              <w:keepLines/>
              <w:spacing w:before="40" w:after="40" w:line="200" w:lineRule="atLeast"/>
              <w:rPr>
                <w:sz w:val="17"/>
                <w:szCs w:val="17"/>
              </w:rPr>
            </w:pPr>
            <w:r>
              <w:rPr>
                <w:sz w:val="17"/>
                <w:szCs w:val="17"/>
                <w:lang w:val="en-US"/>
              </w:rPr>
              <w:t>INM492- Tropical Cyclone Gita Response and Recovery</w:t>
            </w:r>
          </w:p>
        </w:tc>
        <w:tc>
          <w:tcPr>
            <w:tcW w:w="723" w:type="pct"/>
            <w:tcBorders>
              <w:top w:val="nil"/>
              <w:left w:val="nil"/>
              <w:bottom w:val="nil"/>
              <w:right w:val="nil"/>
            </w:tcBorders>
            <w:shd w:val="clear" w:color="auto" w:fill="auto"/>
            <w:tcMar>
              <w:top w:w="80" w:type="dxa"/>
              <w:left w:w="80" w:type="dxa"/>
              <w:bottom w:w="80" w:type="dxa"/>
              <w:right w:w="80" w:type="dxa"/>
            </w:tcMar>
          </w:tcPr>
          <w:p w:rsidR="005644B8" w:rsidRPr="002A0B1B" w:rsidRDefault="00834F71">
            <w:pPr>
              <w:pStyle w:val="Body"/>
              <w:keepLines/>
              <w:spacing w:before="40" w:after="40" w:line="200" w:lineRule="atLeast"/>
              <w:rPr>
                <w:sz w:val="17"/>
                <w:szCs w:val="17"/>
              </w:rPr>
            </w:pPr>
            <w:r w:rsidRPr="002A0B1B">
              <w:rPr>
                <w:sz w:val="17"/>
                <w:szCs w:val="17"/>
                <w:lang w:val="en-US"/>
              </w:rPr>
              <w:t>July 2018</w:t>
            </w: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Pr="002A0B1B" w:rsidRDefault="00E24A0C">
            <w:pPr>
              <w:pStyle w:val="Body"/>
              <w:keepLines/>
              <w:spacing w:before="40" w:after="40" w:line="200" w:lineRule="atLeast"/>
              <w:rPr>
                <w:sz w:val="17"/>
                <w:szCs w:val="17"/>
                <w:lang w:val="en-US"/>
              </w:rPr>
            </w:pPr>
          </w:p>
          <w:p w:rsidR="002A0B1B" w:rsidRPr="002A0B1B" w:rsidRDefault="002A0B1B">
            <w:pPr>
              <w:pStyle w:val="Body"/>
              <w:keepLines/>
              <w:spacing w:before="40" w:after="40" w:line="200" w:lineRule="atLeast"/>
              <w:rPr>
                <w:sz w:val="17"/>
                <w:szCs w:val="17"/>
                <w:lang w:val="en-US"/>
              </w:rPr>
            </w:pPr>
          </w:p>
          <w:p w:rsidR="002A0B1B" w:rsidRPr="002A0B1B" w:rsidRDefault="002A0B1B">
            <w:pPr>
              <w:pStyle w:val="Body"/>
              <w:keepLines/>
              <w:spacing w:before="40" w:after="40" w:line="200" w:lineRule="atLeast"/>
              <w:rPr>
                <w:sz w:val="17"/>
                <w:szCs w:val="17"/>
              </w:rPr>
            </w:pPr>
            <w:r w:rsidRPr="00452FDA">
              <w:rPr>
                <w:sz w:val="17"/>
                <w:szCs w:val="17"/>
                <w:lang w:val="en-US"/>
              </w:rPr>
              <w:t>First Quarter 2</w:t>
            </w:r>
            <w:r w:rsidRPr="002A0B1B">
              <w:rPr>
                <w:sz w:val="17"/>
                <w:szCs w:val="17"/>
                <w:lang w:val="en-US"/>
              </w:rPr>
              <w:t>019</w:t>
            </w:r>
          </w:p>
        </w:tc>
        <w:tc>
          <w:tcPr>
            <w:tcW w:w="781" w:type="pct"/>
            <w:tcBorders>
              <w:top w:val="nil"/>
              <w:left w:val="nil"/>
              <w:bottom w:val="nil"/>
              <w:right w:val="nil"/>
            </w:tcBorders>
            <w:shd w:val="clear" w:color="auto" w:fill="auto"/>
            <w:tcMar>
              <w:top w:w="80" w:type="dxa"/>
              <w:left w:w="80" w:type="dxa"/>
              <w:bottom w:w="80" w:type="dxa"/>
              <w:right w:w="80" w:type="dxa"/>
            </w:tcMar>
          </w:tcPr>
          <w:p w:rsidR="005644B8" w:rsidRPr="002A0B1B" w:rsidRDefault="00E24A0C">
            <w:pPr>
              <w:pStyle w:val="Body"/>
              <w:keepLines/>
              <w:spacing w:before="40" w:after="40" w:line="200" w:lineRule="atLeast"/>
              <w:rPr>
                <w:sz w:val="17"/>
                <w:szCs w:val="17"/>
              </w:rPr>
            </w:pPr>
            <w:r>
              <w:rPr>
                <w:sz w:val="17"/>
                <w:szCs w:val="17"/>
                <w:lang w:val="en-US"/>
              </w:rPr>
              <w:t>June 2019</w:t>
            </w: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Pr="002A0B1B" w:rsidRDefault="00E24A0C">
            <w:pPr>
              <w:pStyle w:val="Body"/>
              <w:keepLines/>
              <w:spacing w:before="40" w:after="40" w:line="200" w:lineRule="atLeast"/>
              <w:rPr>
                <w:sz w:val="17"/>
                <w:szCs w:val="17"/>
                <w:lang w:val="en-US"/>
              </w:rPr>
            </w:pPr>
            <w:r>
              <w:rPr>
                <w:sz w:val="17"/>
                <w:szCs w:val="17"/>
                <w:lang w:val="en-US"/>
              </w:rPr>
              <w:t>By December 2019</w:t>
            </w:r>
          </w:p>
          <w:p w:rsidR="005644B8" w:rsidRPr="002A0B1B" w:rsidRDefault="005644B8">
            <w:pPr>
              <w:pStyle w:val="Body"/>
              <w:keepLines/>
              <w:spacing w:before="40" w:after="40" w:line="200" w:lineRule="atLeast"/>
              <w:rPr>
                <w:sz w:val="17"/>
                <w:szCs w:val="17"/>
              </w:rPr>
            </w:pPr>
          </w:p>
        </w:tc>
        <w:tc>
          <w:tcPr>
            <w:tcW w:w="822" w:type="pct"/>
            <w:tcBorders>
              <w:top w:val="nil"/>
              <w:left w:val="nil"/>
              <w:bottom w:val="nil"/>
              <w:right w:val="nil"/>
            </w:tcBorders>
            <w:shd w:val="clear" w:color="auto" w:fill="auto"/>
            <w:tcMar>
              <w:top w:w="80" w:type="dxa"/>
              <w:left w:w="80" w:type="dxa"/>
              <w:bottom w:w="80" w:type="dxa"/>
              <w:right w:w="80" w:type="dxa"/>
            </w:tcMar>
          </w:tcPr>
          <w:p w:rsidR="005644B8" w:rsidRPr="002A0B1B" w:rsidRDefault="00834F71">
            <w:pPr>
              <w:pStyle w:val="Body"/>
              <w:keepLines/>
              <w:spacing w:before="40" w:after="40" w:line="200" w:lineRule="atLeast"/>
              <w:rPr>
                <w:sz w:val="17"/>
                <w:szCs w:val="17"/>
              </w:rPr>
            </w:pPr>
            <w:r w:rsidRPr="002A0B1B">
              <w:rPr>
                <w:sz w:val="17"/>
                <w:szCs w:val="17"/>
                <w:lang w:val="en-US"/>
              </w:rPr>
              <w:t>- inform Australia’s consideration of future support to Tonga’s health sector</w:t>
            </w:r>
          </w:p>
          <w:p w:rsidR="005644B8" w:rsidRPr="002A0B1B" w:rsidRDefault="00834F71">
            <w:pPr>
              <w:pStyle w:val="Body"/>
              <w:keepLines/>
              <w:spacing w:before="40" w:after="40" w:line="200" w:lineRule="atLeast"/>
              <w:rPr>
                <w:sz w:val="17"/>
                <w:szCs w:val="17"/>
              </w:rPr>
            </w:pPr>
            <w:r w:rsidRPr="002A0B1B">
              <w:rPr>
                <w:sz w:val="17"/>
                <w:szCs w:val="17"/>
                <w:lang w:val="en-US"/>
              </w:rPr>
              <w:t>- document the results achieved by THSSP2</w:t>
            </w:r>
          </w:p>
          <w:p w:rsidR="00E24A0C" w:rsidRPr="002A0B1B" w:rsidRDefault="00E24A0C">
            <w:pPr>
              <w:pStyle w:val="Body"/>
              <w:keepLines/>
              <w:spacing w:before="40" w:after="40" w:line="200" w:lineRule="atLeast"/>
              <w:rPr>
                <w:sz w:val="17"/>
                <w:szCs w:val="17"/>
                <w:lang w:val="en-US"/>
              </w:rPr>
            </w:pPr>
          </w:p>
          <w:p w:rsidR="002A0B1B" w:rsidRPr="002A0B1B" w:rsidRDefault="002A0B1B">
            <w:pPr>
              <w:pStyle w:val="Body"/>
              <w:keepLines/>
              <w:spacing w:before="40" w:after="40" w:line="200" w:lineRule="atLeast"/>
              <w:rPr>
                <w:sz w:val="17"/>
                <w:szCs w:val="17"/>
              </w:rPr>
            </w:pPr>
          </w:p>
          <w:p w:rsidR="005644B8" w:rsidRPr="002A0B1B" w:rsidRDefault="002A0B1B">
            <w:pPr>
              <w:pStyle w:val="Body"/>
              <w:keepLines/>
              <w:spacing w:before="40" w:after="40" w:line="200" w:lineRule="atLeast"/>
              <w:rPr>
                <w:sz w:val="17"/>
                <w:szCs w:val="17"/>
              </w:rPr>
            </w:pPr>
            <w:r w:rsidRPr="002A0B1B">
              <w:rPr>
                <w:sz w:val="17"/>
                <w:szCs w:val="17"/>
              </w:rPr>
              <w:t xml:space="preserve">Review </w:t>
            </w:r>
            <w:r>
              <w:rPr>
                <w:sz w:val="17"/>
                <w:szCs w:val="17"/>
              </w:rPr>
              <w:t>progress towards implementation of Australia’s support in TC Gita</w:t>
            </w:r>
          </w:p>
        </w:tc>
        <w:tc>
          <w:tcPr>
            <w:tcW w:w="972" w:type="pct"/>
            <w:tcBorders>
              <w:top w:val="nil"/>
              <w:left w:val="nil"/>
              <w:bottom w:val="nil"/>
              <w:right w:val="nil"/>
            </w:tcBorders>
            <w:shd w:val="clear" w:color="auto" w:fill="auto"/>
            <w:tcMar>
              <w:top w:w="80" w:type="dxa"/>
              <w:left w:w="80" w:type="dxa"/>
              <w:bottom w:w="80" w:type="dxa"/>
              <w:right w:w="80" w:type="dxa"/>
            </w:tcMar>
          </w:tcPr>
          <w:p w:rsidR="005644B8" w:rsidRDefault="00834F71">
            <w:pPr>
              <w:pStyle w:val="Body"/>
              <w:keepLines/>
              <w:spacing w:before="40" w:after="40" w:line="200" w:lineRule="atLeast"/>
              <w:rPr>
                <w:sz w:val="17"/>
                <w:szCs w:val="17"/>
                <w:lang w:val="en-US"/>
              </w:rPr>
            </w:pPr>
            <w:r w:rsidRPr="002A0B1B">
              <w:rPr>
                <w:sz w:val="17"/>
                <w:szCs w:val="17"/>
                <w:lang w:val="en-US"/>
              </w:rPr>
              <w:t>DFAT-led</w:t>
            </w: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p>
          <w:p w:rsidR="00E24A0C" w:rsidRDefault="00E24A0C">
            <w:pPr>
              <w:pStyle w:val="Body"/>
              <w:keepLines/>
              <w:spacing w:before="40" w:after="40" w:line="200" w:lineRule="atLeast"/>
              <w:rPr>
                <w:sz w:val="17"/>
                <w:szCs w:val="17"/>
                <w:lang w:val="en-US"/>
              </w:rPr>
            </w:pPr>
            <w:r w:rsidRPr="002A0B1B">
              <w:rPr>
                <w:sz w:val="17"/>
                <w:szCs w:val="17"/>
                <w:lang w:val="en-US"/>
              </w:rPr>
              <w:t>DFAT-led</w:t>
            </w:r>
          </w:p>
          <w:p w:rsidR="00E24A0C" w:rsidRPr="002A0B1B" w:rsidRDefault="00E24A0C">
            <w:pPr>
              <w:pStyle w:val="Body"/>
              <w:keepLines/>
              <w:spacing w:before="40" w:after="40" w:line="200" w:lineRule="atLeast"/>
              <w:rPr>
                <w:sz w:val="17"/>
                <w:szCs w:val="17"/>
              </w:rPr>
            </w:pPr>
          </w:p>
        </w:tc>
      </w:tr>
    </w:tbl>
    <w:p w:rsidR="005644B8" w:rsidRDefault="005644B8">
      <w:pPr>
        <w:pStyle w:val="ListBullet"/>
        <w:widowControl w:val="0"/>
        <w:tabs>
          <w:tab w:val="clear" w:pos="284"/>
        </w:tabs>
        <w:spacing w:before="400" w:line="240" w:lineRule="auto"/>
        <w:rPr>
          <w:rFonts w:ascii="Calibri" w:eastAsia="Calibri" w:hAnsi="Calibri" w:cs="Calibri"/>
          <w:caps/>
          <w:color w:val="495965"/>
          <w:sz w:val="38"/>
          <w:szCs w:val="38"/>
          <w:u w:color="495965"/>
        </w:rPr>
      </w:pPr>
    </w:p>
    <w:p w:rsidR="005644B8" w:rsidRDefault="005644B8">
      <w:pPr>
        <w:pStyle w:val="ListBullet"/>
        <w:tabs>
          <w:tab w:val="clear" w:pos="284"/>
        </w:tabs>
      </w:pPr>
    </w:p>
    <w:p w:rsidR="005644B8" w:rsidRDefault="005644B8">
      <w:pPr>
        <w:pStyle w:val="ListBullet"/>
        <w:tabs>
          <w:tab w:val="clear" w:pos="284"/>
        </w:tabs>
      </w:pPr>
    </w:p>
    <w:p w:rsidR="005644B8" w:rsidRDefault="005644B8">
      <w:pPr>
        <w:pStyle w:val="ListBullet"/>
        <w:tabs>
          <w:tab w:val="clear" w:pos="284"/>
        </w:tabs>
        <w:sectPr w:rsidR="005644B8" w:rsidSect="008D3193">
          <w:headerReference w:type="default" r:id="rId31"/>
          <w:footerReference w:type="default" r:id="rId32"/>
          <w:pgSz w:w="16840" w:h="11900" w:orient="landscape"/>
          <w:pgMar w:top="851" w:right="1134" w:bottom="1952" w:left="1134" w:header="1107" w:footer="192" w:gutter="0"/>
          <w:cols w:space="720"/>
          <w:docGrid w:linePitch="326"/>
        </w:sectPr>
      </w:pPr>
    </w:p>
    <w:p w:rsidR="005644B8" w:rsidRDefault="005644B8">
      <w:pPr>
        <w:pStyle w:val="ListBullet"/>
        <w:tabs>
          <w:tab w:val="clear" w:pos="284"/>
        </w:tabs>
      </w:pPr>
    </w:p>
    <w:p w:rsidR="005644B8" w:rsidRDefault="00834F71">
      <w:pPr>
        <w:pStyle w:val="Subtitle"/>
      </w:pPr>
      <w:r>
        <w:t>Annex D - Aid Quality Check ratings</w:t>
      </w:r>
    </w:p>
    <w:p w:rsidR="005644B8" w:rsidRDefault="00834F71">
      <w:pPr>
        <w:pStyle w:val="ListBullet"/>
        <w:tabs>
          <w:tab w:val="clear" w:pos="284"/>
        </w:tabs>
        <w:spacing w:before="400"/>
        <w:rPr>
          <w:rFonts w:ascii="Calibri" w:eastAsia="Calibri" w:hAnsi="Calibri" w:cs="Calibri"/>
          <w:caps/>
          <w:color w:val="495965"/>
          <w:sz w:val="38"/>
          <w:szCs w:val="38"/>
          <w:u w:color="495965"/>
        </w:rPr>
      </w:pPr>
      <w:r>
        <w:rPr>
          <w:rFonts w:ascii="Calibri" w:eastAsia="Calibri" w:hAnsi="Calibri" w:cs="Calibri"/>
          <w:caps/>
          <w:color w:val="495965"/>
          <w:sz w:val="38"/>
          <w:szCs w:val="38"/>
          <w:u w:color="495965"/>
        </w:rPr>
        <w:t>AQC ratings</w:t>
      </w:r>
    </w:p>
    <w:p w:rsidR="005644B8" w:rsidRDefault="00834F71">
      <w:pPr>
        <w:pStyle w:val="Body"/>
      </w:pPr>
      <w:r>
        <w:rPr>
          <w:lang w:val="en-US"/>
        </w:rPr>
        <w:t>AQC investment performance over the previous 12 months and where available last year</w:t>
      </w:r>
      <w:r>
        <w:t>’s AQC ratings.</w:t>
      </w:r>
    </w:p>
    <w:tbl>
      <w:tblPr>
        <w:tblW w:w="8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1735"/>
        <w:gridCol w:w="1134"/>
        <w:gridCol w:w="1134"/>
        <w:gridCol w:w="819"/>
        <w:gridCol w:w="820"/>
        <w:gridCol w:w="819"/>
        <w:gridCol w:w="820"/>
        <w:gridCol w:w="819"/>
        <w:gridCol w:w="820"/>
      </w:tblGrid>
      <w:tr w:rsidR="005644B8" w:rsidTr="004F0B6E">
        <w:trPr>
          <w:trHeight w:val="962"/>
        </w:trPr>
        <w:tc>
          <w:tcPr>
            <w:tcW w:w="1735"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Default="00834F71" w:rsidP="004F0B6E">
            <w:pPr>
              <w:pStyle w:val="Body"/>
              <w:suppressAutoHyphens w:val="0"/>
              <w:spacing w:before="0" w:after="0" w:line="240" w:lineRule="auto"/>
              <w:jc w:val="center"/>
            </w:pPr>
            <w:r>
              <w:rPr>
                <w:b/>
                <w:bCs/>
                <w:sz w:val="17"/>
                <w:szCs w:val="17"/>
                <w:lang w:val="en-US"/>
              </w:rPr>
              <w:t>Investment name</w:t>
            </w:r>
          </w:p>
        </w:tc>
        <w:tc>
          <w:tcPr>
            <w:tcW w:w="1134"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Default="00834F71">
            <w:pPr>
              <w:pStyle w:val="Body"/>
              <w:suppressAutoHyphens w:val="0"/>
              <w:spacing w:before="0" w:after="0" w:line="240" w:lineRule="auto"/>
              <w:jc w:val="center"/>
            </w:pPr>
            <w:r>
              <w:rPr>
                <w:b/>
                <w:bCs/>
                <w:sz w:val="17"/>
                <w:szCs w:val="17"/>
                <w:lang w:val="en-US"/>
              </w:rPr>
              <w:t>Approved budget and duration</w:t>
            </w:r>
          </w:p>
        </w:tc>
        <w:tc>
          <w:tcPr>
            <w:tcW w:w="1134"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Default="00E34CF7">
            <w:pPr>
              <w:pStyle w:val="Body"/>
              <w:suppressAutoHyphens w:val="0"/>
              <w:spacing w:before="0" w:after="0" w:line="240" w:lineRule="auto"/>
              <w:jc w:val="center"/>
            </w:pPr>
            <w:r>
              <w:rPr>
                <w:b/>
                <w:bCs/>
                <w:sz w:val="17"/>
                <w:szCs w:val="17"/>
                <w:lang w:val="en-US"/>
              </w:rPr>
              <w:t>Y</w:t>
            </w:r>
            <w:r w:rsidR="00834F71">
              <w:rPr>
                <w:b/>
                <w:bCs/>
                <w:sz w:val="17"/>
                <w:szCs w:val="17"/>
                <w:lang w:val="en-US"/>
              </w:rPr>
              <w:t>ear</w:t>
            </w:r>
          </w:p>
        </w:tc>
        <w:tc>
          <w:tcPr>
            <w:tcW w:w="819"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Pr="004F0B6E" w:rsidRDefault="00834F71" w:rsidP="004F0B6E">
            <w:pPr>
              <w:pStyle w:val="Body"/>
              <w:suppressAutoHyphens w:val="0"/>
              <w:spacing w:before="0" w:after="0" w:line="240" w:lineRule="auto"/>
              <w:jc w:val="center"/>
              <w:rPr>
                <w:sz w:val="16"/>
                <w:szCs w:val="16"/>
              </w:rPr>
            </w:pPr>
            <w:r w:rsidRPr="004F0B6E">
              <w:rPr>
                <w:b/>
                <w:bCs/>
                <w:sz w:val="16"/>
                <w:szCs w:val="16"/>
                <w:lang w:val="en-US"/>
              </w:rPr>
              <w:t>Effectiveness</w:t>
            </w:r>
          </w:p>
        </w:tc>
        <w:tc>
          <w:tcPr>
            <w:tcW w:w="820"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Pr="004F0B6E" w:rsidRDefault="00834F71" w:rsidP="004F0B6E">
            <w:pPr>
              <w:pStyle w:val="Body"/>
              <w:suppressAutoHyphens w:val="0"/>
              <w:spacing w:before="0" w:after="0" w:line="240" w:lineRule="auto"/>
              <w:jc w:val="center"/>
              <w:rPr>
                <w:sz w:val="16"/>
                <w:szCs w:val="16"/>
              </w:rPr>
            </w:pPr>
            <w:r w:rsidRPr="004F0B6E">
              <w:rPr>
                <w:b/>
                <w:bCs/>
                <w:sz w:val="16"/>
                <w:szCs w:val="16"/>
                <w:lang w:val="en-US"/>
              </w:rPr>
              <w:t>Efficiency</w:t>
            </w:r>
          </w:p>
        </w:tc>
        <w:tc>
          <w:tcPr>
            <w:tcW w:w="819"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Pr="004F0B6E" w:rsidRDefault="00834F71" w:rsidP="004F0B6E">
            <w:pPr>
              <w:pStyle w:val="Body"/>
              <w:suppressAutoHyphens w:val="0"/>
              <w:spacing w:before="0" w:after="0" w:line="240" w:lineRule="auto"/>
              <w:jc w:val="center"/>
              <w:rPr>
                <w:sz w:val="16"/>
                <w:szCs w:val="16"/>
              </w:rPr>
            </w:pPr>
            <w:r w:rsidRPr="004F0B6E">
              <w:rPr>
                <w:b/>
                <w:bCs/>
                <w:sz w:val="16"/>
                <w:szCs w:val="16"/>
                <w:lang w:val="en-US"/>
              </w:rPr>
              <w:t>Relevance</w:t>
            </w:r>
          </w:p>
        </w:tc>
        <w:tc>
          <w:tcPr>
            <w:tcW w:w="820"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Pr="004F0B6E" w:rsidRDefault="00834F71" w:rsidP="004F0B6E">
            <w:pPr>
              <w:pStyle w:val="Body"/>
              <w:suppressAutoHyphens w:val="0"/>
              <w:spacing w:before="0" w:after="0" w:line="240" w:lineRule="auto"/>
              <w:jc w:val="center"/>
              <w:rPr>
                <w:sz w:val="16"/>
                <w:szCs w:val="16"/>
              </w:rPr>
            </w:pPr>
            <w:r w:rsidRPr="004F0B6E">
              <w:rPr>
                <w:b/>
                <w:bCs/>
                <w:sz w:val="16"/>
                <w:szCs w:val="16"/>
                <w:lang w:val="en-US"/>
              </w:rPr>
              <w:t>Gender</w:t>
            </w:r>
          </w:p>
        </w:tc>
        <w:tc>
          <w:tcPr>
            <w:tcW w:w="819"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Pr="004F0B6E" w:rsidRDefault="00834F71" w:rsidP="004F0B6E">
            <w:pPr>
              <w:pStyle w:val="Body"/>
              <w:suppressAutoHyphens w:val="0"/>
              <w:spacing w:before="0" w:after="0" w:line="240" w:lineRule="auto"/>
              <w:jc w:val="center"/>
              <w:rPr>
                <w:sz w:val="16"/>
                <w:szCs w:val="16"/>
              </w:rPr>
            </w:pPr>
            <w:r w:rsidRPr="004F0B6E">
              <w:rPr>
                <w:b/>
                <w:bCs/>
                <w:sz w:val="16"/>
                <w:szCs w:val="16"/>
                <w:lang w:val="en-US"/>
              </w:rPr>
              <w:t>Monitoring and Evaluation</w:t>
            </w:r>
          </w:p>
        </w:tc>
        <w:tc>
          <w:tcPr>
            <w:tcW w:w="820"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5644B8" w:rsidRPr="004F0B6E" w:rsidRDefault="00834F71" w:rsidP="004F0B6E">
            <w:pPr>
              <w:pStyle w:val="Body"/>
              <w:suppressAutoHyphens w:val="0"/>
              <w:spacing w:before="0" w:after="0" w:line="240" w:lineRule="auto"/>
              <w:jc w:val="center"/>
              <w:rPr>
                <w:sz w:val="16"/>
                <w:szCs w:val="16"/>
              </w:rPr>
            </w:pPr>
            <w:r w:rsidRPr="004F0B6E">
              <w:rPr>
                <w:b/>
                <w:bCs/>
                <w:sz w:val="16"/>
                <w:szCs w:val="16"/>
                <w:lang w:val="en-US"/>
              </w:rPr>
              <w:t>Sustainability</w:t>
            </w:r>
          </w:p>
        </w:tc>
      </w:tr>
      <w:tr w:rsidR="004F0B6E" w:rsidTr="004F0B6E">
        <w:trPr>
          <w:trHeight w:val="460"/>
        </w:trPr>
        <w:tc>
          <w:tcPr>
            <w:tcW w:w="173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Economic and Public Sector Reform III</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color w:val="000000"/>
                <w:sz w:val="17"/>
                <w:szCs w:val="17"/>
                <w:u w:color="000000"/>
                <w:lang w:val="en-US"/>
              </w:rPr>
              <w:t xml:space="preserve">$16m </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2018 AQC</w:t>
            </w:r>
          </w:p>
        </w:tc>
        <w:tc>
          <w:tcPr>
            <w:tcW w:w="819" w:type="dxa"/>
            <w:tcBorders>
              <w:top w:val="single" w:sz="8" w:space="0" w:color="000000"/>
              <w:left w:val="nil"/>
              <w:bottom w:val="single" w:sz="8"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8"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8" w:space="0" w:color="000000"/>
              <w:left w:val="nil"/>
              <w:bottom w:val="single" w:sz="8"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8" w:space="0" w:color="000000"/>
              <w:left w:val="nil"/>
              <w:bottom w:val="single" w:sz="8"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c>
          <w:tcPr>
            <w:tcW w:w="819" w:type="dxa"/>
            <w:tcBorders>
              <w:top w:val="single" w:sz="8" w:space="0" w:color="000000"/>
              <w:left w:val="nil"/>
              <w:bottom w:val="single" w:sz="4"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c>
          <w:tcPr>
            <w:tcW w:w="820" w:type="dxa"/>
            <w:tcBorders>
              <w:top w:val="single" w:sz="8" w:space="0" w:color="000000"/>
              <w:left w:val="nil"/>
              <w:bottom w:val="single" w:sz="8"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r>
      <w:tr w:rsidR="00400CEA" w:rsidTr="00E34CF7">
        <w:trPr>
          <w:trHeight w:val="460"/>
        </w:trPr>
        <w:tc>
          <w:tcPr>
            <w:tcW w:w="1735"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 </w:t>
            </w:r>
          </w:p>
        </w:tc>
        <w:tc>
          <w:tcPr>
            <w:tcW w:w="113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sz w:val="17"/>
                <w:szCs w:val="17"/>
                <w:lang w:val="en-US"/>
              </w:rPr>
              <w:t xml:space="preserve">2016-20 </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2017 AQC</w:t>
            </w:r>
          </w:p>
        </w:tc>
        <w:tc>
          <w:tcPr>
            <w:tcW w:w="819" w:type="dxa"/>
            <w:tcBorders>
              <w:top w:val="single" w:sz="8"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8"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8" w:space="0" w:color="000000"/>
              <w:left w:val="nil"/>
              <w:bottom w:val="single" w:sz="4"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8"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r>
      <w:tr w:rsidR="005644B8" w:rsidTr="004F0B6E">
        <w:trPr>
          <w:trHeight w:val="460"/>
        </w:trPr>
        <w:tc>
          <w:tcPr>
            <w:tcW w:w="173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Tonga Health Systems Support Program II</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color w:val="000000"/>
                <w:sz w:val="17"/>
                <w:szCs w:val="17"/>
                <w:u w:color="000000"/>
                <w:lang w:val="en-US"/>
              </w:rPr>
              <w:t xml:space="preserve">$16.4m </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2018 AQC</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c>
          <w:tcPr>
            <w:tcW w:w="819" w:type="dxa"/>
            <w:tcBorders>
              <w:top w:val="single" w:sz="4" w:space="0" w:color="000000"/>
              <w:left w:val="nil"/>
              <w:bottom w:val="single" w:sz="4"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r>
      <w:tr w:rsidR="005644B8" w:rsidTr="004F0B6E">
        <w:trPr>
          <w:trHeight w:val="455"/>
        </w:trPr>
        <w:tc>
          <w:tcPr>
            <w:tcW w:w="173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 </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sz w:val="17"/>
                <w:szCs w:val="17"/>
                <w:lang w:val="en-US"/>
              </w:rPr>
              <w:t xml:space="preserve">2015-20 </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2016 AQC</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6</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r>
      <w:tr w:rsidR="005644B8" w:rsidTr="004F0B6E">
        <w:trPr>
          <w:trHeight w:val="455"/>
        </w:trPr>
        <w:tc>
          <w:tcPr>
            <w:tcW w:w="173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Nuku'alofa Urban Development Project</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color w:val="000000"/>
                <w:sz w:val="17"/>
                <w:szCs w:val="17"/>
                <w:u w:color="000000"/>
                <w:lang w:val="en-US"/>
              </w:rPr>
              <w:t xml:space="preserve">$8.7m </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2018 AQC</w:t>
            </w:r>
          </w:p>
        </w:tc>
        <w:tc>
          <w:tcPr>
            <w:tcW w:w="819" w:type="dxa"/>
            <w:tcBorders>
              <w:top w:val="single" w:sz="4" w:space="0" w:color="000000"/>
              <w:left w:val="nil"/>
              <w:bottom w:val="single" w:sz="8"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8"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r>
      <w:tr w:rsidR="005644B8" w:rsidTr="004F0B6E">
        <w:trPr>
          <w:trHeight w:val="460"/>
        </w:trPr>
        <w:tc>
          <w:tcPr>
            <w:tcW w:w="1735"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 </w:t>
            </w:r>
          </w:p>
        </w:tc>
        <w:tc>
          <w:tcPr>
            <w:tcW w:w="113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sz w:val="17"/>
                <w:szCs w:val="17"/>
                <w:lang w:val="en-US"/>
              </w:rPr>
              <w:t xml:space="preserve">2011-19 </w:t>
            </w:r>
          </w:p>
        </w:tc>
        <w:tc>
          <w:tcPr>
            <w:tcW w:w="113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2017 AQC</w:t>
            </w:r>
          </w:p>
        </w:tc>
        <w:tc>
          <w:tcPr>
            <w:tcW w:w="819" w:type="dxa"/>
            <w:tcBorders>
              <w:top w:val="single" w:sz="8"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8"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r>
      <w:tr w:rsidR="005644B8" w:rsidTr="004F0B6E">
        <w:trPr>
          <w:trHeight w:val="460"/>
        </w:trPr>
        <w:tc>
          <w:tcPr>
            <w:tcW w:w="173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Tonga – Scholarships</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color w:val="000000"/>
                <w:sz w:val="17"/>
                <w:szCs w:val="17"/>
                <w:u w:color="000000"/>
                <w:lang w:val="en-US"/>
              </w:rPr>
              <w:t xml:space="preserve">$2.2m </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2018 AQC</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8"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r>
      <w:tr w:rsidR="005644B8" w:rsidTr="004F0B6E">
        <w:trPr>
          <w:trHeight w:val="460"/>
        </w:trPr>
        <w:tc>
          <w:tcPr>
            <w:tcW w:w="1735"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 </w:t>
            </w:r>
          </w:p>
        </w:tc>
        <w:tc>
          <w:tcPr>
            <w:tcW w:w="113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sz w:val="17"/>
                <w:szCs w:val="17"/>
                <w:lang w:val="en-US"/>
              </w:rPr>
              <w:t xml:space="preserve">2016-17 </w:t>
            </w:r>
          </w:p>
        </w:tc>
        <w:tc>
          <w:tcPr>
            <w:tcW w:w="113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2017 AQC</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8"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r>
      <w:tr w:rsidR="005644B8" w:rsidTr="004F0B6E">
        <w:trPr>
          <w:trHeight w:val="460"/>
        </w:trPr>
        <w:tc>
          <w:tcPr>
            <w:tcW w:w="173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Outer Island Renewable Energy Project</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color w:val="000000"/>
                <w:sz w:val="17"/>
                <w:szCs w:val="17"/>
                <w:u w:color="000000"/>
                <w:lang w:val="en-US"/>
              </w:rPr>
              <w:t xml:space="preserve">$6.9m </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2018 AQC</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r>
      <w:tr w:rsidR="005644B8" w:rsidTr="004F0B6E">
        <w:trPr>
          <w:trHeight w:val="460"/>
        </w:trPr>
        <w:tc>
          <w:tcPr>
            <w:tcW w:w="1735"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 </w:t>
            </w:r>
          </w:p>
        </w:tc>
        <w:tc>
          <w:tcPr>
            <w:tcW w:w="113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sz w:val="17"/>
                <w:szCs w:val="17"/>
                <w:lang w:val="en-US"/>
              </w:rPr>
              <w:t xml:space="preserve">2012-20 </w:t>
            </w:r>
          </w:p>
        </w:tc>
        <w:tc>
          <w:tcPr>
            <w:tcW w:w="113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2017 AQC</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r>
      <w:tr w:rsidR="005644B8" w:rsidTr="004F0B6E">
        <w:trPr>
          <w:trHeight w:val="460"/>
        </w:trPr>
        <w:tc>
          <w:tcPr>
            <w:tcW w:w="173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Tonga Skills</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color w:val="000000"/>
                <w:sz w:val="17"/>
                <w:szCs w:val="17"/>
                <w:u w:color="000000"/>
                <w:lang w:val="en-US"/>
              </w:rPr>
              <w:t>$7.5m</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2018 AQC</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19" w:type="dxa"/>
            <w:tcBorders>
              <w:top w:val="single" w:sz="4" w:space="0" w:color="000000"/>
              <w:left w:val="nil"/>
              <w:bottom w:val="single" w:sz="4" w:space="0" w:color="000000"/>
              <w:right w:val="nil"/>
            </w:tcBorders>
            <w:shd w:val="clear" w:color="auto" w:fill="FFC0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3</w:t>
            </w:r>
          </w:p>
        </w:tc>
        <w:tc>
          <w:tcPr>
            <w:tcW w:w="820"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r>
      <w:tr w:rsidR="005644B8" w:rsidTr="004F0B6E">
        <w:trPr>
          <w:trHeight w:val="465"/>
        </w:trPr>
        <w:tc>
          <w:tcPr>
            <w:tcW w:w="1735"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pPr>
            <w:r>
              <w:rPr>
                <w:sz w:val="17"/>
                <w:szCs w:val="17"/>
                <w:lang w:val="en-US"/>
              </w:rPr>
              <w:t> </w:t>
            </w:r>
          </w:p>
        </w:tc>
        <w:tc>
          <w:tcPr>
            <w:tcW w:w="1134"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sz w:val="17"/>
                <w:szCs w:val="17"/>
                <w:lang w:val="en-US"/>
              </w:rPr>
              <w:t>2016 -</w:t>
            </w:r>
            <w:r w:rsidR="00452FDA" w:rsidRPr="00452FDA">
              <w:rPr>
                <w:sz w:val="17"/>
                <w:szCs w:val="17"/>
                <w:lang w:val="en-US"/>
              </w:rPr>
              <w:t>2019</w:t>
            </w:r>
          </w:p>
        </w:tc>
        <w:tc>
          <w:tcPr>
            <w:tcW w:w="1134"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rsidR="005644B8" w:rsidRDefault="00834F71">
            <w:pPr>
              <w:pStyle w:val="Body"/>
              <w:suppressAutoHyphens w:val="0"/>
              <w:spacing w:before="0" w:after="0" w:line="240" w:lineRule="auto"/>
              <w:jc w:val="center"/>
            </w:pPr>
            <w:r>
              <w:rPr>
                <w:sz w:val="17"/>
                <w:szCs w:val="17"/>
                <w:lang w:val="en-US"/>
              </w:rPr>
              <w:t>2017 AQC</w:t>
            </w:r>
          </w:p>
        </w:tc>
        <w:tc>
          <w:tcPr>
            <w:tcW w:w="819" w:type="dxa"/>
            <w:tcBorders>
              <w:top w:val="single" w:sz="4" w:space="0" w:color="000000"/>
              <w:left w:val="nil"/>
              <w:bottom w:val="single" w:sz="4" w:space="0" w:color="000000"/>
              <w:right w:val="nil"/>
            </w:tcBorders>
            <w:shd w:val="clear" w:color="auto" w:fill="FFFF0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4</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19"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c>
          <w:tcPr>
            <w:tcW w:w="820" w:type="dxa"/>
            <w:tcBorders>
              <w:top w:val="single" w:sz="4" w:space="0" w:color="000000"/>
              <w:left w:val="nil"/>
              <w:bottom w:val="single" w:sz="4" w:space="0" w:color="000000"/>
              <w:right w:val="nil"/>
            </w:tcBorders>
            <w:shd w:val="clear" w:color="auto" w:fill="92D050"/>
            <w:tcMar>
              <w:top w:w="80" w:type="dxa"/>
              <w:left w:w="80" w:type="dxa"/>
              <w:bottom w:w="80" w:type="dxa"/>
              <w:right w:w="80" w:type="dxa"/>
            </w:tcMar>
            <w:vAlign w:val="center"/>
          </w:tcPr>
          <w:p w:rsidR="005644B8" w:rsidRDefault="00834F71">
            <w:pPr>
              <w:pStyle w:val="Body"/>
              <w:suppressAutoHyphens w:val="0"/>
              <w:spacing w:before="0" w:after="0" w:line="240" w:lineRule="auto"/>
              <w:jc w:val="right"/>
            </w:pPr>
            <w:r>
              <w:rPr>
                <w:rFonts w:ascii="Franklin Gothic Book" w:eastAsia="Franklin Gothic Book" w:hAnsi="Franklin Gothic Book" w:cs="Franklin Gothic Book"/>
                <w:sz w:val="16"/>
                <w:szCs w:val="16"/>
                <w:lang w:val="en-US"/>
              </w:rPr>
              <w:t>5</w:t>
            </w:r>
          </w:p>
        </w:tc>
      </w:tr>
    </w:tbl>
    <w:p w:rsidR="005644B8" w:rsidRDefault="005644B8">
      <w:pPr>
        <w:pStyle w:val="Body"/>
        <w:widowControl w:val="0"/>
        <w:spacing w:line="240" w:lineRule="auto"/>
      </w:pPr>
    </w:p>
    <w:p w:rsidR="005644B8" w:rsidRDefault="005644B8" w:rsidP="008D3193">
      <w:pPr>
        <w:pStyle w:val="ListBullet"/>
        <w:tabs>
          <w:tab w:val="clear" w:pos="284"/>
        </w:tabs>
        <w:suppressAutoHyphens/>
        <w:spacing w:before="120" w:after="60" w:line="230" w:lineRule="atLeast"/>
      </w:pPr>
    </w:p>
    <w:sectPr w:rsidR="005644B8">
      <w:headerReference w:type="default" r:id="rId33"/>
      <w:footerReference w:type="default" r:id="rId34"/>
      <w:pgSz w:w="11900" w:h="16840"/>
      <w:pgMar w:top="1527" w:right="1134" w:bottom="851" w:left="1134" w:header="1107" w:footer="1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83A" w:rsidRDefault="0083083A">
      <w:r>
        <w:separator/>
      </w:r>
    </w:p>
  </w:endnote>
  <w:endnote w:type="continuationSeparator" w:id="0">
    <w:p w:rsidR="0083083A" w:rsidRDefault="0083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5AB" w:rsidRDefault="003A7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Footer"/>
    </w:pPr>
  </w:p>
  <w:p w:rsidR="00ED57B5" w:rsidRDefault="00ED57B5">
    <w:pPr>
      <w:pStyle w:val="Footer"/>
    </w:pPr>
  </w:p>
  <w:p w:rsidR="00ED57B5" w:rsidRDefault="00ED57B5">
    <w:pPr>
      <w:pStyle w:val="Footer"/>
    </w:pPr>
    <w:r>
      <w:rPr>
        <w:noProof/>
        <w:lang w:val="en-AU"/>
      </w:rPr>
      <w:drawing>
        <wp:inline distT="0" distB="0" distL="0" distR="0" wp14:anchorId="389388BF" wp14:editId="0EF1E8CC">
          <wp:extent cx="90000" cy="74520"/>
          <wp:effectExtent l="0" t="0" r="0" b="0"/>
          <wp:docPr id="1073741826" name="officeArt object" descr="Twitter-icon.png"/>
          <wp:cNvGraphicFramePr/>
          <a:graphic xmlns:a="http://schemas.openxmlformats.org/drawingml/2006/main">
            <a:graphicData uri="http://schemas.openxmlformats.org/drawingml/2006/picture">
              <pic:pic xmlns:pic="http://schemas.openxmlformats.org/drawingml/2006/picture">
                <pic:nvPicPr>
                  <pic:cNvPr id="1073741826" name="Twitter-icon.png" descr="Twitter-icon.png"/>
                  <pic:cNvPicPr>
                    <a:picLocks noChangeAspect="1"/>
                  </pic:cNvPicPr>
                </pic:nvPicPr>
                <pic:blipFill>
                  <a:blip r:embed="rId1">
                    <a:extLst/>
                  </a:blip>
                  <a:stretch>
                    <a:fillRect/>
                  </a:stretch>
                </pic:blipFill>
                <pic:spPr>
                  <a:xfrm>
                    <a:off x="0" y="0"/>
                    <a:ext cx="90000" cy="74520"/>
                  </a:xfrm>
                  <a:prstGeom prst="rect">
                    <a:avLst/>
                  </a:prstGeom>
                  <a:ln w="12700" cap="flat">
                    <a:noFill/>
                    <a:miter lim="400000"/>
                  </a:ln>
                  <a:effectLst/>
                </pic:spPr>
              </pic:pic>
            </a:graphicData>
          </a:graphic>
        </wp:inline>
      </w:drawing>
    </w:r>
    <w:r>
      <w:t>@DFAT</w:t>
    </w:r>
  </w:p>
  <w:p w:rsidR="00ED57B5" w:rsidRDefault="00ED57B5">
    <w:pPr>
      <w:pStyle w:val="Footer"/>
    </w:pPr>
    <w:r>
      <w:rPr>
        <w:color w:val="ACD08C"/>
        <w:u w:color="ACD08C"/>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Footer"/>
    </w:pPr>
    <w:r>
      <w:fldChar w:fldCharType="begin"/>
    </w:r>
    <w:r>
      <w:instrText xml:space="preserve"> PAGE </w:instrText>
    </w:r>
    <w:r>
      <w:fldChar w:fldCharType="separate"/>
    </w:r>
    <w:r w:rsidR="003A75AB">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Footer"/>
    </w:pPr>
    <w:r>
      <w:fldChar w:fldCharType="begin"/>
    </w:r>
    <w:r>
      <w:instrText xml:space="preserve"> PAGE </w:instrText>
    </w:r>
    <w:r>
      <w:fldChar w:fldCharType="separate"/>
    </w:r>
    <w:r w:rsidR="003A75AB">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Footer"/>
    </w:pPr>
    <w:r>
      <w:fldChar w:fldCharType="begin"/>
    </w:r>
    <w:r>
      <w:instrText xml:space="preserve"> PAGE </w:instrText>
    </w:r>
    <w:r>
      <w:fldChar w:fldCharType="separate"/>
    </w:r>
    <w:r w:rsidR="003A75AB">
      <w:rPr>
        <w:noProof/>
      </w:rP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Footer"/>
    </w:pPr>
    <w:r>
      <w:fldChar w:fldCharType="begin"/>
    </w:r>
    <w:r>
      <w:instrText xml:space="preserve"> PAGE </w:instrText>
    </w:r>
    <w:r>
      <w:fldChar w:fldCharType="separate"/>
    </w:r>
    <w:r w:rsidR="003A75AB">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83A" w:rsidRDefault="0083083A">
      <w:r>
        <w:separator/>
      </w:r>
    </w:p>
  </w:footnote>
  <w:footnote w:type="continuationSeparator" w:id="0">
    <w:p w:rsidR="0083083A" w:rsidRDefault="0083083A">
      <w:r>
        <w:continuationSeparator/>
      </w:r>
    </w:p>
  </w:footnote>
  <w:footnote w:id="1">
    <w:p w:rsidR="00ED57B5" w:rsidRPr="00D03BE6" w:rsidRDefault="00ED57B5">
      <w:pPr>
        <w:pStyle w:val="FootnoteText"/>
        <w:rPr>
          <w:sz w:val="18"/>
          <w:szCs w:val="18"/>
          <w:lang w:val="en-AU"/>
        </w:rPr>
      </w:pPr>
      <w:r w:rsidRPr="00D03BE6">
        <w:rPr>
          <w:rStyle w:val="FootnoteReference"/>
          <w:sz w:val="18"/>
          <w:szCs w:val="18"/>
        </w:rPr>
        <w:footnoteRef/>
      </w:r>
      <w:r w:rsidR="00D03BE6" w:rsidRPr="00D03BE6">
        <w:rPr>
          <w:sz w:val="18"/>
          <w:szCs w:val="18"/>
          <w:lang w:val="en-AU"/>
        </w:rPr>
        <w:t xml:space="preserve"> </w:t>
      </w:r>
      <w:r w:rsidRPr="00D03BE6">
        <w:rPr>
          <w:sz w:val="18"/>
          <w:szCs w:val="18"/>
          <w:lang w:val="en-AU"/>
        </w:rPr>
        <w:t>Tonga Statistics Office</w:t>
      </w:r>
      <w:r w:rsidR="00D03BE6">
        <w:rPr>
          <w:sz w:val="18"/>
          <w:szCs w:val="18"/>
          <w:lang w:val="en-AU"/>
        </w:rPr>
        <w:t>.</w:t>
      </w:r>
    </w:p>
  </w:footnote>
  <w:footnote w:id="2">
    <w:p w:rsidR="00ED57B5" w:rsidRPr="00D03BE6" w:rsidRDefault="00ED57B5">
      <w:pPr>
        <w:pStyle w:val="FootnoteText"/>
        <w:rPr>
          <w:sz w:val="18"/>
          <w:szCs w:val="18"/>
          <w:lang w:val="en-AU"/>
        </w:rPr>
      </w:pPr>
      <w:r w:rsidRPr="00D03BE6">
        <w:rPr>
          <w:rStyle w:val="FootnoteReference"/>
          <w:sz w:val="18"/>
          <w:szCs w:val="18"/>
        </w:rPr>
        <w:footnoteRef/>
      </w:r>
      <w:r w:rsidRPr="00D03BE6">
        <w:rPr>
          <w:sz w:val="18"/>
          <w:szCs w:val="18"/>
        </w:rPr>
        <w:t xml:space="preserve"> </w:t>
      </w:r>
      <w:r w:rsidRPr="00D03BE6">
        <w:rPr>
          <w:sz w:val="18"/>
          <w:szCs w:val="18"/>
          <w:lang w:val="en-AU"/>
        </w:rPr>
        <w:t>Tonga budget statement 2018-19</w:t>
      </w:r>
      <w:r w:rsidR="00D03BE6">
        <w:rPr>
          <w:sz w:val="18"/>
          <w:szCs w:val="18"/>
          <w:lang w:val="en-AU"/>
        </w:rPr>
        <w:t>.</w:t>
      </w:r>
    </w:p>
  </w:footnote>
  <w:footnote w:id="3">
    <w:p w:rsidR="00ED57B5" w:rsidRPr="00D03BE6" w:rsidRDefault="00ED57B5">
      <w:pPr>
        <w:pStyle w:val="FootnoteText"/>
        <w:rPr>
          <w:sz w:val="18"/>
          <w:szCs w:val="18"/>
          <w:lang w:val="en-AU"/>
        </w:rPr>
      </w:pPr>
      <w:r w:rsidRPr="00D03BE6">
        <w:rPr>
          <w:rStyle w:val="FootnoteReference"/>
          <w:sz w:val="18"/>
          <w:szCs w:val="18"/>
        </w:rPr>
        <w:footnoteRef/>
      </w:r>
      <w:r w:rsidRPr="00D03BE6">
        <w:rPr>
          <w:sz w:val="18"/>
          <w:szCs w:val="18"/>
        </w:rPr>
        <w:t xml:space="preserve"> </w:t>
      </w:r>
      <w:r w:rsidRPr="00D03BE6">
        <w:rPr>
          <w:sz w:val="18"/>
          <w:szCs w:val="18"/>
          <w:lang w:val="en-AU"/>
        </w:rPr>
        <w:t>Cyclone Gita Disaster Recovery Framework, Ministry of Finance and National Planning</w:t>
      </w:r>
      <w:r w:rsidR="00D03BE6">
        <w:rPr>
          <w:sz w:val="18"/>
          <w:szCs w:val="18"/>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5AB" w:rsidRDefault="003A7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Header"/>
      <w:jc w:val="left"/>
    </w:pPr>
    <w:r>
      <w:rPr>
        <w:noProof/>
        <w:lang w:val="en-AU"/>
      </w:rPr>
      <w:drawing>
        <wp:anchor distT="152400" distB="152400" distL="152400" distR="152400" simplePos="0" relativeHeight="251655680" behindDoc="1" locked="0" layoutInCell="1" allowOverlap="1" wp14:anchorId="0DAA16A4" wp14:editId="51335011">
          <wp:simplePos x="0" y="0"/>
          <wp:positionH relativeFrom="page">
            <wp:posOffset>1378584</wp:posOffset>
          </wp:positionH>
          <wp:positionV relativeFrom="page">
            <wp:posOffset>272414</wp:posOffset>
          </wp:positionV>
          <wp:extent cx="10248900" cy="10235566"/>
          <wp:effectExtent l="0" t="0" r="0" b="0"/>
          <wp:wrapNone/>
          <wp:docPr id="1073741825" name="officeArt object" descr="Report-Page-1-Gradient.png"/>
          <wp:cNvGraphicFramePr/>
          <a:graphic xmlns:a="http://schemas.openxmlformats.org/drawingml/2006/main">
            <a:graphicData uri="http://schemas.openxmlformats.org/drawingml/2006/picture">
              <pic:pic xmlns:pic="http://schemas.openxmlformats.org/drawingml/2006/picture">
                <pic:nvPicPr>
                  <pic:cNvPr id="1073741825" name="Report-Page-1-Gradient.png" descr="Report-Page-1-Gradient.png"/>
                  <pic:cNvPicPr>
                    <a:picLocks noChangeAspect="1"/>
                  </pic:cNvPicPr>
                </pic:nvPicPr>
                <pic:blipFill>
                  <a:blip r:embed="rId1">
                    <a:extLst/>
                  </a:blip>
                  <a:stretch>
                    <a:fillRect/>
                  </a:stretch>
                </pic:blipFill>
                <pic:spPr>
                  <a:xfrm>
                    <a:off x="0" y="0"/>
                    <a:ext cx="10248900" cy="10235566"/>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Header"/>
      <w:jc w:val="left"/>
    </w:pPr>
    <w:r>
      <w:rPr>
        <w:noProof/>
        <w:lang w:val="en-AU"/>
      </w:rPr>
      <w:drawing>
        <wp:anchor distT="152400" distB="152400" distL="152400" distR="152400" simplePos="0" relativeHeight="251656704" behindDoc="1" locked="0" layoutInCell="1" allowOverlap="1" wp14:anchorId="717C92AD" wp14:editId="5313FC5E">
          <wp:simplePos x="0" y="0"/>
          <wp:positionH relativeFrom="page">
            <wp:posOffset>-23495</wp:posOffset>
          </wp:positionH>
          <wp:positionV relativeFrom="page">
            <wp:posOffset>15875</wp:posOffset>
          </wp:positionV>
          <wp:extent cx="7734935" cy="10829291"/>
          <wp:effectExtent l="0" t="0" r="0" b="0"/>
          <wp:wrapNone/>
          <wp:docPr id="1073741827" name="officeArt object" descr="Report-Page-1-Gradient.png"/>
          <wp:cNvGraphicFramePr/>
          <a:graphic xmlns:a="http://schemas.openxmlformats.org/drawingml/2006/main">
            <a:graphicData uri="http://schemas.openxmlformats.org/drawingml/2006/picture">
              <pic:pic xmlns:pic="http://schemas.openxmlformats.org/drawingml/2006/picture">
                <pic:nvPicPr>
                  <pic:cNvPr id="1073741827" name="Report-Page-1-Gradient.png" descr="Report-Page-1-Gradient.png"/>
                  <pic:cNvPicPr>
                    <a:picLocks noChangeAspect="1"/>
                  </pic:cNvPicPr>
                </pic:nvPicPr>
                <pic:blipFill>
                  <a:blip r:embed="rId1">
                    <a:extLst/>
                  </a:blip>
                  <a:stretch>
                    <a:fillRect/>
                  </a:stretch>
                </pic:blipFill>
                <pic:spPr>
                  <a:xfrm>
                    <a:off x="0" y="0"/>
                    <a:ext cx="7734935" cy="10829291"/>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Header"/>
      <w:jc w:val="left"/>
    </w:pPr>
    <w:r>
      <w:rPr>
        <w:noProof/>
        <w:lang w:val="en-AU"/>
      </w:rPr>
      <w:drawing>
        <wp:anchor distT="152400" distB="152400" distL="152400" distR="152400" simplePos="0" relativeHeight="251657728" behindDoc="1" locked="0" layoutInCell="1" allowOverlap="1" wp14:anchorId="40C5965D" wp14:editId="77263D0E">
          <wp:simplePos x="0" y="0"/>
          <wp:positionH relativeFrom="page">
            <wp:posOffset>77470</wp:posOffset>
          </wp:positionH>
          <wp:positionV relativeFrom="page">
            <wp:posOffset>121920</wp:posOffset>
          </wp:positionV>
          <wp:extent cx="7409816" cy="10589895"/>
          <wp:effectExtent l="0" t="0" r="1270" b="2540"/>
          <wp:wrapNone/>
          <wp:docPr id="1073741830" name="officeArt object" descr="Report-Page-1-Gradient.png"/>
          <wp:cNvGraphicFramePr/>
          <a:graphic xmlns:a="http://schemas.openxmlformats.org/drawingml/2006/main">
            <a:graphicData uri="http://schemas.openxmlformats.org/drawingml/2006/picture">
              <pic:pic xmlns:pic="http://schemas.openxmlformats.org/drawingml/2006/picture">
                <pic:nvPicPr>
                  <pic:cNvPr id="1073741830" name="Report-Page-1-Gradient.png" descr="Report-Page-1-Gradient.png"/>
                  <pic:cNvPicPr>
                    <a:picLocks noChangeAspect="1"/>
                  </pic:cNvPicPr>
                </pic:nvPicPr>
                <pic:blipFill>
                  <a:blip r:embed="rId1">
                    <a:extLst/>
                  </a:blip>
                  <a:stretch>
                    <a:fillRect/>
                  </a:stretch>
                </pic:blipFill>
                <pic:spPr>
                  <a:xfrm>
                    <a:off x="0" y="0"/>
                    <a:ext cx="7409816" cy="10589895"/>
                  </a:xfrm>
                  <a:prstGeom prst="rect">
                    <a:avLst/>
                  </a:prstGeom>
                  <a:ln w="12700" cap="flat">
                    <a:noFill/>
                    <a:miter lim="400000"/>
                  </a:ln>
                  <a:effectLst/>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B5" w:rsidRDefault="00ED57B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218"/>
    <w:multiLevelType w:val="hybridMultilevel"/>
    <w:tmpl w:val="677A4A58"/>
    <w:lvl w:ilvl="0" w:tplc="4D229EF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2F64E7"/>
    <w:multiLevelType w:val="hybridMultilevel"/>
    <w:tmpl w:val="9DA8A53C"/>
    <w:numStyleLink w:val="ImportedStyle5"/>
  </w:abstractNum>
  <w:abstractNum w:abstractNumId="2" w15:restartNumberingAfterBreak="0">
    <w:nsid w:val="51DA64FB"/>
    <w:multiLevelType w:val="hybridMultilevel"/>
    <w:tmpl w:val="9DA8A53C"/>
    <w:styleLink w:val="ImportedStyle5"/>
    <w:lvl w:ilvl="0" w:tplc="597657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BCFD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9C5A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203F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6CA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681B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4CD2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4A25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4CFB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7330953"/>
    <w:multiLevelType w:val="hybridMultilevel"/>
    <w:tmpl w:val="E2EC0492"/>
    <w:styleLink w:val="ImportedStyle2"/>
    <w:lvl w:ilvl="0" w:tplc="979CC4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966A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4034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66B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6CD1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882E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B649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ACBA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0851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3C0120C"/>
    <w:multiLevelType w:val="hybridMultilevel"/>
    <w:tmpl w:val="3ABCC23A"/>
    <w:numStyleLink w:val="ImportedStyle1"/>
  </w:abstractNum>
  <w:abstractNum w:abstractNumId="5" w15:restartNumberingAfterBreak="0">
    <w:nsid w:val="74D25F93"/>
    <w:multiLevelType w:val="hybridMultilevel"/>
    <w:tmpl w:val="E2EC0492"/>
    <w:numStyleLink w:val="ImportedStyle2"/>
  </w:abstractNum>
  <w:abstractNum w:abstractNumId="6" w15:restartNumberingAfterBreak="0">
    <w:nsid w:val="7C645C3F"/>
    <w:multiLevelType w:val="hybridMultilevel"/>
    <w:tmpl w:val="3ABCC23A"/>
    <w:styleLink w:val="ImportedStyle1"/>
    <w:lvl w:ilvl="0" w:tplc="CAA49E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56219C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16EF61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CBCAA2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DEAB4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22DE5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B34E0C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772034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AF4ECA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B8"/>
    <w:rsid w:val="000046B1"/>
    <w:rsid w:val="00015E1D"/>
    <w:rsid w:val="000202AD"/>
    <w:rsid w:val="000304F9"/>
    <w:rsid w:val="00032AA3"/>
    <w:rsid w:val="000438CE"/>
    <w:rsid w:val="00053619"/>
    <w:rsid w:val="000536DD"/>
    <w:rsid w:val="0006127B"/>
    <w:rsid w:val="00065F3E"/>
    <w:rsid w:val="000735C5"/>
    <w:rsid w:val="00077372"/>
    <w:rsid w:val="000820BA"/>
    <w:rsid w:val="00094BDE"/>
    <w:rsid w:val="000D176E"/>
    <w:rsid w:val="000E16B4"/>
    <w:rsid w:val="000E53F4"/>
    <w:rsid w:val="0010617E"/>
    <w:rsid w:val="00133E18"/>
    <w:rsid w:val="001506D3"/>
    <w:rsid w:val="0015093E"/>
    <w:rsid w:val="0015460A"/>
    <w:rsid w:val="00154B06"/>
    <w:rsid w:val="001612A6"/>
    <w:rsid w:val="00163EA4"/>
    <w:rsid w:val="001751C9"/>
    <w:rsid w:val="001777A4"/>
    <w:rsid w:val="00180D91"/>
    <w:rsid w:val="00190F0A"/>
    <w:rsid w:val="0019697E"/>
    <w:rsid w:val="001B7EBC"/>
    <w:rsid w:val="001C446F"/>
    <w:rsid w:val="001D5F10"/>
    <w:rsid w:val="001F2567"/>
    <w:rsid w:val="002028A1"/>
    <w:rsid w:val="00212C9A"/>
    <w:rsid w:val="002314D0"/>
    <w:rsid w:val="00243938"/>
    <w:rsid w:val="00273BB1"/>
    <w:rsid w:val="00285877"/>
    <w:rsid w:val="00286AB6"/>
    <w:rsid w:val="00291507"/>
    <w:rsid w:val="002A0B1B"/>
    <w:rsid w:val="002B26D5"/>
    <w:rsid w:val="002B2F9A"/>
    <w:rsid w:val="002C2194"/>
    <w:rsid w:val="002E7E5D"/>
    <w:rsid w:val="002F5F42"/>
    <w:rsid w:val="00311110"/>
    <w:rsid w:val="00316C74"/>
    <w:rsid w:val="00322E67"/>
    <w:rsid w:val="003240AC"/>
    <w:rsid w:val="00341BAD"/>
    <w:rsid w:val="00343B5D"/>
    <w:rsid w:val="003A75AB"/>
    <w:rsid w:val="003B4B54"/>
    <w:rsid w:val="003D4B4F"/>
    <w:rsid w:val="003E5BB0"/>
    <w:rsid w:val="003F78C2"/>
    <w:rsid w:val="00400CEA"/>
    <w:rsid w:val="004137D9"/>
    <w:rsid w:val="00426AB7"/>
    <w:rsid w:val="00433E54"/>
    <w:rsid w:val="0044568A"/>
    <w:rsid w:val="00446514"/>
    <w:rsid w:val="004505C9"/>
    <w:rsid w:val="00452FDA"/>
    <w:rsid w:val="0046561F"/>
    <w:rsid w:val="004953AC"/>
    <w:rsid w:val="004D380A"/>
    <w:rsid w:val="004E6246"/>
    <w:rsid w:val="004F0B6E"/>
    <w:rsid w:val="00502AC6"/>
    <w:rsid w:val="005052D9"/>
    <w:rsid w:val="005126F9"/>
    <w:rsid w:val="00521EEA"/>
    <w:rsid w:val="005255B4"/>
    <w:rsid w:val="00552229"/>
    <w:rsid w:val="00555B05"/>
    <w:rsid w:val="005644B8"/>
    <w:rsid w:val="00582F64"/>
    <w:rsid w:val="005B1D0F"/>
    <w:rsid w:val="005D0D11"/>
    <w:rsid w:val="005D1078"/>
    <w:rsid w:val="005D5A2D"/>
    <w:rsid w:val="005E74B3"/>
    <w:rsid w:val="00613E5A"/>
    <w:rsid w:val="00623CFD"/>
    <w:rsid w:val="00650271"/>
    <w:rsid w:val="00651889"/>
    <w:rsid w:val="00670D34"/>
    <w:rsid w:val="006712B1"/>
    <w:rsid w:val="0067267C"/>
    <w:rsid w:val="00672EDF"/>
    <w:rsid w:val="00687CEC"/>
    <w:rsid w:val="006D1C4F"/>
    <w:rsid w:val="006E00BC"/>
    <w:rsid w:val="006E09D5"/>
    <w:rsid w:val="00700FC5"/>
    <w:rsid w:val="00721DE5"/>
    <w:rsid w:val="00723BDD"/>
    <w:rsid w:val="00734881"/>
    <w:rsid w:val="007910C4"/>
    <w:rsid w:val="007A406D"/>
    <w:rsid w:val="007B021E"/>
    <w:rsid w:val="007B0622"/>
    <w:rsid w:val="007D203C"/>
    <w:rsid w:val="007E35C2"/>
    <w:rsid w:val="00811035"/>
    <w:rsid w:val="00817053"/>
    <w:rsid w:val="0083083A"/>
    <w:rsid w:val="00834F71"/>
    <w:rsid w:val="00844EF6"/>
    <w:rsid w:val="0086348E"/>
    <w:rsid w:val="00881CC1"/>
    <w:rsid w:val="008C62C8"/>
    <w:rsid w:val="008D3193"/>
    <w:rsid w:val="008E00BB"/>
    <w:rsid w:val="00953941"/>
    <w:rsid w:val="0095425B"/>
    <w:rsid w:val="00955AB9"/>
    <w:rsid w:val="009653E7"/>
    <w:rsid w:val="00971E32"/>
    <w:rsid w:val="009906AF"/>
    <w:rsid w:val="00992B6A"/>
    <w:rsid w:val="009A5320"/>
    <w:rsid w:val="009C49CF"/>
    <w:rsid w:val="009C5C89"/>
    <w:rsid w:val="009E225B"/>
    <w:rsid w:val="00A16968"/>
    <w:rsid w:val="00A44C3F"/>
    <w:rsid w:val="00A5043D"/>
    <w:rsid w:val="00A6565E"/>
    <w:rsid w:val="00A6624D"/>
    <w:rsid w:val="00A85623"/>
    <w:rsid w:val="00A86C3F"/>
    <w:rsid w:val="00A87A6A"/>
    <w:rsid w:val="00AB3F06"/>
    <w:rsid w:val="00AB658C"/>
    <w:rsid w:val="00B157BC"/>
    <w:rsid w:val="00B23369"/>
    <w:rsid w:val="00B42D1C"/>
    <w:rsid w:val="00B76FDB"/>
    <w:rsid w:val="00B866B7"/>
    <w:rsid w:val="00B86D81"/>
    <w:rsid w:val="00BE384E"/>
    <w:rsid w:val="00BE554E"/>
    <w:rsid w:val="00C23F43"/>
    <w:rsid w:val="00C42150"/>
    <w:rsid w:val="00C50955"/>
    <w:rsid w:val="00C55155"/>
    <w:rsid w:val="00C80AC6"/>
    <w:rsid w:val="00C863A5"/>
    <w:rsid w:val="00CA2338"/>
    <w:rsid w:val="00CC00EC"/>
    <w:rsid w:val="00CC7C4F"/>
    <w:rsid w:val="00CD02CD"/>
    <w:rsid w:val="00CF371D"/>
    <w:rsid w:val="00D03BE6"/>
    <w:rsid w:val="00D134C6"/>
    <w:rsid w:val="00D35704"/>
    <w:rsid w:val="00D3624E"/>
    <w:rsid w:val="00D374D2"/>
    <w:rsid w:val="00D40762"/>
    <w:rsid w:val="00D42839"/>
    <w:rsid w:val="00D53589"/>
    <w:rsid w:val="00D6687B"/>
    <w:rsid w:val="00D8763C"/>
    <w:rsid w:val="00D95B11"/>
    <w:rsid w:val="00DA223F"/>
    <w:rsid w:val="00DA6A95"/>
    <w:rsid w:val="00DB15EA"/>
    <w:rsid w:val="00DB30E8"/>
    <w:rsid w:val="00DD46F7"/>
    <w:rsid w:val="00E15FD5"/>
    <w:rsid w:val="00E20395"/>
    <w:rsid w:val="00E24A0C"/>
    <w:rsid w:val="00E34CF7"/>
    <w:rsid w:val="00E35DB0"/>
    <w:rsid w:val="00E367CE"/>
    <w:rsid w:val="00E447EA"/>
    <w:rsid w:val="00E5040D"/>
    <w:rsid w:val="00E63868"/>
    <w:rsid w:val="00E750AD"/>
    <w:rsid w:val="00E84D72"/>
    <w:rsid w:val="00EA0485"/>
    <w:rsid w:val="00EC467D"/>
    <w:rsid w:val="00ED57B5"/>
    <w:rsid w:val="00ED6044"/>
    <w:rsid w:val="00EE3D67"/>
    <w:rsid w:val="00F17310"/>
    <w:rsid w:val="00F32587"/>
    <w:rsid w:val="00F516D3"/>
    <w:rsid w:val="00F52E2F"/>
    <w:rsid w:val="00F5516F"/>
    <w:rsid w:val="00F72E63"/>
    <w:rsid w:val="00F86A12"/>
    <w:rsid w:val="00FD0BED"/>
    <w:rsid w:val="00FF2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uppressAutoHyphens/>
      <w:spacing w:line="230" w:lineRule="atLeast"/>
      <w:jc w:val="right"/>
    </w:pPr>
    <w:rPr>
      <w:rFonts w:ascii="Calibri Light" w:eastAsia="Calibri Light" w:hAnsi="Calibri Light" w:cs="Calibri Light"/>
      <w:b/>
      <w:bCs/>
      <w:caps/>
      <w:color w:val="495965"/>
      <w:u w:color="495965"/>
      <w:lang w:val="en-US"/>
    </w:rPr>
  </w:style>
  <w:style w:type="paragraph" w:styleId="Footer">
    <w:name w:val="footer"/>
    <w:pPr>
      <w:suppressAutoHyphens/>
      <w:spacing w:line="240" w:lineRule="exact"/>
      <w:ind w:right="284"/>
      <w:jc w:val="right"/>
    </w:pPr>
    <w:rPr>
      <w:rFonts w:ascii="Calibri Light" w:eastAsia="Calibri Light" w:hAnsi="Calibri Light" w:cs="Calibri Light"/>
      <w:color w:val="FFFFFF"/>
      <w:sz w:val="22"/>
      <w:szCs w:val="22"/>
      <w:u w:color="FFFFFF"/>
      <w:lang w:val="en-US"/>
    </w:rPr>
  </w:style>
  <w:style w:type="paragraph" w:customStyle="1" w:styleId="Body">
    <w:name w:val="Body"/>
    <w:uiPriority w:val="99"/>
    <w:pPr>
      <w:suppressAutoHyphens/>
      <w:spacing w:before="120" w:after="60" w:line="230" w:lineRule="atLeast"/>
    </w:pPr>
    <w:rPr>
      <w:rFonts w:ascii="Calibri Light" w:eastAsia="Calibri Light" w:hAnsi="Calibri Light" w:cs="Calibri Light"/>
      <w:color w:val="495965"/>
      <w:sz w:val="22"/>
      <w:szCs w:val="22"/>
      <w:u w:color="495965"/>
    </w:rPr>
  </w:style>
  <w:style w:type="paragraph" w:styleId="Title">
    <w:name w:val="Title"/>
    <w:next w:val="Body"/>
    <w:pPr>
      <w:keepNext/>
      <w:keepLines/>
      <w:suppressAutoHyphens/>
      <w:spacing w:line="380" w:lineRule="exact"/>
      <w:outlineLvl w:val="0"/>
    </w:pPr>
    <w:rPr>
      <w:rFonts w:ascii="Calibri" w:eastAsia="Calibri" w:hAnsi="Calibri" w:cs="Calibri"/>
      <w:b/>
      <w:bCs/>
      <w:caps/>
      <w:color w:val="495965"/>
      <w:spacing w:val="-10"/>
      <w:kern w:val="28"/>
      <w:sz w:val="38"/>
      <w:szCs w:val="38"/>
      <w:u w:color="495965"/>
      <w:lang w:val="en-US"/>
    </w:rPr>
  </w:style>
  <w:style w:type="paragraph" w:styleId="ListBullet">
    <w:name w:val="List Bullet"/>
    <w:pPr>
      <w:tabs>
        <w:tab w:val="left" w:pos="284"/>
      </w:tabs>
      <w:spacing w:after="120" w:line="280" w:lineRule="exact"/>
    </w:pPr>
    <w:rPr>
      <w:rFonts w:ascii="Franklin Gothic Book" w:eastAsia="Franklin Gothic Book" w:hAnsi="Franklin Gothic Book" w:cs="Franklin Gothic Book"/>
      <w:color w:val="000000"/>
      <w:sz w:val="21"/>
      <w:szCs w:val="21"/>
      <w:u w:color="000000"/>
      <w:lang w:val="en-US"/>
    </w:rPr>
  </w:style>
  <w:style w:type="paragraph" w:customStyle="1" w:styleId="TableTextColumnHeading">
    <w:name w:val="Table Text Column Heading"/>
    <w:pPr>
      <w:keepLines/>
      <w:spacing w:before="80" w:after="80" w:line="200" w:lineRule="atLeast"/>
      <w:ind w:left="125"/>
    </w:pPr>
    <w:rPr>
      <w:rFonts w:ascii="Franklin Gothic Medium" w:eastAsia="Franklin Gothic Medium" w:hAnsi="Franklin Gothic Medium" w:cs="Franklin Gothic Medium"/>
      <w:b/>
      <w:bCs/>
      <w:color w:val="000000"/>
      <w:sz w:val="17"/>
      <w:szCs w:val="17"/>
      <w:u w:color="000000"/>
      <w:lang w:val="en-US"/>
    </w:rPr>
  </w:style>
  <w:style w:type="paragraph" w:customStyle="1" w:styleId="Default">
    <w:name w:val="Default"/>
    <w:pPr>
      <w:suppressAutoHyphens/>
      <w:spacing w:before="120"/>
    </w:pPr>
    <w:rPr>
      <w:rFonts w:ascii="Calibri Light" w:eastAsia="Calibri Light" w:hAnsi="Calibri Light" w:cs="Calibri Light"/>
      <w:color w:val="000000"/>
      <w:sz w:val="24"/>
      <w:szCs w:val="24"/>
      <w:u w:color="000000"/>
      <w:lang w:val="en-US"/>
    </w:rPr>
  </w:style>
  <w:style w:type="paragraph" w:customStyle="1" w:styleId="TableTextEntries">
    <w:name w:val="Table Text Entries"/>
    <w:pPr>
      <w:keepLines/>
      <w:suppressAutoHyphens/>
      <w:spacing w:before="40" w:after="40" w:line="200" w:lineRule="atLeast"/>
    </w:pPr>
    <w:rPr>
      <w:rFonts w:ascii="Franklin Gothic Book" w:eastAsia="Franklin Gothic Book" w:hAnsi="Franklin Gothic Book" w:cs="Franklin Gothic Book"/>
      <w:color w:val="000000"/>
      <w:sz w:val="17"/>
      <w:szCs w:val="17"/>
      <w:u w:color="000000"/>
      <w:lang w:val="en-US"/>
    </w:rPr>
  </w:style>
  <w:style w:type="paragraph" w:customStyle="1" w:styleId="Note">
    <w:name w:val="Note"/>
    <w:pPr>
      <w:keepNext/>
      <w:keepLines/>
      <w:spacing w:before="20" w:after="20" w:line="180" w:lineRule="atLeast"/>
      <w:jc w:val="both"/>
    </w:pPr>
    <w:rPr>
      <w:rFonts w:ascii="Franklin Gothic Book" w:eastAsia="Franklin Gothic Book" w:hAnsi="Franklin Gothic Book" w:cs="Franklin Gothic Book"/>
      <w:color w:val="000000"/>
      <w:sz w:val="14"/>
      <w:szCs w:val="14"/>
      <w:u w:color="000000"/>
      <w:lang w:val="en-US"/>
    </w:rPr>
  </w:style>
  <w:style w:type="paragraph" w:styleId="ListParagraph">
    <w:name w:val="List Paragraph"/>
    <w:aliases w:val="Recommendation,List Paragraph1,List Paragraph11,L,List Paragraph2,Medium Grid 1 - Accent 21,CV text,Table text,F5 List Paragraph,Dot pt,Numbered Paragraph,List Paragraph111,ADB List Paragraph,Bulleted Para,NFP GP Bulleted List,FooterText"/>
    <w:link w:val="ListParagraphChar"/>
    <w:uiPriority w:val="34"/>
    <w:qFormat/>
    <w:pPr>
      <w:suppressAutoHyphens/>
      <w:spacing w:before="120" w:after="60" w:line="230" w:lineRule="atLeast"/>
      <w:ind w:left="720"/>
    </w:pPr>
    <w:rPr>
      <w:rFonts w:ascii="Calibri Light" w:eastAsia="Calibri Light" w:hAnsi="Calibri Light" w:cs="Calibri Light"/>
      <w:color w:val="495965"/>
      <w:sz w:val="22"/>
      <w:szCs w:val="22"/>
      <w:u w:color="495965"/>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5">
    <w:name w:val="Imported Style 5"/>
    <w:pPr>
      <w:numPr>
        <w:numId w:val="5"/>
      </w:numPr>
    </w:pPr>
  </w:style>
  <w:style w:type="paragraph" w:styleId="Subtitle">
    <w:name w:val="Subtitle"/>
    <w:next w:val="Body"/>
    <w:pPr>
      <w:keepNext/>
      <w:keepLines/>
      <w:suppressAutoHyphens/>
      <w:spacing w:before="60" w:after="300" w:line="380" w:lineRule="exact"/>
      <w:outlineLvl w:val="0"/>
    </w:pPr>
    <w:rPr>
      <w:rFonts w:ascii="Calibri Light" w:eastAsia="Calibri Light" w:hAnsi="Calibri Light" w:cs="Calibri Light"/>
      <w:caps/>
      <w:color w:val="495965"/>
      <w:spacing w:val="-10"/>
      <w:kern w:val="28"/>
      <w:sz w:val="38"/>
      <w:szCs w:val="38"/>
      <w:u w:color="495965"/>
      <w:lang w:val="en-US"/>
    </w:rPr>
  </w:style>
  <w:style w:type="paragraph" w:customStyle="1" w:styleId="NormalIndented">
    <w:name w:val="Normal Indented"/>
    <w:pPr>
      <w:suppressAutoHyphens/>
      <w:spacing w:before="120" w:after="60" w:line="230" w:lineRule="atLeast"/>
      <w:ind w:left="284"/>
    </w:pPr>
    <w:rPr>
      <w:rFonts w:ascii="Calibri Light" w:eastAsia="Calibri Light" w:hAnsi="Calibri Light" w:cs="Calibri Light"/>
      <w:color w:val="495965"/>
      <w:sz w:val="22"/>
      <w:szCs w:val="22"/>
      <w:u w:color="495965"/>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0F0A"/>
    <w:rPr>
      <w:b/>
      <w:bCs/>
    </w:rPr>
  </w:style>
  <w:style w:type="character" w:customStyle="1" w:styleId="CommentSubjectChar">
    <w:name w:val="Comment Subject Char"/>
    <w:basedOn w:val="CommentTextChar"/>
    <w:link w:val="CommentSubject"/>
    <w:uiPriority w:val="99"/>
    <w:semiHidden/>
    <w:rsid w:val="00190F0A"/>
    <w:rPr>
      <w:b/>
      <w:bCs/>
      <w:lang w:val="en-US" w:eastAsia="en-US"/>
    </w:rPr>
  </w:style>
  <w:style w:type="paragraph" w:styleId="BalloonText">
    <w:name w:val="Balloon Text"/>
    <w:basedOn w:val="Normal"/>
    <w:link w:val="BalloonTextChar"/>
    <w:uiPriority w:val="99"/>
    <w:semiHidden/>
    <w:unhideWhenUsed/>
    <w:rsid w:val="00190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F0A"/>
    <w:rPr>
      <w:rFonts w:ascii="Segoe UI" w:hAnsi="Segoe UI" w:cs="Segoe UI"/>
      <w:sz w:val="18"/>
      <w:szCs w:val="18"/>
      <w:lang w:val="en-US" w:eastAsia="en-US"/>
    </w:rPr>
  </w:style>
  <w:style w:type="character" w:customStyle="1" w:styleId="ListParagraphChar">
    <w:name w:val="List Paragraph Char"/>
    <w:aliases w:val="Recommendation Char,List Paragraph1 Char,List Paragraph11 Char,L Char,List Paragraph2 Char,Medium Grid 1 - Accent 21 Char,CV text Char,Table text Char,F5 List Paragraph Char,Dot pt Char,Numbered Paragraph Char,List Paragraph111 Char"/>
    <w:basedOn w:val="DefaultParagraphFont"/>
    <w:link w:val="ListParagraph"/>
    <w:uiPriority w:val="34"/>
    <w:qFormat/>
    <w:locked/>
    <w:rsid w:val="008D3193"/>
    <w:rPr>
      <w:rFonts w:ascii="Calibri Light" w:eastAsia="Calibri Light" w:hAnsi="Calibri Light" w:cs="Calibri Light"/>
      <w:color w:val="495965"/>
      <w:sz w:val="22"/>
      <w:szCs w:val="22"/>
      <w:u w:color="495965"/>
      <w:lang w:val="en-US"/>
    </w:rPr>
  </w:style>
  <w:style w:type="paragraph" w:styleId="FootnoteText">
    <w:name w:val="footnote text"/>
    <w:basedOn w:val="Normal"/>
    <w:link w:val="FootnoteTextChar"/>
    <w:uiPriority w:val="99"/>
    <w:semiHidden/>
    <w:unhideWhenUsed/>
    <w:rsid w:val="004953AC"/>
    <w:rPr>
      <w:sz w:val="20"/>
      <w:szCs w:val="20"/>
    </w:rPr>
  </w:style>
  <w:style w:type="character" w:customStyle="1" w:styleId="FootnoteTextChar">
    <w:name w:val="Footnote Text Char"/>
    <w:basedOn w:val="DefaultParagraphFont"/>
    <w:link w:val="FootnoteText"/>
    <w:uiPriority w:val="99"/>
    <w:semiHidden/>
    <w:rsid w:val="004953AC"/>
    <w:rPr>
      <w:lang w:val="en-US" w:eastAsia="en-US"/>
    </w:rPr>
  </w:style>
  <w:style w:type="character" w:styleId="FootnoteReference">
    <w:name w:val="footnote reference"/>
    <w:basedOn w:val="DefaultParagraphFont"/>
    <w:uiPriority w:val="99"/>
    <w:semiHidden/>
    <w:unhideWhenUsed/>
    <w:rsid w:val="004953AC"/>
    <w:rPr>
      <w:vertAlign w:val="superscript"/>
    </w:rPr>
  </w:style>
  <w:style w:type="table" w:styleId="TableGrid">
    <w:name w:val="Table Grid"/>
    <w:basedOn w:val="TableNormal"/>
    <w:uiPriority w:val="39"/>
    <w:rsid w:val="0044651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B5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4794">
      <w:bodyDiv w:val="1"/>
      <w:marLeft w:val="0"/>
      <w:marRight w:val="0"/>
      <w:marTop w:val="0"/>
      <w:marBottom w:val="0"/>
      <w:divBdr>
        <w:top w:val="none" w:sz="0" w:space="0" w:color="auto"/>
        <w:left w:val="none" w:sz="0" w:space="0" w:color="auto"/>
        <w:bottom w:val="none" w:sz="0" w:space="0" w:color="auto"/>
        <w:right w:val="none" w:sz="0" w:space="0" w:color="auto"/>
      </w:divBdr>
    </w:div>
    <w:div w:id="173035617">
      <w:bodyDiv w:val="1"/>
      <w:marLeft w:val="0"/>
      <w:marRight w:val="0"/>
      <w:marTop w:val="0"/>
      <w:marBottom w:val="0"/>
      <w:divBdr>
        <w:top w:val="none" w:sz="0" w:space="0" w:color="auto"/>
        <w:left w:val="none" w:sz="0" w:space="0" w:color="auto"/>
        <w:bottom w:val="none" w:sz="0" w:space="0" w:color="auto"/>
        <w:right w:val="none" w:sz="0" w:space="0" w:color="auto"/>
      </w:divBdr>
    </w:div>
    <w:div w:id="907107306">
      <w:bodyDiv w:val="1"/>
      <w:marLeft w:val="0"/>
      <w:marRight w:val="0"/>
      <w:marTop w:val="0"/>
      <w:marBottom w:val="0"/>
      <w:divBdr>
        <w:top w:val="none" w:sz="0" w:space="0" w:color="auto"/>
        <w:left w:val="none" w:sz="0" w:space="0" w:color="auto"/>
        <w:bottom w:val="none" w:sz="0" w:space="0" w:color="auto"/>
        <w:right w:val="none" w:sz="0" w:space="0" w:color="auto"/>
      </w:divBdr>
    </w:div>
    <w:div w:id="170336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customXml" Target="../customXml/item4.xml"/><Relationship Id="rId21" Type="http://schemas.openxmlformats.org/officeDocument/2006/relationships/image" Target="media/image10.jpe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7.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footer" Target="footer5.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jpeg"/><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FF00FF"/>
      </a:folHlink>
    </a:clrScheme>
    <a:fontScheme name="Office Theme">
      <a:majorFont>
        <a:latin typeface="Calibri"/>
        <a:ea typeface="Calibri"/>
        <a:cs typeface="Calibri"/>
      </a:majorFont>
      <a:minorFont>
        <a:latin typeface="Calibri Light"/>
        <a:ea typeface="Calibri Light"/>
        <a:cs typeface="Calibri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401355-B0F6-40E0-AB2A-3A457DBB6984}"/>
</file>

<file path=customXml/itemProps2.xml><?xml version="1.0" encoding="utf-8"?>
<ds:datastoreItem xmlns:ds="http://schemas.openxmlformats.org/officeDocument/2006/customXml" ds:itemID="{F794FF4E-D904-4FBE-B8D6-65C1D7CD412C}"/>
</file>

<file path=customXml/itemProps3.xml><?xml version="1.0" encoding="utf-8"?>
<ds:datastoreItem xmlns:ds="http://schemas.openxmlformats.org/officeDocument/2006/customXml" ds:itemID="{30325E63-851B-4BB5-BDD8-50AAA41A0725}"/>
</file>

<file path=customXml/itemProps4.xml><?xml version="1.0" encoding="utf-8"?>
<ds:datastoreItem xmlns:ds="http://schemas.openxmlformats.org/officeDocument/2006/customXml" ds:itemID="{517E5AC0-6A14-4AEE-BC26-BDC54FC971B4}"/>
</file>

<file path=docProps/app.xml><?xml version="1.0" encoding="utf-8"?>
<Properties xmlns="http://schemas.openxmlformats.org/officeDocument/2006/extended-properties" xmlns:vt="http://schemas.openxmlformats.org/officeDocument/2006/docPropsVTypes">
  <Template>Normal.dotm</Template>
  <TotalTime>0</TotalTime>
  <Pages>13</Pages>
  <Words>4707</Words>
  <Characters>26835</Characters>
  <Application>Microsoft Office Word</Application>
  <DocSecurity>0</DocSecurity>
  <Lines>223</Lines>
  <Paragraphs>62</Paragraphs>
  <ScaleCrop>false</ScaleCrop>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Tonga Aid Program Performance Report 2017-18</dc:title>
  <dc:creator/>
  <cp:lastModifiedBy/>
  <cp:revision>1</cp:revision>
  <dcterms:created xsi:type="dcterms:W3CDTF">2018-10-11T00:39:00Z</dcterms:created>
  <dcterms:modified xsi:type="dcterms:W3CDTF">2018-10-11T00:39:00Z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81faaafe-658b-402e-97b9-74f1b917cde4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1201000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