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708D3B2"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26CA513A" wp14:editId="3A9AE4BA">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345986C" wp14:editId="7FF553CD">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48AE0E08" w14:textId="77777777" w:rsidR="003D352D" w:rsidRDefault="003D352D" w:rsidP="00D146A2"/>
    <w:p w14:paraId="585D35DA" w14:textId="77777777" w:rsidR="003D352D" w:rsidRDefault="003D352D" w:rsidP="00D146A2"/>
    <w:p w14:paraId="0AE7CA16" w14:textId="77777777" w:rsidR="003D352D" w:rsidRDefault="003D352D" w:rsidP="00D146A2"/>
    <w:p w14:paraId="794051F4" w14:textId="77777777" w:rsidR="003D352D" w:rsidRDefault="003D352D" w:rsidP="00D146A2"/>
    <w:p w14:paraId="3395050A" w14:textId="77777777" w:rsidR="003D352D" w:rsidRDefault="003D352D" w:rsidP="00D146A2"/>
    <w:p w14:paraId="76EF0CCC" w14:textId="77777777" w:rsidR="003D352D" w:rsidRDefault="003D352D" w:rsidP="00D146A2"/>
    <w:p w14:paraId="4BCAE8D7" w14:textId="77777777" w:rsidR="003D352D" w:rsidRDefault="003D352D" w:rsidP="00D146A2"/>
    <w:p w14:paraId="42536E53" w14:textId="77777777" w:rsidR="003D352D" w:rsidRDefault="003D352D" w:rsidP="00D146A2"/>
    <w:p w14:paraId="15BC476A" w14:textId="77777777" w:rsidR="003D352D" w:rsidRDefault="003D352D" w:rsidP="00D146A2"/>
    <w:p w14:paraId="730C5824" w14:textId="77777777" w:rsidR="003D352D" w:rsidRDefault="003D352D" w:rsidP="00D146A2"/>
    <w:p w14:paraId="3B9E447B" w14:textId="77777777" w:rsidR="003D352D" w:rsidRDefault="003D352D" w:rsidP="00D146A2"/>
    <w:p w14:paraId="41B5EFA3" w14:textId="77777777" w:rsidR="003D352D" w:rsidRDefault="003D352D" w:rsidP="00D146A2"/>
    <w:p w14:paraId="7BB70898" w14:textId="77777777" w:rsidR="003D352D" w:rsidRDefault="003D352D" w:rsidP="00D146A2"/>
    <w:p w14:paraId="37D19AE4" w14:textId="77777777" w:rsidR="003D352D" w:rsidRDefault="003D352D" w:rsidP="00D146A2"/>
    <w:p w14:paraId="7F2FF76A" w14:textId="77777777" w:rsidR="003D352D" w:rsidRDefault="003D352D" w:rsidP="00D146A2"/>
    <w:p w14:paraId="6E338E7F" w14:textId="77777777" w:rsidR="003D352D" w:rsidRPr="0059146A" w:rsidRDefault="003D352D" w:rsidP="0059146A"/>
    <w:p w14:paraId="4AEE9B0B" w14:textId="77777777" w:rsidR="003D352D" w:rsidRPr="0059146A" w:rsidRDefault="003D352D" w:rsidP="0059146A"/>
    <w:p w14:paraId="3EBEC70B" w14:textId="77777777" w:rsidR="003D352D" w:rsidRPr="0059146A" w:rsidRDefault="003D352D" w:rsidP="0059146A"/>
    <w:p w14:paraId="37E6C6DD" w14:textId="77777777" w:rsidR="003D352D" w:rsidRPr="0059146A" w:rsidRDefault="003D352D" w:rsidP="0059146A"/>
    <w:p w14:paraId="2B67EC45" w14:textId="77777777" w:rsidR="003D352D" w:rsidRPr="0059146A" w:rsidRDefault="003D352D" w:rsidP="0059146A"/>
    <w:p w14:paraId="4CDFE0B1" w14:textId="77777777" w:rsidR="003D352D" w:rsidRPr="0059146A" w:rsidRDefault="003D352D" w:rsidP="0059146A"/>
    <w:p w14:paraId="43BBC709" w14:textId="77777777" w:rsidR="00A56F14" w:rsidRPr="0059146A" w:rsidRDefault="00A56F14" w:rsidP="00A56F14"/>
    <w:p w14:paraId="15CF6ADB" w14:textId="77777777" w:rsidR="00A56F14" w:rsidRPr="0059146A" w:rsidRDefault="00A56F14" w:rsidP="0059146A"/>
    <w:p w14:paraId="51430B14" w14:textId="77777777" w:rsidR="00A56F14" w:rsidRDefault="00A56F14" w:rsidP="0059146A"/>
    <w:p w14:paraId="140CEEF6" w14:textId="77777777" w:rsidR="0059146A" w:rsidRDefault="0059146A" w:rsidP="0059146A"/>
    <w:p w14:paraId="4F380E09" w14:textId="77777777" w:rsidR="0059146A" w:rsidRDefault="0059146A" w:rsidP="0059146A"/>
    <w:p w14:paraId="347F51BA" w14:textId="77777777" w:rsidR="0059146A" w:rsidRDefault="0059146A" w:rsidP="0059146A"/>
    <w:p w14:paraId="136F19F9" w14:textId="77777777" w:rsidR="0059146A" w:rsidRPr="0059146A" w:rsidRDefault="0059146A" w:rsidP="0059146A"/>
    <w:p w14:paraId="28443149"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5B239077" w14:textId="77777777" w:rsidR="0059146A" w:rsidRDefault="00B33C34" w:rsidP="00A56F14">
      <w:pPr>
        <w:rPr>
          <w:sz w:val="24"/>
        </w:rPr>
        <w:sectPr w:rsidR="0059146A" w:rsidSect="00A56F14">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Pr>
          <w:sz w:val="40"/>
        </w:rPr>
        <w:t>Tonga</w:t>
      </w:r>
      <w:r w:rsidR="0059146A">
        <w:rPr>
          <w:sz w:val="40"/>
        </w:rPr>
        <w:br/>
      </w:r>
      <w:r w:rsidR="0059146A" w:rsidRPr="0059146A">
        <w:rPr>
          <w:sz w:val="24"/>
        </w:rPr>
        <w:t>September 201</w:t>
      </w:r>
      <w:r w:rsidR="003E305C">
        <w:rPr>
          <w:sz w:val="24"/>
        </w:rPr>
        <w:t>7</w:t>
      </w:r>
    </w:p>
    <w:p w14:paraId="7E6A01FD" w14:textId="77777777" w:rsidR="005B5769" w:rsidRPr="00B438D3" w:rsidRDefault="00523227" w:rsidP="00B438D3">
      <w:pPr>
        <w:pStyle w:val="Title"/>
      </w:pPr>
      <w:r>
        <w:lastRenderedPageBreak/>
        <w:t xml:space="preserve">TONGA </w:t>
      </w:r>
      <w:r w:rsidR="005B5769" w:rsidRPr="00B438D3">
        <w:t>Aid Program Performance Information 201</w:t>
      </w:r>
      <w:r w:rsidR="003E305C">
        <w:t>6</w:t>
      </w:r>
      <w:r w:rsidR="005B5769" w:rsidRPr="00B438D3">
        <w:t>-1</w:t>
      </w:r>
      <w:r w:rsidR="003E305C">
        <w:t>7</w:t>
      </w:r>
    </w:p>
    <w:p w14:paraId="43DB422B" w14:textId="77777777" w:rsidR="0073298B" w:rsidRPr="00C4114C" w:rsidRDefault="0073298B" w:rsidP="0073298B">
      <w:pPr>
        <w:pStyle w:val="Subtitle"/>
      </w:pPr>
      <w:r w:rsidRPr="00C4114C">
        <w:t>Summary</w:t>
      </w:r>
    </w:p>
    <w:p w14:paraId="4D863DD1" w14:textId="77777777" w:rsidR="00DA0CB9" w:rsidRPr="001D697A" w:rsidRDefault="00DA0CB9" w:rsidP="00DA0CB9">
      <w:r>
        <w:t xml:space="preserve">Tonga is a small Pacific country </w:t>
      </w:r>
      <w:r w:rsidR="001F7D3E">
        <w:t>comp</w:t>
      </w:r>
      <w:r w:rsidR="0073298B">
        <w:t>ri</w:t>
      </w:r>
      <w:r w:rsidR="001F7D3E">
        <w:t xml:space="preserve">sed of 170 islands. It has </w:t>
      </w:r>
      <w:r>
        <w:t>a population of approximately 106,000</w:t>
      </w:r>
      <w:r w:rsidR="001F7D3E">
        <w:t>, most of which are on the main island and in the capital</w:t>
      </w:r>
      <w:r>
        <w:t>.</w:t>
      </w:r>
      <w:r w:rsidR="00A20ED1">
        <w:t xml:space="preserve"> </w:t>
      </w:r>
      <w:r>
        <w:t xml:space="preserve">Ongoing </w:t>
      </w:r>
      <w:r w:rsidR="00F2378A">
        <w:t>constraints</w:t>
      </w:r>
      <w:r>
        <w:t xml:space="preserve"> to </w:t>
      </w:r>
      <w:r w:rsidRPr="001D697A">
        <w:t>development and economic growth include Tonga’s high levels of government debt (total public debt projected at 5</w:t>
      </w:r>
      <w:r w:rsidR="00D259B5">
        <w:t>0</w:t>
      </w:r>
      <w:r w:rsidRPr="001D697A">
        <w:t>% of GDP), high susceptibility to natural disasters, the impact of non-communicable diseases and gender inequality.</w:t>
      </w:r>
    </w:p>
    <w:p w14:paraId="31FE5EBB" w14:textId="77777777" w:rsidR="00DA0CB9" w:rsidRPr="001F7D3E" w:rsidRDefault="00DA0CB9" w:rsidP="00DA0CB9">
      <w:r w:rsidRPr="001D697A">
        <w:t xml:space="preserve">Through our </w:t>
      </w:r>
      <w:r w:rsidR="00F47BEC">
        <w:t>development</w:t>
      </w:r>
      <w:r w:rsidRPr="001D697A">
        <w:t xml:space="preserve"> program, the Australian Government is helping to address these challenges, with a strong focus on investments to grow the economy and develop the private sector, improve health systems and develop skills to support economic opportunities for Tongan workers. </w:t>
      </w:r>
      <w:r w:rsidR="008109E0">
        <w:t>We continue to work on c</w:t>
      </w:r>
      <w:r w:rsidRPr="001D697A">
        <w:t>ross-cutting issues of disaster resilience and preparedness, gender equality and supporting the needs of people</w:t>
      </w:r>
      <w:r w:rsidR="006002F1" w:rsidRPr="001D697A">
        <w:t xml:space="preserve"> living</w:t>
      </w:r>
      <w:r w:rsidRPr="001D697A">
        <w:t xml:space="preserve"> with disabilit</w:t>
      </w:r>
      <w:r w:rsidR="006002F1" w:rsidRPr="001D697A">
        <w:t>ies</w:t>
      </w:r>
      <w:r w:rsidRPr="001D697A">
        <w:t xml:space="preserve">. </w:t>
      </w:r>
      <w:r w:rsidR="00006ADF">
        <w:t>Our</w:t>
      </w:r>
      <w:r w:rsidRPr="001D697A">
        <w:t xml:space="preserve"> </w:t>
      </w:r>
      <w:r w:rsidR="000F38DE" w:rsidRPr="001D697A">
        <w:t xml:space="preserve">development </w:t>
      </w:r>
      <w:r w:rsidRPr="001D697A">
        <w:t xml:space="preserve">program is delivered </w:t>
      </w:r>
      <w:r w:rsidR="000F38DE" w:rsidRPr="001D697A">
        <w:t xml:space="preserve">under </w:t>
      </w:r>
      <w:r w:rsidRPr="001D697A">
        <w:t xml:space="preserve">the </w:t>
      </w:r>
      <w:r w:rsidR="00522080" w:rsidRPr="001D697A">
        <w:t>Australia-</w:t>
      </w:r>
      <w:r w:rsidRPr="001D697A">
        <w:t xml:space="preserve">Tonga Aid </w:t>
      </w:r>
      <w:r w:rsidR="00522080" w:rsidRPr="001D697A">
        <w:t>Partnership</w:t>
      </w:r>
      <w:r w:rsidRPr="001D697A">
        <w:t xml:space="preserve"> </w:t>
      </w:r>
      <w:r w:rsidR="003258F5" w:rsidRPr="001D697A">
        <w:t xml:space="preserve">Arrangement </w:t>
      </w:r>
      <w:r w:rsidRPr="001D697A">
        <w:t>201</w:t>
      </w:r>
      <w:r w:rsidR="00522080" w:rsidRPr="001D697A">
        <w:t>6</w:t>
      </w:r>
      <w:r w:rsidRPr="001D697A">
        <w:t xml:space="preserve">-19, which deploys </w:t>
      </w:r>
      <w:r w:rsidR="00006ADF">
        <w:t>Australian aid</w:t>
      </w:r>
      <w:r w:rsidR="00006ADF" w:rsidRPr="001D697A">
        <w:t xml:space="preserve"> </w:t>
      </w:r>
      <w:r w:rsidRPr="001D697A">
        <w:t>resources to most effectively and efficiently</w:t>
      </w:r>
      <w:r w:rsidR="001F7D3E">
        <w:t xml:space="preserve"> achieve results in these areas</w:t>
      </w:r>
      <w:r w:rsidRPr="001D697A">
        <w:t xml:space="preserve">. </w:t>
      </w:r>
      <w:r w:rsidR="009B2285" w:rsidRPr="001D697A">
        <w:t xml:space="preserve">The </w:t>
      </w:r>
      <w:r w:rsidRPr="001D697A">
        <w:t>Aid Partnership arrangement</w:t>
      </w:r>
      <w:r w:rsidR="009B2285" w:rsidRPr="001D697A">
        <w:t xml:space="preserve"> </w:t>
      </w:r>
      <w:r w:rsidRPr="001D697A">
        <w:t>reflect</w:t>
      </w:r>
      <w:r w:rsidR="009B2285" w:rsidRPr="001D697A">
        <w:t xml:space="preserve">s </w:t>
      </w:r>
      <w:r w:rsidRPr="001D697A">
        <w:t xml:space="preserve">both </w:t>
      </w:r>
      <w:r w:rsidR="00006ADF" w:rsidRPr="001F7D3E">
        <w:t xml:space="preserve">DFAT’s </w:t>
      </w:r>
      <w:r w:rsidRPr="001F7D3E">
        <w:t>Tonga Aid Investment Plan and Tonga’s own development priorities, as articulated in the Tonga Strategic Development Framework II.</w:t>
      </w:r>
    </w:p>
    <w:p w14:paraId="068503AE" w14:textId="77777777" w:rsidR="00DA0CB9" w:rsidRDefault="00DA0CB9" w:rsidP="00DA0CB9">
      <w:r w:rsidRPr="001D697A">
        <w:t>Australia is one of the largest donors of aid to Tonga. In 201</w:t>
      </w:r>
      <w:r w:rsidR="00522080" w:rsidRPr="001D697A">
        <w:t>6</w:t>
      </w:r>
      <w:r w:rsidRPr="001D697A">
        <w:t>-1</w:t>
      </w:r>
      <w:r w:rsidR="00522080" w:rsidRPr="001D697A">
        <w:t>7</w:t>
      </w:r>
      <w:r w:rsidRPr="001D697A">
        <w:t>, Australia’s official development assistance (ODA) expenditure was $28.</w:t>
      </w:r>
      <w:r w:rsidR="00522080" w:rsidRPr="001D697A">
        <w:t>9</w:t>
      </w:r>
      <w:r w:rsidRPr="001D697A">
        <w:t xml:space="preserve"> million, equivalent to approximately </w:t>
      </w:r>
      <w:r w:rsidRPr="00FE4675">
        <w:t xml:space="preserve">five per cent </w:t>
      </w:r>
      <w:r w:rsidRPr="001D697A">
        <w:t xml:space="preserve">of </w:t>
      </w:r>
      <w:r w:rsidR="001F7D3E">
        <w:t>Tonga’s g</w:t>
      </w:r>
      <w:r w:rsidR="009B2285" w:rsidRPr="001D697A">
        <w:t>ross</w:t>
      </w:r>
      <w:r w:rsidR="009B2285">
        <w:t xml:space="preserve"> </w:t>
      </w:r>
      <w:r w:rsidR="001F7D3E">
        <w:t>d</w:t>
      </w:r>
      <w:r w:rsidR="009B2285">
        <w:t xml:space="preserve">omestic </w:t>
      </w:r>
      <w:r w:rsidR="001F7D3E">
        <w:t>p</w:t>
      </w:r>
      <w:r w:rsidR="009B2285">
        <w:t>roduct.</w:t>
      </w:r>
      <w:r>
        <w:t xml:space="preserve"> Other significant bilateral donors include New Zealand, Japan and China. The World Bank and Asian Development Bank</w:t>
      </w:r>
      <w:r w:rsidR="001F7D3E">
        <w:t xml:space="preserve"> (ADB)</w:t>
      </w:r>
      <w:r>
        <w:t xml:space="preserve"> </w:t>
      </w:r>
      <w:r w:rsidR="00006ADF">
        <w:t>will</w:t>
      </w:r>
      <w:r>
        <w:t xml:space="preserve"> play an</w:t>
      </w:r>
      <w:r w:rsidR="00006ADF">
        <w:t xml:space="preserve"> increasingly</w:t>
      </w:r>
      <w:r>
        <w:t xml:space="preserve"> important role in Tonga’s development activities</w:t>
      </w:r>
      <w:r w:rsidR="00006ADF">
        <w:t xml:space="preserve"> as they significantly scale up their investments</w:t>
      </w:r>
      <w:r>
        <w:t xml:space="preserve">, </w:t>
      </w:r>
      <w:r w:rsidR="00006ADF">
        <w:t>particularly en</w:t>
      </w:r>
      <w:r>
        <w:t>gaging in economic reform and infrastructure.</w:t>
      </w:r>
    </w:p>
    <w:p w14:paraId="37EAD239" w14:textId="77777777" w:rsidR="00184F1E" w:rsidRPr="002A51CA" w:rsidRDefault="00184F1E"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468FAE65" w14:textId="47DAEBD5"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B400FD">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351A7442" w14:textId="77777777" w:rsidTr="00CD1652">
        <w:tc>
          <w:tcPr>
            <w:tcW w:w="6374" w:type="dxa"/>
          </w:tcPr>
          <w:p w14:paraId="112242CB" w14:textId="77777777" w:rsidR="00CD1652" w:rsidRPr="00415402" w:rsidRDefault="00CD1652" w:rsidP="00CE49BB">
            <w:pPr>
              <w:rPr>
                <w:b/>
                <w:sz w:val="24"/>
              </w:rPr>
            </w:pPr>
            <w:r w:rsidRPr="00415402">
              <w:rPr>
                <w:sz w:val="20"/>
              </w:rPr>
              <w:t>Objective</w:t>
            </w:r>
          </w:p>
        </w:tc>
        <w:tc>
          <w:tcPr>
            <w:tcW w:w="1423" w:type="dxa"/>
          </w:tcPr>
          <w:p w14:paraId="6A692103" w14:textId="77777777" w:rsidR="00CD1652" w:rsidRDefault="00CD1652" w:rsidP="00CE49BB">
            <w:pPr>
              <w:jc w:val="center"/>
              <w:rPr>
                <w:b/>
                <w:sz w:val="24"/>
              </w:rPr>
            </w:pPr>
            <w:r w:rsidRPr="00BE6C6D">
              <w:rPr>
                <w:sz w:val="20"/>
              </w:rPr>
              <w:t>A$ million</w:t>
            </w:r>
          </w:p>
        </w:tc>
        <w:tc>
          <w:tcPr>
            <w:tcW w:w="1417" w:type="dxa"/>
          </w:tcPr>
          <w:p w14:paraId="5E2463ED" w14:textId="77777777" w:rsidR="00CD1652" w:rsidRDefault="00CD1652" w:rsidP="00CE49BB">
            <w:pPr>
              <w:jc w:val="center"/>
              <w:rPr>
                <w:b/>
                <w:sz w:val="24"/>
              </w:rPr>
            </w:pPr>
            <w:r w:rsidRPr="00BE6C6D">
              <w:rPr>
                <w:sz w:val="20"/>
              </w:rPr>
              <w:t>% of total ODA</w:t>
            </w:r>
          </w:p>
        </w:tc>
      </w:tr>
      <w:tr w:rsidR="00CD1652" w14:paraId="7B9FDEDF" w14:textId="77777777" w:rsidTr="00CD1652">
        <w:tc>
          <w:tcPr>
            <w:tcW w:w="6374" w:type="dxa"/>
          </w:tcPr>
          <w:p w14:paraId="52EAD6CD" w14:textId="77777777" w:rsidR="00CD1652" w:rsidRPr="00415402" w:rsidRDefault="007B6A66">
            <w:pPr>
              <w:rPr>
                <w:b/>
                <w:sz w:val="24"/>
              </w:rPr>
            </w:pPr>
            <w:r w:rsidRPr="00415402">
              <w:rPr>
                <w:sz w:val="20"/>
              </w:rPr>
              <w:t>Objective 1 Governance, economic and private sector development reforms</w:t>
            </w:r>
            <w:r w:rsidR="00A20ED1" w:rsidRPr="00322991">
              <w:rPr>
                <w:sz w:val="20"/>
              </w:rPr>
              <w:t xml:space="preserve"> (including gender equality)</w:t>
            </w:r>
          </w:p>
        </w:tc>
        <w:tc>
          <w:tcPr>
            <w:tcW w:w="1423" w:type="dxa"/>
          </w:tcPr>
          <w:p w14:paraId="163F539D" w14:textId="77777777" w:rsidR="00CD1652" w:rsidRDefault="00415402" w:rsidP="001F7D3E">
            <w:pPr>
              <w:jc w:val="right"/>
              <w:rPr>
                <w:b/>
                <w:sz w:val="24"/>
              </w:rPr>
            </w:pPr>
            <w:r>
              <w:rPr>
                <w:b/>
                <w:sz w:val="24"/>
              </w:rPr>
              <w:t>10.5</w:t>
            </w:r>
          </w:p>
        </w:tc>
        <w:tc>
          <w:tcPr>
            <w:tcW w:w="1417" w:type="dxa"/>
          </w:tcPr>
          <w:p w14:paraId="1677590C" w14:textId="77777777" w:rsidR="00CD1652" w:rsidRDefault="00322991" w:rsidP="001F7D3E">
            <w:pPr>
              <w:jc w:val="right"/>
              <w:rPr>
                <w:b/>
                <w:sz w:val="24"/>
              </w:rPr>
            </w:pPr>
            <w:r>
              <w:rPr>
                <w:b/>
                <w:sz w:val="24"/>
              </w:rPr>
              <w:t>36</w:t>
            </w:r>
          </w:p>
        </w:tc>
      </w:tr>
      <w:tr w:rsidR="007B6A66" w14:paraId="6A63E6DA" w14:textId="77777777" w:rsidTr="00CD1652">
        <w:tc>
          <w:tcPr>
            <w:tcW w:w="6374" w:type="dxa"/>
          </w:tcPr>
          <w:p w14:paraId="3F361616" w14:textId="77777777" w:rsidR="007B6A66" w:rsidRPr="00415402" w:rsidRDefault="007B6A66" w:rsidP="007B6A66">
            <w:pPr>
              <w:rPr>
                <w:sz w:val="20"/>
              </w:rPr>
            </w:pPr>
            <w:r w:rsidRPr="00415402">
              <w:rPr>
                <w:sz w:val="20"/>
              </w:rPr>
              <w:t xml:space="preserve">Objective 2 A more effective, efficient and equitable health system </w:t>
            </w:r>
            <w:r w:rsidR="00A20ED1" w:rsidRPr="00322991">
              <w:rPr>
                <w:sz w:val="20"/>
              </w:rPr>
              <w:t>(including disaster resilience and preparedness)</w:t>
            </w:r>
          </w:p>
        </w:tc>
        <w:tc>
          <w:tcPr>
            <w:tcW w:w="1423" w:type="dxa"/>
          </w:tcPr>
          <w:p w14:paraId="18FA1440" w14:textId="77777777" w:rsidR="007B6A66" w:rsidRDefault="00415402" w:rsidP="001F7D3E">
            <w:pPr>
              <w:jc w:val="right"/>
              <w:rPr>
                <w:b/>
                <w:sz w:val="24"/>
              </w:rPr>
            </w:pPr>
            <w:r>
              <w:rPr>
                <w:b/>
                <w:sz w:val="24"/>
              </w:rPr>
              <w:t>2.6</w:t>
            </w:r>
          </w:p>
        </w:tc>
        <w:tc>
          <w:tcPr>
            <w:tcW w:w="1417" w:type="dxa"/>
          </w:tcPr>
          <w:p w14:paraId="4CE78EF3" w14:textId="77777777" w:rsidR="007B6A66" w:rsidRDefault="00322991" w:rsidP="001F7D3E">
            <w:pPr>
              <w:jc w:val="right"/>
              <w:rPr>
                <w:b/>
                <w:sz w:val="24"/>
              </w:rPr>
            </w:pPr>
            <w:r>
              <w:rPr>
                <w:b/>
                <w:sz w:val="24"/>
              </w:rPr>
              <w:t>9</w:t>
            </w:r>
          </w:p>
        </w:tc>
      </w:tr>
      <w:tr w:rsidR="007B6A66" w14:paraId="322A77EC" w14:textId="77777777" w:rsidTr="00CD1652">
        <w:tc>
          <w:tcPr>
            <w:tcW w:w="6374" w:type="dxa"/>
          </w:tcPr>
          <w:p w14:paraId="159C2C96" w14:textId="77777777" w:rsidR="00A20ED1" w:rsidRPr="00415402" w:rsidRDefault="007B6A66" w:rsidP="007B6A66">
            <w:pPr>
              <w:rPr>
                <w:sz w:val="20"/>
              </w:rPr>
            </w:pPr>
            <w:r w:rsidRPr="00415402">
              <w:rPr>
                <w:sz w:val="20"/>
              </w:rPr>
              <w:t xml:space="preserve">Objective 3 Skills development in support of economic opportunities for Tongan workers </w:t>
            </w:r>
            <w:r w:rsidR="00A20ED1" w:rsidRPr="00322991">
              <w:rPr>
                <w:sz w:val="20"/>
              </w:rPr>
              <w:t>(including scholarships)</w:t>
            </w:r>
          </w:p>
        </w:tc>
        <w:tc>
          <w:tcPr>
            <w:tcW w:w="1423" w:type="dxa"/>
          </w:tcPr>
          <w:p w14:paraId="236745D8" w14:textId="77777777" w:rsidR="007B6A66" w:rsidRDefault="00A20ED1" w:rsidP="001F7D3E">
            <w:pPr>
              <w:jc w:val="right"/>
              <w:rPr>
                <w:b/>
                <w:sz w:val="24"/>
              </w:rPr>
            </w:pPr>
            <w:r>
              <w:rPr>
                <w:b/>
                <w:sz w:val="24"/>
              </w:rPr>
              <w:t>4.</w:t>
            </w:r>
            <w:r w:rsidR="00415402">
              <w:rPr>
                <w:b/>
                <w:sz w:val="24"/>
              </w:rPr>
              <w:t>5</w:t>
            </w:r>
          </w:p>
        </w:tc>
        <w:tc>
          <w:tcPr>
            <w:tcW w:w="1417" w:type="dxa"/>
          </w:tcPr>
          <w:p w14:paraId="4BEF30A8" w14:textId="77777777" w:rsidR="007B6A66" w:rsidRDefault="00322991" w:rsidP="001F7D3E">
            <w:pPr>
              <w:jc w:val="right"/>
              <w:rPr>
                <w:b/>
                <w:sz w:val="24"/>
              </w:rPr>
            </w:pPr>
            <w:r>
              <w:rPr>
                <w:b/>
                <w:sz w:val="24"/>
              </w:rPr>
              <w:t>16</w:t>
            </w:r>
          </w:p>
        </w:tc>
      </w:tr>
      <w:tr w:rsidR="00CD1652" w14:paraId="3AFEDAEC" w14:textId="77777777" w:rsidTr="00CD1652">
        <w:tc>
          <w:tcPr>
            <w:tcW w:w="6374" w:type="dxa"/>
          </w:tcPr>
          <w:p w14:paraId="224758E0" w14:textId="77777777" w:rsidR="00CD1652" w:rsidRDefault="00CD1652" w:rsidP="00CE49BB">
            <w:pPr>
              <w:rPr>
                <w:b/>
                <w:sz w:val="24"/>
              </w:rPr>
            </w:pPr>
            <w:r w:rsidRPr="00BE6C6D">
              <w:rPr>
                <w:sz w:val="20"/>
              </w:rPr>
              <w:t>Sub-Total Bilateral</w:t>
            </w:r>
          </w:p>
        </w:tc>
        <w:tc>
          <w:tcPr>
            <w:tcW w:w="1423" w:type="dxa"/>
          </w:tcPr>
          <w:p w14:paraId="26294F6F" w14:textId="77777777" w:rsidR="00CD1652" w:rsidRDefault="00A81508" w:rsidP="001F7D3E">
            <w:pPr>
              <w:jc w:val="right"/>
              <w:rPr>
                <w:b/>
                <w:sz w:val="24"/>
              </w:rPr>
            </w:pPr>
            <w:r>
              <w:rPr>
                <w:b/>
                <w:sz w:val="24"/>
              </w:rPr>
              <w:t>17.6</w:t>
            </w:r>
          </w:p>
        </w:tc>
        <w:tc>
          <w:tcPr>
            <w:tcW w:w="1417" w:type="dxa"/>
          </w:tcPr>
          <w:p w14:paraId="19D928CC" w14:textId="77777777" w:rsidR="00CD1652" w:rsidRDefault="00A81508" w:rsidP="001F7D3E">
            <w:pPr>
              <w:jc w:val="right"/>
              <w:rPr>
                <w:b/>
                <w:sz w:val="24"/>
              </w:rPr>
            </w:pPr>
            <w:r>
              <w:rPr>
                <w:b/>
                <w:sz w:val="24"/>
              </w:rPr>
              <w:t>61</w:t>
            </w:r>
          </w:p>
        </w:tc>
      </w:tr>
      <w:tr w:rsidR="00CD1652" w14:paraId="78A73FD6" w14:textId="77777777" w:rsidTr="00CD1652">
        <w:tc>
          <w:tcPr>
            <w:tcW w:w="6374" w:type="dxa"/>
          </w:tcPr>
          <w:p w14:paraId="5E216E24" w14:textId="77777777" w:rsidR="00CD1652" w:rsidRDefault="00CD1652" w:rsidP="00CE49BB">
            <w:pPr>
              <w:rPr>
                <w:b/>
                <w:sz w:val="24"/>
              </w:rPr>
            </w:pPr>
            <w:r w:rsidRPr="00BE6C6D">
              <w:rPr>
                <w:sz w:val="20"/>
              </w:rPr>
              <w:t>Regional and Global</w:t>
            </w:r>
          </w:p>
        </w:tc>
        <w:tc>
          <w:tcPr>
            <w:tcW w:w="1423" w:type="dxa"/>
          </w:tcPr>
          <w:p w14:paraId="438B562F" w14:textId="77777777" w:rsidR="00CD1652" w:rsidRDefault="00A81508" w:rsidP="001F7D3E">
            <w:pPr>
              <w:jc w:val="right"/>
              <w:rPr>
                <w:b/>
                <w:sz w:val="24"/>
              </w:rPr>
            </w:pPr>
            <w:r>
              <w:rPr>
                <w:b/>
                <w:sz w:val="24"/>
              </w:rPr>
              <w:t>9</w:t>
            </w:r>
            <w:r w:rsidR="0022750D">
              <w:rPr>
                <w:b/>
                <w:sz w:val="24"/>
              </w:rPr>
              <w:t>.0</w:t>
            </w:r>
          </w:p>
        </w:tc>
        <w:tc>
          <w:tcPr>
            <w:tcW w:w="1417" w:type="dxa"/>
          </w:tcPr>
          <w:p w14:paraId="5376339F" w14:textId="77777777" w:rsidR="00CD1652" w:rsidRDefault="00A81508" w:rsidP="001F7D3E">
            <w:pPr>
              <w:jc w:val="right"/>
              <w:rPr>
                <w:b/>
                <w:sz w:val="24"/>
              </w:rPr>
            </w:pPr>
            <w:r>
              <w:rPr>
                <w:b/>
                <w:sz w:val="24"/>
              </w:rPr>
              <w:t>31</w:t>
            </w:r>
          </w:p>
        </w:tc>
      </w:tr>
      <w:tr w:rsidR="00CD1652" w14:paraId="197E67C7" w14:textId="77777777" w:rsidTr="00CD1652">
        <w:tc>
          <w:tcPr>
            <w:tcW w:w="6374" w:type="dxa"/>
          </w:tcPr>
          <w:p w14:paraId="4348F638" w14:textId="77777777" w:rsidR="00CD1652" w:rsidRDefault="00CD1652" w:rsidP="00CE49BB">
            <w:pPr>
              <w:rPr>
                <w:b/>
                <w:sz w:val="24"/>
              </w:rPr>
            </w:pPr>
            <w:r w:rsidRPr="00BE6C6D">
              <w:rPr>
                <w:sz w:val="20"/>
              </w:rPr>
              <w:t xml:space="preserve">Other </w:t>
            </w:r>
            <w:r w:rsidR="0022750D">
              <w:rPr>
                <w:sz w:val="20"/>
              </w:rPr>
              <w:t xml:space="preserve">Australian </w:t>
            </w:r>
            <w:r w:rsidRPr="00BE6C6D">
              <w:rPr>
                <w:sz w:val="20"/>
              </w:rPr>
              <w:t>Government Departments</w:t>
            </w:r>
          </w:p>
        </w:tc>
        <w:tc>
          <w:tcPr>
            <w:tcW w:w="1423" w:type="dxa"/>
          </w:tcPr>
          <w:p w14:paraId="611A9763" w14:textId="77777777" w:rsidR="00CD1652" w:rsidRDefault="00DA0CB9" w:rsidP="001F7D3E">
            <w:pPr>
              <w:jc w:val="right"/>
              <w:rPr>
                <w:b/>
                <w:sz w:val="24"/>
              </w:rPr>
            </w:pPr>
            <w:r>
              <w:rPr>
                <w:b/>
                <w:sz w:val="24"/>
              </w:rPr>
              <w:t>2.3</w:t>
            </w:r>
          </w:p>
        </w:tc>
        <w:tc>
          <w:tcPr>
            <w:tcW w:w="1417" w:type="dxa"/>
          </w:tcPr>
          <w:p w14:paraId="542E9106" w14:textId="77777777" w:rsidR="00CD1652" w:rsidRDefault="00A81508" w:rsidP="001F7D3E">
            <w:pPr>
              <w:jc w:val="right"/>
              <w:rPr>
                <w:b/>
                <w:sz w:val="24"/>
              </w:rPr>
            </w:pPr>
            <w:r>
              <w:rPr>
                <w:b/>
                <w:sz w:val="24"/>
              </w:rPr>
              <w:t>8</w:t>
            </w:r>
          </w:p>
        </w:tc>
      </w:tr>
      <w:tr w:rsidR="00CD1652" w14:paraId="198D6F1A" w14:textId="77777777" w:rsidTr="00CD1652">
        <w:tc>
          <w:tcPr>
            <w:tcW w:w="6374" w:type="dxa"/>
          </w:tcPr>
          <w:p w14:paraId="215FF38B" w14:textId="77777777" w:rsidR="00CD1652" w:rsidRDefault="00CD1652" w:rsidP="00CE49BB">
            <w:pPr>
              <w:rPr>
                <w:b/>
                <w:sz w:val="24"/>
              </w:rPr>
            </w:pPr>
            <w:r w:rsidRPr="00BE6C6D">
              <w:rPr>
                <w:sz w:val="20"/>
              </w:rPr>
              <w:t>Total ODA Expenditure</w:t>
            </w:r>
          </w:p>
        </w:tc>
        <w:tc>
          <w:tcPr>
            <w:tcW w:w="1423" w:type="dxa"/>
          </w:tcPr>
          <w:p w14:paraId="790EE273" w14:textId="77777777" w:rsidR="00CD1652" w:rsidRDefault="00A81508" w:rsidP="001F7D3E">
            <w:pPr>
              <w:jc w:val="right"/>
              <w:rPr>
                <w:b/>
                <w:sz w:val="24"/>
              </w:rPr>
            </w:pPr>
            <w:r>
              <w:rPr>
                <w:b/>
                <w:sz w:val="24"/>
              </w:rPr>
              <w:t>28.9</w:t>
            </w:r>
          </w:p>
        </w:tc>
        <w:tc>
          <w:tcPr>
            <w:tcW w:w="1417" w:type="dxa"/>
          </w:tcPr>
          <w:p w14:paraId="4B125681" w14:textId="77777777" w:rsidR="00CD1652" w:rsidRDefault="00CD1652" w:rsidP="001F7D3E">
            <w:pPr>
              <w:jc w:val="right"/>
              <w:rPr>
                <w:b/>
                <w:sz w:val="24"/>
              </w:rPr>
            </w:pPr>
          </w:p>
        </w:tc>
      </w:tr>
    </w:tbl>
    <w:p w14:paraId="61EC02EC" w14:textId="77777777" w:rsidR="0073298B" w:rsidRDefault="0073298B"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p>
    <w:p w14:paraId="363906B4" w14:textId="77777777" w:rsidR="0073298B" w:rsidRDefault="0073298B"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p>
    <w:p w14:paraId="44C3019B" w14:textId="77777777" w:rsidR="0073298B" w:rsidRDefault="0073298B"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p>
    <w:p w14:paraId="08216576" w14:textId="77777777"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lastRenderedPageBreak/>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331EDD03"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043E24A8"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019CE73F" wp14:editId="7B601474">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5F10EAC4" w14:textId="77777777" w:rsidR="002A4A0E" w:rsidRPr="00812509" w:rsidRDefault="002A4A0E" w:rsidP="00E65105">
            <w:pPr>
              <w:pStyle w:val="TableTextColumnHeading"/>
            </w:pPr>
            <w:r w:rsidRPr="00812509">
              <w:t>Previous Rating</w:t>
            </w:r>
          </w:p>
        </w:tc>
        <w:tc>
          <w:tcPr>
            <w:tcW w:w="402" w:type="dxa"/>
          </w:tcPr>
          <w:p w14:paraId="270B41B6" w14:textId="77777777" w:rsidR="002A4A0E" w:rsidRPr="00812509" w:rsidRDefault="002A4A0E" w:rsidP="00E65105">
            <w:pPr>
              <w:pStyle w:val="TableTextColumnHeading"/>
            </w:pPr>
          </w:p>
        </w:tc>
        <w:tc>
          <w:tcPr>
            <w:tcW w:w="1167" w:type="dxa"/>
          </w:tcPr>
          <w:p w14:paraId="75E4BB28" w14:textId="77777777" w:rsidR="002A4A0E" w:rsidRPr="00812509" w:rsidRDefault="002A4A0E" w:rsidP="00E65105">
            <w:pPr>
              <w:pStyle w:val="TableTextColumnHeading"/>
            </w:pPr>
            <w:r w:rsidRPr="00812509">
              <w:t>Current Rating</w:t>
            </w:r>
          </w:p>
        </w:tc>
        <w:tc>
          <w:tcPr>
            <w:tcW w:w="996" w:type="dxa"/>
          </w:tcPr>
          <w:p w14:paraId="62ECD7C7" w14:textId="77777777" w:rsidR="002A4A0E" w:rsidRPr="002A4A0E" w:rsidRDefault="002A4A0E" w:rsidP="00E65105">
            <w:pPr>
              <w:pStyle w:val="TableTextColumnHeading"/>
            </w:pPr>
          </w:p>
        </w:tc>
      </w:tr>
      <w:tr w:rsidR="00217E99" w:rsidRPr="00812509" w14:paraId="1BF547D2" w14:textId="77777777" w:rsidTr="002C0D31">
        <w:trPr>
          <w:cnfStyle w:val="000000010000" w:firstRow="0" w:lastRow="0" w:firstColumn="0" w:lastColumn="0" w:oddVBand="0" w:evenVBand="0" w:oddHBand="0" w:evenHBand="1" w:firstRowFirstColumn="0" w:firstRowLastColumn="0" w:lastRowFirstColumn="0" w:lastRowLastColumn="0"/>
        </w:trPr>
        <w:tc>
          <w:tcPr>
            <w:tcW w:w="5807" w:type="dxa"/>
          </w:tcPr>
          <w:p w14:paraId="42118F43" w14:textId="77777777" w:rsidR="00217E99" w:rsidRPr="00812509" w:rsidRDefault="00217E99" w:rsidP="00217E99">
            <w:pPr>
              <w:pStyle w:val="Default"/>
              <w:rPr>
                <w:rFonts w:asciiTheme="minorHAnsi" w:hAnsiTheme="minorHAnsi"/>
              </w:rPr>
            </w:pPr>
            <w:r>
              <w:rPr>
                <w:sz w:val="16"/>
                <w:szCs w:val="16"/>
              </w:rPr>
              <w:t xml:space="preserve">Objective 1 Governance, economic and private sector development reforms </w:t>
            </w:r>
          </w:p>
        </w:tc>
        <w:tc>
          <w:tcPr>
            <w:tcW w:w="1098" w:type="dxa"/>
            <w:shd w:val="clear" w:color="auto" w:fill="72AF2F"/>
            <w:noWrap/>
          </w:tcPr>
          <w:p w14:paraId="36B1C8A5" w14:textId="77777777" w:rsidR="00217E99" w:rsidRPr="00812509" w:rsidRDefault="00217E99" w:rsidP="00217E9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5D6B2A78" w14:textId="77777777" w:rsidR="00217E99" w:rsidRPr="00812509" w:rsidRDefault="00217E99" w:rsidP="00217E99">
            <w:pPr>
              <w:pStyle w:val="TableTextEntries"/>
              <w:jc w:val="center"/>
              <w:rPr>
                <w:rFonts w:asciiTheme="minorHAnsi" w:hAnsiTheme="minorHAnsi"/>
                <w:color w:val="FFFFFF" w:themeColor="background1"/>
              </w:rPr>
            </w:pPr>
          </w:p>
        </w:tc>
        <w:tc>
          <w:tcPr>
            <w:tcW w:w="1167" w:type="dxa"/>
            <w:shd w:val="clear" w:color="auto" w:fill="7FB64D" w:themeFill="accent3" w:themeFillShade="BF"/>
            <w:noWrap/>
          </w:tcPr>
          <w:p w14:paraId="73493733" w14:textId="77777777" w:rsidR="00217E99" w:rsidRPr="00812509" w:rsidRDefault="002C0D31" w:rsidP="00217E9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5AD79829" w14:textId="77777777" w:rsidR="00217E99" w:rsidRPr="002A4A0E" w:rsidRDefault="00217E99" w:rsidP="00217E99">
            <w:pPr>
              <w:pStyle w:val="TableTextEntries"/>
              <w:jc w:val="center"/>
              <w:rPr>
                <w:rFonts w:asciiTheme="minorHAnsi" w:hAnsiTheme="minorHAnsi"/>
                <w:color w:val="FFFFFF" w:themeColor="background1"/>
              </w:rPr>
            </w:pPr>
          </w:p>
        </w:tc>
      </w:tr>
      <w:tr w:rsidR="00217E99" w:rsidRPr="00812509" w14:paraId="016543D3" w14:textId="77777777" w:rsidTr="005737C3">
        <w:trPr>
          <w:cnfStyle w:val="000000010000" w:firstRow="0" w:lastRow="0" w:firstColumn="0" w:lastColumn="0" w:oddVBand="0" w:evenVBand="0" w:oddHBand="0" w:evenHBand="1" w:firstRowFirstColumn="0" w:firstRowLastColumn="0" w:lastRowFirstColumn="0" w:lastRowLastColumn="0"/>
          <w:trHeight w:val="254"/>
        </w:trPr>
        <w:tc>
          <w:tcPr>
            <w:tcW w:w="5807" w:type="dxa"/>
          </w:tcPr>
          <w:p w14:paraId="2BD0FE7C" w14:textId="77777777" w:rsidR="00217E99" w:rsidRPr="00812509" w:rsidRDefault="00217E99" w:rsidP="00217E99">
            <w:pPr>
              <w:pStyle w:val="Default"/>
              <w:rPr>
                <w:rFonts w:asciiTheme="minorHAnsi" w:hAnsiTheme="minorHAnsi"/>
              </w:rPr>
            </w:pPr>
            <w:r>
              <w:rPr>
                <w:sz w:val="16"/>
                <w:szCs w:val="16"/>
              </w:rPr>
              <w:t xml:space="preserve">Objective 2 A more effective, efficient and equitable health system  </w:t>
            </w:r>
          </w:p>
        </w:tc>
        <w:tc>
          <w:tcPr>
            <w:tcW w:w="1098" w:type="dxa"/>
            <w:shd w:val="clear" w:color="auto" w:fill="72AF2F"/>
            <w:noWrap/>
          </w:tcPr>
          <w:p w14:paraId="0BBFA18F" w14:textId="77777777" w:rsidR="00217E99" w:rsidRPr="00812509" w:rsidRDefault="00217E99" w:rsidP="00217E9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51A59B81" w14:textId="77777777" w:rsidR="00217E99" w:rsidRPr="00812509" w:rsidRDefault="00217E99" w:rsidP="00217E99">
            <w:pPr>
              <w:pStyle w:val="TableTextEntries"/>
              <w:jc w:val="center"/>
              <w:rPr>
                <w:rFonts w:asciiTheme="minorHAnsi" w:hAnsiTheme="minorHAnsi"/>
                <w:color w:val="FFFFFF" w:themeColor="background1"/>
              </w:rPr>
            </w:pPr>
          </w:p>
        </w:tc>
        <w:tc>
          <w:tcPr>
            <w:tcW w:w="1167" w:type="dxa"/>
            <w:shd w:val="clear" w:color="auto" w:fill="FF9900"/>
            <w:noWrap/>
          </w:tcPr>
          <w:p w14:paraId="594B7250" w14:textId="5601FB18" w:rsidR="00217E99" w:rsidRPr="00812509" w:rsidRDefault="006A3755" w:rsidP="002C0D31">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996" w:type="dxa"/>
            <w:shd w:val="clear" w:color="auto" w:fill="auto"/>
          </w:tcPr>
          <w:p w14:paraId="3E6D47B8" w14:textId="77777777" w:rsidR="00217E99" w:rsidRPr="002A4A0E" w:rsidRDefault="00217E99" w:rsidP="00217E99">
            <w:pPr>
              <w:pStyle w:val="TableTextEntries"/>
              <w:jc w:val="center"/>
              <w:rPr>
                <w:rFonts w:asciiTheme="minorHAnsi" w:hAnsiTheme="minorHAnsi"/>
                <w:color w:val="FFFFFF" w:themeColor="background1"/>
              </w:rPr>
            </w:pPr>
          </w:p>
        </w:tc>
      </w:tr>
      <w:tr w:rsidR="00217E99" w:rsidRPr="00812509" w14:paraId="541F2389" w14:textId="77777777" w:rsidTr="002C0D31">
        <w:trPr>
          <w:cnfStyle w:val="000000010000" w:firstRow="0" w:lastRow="0" w:firstColumn="0" w:lastColumn="0" w:oddVBand="0" w:evenVBand="0" w:oddHBand="0" w:evenHBand="1" w:firstRowFirstColumn="0" w:firstRowLastColumn="0" w:lastRowFirstColumn="0" w:lastRowLastColumn="0"/>
          <w:trHeight w:val="216"/>
        </w:trPr>
        <w:tc>
          <w:tcPr>
            <w:tcW w:w="5807" w:type="dxa"/>
          </w:tcPr>
          <w:p w14:paraId="24E7B14C" w14:textId="77777777" w:rsidR="00217E99" w:rsidRPr="00812509" w:rsidRDefault="00217E99" w:rsidP="00217E99">
            <w:pPr>
              <w:pStyle w:val="Default"/>
              <w:rPr>
                <w:rFonts w:asciiTheme="minorHAnsi" w:hAnsiTheme="minorHAnsi"/>
              </w:rPr>
            </w:pPr>
            <w:r>
              <w:rPr>
                <w:sz w:val="16"/>
                <w:szCs w:val="16"/>
              </w:rPr>
              <w:t xml:space="preserve">Objective 3 Skills development in support of economic opportunities for Tongan workers </w:t>
            </w:r>
          </w:p>
        </w:tc>
        <w:tc>
          <w:tcPr>
            <w:tcW w:w="1098" w:type="dxa"/>
            <w:shd w:val="clear" w:color="auto" w:fill="72AF2F"/>
            <w:noWrap/>
          </w:tcPr>
          <w:p w14:paraId="67897A90" w14:textId="77777777" w:rsidR="00217E99" w:rsidRPr="00812509" w:rsidRDefault="00217E99" w:rsidP="00217E9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202FD65F" w14:textId="77777777" w:rsidR="00217E99" w:rsidRPr="00812509" w:rsidRDefault="00217E99" w:rsidP="00217E99">
            <w:pPr>
              <w:pStyle w:val="TableTextEntries"/>
              <w:jc w:val="center"/>
              <w:rPr>
                <w:rFonts w:asciiTheme="minorHAnsi" w:hAnsiTheme="minorHAnsi"/>
                <w:color w:val="FFFFFF" w:themeColor="background1"/>
              </w:rPr>
            </w:pPr>
          </w:p>
        </w:tc>
        <w:tc>
          <w:tcPr>
            <w:tcW w:w="1167" w:type="dxa"/>
            <w:shd w:val="clear" w:color="auto" w:fill="7FB64D" w:themeFill="accent3" w:themeFillShade="BF"/>
            <w:noWrap/>
          </w:tcPr>
          <w:p w14:paraId="663FB375" w14:textId="77777777" w:rsidR="00217E99" w:rsidRPr="00812509" w:rsidRDefault="002C0D31" w:rsidP="00217E9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34D46B24" w14:textId="77777777" w:rsidR="00217E99" w:rsidRPr="002A4A0E" w:rsidRDefault="00217E99" w:rsidP="00217E99">
            <w:pPr>
              <w:pStyle w:val="TableTextEntries"/>
              <w:jc w:val="center"/>
              <w:rPr>
                <w:rFonts w:asciiTheme="minorHAnsi" w:hAnsiTheme="minorHAnsi"/>
                <w:color w:val="FFFFFF" w:themeColor="background1"/>
              </w:rPr>
            </w:pPr>
          </w:p>
        </w:tc>
      </w:tr>
    </w:tbl>
    <w:p w14:paraId="49A32858"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134F8F30"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6E34E865"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7EC46139"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4ED2D5B2" w14:textId="77777777" w:rsidR="005B5769" w:rsidRPr="00C4114C" w:rsidRDefault="005B5769" w:rsidP="005B5769">
      <w:pPr>
        <w:pStyle w:val="Note"/>
      </w:pPr>
      <w:r w:rsidRPr="00C4114C">
        <w:t xml:space="preserve">  </w:t>
      </w:r>
    </w:p>
    <w:p w14:paraId="095CEF99" w14:textId="77777777" w:rsidR="00695730" w:rsidRDefault="00DB7838" w:rsidP="00C523F9">
      <w:pPr>
        <w:rPr>
          <w:rFonts w:asciiTheme="majorHAnsi" w:eastAsiaTheme="majorEastAsia" w:hAnsiTheme="majorHAnsi" w:cstheme="majorBidi"/>
          <w:caps/>
          <w:sz w:val="38"/>
          <w:szCs w:val="26"/>
        </w:rPr>
      </w:pPr>
      <w:r w:rsidRPr="00DB7838">
        <w:rPr>
          <w:rFonts w:asciiTheme="majorHAnsi" w:eastAsiaTheme="majorEastAsia" w:hAnsiTheme="majorHAnsi" w:cstheme="majorBidi"/>
          <w:caps/>
          <w:sz w:val="38"/>
          <w:szCs w:val="26"/>
        </w:rPr>
        <w:t xml:space="preserve">Objective 1: Governance, economic and private sector development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14:paraId="10C48487" w14:textId="77777777" w:rsidTr="00CD1652">
        <w:tc>
          <w:tcPr>
            <w:tcW w:w="2016" w:type="dxa"/>
          </w:tcPr>
          <w:p w14:paraId="4D608391" w14:textId="77777777" w:rsidR="00695730" w:rsidRPr="00695730" w:rsidRDefault="00ED4EE6"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FFDABAA" wp14:editId="31AF7200">
                  <wp:extent cx="1028700" cy="65107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035183" cy="655179"/>
                          </a:xfrm>
                          <a:prstGeom prst="rect">
                            <a:avLst/>
                          </a:prstGeom>
                        </pic:spPr>
                      </pic:pic>
                    </a:graphicData>
                  </a:graphic>
                </wp:inline>
              </w:drawing>
            </w:r>
          </w:p>
        </w:tc>
        <w:tc>
          <w:tcPr>
            <w:tcW w:w="1904" w:type="dxa"/>
          </w:tcPr>
          <w:p w14:paraId="0AA43A5B"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2B52A4A" wp14:editId="6B242CE0">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595F5F04" w14:textId="77777777" w:rsidR="00695730" w:rsidRPr="00695730" w:rsidRDefault="00D067B4"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65DA7EF7" wp14:editId="0A45B1A9">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3ACD11DE" w14:textId="77777777" w:rsidR="00695730" w:rsidRPr="00695730" w:rsidRDefault="00D067B4"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EBD5166" wp14:editId="2FE887F4">
                  <wp:extent cx="609600" cy="609600"/>
                  <wp:effectExtent l="0" t="0" r="0" b="0"/>
                  <wp:docPr id="27" name="Picture 2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68333D53" w14:textId="77777777" w:rsidR="00695730" w:rsidRPr="00695730" w:rsidRDefault="00D067B4" w:rsidP="00D067B4">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6B46393" wp14:editId="515CC043">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5E1CEDAE" w14:textId="77777777" w:rsidR="00596BC3" w:rsidRDefault="00F4219D" w:rsidP="00F04E54">
      <w:pPr>
        <w:spacing w:before="240" w:line="240" w:lineRule="auto"/>
      </w:pPr>
      <w:r>
        <w:t xml:space="preserve">This objective has been given a green performance rating, </w:t>
      </w:r>
      <w:r w:rsidR="00B61BC8">
        <w:t xml:space="preserve">as all the performance benchmarks have been met. The program is an excellent example of effective donor coordination and has strong government ownership. </w:t>
      </w:r>
      <w:r w:rsidR="00596BC3">
        <w:t>Investments in renewable and urban infrastructure remain highly relevant and are effectively implemented by the ADB. Our Public Financial Management (PFM) support complements our budget support from a risk management perspective, enabling stronger oversight by Tonga’s financial management institutions.</w:t>
      </w:r>
    </w:p>
    <w:p w14:paraId="16D726B9" w14:textId="77777777" w:rsidR="00840444" w:rsidRDefault="00DB7838" w:rsidP="00F04E54">
      <w:pPr>
        <w:spacing w:before="240" w:line="240" w:lineRule="auto"/>
      </w:pPr>
      <w:r>
        <w:t xml:space="preserve">Australia is supporting governance, </w:t>
      </w:r>
      <w:r w:rsidR="001F7D3E">
        <w:t xml:space="preserve">and </w:t>
      </w:r>
      <w:r>
        <w:t xml:space="preserve">economic and private sector development reforms in Tonga through the </w:t>
      </w:r>
      <w:r>
        <w:rPr>
          <w:i/>
          <w:iCs/>
        </w:rPr>
        <w:t xml:space="preserve">Tonga Economic and Public Sector Governance Program Phase Three </w:t>
      </w:r>
      <w:r>
        <w:t>(EPSG III)</w:t>
      </w:r>
      <w:r w:rsidR="001F7D3E">
        <w:t xml:space="preserve">. This </w:t>
      </w:r>
      <w:r>
        <w:t xml:space="preserve">supports a medium-term program of economic reform, known as the </w:t>
      </w:r>
      <w:r>
        <w:rPr>
          <w:i/>
          <w:iCs/>
        </w:rPr>
        <w:t xml:space="preserve">Joint Policy Reform Matrix </w:t>
      </w:r>
      <w:r>
        <w:t xml:space="preserve">(JPRM), agreed by the Government of Tonga and like-minded donors including Australia. </w:t>
      </w:r>
      <w:r w:rsidR="00235702">
        <w:t>These reforms to strengthen revenue, effectively manage government expenditure, reduce debt and promote economic growth, have progressed well with Australian and other donor support.</w:t>
      </w:r>
      <w:r w:rsidR="00F04E54">
        <w:t xml:space="preserve"> Australian support has also enhanced Tonga’s economic growth and trade capabilities through targeted infrastructure investments.</w:t>
      </w:r>
    </w:p>
    <w:p w14:paraId="56F53A02" w14:textId="77777777" w:rsidR="00F04E54" w:rsidRDefault="00F04E54" w:rsidP="00F04E54">
      <w:pPr>
        <w:spacing w:before="240" w:line="240" w:lineRule="auto"/>
        <w:rPr>
          <w:rFonts w:eastAsia="Times New Roman"/>
        </w:rPr>
      </w:pPr>
      <w:r>
        <w:t xml:space="preserve">Under the JPRM, </w:t>
      </w:r>
      <w:r w:rsidR="001F7D3E">
        <w:t>Australia</w:t>
      </w:r>
      <w:r>
        <w:t xml:space="preserve"> and other development partners supported the Government of Tonga</w:t>
      </w:r>
      <w:r w:rsidR="000F38DE">
        <w:t xml:space="preserve"> to</w:t>
      </w:r>
      <w:r>
        <w:t xml:space="preserve"> achieve </w:t>
      </w:r>
      <w:r w:rsidR="0092113A">
        <w:t xml:space="preserve">all the triggers in </w:t>
      </w:r>
      <w:r>
        <w:t xml:space="preserve">its reform program, which delivered the following key achievements in 2016-17: </w:t>
      </w:r>
    </w:p>
    <w:p w14:paraId="18BF3E6A" w14:textId="77777777" w:rsidR="00F04E54" w:rsidRDefault="00F04E54" w:rsidP="00F04E54">
      <w:pPr>
        <w:pStyle w:val="ListParagraph"/>
        <w:numPr>
          <w:ilvl w:val="0"/>
          <w:numId w:val="41"/>
        </w:numPr>
        <w:spacing w:before="240" w:line="240" w:lineRule="auto"/>
        <w:rPr>
          <w:rFonts w:eastAsia="Times New Roman"/>
        </w:rPr>
      </w:pPr>
      <w:r>
        <w:rPr>
          <w:rFonts w:eastAsia="Times New Roman"/>
        </w:rPr>
        <w:t xml:space="preserve">Approval of fiscal targets that will support medium-term fiscal sustainability, which will guide budget decision-making from the </w:t>
      </w:r>
      <w:r w:rsidR="0022750D">
        <w:rPr>
          <w:rFonts w:eastAsia="Times New Roman"/>
        </w:rPr>
        <w:t>2017-18</w:t>
      </w:r>
      <w:r>
        <w:rPr>
          <w:rFonts w:eastAsia="Times New Roman"/>
        </w:rPr>
        <w:t xml:space="preserve"> onwards. </w:t>
      </w:r>
      <w:r w:rsidRPr="005F5CE0">
        <w:rPr>
          <w:rFonts w:eastAsia="Times New Roman"/>
        </w:rPr>
        <w:t>The targets are designed</w:t>
      </w:r>
      <w:r w:rsidR="0049148C">
        <w:rPr>
          <w:rFonts w:eastAsia="Times New Roman"/>
        </w:rPr>
        <w:t xml:space="preserve"> to</w:t>
      </w:r>
      <w:r w:rsidRPr="005F5CE0">
        <w:rPr>
          <w:rFonts w:eastAsia="Times New Roman"/>
        </w:rPr>
        <w:t xml:space="preserve"> </w:t>
      </w:r>
      <w:r w:rsidR="0049148C">
        <w:rPr>
          <w:rFonts w:eastAsia="Times New Roman"/>
        </w:rPr>
        <w:t>withstand</w:t>
      </w:r>
      <w:r w:rsidR="0049148C" w:rsidRPr="005F5CE0">
        <w:rPr>
          <w:rFonts w:eastAsia="Times New Roman"/>
        </w:rPr>
        <w:t xml:space="preserve"> </w:t>
      </w:r>
      <w:r w:rsidRPr="005F5CE0">
        <w:rPr>
          <w:rFonts w:eastAsia="Times New Roman"/>
        </w:rPr>
        <w:t>potential economic shocks of similar magnitude to Tonga’s historical experience.</w:t>
      </w:r>
    </w:p>
    <w:p w14:paraId="7BCA1A42" w14:textId="77777777" w:rsidR="00F04E54" w:rsidRDefault="00F04E54" w:rsidP="00F04E54">
      <w:pPr>
        <w:pStyle w:val="ListParagraph"/>
        <w:numPr>
          <w:ilvl w:val="0"/>
          <w:numId w:val="41"/>
        </w:numPr>
        <w:spacing w:before="240" w:line="240" w:lineRule="auto"/>
        <w:rPr>
          <w:rFonts w:eastAsia="Times New Roman"/>
        </w:rPr>
      </w:pPr>
      <w:r>
        <w:rPr>
          <w:rFonts w:eastAsia="Times New Roman"/>
        </w:rPr>
        <w:t>The implementation of import duties and excise taxes to discourage alcohol and tobacco consumption, and the removal of duty on healthy foods.</w:t>
      </w:r>
    </w:p>
    <w:p w14:paraId="135E4732" w14:textId="77777777" w:rsidR="00F04E54" w:rsidRPr="005F5CE0" w:rsidRDefault="00F04E54" w:rsidP="00F04E54">
      <w:pPr>
        <w:pStyle w:val="ListParagraph"/>
        <w:numPr>
          <w:ilvl w:val="0"/>
          <w:numId w:val="41"/>
        </w:numPr>
        <w:spacing w:before="240" w:line="240" w:lineRule="auto"/>
        <w:rPr>
          <w:rFonts w:eastAsia="Times New Roman"/>
        </w:rPr>
      </w:pPr>
      <w:r>
        <w:rPr>
          <w:rFonts w:eastAsia="Times New Roman"/>
        </w:rPr>
        <w:t>The introduction of major reforms to public service management, to ensure a fair, consistent and fiscally sustainable pay setting across the public service.</w:t>
      </w:r>
    </w:p>
    <w:p w14:paraId="22DE0E53" w14:textId="77777777" w:rsidR="00F04E54" w:rsidRDefault="00F04E54" w:rsidP="00F04E54">
      <w:pPr>
        <w:spacing w:before="240" w:line="240" w:lineRule="auto"/>
      </w:pPr>
      <w:r>
        <w:lastRenderedPageBreak/>
        <w:t xml:space="preserve">In delivering activities under this objective, Australia worked closely with development partners including New Zealand, the World Bank, the </w:t>
      </w:r>
      <w:r w:rsidR="001F7D3E">
        <w:t>ADB</w:t>
      </w:r>
      <w:r>
        <w:t xml:space="preserve"> an</w:t>
      </w:r>
      <w:r w:rsidR="001F7D3E">
        <w:t>d the European Union. The JPRM</w:t>
      </w:r>
      <w:r>
        <w:t xml:space="preserve"> has proven to be an efficient and effective mechanism for donor harmonisation in Tonga.</w:t>
      </w:r>
      <w:r>
        <w:rPr>
          <w:sz w:val="14"/>
          <w:szCs w:val="14"/>
        </w:rPr>
        <w:t xml:space="preserve"> </w:t>
      </w:r>
      <w:r>
        <w:t xml:space="preserve">The performance benchmark for this objective has been met, with the Government of Tonga having satisfactorily completed the agreed 2016-17 economic, public financial management and private sector reform actions under the JPRM. As a result, JPRM donor funding was released for the financial year. </w:t>
      </w:r>
    </w:p>
    <w:p w14:paraId="3BD852BB" w14:textId="77777777" w:rsidR="000B1544" w:rsidRDefault="000B1544" w:rsidP="000B1544">
      <w:pPr>
        <w:rPr>
          <w:color w:val="auto"/>
          <w:lang w:val="en-AU"/>
        </w:rPr>
      </w:pPr>
      <w:r>
        <w:t xml:space="preserve">Australian Government agreements with </w:t>
      </w:r>
      <w:r w:rsidRPr="00BA2394">
        <w:t>regional organisations such as the Pacific Association for Supreme Audit Institutions (PASAI) and the Pacific Islands Centre for Public Administration (PICPA</w:t>
      </w:r>
      <w:r w:rsidR="00FC0617" w:rsidRPr="00BA2394">
        <w:t>) help advance the Government of Tonga’s PFM Roadmap</w:t>
      </w:r>
      <w:r w:rsidRPr="00BA2394">
        <w:t>. With the help of PASAI, Tonga’s Office of the Auditor General</w:t>
      </w:r>
      <w:r>
        <w:t xml:space="preserve"> (TOAG) developed and endorsed a communications strategy, to help improve public awareness of</w:t>
      </w:r>
      <w:r w:rsidR="00AA5C7A">
        <w:t xml:space="preserve"> the</w:t>
      </w:r>
      <w:r>
        <w:t xml:space="preserve"> value and benefits of the TOAG. PASAI also provided assistance to </w:t>
      </w:r>
      <w:r w:rsidR="001F7D3E">
        <w:t xml:space="preserve">the </w:t>
      </w:r>
      <w:r>
        <w:t>Tonga</w:t>
      </w:r>
      <w:r w:rsidR="001F7D3E">
        <w:t>n p</w:t>
      </w:r>
      <w:r>
        <w:t>arliament’s Public Accounts Committee, developing a framework and procedures for reviewing and scrutinising of external audit reports. PICPA, on the other hand, provided well targeted assistance to Tonga’s Public Service Commission (PSC). T</w:t>
      </w:r>
      <w:r w:rsidR="00AA5C7A">
        <w:t>his included</w:t>
      </w:r>
      <w:r>
        <w:t xml:space="preserve"> workshops to improve </w:t>
      </w:r>
      <w:r w:rsidR="00AA5C7A">
        <w:t xml:space="preserve">the </w:t>
      </w:r>
      <w:r>
        <w:t xml:space="preserve">skills of civil servants in writing job descriptions, conducting effective job interviews, and providing monitoring and counselling </w:t>
      </w:r>
      <w:r w:rsidR="00AA5C7A">
        <w:t xml:space="preserve">to staff </w:t>
      </w:r>
      <w:r>
        <w:t xml:space="preserve">to improve workplace performance, </w:t>
      </w:r>
      <w:r w:rsidR="00AA5C7A">
        <w:t xml:space="preserve">lending to </w:t>
      </w:r>
      <w:r>
        <w:t xml:space="preserve">effective implementation of PSC’s Performance Management System in the Tonga Public Service. In addition, Australia also funds the placement of two procurement advisers within the Central Procurement Unit of Tonga’s Ministry of Finance and National Planning. The advisers have helped to improve Tonga’s procurement compliance by providing training to both the public and private sectors, and </w:t>
      </w:r>
      <w:r w:rsidR="00AA5C7A">
        <w:t xml:space="preserve">has </w:t>
      </w:r>
      <w:r>
        <w:t>work</w:t>
      </w:r>
      <w:r w:rsidR="00AA5C7A">
        <w:t>ed</w:t>
      </w:r>
      <w:r>
        <w:t xml:space="preserve"> closely with procurement officers from various line ministries. </w:t>
      </w:r>
    </w:p>
    <w:p w14:paraId="74EA9BD5" w14:textId="77777777" w:rsidR="00F04E54" w:rsidRDefault="00F04E54" w:rsidP="00F04E54">
      <w:pPr>
        <w:spacing w:before="240" w:line="240" w:lineRule="auto"/>
      </w:pPr>
      <w:r>
        <w:t xml:space="preserve">Despite policy dialogue, gender equality considerations are still not effectively integrated under the JPRM. In the lead up to negotiations around new JPRM funding, Australia will </w:t>
      </w:r>
      <w:r w:rsidR="00291966">
        <w:t>focus on gender in its upcoming review of our economic sector investments and ensure that economic reforms that focus on positive gender outcomes are prioritised in the next JPRM.</w:t>
      </w:r>
      <w:r>
        <w:t xml:space="preserve"> </w:t>
      </w:r>
    </w:p>
    <w:p w14:paraId="67693AA7" w14:textId="77777777" w:rsidR="000774A7" w:rsidRDefault="00DB7838" w:rsidP="000774A7">
      <w:pPr>
        <w:spacing w:before="240" w:line="240" w:lineRule="auto"/>
      </w:pPr>
      <w:r>
        <w:t xml:space="preserve">Other bilateral investments that support Objective 1 include the </w:t>
      </w:r>
      <w:r>
        <w:rPr>
          <w:i/>
          <w:iCs/>
        </w:rPr>
        <w:t>Outer Islands Renewable Energy Project</w:t>
      </w:r>
      <w:r w:rsidR="00AA5C7A">
        <w:rPr>
          <w:i/>
          <w:iCs/>
        </w:rPr>
        <w:t>/OIREP</w:t>
      </w:r>
      <w:r>
        <w:rPr>
          <w:i/>
          <w:iCs/>
        </w:rPr>
        <w:t xml:space="preserve"> </w:t>
      </w:r>
      <w:r>
        <w:t xml:space="preserve">(co-financed with the Asian Development Bank); </w:t>
      </w:r>
      <w:r w:rsidR="00840444">
        <w:t xml:space="preserve">the </w:t>
      </w:r>
      <w:r w:rsidR="00840444" w:rsidRPr="00840444">
        <w:t>Nuku’alofa Urban Sector Development Project (NUDSP)</w:t>
      </w:r>
      <w:r>
        <w:t xml:space="preserve">; and two private sector development pilot projects in Vava’u and ‘Eua - aimed at strengthening the vanilla industry and the agricultural sector more broadly. </w:t>
      </w:r>
      <w:r w:rsidR="00A024ED">
        <w:t>This investment achieved its expected outcomes of:</w:t>
      </w:r>
    </w:p>
    <w:p w14:paraId="4AFC17AC" w14:textId="77777777" w:rsidR="00D259B5" w:rsidRDefault="00D259B5" w:rsidP="00D259B5">
      <w:pPr>
        <w:pStyle w:val="ListParagraph"/>
        <w:numPr>
          <w:ilvl w:val="0"/>
          <w:numId w:val="42"/>
        </w:numPr>
        <w:spacing w:before="240" w:line="240" w:lineRule="auto"/>
      </w:pPr>
      <w:r>
        <w:t xml:space="preserve">Commissioning solar power plants on the outer islands of Eua and Ha’apai under OIREP, generating 750kWh of renewable </w:t>
      </w:r>
      <w:r w:rsidRPr="00B05735">
        <w:t>energy with 1,300</w:t>
      </w:r>
      <w:r>
        <w:t xml:space="preserve"> m</w:t>
      </w:r>
      <w:r w:rsidRPr="00B05735">
        <w:t>Wh of energy storage, saving</w:t>
      </w:r>
      <w:r>
        <w:t xml:space="preserve"> half a million litres of diesel annually.</w:t>
      </w:r>
    </w:p>
    <w:p w14:paraId="4424F6C1" w14:textId="77777777" w:rsidR="00D259B5" w:rsidRDefault="00D259B5" w:rsidP="00D259B5">
      <w:pPr>
        <w:pStyle w:val="ListParagraph"/>
        <w:numPr>
          <w:ilvl w:val="0"/>
          <w:numId w:val="42"/>
        </w:numPr>
        <w:spacing w:before="240" w:line="240" w:lineRule="auto"/>
      </w:pPr>
      <w:r>
        <w:t xml:space="preserve">The construction of two new reservoirs that will provide Tongatapu with a reliable source of water under the NUDSP. </w:t>
      </w:r>
    </w:p>
    <w:p w14:paraId="591B18B6" w14:textId="77777777" w:rsidR="003462E1" w:rsidRDefault="00E02DF1" w:rsidP="00CD1652">
      <w:pPr>
        <w:spacing w:before="240" w:line="240" w:lineRule="auto"/>
      </w:pPr>
      <w:r>
        <w:t>Reporting under the</w:t>
      </w:r>
      <w:r w:rsidR="00AC1921" w:rsidRPr="00AC1921">
        <w:t xml:space="preserve"> </w:t>
      </w:r>
      <w:r w:rsidRPr="00AC1921">
        <w:t xml:space="preserve">NUDSP </w:t>
      </w:r>
      <w:r w:rsidR="00AC1921" w:rsidRPr="00AC1921">
        <w:t>Gender Action Plan</w:t>
      </w:r>
      <w:r w:rsidR="00301A9E">
        <w:t xml:space="preserve"> (GAP)</w:t>
      </w:r>
      <w:r w:rsidR="00AC1921" w:rsidRPr="00AC1921">
        <w:t xml:space="preserve"> indicate</w:t>
      </w:r>
      <w:r>
        <w:t>d</w:t>
      </w:r>
      <w:r w:rsidR="00AC1921" w:rsidRPr="00AC1921">
        <w:t xml:space="preserve"> equal participation and consultation</w:t>
      </w:r>
      <w:r>
        <w:t xml:space="preserve"> of men and women affected by and involved in the project during preparatory surveys, studies, assessments and other consultative mechanisms. </w:t>
      </w:r>
      <w:r w:rsidR="002016E1">
        <w:t xml:space="preserve">Gender focal points were also established in municipal service providers, with Tonga Waste Authority Ltd employing women for 50 per cent of waste management worker positions. </w:t>
      </w:r>
      <w:r w:rsidR="00301A9E">
        <w:t xml:space="preserve">Significant gains have also been made under the OIREP GAP, however, the lack of women entering into training </w:t>
      </w:r>
      <w:r w:rsidR="00CC31DD">
        <w:t xml:space="preserve">relevant to the energy industry </w:t>
      </w:r>
      <w:r w:rsidR="0016767B">
        <w:t>has</w:t>
      </w:r>
      <w:r w:rsidR="00CC31DD">
        <w:t xml:space="preserve"> been identified as a </w:t>
      </w:r>
      <w:r w:rsidR="006D7C54">
        <w:t>barrier to</w:t>
      </w:r>
      <w:r w:rsidR="00CC31DD">
        <w:t xml:space="preserve"> female employment targets.</w:t>
      </w:r>
      <w:r w:rsidR="006D7C54">
        <w:t xml:space="preserve"> Australia will continue to pursue linkages between OIREP, Tonga Skills and Tonga Power Ltd to encourage greater training opportunities for women. </w:t>
      </w:r>
    </w:p>
    <w:p w14:paraId="7F8FECB5" w14:textId="77777777" w:rsidR="0073298B" w:rsidRDefault="0073298B" w:rsidP="00DB7838">
      <w:pPr>
        <w:rPr>
          <w:rFonts w:asciiTheme="majorHAnsi" w:eastAsiaTheme="majorEastAsia" w:hAnsiTheme="majorHAnsi" w:cstheme="majorBidi"/>
          <w:caps/>
          <w:sz w:val="38"/>
          <w:szCs w:val="26"/>
        </w:rPr>
      </w:pPr>
    </w:p>
    <w:p w14:paraId="4F78DFDA" w14:textId="77777777" w:rsidR="0073298B" w:rsidRDefault="0073298B" w:rsidP="00DB7838">
      <w:pPr>
        <w:rPr>
          <w:rFonts w:asciiTheme="majorHAnsi" w:eastAsiaTheme="majorEastAsia" w:hAnsiTheme="majorHAnsi" w:cstheme="majorBidi"/>
          <w:caps/>
          <w:sz w:val="38"/>
          <w:szCs w:val="26"/>
        </w:rPr>
      </w:pPr>
    </w:p>
    <w:p w14:paraId="6B309106" w14:textId="77777777" w:rsidR="00DB7838" w:rsidRDefault="00DB7838" w:rsidP="00DB7838">
      <w:pPr>
        <w:rPr>
          <w:rFonts w:asciiTheme="majorHAnsi" w:eastAsiaTheme="majorEastAsia" w:hAnsiTheme="majorHAnsi" w:cstheme="majorBidi"/>
          <w:caps/>
          <w:sz w:val="38"/>
          <w:szCs w:val="26"/>
        </w:rPr>
      </w:pPr>
      <w:r w:rsidRPr="00DB7838">
        <w:rPr>
          <w:rFonts w:asciiTheme="majorHAnsi" w:eastAsiaTheme="majorEastAsia" w:hAnsiTheme="majorHAnsi" w:cstheme="majorBidi"/>
          <w:caps/>
          <w:sz w:val="38"/>
          <w:szCs w:val="26"/>
        </w:rPr>
        <w:lastRenderedPageBreak/>
        <w:t xml:space="preserve">Objective 2: A more effective, efficient and equitable health system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D067B4" w:rsidRPr="00695730" w14:paraId="29C34258" w14:textId="77777777" w:rsidTr="000F38DE">
        <w:tc>
          <w:tcPr>
            <w:tcW w:w="2016" w:type="dxa"/>
          </w:tcPr>
          <w:p w14:paraId="4138836C" w14:textId="77777777" w:rsidR="00D067B4" w:rsidRPr="00695730" w:rsidRDefault="00D067B4" w:rsidP="000F38DE">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E48BD94" wp14:editId="779DBE8A">
                  <wp:extent cx="1028700" cy="65107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035183" cy="655179"/>
                          </a:xfrm>
                          <a:prstGeom prst="rect">
                            <a:avLst/>
                          </a:prstGeom>
                        </pic:spPr>
                      </pic:pic>
                    </a:graphicData>
                  </a:graphic>
                </wp:inline>
              </w:drawing>
            </w:r>
          </w:p>
        </w:tc>
        <w:tc>
          <w:tcPr>
            <w:tcW w:w="1904" w:type="dxa"/>
          </w:tcPr>
          <w:p w14:paraId="3016A3F9"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9A3A3FF" wp14:editId="15D7752F">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6F9D43D9"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5B7562F" wp14:editId="6571EED6">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7F40C51A"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EE4768F" wp14:editId="7DA53E96">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72D67E96"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p>
        </w:tc>
      </w:tr>
    </w:tbl>
    <w:p w14:paraId="0BA07164" w14:textId="66764720" w:rsidR="006A3755" w:rsidRDefault="00F85B45" w:rsidP="00F85B45">
      <w:r w:rsidRPr="00F85B45">
        <w:t>This objective has been given a</w:t>
      </w:r>
      <w:r w:rsidR="006A3755">
        <w:t>n amber</w:t>
      </w:r>
      <w:r w:rsidR="006A3755" w:rsidRPr="00F85B45">
        <w:t xml:space="preserve"> </w:t>
      </w:r>
      <w:r w:rsidRPr="00F85B45">
        <w:t>performance rating</w:t>
      </w:r>
      <w:r w:rsidR="007F636D">
        <w:t xml:space="preserve">. The main </w:t>
      </w:r>
      <w:r w:rsidR="006A3755">
        <w:t>indicators</w:t>
      </w:r>
      <w:r w:rsidR="007F636D">
        <w:t xml:space="preserve"> of </w:t>
      </w:r>
      <w:r w:rsidR="006A3755">
        <w:t xml:space="preserve">Tonga’s </w:t>
      </w:r>
      <w:r w:rsidR="007F636D">
        <w:t>budgetary commitment</w:t>
      </w:r>
      <w:r w:rsidR="006A3755">
        <w:t xml:space="preserve"> to health</w:t>
      </w:r>
      <w:r w:rsidR="007F636D">
        <w:t xml:space="preserve"> ha</w:t>
      </w:r>
      <w:r w:rsidR="005737C3">
        <w:t>ve</w:t>
      </w:r>
      <w:r w:rsidR="007F636D">
        <w:t xml:space="preserve"> been met,</w:t>
      </w:r>
      <w:r w:rsidR="006A3755">
        <w:t xml:space="preserve"> and the partnership in the health sector is strong. However</w:t>
      </w:r>
      <w:r w:rsidR="005737C3">
        <w:t>,</w:t>
      </w:r>
      <w:r w:rsidR="006A3755">
        <w:t xml:space="preserve"> there have been</w:t>
      </w:r>
      <w:r w:rsidR="007F636D">
        <w:t xml:space="preserve"> delays in</w:t>
      </w:r>
      <w:r w:rsidR="007F636D" w:rsidRPr="007F636D">
        <w:t xml:space="preserve"> </w:t>
      </w:r>
      <w:r w:rsidR="006A3755">
        <w:t>other</w:t>
      </w:r>
      <w:r w:rsidR="007F636D">
        <w:t xml:space="preserve"> areas</w:t>
      </w:r>
      <w:r w:rsidR="006A3755">
        <w:t xml:space="preserve"> resulting in the performance benchmarks </w:t>
      </w:r>
      <w:r w:rsidR="005737C3">
        <w:t xml:space="preserve">only </w:t>
      </w:r>
      <w:r w:rsidR="006A3755">
        <w:t>being partially met, as well as ongoing challenges in measuring and reporting higher level outcomes.</w:t>
      </w:r>
    </w:p>
    <w:p w14:paraId="42D4FB91" w14:textId="53A2122F" w:rsidR="00F85B45" w:rsidRPr="00F85B45" w:rsidRDefault="00F85B45" w:rsidP="00F85B45">
      <w:r w:rsidRPr="00F85B45">
        <w:t>The primary investment—the Tonga Health System Support Program (THSSP2) ($16.4 million, 2015</w:t>
      </w:r>
      <w:r w:rsidRPr="00F85B45">
        <w:noBreakHyphen/>
        <w:t xml:space="preserve">20)—remains an extremely strong </w:t>
      </w:r>
      <w:r w:rsidR="00F2378A">
        <w:t xml:space="preserve">component of the </w:t>
      </w:r>
      <w:r w:rsidRPr="00F85B45">
        <w:t>relationship between Australia and the Ministry of Health (MoH). MoH achieved the expected level of budget expenditure for the year, in line with the activity plan</w:t>
      </w:r>
      <w:r w:rsidR="00F2378A">
        <w:t>.</w:t>
      </w:r>
      <w:r w:rsidRPr="00F85B45">
        <w:t xml:space="preserve"> MoH als</w:t>
      </w:r>
      <w:r w:rsidR="0073298B">
        <w:t>o conducted a full review of its</w:t>
      </w:r>
      <w:r w:rsidRPr="00F85B45">
        <w:t xml:space="preserve"> corporate structure to realign it to deliver the required services, which we expect will increase efficiency and effectiveness of service delivery in future. The Tonga Health Promotion Foundation </w:t>
      </w:r>
      <w:r w:rsidR="00AA5C7A">
        <w:t xml:space="preserve">(Tonga Health) </w:t>
      </w:r>
      <w:r w:rsidRPr="00F85B45">
        <w:t xml:space="preserve">has continued to build on </w:t>
      </w:r>
      <w:r w:rsidR="007D5FC4">
        <w:t xml:space="preserve">the success of </w:t>
      </w:r>
      <w:r w:rsidRPr="00F85B45">
        <w:t>previous behaviour change campaigns and is actively planning to improve both grant implementation and monitoring and evaluation. Ongoing advisory support in both MoH and Tonga Health has continued to deliver high quality support to Tonga’s systems.</w:t>
      </w:r>
    </w:p>
    <w:p w14:paraId="7FC3BC18" w14:textId="77777777" w:rsidR="00F85B45" w:rsidRPr="00F85B45" w:rsidRDefault="00F85B45" w:rsidP="00F85B45">
      <w:r w:rsidRPr="00F85B45">
        <w:t xml:space="preserve">There have been significant challenges experienced in the program, including delays in implementing grant activities, low quality monitoring and evaluation systems, and little progress on sustainable capacity development in procurement systems due to the existing low base of capacity and resourcing. </w:t>
      </w:r>
    </w:p>
    <w:p w14:paraId="1313DD6E" w14:textId="77777777" w:rsidR="00F85B45" w:rsidRPr="00F85B45" w:rsidRDefault="00F85B45" w:rsidP="00F85B45">
      <w:r w:rsidRPr="00F85B45">
        <w:t>THSSP2 has a focus on the management of non-communicable diseases (NCDs) in primary care, NCD health promotion, and support for gender equality and social inclusion, and is aligned with the MoH</w:t>
      </w:r>
      <w:r w:rsidR="00AA5C7A">
        <w:t>’s</w:t>
      </w:r>
      <w:r w:rsidRPr="00F85B45">
        <w:t xml:space="preserve"> own </w:t>
      </w:r>
      <w:r w:rsidR="007D5FC4">
        <w:t>c</w:t>
      </w:r>
      <w:r w:rsidRPr="00F85B45">
        <w:t xml:space="preserve">orporate </w:t>
      </w:r>
      <w:r w:rsidR="007D5FC4">
        <w:t>p</w:t>
      </w:r>
      <w:r w:rsidRPr="00F85B45">
        <w:t xml:space="preserve">lan. THSSP2 also includes a $2.1 million grant agreement with Tonga Health </w:t>
      </w:r>
      <w:r w:rsidR="00AA5C7A">
        <w:t>t</w:t>
      </w:r>
      <w:r w:rsidRPr="00F85B45">
        <w:t xml:space="preserve">o implement and coordinate Tonga’s national </w:t>
      </w:r>
      <w:r w:rsidR="007D5FC4">
        <w:t>NCD</w:t>
      </w:r>
      <w:r w:rsidRPr="00F85B45">
        <w:t xml:space="preserve"> strategy. The program incorporates $3.3 million of funding dedicated to disability inclusive development.</w:t>
      </w:r>
    </w:p>
    <w:p w14:paraId="7C229069" w14:textId="77777777" w:rsidR="00F85B45" w:rsidRPr="00F85B45" w:rsidRDefault="00F85B45" w:rsidP="00F85B45">
      <w:r w:rsidRPr="00F85B45">
        <w:t xml:space="preserve">In 2016-17, with </w:t>
      </w:r>
      <w:r w:rsidR="007D5FC4">
        <w:t>Australian</w:t>
      </w:r>
      <w:r w:rsidRPr="00F85B45">
        <w:t xml:space="preserve"> technical and financial support, results also included:</w:t>
      </w:r>
    </w:p>
    <w:p w14:paraId="550B08F9" w14:textId="77777777" w:rsidR="00F85B45" w:rsidRPr="00F85B45" w:rsidRDefault="00F85B45" w:rsidP="00F85B45">
      <w:pPr>
        <w:pStyle w:val="ListParagraph"/>
        <w:numPr>
          <w:ilvl w:val="0"/>
          <w:numId w:val="38"/>
        </w:numPr>
      </w:pPr>
      <w:r w:rsidRPr="00F85B45">
        <w:t xml:space="preserve">continuation of the </w:t>
      </w:r>
      <w:r w:rsidRPr="00F85B45">
        <w:rPr>
          <w:i/>
        </w:rPr>
        <w:t>Tuku Ifi Leva</w:t>
      </w:r>
      <w:r w:rsidRPr="00F85B45">
        <w:t xml:space="preserve"> (quit smoking now) anti-tobacco campaign using a multi-media platform and quitline. Results of this campaign will be evaluated and reported later in 2017.</w:t>
      </w:r>
    </w:p>
    <w:p w14:paraId="236429FA" w14:textId="77777777" w:rsidR="00F85B45" w:rsidRPr="00F85B45" w:rsidRDefault="00F85B45" w:rsidP="00F85B45">
      <w:pPr>
        <w:pStyle w:val="ListParagraph"/>
        <w:numPr>
          <w:ilvl w:val="0"/>
          <w:numId w:val="38"/>
        </w:numPr>
      </w:pPr>
      <w:r w:rsidRPr="00F85B45">
        <w:t xml:space="preserve">improved </w:t>
      </w:r>
      <w:r w:rsidR="007D5FC4">
        <w:t xml:space="preserve">services </w:t>
      </w:r>
      <w:r w:rsidRPr="00F85B45">
        <w:t xml:space="preserve">to Tonga’s outer islands, including </w:t>
      </w:r>
      <w:r w:rsidR="007D5FC4">
        <w:t xml:space="preserve">in </w:t>
      </w:r>
      <w:r w:rsidR="00F02C46">
        <w:t>m</w:t>
      </w:r>
      <w:r w:rsidRPr="00F85B45">
        <w:t xml:space="preserve">ental </w:t>
      </w:r>
      <w:r w:rsidR="00F02C46">
        <w:t>h</w:t>
      </w:r>
      <w:r w:rsidRPr="00F85B45">
        <w:t xml:space="preserve">ealth, </w:t>
      </w:r>
      <w:r w:rsidR="00F02C46">
        <w:t>o</w:t>
      </w:r>
      <w:r w:rsidRPr="00F85B45">
        <w:t>bstetrics</w:t>
      </w:r>
      <w:r w:rsidR="00F02C46">
        <w:t xml:space="preserve"> and gynaecology, and d</w:t>
      </w:r>
      <w:r w:rsidRPr="00F85B45">
        <w:t xml:space="preserve">iabetes services. These outreach activities included clinical services, training to health workers, and clinical needs assessments. </w:t>
      </w:r>
    </w:p>
    <w:p w14:paraId="54AB166A" w14:textId="77777777" w:rsidR="00F85B45" w:rsidRPr="00F85B45" w:rsidRDefault="00F85B45" w:rsidP="00F85B45">
      <w:pPr>
        <w:pStyle w:val="ListParagraph"/>
        <w:numPr>
          <w:ilvl w:val="0"/>
          <w:numId w:val="38"/>
        </w:numPr>
      </w:pPr>
      <w:r w:rsidRPr="00F85B45">
        <w:t>to improve services and leadership to achieve THSSP2 objectives, a number of training activities were carried out across the sector to improve clinical skills, clinical services management, and procurement. Training activities were planned and funded from a central MoH training budget</w:t>
      </w:r>
    </w:p>
    <w:p w14:paraId="4287BBFF" w14:textId="77777777" w:rsidR="00F85B45" w:rsidRPr="00F85B45" w:rsidRDefault="00F85B45" w:rsidP="00F85B45">
      <w:pPr>
        <w:pStyle w:val="ListParagraph"/>
        <w:numPr>
          <w:ilvl w:val="0"/>
          <w:numId w:val="38"/>
        </w:numPr>
      </w:pPr>
      <w:r w:rsidRPr="00F85B45">
        <w:t xml:space="preserve">development of a work health and safety policy for the MoH to ensure personnel have a safe working environment. The policy will begin to be implemented in 2017-18 </w:t>
      </w:r>
    </w:p>
    <w:p w14:paraId="6C43F728" w14:textId="77777777" w:rsidR="00F85B45" w:rsidRPr="00F85B45" w:rsidRDefault="00F85B45" w:rsidP="00F85B45">
      <w:pPr>
        <w:pStyle w:val="ListParagraph"/>
        <w:numPr>
          <w:ilvl w:val="0"/>
          <w:numId w:val="38"/>
        </w:numPr>
      </w:pPr>
      <w:r w:rsidRPr="00F85B45">
        <w:t xml:space="preserve">a pilot program for the </w:t>
      </w:r>
      <w:r w:rsidRPr="007D5FC4">
        <w:t>digital health information system</w:t>
      </w:r>
      <w:r w:rsidRPr="00F85B45">
        <w:t xml:space="preserve"> within the Ministry of Health’s reproductive health section. Australia will continue to work with Tonga and partners including the World Bank and the </w:t>
      </w:r>
      <w:r w:rsidR="007D5FC4">
        <w:t>ADB</w:t>
      </w:r>
      <w:r w:rsidRPr="00F85B45">
        <w:t xml:space="preserve"> to implement digital health information systems across health systems.</w:t>
      </w:r>
    </w:p>
    <w:p w14:paraId="066DAB5A" w14:textId="77777777" w:rsidR="00F85B45" w:rsidRPr="00F85B45" w:rsidRDefault="00F85B45" w:rsidP="00F85B45">
      <w:r w:rsidRPr="00F85B45">
        <w:t xml:space="preserve">THSSP2 contributed to a twinning arrangement between Vaiola Hospital in Nuku’alofa and St. John of God Hospital in Ballarat which supports a reciprocal visits program between hospital staff. In 2016-17 eight Tongan medical and hospital staff were trained in Australia, and six St John of God representatives delivered training in Tonga on short-term exchanges. </w:t>
      </w:r>
    </w:p>
    <w:p w14:paraId="38534BE0" w14:textId="77777777" w:rsidR="00F85B45" w:rsidRPr="00F85B45" w:rsidRDefault="00F85B45" w:rsidP="00F85B45">
      <w:r w:rsidRPr="00F85B45">
        <w:lastRenderedPageBreak/>
        <w:t>The two performance benchmarks for this objective have been partially met. The Government of Tonga has met the target of maintaining its own budgetary commitments to the health sector above the baseline set in 2015-16. However</w:t>
      </w:r>
      <w:r w:rsidR="007D5FC4">
        <w:t>,</w:t>
      </w:r>
      <w:r w:rsidRPr="00F85B45">
        <w:t xml:space="preserve"> the expected </w:t>
      </w:r>
      <w:r w:rsidRPr="007D5FC4">
        <w:t>Essential Package of Services, which</w:t>
      </w:r>
      <w:r w:rsidRPr="00F85B45">
        <w:t xml:space="preserve"> is an important aspect of achieving universal health coverage, remains under development. The delivery of reporting on performance against NCDs benchmarks and reporting on reduction in smoking prevalence has been delayed and is expected to be delivered later in 2017.</w:t>
      </w:r>
    </w:p>
    <w:p w14:paraId="6E92A258" w14:textId="77777777" w:rsidR="00F85B45" w:rsidRPr="00F85B45" w:rsidRDefault="00F85B45" w:rsidP="00F85B45">
      <w:r w:rsidRPr="00F85B45">
        <w:t xml:space="preserve">While Tonga continues to work with partners towards improving the availability and use of health data, the need to strengthen existing monitoring and evaluation frameworks for THSSP2 is evident. A review of the monitoring and evaluation framework undertaken in October 2016 found that the existing framework required strengthening and that performance indicators needed to be amended. A new framework has now been developed and agreed, and is being incorporated into regular </w:t>
      </w:r>
      <w:r w:rsidR="007D5FC4">
        <w:t>m</w:t>
      </w:r>
      <w:r w:rsidRPr="00F85B45">
        <w:t>inistry reporting systems. Australia will continue to seek to strengthen reporting systems to help us better understand the impact of the program and adapt our activities to be most effective.</w:t>
      </w:r>
    </w:p>
    <w:p w14:paraId="0A6AFF3C" w14:textId="77777777" w:rsidR="00F85B45" w:rsidRPr="00C57FA9" w:rsidRDefault="00F85B45" w:rsidP="00F85B45">
      <w:r w:rsidRPr="00F85B45">
        <w:t>The MoH is increasingly incorporating gender and social inclusion into annual corporate workplans and measurements of performance. We supported MoH to improve sex-disaggregated data collection and reporting, and hold workshops that create a mechanism for women to be involved in leadership discussions. Planning and preparatory activities for the new disability inclusive development funding were completed as planned over the year, including the development of a Disability Inclusive Health Plan and Disability Analysis to focus the MoH’s investments in disability services. We expect there will be a significant increase in the rate of activity implementation in 2017-18.</w:t>
      </w:r>
    </w:p>
    <w:p w14:paraId="45CE5E9D" w14:textId="77777777" w:rsidR="00DB7838" w:rsidRDefault="00DB7838" w:rsidP="00DB7838">
      <w:pPr>
        <w:rPr>
          <w:rFonts w:asciiTheme="majorHAnsi" w:eastAsiaTheme="majorEastAsia" w:hAnsiTheme="majorHAnsi" w:cstheme="majorBidi"/>
          <w:caps/>
          <w:sz w:val="38"/>
          <w:szCs w:val="26"/>
        </w:rPr>
      </w:pPr>
      <w:r w:rsidRPr="00DB7838">
        <w:rPr>
          <w:rFonts w:asciiTheme="majorHAnsi" w:eastAsiaTheme="majorEastAsia" w:hAnsiTheme="majorHAnsi" w:cstheme="majorBidi"/>
          <w:caps/>
          <w:sz w:val="38"/>
          <w:szCs w:val="26"/>
        </w:rPr>
        <w:t xml:space="preserve">Objective 3: Skills development in support of economic opportunities for Tongan workers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D067B4" w:rsidRPr="00695730" w14:paraId="0AFFB866" w14:textId="77777777" w:rsidTr="000F38DE">
        <w:tc>
          <w:tcPr>
            <w:tcW w:w="2016" w:type="dxa"/>
          </w:tcPr>
          <w:p w14:paraId="19108142" w14:textId="77777777" w:rsidR="00D067B4" w:rsidRPr="00695730" w:rsidRDefault="00D067B4" w:rsidP="000F38DE">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75EFD3F" wp14:editId="2226445D">
                  <wp:extent cx="1047750" cy="663133"/>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052300" cy="666013"/>
                          </a:xfrm>
                          <a:prstGeom prst="rect">
                            <a:avLst/>
                          </a:prstGeom>
                        </pic:spPr>
                      </pic:pic>
                    </a:graphicData>
                  </a:graphic>
                </wp:inline>
              </w:drawing>
            </w:r>
          </w:p>
        </w:tc>
        <w:tc>
          <w:tcPr>
            <w:tcW w:w="1904" w:type="dxa"/>
          </w:tcPr>
          <w:p w14:paraId="293B7ABF"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1195B88" wp14:editId="34D94FA4">
                  <wp:extent cx="609600" cy="609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69E0CCF2"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0FD11B40" wp14:editId="640F2377">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70235EC4"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3D0756E" wp14:editId="5F35D7B3">
                  <wp:extent cx="609600" cy="609600"/>
                  <wp:effectExtent l="0" t="0" r="0" b="0"/>
                  <wp:docPr id="51" name="Picture 51"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17F772E7" w14:textId="77777777" w:rsidR="00D067B4" w:rsidRPr="00695730" w:rsidRDefault="00D067B4" w:rsidP="000F38DE">
            <w:pPr>
              <w:suppressAutoHyphens w:val="0"/>
              <w:spacing w:before="160" w:after="80" w:line="240" w:lineRule="auto"/>
              <w:jc w:val="center"/>
              <w:rPr>
                <w:rFonts w:asciiTheme="majorHAnsi" w:eastAsiaTheme="majorEastAsia" w:hAnsiTheme="majorHAnsi" w:cstheme="majorBidi"/>
                <w:caps/>
                <w:sz w:val="38"/>
                <w:szCs w:val="26"/>
              </w:rPr>
            </w:pPr>
          </w:p>
        </w:tc>
      </w:tr>
    </w:tbl>
    <w:p w14:paraId="0F51E88A" w14:textId="77777777" w:rsidR="008B7238" w:rsidRDefault="005C6406" w:rsidP="00DB7838">
      <w:r>
        <w:t xml:space="preserve">This objective has been given a green performance rating, as </w:t>
      </w:r>
      <w:r w:rsidR="00112C05">
        <w:t>most</w:t>
      </w:r>
      <w:r>
        <w:t xml:space="preserve"> performance benchmarks have been met. </w:t>
      </w:r>
      <w:r w:rsidR="007D5FC4">
        <w:t xml:space="preserve">Australia is an </w:t>
      </w:r>
      <w:r w:rsidR="00DB7838">
        <w:t xml:space="preserve">important labour market for Tongan workers. Australia supported training to </w:t>
      </w:r>
      <w:r w:rsidR="00433988">
        <w:t>ensure Tongans, especially women and those with disability, are skilled to meet priority areas of labour demand nationally and internationally through a range of education, training and skills development opportunities.</w:t>
      </w:r>
    </w:p>
    <w:p w14:paraId="5452B48C" w14:textId="77777777" w:rsidR="00B67221" w:rsidRDefault="00DB7838" w:rsidP="00983E74">
      <w:r>
        <w:t xml:space="preserve">The </w:t>
      </w:r>
      <w:r w:rsidRPr="007D5FC4">
        <w:rPr>
          <w:iCs/>
        </w:rPr>
        <w:t>Interim Skills Development Facility</w:t>
      </w:r>
      <w:r>
        <w:rPr>
          <w:i/>
          <w:iCs/>
        </w:rPr>
        <w:t xml:space="preserve"> </w:t>
      </w:r>
      <w:r w:rsidRPr="00DA13DE">
        <w:t>($</w:t>
      </w:r>
      <w:r w:rsidRPr="001D697A">
        <w:t>2.24 million, 2014-16</w:t>
      </w:r>
      <w:r>
        <w:t xml:space="preserve">) </w:t>
      </w:r>
      <w:r w:rsidR="008B7238">
        <w:t>concluded in September 2016</w:t>
      </w:r>
      <w:r w:rsidR="00B67221">
        <w:t xml:space="preserve">. The facility trialled different approaches to skills development from which future programs could </w:t>
      </w:r>
      <w:r w:rsidR="002831CB">
        <w:t xml:space="preserve">be </w:t>
      </w:r>
      <w:r w:rsidR="00B67221">
        <w:t>further refine</w:t>
      </w:r>
      <w:r w:rsidR="002831CB">
        <w:t>d</w:t>
      </w:r>
      <w:r w:rsidR="00B67221">
        <w:t xml:space="preserve"> and implemented.  </w:t>
      </w:r>
      <w:r w:rsidR="00983E74">
        <w:t xml:space="preserve">Between </w:t>
      </w:r>
      <w:r w:rsidR="00B67221">
        <w:t xml:space="preserve">May </w:t>
      </w:r>
      <w:r w:rsidR="00983E74">
        <w:t>and</w:t>
      </w:r>
      <w:r w:rsidR="00B67221">
        <w:t xml:space="preserve"> October 2016</w:t>
      </w:r>
      <w:r w:rsidR="00983E74">
        <w:t xml:space="preserve">, </w:t>
      </w:r>
      <w:r w:rsidR="00B67221">
        <w:t xml:space="preserve">85 </w:t>
      </w:r>
      <w:r w:rsidR="00983E74">
        <w:t>women</w:t>
      </w:r>
      <w:r w:rsidR="00B67221">
        <w:t xml:space="preserve"> (including </w:t>
      </w:r>
      <w:r w:rsidR="00C63FA9">
        <w:t>three</w:t>
      </w:r>
      <w:r w:rsidR="00B67221">
        <w:t xml:space="preserve"> living with disabilities)</w:t>
      </w:r>
      <w:r w:rsidR="0096154B">
        <w:t xml:space="preserve"> and 99 </w:t>
      </w:r>
      <w:r w:rsidR="00983E74">
        <w:t>men</w:t>
      </w:r>
      <w:r w:rsidR="00B67221">
        <w:t xml:space="preserve"> completed training programs developed in response to labour market demand</w:t>
      </w:r>
      <w:r w:rsidR="0073298B">
        <w:t>.</w:t>
      </w:r>
    </w:p>
    <w:p w14:paraId="03E54477" w14:textId="77777777" w:rsidR="00D7737F" w:rsidRDefault="00D7737F" w:rsidP="00D7737F">
      <w:r>
        <w:t xml:space="preserve">Key elements from </w:t>
      </w:r>
      <w:r w:rsidR="00733770" w:rsidRPr="007D5FC4">
        <w:t xml:space="preserve">the Interim Skills Development Facility </w:t>
      </w:r>
      <w:r w:rsidRPr="007D5FC4">
        <w:t xml:space="preserve">transitioned to a new consolidated program, </w:t>
      </w:r>
      <w:r w:rsidR="005952A1" w:rsidRPr="007D5FC4">
        <w:rPr>
          <w:iCs/>
        </w:rPr>
        <w:t>Tonga Skills</w:t>
      </w:r>
      <w:r w:rsidRPr="007D5FC4">
        <w:rPr>
          <w:iCs/>
        </w:rPr>
        <w:t>,</w:t>
      </w:r>
      <w:r w:rsidRPr="007D5FC4">
        <w:t xml:space="preserve"> in October 2016</w:t>
      </w:r>
      <w:r>
        <w:rPr>
          <w:i/>
          <w:iCs/>
        </w:rPr>
        <w:t xml:space="preserve">. </w:t>
      </w:r>
      <w:r w:rsidRPr="00D7737F">
        <w:rPr>
          <w:iCs/>
        </w:rPr>
        <w:t xml:space="preserve">This </w:t>
      </w:r>
      <w:r>
        <w:rPr>
          <w:iCs/>
        </w:rPr>
        <w:t xml:space="preserve">new program </w:t>
      </w:r>
      <w:r w:rsidR="009B0702">
        <w:t>seek</w:t>
      </w:r>
      <w:r w:rsidR="001C0934">
        <w:t>s</w:t>
      </w:r>
      <w:r w:rsidR="009B0702">
        <w:t xml:space="preserve"> to address</w:t>
      </w:r>
      <w:r w:rsidR="001C0934">
        <w:t xml:space="preserve"> the</w:t>
      </w:r>
      <w:r w:rsidR="009B0702">
        <w:t xml:space="preserve"> lack of access to quality </w:t>
      </w:r>
      <w:r w:rsidR="00E71232">
        <w:t xml:space="preserve">Australian-funded </w:t>
      </w:r>
      <w:r w:rsidR="009B0702">
        <w:t>skills development services that are linked to economic development priorities and growth opportunities. W</w:t>
      </w:r>
      <w:r>
        <w:t>omens</w:t>
      </w:r>
      <w:r w:rsidR="0073298B">
        <w:t>’</w:t>
      </w:r>
      <w:r>
        <w:t xml:space="preserve"> economic empowerment and disability inclusion</w:t>
      </w:r>
      <w:r w:rsidR="009B0702">
        <w:t xml:space="preserve"> are also the focus of the program</w:t>
      </w:r>
      <w:r>
        <w:t xml:space="preserve">. </w:t>
      </w:r>
      <w:r w:rsidR="00433988" w:rsidRPr="000B4130">
        <w:t>The performance benchmark for this objective ha</w:t>
      </w:r>
      <w:r w:rsidR="00E71232">
        <w:t>s</w:t>
      </w:r>
      <w:r w:rsidR="00433988" w:rsidRPr="000B4130">
        <w:t xml:space="preserve"> </w:t>
      </w:r>
      <w:r w:rsidR="00433988">
        <w:t xml:space="preserve">not </w:t>
      </w:r>
      <w:r w:rsidR="00433988" w:rsidRPr="000B4130">
        <w:t xml:space="preserve">been </w:t>
      </w:r>
      <w:r w:rsidR="00150449">
        <w:t xml:space="preserve">fully </w:t>
      </w:r>
      <w:r w:rsidR="00433988" w:rsidRPr="000B4130">
        <w:t>met</w:t>
      </w:r>
      <w:r w:rsidR="00433988">
        <w:t xml:space="preserve"> due to delays in implementation </w:t>
      </w:r>
      <w:r w:rsidR="00E71232">
        <w:t>of</w:t>
      </w:r>
      <w:r w:rsidR="00433988">
        <w:t xml:space="preserve"> Tonga Skills. </w:t>
      </w:r>
      <w:r w:rsidR="009B0702">
        <w:t>Despite delay</w:t>
      </w:r>
      <w:r w:rsidR="00494E39">
        <w:t>s in</w:t>
      </w:r>
      <w:r w:rsidR="009B0702">
        <w:t xml:space="preserve"> program implementation, k</w:t>
      </w:r>
      <w:r w:rsidR="00D24D30">
        <w:t>ey results include:</w:t>
      </w:r>
    </w:p>
    <w:p w14:paraId="0D804866" w14:textId="77777777" w:rsidR="00297AB8" w:rsidRDefault="00297AB8" w:rsidP="009B0702">
      <w:pPr>
        <w:pStyle w:val="ListParagraph"/>
        <w:numPr>
          <w:ilvl w:val="0"/>
          <w:numId w:val="39"/>
        </w:numPr>
      </w:pPr>
      <w:r>
        <w:t>facilitating the national accreditation of training courses run by the private sector;</w:t>
      </w:r>
    </w:p>
    <w:p w14:paraId="0D662941" w14:textId="77777777" w:rsidR="00D24D30" w:rsidRDefault="00297AB8" w:rsidP="00297AB8">
      <w:pPr>
        <w:pStyle w:val="ListParagraph"/>
        <w:numPr>
          <w:ilvl w:val="0"/>
          <w:numId w:val="39"/>
        </w:numPr>
      </w:pPr>
      <w:r>
        <w:t xml:space="preserve">hosting an inception workshop </w:t>
      </w:r>
      <w:r w:rsidR="00494E39">
        <w:t xml:space="preserve">that </w:t>
      </w:r>
      <w:r>
        <w:t>involv</w:t>
      </w:r>
      <w:r w:rsidR="00494E39">
        <w:t>ed</w:t>
      </w:r>
      <w:r>
        <w:t xml:space="preserve"> over 300 stakeholders, including employers and </w:t>
      </w:r>
      <w:r w:rsidR="00494E39">
        <w:t>providers, to strengthen coordina</w:t>
      </w:r>
      <w:r w:rsidR="00520DF8">
        <w:t>tion and planning in the sector; and</w:t>
      </w:r>
    </w:p>
    <w:p w14:paraId="23495EEF" w14:textId="77777777" w:rsidR="001C0934" w:rsidRDefault="001C0934" w:rsidP="001C0934">
      <w:pPr>
        <w:pStyle w:val="ListParagraph"/>
        <w:numPr>
          <w:ilvl w:val="0"/>
          <w:numId w:val="39"/>
        </w:numPr>
      </w:pPr>
      <w:r>
        <w:t>establishing a donor network to coordinate efforts a</w:t>
      </w:r>
      <w:r w:rsidR="00520DF8">
        <w:t>nd funding in the skills sector.</w:t>
      </w:r>
    </w:p>
    <w:p w14:paraId="50CBB2C4" w14:textId="3B38880D" w:rsidR="00DB7838" w:rsidRDefault="00D7737F" w:rsidP="00D7737F">
      <w:r>
        <w:lastRenderedPageBreak/>
        <w:t>Th</w:t>
      </w:r>
      <w:r w:rsidR="001C0934">
        <w:t>is</w:t>
      </w:r>
      <w:r>
        <w:t xml:space="preserve"> new program will continue to focus on ensuring skills development is targeted and re</w:t>
      </w:r>
      <w:r w:rsidR="00C00306">
        <w:t xml:space="preserve">sponsive to labour market needs, and </w:t>
      </w:r>
      <w:r w:rsidR="00E71232">
        <w:t xml:space="preserve">will </w:t>
      </w:r>
      <w:r w:rsidR="00C00306">
        <w:t>link with the next phase of the Australia-Pacific Technical College to maximise outcomes for Tonga.</w:t>
      </w:r>
      <w:r w:rsidR="005E76D7">
        <w:t xml:space="preserve"> In addition, Tonga Skills h</w:t>
      </w:r>
      <w:r w:rsidR="00B068D1">
        <w:t>as</w:t>
      </w:r>
      <w:r w:rsidR="005E76D7">
        <w:t xml:space="preserve"> engaged a gender specialist with experience in supporting </w:t>
      </w:r>
      <w:r w:rsidR="005B7FE0">
        <w:t>women</w:t>
      </w:r>
      <w:r w:rsidR="00653402">
        <w:t>s</w:t>
      </w:r>
      <w:r w:rsidR="005E76D7">
        <w:t xml:space="preserve">’ economic empowerment through skills development in the Pacific, while engaging with local partners and other donor initiatives focused on gender equality. </w:t>
      </w:r>
    </w:p>
    <w:p w14:paraId="3195EF08" w14:textId="77777777" w:rsidR="00150449" w:rsidRDefault="00150449" w:rsidP="00150449">
      <w:r>
        <w:t xml:space="preserve">The </w:t>
      </w:r>
      <w:r w:rsidRPr="007D5FC4">
        <w:rPr>
          <w:iCs/>
        </w:rPr>
        <w:t>Australia Awards</w:t>
      </w:r>
      <w:r>
        <w:rPr>
          <w:i/>
          <w:iCs/>
        </w:rPr>
        <w:t xml:space="preserve"> </w:t>
      </w:r>
      <w:r>
        <w:t>continued to provide higher education opportunities for Tongans</w:t>
      </w:r>
      <w:r w:rsidRPr="001D697A">
        <w:t>, with 27 university students graduating from Australia</w:t>
      </w:r>
      <w:r w:rsidR="00CA31A4">
        <w:t>n</w:t>
      </w:r>
      <w:r w:rsidRPr="001D697A">
        <w:t xml:space="preserve"> and Pacific institutions in 2016-17. A further 127 Tongans </w:t>
      </w:r>
      <w:r w:rsidR="00CA31A4">
        <w:t>were studying</w:t>
      </w:r>
      <w:r w:rsidRPr="001D697A">
        <w:t xml:space="preserve"> under </w:t>
      </w:r>
      <w:r w:rsidR="007D5FC4" w:rsidRPr="001D697A">
        <w:t>long-term</w:t>
      </w:r>
      <w:r w:rsidRPr="001D697A">
        <w:t xml:space="preserve"> scholarship and fellowship programs (65 per cent female). The selection process ensures men and women have equal access to scholarship opportunities. Tonga continues</w:t>
      </w:r>
      <w:r>
        <w:t xml:space="preserve"> to demonstrate high rates of success in terms of numbers graduating and numbers returning to higher-level or better jobs. In 2016-17, 32 per cent of university students studied in non-traditional fields related </w:t>
      </w:r>
      <w:r w:rsidR="00B068D1">
        <w:t>to their gender, contributing to the achievement of the</w:t>
      </w:r>
      <w:r>
        <w:t xml:space="preserve"> performance benchmark </w:t>
      </w:r>
      <w:r w:rsidR="00B068D1">
        <w:t>for</w:t>
      </w:r>
      <w:r>
        <w:t xml:space="preserve"> this objective. </w:t>
      </w:r>
    </w:p>
    <w:p w14:paraId="5FFFD9F9" w14:textId="77777777" w:rsidR="003401BE" w:rsidRPr="001D697A" w:rsidRDefault="003401BE" w:rsidP="00494E39">
      <w:r>
        <w:t xml:space="preserve">The </w:t>
      </w:r>
      <w:r w:rsidRPr="007D5FC4">
        <w:t xml:space="preserve">Tonga Education </w:t>
      </w:r>
      <w:r w:rsidR="005661FF" w:rsidRPr="007D5FC4">
        <w:t>Support</w:t>
      </w:r>
      <w:r w:rsidRPr="007D5FC4">
        <w:t xml:space="preserve"> Program Phase 2 (TESP 2, 2014-16) jointly funded by Australia ($6.5 million) and New Zealand (NZD4.4 million) concluded in September 2016.  </w:t>
      </w:r>
      <w:r w:rsidR="00C91D95" w:rsidRPr="007D5FC4">
        <w:t xml:space="preserve">TESP2 had been identified as an investment requiring improvement for two consecutive years and </w:t>
      </w:r>
      <w:r w:rsidR="007744E7" w:rsidRPr="007D5FC4">
        <w:t>did not achieve</w:t>
      </w:r>
      <w:r w:rsidR="00C91D95" w:rsidRPr="007D5FC4">
        <w:t xml:space="preserve"> the outcomes expected over its duration. Australia agreed to continue </w:t>
      </w:r>
      <w:r w:rsidR="0096154B" w:rsidRPr="007D5FC4">
        <w:t xml:space="preserve">support </w:t>
      </w:r>
      <w:r w:rsidR="00EA41FE" w:rsidRPr="007D5FC4">
        <w:t xml:space="preserve">for </w:t>
      </w:r>
      <w:r w:rsidR="0096154B" w:rsidRPr="007D5FC4">
        <w:t>Tonga</w:t>
      </w:r>
      <w:r w:rsidR="00BD794B" w:rsidRPr="007D5FC4">
        <w:t>n primary schools</w:t>
      </w:r>
      <w:r w:rsidR="0096154B" w:rsidRPr="007D5FC4">
        <w:t xml:space="preserve"> </w:t>
      </w:r>
      <w:r w:rsidR="00BD794B" w:rsidRPr="007D5FC4">
        <w:t xml:space="preserve">and early childhood education centres </w:t>
      </w:r>
      <w:r w:rsidR="0096154B" w:rsidRPr="007D5FC4">
        <w:t>under the Supporting Education Grants for Schools</w:t>
      </w:r>
      <w:r w:rsidR="0096154B" w:rsidRPr="006D4D91">
        <w:t xml:space="preserve"> program ($1.6 million, 2016-19). This program is </w:t>
      </w:r>
      <w:r w:rsidR="00C91D95" w:rsidRPr="006D4D91">
        <w:t xml:space="preserve">part of a transition </w:t>
      </w:r>
      <w:r w:rsidR="00DD424B" w:rsidRPr="006D4D91">
        <w:t xml:space="preserve">strategy to exit the basic education sector and instead focus on vocational education and </w:t>
      </w:r>
      <w:r w:rsidR="00DD424B" w:rsidRPr="001D697A">
        <w:t xml:space="preserve">training. </w:t>
      </w:r>
      <w:r w:rsidR="00C91D95" w:rsidRPr="001D697A">
        <w:t xml:space="preserve"> </w:t>
      </w:r>
    </w:p>
    <w:p w14:paraId="755A1E04" w14:textId="77777777" w:rsidR="00520DF8" w:rsidRDefault="00520DF8" w:rsidP="00520DF8">
      <w:r w:rsidRPr="001D697A">
        <w:t xml:space="preserve">The </w:t>
      </w:r>
      <w:r w:rsidRPr="001D697A">
        <w:rPr>
          <w:i/>
          <w:iCs/>
        </w:rPr>
        <w:t xml:space="preserve">Seasonal Worker Programme </w:t>
      </w:r>
      <w:r w:rsidRPr="001D697A">
        <w:t xml:space="preserve">(SWP) continued its successful contribution to Tongan employment, remittance and development opportunities over the reporting period. In 2016-17, 2,690 Tongans (297 women and 2,393 men) participated in the SWP, representing more than </w:t>
      </w:r>
      <w:r w:rsidR="005D2D9B">
        <w:t>44</w:t>
      </w:r>
      <w:r w:rsidRPr="001D697A">
        <w:t xml:space="preserve"> per cent of total SWP participants </w:t>
      </w:r>
      <w:r w:rsidR="00CF5B1D">
        <w:t xml:space="preserve">from Pacific island countries </w:t>
      </w:r>
      <w:r w:rsidRPr="001D697A">
        <w:t>during that timeframe. The number of women participating in the SWP decreased when compared to 2015-16 numbers (325 women). Efforts to improve female participation are continuing.</w:t>
      </w:r>
    </w:p>
    <w:p w14:paraId="1D3E6343" w14:textId="77777777" w:rsidR="00F43534" w:rsidRDefault="00F43534" w:rsidP="00F43534">
      <w:pPr>
        <w:spacing w:line="240" w:lineRule="auto"/>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Regional and global programs</w:t>
      </w:r>
    </w:p>
    <w:p w14:paraId="7D72B2B7" w14:textId="77777777" w:rsidR="00F43534" w:rsidRDefault="007D5FC4" w:rsidP="00F43534">
      <w:pPr>
        <w:spacing w:line="240" w:lineRule="auto"/>
        <w:rPr>
          <w:rFonts w:eastAsia="Times New Roman"/>
        </w:rPr>
      </w:pPr>
      <w:r>
        <w:rPr>
          <w:rFonts w:eastAsia="Times New Roman"/>
        </w:rPr>
        <w:t>Australia funds</w:t>
      </w:r>
      <w:r w:rsidR="00CF5B1D">
        <w:rPr>
          <w:rFonts w:eastAsia="Times New Roman"/>
        </w:rPr>
        <w:t xml:space="preserve"> a number of regional and global programs</w:t>
      </w:r>
      <w:r>
        <w:rPr>
          <w:rFonts w:eastAsia="Times New Roman"/>
        </w:rPr>
        <w:t xml:space="preserve"> which benefit Tonga</w:t>
      </w:r>
      <w:r w:rsidR="00CF5B1D">
        <w:rPr>
          <w:rFonts w:eastAsia="Times New Roman"/>
        </w:rPr>
        <w:t xml:space="preserve">. </w:t>
      </w:r>
      <w:r w:rsidR="00F43534" w:rsidRPr="00B343E7">
        <w:rPr>
          <w:rFonts w:eastAsia="Times New Roman"/>
        </w:rPr>
        <w:t xml:space="preserve">The </w:t>
      </w:r>
      <w:r w:rsidR="00CF5B1D">
        <w:rPr>
          <w:rFonts w:eastAsia="Times New Roman"/>
        </w:rPr>
        <w:t>Pacif</w:t>
      </w:r>
      <w:r w:rsidR="00F43534" w:rsidRPr="00B343E7">
        <w:rPr>
          <w:rFonts w:eastAsia="Times New Roman"/>
        </w:rPr>
        <w:t>ic Leadership Program</w:t>
      </w:r>
      <w:r w:rsidR="00CF5B1D">
        <w:rPr>
          <w:rFonts w:eastAsia="Times New Roman"/>
        </w:rPr>
        <w:t xml:space="preserve"> (PLP)</w:t>
      </w:r>
      <w:r w:rsidR="00F43534" w:rsidRPr="00B343E7">
        <w:rPr>
          <w:rFonts w:eastAsia="Times New Roman"/>
        </w:rPr>
        <w:t xml:space="preserve"> continued to provide assistance to the </w:t>
      </w:r>
      <w:r w:rsidR="00B343E7" w:rsidRPr="00B343E7">
        <w:rPr>
          <w:rFonts w:eastAsia="Times New Roman"/>
        </w:rPr>
        <w:t>Tonga</w:t>
      </w:r>
      <w:r w:rsidR="00F43534" w:rsidRPr="00B343E7">
        <w:rPr>
          <w:rFonts w:eastAsia="Times New Roman"/>
        </w:rPr>
        <w:t xml:space="preserve"> Cha</w:t>
      </w:r>
      <w:r w:rsidR="00B343E7" w:rsidRPr="00B343E7">
        <w:rPr>
          <w:rFonts w:eastAsia="Times New Roman"/>
        </w:rPr>
        <w:t>mber of Comme</w:t>
      </w:r>
      <w:r w:rsidR="00CF5B1D">
        <w:rPr>
          <w:rFonts w:eastAsia="Times New Roman"/>
        </w:rPr>
        <w:t>rce and Industry and has seen the chamber</w:t>
      </w:r>
      <w:r w:rsidR="00B343E7" w:rsidRPr="00B343E7">
        <w:rPr>
          <w:rFonts w:eastAsia="Times New Roman"/>
        </w:rPr>
        <w:t xml:space="preserve"> become a decisive private sector voice for </w:t>
      </w:r>
      <w:r w:rsidR="00653402" w:rsidRPr="00B343E7">
        <w:rPr>
          <w:rFonts w:eastAsia="Times New Roman"/>
        </w:rPr>
        <w:t>policy</w:t>
      </w:r>
      <w:r w:rsidR="00653402">
        <w:rPr>
          <w:rFonts w:eastAsia="Times New Roman"/>
        </w:rPr>
        <w:t xml:space="preserve"> </w:t>
      </w:r>
      <w:r w:rsidR="00653402" w:rsidRPr="00B343E7">
        <w:rPr>
          <w:rFonts w:eastAsia="Times New Roman"/>
        </w:rPr>
        <w:t>making</w:t>
      </w:r>
      <w:r w:rsidR="00B343E7" w:rsidRPr="00B343E7">
        <w:rPr>
          <w:rFonts w:eastAsia="Times New Roman"/>
        </w:rPr>
        <w:t xml:space="preserve"> reforms in Tonga.</w:t>
      </w:r>
      <w:r w:rsidR="00B343E7">
        <w:rPr>
          <w:rFonts w:eastAsia="Times New Roman"/>
        </w:rPr>
        <w:t xml:space="preserve"> </w:t>
      </w:r>
    </w:p>
    <w:p w14:paraId="343F0B38" w14:textId="77777777" w:rsidR="00B343E7" w:rsidRPr="00EA7EB7" w:rsidRDefault="00B343E7" w:rsidP="00EA7EB7">
      <w:pPr>
        <w:spacing w:line="240" w:lineRule="auto"/>
        <w:rPr>
          <w:rFonts w:eastAsia="Times New Roman"/>
        </w:rPr>
      </w:pPr>
      <w:r w:rsidRPr="00EA7EB7">
        <w:rPr>
          <w:rFonts w:eastAsia="Times New Roman"/>
        </w:rPr>
        <w:t>The Pacific Sports Partnerships (PSP) program ha</w:t>
      </w:r>
      <w:r w:rsidR="00DC4854">
        <w:rPr>
          <w:rFonts w:eastAsia="Times New Roman"/>
        </w:rPr>
        <w:t>s</w:t>
      </w:r>
      <w:r w:rsidRPr="00EA7EB7">
        <w:rPr>
          <w:rFonts w:eastAsia="Times New Roman"/>
        </w:rPr>
        <w:t xml:space="preserve"> supported badminton, football, hockey, netball and swimming activities in Tonga, delivered through Australian, regional and Tongan sports organisations. PSP aims to address primary risk factors associated with </w:t>
      </w:r>
      <w:r w:rsidR="00CF5B1D" w:rsidRPr="00F85B45">
        <w:t>non-communicable diseases</w:t>
      </w:r>
      <w:r w:rsidRPr="00EA7EB7">
        <w:rPr>
          <w:rFonts w:eastAsia="Times New Roman"/>
        </w:rPr>
        <w:t>, particularly physical inactivity</w:t>
      </w:r>
      <w:r w:rsidR="00EA7EB7" w:rsidRPr="00EA7EB7">
        <w:rPr>
          <w:rFonts w:eastAsia="Times New Roman"/>
        </w:rPr>
        <w:t xml:space="preserve">, and </w:t>
      </w:r>
      <w:r w:rsidRPr="00EA7EB7">
        <w:rPr>
          <w:rFonts w:eastAsia="Times New Roman"/>
        </w:rPr>
        <w:t>addresses inequalities experienced by women, girls and people living with disabilities.</w:t>
      </w:r>
    </w:p>
    <w:p w14:paraId="719E3D2E" w14:textId="77777777" w:rsidR="00651C24" w:rsidRDefault="00651C24" w:rsidP="00651C24">
      <w:pPr>
        <w:spacing w:line="240" w:lineRule="auto"/>
        <w:rPr>
          <w:rFonts w:eastAsia="Times New Roman"/>
        </w:rPr>
      </w:pPr>
      <w:r>
        <w:rPr>
          <w:rFonts w:eastAsia="Times New Roman"/>
        </w:rPr>
        <w:t xml:space="preserve">The </w:t>
      </w:r>
      <w:r w:rsidRPr="00651C24">
        <w:rPr>
          <w:rFonts w:eastAsia="Times New Roman"/>
        </w:rPr>
        <w:t>Australian Centre for International Agricultural Research is currently undertaking research in Tonga to better understand the effects of climate change on taro and cassava, and the domestication and cultivation of sandalwood</w:t>
      </w:r>
      <w:r>
        <w:rPr>
          <w:rFonts w:eastAsia="Times New Roman"/>
        </w:rPr>
        <w:t xml:space="preserve">. </w:t>
      </w:r>
    </w:p>
    <w:p w14:paraId="5E9E05BF" w14:textId="77777777" w:rsidR="00651C24" w:rsidRPr="00651C24" w:rsidRDefault="00651C24" w:rsidP="00651C24">
      <w:pPr>
        <w:spacing w:line="240" w:lineRule="auto"/>
        <w:rPr>
          <w:rFonts w:eastAsia="Times New Roman"/>
        </w:rPr>
      </w:pPr>
      <w:r w:rsidRPr="00651C24">
        <w:rPr>
          <w:rFonts w:eastAsia="Times New Roman"/>
        </w:rPr>
        <w:t xml:space="preserve">The Private Sector Development Initiative (PSDI), an ADB technical assistance facility, focuses on analysing and removing the key constraints of doing business in Tonga. PSDI is currently supporting the Tongan government to </w:t>
      </w:r>
      <w:r w:rsidR="00EA41FE">
        <w:rPr>
          <w:rFonts w:eastAsia="Times New Roman"/>
        </w:rPr>
        <w:t>develop a national private sector strategy and associated legislation which will clarify consumer rights and competition policy.</w:t>
      </w:r>
    </w:p>
    <w:p w14:paraId="6F4F49EC" w14:textId="77777777" w:rsidR="002571A0" w:rsidRDefault="002571A0" w:rsidP="002571A0">
      <w:pPr>
        <w:suppressAutoHyphens w:val="0"/>
        <w:spacing w:before="0" w:after="120" w:line="240" w:lineRule="auto"/>
        <w:rPr>
          <w:rFonts w:eastAsia="Times New Roman"/>
        </w:rPr>
      </w:pPr>
      <w:r w:rsidRPr="002571A0">
        <w:rPr>
          <w:rFonts w:eastAsia="Times New Roman"/>
        </w:rPr>
        <w:t>The Labour Mobility Assistance Program (LMAP) is supporting Tongan workers under the SWP</w:t>
      </w:r>
      <w:r w:rsidR="004B3735">
        <w:rPr>
          <w:rFonts w:eastAsia="Times New Roman"/>
        </w:rPr>
        <w:t xml:space="preserve"> and connecting them to Australian employers</w:t>
      </w:r>
      <w:r w:rsidRPr="002571A0">
        <w:rPr>
          <w:rFonts w:eastAsia="Times New Roman"/>
        </w:rPr>
        <w:t>.</w:t>
      </w:r>
      <w:r w:rsidR="00AE6631" w:rsidRPr="00AE6631">
        <w:t xml:space="preserve"> </w:t>
      </w:r>
      <w:r w:rsidR="00AE6631" w:rsidRPr="00AE6631">
        <w:rPr>
          <w:rFonts w:eastAsia="Times New Roman"/>
        </w:rPr>
        <w:t xml:space="preserve">LMAP has </w:t>
      </w:r>
      <w:r w:rsidR="00AE6631">
        <w:rPr>
          <w:rFonts w:eastAsia="Times New Roman"/>
        </w:rPr>
        <w:t>also provided funding</w:t>
      </w:r>
      <w:r w:rsidR="00DA67C2">
        <w:rPr>
          <w:rFonts w:eastAsia="Times New Roman"/>
        </w:rPr>
        <w:t xml:space="preserve"> for</w:t>
      </w:r>
      <w:r w:rsidR="00AE6631" w:rsidRPr="00AE6631">
        <w:rPr>
          <w:rFonts w:eastAsia="Times New Roman"/>
        </w:rPr>
        <w:t xml:space="preserve"> the Tongan Business Enterprise Centre to deliver pre-departure briefing to Tongan workers</w:t>
      </w:r>
      <w:r w:rsidR="00AE6631">
        <w:rPr>
          <w:rFonts w:eastAsia="Times New Roman"/>
        </w:rPr>
        <w:t>.</w:t>
      </w:r>
    </w:p>
    <w:p w14:paraId="6FFC7D5E" w14:textId="77777777" w:rsidR="00290469" w:rsidRDefault="00290469" w:rsidP="00520DF8">
      <w:r>
        <w:t xml:space="preserve">The </w:t>
      </w:r>
      <w:r w:rsidR="00520DF8" w:rsidRPr="00520DF8">
        <w:t>Australia</w:t>
      </w:r>
      <w:r>
        <w:t>n Federal Police</w:t>
      </w:r>
      <w:r w:rsidR="00520DF8" w:rsidRPr="00520DF8">
        <w:t xml:space="preserve"> continues to support the Tonga Police Development Program</w:t>
      </w:r>
      <w:r w:rsidR="00520DF8">
        <w:t xml:space="preserve"> (TPDP)</w:t>
      </w:r>
      <w:r>
        <w:t xml:space="preserve"> as part of its wider international assistance</w:t>
      </w:r>
      <w:r w:rsidR="00520DF8" w:rsidRPr="00520DF8">
        <w:t xml:space="preserve">, delivering </w:t>
      </w:r>
      <w:r w:rsidR="000C4A7C">
        <w:t>objectives</w:t>
      </w:r>
      <w:r w:rsidR="00520DF8" w:rsidRPr="00520DF8">
        <w:t xml:space="preserve"> that have strengthened policing services in Tonga. </w:t>
      </w:r>
    </w:p>
    <w:p w14:paraId="4FD3E542" w14:textId="4ED8D8A8" w:rsidR="00520DF8" w:rsidRDefault="00520DF8" w:rsidP="00520DF8">
      <w:r w:rsidRPr="00520DF8">
        <w:lastRenderedPageBreak/>
        <w:t xml:space="preserve">These </w:t>
      </w:r>
      <w:r w:rsidR="009A5EFD">
        <w:t>i</w:t>
      </w:r>
      <w:r w:rsidRPr="00520DF8">
        <w:t xml:space="preserve">nclude: </w:t>
      </w:r>
    </w:p>
    <w:p w14:paraId="0F0EFF01" w14:textId="77777777" w:rsidR="00520DF8" w:rsidRPr="00520DF8" w:rsidRDefault="00520DF8" w:rsidP="00520DF8">
      <w:pPr>
        <w:pStyle w:val="ListParagraph"/>
        <w:numPr>
          <w:ilvl w:val="0"/>
          <w:numId w:val="39"/>
        </w:numPr>
      </w:pPr>
      <w:r w:rsidRPr="00520DF8">
        <w:t>enhancing leadership and organisational development, managerial training, ethics and accountability</w:t>
      </w:r>
      <w:r>
        <w:t>;</w:t>
      </w:r>
    </w:p>
    <w:p w14:paraId="4D597DAA" w14:textId="77777777" w:rsidR="00520DF8" w:rsidRPr="00520DF8" w:rsidRDefault="00520DF8" w:rsidP="00520DF8">
      <w:pPr>
        <w:pStyle w:val="ListParagraph"/>
        <w:numPr>
          <w:ilvl w:val="0"/>
          <w:numId w:val="39"/>
        </w:numPr>
      </w:pPr>
      <w:r w:rsidRPr="00520DF8">
        <w:t>developing professional standards, performance management, and learning and development training</w:t>
      </w:r>
      <w:r>
        <w:t>;</w:t>
      </w:r>
    </w:p>
    <w:p w14:paraId="7D36B45A" w14:textId="77777777" w:rsidR="00520DF8" w:rsidRPr="00520DF8" w:rsidRDefault="00520DF8" w:rsidP="00520DF8">
      <w:pPr>
        <w:pStyle w:val="ListParagraph"/>
        <w:numPr>
          <w:ilvl w:val="0"/>
          <w:numId w:val="39"/>
        </w:numPr>
      </w:pPr>
      <w:r w:rsidRPr="00520DF8">
        <w:t>increasing</w:t>
      </w:r>
      <w:r w:rsidR="007D5FC4">
        <w:t xml:space="preserve"> opportunities for</w:t>
      </w:r>
      <w:r w:rsidRPr="00520DF8">
        <w:t xml:space="preserve"> female police </w:t>
      </w:r>
      <w:r w:rsidR="007D5FC4">
        <w:t>officers</w:t>
      </w:r>
      <w:r w:rsidRPr="00520DF8">
        <w:t xml:space="preserve"> and promoting gender equality</w:t>
      </w:r>
      <w:r>
        <w:t>; and</w:t>
      </w:r>
    </w:p>
    <w:p w14:paraId="36B1D97B" w14:textId="77777777" w:rsidR="00520DF8" w:rsidRPr="00520DF8" w:rsidRDefault="00520DF8" w:rsidP="00520DF8">
      <w:pPr>
        <w:pStyle w:val="ListParagraph"/>
        <w:numPr>
          <w:ilvl w:val="0"/>
          <w:numId w:val="39"/>
        </w:numPr>
      </w:pPr>
      <w:r w:rsidRPr="00520DF8">
        <w:t>improving core policing skills and first response training.</w:t>
      </w:r>
    </w:p>
    <w:p w14:paraId="5FF11607"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3EE6FC49" w14:textId="77777777" w:rsidR="00AC21E8" w:rsidRDefault="00DC22D6" w:rsidP="00DC22D6">
      <w:r>
        <w:t xml:space="preserve">Australia and Tonga continued to work towards agreed mutual obligations as outlined in the </w:t>
      </w:r>
      <w:r w:rsidRPr="00CF5B1D">
        <w:rPr>
          <w:i/>
        </w:rPr>
        <w:t>Australia-Tonga Aid Investment Plan</w:t>
      </w:r>
      <w:r>
        <w:t xml:space="preserve"> and the </w:t>
      </w:r>
      <w:r w:rsidRPr="00CF5B1D">
        <w:rPr>
          <w:i/>
        </w:rPr>
        <w:t>Australia-Tonga Aid Partnership Arrangement 2016-2019</w:t>
      </w:r>
      <w:r>
        <w:t xml:space="preserve">. </w:t>
      </w:r>
      <w:r w:rsidR="00AC21E8">
        <w:t>These remain relevant and achievable.</w:t>
      </w:r>
    </w:p>
    <w:p w14:paraId="3E694C05" w14:textId="77777777" w:rsidR="00DC22D6" w:rsidRDefault="00DC22D6" w:rsidP="00DC22D6">
      <w:r>
        <w:t>In 2016-17, the Government of Tonga:</w:t>
      </w:r>
    </w:p>
    <w:p w14:paraId="68962AF0" w14:textId="77777777" w:rsidR="003401BE" w:rsidRDefault="00DC22D6" w:rsidP="00DC22D6">
      <w:pPr>
        <w:pStyle w:val="ListParagraph"/>
        <w:numPr>
          <w:ilvl w:val="0"/>
          <w:numId w:val="43"/>
        </w:numPr>
      </w:pPr>
      <w:r>
        <w:t xml:space="preserve">continued to implement its national development policy agenda as articulated in the </w:t>
      </w:r>
      <w:r w:rsidRPr="00DC22D6">
        <w:rPr>
          <w:i/>
        </w:rPr>
        <w:t>Tonga Strategic Development Framework 2015-2025</w:t>
      </w:r>
      <w:r w:rsidR="003D21E9" w:rsidRPr="003D21E9">
        <w:t>;</w:t>
      </w:r>
    </w:p>
    <w:p w14:paraId="63FA3232" w14:textId="77777777" w:rsidR="00DC22D6" w:rsidRDefault="003D21E9" w:rsidP="00DC22D6">
      <w:pPr>
        <w:pStyle w:val="ListParagraph"/>
        <w:numPr>
          <w:ilvl w:val="0"/>
          <w:numId w:val="43"/>
        </w:numPr>
      </w:pPr>
      <w:r>
        <w:t xml:space="preserve">improved gender equality indicators as committed to in the </w:t>
      </w:r>
      <w:r w:rsidRPr="00CF5B1D">
        <w:rPr>
          <w:i/>
        </w:rPr>
        <w:t>Pacific Island Forum Leaders’ Gender Equality Declaration</w:t>
      </w:r>
      <w:r>
        <w:t>; and</w:t>
      </w:r>
    </w:p>
    <w:p w14:paraId="10648F6B" w14:textId="77777777" w:rsidR="003D21E9" w:rsidRDefault="003D21E9" w:rsidP="00DC22D6">
      <w:pPr>
        <w:pStyle w:val="ListParagraph"/>
        <w:numPr>
          <w:ilvl w:val="0"/>
          <w:numId w:val="43"/>
        </w:numPr>
      </w:pPr>
      <w:r>
        <w:t>con</w:t>
      </w:r>
      <w:r w:rsidR="00F43534">
        <w:t>tinued to keep the Government of Australia appraised of domestic policy developments which may affect the implementation of the aid program.</w:t>
      </w:r>
    </w:p>
    <w:p w14:paraId="7CDEBAE2" w14:textId="77777777" w:rsidR="00DC22D6" w:rsidRDefault="00DC22D6" w:rsidP="00DC22D6">
      <w:pPr>
        <w:spacing w:after="0"/>
        <w:rPr>
          <w:rFonts w:eastAsia="Times New Roman"/>
        </w:rPr>
      </w:pPr>
      <w:r>
        <w:rPr>
          <w:rFonts w:eastAsia="Times New Roman"/>
        </w:rPr>
        <w:t xml:space="preserve">In 2016-17 the Australian Government: </w:t>
      </w:r>
    </w:p>
    <w:p w14:paraId="07B46717" w14:textId="77777777" w:rsidR="003401BE" w:rsidRDefault="00F43534" w:rsidP="00F43534">
      <w:pPr>
        <w:pStyle w:val="ListParagraph"/>
        <w:numPr>
          <w:ilvl w:val="0"/>
          <w:numId w:val="44"/>
        </w:numPr>
      </w:pPr>
      <w:r>
        <w:t xml:space="preserve">delivered aid in line with the strategic priorities and objectives of the </w:t>
      </w:r>
      <w:r w:rsidRPr="00CF5B1D">
        <w:rPr>
          <w:i/>
        </w:rPr>
        <w:t>Australia-Tonga Aid Partnership Arrangement</w:t>
      </w:r>
      <w:r>
        <w:t>, reinforcing the Government of Tonga’s leadership of effective development strategies and programs; and</w:t>
      </w:r>
    </w:p>
    <w:p w14:paraId="2EE3A1EB" w14:textId="77777777" w:rsidR="00F43534" w:rsidRDefault="00E60277" w:rsidP="00F43534">
      <w:pPr>
        <w:pStyle w:val="ListParagraph"/>
        <w:numPr>
          <w:ilvl w:val="0"/>
          <w:numId w:val="44"/>
        </w:numPr>
      </w:pPr>
      <w:r>
        <w:t>was</w:t>
      </w:r>
      <w:r w:rsidR="00F43534">
        <w:t xml:space="preserve"> transparent in the allocation of funding under the </w:t>
      </w:r>
      <w:r w:rsidR="00F43534" w:rsidRPr="00CF5B1D">
        <w:rPr>
          <w:i/>
        </w:rPr>
        <w:t xml:space="preserve">Australia-Tonga Aid </w:t>
      </w:r>
      <w:r w:rsidR="00DA67C2" w:rsidRPr="00CF5B1D">
        <w:rPr>
          <w:i/>
        </w:rPr>
        <w:t>Partnership Arrangement</w:t>
      </w:r>
      <w:r w:rsidR="00DA67C2">
        <w:t xml:space="preserve"> and kept</w:t>
      </w:r>
      <w:r w:rsidR="00F43534">
        <w:t xml:space="preserve"> the Government appraised of domestic policy developments which may affect the anticipated level of Australian aid funding.</w:t>
      </w:r>
    </w:p>
    <w:p w14:paraId="6DC76F90" w14:textId="17A28AF4" w:rsidR="00EF3416" w:rsidRPr="00152B7D" w:rsidRDefault="00B428D3" w:rsidP="00E65105">
      <w:r w:rsidRPr="00152B7D">
        <w:t>An ongoing challenge for the aid program is to meet emerging government priorities on both sides of the bilateral relationship, while also seeking to consolidate</w:t>
      </w:r>
      <w:r w:rsidR="007D5FC4">
        <w:t xml:space="preserve"> existing</w:t>
      </w:r>
      <w:r w:rsidRPr="00152B7D">
        <w:t xml:space="preserve"> investments into a smaller number of sectors. </w:t>
      </w:r>
      <w:r w:rsidR="00C10438" w:rsidRPr="00152B7D">
        <w:t>High</w:t>
      </w:r>
      <w:r w:rsidR="001D697A">
        <w:t xml:space="preserve"> </w:t>
      </w:r>
      <w:r w:rsidR="00C10438" w:rsidRPr="00152B7D">
        <w:t>level</w:t>
      </w:r>
      <w:r w:rsidR="00EF3416" w:rsidRPr="00152B7D">
        <w:t xml:space="preserve"> consultations </w:t>
      </w:r>
      <w:r w:rsidR="007D5FC4">
        <w:t xml:space="preserve">between the Australian and Tongan governments </w:t>
      </w:r>
      <w:r w:rsidR="00EF3416" w:rsidRPr="00152B7D">
        <w:t xml:space="preserve">were held in </w:t>
      </w:r>
      <w:r w:rsidR="00CF5B1D">
        <w:t xml:space="preserve">Nuku’alofa </w:t>
      </w:r>
      <w:r w:rsidR="00EF3416" w:rsidRPr="00152B7D">
        <w:t xml:space="preserve">August 2017 </w:t>
      </w:r>
      <w:r w:rsidR="00DA67C2">
        <w:t>which</w:t>
      </w:r>
      <w:r w:rsidR="00EF3416" w:rsidRPr="00152B7D">
        <w:t xml:space="preserve"> </w:t>
      </w:r>
      <w:r w:rsidR="00F43534" w:rsidRPr="00152B7D">
        <w:t>review</w:t>
      </w:r>
      <w:r w:rsidR="00DA67C2">
        <w:t>ed</w:t>
      </w:r>
      <w:r w:rsidR="00EF3416" w:rsidRPr="00152B7D">
        <w:t xml:space="preserve"> </w:t>
      </w:r>
      <w:r w:rsidR="00F43534" w:rsidRPr="00152B7D">
        <w:t>p</w:t>
      </w:r>
      <w:r w:rsidR="00EF3416" w:rsidRPr="00152B7D">
        <w:t>rogress</w:t>
      </w:r>
      <w:r w:rsidR="00C10438" w:rsidRPr="00152B7D">
        <w:t xml:space="preserve"> against</w:t>
      </w:r>
      <w:r w:rsidR="00EF3416" w:rsidRPr="00152B7D">
        <w:t xml:space="preserve"> </w:t>
      </w:r>
      <w:r w:rsidR="00C10438" w:rsidRPr="00152B7D">
        <w:t>aid partne</w:t>
      </w:r>
      <w:r w:rsidR="00F43534" w:rsidRPr="00152B7D">
        <w:t>rship objectives and priorities</w:t>
      </w:r>
      <w:r w:rsidR="001A7B8F">
        <w:t>.</w:t>
      </w:r>
      <w:r w:rsidR="006A3755">
        <w:t xml:space="preserve"> </w:t>
      </w:r>
    </w:p>
    <w:p w14:paraId="170FD430"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554BE611" w14:textId="77777777" w:rsidR="00AC21E8" w:rsidRPr="00F85B45" w:rsidRDefault="00AC21E8" w:rsidP="00F85B45">
      <w:r w:rsidRPr="00F85B45">
        <w:t>A</w:t>
      </w:r>
      <w:r w:rsidR="00AD3340" w:rsidRPr="00F85B45">
        <w:t xml:space="preserve">id </w:t>
      </w:r>
      <w:r w:rsidRPr="00F85B45">
        <w:t>Q</w:t>
      </w:r>
      <w:r w:rsidR="00AD3340" w:rsidRPr="00F85B45">
        <w:t xml:space="preserve">uality </w:t>
      </w:r>
      <w:r w:rsidRPr="00F85B45">
        <w:t>C</w:t>
      </w:r>
      <w:r w:rsidR="00AD3340" w:rsidRPr="00F85B45">
        <w:t>heck</w:t>
      </w:r>
      <w:r w:rsidRPr="00F85B45">
        <w:t xml:space="preserve"> </w:t>
      </w:r>
      <w:r w:rsidR="00112C05">
        <w:t xml:space="preserve">(AQC) </w:t>
      </w:r>
      <w:r w:rsidR="00AD3340" w:rsidRPr="00F85B45">
        <w:t xml:space="preserve">ratings </w:t>
      </w:r>
      <w:r w:rsidR="00AD3340">
        <w:t>across in</w:t>
      </w:r>
      <w:r w:rsidR="00F85B45">
        <w:t>vestments</w:t>
      </w:r>
      <w:r w:rsidR="00AD3340">
        <w:t xml:space="preserve"> </w:t>
      </w:r>
      <w:r w:rsidR="00CF5B1D">
        <w:t>covering</w:t>
      </w:r>
      <w:r w:rsidRPr="00F85B45">
        <w:t xml:space="preserve"> relevance, effectiveness, efficiency and sustainability indicate the </w:t>
      </w:r>
      <w:r w:rsidR="00AD3340" w:rsidRPr="00F85B45">
        <w:t xml:space="preserve">aid </w:t>
      </w:r>
      <w:r w:rsidRPr="00F85B45">
        <w:t xml:space="preserve">program </w:t>
      </w:r>
      <w:r w:rsidR="00AD3340" w:rsidRPr="00F85B45">
        <w:t xml:space="preserve">to Tonga </w:t>
      </w:r>
      <w:r w:rsidRPr="00F85B45">
        <w:t xml:space="preserve">is working well and in the right areas. </w:t>
      </w:r>
      <w:r w:rsidR="00AD3340" w:rsidRPr="00F85B45">
        <w:t xml:space="preserve">Slightly decreased scores from previous </w:t>
      </w:r>
      <w:r w:rsidR="002831CB">
        <w:t>year</w:t>
      </w:r>
      <w:r w:rsidR="00112C05">
        <w:t xml:space="preserve">s reflect more clarity in </w:t>
      </w:r>
      <w:r w:rsidR="00361287" w:rsidRPr="00F85B45">
        <w:t>processes put into place</w:t>
      </w:r>
      <w:r w:rsidR="008A58DF" w:rsidRPr="00F85B45">
        <w:t xml:space="preserve"> </w:t>
      </w:r>
      <w:r w:rsidR="00112C05">
        <w:t>since the reporting period</w:t>
      </w:r>
      <w:r w:rsidR="00361287" w:rsidRPr="00F85B45">
        <w:t xml:space="preserve">. </w:t>
      </w:r>
      <w:r w:rsidRPr="00F85B45">
        <w:t>Area</w:t>
      </w:r>
      <w:r w:rsidR="00AD3340" w:rsidRPr="00F85B45">
        <w:t>s</w:t>
      </w:r>
      <w:r w:rsidRPr="00F85B45">
        <w:t xml:space="preserve"> </w:t>
      </w:r>
      <w:r w:rsidR="00AD3340" w:rsidRPr="00F85B45">
        <w:t xml:space="preserve">requiring </w:t>
      </w:r>
      <w:r w:rsidRPr="00F85B45">
        <w:t xml:space="preserve">improvement </w:t>
      </w:r>
      <w:r w:rsidR="00AD3340" w:rsidRPr="00F85B45">
        <w:t>include</w:t>
      </w:r>
      <w:r w:rsidRPr="00F85B45">
        <w:t xml:space="preserve"> </w:t>
      </w:r>
      <w:r w:rsidR="00AD3340" w:rsidRPr="00F85B45">
        <w:t xml:space="preserve">monitoring and evaluation, </w:t>
      </w:r>
      <w:r w:rsidR="00112C05">
        <w:t xml:space="preserve">and gender. These are </w:t>
      </w:r>
      <w:r w:rsidR="00AD3340" w:rsidRPr="00F85B45">
        <w:t xml:space="preserve">addressed </w:t>
      </w:r>
      <w:r w:rsidRPr="00F85B45">
        <w:t xml:space="preserve">in </w:t>
      </w:r>
      <w:r w:rsidR="00AD3340" w:rsidRPr="00F85B45">
        <w:t xml:space="preserve">the </w:t>
      </w:r>
      <w:r w:rsidRPr="00F85B45">
        <w:t>management actions below.</w:t>
      </w:r>
    </w:p>
    <w:p w14:paraId="5BC5EF98"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538576C1" w14:textId="77777777" w:rsidR="00A77D86" w:rsidRDefault="00A77D86" w:rsidP="00A77D86">
      <w:r w:rsidRPr="00AC21E8">
        <w:t>Following an assessment of the programs, the following management responses have been identified to address challenges and ri</w:t>
      </w:r>
      <w:r w:rsidR="00617430">
        <w:t>sks associated with the program</w:t>
      </w:r>
      <w:r w:rsidR="00CF5B1D">
        <w:t>;</w:t>
      </w:r>
      <w:r w:rsidR="00617430">
        <w:t xml:space="preserve"> These will be completed by the Australian High Commission in Tonga </w:t>
      </w:r>
      <w:r w:rsidR="00CF5B1D">
        <w:t>in the next reporting period:</w:t>
      </w:r>
    </w:p>
    <w:p w14:paraId="4229B077" w14:textId="77777777" w:rsidR="00AC21E8" w:rsidRPr="00322991" w:rsidRDefault="00AC21E8" w:rsidP="00322991">
      <w:pPr>
        <w:pStyle w:val="ListParagraph"/>
        <w:numPr>
          <w:ilvl w:val="0"/>
          <w:numId w:val="44"/>
        </w:numPr>
      </w:pPr>
      <w:r w:rsidRPr="00322991">
        <w:t>Review our work in the economic sector, with a particular focus on risk, gender, climate change and disaster risk</w:t>
      </w:r>
      <w:r w:rsidR="00CF5B1D">
        <w:t xml:space="preserve"> reduction</w:t>
      </w:r>
      <w:r w:rsidRPr="00322991">
        <w:t>, and procurement</w:t>
      </w:r>
      <w:r w:rsidR="00322991">
        <w:t>.</w:t>
      </w:r>
    </w:p>
    <w:p w14:paraId="5463A3B7" w14:textId="77777777" w:rsidR="00AC21E8" w:rsidRPr="00322991" w:rsidRDefault="00617430" w:rsidP="00322991">
      <w:pPr>
        <w:pStyle w:val="ListParagraph"/>
        <w:numPr>
          <w:ilvl w:val="0"/>
          <w:numId w:val="44"/>
        </w:numPr>
      </w:pPr>
      <w:r>
        <w:lastRenderedPageBreak/>
        <w:t>U</w:t>
      </w:r>
      <w:r w:rsidR="00AC21E8" w:rsidRPr="00322991">
        <w:t xml:space="preserve">ndertake a mid-term review of our skills program to ensure it </w:t>
      </w:r>
      <w:r>
        <w:t xml:space="preserve">is </w:t>
      </w:r>
      <w:r w:rsidR="00AC21E8" w:rsidRPr="00322991">
        <w:t>still relevant and effective, and supports Australia’s step up in Pacific engagement. We will continue to work towards strategic donor coordination with the World Bank and New Zealand, and coherence with our regional investment in the Australia Pacific Technical College</w:t>
      </w:r>
      <w:r w:rsidR="00322991">
        <w:t>.</w:t>
      </w:r>
    </w:p>
    <w:p w14:paraId="0D8C7F32" w14:textId="77777777" w:rsidR="00AC21E8" w:rsidRPr="00322991" w:rsidRDefault="00672CF3" w:rsidP="00322991">
      <w:pPr>
        <w:pStyle w:val="ListParagraph"/>
        <w:numPr>
          <w:ilvl w:val="0"/>
          <w:numId w:val="44"/>
        </w:numPr>
      </w:pPr>
      <w:r>
        <w:t>L</w:t>
      </w:r>
      <w:r w:rsidR="00AC21E8" w:rsidRPr="00322991">
        <w:t>ift</w:t>
      </w:r>
      <w:r>
        <w:t>ing</w:t>
      </w:r>
      <w:r w:rsidR="00AC21E8" w:rsidRPr="00322991">
        <w:t xml:space="preserve"> our engagement with the Ministry of Health to</w:t>
      </w:r>
      <w:r>
        <w:t xml:space="preserve"> include</w:t>
      </w:r>
      <w:r w:rsidR="00AC21E8" w:rsidRPr="00322991">
        <w:t xml:space="preserve"> more strategic planning and decision making</w:t>
      </w:r>
      <w:r w:rsidR="00322991">
        <w:t>.</w:t>
      </w:r>
    </w:p>
    <w:p w14:paraId="61F8613A" w14:textId="77777777" w:rsidR="00AC21E8" w:rsidRPr="00322991" w:rsidRDefault="00672CF3" w:rsidP="00322991">
      <w:pPr>
        <w:pStyle w:val="ListParagraph"/>
        <w:numPr>
          <w:ilvl w:val="0"/>
          <w:numId w:val="44"/>
        </w:numPr>
      </w:pPr>
      <w:r>
        <w:t>D</w:t>
      </w:r>
      <w:r w:rsidR="00AC21E8" w:rsidRPr="00322991">
        <w:t>evelop</w:t>
      </w:r>
      <w:r>
        <w:t>ing</w:t>
      </w:r>
      <w:r w:rsidR="00AC21E8" w:rsidRPr="00322991">
        <w:t xml:space="preserve"> a strategy to guide our private sector engagement</w:t>
      </w:r>
      <w:r w:rsidR="00322991">
        <w:t>.</w:t>
      </w:r>
    </w:p>
    <w:p w14:paraId="10B6D387" w14:textId="204E5C7F" w:rsidR="00AC21E8" w:rsidRPr="00322991" w:rsidRDefault="00D16573" w:rsidP="00322991">
      <w:pPr>
        <w:pStyle w:val="ListParagraph"/>
        <w:numPr>
          <w:ilvl w:val="0"/>
          <w:numId w:val="44"/>
        </w:numPr>
      </w:pPr>
      <w:r>
        <w:t>To complement existing performance management mechanisms for individual programs, develop</w:t>
      </w:r>
      <w:r w:rsidR="00672CF3">
        <w:t xml:space="preserve"> </w:t>
      </w:r>
      <w:r w:rsidR="00AC21E8" w:rsidRPr="00322991">
        <w:t>a</w:t>
      </w:r>
      <w:r>
        <w:t xml:space="preserve"> program wide</w:t>
      </w:r>
      <w:r w:rsidR="00AC21E8" w:rsidRPr="00322991">
        <w:t xml:space="preserve"> Performance Assessment Framework for </w:t>
      </w:r>
      <w:r>
        <w:t>the</w:t>
      </w:r>
      <w:r w:rsidR="00AC21E8" w:rsidRPr="00322991">
        <w:t xml:space="preserve"> </w:t>
      </w:r>
      <w:r>
        <w:t>aid program in Tonga</w:t>
      </w:r>
      <w:r w:rsidR="00AC21E8" w:rsidRPr="00322991">
        <w:t xml:space="preserve">, </w:t>
      </w:r>
      <w:r>
        <w:t xml:space="preserve">which </w:t>
      </w:r>
      <w:r w:rsidR="00AC21E8" w:rsidRPr="00322991">
        <w:t>includ</w:t>
      </w:r>
      <w:r>
        <w:t>es</w:t>
      </w:r>
      <w:r w:rsidR="00AC21E8" w:rsidRPr="00322991">
        <w:t xml:space="preserve"> measurable outcomes for gender equality</w:t>
      </w:r>
      <w:r w:rsidR="00322991">
        <w:t>.</w:t>
      </w:r>
    </w:p>
    <w:p w14:paraId="50DD9345" w14:textId="77777777" w:rsidR="00AC21E8" w:rsidRDefault="00AC21E8" w:rsidP="00A77D86"/>
    <w:p w14:paraId="5F67A4DE" w14:textId="77777777" w:rsidR="00A77D86" w:rsidRDefault="00A77D86" w:rsidP="00A8197B"/>
    <w:p w14:paraId="262CBA95" w14:textId="77777777" w:rsidR="00015316" w:rsidRDefault="00015316" w:rsidP="005B5769">
      <w:pPr>
        <w:pStyle w:val="ListBullet"/>
        <w:tabs>
          <w:tab w:val="clear" w:pos="284"/>
        </w:tabs>
      </w:pPr>
    </w:p>
    <w:p w14:paraId="1CFEA91E" w14:textId="77777777" w:rsidR="00015316" w:rsidRDefault="00015316" w:rsidP="005B5769">
      <w:pPr>
        <w:pStyle w:val="ListBullet"/>
        <w:tabs>
          <w:tab w:val="clear" w:pos="284"/>
        </w:tabs>
      </w:pPr>
    </w:p>
    <w:p w14:paraId="70AAA635" w14:textId="77777777" w:rsidR="00D00802" w:rsidRDefault="00D00802" w:rsidP="005B5769">
      <w:pPr>
        <w:pStyle w:val="ListBullet"/>
        <w:tabs>
          <w:tab w:val="clear" w:pos="284"/>
        </w:tabs>
        <w:sectPr w:rsidR="00D00802" w:rsidSect="003E6E66">
          <w:headerReference w:type="default" r:id="rId27"/>
          <w:footerReference w:type="default" r:id="rId28"/>
          <w:pgSz w:w="11906" w:h="16838" w:code="9"/>
          <w:pgMar w:top="1135" w:right="1134" w:bottom="1276" w:left="1134" w:header="1565" w:footer="342" w:gutter="0"/>
          <w:cols w:space="397"/>
          <w:docGrid w:linePitch="360"/>
        </w:sectPr>
      </w:pPr>
    </w:p>
    <w:p w14:paraId="5DB735F0" w14:textId="77777777" w:rsidR="00015316" w:rsidRDefault="00015316" w:rsidP="005B5769">
      <w:pPr>
        <w:pStyle w:val="ListBullet"/>
        <w:tabs>
          <w:tab w:val="clear" w:pos="284"/>
        </w:tabs>
      </w:pPr>
    </w:p>
    <w:p w14:paraId="589D2D99" w14:textId="77777777" w:rsidR="00D00802" w:rsidRDefault="00D00802" w:rsidP="005B5769">
      <w:pPr>
        <w:pStyle w:val="ListBullet"/>
        <w:tabs>
          <w:tab w:val="clear" w:pos="284"/>
        </w:tabs>
      </w:pPr>
    </w:p>
    <w:p w14:paraId="20EB38A0" w14:textId="77777777" w:rsidR="00AF1B85" w:rsidRPr="00A8197B" w:rsidRDefault="00AF1B85" w:rsidP="005E606B">
      <w:pPr>
        <w:pStyle w:val="Subtitle"/>
      </w:pPr>
      <w:r w:rsidRPr="00A8197B">
        <w:t>Annex A - Progress in Addressing Management Responses</w:t>
      </w:r>
    </w:p>
    <w:p w14:paraId="7AE81721" w14:textId="77777777" w:rsidR="00AF1B85" w:rsidRPr="00C61187" w:rsidRDefault="00AF1B85" w:rsidP="00A8197B">
      <w:r w:rsidRPr="00C61187">
        <w:t>Describe progress made against management responses in 201</w:t>
      </w:r>
      <w:r w:rsidR="003E305C">
        <w:t>5</w:t>
      </w:r>
      <w:r w:rsidRPr="00C61187">
        <w:t>-1</w:t>
      </w:r>
      <w:r w:rsidR="003E305C">
        <w:t>6</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5146B3C5" w14:textId="77777777" w:rsidTr="00502C28">
        <w:trPr>
          <w:cnfStyle w:val="000000010000" w:firstRow="0" w:lastRow="0" w:firstColumn="0" w:lastColumn="0" w:oddVBand="0" w:evenVBand="0" w:oddHBand="0" w:evenHBand="1" w:firstRowFirstColumn="0" w:firstRowLastColumn="0" w:lastRowFirstColumn="0" w:lastRowLastColumn="0"/>
        </w:trPr>
        <w:tc>
          <w:tcPr>
            <w:tcW w:w="6284" w:type="dxa"/>
          </w:tcPr>
          <w:p w14:paraId="34CC585B" w14:textId="77777777"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Pr>
          <w:p w14:paraId="1E666F35"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14:paraId="5AC4F70E" w14:textId="77777777"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AF1B85" w:rsidRPr="00812509" w14:paraId="5C2446F7" w14:textId="77777777" w:rsidTr="004A2A3B">
        <w:trPr>
          <w:cnfStyle w:val="000000010000" w:firstRow="0" w:lastRow="0" w:firstColumn="0" w:lastColumn="0" w:oddVBand="0" w:evenVBand="0" w:oddHBand="0" w:evenHBand="1" w:firstRowFirstColumn="0" w:firstRowLastColumn="0" w:lastRowFirstColumn="0" w:lastRowLastColumn="0"/>
        </w:trPr>
        <w:tc>
          <w:tcPr>
            <w:tcW w:w="6409" w:type="dxa"/>
          </w:tcPr>
          <w:p w14:paraId="206B64AF" w14:textId="77777777" w:rsidR="00AF1B85" w:rsidRPr="00812509" w:rsidRDefault="001A7A1C" w:rsidP="001A7A1C">
            <w:pPr>
              <w:pStyle w:val="Default"/>
              <w:rPr>
                <w:rFonts w:asciiTheme="minorHAnsi" w:eastAsia="Times New Roman" w:hAnsiTheme="minorHAnsi"/>
                <w:iCs/>
                <w:szCs w:val="17"/>
                <w:lang w:eastAsia="en-US"/>
              </w:rPr>
            </w:pPr>
            <w:r w:rsidRPr="001A7A1C">
              <w:rPr>
                <w:rFonts w:asciiTheme="minorHAnsi" w:eastAsia="Times New Roman" w:hAnsiTheme="minorHAnsi" w:cstheme="minorBidi"/>
                <w:iCs/>
                <w:color w:val="495965" w:themeColor="text2"/>
                <w:sz w:val="17"/>
                <w:szCs w:val="17"/>
                <w:lang w:val="en-GB" w:eastAsia="en-US"/>
              </w:rPr>
              <w:t>Develop an Aid Partnership to reflect development priorities for both Australia and Tonga (aligning with the Tonga Strategic Development Framework and Australia’s Aid Investment Plan)</w:t>
            </w:r>
          </w:p>
        </w:tc>
        <w:tc>
          <w:tcPr>
            <w:tcW w:w="1170" w:type="dxa"/>
            <w:shd w:val="clear" w:color="auto" w:fill="92D050"/>
          </w:tcPr>
          <w:p w14:paraId="5302586D" w14:textId="77777777" w:rsidR="00AF1B85" w:rsidRPr="00374AB4" w:rsidRDefault="00FC3E86" w:rsidP="00D15A00">
            <w:pPr>
              <w:keepLines/>
              <w:spacing w:before="40" w:after="40" w:line="200" w:lineRule="atLeast"/>
              <w:jc w:val="center"/>
              <w:rPr>
                <w:rFonts w:asciiTheme="minorHAnsi" w:eastAsia="Times New Roman" w:hAnsiTheme="minorHAnsi"/>
                <w:b/>
                <w:iCs/>
                <w:color w:val="FFFFFF" w:themeColor="background1"/>
                <w:szCs w:val="17"/>
                <w:lang w:eastAsia="en-US"/>
              </w:rPr>
            </w:pPr>
            <w:r w:rsidRPr="00374AB4">
              <w:rPr>
                <w:rFonts w:asciiTheme="minorHAnsi" w:eastAsia="Times New Roman" w:hAnsiTheme="minorHAnsi"/>
                <w:b/>
                <w:iCs/>
                <w:color w:val="FFFFFF" w:themeColor="background1"/>
                <w:szCs w:val="17"/>
                <w:lang w:eastAsia="en-US"/>
              </w:rPr>
              <w:t>Green</w:t>
            </w:r>
          </w:p>
        </w:tc>
        <w:tc>
          <w:tcPr>
            <w:tcW w:w="6829" w:type="dxa"/>
          </w:tcPr>
          <w:p w14:paraId="1C07390C" w14:textId="77777777" w:rsidR="00AF1B85" w:rsidRPr="00812509" w:rsidRDefault="00502C28" w:rsidP="00502C28">
            <w:pPr>
              <w:keepLines/>
              <w:spacing w:before="40" w:after="40" w:line="200" w:lineRule="atLeast"/>
              <w:rPr>
                <w:rFonts w:asciiTheme="minorHAnsi" w:eastAsia="Times New Roman" w:hAnsiTheme="minorHAnsi"/>
                <w:iCs/>
                <w:color w:val="92D050"/>
                <w:szCs w:val="17"/>
                <w:lang w:eastAsia="en-US"/>
              </w:rPr>
            </w:pPr>
            <w:r w:rsidRPr="00CE731D">
              <w:rPr>
                <w:rFonts w:asciiTheme="minorHAnsi" w:eastAsia="Times New Roman" w:hAnsiTheme="minorHAnsi"/>
                <w:iCs/>
                <w:szCs w:val="17"/>
                <w:lang w:eastAsia="en-US"/>
              </w:rPr>
              <w:t xml:space="preserve">The Australia-Tonga Aid Partnership Arrangement </w:t>
            </w:r>
            <w:r w:rsidR="00CF5B1D">
              <w:rPr>
                <w:rFonts w:asciiTheme="minorHAnsi" w:eastAsia="Times New Roman" w:hAnsiTheme="minorHAnsi"/>
                <w:iCs/>
                <w:szCs w:val="17"/>
                <w:lang w:eastAsia="en-US"/>
              </w:rPr>
              <w:t>was signed on 21 September 2016</w:t>
            </w:r>
          </w:p>
        </w:tc>
      </w:tr>
      <w:tr w:rsidR="00AF1B85" w:rsidRPr="00812509" w14:paraId="44F40294" w14:textId="77777777" w:rsidTr="004A2A3B">
        <w:trPr>
          <w:cnfStyle w:val="000000010000" w:firstRow="0" w:lastRow="0" w:firstColumn="0" w:lastColumn="0" w:oddVBand="0" w:evenVBand="0" w:oddHBand="0" w:evenHBand="1" w:firstRowFirstColumn="0" w:firstRowLastColumn="0" w:lastRowFirstColumn="0" w:lastRowLastColumn="0"/>
        </w:trPr>
        <w:tc>
          <w:tcPr>
            <w:tcW w:w="6409" w:type="dxa"/>
          </w:tcPr>
          <w:p w14:paraId="76C3681D" w14:textId="77777777" w:rsidR="00AF1B85" w:rsidRPr="00812509" w:rsidRDefault="001A7A1C" w:rsidP="00D15A00">
            <w:pPr>
              <w:keepLines/>
              <w:spacing w:before="40" w:after="40" w:line="200" w:lineRule="atLeast"/>
              <w:rPr>
                <w:rFonts w:asciiTheme="minorHAnsi" w:eastAsia="Times New Roman" w:hAnsiTheme="minorHAnsi"/>
                <w:iCs/>
                <w:szCs w:val="17"/>
                <w:lang w:eastAsia="en-US"/>
              </w:rPr>
            </w:pPr>
            <w:r w:rsidRPr="001A7A1C">
              <w:rPr>
                <w:rFonts w:asciiTheme="minorHAnsi" w:eastAsia="Times New Roman" w:hAnsiTheme="minorHAnsi"/>
                <w:iCs/>
                <w:szCs w:val="17"/>
                <w:lang w:eastAsia="en-US"/>
              </w:rPr>
              <w:t>Develop an approach to ensure climate change priorities of both Australia and Tonga are better addressed through the Australian aid program</w:t>
            </w:r>
          </w:p>
        </w:tc>
        <w:tc>
          <w:tcPr>
            <w:tcW w:w="1170" w:type="dxa"/>
            <w:shd w:val="clear" w:color="auto" w:fill="92D050"/>
          </w:tcPr>
          <w:p w14:paraId="417E2070" w14:textId="77777777" w:rsidR="00AF1B85" w:rsidRPr="00374AB4" w:rsidRDefault="00FC3E86" w:rsidP="00D15A00">
            <w:pPr>
              <w:keepLines/>
              <w:spacing w:before="40" w:after="40" w:line="200" w:lineRule="atLeast"/>
              <w:jc w:val="center"/>
              <w:rPr>
                <w:rFonts w:asciiTheme="minorHAnsi" w:eastAsia="Times New Roman" w:hAnsiTheme="minorHAnsi"/>
                <w:b/>
                <w:iCs/>
                <w:color w:val="FFFFFF" w:themeColor="background1"/>
                <w:szCs w:val="17"/>
                <w:lang w:eastAsia="en-US"/>
              </w:rPr>
            </w:pPr>
            <w:r w:rsidRPr="00374AB4">
              <w:rPr>
                <w:rFonts w:asciiTheme="minorHAnsi" w:eastAsia="Times New Roman" w:hAnsiTheme="minorHAnsi"/>
                <w:b/>
                <w:iCs/>
                <w:color w:val="FFFFFF" w:themeColor="background1"/>
                <w:szCs w:val="17"/>
                <w:lang w:eastAsia="en-US"/>
              </w:rPr>
              <w:t>Green</w:t>
            </w:r>
          </w:p>
        </w:tc>
        <w:tc>
          <w:tcPr>
            <w:tcW w:w="6829" w:type="dxa"/>
          </w:tcPr>
          <w:p w14:paraId="1EAF44ED" w14:textId="77777777" w:rsidR="00AF1B85" w:rsidRPr="00812509" w:rsidRDefault="00F80533" w:rsidP="002831CB">
            <w:pPr>
              <w:keepLines/>
              <w:spacing w:before="40" w:after="40" w:line="200" w:lineRule="atLeast"/>
              <w:rPr>
                <w:rFonts w:asciiTheme="minorHAnsi" w:eastAsia="Times New Roman" w:hAnsiTheme="minorHAnsi"/>
                <w:iCs/>
                <w:color w:val="92D050"/>
                <w:szCs w:val="17"/>
                <w:lang w:eastAsia="en-US"/>
              </w:rPr>
            </w:pPr>
            <w:r w:rsidRPr="00F80533">
              <w:rPr>
                <w:rFonts w:asciiTheme="minorHAnsi" w:eastAsia="Times New Roman" w:hAnsiTheme="minorHAnsi"/>
                <w:iCs/>
                <w:szCs w:val="17"/>
                <w:lang w:eastAsia="en-US"/>
              </w:rPr>
              <w:t xml:space="preserve">With support from the Climate Change Interim Support </w:t>
            </w:r>
            <w:r w:rsidR="002831CB">
              <w:rPr>
                <w:rFonts w:asciiTheme="minorHAnsi" w:eastAsia="Times New Roman" w:hAnsiTheme="minorHAnsi"/>
                <w:iCs/>
                <w:szCs w:val="17"/>
                <w:lang w:eastAsia="en-US"/>
              </w:rPr>
              <w:t>U</w:t>
            </w:r>
            <w:r w:rsidRPr="00F80533">
              <w:rPr>
                <w:rFonts w:asciiTheme="minorHAnsi" w:eastAsia="Times New Roman" w:hAnsiTheme="minorHAnsi"/>
                <w:iCs/>
                <w:szCs w:val="17"/>
                <w:lang w:eastAsia="en-US"/>
              </w:rPr>
              <w:t xml:space="preserve">nit, a </w:t>
            </w:r>
            <w:r w:rsidR="002831CB">
              <w:rPr>
                <w:rFonts w:asciiTheme="minorHAnsi" w:eastAsia="Times New Roman" w:hAnsiTheme="minorHAnsi"/>
                <w:iCs/>
                <w:szCs w:val="17"/>
                <w:lang w:eastAsia="en-US"/>
              </w:rPr>
              <w:t>p</w:t>
            </w:r>
            <w:r w:rsidRPr="00F80533">
              <w:rPr>
                <w:rFonts w:asciiTheme="minorHAnsi" w:eastAsia="Times New Roman" w:hAnsiTheme="minorHAnsi"/>
                <w:iCs/>
                <w:szCs w:val="17"/>
                <w:lang w:eastAsia="en-US"/>
              </w:rPr>
              <w:t>ipeline inv</w:t>
            </w:r>
            <w:r w:rsidR="00A47108">
              <w:rPr>
                <w:rFonts w:asciiTheme="minorHAnsi" w:eastAsia="Times New Roman" w:hAnsiTheme="minorHAnsi"/>
                <w:iCs/>
                <w:szCs w:val="17"/>
                <w:lang w:eastAsia="en-US"/>
              </w:rPr>
              <w:t>estment plan has been developed</w:t>
            </w:r>
            <w:r w:rsidR="002831CB">
              <w:rPr>
                <w:rFonts w:asciiTheme="minorHAnsi" w:eastAsia="Times New Roman" w:hAnsiTheme="minorHAnsi"/>
                <w:iCs/>
                <w:szCs w:val="17"/>
                <w:lang w:eastAsia="en-US"/>
              </w:rPr>
              <w:t xml:space="preserve"> for Tonga</w:t>
            </w:r>
          </w:p>
        </w:tc>
      </w:tr>
      <w:tr w:rsidR="001A7A1C" w:rsidRPr="00812509" w14:paraId="06020D12" w14:textId="77777777" w:rsidTr="004A2A3B">
        <w:trPr>
          <w:cnfStyle w:val="000000010000" w:firstRow="0" w:lastRow="0" w:firstColumn="0" w:lastColumn="0" w:oddVBand="0" w:evenVBand="0" w:oddHBand="0" w:evenHBand="1" w:firstRowFirstColumn="0" w:firstRowLastColumn="0" w:lastRowFirstColumn="0" w:lastRowLastColumn="0"/>
        </w:trPr>
        <w:tc>
          <w:tcPr>
            <w:tcW w:w="6409" w:type="dxa"/>
          </w:tcPr>
          <w:p w14:paraId="6013B05F" w14:textId="77777777" w:rsidR="001A7A1C" w:rsidRPr="001A7A1C" w:rsidRDefault="001A7A1C" w:rsidP="001A7A1C">
            <w:pPr>
              <w:keepLines/>
              <w:spacing w:before="40" w:after="40" w:line="200" w:lineRule="atLeast"/>
              <w:rPr>
                <w:rFonts w:asciiTheme="minorHAnsi" w:eastAsia="Times New Roman" w:hAnsiTheme="minorHAnsi"/>
                <w:iCs/>
                <w:szCs w:val="17"/>
                <w:lang w:eastAsia="en-US"/>
              </w:rPr>
            </w:pPr>
            <w:r w:rsidRPr="001A7A1C">
              <w:rPr>
                <w:rFonts w:asciiTheme="minorHAnsi" w:eastAsia="Times New Roman" w:hAnsiTheme="minorHAnsi"/>
                <w:iCs/>
                <w:szCs w:val="17"/>
                <w:lang w:eastAsia="en-US"/>
              </w:rPr>
              <w:t xml:space="preserve">Mobilise the new Skills for Inclusive Economic Growth program, with a strengthened focus on gender equality and disability inclusion </w:t>
            </w:r>
          </w:p>
        </w:tc>
        <w:tc>
          <w:tcPr>
            <w:tcW w:w="1170" w:type="dxa"/>
            <w:shd w:val="clear" w:color="auto" w:fill="92D050"/>
          </w:tcPr>
          <w:p w14:paraId="6E6206B9" w14:textId="77777777" w:rsidR="001A7A1C" w:rsidRPr="00374AB4" w:rsidRDefault="00FC3E86" w:rsidP="00D15A00">
            <w:pPr>
              <w:keepLines/>
              <w:spacing w:before="40" w:after="40" w:line="200" w:lineRule="atLeast"/>
              <w:jc w:val="center"/>
              <w:rPr>
                <w:rFonts w:eastAsia="Times New Roman"/>
                <w:b/>
                <w:iCs/>
                <w:color w:val="FFFFFF" w:themeColor="background1"/>
                <w:szCs w:val="17"/>
              </w:rPr>
            </w:pPr>
            <w:r w:rsidRPr="00374AB4">
              <w:rPr>
                <w:rFonts w:asciiTheme="minorHAnsi" w:eastAsia="Times New Roman" w:hAnsiTheme="minorHAnsi"/>
                <w:b/>
                <w:iCs/>
                <w:color w:val="FFFFFF" w:themeColor="background1"/>
                <w:szCs w:val="17"/>
                <w:lang w:eastAsia="en-US"/>
              </w:rPr>
              <w:t>Green</w:t>
            </w:r>
          </w:p>
        </w:tc>
        <w:tc>
          <w:tcPr>
            <w:tcW w:w="6829" w:type="dxa"/>
          </w:tcPr>
          <w:p w14:paraId="41A8DBB9" w14:textId="77777777" w:rsidR="001A7A1C" w:rsidRPr="00FC3E86" w:rsidRDefault="00CF5B1D" w:rsidP="00D15A00">
            <w:pPr>
              <w:keepLines/>
              <w:spacing w:before="40" w:after="40" w:line="200" w:lineRule="atLeast"/>
              <w:rPr>
                <w:rFonts w:asciiTheme="minorHAnsi" w:hAnsiTheme="minorHAnsi"/>
              </w:rPr>
            </w:pPr>
            <w:r>
              <w:rPr>
                <w:rFonts w:asciiTheme="minorHAnsi" w:eastAsia="Times New Roman" w:hAnsiTheme="minorHAnsi"/>
                <w:iCs/>
                <w:szCs w:val="17"/>
                <w:lang w:eastAsia="en-US"/>
              </w:rPr>
              <w:t>Tonga S</w:t>
            </w:r>
            <w:r w:rsidR="00F80533" w:rsidRPr="005D55E9">
              <w:rPr>
                <w:rFonts w:asciiTheme="minorHAnsi" w:eastAsia="Times New Roman" w:hAnsiTheme="minorHAnsi"/>
                <w:iCs/>
                <w:szCs w:val="17"/>
                <w:lang w:eastAsia="en-US"/>
              </w:rPr>
              <w:t>kills has been mobilised</w:t>
            </w:r>
          </w:p>
        </w:tc>
      </w:tr>
      <w:tr w:rsidR="001A7A1C" w:rsidRPr="00812509" w14:paraId="0B595F2E" w14:textId="77777777" w:rsidTr="00374AB4">
        <w:trPr>
          <w:cnfStyle w:val="000000010000" w:firstRow="0" w:lastRow="0" w:firstColumn="0" w:lastColumn="0" w:oddVBand="0" w:evenVBand="0" w:oddHBand="0" w:evenHBand="1" w:firstRowFirstColumn="0" w:firstRowLastColumn="0" w:lastRowFirstColumn="0" w:lastRowLastColumn="0"/>
        </w:trPr>
        <w:tc>
          <w:tcPr>
            <w:tcW w:w="6284" w:type="dxa"/>
          </w:tcPr>
          <w:p w14:paraId="17BC1C3F" w14:textId="77777777" w:rsidR="001A7A1C" w:rsidRPr="001A7A1C" w:rsidRDefault="001A7A1C" w:rsidP="001A7A1C">
            <w:pPr>
              <w:keepLines/>
              <w:spacing w:before="40" w:after="40" w:line="200" w:lineRule="atLeast"/>
              <w:rPr>
                <w:rFonts w:asciiTheme="minorHAnsi" w:eastAsia="Times New Roman" w:hAnsiTheme="minorHAnsi"/>
                <w:iCs/>
                <w:szCs w:val="17"/>
                <w:lang w:eastAsia="en-US"/>
              </w:rPr>
            </w:pPr>
            <w:r w:rsidRPr="001A7A1C">
              <w:rPr>
                <w:rFonts w:asciiTheme="minorHAnsi" w:eastAsia="Times New Roman" w:hAnsiTheme="minorHAnsi"/>
                <w:iCs/>
                <w:szCs w:val="17"/>
                <w:lang w:eastAsia="en-US"/>
              </w:rPr>
              <w:t>DFAT will seek to consolidate its portfolio of investments in consultation with Government of Tonga, and better align bilateral, regional and global expenditure</w:t>
            </w:r>
          </w:p>
        </w:tc>
        <w:tc>
          <w:tcPr>
            <w:tcW w:w="1151" w:type="dxa"/>
            <w:shd w:val="clear" w:color="auto" w:fill="FF9900"/>
          </w:tcPr>
          <w:p w14:paraId="269452E9" w14:textId="77777777" w:rsidR="001A7A1C" w:rsidRPr="00374AB4" w:rsidRDefault="00671EB8" w:rsidP="00D15A00">
            <w:pPr>
              <w:keepLines/>
              <w:spacing w:before="40" w:after="40" w:line="200" w:lineRule="atLeast"/>
              <w:jc w:val="center"/>
              <w:rPr>
                <w:b/>
                <w:color w:val="FFC000"/>
              </w:rPr>
            </w:pPr>
            <w:r w:rsidRPr="00374AB4">
              <w:rPr>
                <w:rFonts w:asciiTheme="minorHAnsi" w:eastAsia="Times New Roman" w:hAnsiTheme="minorHAnsi"/>
                <w:b/>
                <w:iCs/>
                <w:color w:val="FFFFFF" w:themeColor="background1"/>
                <w:szCs w:val="17"/>
                <w:lang w:eastAsia="en-US"/>
              </w:rPr>
              <w:t>Amber</w:t>
            </w:r>
          </w:p>
        </w:tc>
        <w:tc>
          <w:tcPr>
            <w:tcW w:w="6696" w:type="dxa"/>
          </w:tcPr>
          <w:p w14:paraId="233D8D10" w14:textId="77777777" w:rsidR="001A7A1C" w:rsidRPr="00FC3E86" w:rsidRDefault="00F177E1" w:rsidP="00D15A00">
            <w:pPr>
              <w:keepLines/>
              <w:spacing w:before="40" w:after="40" w:line="200" w:lineRule="atLeast"/>
              <w:rPr>
                <w:rFonts w:asciiTheme="minorHAnsi" w:hAnsiTheme="minorHAnsi"/>
              </w:rPr>
            </w:pPr>
            <w:r>
              <w:rPr>
                <w:rFonts w:asciiTheme="minorHAnsi" w:eastAsia="Times New Roman" w:hAnsiTheme="minorHAnsi"/>
                <w:iCs/>
                <w:szCs w:val="17"/>
                <w:lang w:eastAsia="en-US"/>
              </w:rPr>
              <w:t xml:space="preserve">An overview of regional and bilateral investments that contribute to the Tonga-Australia Aid Partnership agreement was circulated </w:t>
            </w:r>
            <w:r w:rsidR="003B4444" w:rsidRPr="005D55E9">
              <w:rPr>
                <w:rFonts w:asciiTheme="minorHAnsi" w:eastAsia="Times New Roman" w:hAnsiTheme="minorHAnsi"/>
                <w:iCs/>
                <w:szCs w:val="17"/>
                <w:lang w:eastAsia="en-US"/>
              </w:rPr>
              <w:t xml:space="preserve"> </w:t>
            </w:r>
          </w:p>
        </w:tc>
      </w:tr>
      <w:tr w:rsidR="00AF1B85" w:rsidRPr="00812509" w14:paraId="26AFD674" w14:textId="77777777" w:rsidTr="004A2A3B">
        <w:trPr>
          <w:cnfStyle w:val="000000010000" w:firstRow="0" w:lastRow="0" w:firstColumn="0" w:lastColumn="0" w:oddVBand="0" w:evenVBand="0" w:oddHBand="0" w:evenHBand="1" w:firstRowFirstColumn="0" w:firstRowLastColumn="0" w:lastRowFirstColumn="0" w:lastRowLastColumn="0"/>
        </w:trPr>
        <w:tc>
          <w:tcPr>
            <w:tcW w:w="6284" w:type="dxa"/>
          </w:tcPr>
          <w:p w14:paraId="7EA51C4F" w14:textId="77777777" w:rsidR="00AF1B85" w:rsidRPr="00812509" w:rsidRDefault="004F0E49"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w:t>
            </w:r>
            <w:r w:rsidR="00E42DFB" w:rsidRPr="00E42DFB">
              <w:rPr>
                <w:rFonts w:asciiTheme="minorHAnsi" w:eastAsia="Times New Roman" w:hAnsiTheme="minorHAnsi"/>
                <w:iCs/>
                <w:szCs w:val="17"/>
                <w:lang w:eastAsia="en-US"/>
              </w:rPr>
              <w:t>acilitating dialogue with multilateral partners and the Government of Tonga for better gender analysis, data collection and monitoring of targets. In addition, the continued engagement of a gender adviser</w:t>
            </w:r>
            <w:r>
              <w:rPr>
                <w:rFonts w:asciiTheme="minorHAnsi" w:eastAsia="Times New Roman" w:hAnsiTheme="minorHAnsi"/>
                <w:iCs/>
                <w:szCs w:val="17"/>
                <w:lang w:eastAsia="en-US"/>
              </w:rPr>
              <w:t>.</w:t>
            </w:r>
          </w:p>
        </w:tc>
        <w:tc>
          <w:tcPr>
            <w:tcW w:w="1151" w:type="dxa"/>
            <w:shd w:val="clear" w:color="auto" w:fill="92D050"/>
          </w:tcPr>
          <w:p w14:paraId="1F3BF02C" w14:textId="77777777" w:rsidR="00AF1B85" w:rsidRPr="00374AB4" w:rsidRDefault="004A2A3B" w:rsidP="00D15A00">
            <w:pPr>
              <w:keepLines/>
              <w:spacing w:before="40" w:after="40" w:line="200" w:lineRule="atLeast"/>
              <w:jc w:val="center"/>
              <w:rPr>
                <w:rFonts w:asciiTheme="minorHAnsi" w:eastAsia="Times New Roman" w:hAnsiTheme="minorHAnsi"/>
                <w:b/>
                <w:iCs/>
                <w:color w:val="FFFFFF" w:themeColor="background1"/>
                <w:szCs w:val="17"/>
                <w:lang w:eastAsia="en-US"/>
              </w:rPr>
            </w:pPr>
            <w:r w:rsidRPr="00374AB4">
              <w:rPr>
                <w:rFonts w:asciiTheme="minorHAnsi" w:eastAsia="Times New Roman" w:hAnsiTheme="minorHAnsi"/>
                <w:b/>
                <w:iCs/>
                <w:color w:val="FFFFFF" w:themeColor="background1"/>
                <w:szCs w:val="17"/>
                <w:lang w:eastAsia="en-US"/>
              </w:rPr>
              <w:t>Green</w:t>
            </w:r>
          </w:p>
        </w:tc>
        <w:tc>
          <w:tcPr>
            <w:tcW w:w="6696" w:type="dxa"/>
          </w:tcPr>
          <w:p w14:paraId="597989FF" w14:textId="77777777" w:rsidR="00AF1B85" w:rsidRPr="00812509" w:rsidRDefault="004A2A3B" w:rsidP="00A91124">
            <w:pPr>
              <w:keepLines/>
              <w:spacing w:before="40" w:after="40" w:line="200" w:lineRule="atLeast"/>
              <w:rPr>
                <w:rFonts w:asciiTheme="minorHAnsi" w:eastAsia="Times New Roman" w:hAnsiTheme="minorHAnsi"/>
                <w:iCs/>
                <w:color w:val="409F68" w:themeColor="accent6"/>
                <w:szCs w:val="17"/>
                <w:lang w:eastAsia="en-US"/>
              </w:rPr>
            </w:pPr>
            <w:r w:rsidRPr="008E6C24">
              <w:rPr>
                <w:rFonts w:asciiTheme="minorHAnsi" w:eastAsia="Times New Roman" w:hAnsiTheme="minorHAnsi"/>
                <w:iCs/>
                <w:szCs w:val="17"/>
                <w:lang w:eastAsia="en-US"/>
              </w:rPr>
              <w:t>There is a continued focus on gender outcomes across all programs</w:t>
            </w:r>
            <w:r w:rsidR="00A91124" w:rsidRPr="008E6C24">
              <w:rPr>
                <w:rFonts w:asciiTheme="minorHAnsi" w:eastAsia="Times New Roman" w:hAnsiTheme="minorHAnsi"/>
                <w:iCs/>
                <w:szCs w:val="17"/>
                <w:lang w:eastAsia="en-US"/>
              </w:rPr>
              <w:t>, including close engagement w</w:t>
            </w:r>
            <w:r w:rsidRPr="008E6C24">
              <w:rPr>
                <w:rFonts w:asciiTheme="minorHAnsi" w:eastAsia="Times New Roman" w:hAnsiTheme="minorHAnsi"/>
                <w:iCs/>
                <w:szCs w:val="17"/>
                <w:lang w:eastAsia="en-US"/>
              </w:rPr>
              <w:t>ith a dedicated gender adviser</w:t>
            </w:r>
          </w:p>
        </w:tc>
      </w:tr>
      <w:tr w:rsidR="00AF1B85" w:rsidRPr="00812509" w14:paraId="27309D19" w14:textId="77777777" w:rsidTr="00FC3E86">
        <w:trPr>
          <w:cnfStyle w:val="000000010000" w:firstRow="0" w:lastRow="0" w:firstColumn="0" w:lastColumn="0" w:oddVBand="0" w:evenVBand="0" w:oddHBand="0" w:evenHBand="1" w:firstRowFirstColumn="0" w:firstRowLastColumn="0" w:lastRowFirstColumn="0" w:lastRowLastColumn="0"/>
        </w:trPr>
        <w:tc>
          <w:tcPr>
            <w:tcW w:w="6284" w:type="dxa"/>
          </w:tcPr>
          <w:p w14:paraId="42C2D950" w14:textId="77777777" w:rsidR="00AF1B85" w:rsidRPr="001A7A1C" w:rsidRDefault="001A7A1C" w:rsidP="001A7A1C">
            <w:pPr>
              <w:keepLines/>
              <w:spacing w:before="40" w:after="40" w:line="200" w:lineRule="atLeast"/>
              <w:rPr>
                <w:rFonts w:asciiTheme="minorHAnsi" w:eastAsia="Times New Roman" w:hAnsiTheme="minorHAnsi"/>
                <w:iCs/>
                <w:szCs w:val="17"/>
                <w:lang w:eastAsia="en-US"/>
              </w:rPr>
            </w:pPr>
            <w:r w:rsidRPr="001A7A1C">
              <w:rPr>
                <w:rFonts w:asciiTheme="minorHAnsi" w:eastAsia="Times New Roman" w:hAnsiTheme="minorHAnsi"/>
                <w:iCs/>
                <w:szCs w:val="17"/>
                <w:lang w:eastAsia="en-US"/>
              </w:rPr>
              <w:t>Develop a Performance Assessment Framework to underpin the Tonga Aid Partnership</w:t>
            </w:r>
            <w:r w:rsidRPr="001A7A1C">
              <w:rPr>
                <w:sz w:val="22"/>
              </w:rPr>
              <w:t xml:space="preserve"> </w:t>
            </w:r>
          </w:p>
        </w:tc>
        <w:tc>
          <w:tcPr>
            <w:tcW w:w="1151" w:type="dxa"/>
            <w:shd w:val="clear" w:color="auto" w:fill="FF0000"/>
          </w:tcPr>
          <w:p w14:paraId="48179C3E" w14:textId="77777777" w:rsidR="00AF1B85" w:rsidRPr="00374AB4" w:rsidRDefault="00FC3E86" w:rsidP="00D15A00">
            <w:pPr>
              <w:keepLines/>
              <w:spacing w:before="40" w:after="40" w:line="200" w:lineRule="atLeast"/>
              <w:jc w:val="center"/>
              <w:rPr>
                <w:rFonts w:asciiTheme="minorHAnsi" w:eastAsia="Times New Roman" w:hAnsiTheme="minorHAnsi"/>
                <w:b/>
                <w:iCs/>
                <w:color w:val="FFFFFF" w:themeColor="background1"/>
                <w:szCs w:val="17"/>
                <w:lang w:eastAsia="en-US"/>
              </w:rPr>
            </w:pPr>
            <w:r w:rsidRPr="00374AB4">
              <w:rPr>
                <w:rFonts w:asciiTheme="minorHAnsi" w:eastAsia="Times New Roman" w:hAnsiTheme="minorHAnsi"/>
                <w:b/>
                <w:iCs/>
                <w:color w:val="FFFFFF" w:themeColor="background1"/>
                <w:szCs w:val="17"/>
                <w:lang w:eastAsia="en-US"/>
              </w:rPr>
              <w:t>Red</w:t>
            </w:r>
          </w:p>
        </w:tc>
        <w:tc>
          <w:tcPr>
            <w:tcW w:w="6696" w:type="dxa"/>
          </w:tcPr>
          <w:p w14:paraId="4CD1C99E" w14:textId="77777777" w:rsidR="00AF1B85" w:rsidRPr="00CE731D" w:rsidRDefault="00F80533" w:rsidP="00EE0BA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 preliminary draft has been prepared and will be finalised in consultation with</w:t>
            </w:r>
            <w:r w:rsidR="002831CB">
              <w:rPr>
                <w:rFonts w:asciiTheme="minorHAnsi" w:eastAsia="Times New Roman" w:hAnsiTheme="minorHAnsi"/>
                <w:iCs/>
                <w:szCs w:val="17"/>
                <w:lang w:eastAsia="en-US"/>
              </w:rPr>
              <w:t xml:space="preserve"> the</w:t>
            </w:r>
            <w:r>
              <w:rPr>
                <w:rFonts w:asciiTheme="minorHAnsi" w:eastAsia="Times New Roman" w:hAnsiTheme="minorHAnsi"/>
                <w:iCs/>
                <w:szCs w:val="17"/>
                <w:lang w:eastAsia="en-US"/>
              </w:rPr>
              <w:t xml:space="preserve"> Government </w:t>
            </w:r>
            <w:r w:rsidR="002831CB">
              <w:rPr>
                <w:rFonts w:asciiTheme="minorHAnsi" w:eastAsia="Times New Roman" w:hAnsiTheme="minorHAnsi"/>
                <w:iCs/>
                <w:szCs w:val="17"/>
                <w:lang w:eastAsia="en-US"/>
              </w:rPr>
              <w:t xml:space="preserve">of Tonga </w:t>
            </w:r>
            <w:r>
              <w:rPr>
                <w:rFonts w:asciiTheme="minorHAnsi" w:eastAsia="Times New Roman" w:hAnsiTheme="minorHAnsi"/>
                <w:iCs/>
                <w:szCs w:val="17"/>
                <w:lang w:eastAsia="en-US"/>
              </w:rPr>
              <w:t>in preparation for aid talks currently scheduled for October 2017</w:t>
            </w:r>
          </w:p>
        </w:tc>
      </w:tr>
    </w:tbl>
    <w:p w14:paraId="0F0794BD"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30E1C32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60091E6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58E0A185"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CA1636D" w14:textId="77777777" w:rsidR="00D00802" w:rsidRDefault="00D00802" w:rsidP="005B5769">
      <w:pPr>
        <w:pStyle w:val="ListBullet"/>
        <w:tabs>
          <w:tab w:val="clear" w:pos="284"/>
        </w:tabs>
        <w:sectPr w:rsidR="00D00802" w:rsidSect="00D00802">
          <w:headerReference w:type="first" r:id="rId29"/>
          <w:pgSz w:w="16838" w:h="11906" w:orient="landscape" w:code="9"/>
          <w:pgMar w:top="1134" w:right="1952" w:bottom="1134" w:left="851" w:header="1107" w:footer="567" w:gutter="0"/>
          <w:cols w:space="397"/>
          <w:titlePg/>
          <w:docGrid w:linePitch="360"/>
        </w:sectPr>
      </w:pPr>
    </w:p>
    <w:p w14:paraId="16702CF5" w14:textId="77777777"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14:paraId="68797D1B" w14:textId="77777777"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14:paraId="17C1674D" w14:textId="77777777" w:rsidR="00184F1E" w:rsidRDefault="00184F1E" w:rsidP="00184F1E">
      <w:r>
        <w:rPr>
          <w:rFonts w:ascii="Franklin Gothic Book" w:eastAsia="Times New Roman" w:hAnsi="Franklin Gothic Book"/>
          <w:sz w:val="21"/>
        </w:rPr>
        <w:t xml:space="preserve">Discussion on progress against specific </w:t>
      </w:r>
      <w:r w:rsidRPr="00C61187">
        <w:rPr>
          <w:rFonts w:ascii="Franklin Gothic Book" w:eastAsia="Times New Roman" w:hAnsi="Franklin Gothic Book"/>
          <w:sz w:val="21"/>
        </w:rPr>
        <w:t xml:space="preserve">performance benchmarks </w:t>
      </w:r>
      <w:r>
        <w:rPr>
          <w:rFonts w:ascii="Franklin Gothic Book" w:eastAsia="Times New Roman" w:hAnsi="Franklin Gothic Book"/>
          <w:sz w:val="21"/>
        </w:rPr>
        <w:t>in 2016-17 should also be included as part of the text assessing progress against individual program objectives in the main body of the APPR.</w:t>
      </w:r>
    </w:p>
    <w:p w14:paraId="71A4BD6D" w14:textId="77777777" w:rsidR="00184F1E" w:rsidRPr="00CE5DF0" w:rsidRDefault="00184F1E" w:rsidP="00184F1E"/>
    <w:tbl>
      <w:tblPr>
        <w:tblStyle w:val="DFATTable"/>
        <w:tblW w:w="5000" w:type="pct"/>
        <w:tblLook w:val="04A0" w:firstRow="1" w:lastRow="0" w:firstColumn="1" w:lastColumn="0" w:noHBand="0" w:noVBand="1"/>
      </w:tblPr>
      <w:tblGrid>
        <w:gridCol w:w="2190"/>
        <w:gridCol w:w="2189"/>
        <w:gridCol w:w="1319"/>
        <w:gridCol w:w="8337"/>
      </w:tblGrid>
      <w:tr w:rsidR="00184F1E" w:rsidRPr="00C61187" w14:paraId="661C29AD" w14:textId="77777777" w:rsidTr="00CE49BB">
        <w:trPr>
          <w:tblHeader/>
        </w:trPr>
        <w:tc>
          <w:tcPr>
            <w:tcW w:w="780" w:type="pct"/>
            <w:tcMar>
              <w:top w:w="57" w:type="dxa"/>
              <w:bottom w:w="57" w:type="dxa"/>
            </w:tcMar>
          </w:tcPr>
          <w:p w14:paraId="5803F13D" w14:textId="77777777" w:rsidR="00184F1E" w:rsidRPr="00880004" w:rsidRDefault="00184F1E" w:rsidP="00CE49BB">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2A4A87B4" w14:textId="77777777" w:rsidR="00184F1E" w:rsidRPr="00880004" w:rsidRDefault="00184F1E" w:rsidP="00CE49BB">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0844D65E" w14:textId="77777777" w:rsidR="00184F1E" w:rsidRPr="00880004" w:rsidRDefault="00184F1E" w:rsidP="00CE49BB">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53E07CAF" w14:textId="77777777" w:rsidR="00184F1E" w:rsidRPr="00880004" w:rsidRDefault="00184F1E" w:rsidP="00CE49BB">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184F1E" w:rsidRPr="00C61187" w14:paraId="0F3CB053" w14:textId="77777777" w:rsidTr="00FC3E86">
        <w:tc>
          <w:tcPr>
            <w:tcW w:w="780" w:type="pct"/>
            <w:tcMar>
              <w:top w:w="57" w:type="dxa"/>
              <w:bottom w:w="57" w:type="dxa"/>
            </w:tcMar>
          </w:tcPr>
          <w:p w14:paraId="6177C576" w14:textId="77777777" w:rsidR="00184F1E" w:rsidRPr="00880004" w:rsidRDefault="00BA3685" w:rsidP="00CE49BB">
            <w:pPr>
              <w:keepLines/>
              <w:spacing w:before="40" w:after="40" w:line="200" w:lineRule="atLeast"/>
              <w:rPr>
                <w:rFonts w:asciiTheme="minorHAnsi" w:eastAsia="Times New Roman" w:hAnsiTheme="minorHAnsi"/>
                <w:iCs/>
                <w:szCs w:val="17"/>
                <w:lang w:eastAsia="en-US"/>
              </w:rPr>
            </w:pPr>
            <w:r w:rsidRPr="00BA3685">
              <w:rPr>
                <w:rFonts w:asciiTheme="minorHAnsi" w:eastAsia="Times New Roman" w:hAnsiTheme="minorHAnsi"/>
                <w:iCs/>
                <w:szCs w:val="17"/>
                <w:lang w:eastAsia="en-US"/>
              </w:rPr>
              <w:t>Governance, economic and private sector development reforms</w:t>
            </w:r>
          </w:p>
        </w:tc>
        <w:tc>
          <w:tcPr>
            <w:tcW w:w="780" w:type="pct"/>
          </w:tcPr>
          <w:p w14:paraId="4ADF241F" w14:textId="77777777" w:rsidR="00184F1E" w:rsidRPr="00880004" w:rsidRDefault="00C70D08" w:rsidP="00CE49B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Achievement of actions under Joint Policy Reform Matrix triggers release of donor funding</w:t>
            </w:r>
          </w:p>
        </w:tc>
        <w:tc>
          <w:tcPr>
            <w:tcW w:w="470" w:type="pct"/>
            <w:shd w:val="clear" w:color="auto" w:fill="7FB64D" w:themeFill="accent3" w:themeFillShade="BF"/>
          </w:tcPr>
          <w:p w14:paraId="7DE8D25A" w14:textId="77777777" w:rsidR="00374AB4" w:rsidRDefault="00374AB4" w:rsidP="00CE49BB">
            <w:pPr>
              <w:keepLines/>
              <w:spacing w:before="40" w:after="40" w:line="200" w:lineRule="atLeast"/>
              <w:jc w:val="center"/>
              <w:rPr>
                <w:rFonts w:asciiTheme="minorHAnsi" w:eastAsia="Times New Roman" w:hAnsiTheme="minorHAnsi"/>
                <w:b/>
                <w:iCs/>
                <w:color w:val="FFFFFF" w:themeColor="background1"/>
                <w:szCs w:val="17"/>
                <w:lang w:eastAsia="en-US"/>
              </w:rPr>
            </w:pPr>
          </w:p>
          <w:p w14:paraId="6D799472" w14:textId="52075230" w:rsidR="00184F1E" w:rsidRPr="00374AB4" w:rsidRDefault="00A3018B" w:rsidP="00CE49BB">
            <w:pPr>
              <w:keepLines/>
              <w:spacing w:before="40" w:after="40" w:line="200" w:lineRule="atLeast"/>
              <w:jc w:val="center"/>
              <w:rPr>
                <w:rFonts w:asciiTheme="minorHAnsi" w:eastAsia="Times New Roman" w:hAnsiTheme="minorHAnsi"/>
                <w:b/>
                <w:iCs/>
                <w:color w:val="FFFFFF" w:themeColor="background1"/>
                <w:szCs w:val="17"/>
                <w:lang w:eastAsia="en-US"/>
              </w:rPr>
            </w:pPr>
            <w:r w:rsidRPr="00374AB4">
              <w:rPr>
                <w:rFonts w:asciiTheme="minorHAnsi" w:eastAsia="Times New Roman" w:hAnsiTheme="minorHAnsi"/>
                <w:b/>
                <w:iCs/>
                <w:color w:val="FFFFFF" w:themeColor="background1"/>
                <w:szCs w:val="17"/>
                <w:lang w:eastAsia="en-US"/>
              </w:rPr>
              <w:t>Green</w:t>
            </w:r>
          </w:p>
        </w:tc>
        <w:tc>
          <w:tcPr>
            <w:tcW w:w="2970" w:type="pct"/>
          </w:tcPr>
          <w:p w14:paraId="6C40DBC9" w14:textId="77777777" w:rsidR="00184F1E" w:rsidRPr="00880004" w:rsidRDefault="00A3018B" w:rsidP="008E6C2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The Government of Tonga achieved all agreed actions under the Joint Policy Reform Matrix for 2016</w:t>
            </w:r>
            <w:r w:rsidR="00E2508E">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17, resulting in full release of Australia’s budget support.  </w:t>
            </w:r>
          </w:p>
        </w:tc>
      </w:tr>
      <w:tr w:rsidR="00184F1E" w:rsidRPr="00C61187" w14:paraId="5E094486" w14:textId="77777777" w:rsidTr="00374AB4">
        <w:tc>
          <w:tcPr>
            <w:tcW w:w="780" w:type="pct"/>
            <w:tcMar>
              <w:top w:w="57" w:type="dxa"/>
              <w:bottom w:w="57" w:type="dxa"/>
            </w:tcMar>
          </w:tcPr>
          <w:p w14:paraId="26450ED6" w14:textId="77777777" w:rsidR="00184F1E" w:rsidRPr="00880004" w:rsidRDefault="00BA3685" w:rsidP="00CE49BB">
            <w:pPr>
              <w:keepLines/>
              <w:spacing w:before="40" w:after="40" w:line="200" w:lineRule="atLeast"/>
              <w:rPr>
                <w:rFonts w:asciiTheme="minorHAnsi" w:eastAsia="Times New Roman" w:hAnsiTheme="minorHAnsi"/>
                <w:iCs/>
                <w:szCs w:val="17"/>
                <w:lang w:eastAsia="en-US"/>
              </w:rPr>
            </w:pPr>
            <w:r w:rsidRPr="00BA3685">
              <w:rPr>
                <w:rFonts w:asciiTheme="minorHAnsi" w:eastAsia="Times New Roman" w:hAnsiTheme="minorHAnsi"/>
                <w:iCs/>
                <w:szCs w:val="17"/>
                <w:lang w:eastAsia="en-US"/>
              </w:rPr>
              <w:t>A more effective, efficient and equitable health system</w:t>
            </w:r>
          </w:p>
        </w:tc>
        <w:tc>
          <w:tcPr>
            <w:tcW w:w="780" w:type="pct"/>
          </w:tcPr>
          <w:p w14:paraId="4256E170" w14:textId="77777777" w:rsidR="00184F1E" w:rsidRPr="00880004" w:rsidRDefault="00766DC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Ministry of Health and Tonga Health</w:t>
            </w:r>
            <w:r w:rsidR="00184F1E" w:rsidRPr="00880004">
              <w:rPr>
                <w:rFonts w:asciiTheme="minorHAnsi" w:eastAsia="Times New Roman" w:hAnsiTheme="minorHAnsi"/>
                <w:iCs/>
                <w:szCs w:val="17"/>
                <w:lang w:eastAsia="en-US"/>
              </w:rPr>
              <w:t xml:space="preserve"> </w:t>
            </w:r>
            <w:r w:rsidR="00C9534E">
              <w:rPr>
                <w:rFonts w:asciiTheme="minorHAnsi" w:eastAsia="Times New Roman" w:hAnsiTheme="minorHAnsi"/>
                <w:iCs/>
                <w:szCs w:val="17"/>
                <w:lang w:eastAsia="en-US"/>
              </w:rPr>
              <w:t>budgets as a percentage of the total government budget do not decrease against the 2015 baseline, and, launch of the Essential Package of Services for Ministry of Health and the digit</w:t>
            </w:r>
            <w:r w:rsidR="00F4219D">
              <w:rPr>
                <w:rFonts w:asciiTheme="minorHAnsi" w:eastAsia="Times New Roman" w:hAnsiTheme="minorHAnsi"/>
                <w:iCs/>
                <w:szCs w:val="17"/>
                <w:lang w:eastAsia="en-US"/>
              </w:rPr>
              <w:t>i</w:t>
            </w:r>
            <w:r w:rsidR="00C9534E">
              <w:rPr>
                <w:rFonts w:asciiTheme="minorHAnsi" w:eastAsia="Times New Roman" w:hAnsiTheme="minorHAnsi"/>
                <w:iCs/>
                <w:szCs w:val="17"/>
                <w:lang w:eastAsia="en-US"/>
              </w:rPr>
              <w:t>sation of public health information through the pilot of the Digital Health Information Software Phase 2.</w:t>
            </w:r>
          </w:p>
        </w:tc>
        <w:tc>
          <w:tcPr>
            <w:tcW w:w="470" w:type="pct"/>
            <w:shd w:val="clear" w:color="auto" w:fill="FF9900"/>
          </w:tcPr>
          <w:p w14:paraId="2236C067" w14:textId="77777777" w:rsidR="00374AB4" w:rsidRDefault="00374AB4" w:rsidP="00CE49BB">
            <w:pPr>
              <w:keepLines/>
              <w:spacing w:before="40" w:after="40" w:line="200" w:lineRule="atLeast"/>
              <w:jc w:val="center"/>
              <w:rPr>
                <w:rFonts w:asciiTheme="minorHAnsi" w:eastAsia="Times New Roman" w:hAnsiTheme="minorHAnsi"/>
                <w:b/>
                <w:iCs/>
                <w:color w:val="FFFFFF" w:themeColor="background1"/>
                <w:szCs w:val="17"/>
                <w:lang w:eastAsia="en-US"/>
              </w:rPr>
            </w:pPr>
          </w:p>
          <w:p w14:paraId="52D9F752" w14:textId="77777777" w:rsidR="00374AB4" w:rsidRDefault="00374AB4" w:rsidP="00CE49BB">
            <w:pPr>
              <w:keepLines/>
              <w:spacing w:before="40" w:after="40" w:line="200" w:lineRule="atLeast"/>
              <w:jc w:val="center"/>
              <w:rPr>
                <w:rFonts w:asciiTheme="minorHAnsi" w:eastAsia="Times New Roman" w:hAnsiTheme="minorHAnsi"/>
                <w:b/>
                <w:iCs/>
                <w:color w:val="FFFFFF" w:themeColor="background1"/>
                <w:szCs w:val="17"/>
                <w:lang w:eastAsia="en-US"/>
              </w:rPr>
            </w:pPr>
          </w:p>
          <w:p w14:paraId="628A269E" w14:textId="77777777" w:rsidR="00374AB4" w:rsidRDefault="00374AB4" w:rsidP="00CE49BB">
            <w:pPr>
              <w:keepLines/>
              <w:spacing w:before="40" w:after="40" w:line="200" w:lineRule="atLeast"/>
              <w:jc w:val="center"/>
              <w:rPr>
                <w:rFonts w:asciiTheme="minorHAnsi" w:eastAsia="Times New Roman" w:hAnsiTheme="minorHAnsi"/>
                <w:b/>
                <w:iCs/>
                <w:color w:val="FFFFFF" w:themeColor="background1"/>
                <w:szCs w:val="17"/>
                <w:lang w:eastAsia="en-US"/>
              </w:rPr>
            </w:pPr>
          </w:p>
          <w:p w14:paraId="7B576FD2" w14:textId="77777777" w:rsidR="00374AB4" w:rsidRDefault="00374AB4" w:rsidP="00CE49BB">
            <w:pPr>
              <w:keepLines/>
              <w:spacing w:before="40" w:after="40" w:line="200" w:lineRule="atLeast"/>
              <w:jc w:val="center"/>
              <w:rPr>
                <w:rFonts w:asciiTheme="minorHAnsi" w:eastAsia="Times New Roman" w:hAnsiTheme="minorHAnsi"/>
                <w:b/>
                <w:iCs/>
                <w:color w:val="FFFFFF" w:themeColor="background1"/>
                <w:szCs w:val="17"/>
                <w:lang w:eastAsia="en-US"/>
              </w:rPr>
            </w:pPr>
          </w:p>
          <w:p w14:paraId="1A135A49" w14:textId="66F25FF0" w:rsidR="00184F1E" w:rsidRPr="00374AB4" w:rsidRDefault="00671EB8" w:rsidP="00CE49BB">
            <w:pPr>
              <w:keepLines/>
              <w:spacing w:before="40" w:after="40" w:line="200" w:lineRule="atLeast"/>
              <w:jc w:val="center"/>
              <w:rPr>
                <w:rFonts w:asciiTheme="minorHAnsi" w:eastAsia="Times New Roman" w:hAnsiTheme="minorHAnsi"/>
                <w:b/>
                <w:iCs/>
                <w:szCs w:val="17"/>
                <w:lang w:eastAsia="en-US"/>
              </w:rPr>
            </w:pPr>
            <w:r w:rsidRPr="00374AB4">
              <w:rPr>
                <w:rFonts w:asciiTheme="minorHAnsi" w:eastAsia="Times New Roman" w:hAnsiTheme="minorHAnsi"/>
                <w:b/>
                <w:iCs/>
                <w:color w:val="FFFFFF" w:themeColor="background1"/>
                <w:szCs w:val="17"/>
                <w:lang w:eastAsia="en-US"/>
              </w:rPr>
              <w:t>Amber</w:t>
            </w:r>
          </w:p>
        </w:tc>
        <w:tc>
          <w:tcPr>
            <w:tcW w:w="2970" w:type="pct"/>
          </w:tcPr>
          <w:p w14:paraId="737B58C4" w14:textId="77777777" w:rsidR="00184F1E" w:rsidRPr="00880004" w:rsidRDefault="00A959C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While budget benchmarks were met, delivery of the Essential Package of Services and </w:t>
            </w:r>
            <w:r w:rsidR="00F4219D">
              <w:rPr>
                <w:rFonts w:asciiTheme="minorHAnsi" w:eastAsia="Times New Roman" w:hAnsiTheme="minorHAnsi"/>
                <w:iCs/>
                <w:szCs w:val="17"/>
                <w:lang w:eastAsia="en-US"/>
              </w:rPr>
              <w:t xml:space="preserve">reporting on NCDs benchmarks </w:t>
            </w:r>
            <w:r>
              <w:rPr>
                <w:rFonts w:asciiTheme="minorHAnsi" w:eastAsia="Times New Roman" w:hAnsiTheme="minorHAnsi"/>
                <w:iCs/>
                <w:szCs w:val="17"/>
                <w:lang w:eastAsia="en-US"/>
              </w:rPr>
              <w:t>has been delayed.</w:t>
            </w:r>
          </w:p>
        </w:tc>
      </w:tr>
      <w:tr w:rsidR="00184F1E" w:rsidRPr="00C61187" w14:paraId="6653F878" w14:textId="77777777" w:rsidTr="00FC3E86">
        <w:tc>
          <w:tcPr>
            <w:tcW w:w="780" w:type="pct"/>
            <w:tcMar>
              <w:top w:w="57" w:type="dxa"/>
              <w:bottom w:w="57" w:type="dxa"/>
            </w:tcMar>
          </w:tcPr>
          <w:p w14:paraId="2496A31F" w14:textId="77777777" w:rsidR="00184F1E" w:rsidRPr="00880004" w:rsidRDefault="00BA3685" w:rsidP="00CE49BB">
            <w:pPr>
              <w:keepLines/>
              <w:spacing w:before="40" w:after="40" w:line="200" w:lineRule="atLeast"/>
              <w:rPr>
                <w:rFonts w:asciiTheme="minorHAnsi" w:eastAsia="Times New Roman" w:hAnsiTheme="minorHAnsi"/>
                <w:iCs/>
                <w:szCs w:val="17"/>
                <w:lang w:eastAsia="en-US"/>
              </w:rPr>
            </w:pPr>
            <w:r w:rsidRPr="00BA3685">
              <w:rPr>
                <w:rFonts w:asciiTheme="minorHAnsi" w:eastAsia="Times New Roman" w:hAnsiTheme="minorHAnsi"/>
                <w:iCs/>
                <w:szCs w:val="17"/>
                <w:lang w:eastAsia="en-US"/>
              </w:rPr>
              <w:t>Skills development in support of economic opportunities for Tongan workers</w:t>
            </w:r>
          </w:p>
        </w:tc>
        <w:tc>
          <w:tcPr>
            <w:tcW w:w="780" w:type="pct"/>
          </w:tcPr>
          <w:p w14:paraId="41FC98F4" w14:textId="77777777" w:rsidR="00184F1E" w:rsidRPr="00880004" w:rsidRDefault="00C70D08" w:rsidP="00CE49B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70% S4IEG and scholarship students complete quality education, training and skills development opportunities aligned with labour market needs. 5% of university students are studying in non-traditional fields related to their gender</w:t>
            </w:r>
          </w:p>
        </w:tc>
        <w:tc>
          <w:tcPr>
            <w:tcW w:w="470" w:type="pct"/>
            <w:shd w:val="clear" w:color="auto" w:fill="7FB64D" w:themeFill="accent3" w:themeFillShade="BF"/>
          </w:tcPr>
          <w:p w14:paraId="62CD0F0F" w14:textId="77777777" w:rsidR="00374AB4" w:rsidRDefault="00374AB4" w:rsidP="00FC3E86">
            <w:pPr>
              <w:keepLines/>
              <w:spacing w:before="40" w:after="40" w:line="200" w:lineRule="atLeast"/>
              <w:jc w:val="center"/>
              <w:rPr>
                <w:rFonts w:asciiTheme="minorHAnsi" w:eastAsia="Times New Roman" w:hAnsiTheme="minorHAnsi"/>
                <w:b/>
                <w:iCs/>
                <w:color w:val="FFFFFF" w:themeColor="background1"/>
                <w:szCs w:val="17"/>
                <w:lang w:eastAsia="en-US"/>
              </w:rPr>
            </w:pPr>
          </w:p>
          <w:p w14:paraId="2AD383FF" w14:textId="77777777" w:rsidR="00374AB4" w:rsidRDefault="00374AB4" w:rsidP="00FC3E86">
            <w:pPr>
              <w:keepLines/>
              <w:spacing w:before="40" w:after="40" w:line="200" w:lineRule="atLeast"/>
              <w:jc w:val="center"/>
              <w:rPr>
                <w:rFonts w:asciiTheme="minorHAnsi" w:eastAsia="Times New Roman" w:hAnsiTheme="minorHAnsi"/>
                <w:b/>
                <w:iCs/>
                <w:color w:val="FFFFFF" w:themeColor="background1"/>
                <w:szCs w:val="17"/>
                <w:lang w:eastAsia="en-US"/>
              </w:rPr>
            </w:pPr>
          </w:p>
          <w:p w14:paraId="1284A76E" w14:textId="29367FDA" w:rsidR="00184F1E" w:rsidRPr="00374AB4" w:rsidRDefault="0056290A" w:rsidP="00FC3E86">
            <w:pPr>
              <w:keepLines/>
              <w:spacing w:before="40" w:after="40" w:line="200" w:lineRule="atLeast"/>
              <w:jc w:val="center"/>
              <w:rPr>
                <w:rFonts w:asciiTheme="minorHAnsi" w:eastAsia="Times New Roman" w:hAnsiTheme="minorHAnsi"/>
                <w:b/>
                <w:iCs/>
                <w:szCs w:val="17"/>
                <w:lang w:eastAsia="en-US"/>
              </w:rPr>
            </w:pPr>
            <w:r w:rsidRPr="00374AB4">
              <w:rPr>
                <w:rFonts w:asciiTheme="minorHAnsi" w:eastAsia="Times New Roman" w:hAnsiTheme="minorHAnsi"/>
                <w:b/>
                <w:iCs/>
                <w:color w:val="FFFFFF" w:themeColor="background1"/>
                <w:szCs w:val="17"/>
                <w:lang w:eastAsia="en-US"/>
              </w:rPr>
              <w:t>Green</w:t>
            </w:r>
          </w:p>
        </w:tc>
        <w:tc>
          <w:tcPr>
            <w:tcW w:w="2970" w:type="pct"/>
          </w:tcPr>
          <w:p w14:paraId="0617D1D3" w14:textId="77777777" w:rsidR="00DA67C2" w:rsidRPr="002D3C73" w:rsidRDefault="0056290A" w:rsidP="00DA67C2">
            <w:pPr>
              <w:pStyle w:val="TableTextEntries"/>
              <w:keepNext/>
              <w:rPr>
                <w:rFonts w:asciiTheme="minorHAnsi" w:hAnsiTheme="minorHAnsi" w:cstheme="minorBidi"/>
                <w:color w:val="495965" w:themeColor="text2"/>
                <w:lang w:val="en-GB" w:eastAsia="en-US"/>
              </w:rPr>
            </w:pPr>
            <w:r w:rsidRPr="002D3C73">
              <w:rPr>
                <w:rFonts w:asciiTheme="minorHAnsi" w:hAnsiTheme="minorHAnsi" w:cstheme="minorBidi"/>
                <w:color w:val="495965" w:themeColor="text2"/>
                <w:lang w:val="en-GB" w:eastAsia="en-US"/>
              </w:rPr>
              <w:t xml:space="preserve">Achieved: 85% of scholarship </w:t>
            </w:r>
            <w:r w:rsidR="002D3C73" w:rsidRPr="002D3C73">
              <w:rPr>
                <w:rFonts w:asciiTheme="minorHAnsi" w:hAnsiTheme="minorHAnsi" w:cstheme="minorBidi"/>
                <w:color w:val="495965" w:themeColor="text2"/>
                <w:lang w:val="en-GB" w:eastAsia="en-US"/>
              </w:rPr>
              <w:t>students</w:t>
            </w:r>
            <w:r w:rsidRPr="002D3C73">
              <w:rPr>
                <w:rFonts w:asciiTheme="minorHAnsi" w:hAnsiTheme="minorHAnsi" w:cstheme="minorBidi"/>
                <w:color w:val="495965" w:themeColor="text2"/>
                <w:lang w:val="en-GB" w:eastAsia="en-US"/>
              </w:rPr>
              <w:t xml:space="preserve"> and 72% of ISDF / Tonga Skills students successfully completed courses.</w:t>
            </w:r>
          </w:p>
          <w:p w14:paraId="5AD93B3B" w14:textId="77777777" w:rsidR="00DA67C2" w:rsidRPr="002D3C73" w:rsidRDefault="00DA67C2" w:rsidP="00DA67C2">
            <w:pPr>
              <w:pStyle w:val="TableTextEntries"/>
              <w:keepNext/>
              <w:rPr>
                <w:rFonts w:asciiTheme="minorHAnsi" w:hAnsiTheme="minorHAnsi" w:cstheme="minorBidi"/>
                <w:color w:val="495965" w:themeColor="text2"/>
                <w:lang w:val="en-GB" w:eastAsia="en-US"/>
              </w:rPr>
            </w:pPr>
            <w:r w:rsidRPr="002D3C73">
              <w:rPr>
                <w:rFonts w:asciiTheme="minorHAnsi" w:hAnsiTheme="minorHAnsi" w:cstheme="minorBidi"/>
                <w:color w:val="495965" w:themeColor="text2"/>
                <w:lang w:val="en-GB" w:eastAsia="en-US"/>
              </w:rPr>
              <w:t xml:space="preserve">Baseline was 73% for </w:t>
            </w:r>
            <w:r w:rsidR="002D3C73">
              <w:rPr>
                <w:rFonts w:asciiTheme="minorHAnsi" w:hAnsiTheme="minorHAnsi" w:cstheme="minorBidi"/>
                <w:color w:val="495965" w:themeColor="text2"/>
                <w:lang w:val="en-GB" w:eastAsia="en-US"/>
              </w:rPr>
              <w:t>20</w:t>
            </w:r>
            <w:r w:rsidRPr="002D3C73">
              <w:rPr>
                <w:rFonts w:asciiTheme="minorHAnsi" w:hAnsiTheme="minorHAnsi" w:cstheme="minorBidi"/>
                <w:color w:val="495965" w:themeColor="text2"/>
                <w:lang w:val="en-GB" w:eastAsia="en-US"/>
              </w:rPr>
              <w:t>15</w:t>
            </w:r>
            <w:r w:rsidR="002D3C73">
              <w:rPr>
                <w:rFonts w:asciiTheme="minorHAnsi" w:hAnsiTheme="minorHAnsi" w:cstheme="minorBidi"/>
                <w:color w:val="495965" w:themeColor="text2"/>
                <w:lang w:val="en-GB" w:eastAsia="en-US"/>
              </w:rPr>
              <w:t>-</w:t>
            </w:r>
            <w:r w:rsidRPr="002D3C73">
              <w:rPr>
                <w:rFonts w:asciiTheme="minorHAnsi" w:hAnsiTheme="minorHAnsi" w:cstheme="minorBidi"/>
                <w:color w:val="495965" w:themeColor="text2"/>
                <w:lang w:val="en-GB" w:eastAsia="en-US"/>
              </w:rPr>
              <w:t>16</w:t>
            </w:r>
          </w:p>
          <w:p w14:paraId="5AC22D62" w14:textId="77777777" w:rsidR="00184F1E" w:rsidRPr="00880004" w:rsidRDefault="00184F1E" w:rsidP="00CE49BB">
            <w:pPr>
              <w:keepLines/>
              <w:spacing w:before="40" w:after="40" w:line="200" w:lineRule="atLeast"/>
              <w:rPr>
                <w:rFonts w:asciiTheme="minorHAnsi" w:eastAsia="Times New Roman" w:hAnsiTheme="minorHAnsi"/>
                <w:iCs/>
                <w:szCs w:val="17"/>
                <w:lang w:eastAsia="en-US"/>
              </w:rPr>
            </w:pPr>
          </w:p>
        </w:tc>
      </w:tr>
    </w:tbl>
    <w:p w14:paraId="3E6FF4B4"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80B6073"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17800B6C"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2642FA70"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728E6A1C" w14:textId="77777777"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lastRenderedPageBreak/>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Style w:val="DFATTable"/>
        <w:tblW w:w="5384" w:type="pct"/>
        <w:tblLook w:val="04A0" w:firstRow="1" w:lastRow="0" w:firstColumn="1" w:lastColumn="0" w:noHBand="0" w:noVBand="1"/>
      </w:tblPr>
      <w:tblGrid>
        <w:gridCol w:w="2721"/>
        <w:gridCol w:w="3772"/>
        <w:gridCol w:w="4141"/>
        <w:gridCol w:w="4479"/>
      </w:tblGrid>
      <w:tr w:rsidR="003C376C" w14:paraId="3758F645" w14:textId="77777777" w:rsidTr="0001295F">
        <w:trPr>
          <w:trHeight w:val="331"/>
        </w:trPr>
        <w:tc>
          <w:tcPr>
            <w:tcW w:w="900" w:type="pct"/>
            <w:tcBorders>
              <w:top w:val="single" w:sz="12" w:space="0" w:color="auto"/>
              <w:left w:val="nil"/>
              <w:bottom w:val="nil"/>
              <w:right w:val="nil"/>
            </w:tcBorders>
          </w:tcPr>
          <w:p w14:paraId="5C89A2B1" w14:textId="77777777" w:rsidR="003C376C" w:rsidRPr="00BE6C6D" w:rsidRDefault="003C376C" w:rsidP="00CE49BB">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248" w:type="pct"/>
            <w:tcBorders>
              <w:top w:val="single" w:sz="12" w:space="0" w:color="auto"/>
              <w:left w:val="nil"/>
              <w:bottom w:val="nil"/>
              <w:right w:val="nil"/>
            </w:tcBorders>
          </w:tcPr>
          <w:p w14:paraId="27333725" w14:textId="77777777" w:rsidR="003C376C" w:rsidRPr="00BE6C6D" w:rsidRDefault="003C376C" w:rsidP="00CE49BB">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r>
              <w:rPr>
                <w:rFonts w:asciiTheme="minorHAnsi" w:eastAsia="Times New Roman" w:hAnsiTheme="minorHAnsi"/>
                <w:b/>
                <w:iCs/>
                <w:szCs w:val="17"/>
                <w:lang w:eastAsia="en-US"/>
              </w:rPr>
              <w:t>2016-17</w:t>
            </w:r>
          </w:p>
        </w:tc>
        <w:tc>
          <w:tcPr>
            <w:tcW w:w="1370" w:type="pct"/>
            <w:tcBorders>
              <w:top w:val="single" w:sz="12" w:space="0" w:color="auto"/>
              <w:left w:val="nil"/>
              <w:bottom w:val="nil"/>
              <w:right w:val="nil"/>
            </w:tcBorders>
            <w:hideMark/>
          </w:tcPr>
          <w:p w14:paraId="72D74DEC" w14:textId="77777777" w:rsidR="003C376C" w:rsidRPr="00BE6C6D" w:rsidRDefault="003C376C" w:rsidP="00CE49BB">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482" w:type="pct"/>
            <w:tcBorders>
              <w:top w:val="single" w:sz="12" w:space="0" w:color="auto"/>
              <w:left w:val="nil"/>
              <w:bottom w:val="nil"/>
              <w:right w:val="nil"/>
            </w:tcBorders>
            <w:hideMark/>
          </w:tcPr>
          <w:p w14:paraId="48D53B83" w14:textId="77777777" w:rsidR="003C376C" w:rsidRPr="00BE6C6D" w:rsidRDefault="003C376C" w:rsidP="00CE49BB">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r>
      <w:tr w:rsidR="003C376C" w14:paraId="4BD33FDC" w14:textId="77777777" w:rsidTr="0001295F">
        <w:trPr>
          <w:trHeight w:val="425"/>
        </w:trPr>
        <w:tc>
          <w:tcPr>
            <w:tcW w:w="900" w:type="pct"/>
            <w:tcBorders>
              <w:top w:val="nil"/>
              <w:left w:val="nil"/>
              <w:bottom w:val="nil"/>
              <w:right w:val="nil"/>
            </w:tcBorders>
            <w:hideMark/>
          </w:tcPr>
          <w:p w14:paraId="6AEC7B32" w14:textId="77777777" w:rsidR="003C376C" w:rsidRPr="00BE6C6D" w:rsidRDefault="003C376C" w:rsidP="00CE49BB">
            <w:pPr>
              <w:pStyle w:val="NormalIndented"/>
              <w:rPr>
                <w:rFonts w:asciiTheme="minorHAnsi" w:hAnsiTheme="minorHAnsi"/>
                <w:i/>
                <w:color w:val="808080" w:themeColor="background1" w:themeShade="80"/>
                <w:sz w:val="18"/>
              </w:rPr>
            </w:pPr>
          </w:p>
        </w:tc>
        <w:tc>
          <w:tcPr>
            <w:tcW w:w="4100" w:type="pct"/>
            <w:gridSpan w:val="3"/>
            <w:tcBorders>
              <w:top w:val="nil"/>
              <w:left w:val="nil"/>
              <w:bottom w:val="nil"/>
            </w:tcBorders>
            <w:hideMark/>
          </w:tcPr>
          <w:p w14:paraId="0D3F2DF8" w14:textId="77777777" w:rsidR="003C376C" w:rsidRPr="00BE6C6D" w:rsidRDefault="003C376C" w:rsidP="00CE49BB">
            <w:pPr>
              <w:pStyle w:val="NormalIndented"/>
              <w:rPr>
                <w:i/>
                <w:color w:val="808080" w:themeColor="background1" w:themeShade="80"/>
              </w:rPr>
            </w:pPr>
          </w:p>
        </w:tc>
      </w:tr>
      <w:tr w:rsidR="003C376C" w14:paraId="6A2F92DD" w14:textId="77777777" w:rsidTr="0001295F">
        <w:trPr>
          <w:trHeight w:val="984"/>
        </w:trPr>
        <w:tc>
          <w:tcPr>
            <w:tcW w:w="900" w:type="pct"/>
            <w:tcBorders>
              <w:top w:val="nil"/>
              <w:left w:val="nil"/>
              <w:bottom w:val="nil"/>
              <w:right w:val="nil"/>
            </w:tcBorders>
          </w:tcPr>
          <w:p w14:paraId="0245C0AE"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To progress economic reform</w:t>
            </w:r>
          </w:p>
        </w:tc>
        <w:tc>
          <w:tcPr>
            <w:tcW w:w="1248" w:type="pct"/>
            <w:tcBorders>
              <w:top w:val="nil"/>
              <w:left w:val="nil"/>
              <w:bottom w:val="nil"/>
              <w:right w:val="nil"/>
            </w:tcBorders>
          </w:tcPr>
          <w:p w14:paraId="48FD79F3"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Achievement of actions under Joint Policy Reform Matrix (to improve Tonga’s Public Financial Management) triggers release of donor funding</w:t>
            </w:r>
          </w:p>
        </w:tc>
        <w:tc>
          <w:tcPr>
            <w:tcW w:w="1370" w:type="pct"/>
            <w:tcBorders>
              <w:top w:val="nil"/>
              <w:left w:val="nil"/>
              <w:bottom w:val="nil"/>
              <w:right w:val="nil"/>
            </w:tcBorders>
          </w:tcPr>
          <w:p w14:paraId="3F3C3599"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Achievement of actions under Joint Policy Reform Matrix (to improve Tonga’s Public Financial Management) triggers release of donor funding</w:t>
            </w:r>
          </w:p>
        </w:tc>
        <w:tc>
          <w:tcPr>
            <w:tcW w:w="1482" w:type="pct"/>
            <w:tcBorders>
              <w:top w:val="nil"/>
              <w:left w:val="nil"/>
              <w:bottom w:val="nil"/>
              <w:right w:val="nil"/>
            </w:tcBorders>
          </w:tcPr>
          <w:p w14:paraId="03E102A8"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Achievement of actions under Joint Policy Reform Matrix (to improve Tonga’s Public Financial Management) triggers release of donor funding</w:t>
            </w:r>
          </w:p>
        </w:tc>
      </w:tr>
      <w:tr w:rsidR="003C376C" w14:paraId="4E82CEE6" w14:textId="77777777" w:rsidTr="0001295F">
        <w:trPr>
          <w:trHeight w:val="984"/>
        </w:trPr>
        <w:tc>
          <w:tcPr>
            <w:tcW w:w="900" w:type="pct"/>
            <w:tcBorders>
              <w:top w:val="nil"/>
              <w:left w:val="nil"/>
              <w:bottom w:val="nil"/>
              <w:right w:val="nil"/>
            </w:tcBorders>
          </w:tcPr>
          <w:p w14:paraId="3E220C17"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improve economic benefits through targeted renewable energy and trade enhancing infrastructure</w:t>
            </w:r>
            <w:r w:rsidRPr="00880004">
              <w:rPr>
                <w:rFonts w:asciiTheme="minorHAnsi" w:eastAsia="Times New Roman" w:hAnsiTheme="minorHAnsi"/>
                <w:iCs/>
                <w:szCs w:val="17"/>
                <w:lang w:eastAsia="en-US"/>
              </w:rPr>
              <w:t xml:space="preserve"> </w:t>
            </w:r>
          </w:p>
        </w:tc>
        <w:tc>
          <w:tcPr>
            <w:tcW w:w="1248" w:type="pct"/>
            <w:tcBorders>
              <w:top w:val="nil"/>
              <w:left w:val="nil"/>
              <w:bottom w:val="nil"/>
              <w:right w:val="nil"/>
            </w:tcBorders>
          </w:tcPr>
          <w:p w14:paraId="3B36A619"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750kWp of solar generation and 660kWh of energy storage installed in 2 outer islands</w:t>
            </w:r>
            <w:r w:rsidRPr="00880004">
              <w:rPr>
                <w:rFonts w:asciiTheme="minorHAnsi" w:eastAsia="Times New Roman" w:hAnsiTheme="minorHAnsi"/>
                <w:iCs/>
                <w:szCs w:val="17"/>
                <w:lang w:eastAsia="en-US"/>
              </w:rPr>
              <w:t xml:space="preserve"> </w:t>
            </w:r>
          </w:p>
        </w:tc>
        <w:tc>
          <w:tcPr>
            <w:tcW w:w="1370" w:type="pct"/>
            <w:tcBorders>
              <w:top w:val="nil"/>
              <w:left w:val="nil"/>
              <w:bottom w:val="nil"/>
              <w:right w:val="nil"/>
            </w:tcBorders>
            <w:hideMark/>
          </w:tcPr>
          <w:p w14:paraId="3A8EDB75"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sidRPr="005E076A">
              <w:rPr>
                <w:rFonts w:asciiTheme="minorHAnsi" w:eastAsia="Times New Roman" w:hAnsiTheme="minorHAnsi"/>
                <w:iCs/>
                <w:szCs w:val="17"/>
                <w:lang w:eastAsia="en-US"/>
              </w:rPr>
              <w:t xml:space="preserve">An additional 220kWp of </w:t>
            </w:r>
            <w:r>
              <w:rPr>
                <w:rFonts w:asciiTheme="minorHAnsi" w:eastAsia="Times New Roman" w:hAnsiTheme="minorHAnsi"/>
                <w:iCs/>
                <w:szCs w:val="17"/>
                <w:lang w:eastAsia="en-US"/>
              </w:rPr>
              <w:t>s</w:t>
            </w:r>
            <w:r w:rsidRPr="005E076A">
              <w:rPr>
                <w:rFonts w:asciiTheme="minorHAnsi" w:eastAsia="Times New Roman" w:hAnsiTheme="minorHAnsi"/>
                <w:iCs/>
                <w:szCs w:val="17"/>
                <w:lang w:eastAsia="en-US"/>
              </w:rPr>
              <w:t>olar generation and 1,100kWh of energy storage installed in 3 outer islands</w:t>
            </w:r>
            <w:r w:rsidRPr="002831CB">
              <w:rPr>
                <w:rFonts w:asciiTheme="minorHAnsi" w:eastAsia="Times New Roman" w:hAnsiTheme="minorHAnsi"/>
                <w:iCs/>
                <w:szCs w:val="17"/>
                <w:lang w:eastAsia="en-US"/>
              </w:rPr>
              <w:t xml:space="preserve"> </w:t>
            </w:r>
          </w:p>
        </w:tc>
        <w:tc>
          <w:tcPr>
            <w:tcW w:w="1482" w:type="pct"/>
            <w:tcBorders>
              <w:top w:val="nil"/>
              <w:left w:val="nil"/>
              <w:bottom w:val="nil"/>
              <w:right w:val="nil"/>
            </w:tcBorders>
            <w:hideMark/>
          </w:tcPr>
          <w:p w14:paraId="1585F132"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sidRPr="005E076A">
              <w:rPr>
                <w:rFonts w:asciiTheme="minorHAnsi" w:eastAsia="Times New Roman" w:hAnsiTheme="minorHAnsi"/>
                <w:iCs/>
                <w:szCs w:val="17"/>
                <w:lang w:eastAsia="en-US"/>
              </w:rPr>
              <w:t>A further 220kWp of solar generation and 1,100kWh of energy storage installed in 3 more outer islands</w:t>
            </w:r>
            <w:r w:rsidRPr="002831CB">
              <w:rPr>
                <w:rFonts w:asciiTheme="minorHAnsi" w:eastAsia="Times New Roman" w:hAnsiTheme="minorHAnsi"/>
                <w:iCs/>
                <w:szCs w:val="17"/>
                <w:lang w:eastAsia="en-US"/>
              </w:rPr>
              <w:t xml:space="preserve"> </w:t>
            </w:r>
          </w:p>
        </w:tc>
      </w:tr>
      <w:tr w:rsidR="00890E31" w14:paraId="26907967" w14:textId="77777777" w:rsidTr="0001295F">
        <w:trPr>
          <w:trHeight w:val="984"/>
        </w:trPr>
        <w:tc>
          <w:tcPr>
            <w:tcW w:w="900" w:type="pct"/>
            <w:tcBorders>
              <w:top w:val="nil"/>
              <w:left w:val="nil"/>
              <w:bottom w:val="nil"/>
              <w:right w:val="nil"/>
            </w:tcBorders>
          </w:tcPr>
          <w:p w14:paraId="0B482F31" w14:textId="77777777" w:rsidR="00890E31" w:rsidRPr="00322991" w:rsidRDefault="00890E31"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To improve health system effectiveness, efficiency and equity</w:t>
            </w:r>
          </w:p>
        </w:tc>
        <w:tc>
          <w:tcPr>
            <w:tcW w:w="1248" w:type="pct"/>
            <w:tcBorders>
              <w:top w:val="nil"/>
              <w:left w:val="nil"/>
              <w:bottom w:val="nil"/>
              <w:right w:val="nil"/>
            </w:tcBorders>
          </w:tcPr>
          <w:p w14:paraId="6B4711E9" w14:textId="77777777" w:rsidR="00890E31" w:rsidRPr="00322991" w:rsidRDefault="00890E31"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Ministry of Health and Tonga Health budgets (separately considered and excluding donor funds) as a percentage of the total government budget do not decrease against the 2015 baseline, and launch of the Essential Package of Services for Ministry of Health and the digitalisation of Public Health information through the pilot of the Digital Health Information Software 2</w:t>
            </w:r>
          </w:p>
        </w:tc>
        <w:tc>
          <w:tcPr>
            <w:tcW w:w="1370" w:type="pct"/>
            <w:tcBorders>
              <w:top w:val="nil"/>
              <w:left w:val="nil"/>
              <w:bottom w:val="nil"/>
              <w:right w:val="nil"/>
            </w:tcBorders>
          </w:tcPr>
          <w:p w14:paraId="208710CE" w14:textId="77777777" w:rsidR="00890E31" w:rsidRPr="00322991" w:rsidRDefault="00890E31"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Ministry of Health and Tonga Health budgets (separately considered and excluding donor funds) as a percentage of the total government budget do not decrease against the 2015 baseline, and the proportion of the 2017-18 Ministry of Health budget (excluding donor funds) allocated to the Public Health Division, has continued to increase from the 2016-17 level</w:t>
            </w:r>
          </w:p>
        </w:tc>
        <w:tc>
          <w:tcPr>
            <w:tcW w:w="1482" w:type="pct"/>
            <w:tcBorders>
              <w:top w:val="nil"/>
              <w:left w:val="nil"/>
              <w:bottom w:val="nil"/>
              <w:right w:val="nil"/>
            </w:tcBorders>
          </w:tcPr>
          <w:p w14:paraId="789C7DBB" w14:textId="77777777" w:rsidR="00890E31" w:rsidRPr="00322991" w:rsidRDefault="00890E31"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Ministry of Health and Tonga Health budgets (separately considered and excluding donor funds) as a percentage of the total government budget do not decrease against the 2015 baseline, and the proportion of the 2018-19 Ministry of Health budget (excluding donor funds) allocated to the Public Health Division, has continued to increase from the 2017-18 level</w:t>
            </w:r>
          </w:p>
        </w:tc>
      </w:tr>
      <w:tr w:rsidR="003C376C" w14:paraId="4E345A97" w14:textId="77777777" w:rsidTr="0001295F">
        <w:trPr>
          <w:trHeight w:val="614"/>
        </w:trPr>
        <w:tc>
          <w:tcPr>
            <w:tcW w:w="900" w:type="pct"/>
            <w:tcBorders>
              <w:top w:val="nil"/>
              <w:left w:val="nil"/>
              <w:bottom w:val="nil"/>
              <w:right w:val="nil"/>
            </w:tcBorders>
          </w:tcPr>
          <w:p w14:paraId="0F8E31AC"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reduce the health and economic burden of non-communicable diseases (NCDs)</w:t>
            </w:r>
            <w:r w:rsidRPr="00880004">
              <w:rPr>
                <w:rFonts w:asciiTheme="minorHAnsi" w:eastAsia="Times New Roman" w:hAnsiTheme="minorHAnsi"/>
                <w:iCs/>
                <w:szCs w:val="17"/>
                <w:lang w:eastAsia="en-US"/>
              </w:rPr>
              <w:t xml:space="preserve"> </w:t>
            </w:r>
          </w:p>
        </w:tc>
        <w:tc>
          <w:tcPr>
            <w:tcW w:w="1248" w:type="pct"/>
            <w:tcBorders>
              <w:top w:val="nil"/>
              <w:left w:val="nil"/>
              <w:bottom w:val="nil"/>
              <w:right w:val="nil"/>
            </w:tcBorders>
          </w:tcPr>
          <w:p w14:paraId="5D145160"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Multi-sectoral, quality annual reporting against the National Strategy for NCD prevention and control 2015-2020’s monitoring and evaluation framework, and a decrease in the prevalence of tobacco use (against the baseline 2016 Tobacco campaign pre-survey)</w:t>
            </w:r>
            <w:r w:rsidRPr="00880004">
              <w:rPr>
                <w:rFonts w:asciiTheme="minorHAnsi" w:eastAsia="Times New Roman" w:hAnsiTheme="minorHAnsi"/>
                <w:iCs/>
                <w:szCs w:val="17"/>
                <w:lang w:eastAsia="en-US"/>
              </w:rPr>
              <w:t xml:space="preserve"> </w:t>
            </w:r>
          </w:p>
        </w:tc>
        <w:tc>
          <w:tcPr>
            <w:tcW w:w="1370" w:type="pct"/>
            <w:tcBorders>
              <w:top w:val="nil"/>
              <w:left w:val="nil"/>
              <w:bottom w:val="nil"/>
              <w:right w:val="nil"/>
            </w:tcBorders>
          </w:tcPr>
          <w:p w14:paraId="6F82AB0F"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sidRPr="005E076A">
              <w:rPr>
                <w:rFonts w:asciiTheme="minorHAnsi" w:eastAsia="Times New Roman" w:hAnsiTheme="minorHAnsi"/>
                <w:iCs/>
                <w:szCs w:val="17"/>
                <w:lang w:eastAsia="en-US"/>
              </w:rPr>
              <w:t>Introduction of universal screening for gestational diabetes and implementation of related clinical care and lifestyle education for pregnant mothers. An increase overall in the number of babies exclusively breastfed until 6 months (compared to 2014 baseline)</w:t>
            </w:r>
          </w:p>
        </w:tc>
        <w:tc>
          <w:tcPr>
            <w:tcW w:w="1482" w:type="pct"/>
            <w:tcBorders>
              <w:top w:val="nil"/>
              <w:left w:val="nil"/>
              <w:bottom w:val="nil"/>
              <w:right w:val="nil"/>
            </w:tcBorders>
          </w:tcPr>
          <w:p w14:paraId="02E960D4" w14:textId="77777777" w:rsidR="003C376C" w:rsidRPr="002831CB" w:rsidRDefault="003C376C" w:rsidP="002831CB">
            <w:pPr>
              <w:keepLines/>
              <w:spacing w:before="40" w:after="40" w:line="200" w:lineRule="atLeast"/>
              <w:rPr>
                <w:rFonts w:asciiTheme="minorHAnsi" w:eastAsia="Times New Roman" w:hAnsiTheme="minorHAnsi"/>
                <w:iCs/>
                <w:szCs w:val="17"/>
                <w:lang w:eastAsia="en-US"/>
              </w:rPr>
            </w:pPr>
            <w:r w:rsidRPr="005E076A">
              <w:rPr>
                <w:rFonts w:asciiTheme="minorHAnsi" w:eastAsia="Times New Roman" w:hAnsiTheme="minorHAnsi"/>
                <w:iCs/>
                <w:szCs w:val="17"/>
                <w:lang w:eastAsia="en-US"/>
              </w:rPr>
              <w:t>Launch of a multi-year, national scale, healthy eating public awareness campaign that improves healthy eating behaviours. Decrease in the rates of premature deaths and preventable disability related to NCDs in men and in women</w:t>
            </w:r>
          </w:p>
        </w:tc>
      </w:tr>
      <w:tr w:rsidR="003C376C" w14:paraId="3828C93B" w14:textId="77777777" w:rsidTr="0001295F">
        <w:trPr>
          <w:trHeight w:val="614"/>
        </w:trPr>
        <w:tc>
          <w:tcPr>
            <w:tcW w:w="900" w:type="pct"/>
            <w:tcBorders>
              <w:top w:val="nil"/>
              <w:left w:val="nil"/>
              <w:bottom w:val="nil"/>
              <w:right w:val="nil"/>
            </w:tcBorders>
          </w:tcPr>
          <w:p w14:paraId="498427D4"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 xml:space="preserve">To increase the number of Tongans, especially women and those with disability, that are skilled to meet priority areas of labour demand </w:t>
            </w:r>
          </w:p>
        </w:tc>
        <w:tc>
          <w:tcPr>
            <w:tcW w:w="1248" w:type="pct"/>
            <w:tcBorders>
              <w:top w:val="nil"/>
              <w:left w:val="nil"/>
              <w:bottom w:val="nil"/>
              <w:right w:val="nil"/>
            </w:tcBorders>
          </w:tcPr>
          <w:p w14:paraId="6DF8B9BE"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70% Skills for Inclusive Economic Growth and scholarship students complete quality education, training and skills development opportunities aligned with labour market needs. 5% of university students are studying in non-traditional fields related to their gender</w:t>
            </w:r>
          </w:p>
        </w:tc>
        <w:tc>
          <w:tcPr>
            <w:tcW w:w="1370" w:type="pct"/>
            <w:tcBorders>
              <w:top w:val="nil"/>
              <w:left w:val="nil"/>
              <w:bottom w:val="nil"/>
              <w:right w:val="nil"/>
            </w:tcBorders>
          </w:tcPr>
          <w:p w14:paraId="79FAA408"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75% Skills for Inclusive Economic Growth and scholarship students complete quality education, training and skills development opportunities aligned with labour market needs. 7% of university students are studying in non-traditional fields related to their gender</w:t>
            </w:r>
          </w:p>
        </w:tc>
        <w:tc>
          <w:tcPr>
            <w:tcW w:w="1482" w:type="pct"/>
            <w:tcBorders>
              <w:top w:val="nil"/>
              <w:left w:val="nil"/>
              <w:bottom w:val="nil"/>
              <w:right w:val="nil"/>
            </w:tcBorders>
          </w:tcPr>
          <w:p w14:paraId="1F73CA68" w14:textId="77777777" w:rsidR="003C376C" w:rsidRPr="00322991" w:rsidRDefault="003C376C" w:rsidP="002831CB">
            <w:pPr>
              <w:keepLines/>
              <w:spacing w:before="40" w:after="40" w:line="200" w:lineRule="atLeast"/>
              <w:rPr>
                <w:rFonts w:asciiTheme="minorHAnsi" w:eastAsia="Times New Roman" w:hAnsiTheme="minorHAnsi"/>
                <w:iCs/>
                <w:szCs w:val="17"/>
                <w:lang w:eastAsia="en-US"/>
              </w:rPr>
            </w:pPr>
            <w:r w:rsidRPr="002831CB">
              <w:rPr>
                <w:rFonts w:asciiTheme="minorHAnsi" w:eastAsia="Times New Roman" w:hAnsiTheme="minorHAnsi"/>
                <w:iCs/>
                <w:szCs w:val="17"/>
                <w:lang w:eastAsia="en-US"/>
              </w:rPr>
              <w:t>80% Skills for Inclusive Economic Growth and scholarship students complete quality education, training and skills development opportunities aligned with labour market needs. 10% of university students are studying in non-traditional fields related to their gender</w:t>
            </w:r>
          </w:p>
        </w:tc>
      </w:tr>
    </w:tbl>
    <w:p w14:paraId="0FBCA0EC" w14:textId="77777777" w:rsidR="002831CB" w:rsidRDefault="002831CB" w:rsidP="005E606B">
      <w:pPr>
        <w:pStyle w:val="Subtitle"/>
      </w:pPr>
    </w:p>
    <w:p w14:paraId="527631F5" w14:textId="77777777" w:rsidR="002831CB" w:rsidRDefault="002831CB" w:rsidP="005E606B">
      <w:pPr>
        <w:pStyle w:val="Subtitle"/>
      </w:pPr>
    </w:p>
    <w:p w14:paraId="1B677500" w14:textId="77777777" w:rsidR="00AF1B85" w:rsidRPr="00A8197B" w:rsidRDefault="00AF1B85" w:rsidP="005E606B">
      <w:pPr>
        <w:pStyle w:val="Subtitle"/>
      </w:pPr>
      <w:r w:rsidRPr="00A8197B">
        <w:t xml:space="preserve">Annex </w:t>
      </w:r>
      <w:r w:rsidR="00184F1E">
        <w:t>C</w:t>
      </w:r>
      <w:r w:rsidRPr="00A8197B">
        <w:t xml:space="preserve"> - Evaluation Planning</w:t>
      </w:r>
    </w:p>
    <w:p w14:paraId="6B00312D"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6E7251CC"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016B83B0"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14A79FA0"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7DA388CD"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05C4175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4EC07EBB"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49CABE20"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01ECA493"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71CC0949"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32B8FA5F" w14:textId="77777777" w:rsidR="00AF1B85" w:rsidRPr="00812509" w:rsidRDefault="009E3A43"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3665" w:type="dxa"/>
          </w:tcPr>
          <w:p w14:paraId="7D69D145" w14:textId="77777777" w:rsidR="00AF1B85" w:rsidRPr="00812509" w:rsidRDefault="009E3A43"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397" w:type="dxa"/>
          </w:tcPr>
          <w:p w14:paraId="5F8E3E33" w14:textId="77777777" w:rsidR="00AF1B85" w:rsidRPr="00812509" w:rsidRDefault="009E3A43"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953" w:type="dxa"/>
          </w:tcPr>
          <w:p w14:paraId="6EF5075C" w14:textId="77777777" w:rsidR="00AF1B85" w:rsidRPr="00812509" w:rsidRDefault="009E3A43"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671" w:type="dxa"/>
          </w:tcPr>
          <w:p w14:paraId="492856A6" w14:textId="77777777" w:rsidR="00AF1B85" w:rsidRPr="00812509" w:rsidRDefault="009E3A43"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2365" w:type="dxa"/>
          </w:tcPr>
          <w:p w14:paraId="2B90EC75" w14:textId="77777777" w:rsidR="00AF1B85" w:rsidRPr="00812509" w:rsidRDefault="00AF1B85" w:rsidP="003E305C">
            <w:pPr>
              <w:keepLines/>
              <w:spacing w:before="40" w:after="40" w:line="200" w:lineRule="atLeast"/>
              <w:rPr>
                <w:rFonts w:asciiTheme="minorHAnsi" w:eastAsia="Times New Roman" w:hAnsiTheme="minorHAnsi"/>
                <w:b w:val="0"/>
                <w:iCs/>
                <w:szCs w:val="17"/>
                <w:lang w:eastAsia="en-US"/>
              </w:rPr>
            </w:pPr>
          </w:p>
        </w:tc>
      </w:tr>
    </w:tbl>
    <w:p w14:paraId="3B8D2BFB" w14:textId="77777777" w:rsidR="006075FE" w:rsidRDefault="006075F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31DD1CC4" w14:textId="77777777" w:rsidR="007B7F4E" w:rsidRDefault="007B7F4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0AA56A37" w14:textId="77777777" w:rsidR="007B7F4E" w:rsidRDefault="007B7F4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06E87FC0" w14:textId="77777777" w:rsidR="007B7F4E" w:rsidRDefault="007B7F4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20798BF8" w14:textId="77777777" w:rsidR="006075FE" w:rsidRDefault="006075F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71FB6ACE" w14:textId="77777777" w:rsidR="006075FE" w:rsidRDefault="006075F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553D4623" w14:textId="77777777" w:rsidR="006075FE" w:rsidRDefault="006075F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2AB89CBC" w14:textId="77777777" w:rsidR="006075FE" w:rsidRDefault="006075F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0761A0FB" w14:textId="77777777" w:rsidR="006075FE" w:rsidRDefault="006075F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47697801" w14:textId="77777777" w:rsidR="006075FE" w:rsidRDefault="006075FE"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342D8865"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43BA2EE6" w14:textId="77777777" w:rsidTr="005E606B">
        <w:tc>
          <w:tcPr>
            <w:tcW w:w="2444" w:type="dxa"/>
          </w:tcPr>
          <w:p w14:paraId="51D64FD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25C22AC6"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24EFB9D6"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1BB8FA4C"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2266E7E3"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60DAC4BB"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112CA6D0" w14:textId="77777777" w:rsidTr="005E606B">
        <w:tc>
          <w:tcPr>
            <w:tcW w:w="2444" w:type="dxa"/>
          </w:tcPr>
          <w:p w14:paraId="58A5F5C9" w14:textId="77777777" w:rsidR="00730D62" w:rsidRDefault="00730D6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Economic Governance</w:t>
            </w:r>
          </w:p>
          <w:p w14:paraId="71D2FDC1" w14:textId="77777777" w:rsidR="00730D62" w:rsidRDefault="00730D62" w:rsidP="00D15A00">
            <w:pPr>
              <w:keepLines/>
              <w:spacing w:before="40" w:after="40" w:line="200" w:lineRule="atLeast"/>
              <w:rPr>
                <w:rFonts w:asciiTheme="minorHAnsi" w:eastAsia="Times New Roman" w:hAnsiTheme="minorHAnsi"/>
                <w:iCs/>
                <w:szCs w:val="17"/>
                <w:lang w:eastAsia="en-US"/>
              </w:rPr>
            </w:pPr>
          </w:p>
          <w:p w14:paraId="465DB7DE" w14:textId="77777777" w:rsidR="006075FE" w:rsidRDefault="006075FE" w:rsidP="00D15A00">
            <w:pPr>
              <w:keepLines/>
              <w:spacing w:before="40" w:after="40" w:line="200" w:lineRule="atLeast"/>
              <w:rPr>
                <w:rFonts w:asciiTheme="minorHAnsi" w:eastAsia="Times New Roman" w:hAnsiTheme="minorHAnsi"/>
                <w:iCs/>
                <w:szCs w:val="17"/>
                <w:lang w:eastAsia="en-US"/>
              </w:rPr>
            </w:pPr>
          </w:p>
          <w:p w14:paraId="1463A913" w14:textId="77777777" w:rsidR="00730D62" w:rsidRDefault="00730D6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Tonga Skills</w:t>
            </w:r>
          </w:p>
          <w:p w14:paraId="4E5A072F" w14:textId="77777777" w:rsidR="00C11FAE" w:rsidRDefault="00C11FAE" w:rsidP="00D15A00">
            <w:pPr>
              <w:keepLines/>
              <w:spacing w:before="40" w:after="40" w:line="200" w:lineRule="atLeast"/>
              <w:rPr>
                <w:rFonts w:asciiTheme="minorHAnsi" w:eastAsia="Times New Roman" w:hAnsiTheme="minorHAnsi"/>
                <w:iCs/>
                <w:szCs w:val="17"/>
                <w:lang w:eastAsia="en-US"/>
              </w:rPr>
            </w:pPr>
          </w:p>
          <w:p w14:paraId="6ED26246" w14:textId="77777777" w:rsidR="006075FE" w:rsidRDefault="006075FE" w:rsidP="00D15A00">
            <w:pPr>
              <w:keepLines/>
              <w:spacing w:before="40" w:after="40" w:line="200" w:lineRule="atLeast"/>
              <w:rPr>
                <w:rFonts w:asciiTheme="minorHAnsi" w:eastAsia="Times New Roman" w:hAnsiTheme="minorHAnsi"/>
                <w:iCs/>
                <w:szCs w:val="17"/>
                <w:lang w:eastAsia="en-US"/>
              </w:rPr>
            </w:pPr>
          </w:p>
          <w:p w14:paraId="18110D38" w14:textId="77777777" w:rsidR="00C11FAE" w:rsidRDefault="00C11FA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Gender</w:t>
            </w:r>
          </w:p>
          <w:p w14:paraId="6134E57F" w14:textId="77777777" w:rsidR="00730D62" w:rsidRDefault="00730D62" w:rsidP="00D15A00">
            <w:pPr>
              <w:keepLines/>
              <w:spacing w:before="40" w:after="40" w:line="200" w:lineRule="atLeast"/>
              <w:rPr>
                <w:rFonts w:asciiTheme="minorHAnsi" w:eastAsia="Times New Roman" w:hAnsiTheme="minorHAnsi"/>
                <w:iCs/>
                <w:szCs w:val="17"/>
                <w:lang w:eastAsia="en-US"/>
              </w:rPr>
            </w:pPr>
          </w:p>
          <w:p w14:paraId="45553644"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p>
        </w:tc>
        <w:tc>
          <w:tcPr>
            <w:tcW w:w="2356" w:type="dxa"/>
          </w:tcPr>
          <w:p w14:paraId="710FB594" w14:textId="77777777" w:rsidR="00AF1B85" w:rsidRDefault="00C11FAE" w:rsidP="00C11FA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r w:rsidR="006075FE">
              <w:rPr>
                <w:rFonts w:asciiTheme="minorHAnsi" w:eastAsia="Times New Roman" w:hAnsiTheme="minorHAnsi"/>
                <w:iCs/>
                <w:szCs w:val="17"/>
                <w:lang w:eastAsia="en-US"/>
              </w:rPr>
              <w:t>INL881</w:t>
            </w:r>
          </w:p>
          <w:p w14:paraId="02B5D7AB" w14:textId="77777777" w:rsidR="006075FE" w:rsidRDefault="006075FE" w:rsidP="00C11FAE">
            <w:pPr>
              <w:keepLines/>
              <w:spacing w:before="40" w:after="40" w:line="200" w:lineRule="atLeast"/>
              <w:rPr>
                <w:rFonts w:asciiTheme="minorHAnsi" w:eastAsia="Times New Roman" w:hAnsiTheme="minorHAnsi"/>
                <w:iCs/>
                <w:szCs w:val="17"/>
                <w:lang w:eastAsia="en-US"/>
              </w:rPr>
            </w:pPr>
          </w:p>
          <w:p w14:paraId="151F79FD" w14:textId="77777777" w:rsidR="006075FE" w:rsidRDefault="006075FE" w:rsidP="00C11FAE">
            <w:pPr>
              <w:keepLines/>
              <w:spacing w:before="40" w:after="40" w:line="200" w:lineRule="atLeast"/>
              <w:rPr>
                <w:rFonts w:asciiTheme="minorHAnsi" w:eastAsia="Times New Roman" w:hAnsiTheme="minorHAnsi"/>
                <w:iCs/>
                <w:szCs w:val="17"/>
                <w:lang w:eastAsia="en-US"/>
              </w:rPr>
            </w:pPr>
          </w:p>
          <w:p w14:paraId="7397A199" w14:textId="77777777" w:rsidR="006075FE" w:rsidRDefault="006075FE" w:rsidP="00C11FA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INL899</w:t>
            </w:r>
          </w:p>
          <w:p w14:paraId="1B1F4E64" w14:textId="77777777" w:rsidR="006075FE" w:rsidRDefault="006075FE" w:rsidP="00C11FAE">
            <w:pPr>
              <w:keepLines/>
              <w:spacing w:before="40" w:after="40" w:line="200" w:lineRule="atLeast"/>
              <w:rPr>
                <w:rFonts w:asciiTheme="minorHAnsi" w:eastAsia="Times New Roman" w:hAnsiTheme="minorHAnsi"/>
                <w:iCs/>
                <w:szCs w:val="17"/>
                <w:lang w:eastAsia="en-US"/>
              </w:rPr>
            </w:pPr>
          </w:p>
          <w:p w14:paraId="1B0F03B5" w14:textId="77777777" w:rsidR="006075FE" w:rsidRDefault="006075FE" w:rsidP="00C11FAE">
            <w:pPr>
              <w:keepLines/>
              <w:spacing w:before="40" w:after="40" w:line="200" w:lineRule="atLeast"/>
              <w:rPr>
                <w:rFonts w:asciiTheme="minorHAnsi" w:eastAsia="Times New Roman" w:hAnsiTheme="minorHAnsi"/>
                <w:iCs/>
                <w:szCs w:val="17"/>
                <w:lang w:eastAsia="en-US"/>
              </w:rPr>
            </w:pPr>
          </w:p>
          <w:p w14:paraId="2A0E0521" w14:textId="77777777" w:rsidR="006075FE" w:rsidRPr="00812509" w:rsidRDefault="006075FE" w:rsidP="00C11FA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Tonga Country Plan</w:t>
            </w:r>
          </w:p>
        </w:tc>
        <w:tc>
          <w:tcPr>
            <w:tcW w:w="2042" w:type="dxa"/>
          </w:tcPr>
          <w:p w14:paraId="76E79CAD" w14:textId="77777777" w:rsidR="00AF1B85" w:rsidRDefault="006075FE"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TORs in draft</w:t>
            </w:r>
          </w:p>
          <w:p w14:paraId="2E7282F3"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7A165F8B"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475C4B56" w14:textId="77777777" w:rsidR="006075FE" w:rsidRDefault="006075FE"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TORs by Dec 2017 </w:t>
            </w:r>
          </w:p>
          <w:p w14:paraId="3AC2F530"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64450F32"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4864EC6C" w14:textId="77777777" w:rsidR="006075FE" w:rsidRPr="00812509" w:rsidRDefault="006075FE"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TORs by June 2018</w:t>
            </w:r>
          </w:p>
        </w:tc>
        <w:tc>
          <w:tcPr>
            <w:tcW w:w="2208" w:type="dxa"/>
          </w:tcPr>
          <w:p w14:paraId="62CEBD5B" w14:textId="77777777" w:rsidR="00AF1B85" w:rsidRDefault="006075FE"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Prior to next JPRM mission in November 2017</w:t>
            </w:r>
            <w:r w:rsidRPr="00812509">
              <w:rPr>
                <w:rFonts w:asciiTheme="minorHAnsi" w:eastAsia="Times New Roman" w:hAnsiTheme="minorHAnsi"/>
                <w:iCs/>
                <w:szCs w:val="17"/>
                <w:lang w:eastAsia="en-US"/>
              </w:rPr>
              <w:t xml:space="preserve"> </w:t>
            </w:r>
          </w:p>
          <w:p w14:paraId="304328E5"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1B84B50E" w14:textId="77777777" w:rsidR="006075FE" w:rsidRDefault="00E2508E"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March 20</w:t>
            </w:r>
            <w:r w:rsidR="006075FE">
              <w:rPr>
                <w:rFonts w:asciiTheme="minorHAnsi" w:eastAsia="Times New Roman" w:hAnsiTheme="minorHAnsi"/>
                <w:iCs/>
                <w:szCs w:val="17"/>
                <w:lang w:eastAsia="en-US"/>
              </w:rPr>
              <w:t>18</w:t>
            </w:r>
          </w:p>
          <w:p w14:paraId="4D22A816"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45973134"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5447703B" w14:textId="77777777" w:rsidR="006075FE" w:rsidRPr="00812509" w:rsidRDefault="00E2508E"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Q1 FY 2018-</w:t>
            </w:r>
            <w:r w:rsidR="006075FE">
              <w:rPr>
                <w:rFonts w:asciiTheme="minorHAnsi" w:eastAsia="Times New Roman" w:hAnsiTheme="minorHAnsi"/>
                <w:iCs/>
                <w:szCs w:val="17"/>
                <w:lang w:eastAsia="en-US"/>
              </w:rPr>
              <w:t>19</w:t>
            </w:r>
          </w:p>
        </w:tc>
        <w:tc>
          <w:tcPr>
            <w:tcW w:w="2325" w:type="dxa"/>
          </w:tcPr>
          <w:p w14:paraId="53A96731" w14:textId="77777777" w:rsidR="00AF1B85" w:rsidRDefault="006075FE"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inform future support for JPRM in Tonga</w:t>
            </w:r>
            <w:r w:rsidR="00AF1B85"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budget support and associated TA</w:t>
            </w:r>
          </w:p>
          <w:p w14:paraId="24E8A1E3" w14:textId="77777777" w:rsidR="006075FE" w:rsidRDefault="002831CB" w:rsidP="006075F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Mid-t</w:t>
            </w:r>
            <w:r w:rsidR="006075FE">
              <w:rPr>
                <w:rFonts w:asciiTheme="minorHAnsi" w:eastAsia="Times New Roman" w:hAnsiTheme="minorHAnsi"/>
                <w:iCs/>
                <w:szCs w:val="17"/>
                <w:lang w:eastAsia="en-US"/>
              </w:rPr>
              <w:t>erm Review of Tonga Skills</w:t>
            </w:r>
          </w:p>
          <w:p w14:paraId="0B974833" w14:textId="77777777" w:rsidR="006075FE" w:rsidRDefault="006075FE" w:rsidP="006075FE">
            <w:pPr>
              <w:keepLines/>
              <w:spacing w:before="40" w:after="40" w:line="200" w:lineRule="atLeast"/>
              <w:rPr>
                <w:rFonts w:asciiTheme="minorHAnsi" w:eastAsia="Times New Roman" w:hAnsiTheme="minorHAnsi"/>
                <w:iCs/>
                <w:szCs w:val="17"/>
                <w:lang w:eastAsia="en-US"/>
              </w:rPr>
            </w:pPr>
          </w:p>
          <w:p w14:paraId="45B991FC" w14:textId="77777777" w:rsidR="006075FE" w:rsidRPr="00812509" w:rsidRDefault="006075FE" w:rsidP="006075FE">
            <w:pPr>
              <w:keepLines/>
              <w:spacing w:before="40" w:after="40" w:line="200" w:lineRule="atLeast"/>
              <w:rPr>
                <w:rFonts w:asciiTheme="minorHAnsi" w:eastAsia="Times New Roman" w:hAnsiTheme="minorHAnsi"/>
                <w:iCs/>
                <w:color w:val="000000" w:themeColor="text1" w:themeShade="BF"/>
                <w:szCs w:val="17"/>
                <w:lang w:eastAsia="en-US"/>
              </w:rPr>
            </w:pPr>
            <w:r>
              <w:rPr>
                <w:rFonts w:asciiTheme="minorHAnsi" w:eastAsia="Times New Roman" w:hAnsiTheme="minorHAnsi"/>
                <w:iCs/>
                <w:szCs w:val="17"/>
                <w:lang w:eastAsia="en-US"/>
              </w:rPr>
              <w:t>Refocus Tonga gender investments</w:t>
            </w:r>
          </w:p>
        </w:tc>
        <w:tc>
          <w:tcPr>
            <w:tcW w:w="2740" w:type="dxa"/>
          </w:tcPr>
          <w:p w14:paraId="7B2258FE" w14:textId="77777777" w:rsidR="00AF1B85" w:rsidRDefault="006075F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w:t>
            </w:r>
            <w:r w:rsidR="002831CB">
              <w:rPr>
                <w:rFonts w:asciiTheme="minorHAnsi" w:eastAsia="Times New Roman" w:hAnsiTheme="minorHAnsi"/>
                <w:iCs/>
                <w:szCs w:val="17"/>
                <w:lang w:eastAsia="en-US"/>
              </w:rPr>
              <w:t>-</w:t>
            </w:r>
            <w:r>
              <w:rPr>
                <w:rFonts w:asciiTheme="minorHAnsi" w:eastAsia="Times New Roman" w:hAnsiTheme="minorHAnsi"/>
                <w:iCs/>
                <w:szCs w:val="17"/>
                <w:lang w:eastAsia="en-US"/>
              </w:rPr>
              <w:t>led</w:t>
            </w:r>
          </w:p>
          <w:p w14:paraId="6FBD106A" w14:textId="77777777" w:rsidR="006075FE" w:rsidRDefault="006075FE" w:rsidP="00D15A00">
            <w:pPr>
              <w:keepLines/>
              <w:spacing w:before="40" w:after="40" w:line="200" w:lineRule="atLeast"/>
              <w:rPr>
                <w:rFonts w:asciiTheme="minorHAnsi" w:eastAsia="Times New Roman" w:hAnsiTheme="minorHAnsi"/>
                <w:iCs/>
                <w:szCs w:val="17"/>
                <w:lang w:eastAsia="en-US"/>
              </w:rPr>
            </w:pPr>
          </w:p>
          <w:p w14:paraId="432BB45C" w14:textId="77777777" w:rsidR="006075FE" w:rsidRDefault="006075FE" w:rsidP="00D15A00">
            <w:pPr>
              <w:keepLines/>
              <w:spacing w:before="40" w:after="40" w:line="200" w:lineRule="atLeast"/>
              <w:rPr>
                <w:rFonts w:asciiTheme="minorHAnsi" w:eastAsia="Times New Roman" w:hAnsiTheme="minorHAnsi"/>
                <w:iCs/>
                <w:szCs w:val="17"/>
                <w:lang w:eastAsia="en-US"/>
              </w:rPr>
            </w:pPr>
          </w:p>
          <w:p w14:paraId="7EB2FF04" w14:textId="77777777" w:rsidR="006075FE" w:rsidRDefault="006075F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 Term Review</w:t>
            </w:r>
          </w:p>
          <w:p w14:paraId="33EE353D" w14:textId="77777777" w:rsidR="006075FE" w:rsidRDefault="006075FE" w:rsidP="00D15A00">
            <w:pPr>
              <w:keepLines/>
              <w:spacing w:before="40" w:after="40" w:line="200" w:lineRule="atLeast"/>
              <w:rPr>
                <w:rFonts w:asciiTheme="minorHAnsi" w:eastAsia="Times New Roman" w:hAnsiTheme="minorHAnsi"/>
                <w:iCs/>
                <w:szCs w:val="17"/>
                <w:lang w:eastAsia="en-US"/>
              </w:rPr>
            </w:pPr>
          </w:p>
          <w:p w14:paraId="547D3781" w14:textId="77777777" w:rsidR="006075FE" w:rsidRDefault="006075FE" w:rsidP="00D15A00">
            <w:pPr>
              <w:keepLines/>
              <w:spacing w:before="40" w:after="40" w:line="200" w:lineRule="atLeast"/>
              <w:rPr>
                <w:rFonts w:asciiTheme="minorHAnsi" w:eastAsia="Times New Roman" w:hAnsiTheme="minorHAnsi"/>
                <w:iCs/>
                <w:szCs w:val="17"/>
                <w:lang w:eastAsia="en-US"/>
              </w:rPr>
            </w:pPr>
          </w:p>
          <w:p w14:paraId="62C7419A" w14:textId="77777777" w:rsidR="006075FE" w:rsidRPr="00812509" w:rsidRDefault="006075F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DFAT-led</w:t>
            </w:r>
          </w:p>
        </w:tc>
      </w:tr>
      <w:tr w:rsidR="00C11FAE" w14:paraId="0CD64BD0" w14:textId="77777777" w:rsidTr="00FC3E86">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444" w:type="dxa"/>
            <w:hideMark/>
          </w:tcPr>
          <w:p w14:paraId="79082252" w14:textId="77777777" w:rsidR="00C11FAE" w:rsidRPr="00E2508E" w:rsidRDefault="00C11FA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 xml:space="preserve">Tonga Health Systems Support Program 2 </w:t>
            </w:r>
          </w:p>
          <w:p w14:paraId="48199CCC"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19A12570"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5625FFAB"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0ACE35FD"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23F9EFD9"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Aid Partnership</w:t>
            </w:r>
          </w:p>
        </w:tc>
        <w:tc>
          <w:tcPr>
            <w:tcW w:w="2356" w:type="dxa"/>
            <w:hideMark/>
          </w:tcPr>
          <w:p w14:paraId="46730F81" w14:textId="77777777" w:rsidR="00C11FAE" w:rsidRPr="00E2508E" w:rsidRDefault="00C11FA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INL683- Tonga Health Systems Support Program 2</w:t>
            </w:r>
          </w:p>
          <w:p w14:paraId="4726A021"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2FD9EAC8"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5610B77F"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5A5C6FDB"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273C13E7"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TO1</w:t>
            </w:r>
          </w:p>
        </w:tc>
        <w:tc>
          <w:tcPr>
            <w:tcW w:w="2042" w:type="dxa"/>
            <w:hideMark/>
          </w:tcPr>
          <w:p w14:paraId="46D45B9C" w14:textId="77777777" w:rsidR="00C11FAE" w:rsidRPr="00E2508E" w:rsidRDefault="00C11FA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July 2018</w:t>
            </w:r>
          </w:p>
          <w:p w14:paraId="5BCB4F94"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21B8CDCA"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49BB7CDF"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38B26395"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2EA32C89"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44F062B4"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TORs by 2018 HLCs</w:t>
            </w:r>
          </w:p>
        </w:tc>
        <w:tc>
          <w:tcPr>
            <w:tcW w:w="2208" w:type="dxa"/>
            <w:hideMark/>
          </w:tcPr>
          <w:p w14:paraId="5507728C" w14:textId="77777777" w:rsidR="00C11FAE" w:rsidRPr="00E2508E" w:rsidRDefault="00C11FA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December 2018</w:t>
            </w:r>
          </w:p>
          <w:p w14:paraId="19C258ED"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4FDA3D6F"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0273B427"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2BD2F411"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56E9F6FC"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68B504F9" w14:textId="77777777" w:rsidR="006075FE" w:rsidRPr="00E2508E" w:rsidRDefault="006075FE" w:rsidP="00E2508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 xml:space="preserve">Q2 </w:t>
            </w:r>
            <w:r w:rsidR="00E2508E">
              <w:rPr>
                <w:rFonts w:asciiTheme="minorHAnsi" w:eastAsia="Times New Roman" w:hAnsiTheme="minorHAnsi"/>
                <w:b w:val="0"/>
                <w:iCs/>
                <w:szCs w:val="17"/>
                <w:lang w:eastAsia="en-US"/>
              </w:rPr>
              <w:t>FY</w:t>
            </w:r>
            <w:r w:rsidRPr="00E2508E">
              <w:rPr>
                <w:rFonts w:asciiTheme="minorHAnsi" w:eastAsia="Times New Roman" w:hAnsiTheme="minorHAnsi"/>
                <w:b w:val="0"/>
                <w:iCs/>
                <w:szCs w:val="17"/>
                <w:lang w:eastAsia="en-US"/>
              </w:rPr>
              <w:t xml:space="preserve"> 2018</w:t>
            </w:r>
            <w:r w:rsidR="00E2508E">
              <w:rPr>
                <w:rFonts w:asciiTheme="minorHAnsi" w:eastAsia="Times New Roman" w:hAnsiTheme="minorHAnsi"/>
                <w:b w:val="0"/>
                <w:iCs/>
                <w:szCs w:val="17"/>
                <w:lang w:eastAsia="en-US"/>
              </w:rPr>
              <w:t>-</w:t>
            </w:r>
            <w:r w:rsidRPr="00E2508E">
              <w:rPr>
                <w:rFonts w:asciiTheme="minorHAnsi" w:eastAsia="Times New Roman" w:hAnsiTheme="minorHAnsi"/>
                <w:b w:val="0"/>
                <w:iCs/>
                <w:szCs w:val="17"/>
                <w:lang w:eastAsia="en-US"/>
              </w:rPr>
              <w:t>19</w:t>
            </w:r>
          </w:p>
        </w:tc>
        <w:tc>
          <w:tcPr>
            <w:tcW w:w="2325" w:type="dxa"/>
            <w:hideMark/>
          </w:tcPr>
          <w:p w14:paraId="038CC616" w14:textId="77777777" w:rsidR="00C11FAE" w:rsidRPr="00E2508E" w:rsidRDefault="00C11FA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 inform Australia’s consideration of future support to Tonga’s health sector</w:t>
            </w:r>
          </w:p>
          <w:p w14:paraId="4A97F69C" w14:textId="77777777" w:rsidR="00C11FAE" w:rsidRPr="00E2508E" w:rsidRDefault="00C11FA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 document the results achieved by THSSP2</w:t>
            </w:r>
          </w:p>
          <w:p w14:paraId="42DC967D"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23860EC1"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 xml:space="preserve">Inform </w:t>
            </w:r>
            <w:r w:rsidR="003B4444" w:rsidRPr="00E2508E">
              <w:rPr>
                <w:rFonts w:asciiTheme="minorHAnsi" w:eastAsia="Times New Roman" w:hAnsiTheme="minorHAnsi"/>
                <w:b w:val="0"/>
                <w:iCs/>
                <w:szCs w:val="17"/>
                <w:lang w:eastAsia="en-US"/>
              </w:rPr>
              <w:t>the next aid partnership agreement</w:t>
            </w:r>
          </w:p>
          <w:p w14:paraId="68F0D7AE"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p w14:paraId="7A8F18AE" w14:textId="77777777" w:rsidR="006075FE" w:rsidRPr="00E2508E" w:rsidRDefault="006075FE" w:rsidP="00C11FAE">
            <w:pPr>
              <w:keepLines/>
              <w:spacing w:before="40" w:after="40" w:line="200" w:lineRule="atLeast"/>
              <w:rPr>
                <w:rFonts w:asciiTheme="minorHAnsi" w:eastAsia="Times New Roman" w:hAnsiTheme="minorHAnsi"/>
                <w:b w:val="0"/>
                <w:iCs/>
                <w:szCs w:val="17"/>
                <w:lang w:eastAsia="en-US"/>
              </w:rPr>
            </w:pPr>
          </w:p>
        </w:tc>
        <w:tc>
          <w:tcPr>
            <w:tcW w:w="2740" w:type="dxa"/>
            <w:hideMark/>
          </w:tcPr>
          <w:p w14:paraId="5EB2CFAF" w14:textId="77777777" w:rsidR="00C11FAE" w:rsidRPr="00E2508E" w:rsidRDefault="00C11FAE" w:rsidP="00C11FAE">
            <w:pPr>
              <w:keepLines/>
              <w:spacing w:before="40" w:after="40" w:line="200" w:lineRule="atLeast"/>
              <w:rPr>
                <w:rFonts w:asciiTheme="minorHAnsi" w:eastAsia="Times New Roman" w:hAnsiTheme="minorHAnsi"/>
                <w:b w:val="0"/>
                <w:iCs/>
                <w:szCs w:val="17"/>
                <w:lang w:eastAsia="en-US"/>
              </w:rPr>
            </w:pPr>
            <w:r w:rsidRPr="00E2508E">
              <w:rPr>
                <w:rFonts w:asciiTheme="minorHAnsi" w:eastAsia="Times New Roman" w:hAnsiTheme="minorHAnsi"/>
                <w:b w:val="0"/>
                <w:iCs/>
                <w:szCs w:val="17"/>
                <w:lang w:eastAsia="en-US"/>
              </w:rPr>
              <w:t>DFA</w:t>
            </w:r>
            <w:r w:rsidR="002831CB">
              <w:rPr>
                <w:rFonts w:asciiTheme="minorHAnsi" w:eastAsia="Times New Roman" w:hAnsiTheme="minorHAnsi"/>
                <w:b w:val="0"/>
                <w:iCs/>
                <w:szCs w:val="17"/>
                <w:lang w:eastAsia="en-US"/>
              </w:rPr>
              <w:t>T-</w:t>
            </w:r>
            <w:r w:rsidRPr="00E2508E">
              <w:rPr>
                <w:rFonts w:asciiTheme="minorHAnsi" w:eastAsia="Times New Roman" w:hAnsiTheme="minorHAnsi"/>
                <w:b w:val="0"/>
                <w:iCs/>
                <w:szCs w:val="17"/>
                <w:lang w:eastAsia="en-US"/>
              </w:rPr>
              <w:t>led</w:t>
            </w:r>
          </w:p>
        </w:tc>
      </w:tr>
    </w:tbl>
    <w:p w14:paraId="142718DF" w14:textId="77777777" w:rsidR="0059146A" w:rsidRPr="0059146A" w:rsidRDefault="0059146A" w:rsidP="005B5769">
      <w:pPr>
        <w:pStyle w:val="ListBullet"/>
        <w:tabs>
          <w:tab w:val="clear" w:pos="284"/>
        </w:tabs>
      </w:pPr>
    </w:p>
    <w:p w14:paraId="3AF1E03B" w14:textId="77777777" w:rsidR="0059146A" w:rsidRDefault="0059146A" w:rsidP="005B5769">
      <w:pPr>
        <w:pStyle w:val="ListBullet"/>
        <w:tabs>
          <w:tab w:val="clear" w:pos="284"/>
        </w:tabs>
      </w:pPr>
    </w:p>
    <w:p w14:paraId="6C33FA44" w14:textId="77777777" w:rsidR="005E606B" w:rsidRDefault="005E606B" w:rsidP="005B5769">
      <w:pPr>
        <w:pStyle w:val="ListBullet"/>
        <w:tabs>
          <w:tab w:val="clear" w:pos="284"/>
        </w:tabs>
        <w:sectPr w:rsidR="005E606B" w:rsidSect="00D2653F">
          <w:headerReference w:type="default" r:id="rId30"/>
          <w:headerReference w:type="first" r:id="rId31"/>
          <w:pgSz w:w="16838" w:h="11906" w:orient="landscape" w:code="9"/>
          <w:pgMar w:top="1134" w:right="1952" w:bottom="1134" w:left="851" w:header="1107" w:footer="567" w:gutter="0"/>
          <w:cols w:space="397"/>
          <w:docGrid w:linePitch="360"/>
        </w:sectPr>
      </w:pPr>
    </w:p>
    <w:p w14:paraId="211503CF" w14:textId="77777777" w:rsidR="0059146A" w:rsidRDefault="0059146A" w:rsidP="005B5769">
      <w:pPr>
        <w:pStyle w:val="ListBullet"/>
        <w:tabs>
          <w:tab w:val="clear" w:pos="284"/>
        </w:tabs>
      </w:pPr>
    </w:p>
    <w:p w14:paraId="3E3FCE7A" w14:textId="77777777" w:rsidR="005E606B" w:rsidRPr="00A8197B" w:rsidRDefault="005E606B" w:rsidP="00A8197B">
      <w:pPr>
        <w:pStyle w:val="Subtitle"/>
      </w:pPr>
      <w:r w:rsidRPr="00A8197B">
        <w:t xml:space="preserve">Annex </w:t>
      </w:r>
      <w:r w:rsidR="00184F1E">
        <w:t>D</w:t>
      </w:r>
      <w:r w:rsidRPr="00A8197B">
        <w:t xml:space="preserve"> - Aid Quality Check ratings</w:t>
      </w:r>
    </w:p>
    <w:p w14:paraId="30E0F397"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40EDB675" w14:textId="2DF981FF" w:rsidR="005E606B" w:rsidRDefault="005E606B" w:rsidP="00A8197B">
      <w:r w:rsidRPr="00C61187">
        <w:t>AQC investment performance over the previous 12 months and where available last</w:t>
      </w:r>
      <w:r>
        <w:t xml:space="preserve"> year’s AQC ratings</w:t>
      </w:r>
      <w:r w:rsidRPr="00C61187">
        <w:t>.</w:t>
      </w:r>
    </w:p>
    <w:tbl>
      <w:tblPr>
        <w:tblW w:w="8920" w:type="dxa"/>
        <w:tblLook w:val="04A0" w:firstRow="1" w:lastRow="0" w:firstColumn="1" w:lastColumn="0" w:noHBand="0" w:noVBand="1"/>
      </w:tblPr>
      <w:tblGrid>
        <w:gridCol w:w="3040"/>
        <w:gridCol w:w="960"/>
        <w:gridCol w:w="960"/>
        <w:gridCol w:w="660"/>
        <w:gridCol w:w="660"/>
        <w:gridCol w:w="660"/>
        <w:gridCol w:w="660"/>
        <w:gridCol w:w="660"/>
        <w:gridCol w:w="660"/>
      </w:tblGrid>
      <w:tr w:rsidR="00BD5330" w:rsidRPr="00BD5330" w14:paraId="1EBC72C2" w14:textId="77777777" w:rsidTr="00BD5330">
        <w:trPr>
          <w:trHeight w:val="1170"/>
        </w:trPr>
        <w:tc>
          <w:tcPr>
            <w:tcW w:w="3040" w:type="dxa"/>
            <w:tcBorders>
              <w:top w:val="single" w:sz="12" w:space="0" w:color="000000"/>
              <w:left w:val="nil"/>
              <w:bottom w:val="single" w:sz="8" w:space="0" w:color="auto"/>
              <w:right w:val="nil"/>
            </w:tcBorders>
            <w:shd w:val="clear" w:color="auto" w:fill="auto"/>
            <w:vAlign w:val="center"/>
            <w:hideMark/>
          </w:tcPr>
          <w:p w14:paraId="5C32FD9A" w14:textId="44638C09" w:rsidR="00BD5330" w:rsidRPr="00BD5330" w:rsidRDefault="00BD5330" w:rsidP="00BD53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80768" behindDoc="0" locked="0" layoutInCell="1" allowOverlap="1" wp14:anchorId="169E9125" wp14:editId="26C73C5D">
                  <wp:simplePos x="0" y="0"/>
                  <wp:positionH relativeFrom="column">
                    <wp:posOffset>0</wp:posOffset>
                  </wp:positionH>
                  <wp:positionV relativeFrom="paragraph">
                    <wp:posOffset>0</wp:posOffset>
                  </wp:positionV>
                  <wp:extent cx="3171825"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BD5330">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14:paraId="2B37E087"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14:paraId="19AD5DE2"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year on year</w:t>
            </w:r>
          </w:p>
        </w:tc>
        <w:tc>
          <w:tcPr>
            <w:tcW w:w="660" w:type="dxa"/>
            <w:tcBorders>
              <w:top w:val="single" w:sz="12" w:space="0" w:color="000000"/>
              <w:left w:val="nil"/>
              <w:bottom w:val="single" w:sz="8" w:space="0" w:color="auto"/>
              <w:right w:val="nil"/>
            </w:tcBorders>
            <w:shd w:val="clear" w:color="auto" w:fill="auto"/>
            <w:textDirection w:val="btLr"/>
            <w:vAlign w:val="bottom"/>
            <w:hideMark/>
          </w:tcPr>
          <w:p w14:paraId="2AF75B7A" w14:textId="77777777" w:rsidR="00BD5330" w:rsidRPr="00BD5330" w:rsidRDefault="00BD5330" w:rsidP="00BD53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Relevance</w:t>
            </w:r>
          </w:p>
        </w:tc>
        <w:tc>
          <w:tcPr>
            <w:tcW w:w="660" w:type="dxa"/>
            <w:tcBorders>
              <w:top w:val="single" w:sz="12" w:space="0" w:color="000000"/>
              <w:left w:val="nil"/>
              <w:bottom w:val="single" w:sz="8" w:space="0" w:color="auto"/>
              <w:right w:val="nil"/>
            </w:tcBorders>
            <w:shd w:val="clear" w:color="auto" w:fill="auto"/>
            <w:textDirection w:val="btLr"/>
            <w:vAlign w:val="bottom"/>
            <w:hideMark/>
          </w:tcPr>
          <w:p w14:paraId="6E7D2FE2" w14:textId="77777777" w:rsidR="00BD5330" w:rsidRPr="00BD5330" w:rsidRDefault="00BD5330" w:rsidP="00BD53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Effectiveness</w:t>
            </w:r>
          </w:p>
        </w:tc>
        <w:tc>
          <w:tcPr>
            <w:tcW w:w="660" w:type="dxa"/>
            <w:tcBorders>
              <w:top w:val="single" w:sz="12" w:space="0" w:color="000000"/>
              <w:left w:val="nil"/>
              <w:bottom w:val="single" w:sz="8" w:space="0" w:color="auto"/>
              <w:right w:val="nil"/>
            </w:tcBorders>
            <w:shd w:val="clear" w:color="auto" w:fill="auto"/>
            <w:textDirection w:val="btLr"/>
            <w:vAlign w:val="bottom"/>
            <w:hideMark/>
          </w:tcPr>
          <w:p w14:paraId="53A2E5C4" w14:textId="77777777" w:rsidR="00BD5330" w:rsidRPr="00BD5330" w:rsidRDefault="00BD5330" w:rsidP="00BD53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Efficiency</w:t>
            </w:r>
          </w:p>
        </w:tc>
        <w:tc>
          <w:tcPr>
            <w:tcW w:w="660" w:type="dxa"/>
            <w:tcBorders>
              <w:top w:val="single" w:sz="12" w:space="0" w:color="000000"/>
              <w:left w:val="nil"/>
              <w:bottom w:val="single" w:sz="8" w:space="0" w:color="auto"/>
              <w:right w:val="nil"/>
            </w:tcBorders>
            <w:shd w:val="clear" w:color="auto" w:fill="auto"/>
            <w:textDirection w:val="btLr"/>
            <w:vAlign w:val="bottom"/>
            <w:hideMark/>
          </w:tcPr>
          <w:p w14:paraId="2B556300" w14:textId="77777777" w:rsidR="00BD5330" w:rsidRPr="00BD5330" w:rsidRDefault="00BD5330" w:rsidP="00BD53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Monitoring and Evaluation</w:t>
            </w:r>
          </w:p>
        </w:tc>
        <w:tc>
          <w:tcPr>
            <w:tcW w:w="660" w:type="dxa"/>
            <w:tcBorders>
              <w:top w:val="single" w:sz="12" w:space="0" w:color="000000"/>
              <w:left w:val="nil"/>
              <w:bottom w:val="single" w:sz="8" w:space="0" w:color="auto"/>
              <w:right w:val="nil"/>
            </w:tcBorders>
            <w:shd w:val="clear" w:color="auto" w:fill="auto"/>
            <w:textDirection w:val="btLr"/>
            <w:vAlign w:val="bottom"/>
            <w:hideMark/>
          </w:tcPr>
          <w:p w14:paraId="05C3C5D4" w14:textId="77777777" w:rsidR="00BD5330" w:rsidRPr="00BD5330" w:rsidRDefault="00BD5330" w:rsidP="00BD53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Sustainability</w:t>
            </w:r>
          </w:p>
        </w:tc>
        <w:tc>
          <w:tcPr>
            <w:tcW w:w="660" w:type="dxa"/>
            <w:tcBorders>
              <w:top w:val="single" w:sz="12" w:space="0" w:color="000000"/>
              <w:left w:val="nil"/>
              <w:bottom w:val="single" w:sz="8" w:space="0" w:color="auto"/>
              <w:right w:val="nil"/>
            </w:tcBorders>
            <w:shd w:val="clear" w:color="auto" w:fill="auto"/>
            <w:textDirection w:val="btLr"/>
            <w:vAlign w:val="bottom"/>
            <w:hideMark/>
          </w:tcPr>
          <w:p w14:paraId="42890CCA" w14:textId="77777777" w:rsidR="00BD5330" w:rsidRPr="00BD5330" w:rsidRDefault="00BD5330" w:rsidP="00BD53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BD5330">
              <w:rPr>
                <w:rFonts w:ascii="Calibri Light" w:eastAsia="Times New Roman" w:hAnsi="Calibri Light" w:cs="Times New Roman"/>
                <w:b/>
                <w:bCs/>
                <w:iCs/>
                <w:color w:val="495965"/>
                <w:sz w:val="17"/>
                <w:szCs w:val="17"/>
                <w:lang w:eastAsia="en-AU"/>
              </w:rPr>
              <w:t>Gender equality</w:t>
            </w:r>
          </w:p>
        </w:tc>
      </w:tr>
      <w:tr w:rsidR="00BD5330" w:rsidRPr="00BD5330" w14:paraId="2E47CA39" w14:textId="77777777" w:rsidTr="00BD5330">
        <w:trPr>
          <w:trHeight w:val="300"/>
        </w:trPr>
        <w:tc>
          <w:tcPr>
            <w:tcW w:w="3040" w:type="dxa"/>
            <w:tcBorders>
              <w:top w:val="nil"/>
              <w:left w:val="nil"/>
              <w:bottom w:val="nil"/>
              <w:right w:val="nil"/>
            </w:tcBorders>
            <w:shd w:val="clear" w:color="auto" w:fill="auto"/>
            <w:vAlign w:val="center"/>
            <w:hideMark/>
          </w:tcPr>
          <w:p w14:paraId="3E8B39FE"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Economic and Public Sector Reform III</w:t>
            </w:r>
          </w:p>
        </w:tc>
        <w:tc>
          <w:tcPr>
            <w:tcW w:w="960" w:type="dxa"/>
            <w:tcBorders>
              <w:top w:val="nil"/>
              <w:left w:val="nil"/>
              <w:bottom w:val="nil"/>
              <w:right w:val="nil"/>
            </w:tcBorders>
            <w:shd w:val="clear" w:color="auto" w:fill="auto"/>
            <w:vAlign w:val="center"/>
            <w:hideMark/>
          </w:tcPr>
          <w:p w14:paraId="7E3CA3FB"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BD5330">
              <w:rPr>
                <w:rFonts w:ascii="Calibri Light" w:eastAsia="Times New Roman" w:hAnsi="Calibri Light" w:cs="Times New Roman"/>
                <w:color w:val="000000"/>
                <w:sz w:val="17"/>
                <w:szCs w:val="17"/>
                <w:lang w:eastAsia="en-AU"/>
              </w:rPr>
              <w:t xml:space="preserve">$16m </w:t>
            </w:r>
          </w:p>
        </w:tc>
        <w:tc>
          <w:tcPr>
            <w:tcW w:w="960" w:type="dxa"/>
            <w:tcBorders>
              <w:top w:val="nil"/>
              <w:left w:val="nil"/>
              <w:bottom w:val="nil"/>
              <w:right w:val="nil"/>
            </w:tcBorders>
            <w:shd w:val="clear" w:color="auto" w:fill="auto"/>
            <w:vAlign w:val="center"/>
            <w:hideMark/>
          </w:tcPr>
          <w:p w14:paraId="776BC4CC"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2017 AQC</w:t>
            </w:r>
          </w:p>
        </w:tc>
        <w:tc>
          <w:tcPr>
            <w:tcW w:w="660" w:type="dxa"/>
            <w:tcBorders>
              <w:top w:val="nil"/>
              <w:left w:val="nil"/>
              <w:bottom w:val="nil"/>
              <w:right w:val="nil"/>
            </w:tcBorders>
            <w:shd w:val="clear" w:color="000000" w:fill="92D050"/>
            <w:noWrap/>
            <w:vAlign w:val="center"/>
            <w:hideMark/>
          </w:tcPr>
          <w:p w14:paraId="7C69C69C"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FF00"/>
            <w:noWrap/>
            <w:vAlign w:val="center"/>
            <w:hideMark/>
          </w:tcPr>
          <w:p w14:paraId="00F53C4C"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FF00"/>
            <w:noWrap/>
            <w:vAlign w:val="center"/>
            <w:hideMark/>
          </w:tcPr>
          <w:p w14:paraId="5B16D931"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FF00"/>
            <w:noWrap/>
            <w:vAlign w:val="center"/>
            <w:hideMark/>
          </w:tcPr>
          <w:p w14:paraId="169725BD"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FF00"/>
            <w:noWrap/>
            <w:vAlign w:val="center"/>
            <w:hideMark/>
          </w:tcPr>
          <w:p w14:paraId="3F8F890B"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C000"/>
            <w:noWrap/>
            <w:vAlign w:val="center"/>
            <w:hideMark/>
          </w:tcPr>
          <w:p w14:paraId="00894C7B"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3</w:t>
            </w:r>
          </w:p>
        </w:tc>
      </w:tr>
      <w:tr w:rsidR="00BD5330" w:rsidRPr="00BD5330" w14:paraId="6F38645E" w14:textId="77777777" w:rsidTr="00BD5330">
        <w:trPr>
          <w:trHeight w:val="315"/>
        </w:trPr>
        <w:tc>
          <w:tcPr>
            <w:tcW w:w="3040" w:type="dxa"/>
            <w:tcBorders>
              <w:top w:val="nil"/>
              <w:left w:val="nil"/>
              <w:bottom w:val="single" w:sz="8" w:space="0" w:color="auto"/>
              <w:right w:val="nil"/>
            </w:tcBorders>
            <w:shd w:val="clear" w:color="auto" w:fill="auto"/>
            <w:vAlign w:val="center"/>
            <w:hideMark/>
          </w:tcPr>
          <w:p w14:paraId="1325C7C0"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2B6CC3F7"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 xml:space="preserve">2016-20 </w:t>
            </w:r>
          </w:p>
        </w:tc>
        <w:tc>
          <w:tcPr>
            <w:tcW w:w="960" w:type="dxa"/>
            <w:tcBorders>
              <w:top w:val="nil"/>
              <w:left w:val="nil"/>
              <w:bottom w:val="single" w:sz="8" w:space="0" w:color="auto"/>
              <w:right w:val="nil"/>
            </w:tcBorders>
            <w:shd w:val="clear" w:color="auto" w:fill="auto"/>
            <w:vAlign w:val="center"/>
            <w:hideMark/>
          </w:tcPr>
          <w:p w14:paraId="06A6A733"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2016 AQC</w:t>
            </w:r>
          </w:p>
        </w:tc>
        <w:tc>
          <w:tcPr>
            <w:tcW w:w="660" w:type="dxa"/>
            <w:tcBorders>
              <w:top w:val="nil"/>
              <w:left w:val="nil"/>
              <w:bottom w:val="single" w:sz="8" w:space="0" w:color="auto"/>
              <w:right w:val="nil"/>
            </w:tcBorders>
            <w:shd w:val="clear" w:color="auto" w:fill="auto"/>
            <w:noWrap/>
            <w:vAlign w:val="center"/>
            <w:hideMark/>
          </w:tcPr>
          <w:p w14:paraId="4268FDCC"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8" w:space="0" w:color="auto"/>
              <w:right w:val="nil"/>
            </w:tcBorders>
            <w:shd w:val="clear" w:color="auto" w:fill="auto"/>
            <w:noWrap/>
            <w:vAlign w:val="center"/>
            <w:hideMark/>
          </w:tcPr>
          <w:p w14:paraId="50DD4806"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8" w:space="0" w:color="auto"/>
              <w:right w:val="nil"/>
            </w:tcBorders>
            <w:shd w:val="clear" w:color="auto" w:fill="auto"/>
            <w:noWrap/>
            <w:vAlign w:val="center"/>
            <w:hideMark/>
          </w:tcPr>
          <w:p w14:paraId="5420E64B"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8" w:space="0" w:color="auto"/>
              <w:right w:val="nil"/>
            </w:tcBorders>
            <w:shd w:val="clear" w:color="auto" w:fill="auto"/>
            <w:noWrap/>
            <w:vAlign w:val="center"/>
            <w:hideMark/>
          </w:tcPr>
          <w:p w14:paraId="0D2FBC77"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8" w:space="0" w:color="auto"/>
              <w:right w:val="nil"/>
            </w:tcBorders>
            <w:shd w:val="clear" w:color="auto" w:fill="auto"/>
            <w:noWrap/>
            <w:vAlign w:val="center"/>
            <w:hideMark/>
          </w:tcPr>
          <w:p w14:paraId="7B5DE650"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8" w:space="0" w:color="auto"/>
              <w:right w:val="nil"/>
            </w:tcBorders>
            <w:shd w:val="clear" w:color="auto" w:fill="auto"/>
            <w:noWrap/>
            <w:vAlign w:val="center"/>
            <w:hideMark/>
          </w:tcPr>
          <w:p w14:paraId="5C597708"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r>
      <w:tr w:rsidR="00BD5330" w:rsidRPr="00BD5330" w14:paraId="5040186E" w14:textId="77777777" w:rsidTr="00BD5330">
        <w:trPr>
          <w:trHeight w:val="300"/>
        </w:trPr>
        <w:tc>
          <w:tcPr>
            <w:tcW w:w="3040" w:type="dxa"/>
            <w:tcBorders>
              <w:top w:val="nil"/>
              <w:left w:val="nil"/>
              <w:bottom w:val="nil"/>
              <w:right w:val="nil"/>
            </w:tcBorders>
            <w:shd w:val="clear" w:color="auto" w:fill="auto"/>
            <w:vAlign w:val="center"/>
            <w:hideMark/>
          </w:tcPr>
          <w:p w14:paraId="616F4AA8"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Tonga Health Systems Support Program II</w:t>
            </w:r>
          </w:p>
        </w:tc>
        <w:tc>
          <w:tcPr>
            <w:tcW w:w="960" w:type="dxa"/>
            <w:tcBorders>
              <w:top w:val="nil"/>
              <w:left w:val="nil"/>
              <w:bottom w:val="nil"/>
              <w:right w:val="nil"/>
            </w:tcBorders>
            <w:shd w:val="clear" w:color="auto" w:fill="auto"/>
            <w:vAlign w:val="center"/>
            <w:hideMark/>
          </w:tcPr>
          <w:p w14:paraId="058FE713"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BD5330">
              <w:rPr>
                <w:rFonts w:ascii="Calibri Light" w:eastAsia="Times New Roman" w:hAnsi="Calibri Light" w:cs="Times New Roman"/>
                <w:color w:val="000000"/>
                <w:sz w:val="17"/>
                <w:szCs w:val="17"/>
                <w:lang w:eastAsia="en-AU"/>
              </w:rPr>
              <w:t xml:space="preserve">$16.4m </w:t>
            </w:r>
          </w:p>
        </w:tc>
        <w:tc>
          <w:tcPr>
            <w:tcW w:w="960" w:type="dxa"/>
            <w:tcBorders>
              <w:top w:val="nil"/>
              <w:left w:val="nil"/>
              <w:bottom w:val="nil"/>
              <w:right w:val="nil"/>
            </w:tcBorders>
            <w:shd w:val="clear" w:color="auto" w:fill="auto"/>
            <w:vAlign w:val="center"/>
            <w:hideMark/>
          </w:tcPr>
          <w:p w14:paraId="7CA087C9"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2017 AQC</w:t>
            </w:r>
          </w:p>
        </w:tc>
        <w:tc>
          <w:tcPr>
            <w:tcW w:w="660" w:type="dxa"/>
            <w:tcBorders>
              <w:top w:val="nil"/>
              <w:left w:val="nil"/>
              <w:bottom w:val="nil"/>
              <w:right w:val="nil"/>
            </w:tcBorders>
            <w:shd w:val="clear" w:color="000000" w:fill="92D050"/>
            <w:noWrap/>
            <w:vAlign w:val="center"/>
            <w:hideMark/>
          </w:tcPr>
          <w:p w14:paraId="35861997"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6</w:t>
            </w:r>
          </w:p>
        </w:tc>
        <w:tc>
          <w:tcPr>
            <w:tcW w:w="660" w:type="dxa"/>
            <w:tcBorders>
              <w:top w:val="nil"/>
              <w:left w:val="nil"/>
              <w:bottom w:val="nil"/>
              <w:right w:val="nil"/>
            </w:tcBorders>
            <w:shd w:val="clear" w:color="000000" w:fill="FFFF00"/>
            <w:noWrap/>
            <w:vAlign w:val="center"/>
            <w:hideMark/>
          </w:tcPr>
          <w:p w14:paraId="74907B29"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92D050"/>
            <w:noWrap/>
            <w:vAlign w:val="center"/>
            <w:hideMark/>
          </w:tcPr>
          <w:p w14:paraId="65D1D4C5"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C000"/>
            <w:noWrap/>
            <w:vAlign w:val="center"/>
            <w:hideMark/>
          </w:tcPr>
          <w:p w14:paraId="3DDC7397"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3</w:t>
            </w:r>
          </w:p>
        </w:tc>
        <w:tc>
          <w:tcPr>
            <w:tcW w:w="660" w:type="dxa"/>
            <w:tcBorders>
              <w:top w:val="nil"/>
              <w:left w:val="nil"/>
              <w:bottom w:val="nil"/>
              <w:right w:val="nil"/>
            </w:tcBorders>
            <w:shd w:val="clear" w:color="000000" w:fill="92D050"/>
            <w:noWrap/>
            <w:vAlign w:val="center"/>
            <w:hideMark/>
          </w:tcPr>
          <w:p w14:paraId="4D4B4285"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FF00"/>
            <w:noWrap/>
            <w:vAlign w:val="center"/>
            <w:hideMark/>
          </w:tcPr>
          <w:p w14:paraId="5B43B9E9"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r>
      <w:tr w:rsidR="00BD5330" w:rsidRPr="00BD5330" w14:paraId="7906F4AD" w14:textId="77777777" w:rsidTr="00BD5330">
        <w:trPr>
          <w:trHeight w:val="315"/>
        </w:trPr>
        <w:tc>
          <w:tcPr>
            <w:tcW w:w="3040" w:type="dxa"/>
            <w:tcBorders>
              <w:top w:val="nil"/>
              <w:left w:val="nil"/>
              <w:bottom w:val="single" w:sz="8" w:space="0" w:color="auto"/>
              <w:right w:val="nil"/>
            </w:tcBorders>
            <w:shd w:val="clear" w:color="auto" w:fill="auto"/>
            <w:vAlign w:val="center"/>
            <w:hideMark/>
          </w:tcPr>
          <w:p w14:paraId="45F6064F"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0A5CD015"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 xml:space="preserve">2015-20 </w:t>
            </w:r>
          </w:p>
        </w:tc>
        <w:tc>
          <w:tcPr>
            <w:tcW w:w="960" w:type="dxa"/>
            <w:tcBorders>
              <w:top w:val="nil"/>
              <w:left w:val="nil"/>
              <w:bottom w:val="single" w:sz="8" w:space="0" w:color="auto"/>
              <w:right w:val="nil"/>
            </w:tcBorders>
            <w:shd w:val="clear" w:color="auto" w:fill="auto"/>
            <w:vAlign w:val="center"/>
            <w:hideMark/>
          </w:tcPr>
          <w:p w14:paraId="25A75EC4"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2016 AQC</w:t>
            </w:r>
          </w:p>
        </w:tc>
        <w:tc>
          <w:tcPr>
            <w:tcW w:w="660" w:type="dxa"/>
            <w:tcBorders>
              <w:top w:val="nil"/>
              <w:left w:val="nil"/>
              <w:bottom w:val="single" w:sz="8" w:space="0" w:color="auto"/>
              <w:right w:val="nil"/>
            </w:tcBorders>
            <w:shd w:val="clear" w:color="000000" w:fill="92D050"/>
            <w:noWrap/>
            <w:vAlign w:val="center"/>
            <w:hideMark/>
          </w:tcPr>
          <w:p w14:paraId="20EB5454"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6</w:t>
            </w:r>
          </w:p>
        </w:tc>
        <w:tc>
          <w:tcPr>
            <w:tcW w:w="660" w:type="dxa"/>
            <w:tcBorders>
              <w:top w:val="nil"/>
              <w:left w:val="nil"/>
              <w:bottom w:val="single" w:sz="8" w:space="0" w:color="auto"/>
              <w:right w:val="nil"/>
            </w:tcBorders>
            <w:shd w:val="clear" w:color="000000" w:fill="92D050"/>
            <w:noWrap/>
            <w:vAlign w:val="center"/>
            <w:hideMark/>
          </w:tcPr>
          <w:p w14:paraId="7F0EED28"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92D050"/>
            <w:noWrap/>
            <w:vAlign w:val="center"/>
            <w:hideMark/>
          </w:tcPr>
          <w:p w14:paraId="7AAD2524"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FFFF00"/>
            <w:noWrap/>
            <w:vAlign w:val="center"/>
            <w:hideMark/>
          </w:tcPr>
          <w:p w14:paraId="5F76E1F8"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92D050"/>
            <w:noWrap/>
            <w:vAlign w:val="center"/>
            <w:hideMark/>
          </w:tcPr>
          <w:p w14:paraId="6EC7C5BA"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FFFF00"/>
            <w:noWrap/>
            <w:vAlign w:val="center"/>
            <w:hideMark/>
          </w:tcPr>
          <w:p w14:paraId="00F95A39"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r>
      <w:tr w:rsidR="00BD5330" w:rsidRPr="00BD5330" w14:paraId="197504A9" w14:textId="77777777" w:rsidTr="00BD5330">
        <w:trPr>
          <w:trHeight w:val="300"/>
        </w:trPr>
        <w:tc>
          <w:tcPr>
            <w:tcW w:w="3040" w:type="dxa"/>
            <w:tcBorders>
              <w:top w:val="nil"/>
              <w:left w:val="nil"/>
              <w:bottom w:val="nil"/>
              <w:right w:val="nil"/>
            </w:tcBorders>
            <w:shd w:val="clear" w:color="auto" w:fill="auto"/>
            <w:vAlign w:val="center"/>
            <w:hideMark/>
          </w:tcPr>
          <w:p w14:paraId="1AE584FE"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Nuku'alofa Urban Development Project</w:t>
            </w:r>
          </w:p>
        </w:tc>
        <w:tc>
          <w:tcPr>
            <w:tcW w:w="960" w:type="dxa"/>
            <w:tcBorders>
              <w:top w:val="nil"/>
              <w:left w:val="nil"/>
              <w:bottom w:val="nil"/>
              <w:right w:val="nil"/>
            </w:tcBorders>
            <w:shd w:val="clear" w:color="auto" w:fill="auto"/>
            <w:vAlign w:val="center"/>
            <w:hideMark/>
          </w:tcPr>
          <w:p w14:paraId="722BB1C1"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BD5330">
              <w:rPr>
                <w:rFonts w:ascii="Calibri Light" w:eastAsia="Times New Roman" w:hAnsi="Calibri Light" w:cs="Times New Roman"/>
                <w:color w:val="000000"/>
                <w:sz w:val="17"/>
                <w:szCs w:val="17"/>
                <w:lang w:eastAsia="en-AU"/>
              </w:rPr>
              <w:t xml:space="preserve">$8.7m </w:t>
            </w:r>
          </w:p>
        </w:tc>
        <w:tc>
          <w:tcPr>
            <w:tcW w:w="960" w:type="dxa"/>
            <w:tcBorders>
              <w:top w:val="nil"/>
              <w:left w:val="nil"/>
              <w:bottom w:val="nil"/>
              <w:right w:val="nil"/>
            </w:tcBorders>
            <w:shd w:val="clear" w:color="auto" w:fill="auto"/>
            <w:vAlign w:val="center"/>
            <w:hideMark/>
          </w:tcPr>
          <w:p w14:paraId="114F1CC5"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2017 AQC</w:t>
            </w:r>
          </w:p>
        </w:tc>
        <w:tc>
          <w:tcPr>
            <w:tcW w:w="660" w:type="dxa"/>
            <w:tcBorders>
              <w:top w:val="nil"/>
              <w:left w:val="nil"/>
              <w:bottom w:val="nil"/>
              <w:right w:val="nil"/>
            </w:tcBorders>
            <w:shd w:val="clear" w:color="000000" w:fill="92D050"/>
            <w:noWrap/>
            <w:vAlign w:val="center"/>
            <w:hideMark/>
          </w:tcPr>
          <w:p w14:paraId="230F7B86"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92D050"/>
            <w:noWrap/>
            <w:vAlign w:val="center"/>
            <w:hideMark/>
          </w:tcPr>
          <w:p w14:paraId="240281DF"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FF00"/>
            <w:noWrap/>
            <w:vAlign w:val="center"/>
            <w:hideMark/>
          </w:tcPr>
          <w:p w14:paraId="0F3D18B6"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FF00"/>
            <w:noWrap/>
            <w:vAlign w:val="center"/>
            <w:hideMark/>
          </w:tcPr>
          <w:p w14:paraId="35E9C9A5"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92D050"/>
            <w:noWrap/>
            <w:vAlign w:val="center"/>
            <w:hideMark/>
          </w:tcPr>
          <w:p w14:paraId="64E99C60"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FF00"/>
            <w:noWrap/>
            <w:vAlign w:val="center"/>
            <w:hideMark/>
          </w:tcPr>
          <w:p w14:paraId="7120FC1E"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r>
      <w:tr w:rsidR="00BD5330" w:rsidRPr="00BD5330" w14:paraId="50B56F82" w14:textId="77777777" w:rsidTr="00BD5330">
        <w:trPr>
          <w:trHeight w:val="315"/>
        </w:trPr>
        <w:tc>
          <w:tcPr>
            <w:tcW w:w="3040" w:type="dxa"/>
            <w:tcBorders>
              <w:top w:val="nil"/>
              <w:left w:val="nil"/>
              <w:bottom w:val="single" w:sz="8" w:space="0" w:color="auto"/>
              <w:right w:val="nil"/>
            </w:tcBorders>
            <w:shd w:val="clear" w:color="auto" w:fill="auto"/>
            <w:vAlign w:val="center"/>
            <w:hideMark/>
          </w:tcPr>
          <w:p w14:paraId="39408151"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7AADC38F"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 xml:space="preserve">2011-19 </w:t>
            </w:r>
          </w:p>
        </w:tc>
        <w:tc>
          <w:tcPr>
            <w:tcW w:w="960" w:type="dxa"/>
            <w:tcBorders>
              <w:top w:val="nil"/>
              <w:left w:val="nil"/>
              <w:bottom w:val="single" w:sz="8" w:space="0" w:color="auto"/>
              <w:right w:val="nil"/>
            </w:tcBorders>
            <w:shd w:val="clear" w:color="auto" w:fill="auto"/>
            <w:vAlign w:val="center"/>
            <w:hideMark/>
          </w:tcPr>
          <w:p w14:paraId="77343B8F"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2016 AQC</w:t>
            </w:r>
          </w:p>
        </w:tc>
        <w:tc>
          <w:tcPr>
            <w:tcW w:w="660" w:type="dxa"/>
            <w:tcBorders>
              <w:top w:val="nil"/>
              <w:left w:val="nil"/>
              <w:bottom w:val="single" w:sz="8" w:space="0" w:color="auto"/>
              <w:right w:val="nil"/>
            </w:tcBorders>
            <w:shd w:val="clear" w:color="000000" w:fill="92D050"/>
            <w:noWrap/>
            <w:vAlign w:val="center"/>
            <w:hideMark/>
          </w:tcPr>
          <w:p w14:paraId="29DDCB78"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92D050"/>
            <w:noWrap/>
            <w:vAlign w:val="center"/>
            <w:hideMark/>
          </w:tcPr>
          <w:p w14:paraId="3CD39170"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FFFF00"/>
            <w:noWrap/>
            <w:vAlign w:val="center"/>
            <w:hideMark/>
          </w:tcPr>
          <w:p w14:paraId="1B7F3D2C"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92D050"/>
            <w:noWrap/>
            <w:vAlign w:val="center"/>
            <w:hideMark/>
          </w:tcPr>
          <w:p w14:paraId="7B5A7F65"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92D050"/>
            <w:noWrap/>
            <w:vAlign w:val="center"/>
            <w:hideMark/>
          </w:tcPr>
          <w:p w14:paraId="59D651A8"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FFFF00"/>
            <w:noWrap/>
            <w:vAlign w:val="center"/>
            <w:hideMark/>
          </w:tcPr>
          <w:p w14:paraId="0E077F90"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r>
      <w:tr w:rsidR="00BD5330" w:rsidRPr="00BD5330" w14:paraId="6498ADE5" w14:textId="77777777" w:rsidTr="00BD5330">
        <w:trPr>
          <w:trHeight w:val="300"/>
        </w:trPr>
        <w:tc>
          <w:tcPr>
            <w:tcW w:w="3040" w:type="dxa"/>
            <w:tcBorders>
              <w:top w:val="nil"/>
              <w:left w:val="nil"/>
              <w:bottom w:val="nil"/>
              <w:right w:val="nil"/>
            </w:tcBorders>
            <w:shd w:val="clear" w:color="auto" w:fill="auto"/>
            <w:vAlign w:val="center"/>
            <w:hideMark/>
          </w:tcPr>
          <w:p w14:paraId="5B83B0E8"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Tonga – Scholarships</w:t>
            </w:r>
          </w:p>
        </w:tc>
        <w:tc>
          <w:tcPr>
            <w:tcW w:w="960" w:type="dxa"/>
            <w:tcBorders>
              <w:top w:val="nil"/>
              <w:left w:val="nil"/>
              <w:bottom w:val="nil"/>
              <w:right w:val="nil"/>
            </w:tcBorders>
            <w:shd w:val="clear" w:color="auto" w:fill="auto"/>
            <w:vAlign w:val="center"/>
            <w:hideMark/>
          </w:tcPr>
          <w:p w14:paraId="66269696"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BD5330">
              <w:rPr>
                <w:rFonts w:ascii="Calibri Light" w:eastAsia="Times New Roman" w:hAnsi="Calibri Light" w:cs="Times New Roman"/>
                <w:color w:val="000000"/>
                <w:sz w:val="17"/>
                <w:szCs w:val="17"/>
                <w:lang w:eastAsia="en-AU"/>
              </w:rPr>
              <w:t xml:space="preserve">$2.2m </w:t>
            </w:r>
          </w:p>
        </w:tc>
        <w:tc>
          <w:tcPr>
            <w:tcW w:w="960" w:type="dxa"/>
            <w:tcBorders>
              <w:top w:val="nil"/>
              <w:left w:val="nil"/>
              <w:bottom w:val="nil"/>
              <w:right w:val="nil"/>
            </w:tcBorders>
            <w:shd w:val="clear" w:color="auto" w:fill="auto"/>
            <w:vAlign w:val="center"/>
            <w:hideMark/>
          </w:tcPr>
          <w:p w14:paraId="716BDE51"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2017 AQC</w:t>
            </w:r>
          </w:p>
        </w:tc>
        <w:tc>
          <w:tcPr>
            <w:tcW w:w="660" w:type="dxa"/>
            <w:tcBorders>
              <w:top w:val="nil"/>
              <w:left w:val="nil"/>
              <w:bottom w:val="nil"/>
              <w:right w:val="nil"/>
            </w:tcBorders>
            <w:shd w:val="clear" w:color="000000" w:fill="92D050"/>
            <w:noWrap/>
            <w:vAlign w:val="center"/>
            <w:hideMark/>
          </w:tcPr>
          <w:p w14:paraId="523CC3DC"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FF00"/>
            <w:noWrap/>
            <w:vAlign w:val="center"/>
            <w:hideMark/>
          </w:tcPr>
          <w:p w14:paraId="0032A146"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FF00"/>
            <w:noWrap/>
            <w:vAlign w:val="center"/>
            <w:hideMark/>
          </w:tcPr>
          <w:p w14:paraId="31619F72"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FF00"/>
            <w:noWrap/>
            <w:vAlign w:val="center"/>
            <w:hideMark/>
          </w:tcPr>
          <w:p w14:paraId="092EA7EB"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92D050"/>
            <w:noWrap/>
            <w:vAlign w:val="center"/>
            <w:hideMark/>
          </w:tcPr>
          <w:p w14:paraId="5DEC9984"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92D050"/>
            <w:noWrap/>
            <w:vAlign w:val="center"/>
            <w:hideMark/>
          </w:tcPr>
          <w:p w14:paraId="58CA512A"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r>
      <w:tr w:rsidR="00BD5330" w:rsidRPr="00BD5330" w14:paraId="5F26EF5E" w14:textId="77777777" w:rsidTr="00BD5330">
        <w:trPr>
          <w:trHeight w:val="315"/>
        </w:trPr>
        <w:tc>
          <w:tcPr>
            <w:tcW w:w="3040" w:type="dxa"/>
            <w:tcBorders>
              <w:top w:val="nil"/>
              <w:left w:val="nil"/>
              <w:bottom w:val="single" w:sz="8" w:space="0" w:color="auto"/>
              <w:right w:val="nil"/>
            </w:tcBorders>
            <w:shd w:val="clear" w:color="auto" w:fill="auto"/>
            <w:vAlign w:val="center"/>
            <w:hideMark/>
          </w:tcPr>
          <w:p w14:paraId="50540AC6"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432E2CF0"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 xml:space="preserve">2016-17 </w:t>
            </w:r>
          </w:p>
        </w:tc>
        <w:tc>
          <w:tcPr>
            <w:tcW w:w="960" w:type="dxa"/>
            <w:tcBorders>
              <w:top w:val="nil"/>
              <w:left w:val="nil"/>
              <w:bottom w:val="single" w:sz="8" w:space="0" w:color="auto"/>
              <w:right w:val="nil"/>
            </w:tcBorders>
            <w:shd w:val="clear" w:color="auto" w:fill="auto"/>
            <w:vAlign w:val="center"/>
            <w:hideMark/>
          </w:tcPr>
          <w:p w14:paraId="5D7ED950"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2016 AQC</w:t>
            </w:r>
          </w:p>
        </w:tc>
        <w:tc>
          <w:tcPr>
            <w:tcW w:w="660" w:type="dxa"/>
            <w:tcBorders>
              <w:top w:val="nil"/>
              <w:left w:val="nil"/>
              <w:bottom w:val="single" w:sz="8" w:space="0" w:color="auto"/>
              <w:right w:val="nil"/>
            </w:tcBorders>
            <w:shd w:val="clear" w:color="000000" w:fill="92D050"/>
            <w:noWrap/>
            <w:vAlign w:val="center"/>
            <w:hideMark/>
          </w:tcPr>
          <w:p w14:paraId="6663C201"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FFFF00"/>
            <w:noWrap/>
            <w:vAlign w:val="center"/>
            <w:hideMark/>
          </w:tcPr>
          <w:p w14:paraId="1C168871"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FFFF00"/>
            <w:noWrap/>
            <w:vAlign w:val="center"/>
            <w:hideMark/>
          </w:tcPr>
          <w:p w14:paraId="277D15FE"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FFFF00"/>
            <w:noWrap/>
            <w:vAlign w:val="center"/>
            <w:hideMark/>
          </w:tcPr>
          <w:p w14:paraId="04C17AEF"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FFFF00"/>
            <w:noWrap/>
            <w:vAlign w:val="center"/>
            <w:hideMark/>
          </w:tcPr>
          <w:p w14:paraId="0D95C525"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FFFF00"/>
            <w:noWrap/>
            <w:vAlign w:val="center"/>
            <w:hideMark/>
          </w:tcPr>
          <w:p w14:paraId="45B8D743"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r>
      <w:tr w:rsidR="00BD5330" w:rsidRPr="00BD5330" w14:paraId="130A8BF6" w14:textId="77777777" w:rsidTr="00BD5330">
        <w:trPr>
          <w:trHeight w:val="300"/>
        </w:trPr>
        <w:tc>
          <w:tcPr>
            <w:tcW w:w="3040" w:type="dxa"/>
            <w:tcBorders>
              <w:top w:val="nil"/>
              <w:left w:val="nil"/>
              <w:bottom w:val="nil"/>
              <w:right w:val="nil"/>
            </w:tcBorders>
            <w:shd w:val="clear" w:color="auto" w:fill="auto"/>
            <w:vAlign w:val="center"/>
            <w:hideMark/>
          </w:tcPr>
          <w:p w14:paraId="73B9D4AB"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Outer Island Renewable Energy Project</w:t>
            </w:r>
          </w:p>
        </w:tc>
        <w:tc>
          <w:tcPr>
            <w:tcW w:w="960" w:type="dxa"/>
            <w:tcBorders>
              <w:top w:val="nil"/>
              <w:left w:val="nil"/>
              <w:bottom w:val="nil"/>
              <w:right w:val="nil"/>
            </w:tcBorders>
            <w:shd w:val="clear" w:color="auto" w:fill="auto"/>
            <w:vAlign w:val="center"/>
            <w:hideMark/>
          </w:tcPr>
          <w:p w14:paraId="3B209710"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BD5330">
              <w:rPr>
                <w:rFonts w:ascii="Calibri Light" w:eastAsia="Times New Roman" w:hAnsi="Calibri Light" w:cs="Times New Roman"/>
                <w:color w:val="000000"/>
                <w:sz w:val="17"/>
                <w:szCs w:val="17"/>
                <w:lang w:eastAsia="en-AU"/>
              </w:rPr>
              <w:t xml:space="preserve">$6.9m </w:t>
            </w:r>
          </w:p>
        </w:tc>
        <w:tc>
          <w:tcPr>
            <w:tcW w:w="960" w:type="dxa"/>
            <w:tcBorders>
              <w:top w:val="nil"/>
              <w:left w:val="nil"/>
              <w:bottom w:val="nil"/>
              <w:right w:val="nil"/>
            </w:tcBorders>
            <w:shd w:val="clear" w:color="auto" w:fill="auto"/>
            <w:vAlign w:val="center"/>
            <w:hideMark/>
          </w:tcPr>
          <w:p w14:paraId="6C500CDD"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2017 AQC</w:t>
            </w:r>
          </w:p>
        </w:tc>
        <w:tc>
          <w:tcPr>
            <w:tcW w:w="660" w:type="dxa"/>
            <w:tcBorders>
              <w:top w:val="nil"/>
              <w:left w:val="nil"/>
              <w:bottom w:val="nil"/>
              <w:right w:val="nil"/>
            </w:tcBorders>
            <w:shd w:val="clear" w:color="000000" w:fill="92D050"/>
            <w:noWrap/>
            <w:vAlign w:val="center"/>
            <w:hideMark/>
          </w:tcPr>
          <w:p w14:paraId="560A6222"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FF00"/>
            <w:noWrap/>
            <w:vAlign w:val="center"/>
            <w:hideMark/>
          </w:tcPr>
          <w:p w14:paraId="6763A943"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FFFF00"/>
            <w:noWrap/>
            <w:vAlign w:val="center"/>
            <w:hideMark/>
          </w:tcPr>
          <w:p w14:paraId="7561534B"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92D050"/>
            <w:noWrap/>
            <w:vAlign w:val="center"/>
            <w:hideMark/>
          </w:tcPr>
          <w:p w14:paraId="31C549ED"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FFC000"/>
            <w:noWrap/>
            <w:vAlign w:val="center"/>
            <w:hideMark/>
          </w:tcPr>
          <w:p w14:paraId="78B1CF4D"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3</w:t>
            </w:r>
          </w:p>
        </w:tc>
        <w:tc>
          <w:tcPr>
            <w:tcW w:w="660" w:type="dxa"/>
            <w:tcBorders>
              <w:top w:val="nil"/>
              <w:left w:val="nil"/>
              <w:bottom w:val="nil"/>
              <w:right w:val="nil"/>
            </w:tcBorders>
            <w:shd w:val="clear" w:color="000000" w:fill="FFFF00"/>
            <w:noWrap/>
            <w:vAlign w:val="center"/>
            <w:hideMark/>
          </w:tcPr>
          <w:p w14:paraId="586AC4BE"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r>
      <w:tr w:rsidR="00BD5330" w:rsidRPr="00BD5330" w14:paraId="21D6E6C6" w14:textId="77777777" w:rsidTr="00BD5330">
        <w:trPr>
          <w:trHeight w:val="315"/>
        </w:trPr>
        <w:tc>
          <w:tcPr>
            <w:tcW w:w="3040" w:type="dxa"/>
            <w:tcBorders>
              <w:top w:val="nil"/>
              <w:left w:val="nil"/>
              <w:bottom w:val="single" w:sz="8" w:space="0" w:color="auto"/>
              <w:right w:val="nil"/>
            </w:tcBorders>
            <w:shd w:val="clear" w:color="auto" w:fill="auto"/>
            <w:vAlign w:val="center"/>
            <w:hideMark/>
          </w:tcPr>
          <w:p w14:paraId="16A8152A"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4940B9F5"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 xml:space="preserve">2012-20 </w:t>
            </w:r>
          </w:p>
        </w:tc>
        <w:tc>
          <w:tcPr>
            <w:tcW w:w="960" w:type="dxa"/>
            <w:tcBorders>
              <w:top w:val="nil"/>
              <w:left w:val="nil"/>
              <w:bottom w:val="single" w:sz="8" w:space="0" w:color="auto"/>
              <w:right w:val="nil"/>
            </w:tcBorders>
            <w:shd w:val="clear" w:color="auto" w:fill="auto"/>
            <w:vAlign w:val="center"/>
            <w:hideMark/>
          </w:tcPr>
          <w:p w14:paraId="532AD3B4"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2016 AQC</w:t>
            </w:r>
          </w:p>
        </w:tc>
        <w:tc>
          <w:tcPr>
            <w:tcW w:w="660" w:type="dxa"/>
            <w:tcBorders>
              <w:top w:val="nil"/>
              <w:left w:val="nil"/>
              <w:bottom w:val="single" w:sz="8" w:space="0" w:color="auto"/>
              <w:right w:val="nil"/>
            </w:tcBorders>
            <w:shd w:val="clear" w:color="000000" w:fill="92D050"/>
            <w:noWrap/>
            <w:vAlign w:val="center"/>
            <w:hideMark/>
          </w:tcPr>
          <w:p w14:paraId="2D088937"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92D050"/>
            <w:noWrap/>
            <w:vAlign w:val="center"/>
            <w:hideMark/>
          </w:tcPr>
          <w:p w14:paraId="3B84E13E"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single" w:sz="8" w:space="0" w:color="auto"/>
              <w:right w:val="nil"/>
            </w:tcBorders>
            <w:shd w:val="clear" w:color="000000" w:fill="FFFF00"/>
            <w:noWrap/>
            <w:vAlign w:val="center"/>
            <w:hideMark/>
          </w:tcPr>
          <w:p w14:paraId="73C1CE54"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FFFF00"/>
            <w:noWrap/>
            <w:vAlign w:val="center"/>
            <w:hideMark/>
          </w:tcPr>
          <w:p w14:paraId="6D155F4E"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FFFF00"/>
            <w:noWrap/>
            <w:vAlign w:val="center"/>
            <w:hideMark/>
          </w:tcPr>
          <w:p w14:paraId="67F617AA"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single" w:sz="8" w:space="0" w:color="auto"/>
              <w:right w:val="nil"/>
            </w:tcBorders>
            <w:shd w:val="clear" w:color="000000" w:fill="FFFF00"/>
            <w:noWrap/>
            <w:vAlign w:val="center"/>
            <w:hideMark/>
          </w:tcPr>
          <w:p w14:paraId="66F6B6FD"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r>
      <w:tr w:rsidR="00BD5330" w:rsidRPr="00BD5330" w14:paraId="427F6E00" w14:textId="77777777" w:rsidTr="00BD5330">
        <w:trPr>
          <w:trHeight w:val="300"/>
        </w:trPr>
        <w:tc>
          <w:tcPr>
            <w:tcW w:w="3040" w:type="dxa"/>
            <w:tcBorders>
              <w:top w:val="nil"/>
              <w:left w:val="nil"/>
              <w:bottom w:val="nil"/>
              <w:right w:val="nil"/>
            </w:tcBorders>
            <w:shd w:val="clear" w:color="auto" w:fill="auto"/>
            <w:vAlign w:val="center"/>
            <w:hideMark/>
          </w:tcPr>
          <w:p w14:paraId="4C5FEBC2"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Tonga Skills</w:t>
            </w:r>
          </w:p>
        </w:tc>
        <w:tc>
          <w:tcPr>
            <w:tcW w:w="960" w:type="dxa"/>
            <w:tcBorders>
              <w:top w:val="nil"/>
              <w:left w:val="nil"/>
              <w:bottom w:val="nil"/>
              <w:right w:val="nil"/>
            </w:tcBorders>
            <w:shd w:val="clear" w:color="auto" w:fill="auto"/>
            <w:vAlign w:val="center"/>
            <w:hideMark/>
          </w:tcPr>
          <w:p w14:paraId="16E4434D"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BD5330">
              <w:rPr>
                <w:rFonts w:ascii="Calibri Light" w:eastAsia="Times New Roman" w:hAnsi="Calibri Light" w:cs="Times New Roman"/>
                <w:color w:val="000000"/>
                <w:sz w:val="17"/>
                <w:szCs w:val="17"/>
                <w:lang w:eastAsia="en-AU"/>
              </w:rPr>
              <w:t>$7.5m</w:t>
            </w:r>
          </w:p>
        </w:tc>
        <w:tc>
          <w:tcPr>
            <w:tcW w:w="960" w:type="dxa"/>
            <w:tcBorders>
              <w:top w:val="nil"/>
              <w:left w:val="nil"/>
              <w:bottom w:val="nil"/>
              <w:right w:val="nil"/>
            </w:tcBorders>
            <w:shd w:val="clear" w:color="auto" w:fill="auto"/>
            <w:vAlign w:val="center"/>
            <w:hideMark/>
          </w:tcPr>
          <w:p w14:paraId="4DF6A1EF"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2017 AQC</w:t>
            </w:r>
          </w:p>
        </w:tc>
        <w:tc>
          <w:tcPr>
            <w:tcW w:w="660" w:type="dxa"/>
            <w:tcBorders>
              <w:top w:val="nil"/>
              <w:left w:val="nil"/>
              <w:bottom w:val="nil"/>
              <w:right w:val="nil"/>
            </w:tcBorders>
            <w:shd w:val="clear" w:color="000000" w:fill="FFFF00"/>
            <w:noWrap/>
            <w:vAlign w:val="center"/>
            <w:hideMark/>
          </w:tcPr>
          <w:p w14:paraId="09AF3A2D"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4</w:t>
            </w:r>
          </w:p>
        </w:tc>
        <w:tc>
          <w:tcPr>
            <w:tcW w:w="660" w:type="dxa"/>
            <w:tcBorders>
              <w:top w:val="nil"/>
              <w:left w:val="nil"/>
              <w:bottom w:val="nil"/>
              <w:right w:val="nil"/>
            </w:tcBorders>
            <w:shd w:val="clear" w:color="000000" w:fill="92D050"/>
            <w:noWrap/>
            <w:vAlign w:val="center"/>
            <w:hideMark/>
          </w:tcPr>
          <w:p w14:paraId="2257767D"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92D050"/>
            <w:noWrap/>
            <w:vAlign w:val="center"/>
            <w:hideMark/>
          </w:tcPr>
          <w:p w14:paraId="10695E59"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92D050"/>
            <w:noWrap/>
            <w:vAlign w:val="center"/>
            <w:hideMark/>
          </w:tcPr>
          <w:p w14:paraId="35553401"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92D050"/>
            <w:noWrap/>
            <w:vAlign w:val="center"/>
            <w:hideMark/>
          </w:tcPr>
          <w:p w14:paraId="20B8E2A2"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c>
          <w:tcPr>
            <w:tcW w:w="660" w:type="dxa"/>
            <w:tcBorders>
              <w:top w:val="nil"/>
              <w:left w:val="nil"/>
              <w:bottom w:val="nil"/>
              <w:right w:val="nil"/>
            </w:tcBorders>
            <w:shd w:val="clear" w:color="000000" w:fill="92D050"/>
            <w:noWrap/>
            <w:vAlign w:val="center"/>
            <w:hideMark/>
          </w:tcPr>
          <w:p w14:paraId="6FDB1347" w14:textId="77777777" w:rsidR="00BD5330" w:rsidRPr="00BD5330" w:rsidRDefault="00BD5330" w:rsidP="00BD5330">
            <w:pPr>
              <w:suppressAutoHyphens w:val="0"/>
              <w:spacing w:before="0" w:after="0" w:line="240" w:lineRule="auto"/>
              <w:jc w:val="right"/>
              <w:rPr>
                <w:rFonts w:ascii="Franklin Gothic Book" w:eastAsia="Times New Roman" w:hAnsi="Franklin Gothic Book" w:cs="Times New Roman"/>
                <w:color w:val="495965"/>
                <w:sz w:val="16"/>
                <w:szCs w:val="16"/>
                <w:lang w:val="en-AU" w:eastAsia="en-AU"/>
              </w:rPr>
            </w:pPr>
            <w:r w:rsidRPr="00BD5330">
              <w:rPr>
                <w:rFonts w:ascii="Franklin Gothic Book" w:eastAsia="Times New Roman" w:hAnsi="Franklin Gothic Book" w:cs="Times New Roman"/>
                <w:color w:val="495965"/>
                <w:sz w:val="16"/>
                <w:szCs w:val="16"/>
                <w:lang w:eastAsia="en-AU"/>
              </w:rPr>
              <w:t>5</w:t>
            </w:r>
          </w:p>
        </w:tc>
      </w:tr>
      <w:tr w:rsidR="00BD5330" w:rsidRPr="00BD5330" w14:paraId="484CA46B" w14:textId="77777777" w:rsidTr="00BD5330">
        <w:trPr>
          <w:trHeight w:val="315"/>
        </w:trPr>
        <w:tc>
          <w:tcPr>
            <w:tcW w:w="3040" w:type="dxa"/>
            <w:tcBorders>
              <w:top w:val="nil"/>
              <w:left w:val="nil"/>
              <w:bottom w:val="single" w:sz="12" w:space="0" w:color="000000"/>
              <w:right w:val="nil"/>
            </w:tcBorders>
            <w:shd w:val="clear" w:color="auto" w:fill="auto"/>
            <w:vAlign w:val="center"/>
            <w:hideMark/>
          </w:tcPr>
          <w:p w14:paraId="2DABBC5C" w14:textId="77777777" w:rsidR="00BD5330" w:rsidRPr="00BD5330" w:rsidRDefault="00BD5330" w:rsidP="00BD5330">
            <w:pPr>
              <w:suppressAutoHyphens w:val="0"/>
              <w:spacing w:before="0" w:after="0" w:line="240" w:lineRule="auto"/>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14:paraId="3065DE67"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2016-2021</w:t>
            </w:r>
          </w:p>
        </w:tc>
        <w:tc>
          <w:tcPr>
            <w:tcW w:w="960" w:type="dxa"/>
            <w:tcBorders>
              <w:top w:val="nil"/>
              <w:left w:val="nil"/>
              <w:bottom w:val="single" w:sz="12" w:space="0" w:color="000000"/>
              <w:right w:val="nil"/>
            </w:tcBorders>
            <w:shd w:val="clear" w:color="auto" w:fill="auto"/>
            <w:vAlign w:val="center"/>
            <w:hideMark/>
          </w:tcPr>
          <w:p w14:paraId="4F11EC1C" w14:textId="77777777" w:rsidR="00BD5330" w:rsidRPr="00BD5330" w:rsidRDefault="00BD5330" w:rsidP="00BD533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2016 AQC</w:t>
            </w:r>
          </w:p>
        </w:tc>
        <w:tc>
          <w:tcPr>
            <w:tcW w:w="660" w:type="dxa"/>
            <w:tcBorders>
              <w:top w:val="nil"/>
              <w:left w:val="nil"/>
              <w:bottom w:val="single" w:sz="12" w:space="0" w:color="000000"/>
              <w:right w:val="nil"/>
            </w:tcBorders>
            <w:shd w:val="clear" w:color="auto" w:fill="auto"/>
            <w:noWrap/>
            <w:vAlign w:val="center"/>
            <w:hideMark/>
          </w:tcPr>
          <w:p w14:paraId="7D9BCE14"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12" w:space="0" w:color="000000"/>
              <w:right w:val="nil"/>
            </w:tcBorders>
            <w:shd w:val="clear" w:color="auto" w:fill="auto"/>
            <w:noWrap/>
            <w:vAlign w:val="center"/>
            <w:hideMark/>
          </w:tcPr>
          <w:p w14:paraId="5D3DC249"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12" w:space="0" w:color="000000"/>
              <w:right w:val="nil"/>
            </w:tcBorders>
            <w:shd w:val="clear" w:color="auto" w:fill="auto"/>
            <w:noWrap/>
            <w:vAlign w:val="center"/>
            <w:hideMark/>
          </w:tcPr>
          <w:p w14:paraId="25534F73"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12" w:space="0" w:color="000000"/>
              <w:right w:val="nil"/>
            </w:tcBorders>
            <w:shd w:val="clear" w:color="auto" w:fill="auto"/>
            <w:noWrap/>
            <w:vAlign w:val="center"/>
            <w:hideMark/>
          </w:tcPr>
          <w:p w14:paraId="081BBBF5"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12" w:space="0" w:color="000000"/>
              <w:right w:val="nil"/>
            </w:tcBorders>
            <w:shd w:val="clear" w:color="auto" w:fill="auto"/>
            <w:noWrap/>
            <w:vAlign w:val="center"/>
            <w:hideMark/>
          </w:tcPr>
          <w:p w14:paraId="2B065CEE"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c>
          <w:tcPr>
            <w:tcW w:w="660" w:type="dxa"/>
            <w:tcBorders>
              <w:top w:val="nil"/>
              <w:left w:val="nil"/>
              <w:bottom w:val="single" w:sz="12" w:space="0" w:color="000000"/>
              <w:right w:val="nil"/>
            </w:tcBorders>
            <w:shd w:val="clear" w:color="auto" w:fill="auto"/>
            <w:noWrap/>
            <w:vAlign w:val="center"/>
            <w:hideMark/>
          </w:tcPr>
          <w:p w14:paraId="2E27CF68" w14:textId="77777777" w:rsidR="00BD5330" w:rsidRPr="00BD5330" w:rsidRDefault="00BD5330" w:rsidP="00BD533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BD5330">
              <w:rPr>
                <w:rFonts w:ascii="Calibri Light" w:eastAsia="Times New Roman" w:hAnsi="Calibri Light" w:cs="Times New Roman"/>
                <w:iCs/>
                <w:color w:val="495965"/>
                <w:sz w:val="17"/>
                <w:szCs w:val="17"/>
                <w:lang w:eastAsia="en-AU"/>
              </w:rPr>
              <w:t>n/a</w:t>
            </w:r>
          </w:p>
        </w:tc>
      </w:tr>
    </w:tbl>
    <w:p w14:paraId="57FCE9F4" w14:textId="77777777" w:rsidR="00BD5330" w:rsidRPr="00C61187" w:rsidRDefault="00BD5330" w:rsidP="00A8197B"/>
    <w:p w14:paraId="2959B21B" w14:textId="77777777"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FAQC ratings </w:t>
      </w:r>
    </w:p>
    <w:p w14:paraId="71128DC6" w14:textId="77777777" w:rsidR="00A8197B" w:rsidRPr="00C61187" w:rsidRDefault="00A8197B" w:rsidP="00A8197B">
      <w:r w:rsidRPr="00C61187">
        <w:t>Final AQCs assess performance over the lifetime of the investment (ratings are not compared to previous years).</w:t>
      </w:r>
    </w:p>
    <w:tbl>
      <w:tblPr>
        <w:tblStyle w:val="APPR"/>
        <w:tblW w:w="4570" w:type="pct"/>
        <w:tblLook w:val="0000" w:firstRow="0" w:lastRow="0" w:firstColumn="0" w:lastColumn="0" w:noHBand="0" w:noVBand="0"/>
      </w:tblPr>
      <w:tblGrid>
        <w:gridCol w:w="1767"/>
        <w:gridCol w:w="1285"/>
        <w:gridCol w:w="825"/>
        <w:gridCol w:w="821"/>
        <w:gridCol w:w="823"/>
        <w:gridCol w:w="821"/>
        <w:gridCol w:w="823"/>
        <w:gridCol w:w="821"/>
        <w:gridCol w:w="823"/>
      </w:tblGrid>
      <w:tr w:rsidR="00C460C3" w:rsidRPr="00812509" w14:paraId="5AA869A5" w14:textId="77777777" w:rsidTr="00C460C3">
        <w:trPr>
          <w:cnfStyle w:val="000000010000" w:firstRow="0" w:lastRow="0" w:firstColumn="0" w:lastColumn="0" w:oddVBand="0" w:evenVBand="0" w:oddHBand="0" w:evenHBand="1" w:firstRowFirstColumn="0" w:firstRowLastColumn="0" w:lastRowFirstColumn="0" w:lastRowLastColumn="0"/>
          <w:trHeight w:val="1505"/>
        </w:trPr>
        <w:tc>
          <w:tcPr>
            <w:tcW w:w="980" w:type="pct"/>
          </w:tcPr>
          <w:p w14:paraId="6FD5C835"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8720" behindDoc="0" locked="0" layoutInCell="1" allowOverlap="1" wp14:anchorId="1095580A" wp14:editId="4C5F3F7D">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13" w:type="pct"/>
            <w:textDirection w:val="btLr"/>
          </w:tcPr>
          <w:p w14:paraId="776E8D04"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52" w:type="pct"/>
            <w:noWrap/>
            <w:textDirection w:val="btLr"/>
          </w:tcPr>
          <w:p w14:paraId="6724C4B7"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50" w:type="pct"/>
            <w:noWrap/>
            <w:textDirection w:val="btLr"/>
          </w:tcPr>
          <w:p w14:paraId="089BA0D6"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51" w:type="pct"/>
            <w:noWrap/>
            <w:textDirection w:val="btLr"/>
          </w:tcPr>
          <w:p w14:paraId="5575EAFD"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50" w:type="pct"/>
            <w:noWrap/>
            <w:textDirection w:val="btLr"/>
          </w:tcPr>
          <w:p w14:paraId="27C4BD0F"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51" w:type="pct"/>
            <w:noWrap/>
            <w:textDirection w:val="btLr"/>
          </w:tcPr>
          <w:p w14:paraId="4195B76D"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50" w:type="pct"/>
            <w:noWrap/>
            <w:textDirection w:val="btLr"/>
          </w:tcPr>
          <w:p w14:paraId="27AA954F"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43" w:type="pct"/>
            <w:textDirection w:val="btLr"/>
          </w:tcPr>
          <w:p w14:paraId="562EC0D4" w14:textId="77777777" w:rsidR="00C460C3" w:rsidRPr="00812509" w:rsidRDefault="00C460C3"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C460C3" w:rsidRPr="00812509" w14:paraId="494FDAC0" w14:textId="77777777" w:rsidTr="00C460C3">
        <w:trPr>
          <w:cnfStyle w:val="000000010000" w:firstRow="0" w:lastRow="0" w:firstColumn="0" w:lastColumn="0" w:oddVBand="0" w:evenVBand="0" w:oddHBand="0" w:evenHBand="1" w:firstRowFirstColumn="0" w:firstRowLastColumn="0" w:lastRowFirstColumn="0" w:lastRowLastColumn="0"/>
          <w:trHeight w:val="284"/>
        </w:trPr>
        <w:tc>
          <w:tcPr>
            <w:tcW w:w="980" w:type="pct"/>
          </w:tcPr>
          <w:p w14:paraId="09E9B69C" w14:textId="77777777" w:rsidR="00C460C3" w:rsidRPr="00812509" w:rsidRDefault="00C460C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Economic and Public Sector Reform II</w:t>
            </w:r>
          </w:p>
        </w:tc>
        <w:tc>
          <w:tcPr>
            <w:tcW w:w="713" w:type="pct"/>
          </w:tcPr>
          <w:p w14:paraId="660F4614" w14:textId="77777777" w:rsidR="00C460C3" w:rsidRPr="00812509" w:rsidRDefault="00C460C3"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Pr>
                <w:rFonts w:asciiTheme="minorHAnsi" w:hAnsiTheme="minorHAnsi" w:cs="Franklin Gothic Book"/>
                <w:color w:val="000000"/>
                <w:szCs w:val="17"/>
              </w:rPr>
              <w:t>6</w:t>
            </w:r>
            <w:r w:rsidRPr="00812509">
              <w:rPr>
                <w:rFonts w:asciiTheme="minorHAnsi" w:hAnsiTheme="minorHAnsi" w:cs="Franklin Gothic Book"/>
                <w:color w:val="000000"/>
                <w:szCs w:val="17"/>
              </w:rPr>
              <w:t xml:space="preserve">m </w:t>
            </w:r>
          </w:p>
          <w:p w14:paraId="73004B13" w14:textId="77777777" w:rsidR="00C460C3" w:rsidRPr="00812509" w:rsidRDefault="00C460C3" w:rsidP="00A0572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2</w:t>
            </w:r>
            <w:r w:rsidRPr="00812509">
              <w:rPr>
                <w:rFonts w:asciiTheme="minorHAnsi" w:eastAsia="Times New Roman" w:hAnsiTheme="minorHAnsi"/>
                <w:iCs/>
                <w:szCs w:val="17"/>
                <w:lang w:eastAsia="en-US"/>
              </w:rPr>
              <w:t>-</w:t>
            </w:r>
            <w:r>
              <w:rPr>
                <w:rFonts w:asciiTheme="minorHAnsi" w:eastAsia="Times New Roman" w:hAnsiTheme="minorHAnsi"/>
                <w:iCs/>
                <w:szCs w:val="17"/>
                <w:lang w:eastAsia="en-US"/>
              </w:rPr>
              <w:t>16</w:t>
            </w:r>
            <w:r w:rsidRPr="00812509">
              <w:rPr>
                <w:rFonts w:asciiTheme="minorHAnsi" w:eastAsia="Times New Roman" w:hAnsiTheme="minorHAnsi"/>
                <w:iCs/>
                <w:szCs w:val="17"/>
                <w:lang w:eastAsia="en-US"/>
              </w:rPr>
              <w:t xml:space="preserve"> </w:t>
            </w:r>
          </w:p>
        </w:tc>
        <w:tc>
          <w:tcPr>
            <w:tcW w:w="452" w:type="pct"/>
            <w:shd w:val="clear" w:color="auto" w:fill="FFFF00"/>
            <w:noWrap/>
          </w:tcPr>
          <w:p w14:paraId="6D4D01A0" w14:textId="77777777" w:rsidR="00C460C3" w:rsidRPr="00812509" w:rsidRDefault="00C460C3"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50" w:type="pct"/>
            <w:shd w:val="clear" w:color="auto" w:fill="72AF2F"/>
            <w:noWrap/>
          </w:tcPr>
          <w:p w14:paraId="3E443C5B" w14:textId="77777777" w:rsidR="00C460C3" w:rsidRPr="00812509" w:rsidRDefault="00C460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51" w:type="pct"/>
            <w:shd w:val="clear" w:color="auto" w:fill="72AF2F"/>
            <w:noWrap/>
          </w:tcPr>
          <w:p w14:paraId="5ACC31D2" w14:textId="77777777" w:rsidR="00C460C3" w:rsidRPr="00812509" w:rsidRDefault="00C460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0" w:type="pct"/>
            <w:shd w:val="clear" w:color="auto" w:fill="72AF2F"/>
            <w:noWrap/>
          </w:tcPr>
          <w:p w14:paraId="66A0190F" w14:textId="77777777" w:rsidR="00C460C3" w:rsidRPr="00812509" w:rsidRDefault="00C460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1" w:type="pct"/>
            <w:shd w:val="clear" w:color="auto" w:fill="72AF2F"/>
            <w:noWrap/>
          </w:tcPr>
          <w:p w14:paraId="26EE3123" w14:textId="77777777" w:rsidR="00C460C3" w:rsidRPr="00812509" w:rsidRDefault="00C460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0" w:type="pct"/>
            <w:shd w:val="clear" w:color="auto" w:fill="72AF2F"/>
            <w:noWrap/>
          </w:tcPr>
          <w:p w14:paraId="1ADFD9A5" w14:textId="77777777" w:rsidR="00C460C3" w:rsidRPr="00812509" w:rsidRDefault="00C460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43" w:type="pct"/>
            <w:shd w:val="clear" w:color="auto" w:fill="FFC000"/>
          </w:tcPr>
          <w:p w14:paraId="18AD3ED3" w14:textId="77777777" w:rsidR="00C460C3" w:rsidRPr="00812509" w:rsidRDefault="00C460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bl>
    <w:p w14:paraId="1787D723" w14:textId="77777777" w:rsidR="00A8197B" w:rsidRPr="00812509" w:rsidRDefault="00A8197B" w:rsidP="00A8197B">
      <w:pPr>
        <w:spacing w:before="20" w:after="20" w:line="180" w:lineRule="atLeast"/>
        <w:jc w:val="both"/>
        <w:rPr>
          <w:rFonts w:eastAsia="Times New Roman"/>
          <w:b/>
          <w:sz w:val="14"/>
          <w:szCs w:val="14"/>
        </w:rPr>
      </w:pPr>
    </w:p>
    <w:p w14:paraId="515515F5"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48383357"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2F167A8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0C686D49"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1D3538E0"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1DD3BB6D"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5EC9F41A" w14:textId="7777777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04A6696F" w14:textId="77777777" w:rsidR="00A8197B" w:rsidRDefault="00A8197B" w:rsidP="00A8197B">
      <w:pPr>
        <w:pStyle w:val="ListBullet"/>
        <w:tabs>
          <w:tab w:val="clear" w:pos="284"/>
        </w:tabs>
      </w:pPr>
    </w:p>
    <w:p w14:paraId="7F276E95" w14:textId="77777777" w:rsidR="00A8197B" w:rsidRPr="00A8197B" w:rsidRDefault="00A8197B" w:rsidP="00A8197B"/>
    <w:sectPr w:rsidR="00A8197B" w:rsidRPr="00A8197B" w:rsidSect="004839E3">
      <w:headerReference w:type="default" r:id="rId32"/>
      <w:pgSz w:w="11906" w:h="16838" w:code="9"/>
      <w:pgMar w:top="1527" w:right="1134" w:bottom="851" w:left="1134" w:header="1418" w:footer="192" w:gutter="0"/>
      <w:cols w:space="39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ED52" w14:textId="77777777" w:rsidR="004D3674" w:rsidRDefault="004D3674" w:rsidP="00EF4574">
      <w:pPr>
        <w:spacing w:before="0" w:after="0" w:line="240" w:lineRule="auto"/>
      </w:pPr>
      <w:r>
        <w:separator/>
      </w:r>
    </w:p>
  </w:endnote>
  <w:endnote w:type="continuationSeparator" w:id="0">
    <w:p w14:paraId="55BB4D59" w14:textId="77777777" w:rsidR="004D3674" w:rsidRDefault="004D3674" w:rsidP="00EF4574">
      <w:pPr>
        <w:spacing w:before="0" w:after="0" w:line="240" w:lineRule="auto"/>
      </w:pPr>
      <w:r>
        <w:continuationSeparator/>
      </w:r>
    </w:p>
  </w:endnote>
  <w:endnote w:type="continuationNotice" w:id="1">
    <w:p w14:paraId="64DE0947" w14:textId="77777777" w:rsidR="004D3674" w:rsidRDefault="004D36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E7BA" w14:textId="77777777" w:rsidR="00F2764C" w:rsidRDefault="00F27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B5CB" w14:textId="77777777" w:rsidR="0073298B" w:rsidRDefault="0073298B" w:rsidP="004839E3">
    <w:pPr>
      <w:pStyle w:val="Footer"/>
      <w:rPr>
        <w:lang w:val="en-AU"/>
      </w:rPr>
    </w:pPr>
  </w:p>
  <w:p w14:paraId="2AB30790" w14:textId="77777777" w:rsidR="0073298B" w:rsidRDefault="0073298B" w:rsidP="004839E3">
    <w:pPr>
      <w:pStyle w:val="Footer"/>
    </w:pPr>
  </w:p>
  <w:p w14:paraId="3135D87C" w14:textId="77777777" w:rsidR="0073298B" w:rsidRPr="00CD0E4B" w:rsidRDefault="0073298B" w:rsidP="004839E3">
    <w:pPr>
      <w:pStyle w:val="Footer"/>
    </w:pPr>
    <w:r w:rsidRPr="00CD0E4B">
      <w:rPr>
        <w:noProof/>
        <w:lang w:val="en-AU" w:eastAsia="en-AU"/>
      </w:rPr>
      <w:drawing>
        <wp:inline distT="0" distB="0" distL="0" distR="0" wp14:anchorId="4973E88A" wp14:editId="7EACD67D">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79BED739" w14:textId="77777777" w:rsidR="0073298B" w:rsidRPr="00CD0E4B" w:rsidRDefault="0073298B" w:rsidP="004839E3">
    <w:pPr>
      <w:pStyle w:val="Footer"/>
      <w:rPr>
        <w:color w:val="ACD08C" w:themeColor="accent3"/>
      </w:rPr>
    </w:pPr>
    <w:r w:rsidRPr="00CD0E4B">
      <w:rPr>
        <w:color w:val="ACD08C" w:themeColor="accent3"/>
      </w:rPr>
      <w:t>DFAT.GOV.AU</w:t>
    </w:r>
  </w:p>
  <w:p w14:paraId="29539F2B" w14:textId="77777777" w:rsidR="0073298B" w:rsidRPr="004839E3" w:rsidRDefault="0073298B"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515472"/>
      <w:docPartObj>
        <w:docPartGallery w:val="Page Numbers (Bottom of Page)"/>
        <w:docPartUnique/>
      </w:docPartObj>
    </w:sdtPr>
    <w:sdtEndPr>
      <w:rPr>
        <w:noProof/>
      </w:rPr>
    </w:sdtEndPr>
    <w:sdtContent>
      <w:p w14:paraId="0DAEFBA7" w14:textId="7CAEF73D" w:rsidR="0073298B" w:rsidRDefault="0073298B">
        <w:pPr>
          <w:pStyle w:val="Footer"/>
        </w:pPr>
        <w:r>
          <w:fldChar w:fldCharType="begin"/>
        </w:r>
        <w:r>
          <w:instrText xml:space="preserve"> PAGE   \* MERGEFORMAT </w:instrText>
        </w:r>
        <w:r>
          <w:fldChar w:fldCharType="separate"/>
        </w:r>
        <w:r w:rsidR="00B400FD">
          <w:rPr>
            <w:noProof/>
          </w:rPr>
          <w:t>10</w:t>
        </w:r>
        <w:r>
          <w:rPr>
            <w:noProof/>
          </w:rPr>
          <w:fldChar w:fldCharType="end"/>
        </w:r>
      </w:p>
    </w:sdtContent>
  </w:sdt>
  <w:p w14:paraId="0CF900C0" w14:textId="77777777" w:rsidR="0073298B" w:rsidRDefault="0073298B" w:rsidP="004839E3">
    <w:pPr>
      <w:spacing w:before="0" w:after="0" w:line="240" w:lineRule="exact"/>
      <w:ind w:right="284"/>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383303"/>
      <w:docPartObj>
        <w:docPartGallery w:val="Page Numbers (Bottom of Page)"/>
        <w:docPartUnique/>
      </w:docPartObj>
    </w:sdtPr>
    <w:sdtEndPr>
      <w:rPr>
        <w:noProof/>
      </w:rPr>
    </w:sdtEndPr>
    <w:sdtContent>
      <w:p w14:paraId="34618A24" w14:textId="0D985708" w:rsidR="0073298B" w:rsidRDefault="0073298B">
        <w:pPr>
          <w:pStyle w:val="Footer"/>
        </w:pPr>
        <w:r>
          <w:fldChar w:fldCharType="begin"/>
        </w:r>
        <w:r>
          <w:instrText xml:space="preserve"> PAGE   \* MERGEFORMAT </w:instrText>
        </w:r>
        <w:r>
          <w:fldChar w:fldCharType="separate"/>
        </w:r>
        <w:r w:rsidR="00B400FD">
          <w:rPr>
            <w:noProof/>
          </w:rPr>
          <w:t>15</w:t>
        </w:r>
        <w:r>
          <w:rPr>
            <w:noProof/>
          </w:rPr>
          <w:fldChar w:fldCharType="end"/>
        </w:r>
      </w:p>
    </w:sdtContent>
  </w:sdt>
  <w:p w14:paraId="1CFD4BCA" w14:textId="77777777" w:rsidR="0073298B" w:rsidRPr="004839E3" w:rsidRDefault="0073298B"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0EAF" w14:textId="77777777" w:rsidR="004D3674" w:rsidRPr="008C5A0E" w:rsidRDefault="004D3674" w:rsidP="001D663E">
      <w:pPr>
        <w:pStyle w:val="Footer"/>
        <w:pBdr>
          <w:top w:val="single" w:sz="4" w:space="1" w:color="495965" w:themeColor="text2"/>
        </w:pBdr>
      </w:pPr>
    </w:p>
  </w:footnote>
  <w:footnote w:type="continuationSeparator" w:id="0">
    <w:p w14:paraId="142D4F8E" w14:textId="77777777" w:rsidR="004D3674" w:rsidRDefault="004D3674" w:rsidP="00EF4574">
      <w:pPr>
        <w:spacing w:before="0" w:after="0" w:line="240" w:lineRule="auto"/>
      </w:pPr>
      <w:r>
        <w:continuationSeparator/>
      </w:r>
    </w:p>
  </w:footnote>
  <w:footnote w:type="continuationNotice" w:id="1">
    <w:p w14:paraId="40D9A798" w14:textId="77777777" w:rsidR="004D3674" w:rsidRDefault="004D36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A677" w14:textId="77777777" w:rsidR="00F2764C" w:rsidRDefault="00F2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2D0AA" w14:textId="77777777" w:rsidR="0073298B" w:rsidRPr="00333501" w:rsidRDefault="0073298B" w:rsidP="008F56A8">
    <w:pPr>
      <w:pStyle w:val="Header"/>
      <w:jc w:val="left"/>
    </w:pPr>
    <w:r>
      <w:rPr>
        <w:noProof/>
        <w:lang w:val="en-AU" w:eastAsia="en-AU"/>
      </w:rPr>
      <w:drawing>
        <wp:anchor distT="0" distB="0" distL="114300" distR="114300" simplePos="0" relativeHeight="251671552" behindDoc="1" locked="1" layoutInCell="1" allowOverlap="1" wp14:anchorId="6F08D42F" wp14:editId="40C10F4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7B87" w14:textId="77777777" w:rsidR="0073298B" w:rsidRDefault="0073298B" w:rsidP="003D352D">
    <w:pPr>
      <w:pStyle w:val="Header"/>
      <w:jc w:val="left"/>
      <w:rPr>
        <w:noProof/>
        <w:lang w:val="en-AU" w:eastAsia="en-AU"/>
      </w:rPr>
    </w:pPr>
  </w:p>
  <w:p w14:paraId="6EEAB8CA" w14:textId="77777777" w:rsidR="0073298B" w:rsidRPr="003D352D" w:rsidRDefault="0073298B" w:rsidP="003D352D">
    <w:pPr>
      <w:pStyle w:val="Header"/>
      <w:jc w:val="left"/>
    </w:pPr>
    <w:r>
      <w:rPr>
        <w:noProof/>
        <w:lang w:val="en-AU" w:eastAsia="en-AU"/>
      </w:rPr>
      <w:drawing>
        <wp:anchor distT="0" distB="0" distL="114300" distR="114300" simplePos="0" relativeHeight="251669504" behindDoc="1" locked="1" layoutInCell="1" allowOverlap="1" wp14:anchorId="47AD69E1" wp14:editId="62C3A8F0">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377C" w14:textId="77777777" w:rsidR="0073298B" w:rsidRPr="00333501" w:rsidRDefault="0073298B" w:rsidP="008F56A8">
    <w:pPr>
      <w:pStyle w:val="Header"/>
      <w:jc w:val="left"/>
    </w:pPr>
    <w:r>
      <w:rPr>
        <w:noProof/>
        <w:lang w:val="en-AU" w:eastAsia="en-AU"/>
      </w:rPr>
      <w:drawing>
        <wp:anchor distT="0" distB="0" distL="114300" distR="114300" simplePos="0" relativeHeight="251685888" behindDoc="1" locked="1" layoutInCell="1" allowOverlap="1" wp14:anchorId="0734F4FB" wp14:editId="15A6E2FB">
          <wp:simplePos x="0" y="0"/>
          <wp:positionH relativeFrom="margin">
            <wp:posOffset>-652145</wp:posOffset>
          </wp:positionH>
          <wp:positionV relativeFrom="page">
            <wp:posOffset>122555</wp:posOffset>
          </wp:positionV>
          <wp:extent cx="7409815" cy="10589895"/>
          <wp:effectExtent l="0" t="0" r="635" b="190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BB5F" w14:textId="77777777" w:rsidR="0073298B" w:rsidRPr="003D352D" w:rsidRDefault="0073298B" w:rsidP="003D352D">
    <w:pPr>
      <w:pStyle w:val="Header"/>
      <w:jc w:val="left"/>
    </w:pPr>
    <w:r>
      <w:rPr>
        <w:noProof/>
        <w:lang w:val="en-AU" w:eastAsia="en-AU"/>
      </w:rPr>
      <w:drawing>
        <wp:anchor distT="0" distB="0" distL="114300" distR="114300" simplePos="0" relativeHeight="251673600" behindDoc="1" locked="1" layoutInCell="1" allowOverlap="1" wp14:anchorId="3E5E6796" wp14:editId="46B8CC5E">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448E" w14:textId="77777777" w:rsidR="0073298B" w:rsidRPr="00333501" w:rsidRDefault="0073298B" w:rsidP="008F56A8">
    <w:pPr>
      <w:pStyle w:val="Header"/>
      <w:jc w:val="left"/>
    </w:pPr>
    <w:r>
      <w:rPr>
        <w:noProof/>
        <w:lang w:val="en-AU" w:eastAsia="en-AU"/>
      </w:rPr>
      <w:drawing>
        <wp:anchor distT="0" distB="0" distL="114300" distR="114300" simplePos="0" relativeHeight="251687936" behindDoc="1" locked="1" layoutInCell="1" allowOverlap="1" wp14:anchorId="3A851B0C" wp14:editId="1F6B809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09E2" w14:textId="77777777" w:rsidR="0073298B" w:rsidRPr="003D352D" w:rsidRDefault="0073298B" w:rsidP="003D352D">
    <w:pPr>
      <w:pStyle w:val="Header"/>
      <w:jc w:val="left"/>
    </w:pPr>
    <w:r>
      <w:rPr>
        <w:noProof/>
        <w:lang w:val="en-AU" w:eastAsia="en-AU"/>
      </w:rPr>
      <w:drawing>
        <wp:anchor distT="0" distB="0" distL="114300" distR="114300" simplePos="0" relativeHeight="251675648" behindDoc="1" locked="1" layoutInCell="1" allowOverlap="1" wp14:anchorId="7A30E38A" wp14:editId="4096184C">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2E61" w14:textId="77777777" w:rsidR="0073298B" w:rsidRPr="00333501" w:rsidRDefault="0073298B" w:rsidP="008F56A8">
    <w:pPr>
      <w:pStyle w:val="Header"/>
      <w:jc w:val="left"/>
    </w:pPr>
    <w:r>
      <w:rPr>
        <w:noProof/>
        <w:lang w:val="en-AU" w:eastAsia="en-AU"/>
      </w:rPr>
      <w:drawing>
        <wp:anchor distT="0" distB="0" distL="114300" distR="114300" simplePos="0" relativeHeight="251683840" behindDoc="1" locked="1" layoutInCell="1" allowOverlap="1" wp14:anchorId="592EFC7E" wp14:editId="7A99424A">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311C05"/>
    <w:multiLevelType w:val="hybridMultilevel"/>
    <w:tmpl w:val="561E13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8412218"/>
    <w:multiLevelType w:val="hybridMultilevel"/>
    <w:tmpl w:val="677A4A58"/>
    <w:lvl w:ilvl="0" w:tplc="4D229EF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9017C8"/>
    <w:multiLevelType w:val="hybridMultilevel"/>
    <w:tmpl w:val="2072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B0573"/>
    <w:multiLevelType w:val="hybridMultilevel"/>
    <w:tmpl w:val="535C5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06A1292"/>
    <w:multiLevelType w:val="multilevel"/>
    <w:tmpl w:val="27CE594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506109"/>
    <w:multiLevelType w:val="multilevel"/>
    <w:tmpl w:val="B1E4F11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3FE46244"/>
    <w:multiLevelType w:val="hybridMultilevel"/>
    <w:tmpl w:val="426E0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73E04"/>
    <w:multiLevelType w:val="multilevel"/>
    <w:tmpl w:val="22489AA0"/>
    <w:lvl w:ilvl="0">
      <w:start w:val="1"/>
      <w:numFmt w:val="bullet"/>
      <w:pStyle w:val="Dotpoin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15:restartNumberingAfterBreak="0">
    <w:nsid w:val="4E0678CC"/>
    <w:multiLevelType w:val="hybridMultilevel"/>
    <w:tmpl w:val="FAC4F01E"/>
    <w:lvl w:ilvl="0" w:tplc="4D229EF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9A0B7B"/>
    <w:multiLevelType w:val="hybridMultilevel"/>
    <w:tmpl w:val="54607592"/>
    <w:lvl w:ilvl="0" w:tplc="4D229EF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3C1EA7"/>
    <w:multiLevelType w:val="multilevel"/>
    <w:tmpl w:val="43428892"/>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8D3321"/>
    <w:multiLevelType w:val="hybridMultilevel"/>
    <w:tmpl w:val="7760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3F72B2"/>
    <w:multiLevelType w:val="hybridMultilevel"/>
    <w:tmpl w:val="E5605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7"/>
  </w:num>
  <w:num w:numId="23">
    <w:abstractNumId w:val="17"/>
  </w:num>
  <w:num w:numId="24">
    <w:abstractNumId w:val="29"/>
  </w:num>
  <w:num w:numId="25">
    <w:abstractNumId w:val="29"/>
  </w:num>
  <w:num w:numId="26">
    <w:abstractNumId w:val="29"/>
  </w:num>
  <w:num w:numId="27">
    <w:abstractNumId w:val="28"/>
  </w:num>
  <w:num w:numId="28">
    <w:abstractNumId w:val="10"/>
  </w:num>
  <w:num w:numId="29">
    <w:abstractNumId w:val="10"/>
  </w:num>
  <w:num w:numId="30">
    <w:abstractNumId w:val="10"/>
  </w:num>
  <w:num w:numId="31">
    <w:abstractNumId w:val="19"/>
  </w:num>
  <w:num w:numId="32">
    <w:abstractNumId w:val="26"/>
  </w:num>
  <w:num w:numId="33">
    <w:abstractNumId w:val="32"/>
  </w:num>
  <w:num w:numId="34">
    <w:abstractNumId w:val="23"/>
  </w:num>
  <w:num w:numId="35">
    <w:abstractNumId w:val="13"/>
  </w:num>
  <w:num w:numId="36">
    <w:abstractNumId w:val="20"/>
  </w:num>
  <w:num w:numId="37">
    <w:abstractNumId w:val="25"/>
  </w:num>
  <w:num w:numId="38">
    <w:abstractNumId w:val="27"/>
  </w:num>
  <w:num w:numId="39">
    <w:abstractNumId w:val="14"/>
  </w:num>
  <w:num w:numId="40">
    <w:abstractNumId w:val="15"/>
  </w:num>
  <w:num w:numId="41">
    <w:abstractNumId w:val="22"/>
  </w:num>
  <w:num w:numId="42">
    <w:abstractNumId w:val="16"/>
  </w:num>
  <w:num w:numId="43">
    <w:abstractNumId w:val="34"/>
  </w:num>
  <w:num w:numId="44">
    <w:abstractNumId w:val="33"/>
  </w:num>
  <w:num w:numId="45">
    <w:abstractNumId w:val="18"/>
  </w:num>
  <w:num w:numId="46">
    <w:abstractNumId w:val="21"/>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130"/>
    <w:rsid w:val="00001DA8"/>
    <w:rsid w:val="000045E3"/>
    <w:rsid w:val="00006ADF"/>
    <w:rsid w:val="0001295F"/>
    <w:rsid w:val="00012E75"/>
    <w:rsid w:val="00015316"/>
    <w:rsid w:val="0002080A"/>
    <w:rsid w:val="0002782F"/>
    <w:rsid w:val="00031512"/>
    <w:rsid w:val="00054E4D"/>
    <w:rsid w:val="00054F21"/>
    <w:rsid w:val="00057C66"/>
    <w:rsid w:val="00060073"/>
    <w:rsid w:val="00060268"/>
    <w:rsid w:val="00062012"/>
    <w:rsid w:val="000625B4"/>
    <w:rsid w:val="00076806"/>
    <w:rsid w:val="000774A7"/>
    <w:rsid w:val="00084483"/>
    <w:rsid w:val="00084CC9"/>
    <w:rsid w:val="000B1544"/>
    <w:rsid w:val="000B4130"/>
    <w:rsid w:val="000C4A7C"/>
    <w:rsid w:val="000C6775"/>
    <w:rsid w:val="000D4C4A"/>
    <w:rsid w:val="000D66D6"/>
    <w:rsid w:val="000E1920"/>
    <w:rsid w:val="000E1E2C"/>
    <w:rsid w:val="000E314A"/>
    <w:rsid w:val="000F38DE"/>
    <w:rsid w:val="0010379A"/>
    <w:rsid w:val="00112C05"/>
    <w:rsid w:val="00126C9B"/>
    <w:rsid w:val="00126F6F"/>
    <w:rsid w:val="00141AA1"/>
    <w:rsid w:val="0014555B"/>
    <w:rsid w:val="00150449"/>
    <w:rsid w:val="00152B7D"/>
    <w:rsid w:val="001541EA"/>
    <w:rsid w:val="00162DE2"/>
    <w:rsid w:val="00166DDA"/>
    <w:rsid w:val="0016767B"/>
    <w:rsid w:val="001827E8"/>
    <w:rsid w:val="00184F1E"/>
    <w:rsid w:val="001901C7"/>
    <w:rsid w:val="001A08FA"/>
    <w:rsid w:val="001A1829"/>
    <w:rsid w:val="001A7A1C"/>
    <w:rsid w:val="001A7B8F"/>
    <w:rsid w:val="001A7E4E"/>
    <w:rsid w:val="001C0934"/>
    <w:rsid w:val="001D663E"/>
    <w:rsid w:val="001D68F4"/>
    <w:rsid w:val="001D697A"/>
    <w:rsid w:val="001E044A"/>
    <w:rsid w:val="001E1DC0"/>
    <w:rsid w:val="001F7D3E"/>
    <w:rsid w:val="002016E1"/>
    <w:rsid w:val="00217E99"/>
    <w:rsid w:val="0022750D"/>
    <w:rsid w:val="00235702"/>
    <w:rsid w:val="00236A53"/>
    <w:rsid w:val="002571A0"/>
    <w:rsid w:val="00275DB7"/>
    <w:rsid w:val="002831CB"/>
    <w:rsid w:val="00284957"/>
    <w:rsid w:val="0028602A"/>
    <w:rsid w:val="00290469"/>
    <w:rsid w:val="00291966"/>
    <w:rsid w:val="00297AB8"/>
    <w:rsid w:val="002A4A0E"/>
    <w:rsid w:val="002A51CA"/>
    <w:rsid w:val="002A62C8"/>
    <w:rsid w:val="002B3E95"/>
    <w:rsid w:val="002B5E10"/>
    <w:rsid w:val="002B7287"/>
    <w:rsid w:val="002C0074"/>
    <w:rsid w:val="002C0D31"/>
    <w:rsid w:val="002D3C73"/>
    <w:rsid w:val="002F5EB4"/>
    <w:rsid w:val="003002C0"/>
    <w:rsid w:val="00300D6B"/>
    <w:rsid w:val="00301144"/>
    <w:rsid w:val="00301A9E"/>
    <w:rsid w:val="003148B7"/>
    <w:rsid w:val="003158C3"/>
    <w:rsid w:val="00322991"/>
    <w:rsid w:val="003258F5"/>
    <w:rsid w:val="003274CD"/>
    <w:rsid w:val="00333501"/>
    <w:rsid w:val="00333EAA"/>
    <w:rsid w:val="00335F76"/>
    <w:rsid w:val="003401BE"/>
    <w:rsid w:val="0034353B"/>
    <w:rsid w:val="003457C4"/>
    <w:rsid w:val="003462E1"/>
    <w:rsid w:val="0035119D"/>
    <w:rsid w:val="00353365"/>
    <w:rsid w:val="00361287"/>
    <w:rsid w:val="00374AB4"/>
    <w:rsid w:val="00380104"/>
    <w:rsid w:val="003A0D71"/>
    <w:rsid w:val="003A3666"/>
    <w:rsid w:val="003A3B55"/>
    <w:rsid w:val="003B4444"/>
    <w:rsid w:val="003B4F12"/>
    <w:rsid w:val="003B532E"/>
    <w:rsid w:val="003C02BF"/>
    <w:rsid w:val="003C14B0"/>
    <w:rsid w:val="003C376C"/>
    <w:rsid w:val="003D21E9"/>
    <w:rsid w:val="003D352D"/>
    <w:rsid w:val="003E305C"/>
    <w:rsid w:val="003E5FAC"/>
    <w:rsid w:val="003E6E66"/>
    <w:rsid w:val="003E7176"/>
    <w:rsid w:val="00400B0F"/>
    <w:rsid w:val="00402ACC"/>
    <w:rsid w:val="004120EC"/>
    <w:rsid w:val="00415402"/>
    <w:rsid w:val="0041541F"/>
    <w:rsid w:val="00423F31"/>
    <w:rsid w:val="00431899"/>
    <w:rsid w:val="00433988"/>
    <w:rsid w:val="004419CD"/>
    <w:rsid w:val="00442AA8"/>
    <w:rsid w:val="004445D8"/>
    <w:rsid w:val="00450140"/>
    <w:rsid w:val="0045372E"/>
    <w:rsid w:val="00465221"/>
    <w:rsid w:val="00480422"/>
    <w:rsid w:val="00480CF2"/>
    <w:rsid w:val="004839E3"/>
    <w:rsid w:val="00485B35"/>
    <w:rsid w:val="00486804"/>
    <w:rsid w:val="0049148C"/>
    <w:rsid w:val="00494E39"/>
    <w:rsid w:val="004977A1"/>
    <w:rsid w:val="004A2A3B"/>
    <w:rsid w:val="004B3735"/>
    <w:rsid w:val="004B3775"/>
    <w:rsid w:val="004C36C8"/>
    <w:rsid w:val="004D0BA0"/>
    <w:rsid w:val="004D3674"/>
    <w:rsid w:val="004E0264"/>
    <w:rsid w:val="004E058F"/>
    <w:rsid w:val="004E3B87"/>
    <w:rsid w:val="004F0E49"/>
    <w:rsid w:val="004F2A68"/>
    <w:rsid w:val="00502C28"/>
    <w:rsid w:val="00504ECF"/>
    <w:rsid w:val="00505AAB"/>
    <w:rsid w:val="00510921"/>
    <w:rsid w:val="00510AD3"/>
    <w:rsid w:val="00513348"/>
    <w:rsid w:val="00520DF8"/>
    <w:rsid w:val="00522080"/>
    <w:rsid w:val="00523227"/>
    <w:rsid w:val="005264A7"/>
    <w:rsid w:val="00533B5D"/>
    <w:rsid w:val="005511BF"/>
    <w:rsid w:val="005614AE"/>
    <w:rsid w:val="0056290A"/>
    <w:rsid w:val="00563F83"/>
    <w:rsid w:val="005661FF"/>
    <w:rsid w:val="005737C3"/>
    <w:rsid w:val="00580018"/>
    <w:rsid w:val="00580FF2"/>
    <w:rsid w:val="0059146A"/>
    <w:rsid w:val="005952A1"/>
    <w:rsid w:val="00596BC3"/>
    <w:rsid w:val="005A3997"/>
    <w:rsid w:val="005B5456"/>
    <w:rsid w:val="005B5769"/>
    <w:rsid w:val="005B6CF8"/>
    <w:rsid w:val="005B7FE0"/>
    <w:rsid w:val="005C6406"/>
    <w:rsid w:val="005D0BED"/>
    <w:rsid w:val="005D2D9B"/>
    <w:rsid w:val="005D3655"/>
    <w:rsid w:val="005D55E9"/>
    <w:rsid w:val="005E076A"/>
    <w:rsid w:val="005E606B"/>
    <w:rsid w:val="005E76D7"/>
    <w:rsid w:val="005F11E1"/>
    <w:rsid w:val="005F5CE0"/>
    <w:rsid w:val="006002F1"/>
    <w:rsid w:val="006075FE"/>
    <w:rsid w:val="00617430"/>
    <w:rsid w:val="00623BA1"/>
    <w:rsid w:val="00626492"/>
    <w:rsid w:val="006302AC"/>
    <w:rsid w:val="00632DB5"/>
    <w:rsid w:val="00633661"/>
    <w:rsid w:val="0063412B"/>
    <w:rsid w:val="006346BC"/>
    <w:rsid w:val="00651C24"/>
    <w:rsid w:val="00653402"/>
    <w:rsid w:val="006616EF"/>
    <w:rsid w:val="0066652A"/>
    <w:rsid w:val="00667AD3"/>
    <w:rsid w:val="00671EB8"/>
    <w:rsid w:val="00672CF3"/>
    <w:rsid w:val="00673927"/>
    <w:rsid w:val="00680522"/>
    <w:rsid w:val="00681F08"/>
    <w:rsid w:val="00682167"/>
    <w:rsid w:val="006908F7"/>
    <w:rsid w:val="00695730"/>
    <w:rsid w:val="006A3755"/>
    <w:rsid w:val="006C42AF"/>
    <w:rsid w:val="006C4D24"/>
    <w:rsid w:val="006C7D2B"/>
    <w:rsid w:val="006D4D91"/>
    <w:rsid w:val="006D7C54"/>
    <w:rsid w:val="006E32FF"/>
    <w:rsid w:val="006F27B1"/>
    <w:rsid w:val="00711D8E"/>
    <w:rsid w:val="00712672"/>
    <w:rsid w:val="00720574"/>
    <w:rsid w:val="00730D62"/>
    <w:rsid w:val="0073298B"/>
    <w:rsid w:val="00733770"/>
    <w:rsid w:val="00734E3F"/>
    <w:rsid w:val="00736985"/>
    <w:rsid w:val="00744508"/>
    <w:rsid w:val="00745DF5"/>
    <w:rsid w:val="0074704C"/>
    <w:rsid w:val="0076250F"/>
    <w:rsid w:val="00766DCF"/>
    <w:rsid w:val="00771B53"/>
    <w:rsid w:val="007744E7"/>
    <w:rsid w:val="00784031"/>
    <w:rsid w:val="007A6119"/>
    <w:rsid w:val="007A61AD"/>
    <w:rsid w:val="007B6200"/>
    <w:rsid w:val="007B6A66"/>
    <w:rsid w:val="007B7B26"/>
    <w:rsid w:val="007B7F4E"/>
    <w:rsid w:val="007D5FC4"/>
    <w:rsid w:val="007F3395"/>
    <w:rsid w:val="007F59B2"/>
    <w:rsid w:val="007F636D"/>
    <w:rsid w:val="00801B9F"/>
    <w:rsid w:val="008057FD"/>
    <w:rsid w:val="00807037"/>
    <w:rsid w:val="008109E0"/>
    <w:rsid w:val="00812509"/>
    <w:rsid w:val="008318E3"/>
    <w:rsid w:val="00840444"/>
    <w:rsid w:val="00846BA9"/>
    <w:rsid w:val="008475F0"/>
    <w:rsid w:val="00856986"/>
    <w:rsid w:val="00864210"/>
    <w:rsid w:val="00872B05"/>
    <w:rsid w:val="0088479F"/>
    <w:rsid w:val="00890E31"/>
    <w:rsid w:val="008A55A2"/>
    <w:rsid w:val="008A58DF"/>
    <w:rsid w:val="008A5AFE"/>
    <w:rsid w:val="008A74E7"/>
    <w:rsid w:val="008B68D7"/>
    <w:rsid w:val="008B7238"/>
    <w:rsid w:val="008C2F58"/>
    <w:rsid w:val="008C5A0E"/>
    <w:rsid w:val="008D4779"/>
    <w:rsid w:val="008E6C24"/>
    <w:rsid w:val="008F4346"/>
    <w:rsid w:val="008F56A8"/>
    <w:rsid w:val="00916FB1"/>
    <w:rsid w:val="0092113A"/>
    <w:rsid w:val="00941A1F"/>
    <w:rsid w:val="00956031"/>
    <w:rsid w:val="0096154B"/>
    <w:rsid w:val="00980113"/>
    <w:rsid w:val="00983BFD"/>
    <w:rsid w:val="00983E74"/>
    <w:rsid w:val="00983FF0"/>
    <w:rsid w:val="009903F3"/>
    <w:rsid w:val="00992C76"/>
    <w:rsid w:val="009A5EFD"/>
    <w:rsid w:val="009B0702"/>
    <w:rsid w:val="009B2285"/>
    <w:rsid w:val="009B2E9B"/>
    <w:rsid w:val="009B4D3B"/>
    <w:rsid w:val="009D7407"/>
    <w:rsid w:val="009D77D9"/>
    <w:rsid w:val="009E0866"/>
    <w:rsid w:val="009E3A43"/>
    <w:rsid w:val="009F5488"/>
    <w:rsid w:val="009F6423"/>
    <w:rsid w:val="00A024ED"/>
    <w:rsid w:val="00A05728"/>
    <w:rsid w:val="00A12B76"/>
    <w:rsid w:val="00A16A9C"/>
    <w:rsid w:val="00A20ED1"/>
    <w:rsid w:val="00A24A62"/>
    <w:rsid w:val="00A3018B"/>
    <w:rsid w:val="00A31C9F"/>
    <w:rsid w:val="00A4144F"/>
    <w:rsid w:val="00A47108"/>
    <w:rsid w:val="00A56F14"/>
    <w:rsid w:val="00A76958"/>
    <w:rsid w:val="00A77D86"/>
    <w:rsid w:val="00A80F95"/>
    <w:rsid w:val="00A81508"/>
    <w:rsid w:val="00A8197B"/>
    <w:rsid w:val="00A84162"/>
    <w:rsid w:val="00A91124"/>
    <w:rsid w:val="00A92CF2"/>
    <w:rsid w:val="00A94E8A"/>
    <w:rsid w:val="00A959CB"/>
    <w:rsid w:val="00AA48AD"/>
    <w:rsid w:val="00AA5C7A"/>
    <w:rsid w:val="00AA7BE3"/>
    <w:rsid w:val="00AB2CB8"/>
    <w:rsid w:val="00AB5E7F"/>
    <w:rsid w:val="00AC164A"/>
    <w:rsid w:val="00AC1921"/>
    <w:rsid w:val="00AC21E8"/>
    <w:rsid w:val="00AD3340"/>
    <w:rsid w:val="00AE5482"/>
    <w:rsid w:val="00AE6436"/>
    <w:rsid w:val="00AE6631"/>
    <w:rsid w:val="00AF0F3F"/>
    <w:rsid w:val="00AF1B85"/>
    <w:rsid w:val="00AF2050"/>
    <w:rsid w:val="00AF6E1E"/>
    <w:rsid w:val="00B03CA8"/>
    <w:rsid w:val="00B068D1"/>
    <w:rsid w:val="00B109F8"/>
    <w:rsid w:val="00B12980"/>
    <w:rsid w:val="00B331DC"/>
    <w:rsid w:val="00B33C34"/>
    <w:rsid w:val="00B343E7"/>
    <w:rsid w:val="00B400FD"/>
    <w:rsid w:val="00B40670"/>
    <w:rsid w:val="00B428D3"/>
    <w:rsid w:val="00B438D3"/>
    <w:rsid w:val="00B471A1"/>
    <w:rsid w:val="00B558CB"/>
    <w:rsid w:val="00B55E19"/>
    <w:rsid w:val="00B61BC8"/>
    <w:rsid w:val="00B67221"/>
    <w:rsid w:val="00B72081"/>
    <w:rsid w:val="00B74115"/>
    <w:rsid w:val="00B8475C"/>
    <w:rsid w:val="00BA2394"/>
    <w:rsid w:val="00BA3685"/>
    <w:rsid w:val="00BA4B6D"/>
    <w:rsid w:val="00BB26C5"/>
    <w:rsid w:val="00BD5330"/>
    <w:rsid w:val="00BD794B"/>
    <w:rsid w:val="00BF3260"/>
    <w:rsid w:val="00BF4DE6"/>
    <w:rsid w:val="00C00306"/>
    <w:rsid w:val="00C06861"/>
    <w:rsid w:val="00C10438"/>
    <w:rsid w:val="00C11FAE"/>
    <w:rsid w:val="00C125AC"/>
    <w:rsid w:val="00C2442C"/>
    <w:rsid w:val="00C31EE8"/>
    <w:rsid w:val="00C42CDE"/>
    <w:rsid w:val="00C445A4"/>
    <w:rsid w:val="00C45FAA"/>
    <w:rsid w:val="00C460C3"/>
    <w:rsid w:val="00C50D7F"/>
    <w:rsid w:val="00C5182A"/>
    <w:rsid w:val="00C523F9"/>
    <w:rsid w:val="00C539F0"/>
    <w:rsid w:val="00C575FE"/>
    <w:rsid w:val="00C57A24"/>
    <w:rsid w:val="00C57FA9"/>
    <w:rsid w:val="00C62061"/>
    <w:rsid w:val="00C63EE9"/>
    <w:rsid w:val="00C63FA9"/>
    <w:rsid w:val="00C6626C"/>
    <w:rsid w:val="00C70D08"/>
    <w:rsid w:val="00C7139B"/>
    <w:rsid w:val="00C7380B"/>
    <w:rsid w:val="00C91D95"/>
    <w:rsid w:val="00C93A86"/>
    <w:rsid w:val="00C9534E"/>
    <w:rsid w:val="00CA31A4"/>
    <w:rsid w:val="00CA37B1"/>
    <w:rsid w:val="00CA5BEA"/>
    <w:rsid w:val="00CB1959"/>
    <w:rsid w:val="00CC31DD"/>
    <w:rsid w:val="00CC4767"/>
    <w:rsid w:val="00CD0E4B"/>
    <w:rsid w:val="00CD1652"/>
    <w:rsid w:val="00CE0155"/>
    <w:rsid w:val="00CE49BB"/>
    <w:rsid w:val="00CE731D"/>
    <w:rsid w:val="00CF5B1D"/>
    <w:rsid w:val="00CF670F"/>
    <w:rsid w:val="00D00802"/>
    <w:rsid w:val="00D0296C"/>
    <w:rsid w:val="00D067B4"/>
    <w:rsid w:val="00D146A2"/>
    <w:rsid w:val="00D15A00"/>
    <w:rsid w:val="00D16573"/>
    <w:rsid w:val="00D21936"/>
    <w:rsid w:val="00D23DDD"/>
    <w:rsid w:val="00D24D30"/>
    <w:rsid w:val="00D259B5"/>
    <w:rsid w:val="00D2653F"/>
    <w:rsid w:val="00D272E0"/>
    <w:rsid w:val="00D519D2"/>
    <w:rsid w:val="00D64BD1"/>
    <w:rsid w:val="00D72760"/>
    <w:rsid w:val="00D75C53"/>
    <w:rsid w:val="00D7737F"/>
    <w:rsid w:val="00DA0C4E"/>
    <w:rsid w:val="00DA0CB9"/>
    <w:rsid w:val="00DA13DE"/>
    <w:rsid w:val="00DA67C2"/>
    <w:rsid w:val="00DB7838"/>
    <w:rsid w:val="00DC22D6"/>
    <w:rsid w:val="00DC4854"/>
    <w:rsid w:val="00DD1986"/>
    <w:rsid w:val="00DD3FAF"/>
    <w:rsid w:val="00DD424B"/>
    <w:rsid w:val="00DE084C"/>
    <w:rsid w:val="00DF6446"/>
    <w:rsid w:val="00E02DF1"/>
    <w:rsid w:val="00E157EB"/>
    <w:rsid w:val="00E2508E"/>
    <w:rsid w:val="00E357B7"/>
    <w:rsid w:val="00E35D6B"/>
    <w:rsid w:val="00E42DFB"/>
    <w:rsid w:val="00E43A9A"/>
    <w:rsid w:val="00E53800"/>
    <w:rsid w:val="00E60277"/>
    <w:rsid w:val="00E6081F"/>
    <w:rsid w:val="00E60A62"/>
    <w:rsid w:val="00E65105"/>
    <w:rsid w:val="00E71232"/>
    <w:rsid w:val="00E766E5"/>
    <w:rsid w:val="00E807A5"/>
    <w:rsid w:val="00E807BC"/>
    <w:rsid w:val="00EA04B2"/>
    <w:rsid w:val="00EA1A76"/>
    <w:rsid w:val="00EA20F3"/>
    <w:rsid w:val="00EA41FE"/>
    <w:rsid w:val="00EA7EB7"/>
    <w:rsid w:val="00EC04C4"/>
    <w:rsid w:val="00EC6819"/>
    <w:rsid w:val="00ED1CD6"/>
    <w:rsid w:val="00ED2831"/>
    <w:rsid w:val="00ED43D1"/>
    <w:rsid w:val="00ED4EE6"/>
    <w:rsid w:val="00EE0BAE"/>
    <w:rsid w:val="00EE4EE1"/>
    <w:rsid w:val="00EF1BCE"/>
    <w:rsid w:val="00EF3416"/>
    <w:rsid w:val="00EF4574"/>
    <w:rsid w:val="00EF4AD9"/>
    <w:rsid w:val="00EF4E25"/>
    <w:rsid w:val="00F00F1B"/>
    <w:rsid w:val="00F02C46"/>
    <w:rsid w:val="00F04E54"/>
    <w:rsid w:val="00F06182"/>
    <w:rsid w:val="00F075A0"/>
    <w:rsid w:val="00F177E1"/>
    <w:rsid w:val="00F2378A"/>
    <w:rsid w:val="00F2684E"/>
    <w:rsid w:val="00F2764C"/>
    <w:rsid w:val="00F4140A"/>
    <w:rsid w:val="00F4219D"/>
    <w:rsid w:val="00F43534"/>
    <w:rsid w:val="00F4597D"/>
    <w:rsid w:val="00F47BEC"/>
    <w:rsid w:val="00F5404C"/>
    <w:rsid w:val="00F667DA"/>
    <w:rsid w:val="00F729EF"/>
    <w:rsid w:val="00F77784"/>
    <w:rsid w:val="00F77CAE"/>
    <w:rsid w:val="00F80533"/>
    <w:rsid w:val="00F81C54"/>
    <w:rsid w:val="00F82271"/>
    <w:rsid w:val="00F83428"/>
    <w:rsid w:val="00F84020"/>
    <w:rsid w:val="00F85B45"/>
    <w:rsid w:val="00F96BB9"/>
    <w:rsid w:val="00FB4F75"/>
    <w:rsid w:val="00FC0617"/>
    <w:rsid w:val="00FC3E86"/>
    <w:rsid w:val="00FE059D"/>
    <w:rsid w:val="00FE4675"/>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A8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A1C"/>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aliases w:val="Recommendation,List Paragraph1,List Paragraph11,L,List Paragraph2,Medium Grid 1 - Accent 21,CV text,Table text,F5 List Paragraph,Dot pt,Numbered Paragraph,List Paragraph111,ADB List Paragraph,Bulleted Para,NFP GP Bulleted List,FooterText"/>
    <w:basedOn w:val="Normal"/>
    <w:link w:val="ListParagraphChar"/>
    <w:uiPriority w:val="34"/>
    <w:qFormat/>
    <w:rsid w:val="00C50D7F"/>
    <w:pPr>
      <w:ind w:left="720"/>
      <w:contextualSpacing/>
    </w:pPr>
  </w:style>
  <w:style w:type="character" w:styleId="FollowedHyperlink">
    <w:name w:val="FollowedHyperlink"/>
    <w:basedOn w:val="DefaultParagraphFont"/>
    <w:uiPriority w:val="99"/>
    <w:semiHidden/>
    <w:unhideWhenUsed/>
    <w:rsid w:val="007F59B2"/>
    <w:rPr>
      <w:color w:val="800080" w:themeColor="followedHyperlink"/>
      <w:u w:val="single"/>
    </w:rPr>
  </w:style>
  <w:style w:type="character" w:customStyle="1" w:styleId="ListParagraphChar">
    <w:name w:val="List Paragraph Char"/>
    <w:aliases w:val="Recommendation Char,List Paragraph1 Char,List Paragraph11 Char,L Char,List Paragraph2 Char,Medium Grid 1 - Accent 21 Char,CV text Char,Table text Char,F5 List Paragraph Char,Dot pt Char,Numbered Paragraph Char,List Paragraph111 Char"/>
    <w:basedOn w:val="DefaultParagraphFont"/>
    <w:link w:val="ListParagraph"/>
    <w:uiPriority w:val="34"/>
    <w:qFormat/>
    <w:locked/>
    <w:rsid w:val="00B343E7"/>
    <w:rPr>
      <w:color w:val="495965" w:themeColor="text2"/>
      <w:lang w:val="en-GB"/>
    </w:rPr>
  </w:style>
  <w:style w:type="paragraph" w:customStyle="1" w:styleId="Dotpoint">
    <w:name w:val="Dot point"/>
    <w:basedOn w:val="ListParagraph"/>
    <w:link w:val="DotpointChar"/>
    <w:uiPriority w:val="99"/>
    <w:qFormat/>
    <w:rsid w:val="00520DF8"/>
    <w:pPr>
      <w:numPr>
        <w:numId w:val="47"/>
      </w:numPr>
      <w:suppressAutoHyphens w:val="0"/>
      <w:spacing w:before="0" w:after="120" w:line="240" w:lineRule="auto"/>
      <w:contextualSpacing w:val="0"/>
    </w:pPr>
    <w:rPr>
      <w:rFonts w:ascii="Arial" w:eastAsia="Times New Roman" w:hAnsi="Arial" w:cs="Arial"/>
      <w:sz w:val="24"/>
      <w:szCs w:val="24"/>
      <w:lang w:eastAsia="zh-CN"/>
    </w:rPr>
  </w:style>
  <w:style w:type="character" w:customStyle="1" w:styleId="DotpointChar">
    <w:name w:val="Dot point Char"/>
    <w:basedOn w:val="ListParagraphChar"/>
    <w:link w:val="Dotpoint"/>
    <w:uiPriority w:val="99"/>
    <w:locked/>
    <w:rsid w:val="00520DF8"/>
    <w:rPr>
      <w:rFonts w:ascii="Arial" w:eastAsia="Times New Roman" w:hAnsi="Arial" w:cs="Arial"/>
      <w:color w:val="495965" w:themeColor="text2"/>
      <w:sz w:val="24"/>
      <w:szCs w:val="24"/>
      <w:lang w:val="en-GB" w:eastAsia="zh-CN"/>
    </w:rPr>
  </w:style>
  <w:style w:type="character" w:styleId="CommentReference">
    <w:name w:val="annotation reference"/>
    <w:basedOn w:val="DefaultParagraphFont"/>
    <w:uiPriority w:val="99"/>
    <w:semiHidden/>
    <w:unhideWhenUsed/>
    <w:rsid w:val="00DA13DE"/>
    <w:rPr>
      <w:sz w:val="16"/>
      <w:szCs w:val="16"/>
    </w:rPr>
  </w:style>
  <w:style w:type="paragraph" w:styleId="CommentText">
    <w:name w:val="annotation text"/>
    <w:basedOn w:val="Normal"/>
    <w:link w:val="CommentTextChar"/>
    <w:uiPriority w:val="99"/>
    <w:semiHidden/>
    <w:unhideWhenUsed/>
    <w:rsid w:val="00DA13DE"/>
    <w:pPr>
      <w:spacing w:line="240" w:lineRule="auto"/>
    </w:pPr>
    <w:rPr>
      <w:sz w:val="20"/>
      <w:szCs w:val="20"/>
    </w:rPr>
  </w:style>
  <w:style w:type="character" w:customStyle="1" w:styleId="CommentTextChar">
    <w:name w:val="Comment Text Char"/>
    <w:basedOn w:val="DefaultParagraphFont"/>
    <w:link w:val="CommentText"/>
    <w:uiPriority w:val="99"/>
    <w:semiHidden/>
    <w:rsid w:val="00DA13DE"/>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DA13DE"/>
    <w:rPr>
      <w:b/>
      <w:bCs/>
    </w:rPr>
  </w:style>
  <w:style w:type="character" w:customStyle="1" w:styleId="CommentSubjectChar">
    <w:name w:val="Comment Subject Char"/>
    <w:basedOn w:val="CommentTextChar"/>
    <w:link w:val="CommentSubject"/>
    <w:uiPriority w:val="99"/>
    <w:semiHidden/>
    <w:rsid w:val="00DA13DE"/>
    <w:rPr>
      <w:b/>
      <w:bCs/>
      <w:color w:val="495965" w:themeColor="text2"/>
      <w:sz w:val="20"/>
      <w:szCs w:val="20"/>
      <w:lang w:val="en-GB"/>
    </w:rPr>
  </w:style>
  <w:style w:type="paragraph" w:styleId="Revision">
    <w:name w:val="Revision"/>
    <w:hidden/>
    <w:uiPriority w:val="99"/>
    <w:semiHidden/>
    <w:rsid w:val="00FC3E86"/>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064">
      <w:bodyDiv w:val="1"/>
      <w:marLeft w:val="0"/>
      <w:marRight w:val="0"/>
      <w:marTop w:val="0"/>
      <w:marBottom w:val="0"/>
      <w:divBdr>
        <w:top w:val="none" w:sz="0" w:space="0" w:color="auto"/>
        <w:left w:val="none" w:sz="0" w:space="0" w:color="auto"/>
        <w:bottom w:val="none" w:sz="0" w:space="0" w:color="auto"/>
        <w:right w:val="none" w:sz="0" w:space="0" w:color="auto"/>
      </w:divBdr>
    </w:div>
    <w:div w:id="392046447">
      <w:bodyDiv w:val="1"/>
      <w:marLeft w:val="0"/>
      <w:marRight w:val="0"/>
      <w:marTop w:val="0"/>
      <w:marBottom w:val="0"/>
      <w:divBdr>
        <w:top w:val="none" w:sz="0" w:space="0" w:color="auto"/>
        <w:left w:val="none" w:sz="0" w:space="0" w:color="auto"/>
        <w:bottom w:val="none" w:sz="0" w:space="0" w:color="auto"/>
        <w:right w:val="none" w:sz="0" w:space="0" w:color="auto"/>
      </w:divBdr>
    </w:div>
    <w:div w:id="440807803">
      <w:bodyDiv w:val="1"/>
      <w:marLeft w:val="0"/>
      <w:marRight w:val="0"/>
      <w:marTop w:val="0"/>
      <w:marBottom w:val="0"/>
      <w:divBdr>
        <w:top w:val="none" w:sz="0" w:space="0" w:color="auto"/>
        <w:left w:val="none" w:sz="0" w:space="0" w:color="auto"/>
        <w:bottom w:val="none" w:sz="0" w:space="0" w:color="auto"/>
        <w:right w:val="none" w:sz="0" w:space="0" w:color="auto"/>
      </w:divBdr>
    </w:div>
    <w:div w:id="475220185">
      <w:bodyDiv w:val="1"/>
      <w:marLeft w:val="0"/>
      <w:marRight w:val="0"/>
      <w:marTop w:val="0"/>
      <w:marBottom w:val="0"/>
      <w:divBdr>
        <w:top w:val="none" w:sz="0" w:space="0" w:color="auto"/>
        <w:left w:val="none" w:sz="0" w:space="0" w:color="auto"/>
        <w:bottom w:val="none" w:sz="0" w:space="0" w:color="auto"/>
        <w:right w:val="none" w:sz="0" w:space="0" w:color="auto"/>
      </w:divBdr>
    </w:div>
    <w:div w:id="753935709">
      <w:bodyDiv w:val="1"/>
      <w:marLeft w:val="0"/>
      <w:marRight w:val="0"/>
      <w:marTop w:val="0"/>
      <w:marBottom w:val="0"/>
      <w:divBdr>
        <w:top w:val="none" w:sz="0" w:space="0" w:color="auto"/>
        <w:left w:val="none" w:sz="0" w:space="0" w:color="auto"/>
        <w:bottom w:val="none" w:sz="0" w:space="0" w:color="auto"/>
        <w:right w:val="none" w:sz="0" w:space="0" w:color="auto"/>
      </w:divBdr>
    </w:div>
    <w:div w:id="786123539">
      <w:bodyDiv w:val="1"/>
      <w:marLeft w:val="0"/>
      <w:marRight w:val="0"/>
      <w:marTop w:val="0"/>
      <w:marBottom w:val="0"/>
      <w:divBdr>
        <w:top w:val="none" w:sz="0" w:space="0" w:color="auto"/>
        <w:left w:val="none" w:sz="0" w:space="0" w:color="auto"/>
        <w:bottom w:val="none" w:sz="0" w:space="0" w:color="auto"/>
        <w:right w:val="none" w:sz="0" w:space="0" w:color="auto"/>
      </w:divBdr>
    </w:div>
    <w:div w:id="1076318467">
      <w:bodyDiv w:val="1"/>
      <w:marLeft w:val="0"/>
      <w:marRight w:val="0"/>
      <w:marTop w:val="0"/>
      <w:marBottom w:val="0"/>
      <w:divBdr>
        <w:top w:val="none" w:sz="0" w:space="0" w:color="auto"/>
        <w:left w:val="none" w:sz="0" w:space="0" w:color="auto"/>
        <w:bottom w:val="none" w:sz="0" w:space="0" w:color="auto"/>
        <w:right w:val="none" w:sz="0" w:space="0" w:color="auto"/>
      </w:divBdr>
    </w:div>
    <w:div w:id="1468474370">
      <w:bodyDiv w:val="1"/>
      <w:marLeft w:val="0"/>
      <w:marRight w:val="0"/>
      <w:marTop w:val="0"/>
      <w:marBottom w:val="0"/>
      <w:divBdr>
        <w:top w:val="none" w:sz="0" w:space="0" w:color="auto"/>
        <w:left w:val="none" w:sz="0" w:space="0" w:color="auto"/>
        <w:bottom w:val="none" w:sz="0" w:space="0" w:color="auto"/>
        <w:right w:val="none" w:sz="0" w:space="0" w:color="auto"/>
      </w:divBdr>
    </w:div>
    <w:div w:id="1526405296">
      <w:bodyDiv w:val="1"/>
      <w:marLeft w:val="0"/>
      <w:marRight w:val="0"/>
      <w:marTop w:val="0"/>
      <w:marBottom w:val="0"/>
      <w:divBdr>
        <w:top w:val="none" w:sz="0" w:space="0" w:color="auto"/>
        <w:left w:val="none" w:sz="0" w:space="0" w:color="auto"/>
        <w:bottom w:val="none" w:sz="0" w:space="0" w:color="auto"/>
        <w:right w:val="none" w:sz="0" w:space="0" w:color="auto"/>
      </w:divBdr>
    </w:div>
    <w:div w:id="1665819490">
      <w:bodyDiv w:val="1"/>
      <w:marLeft w:val="0"/>
      <w:marRight w:val="0"/>
      <w:marTop w:val="0"/>
      <w:marBottom w:val="0"/>
      <w:divBdr>
        <w:top w:val="none" w:sz="0" w:space="0" w:color="auto"/>
        <w:left w:val="none" w:sz="0" w:space="0" w:color="auto"/>
        <w:bottom w:val="none" w:sz="0" w:space="0" w:color="auto"/>
        <w:right w:val="none" w:sz="0" w:space="0" w:color="auto"/>
      </w:divBdr>
    </w:div>
    <w:div w:id="20319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8.jpeg"/><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header" Target="header8.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1.jpeg"/><Relationship Id="rId28" Type="http://schemas.openxmlformats.org/officeDocument/2006/relationships/footer" Target="footer4.xml"/><Relationship Id="rId36"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C768B8-2C0A-46FB-B245-1492D86CA53C}"/>
</file>

<file path=customXml/itemProps2.xml><?xml version="1.0" encoding="utf-8"?>
<ds:datastoreItem xmlns:ds="http://schemas.openxmlformats.org/officeDocument/2006/customXml" ds:itemID="{C51A3592-A9A6-4692-82DC-4B9DEFB7B5BE}"/>
</file>

<file path=customXml/itemProps3.xml><?xml version="1.0" encoding="utf-8"?>
<ds:datastoreItem xmlns:ds="http://schemas.openxmlformats.org/officeDocument/2006/customXml" ds:itemID="{6A87D4F8-9A51-4FF5-A490-2A0729EDCC4C}"/>
</file>

<file path=customXml/itemProps4.xml><?xml version="1.0" encoding="utf-8"?>
<ds:datastoreItem xmlns:ds="http://schemas.openxmlformats.org/officeDocument/2006/customXml" ds:itemID="{927E8483-CDF4-474C-9B40-6DBE511E91ED}"/>
</file>

<file path=docProps/app.xml><?xml version="1.0" encoding="utf-8"?>
<Properties xmlns="http://schemas.openxmlformats.org/officeDocument/2006/extended-properties" xmlns:vt="http://schemas.openxmlformats.org/officeDocument/2006/docPropsVTypes">
  <Template>Normal.dotm</Template>
  <TotalTime>0</TotalTime>
  <Pages>15</Pages>
  <Words>5292</Words>
  <Characters>30169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Tonga Aid Program Performance Report 2016-17</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Tonga Aid Program Performance Report 2016-17</dc:title>
  <dc:creator/>
  <cp:lastModifiedBy/>
  <cp:revision>1</cp:revision>
  <dcterms:created xsi:type="dcterms:W3CDTF">2017-09-21T04:06:00Z</dcterms:created>
  <dcterms:modified xsi:type="dcterms:W3CDTF">2017-09-21T04:06:00Z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e49b9b09-f92d-4dd5-9784-a3dc9be3f544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1126600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