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38980F61" wp14:editId="3C92C405">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576CE1A" wp14:editId="19CDB6EE">
            <wp:simplePos x="0" y="0"/>
            <wp:positionH relativeFrom="page">
              <wp:posOffset>151765</wp:posOffset>
            </wp:positionH>
            <wp:positionV relativeFrom="page">
              <wp:posOffset>231140</wp:posOffset>
            </wp:positionV>
            <wp:extent cx="7559675" cy="10693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2015-16</w:t>
      </w:r>
    </w:p>
    <w:p w:rsidR="0059146A" w:rsidRDefault="00682B1C" w:rsidP="00A56F14">
      <w:pPr>
        <w:rPr>
          <w:sz w:val="24"/>
        </w:rPr>
        <w:sectPr w:rsidR="0059146A" w:rsidSect="00A56F14">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cols w:space="397"/>
          <w:titlePg/>
          <w:docGrid w:linePitch="360"/>
        </w:sectPr>
      </w:pPr>
      <w:r>
        <w:rPr>
          <w:sz w:val="40"/>
        </w:rPr>
        <w:t>Tonga</w:t>
      </w:r>
      <w:r w:rsidR="0059146A">
        <w:rPr>
          <w:sz w:val="40"/>
        </w:rPr>
        <w:br/>
      </w:r>
      <w:r w:rsidR="0059146A" w:rsidRPr="0059146A">
        <w:rPr>
          <w:sz w:val="24"/>
        </w:rPr>
        <w:t>September 2016</w:t>
      </w:r>
    </w:p>
    <w:p w:rsidR="005B5769" w:rsidRPr="00B438D3" w:rsidRDefault="00682B1C" w:rsidP="00B438D3">
      <w:pPr>
        <w:pStyle w:val="Title"/>
      </w:pPr>
      <w:r>
        <w:lastRenderedPageBreak/>
        <w:t>TONGA</w:t>
      </w:r>
      <w:r w:rsidR="005B5769" w:rsidRPr="00B438D3">
        <w:t xml:space="preserve"> Aid Program Performance Information 2015-16</w:t>
      </w:r>
    </w:p>
    <w:p w:rsidR="005B5769" w:rsidRPr="005D6208" w:rsidRDefault="005B5769" w:rsidP="00B438D3">
      <w:pPr>
        <w:pStyle w:val="Subtitle"/>
        <w:rPr>
          <w:rFonts w:asciiTheme="majorHAnsi" w:hAnsiTheme="majorHAnsi"/>
          <w:bCs w:val="0"/>
          <w:iCs w:val="0"/>
          <w:color w:val="auto"/>
          <w:spacing w:val="0"/>
          <w:kern w:val="0"/>
          <w:sz w:val="36"/>
          <w:szCs w:val="26"/>
        </w:rPr>
      </w:pPr>
      <w:r w:rsidRPr="005D6208">
        <w:rPr>
          <w:rFonts w:asciiTheme="majorHAnsi" w:hAnsiTheme="majorHAnsi"/>
          <w:bCs w:val="0"/>
          <w:iCs w:val="0"/>
          <w:color w:val="auto"/>
          <w:spacing w:val="0"/>
          <w:kern w:val="0"/>
          <w:sz w:val="36"/>
          <w:szCs w:val="26"/>
        </w:rPr>
        <w:t>Summary</w:t>
      </w:r>
    </w:p>
    <w:p w:rsidR="00E26040" w:rsidRPr="005D6208" w:rsidRDefault="00DE1AC8" w:rsidP="00015316">
      <w:pPr>
        <w:rPr>
          <w:color w:val="auto"/>
        </w:rPr>
      </w:pPr>
      <w:r w:rsidRPr="005D6208">
        <w:rPr>
          <w:color w:val="auto"/>
        </w:rPr>
        <w:t>Tonga is a small Pacific Island country with a</w:t>
      </w:r>
      <w:r w:rsidR="0091705C">
        <w:rPr>
          <w:color w:val="auto"/>
        </w:rPr>
        <w:t xml:space="preserve"> population of approximately 106</w:t>
      </w:r>
      <w:r w:rsidRPr="005D6208">
        <w:rPr>
          <w:color w:val="auto"/>
        </w:rPr>
        <w:t>,000 dispersed across</w:t>
      </w:r>
      <w:r w:rsidR="007E2880">
        <w:rPr>
          <w:color w:val="auto"/>
        </w:rPr>
        <w:t xml:space="preserve"> more than</w:t>
      </w:r>
      <w:r w:rsidRPr="005D6208">
        <w:rPr>
          <w:color w:val="auto"/>
        </w:rPr>
        <w:t xml:space="preserve"> 1</w:t>
      </w:r>
      <w:r w:rsidR="0091705C">
        <w:rPr>
          <w:color w:val="auto"/>
        </w:rPr>
        <w:t>7</w:t>
      </w:r>
      <w:r w:rsidRPr="005D6208">
        <w:rPr>
          <w:color w:val="auto"/>
        </w:rPr>
        <w:t xml:space="preserve">0 islands. </w:t>
      </w:r>
      <w:r w:rsidR="00B23A26" w:rsidRPr="005D6208">
        <w:rPr>
          <w:color w:val="auto"/>
        </w:rPr>
        <w:t>Ongoing</w:t>
      </w:r>
      <w:r w:rsidRPr="005D6208">
        <w:rPr>
          <w:color w:val="auto"/>
        </w:rPr>
        <w:t xml:space="preserve"> challenges to development and economic growth </w:t>
      </w:r>
      <w:r w:rsidR="00B23A26" w:rsidRPr="005D6208">
        <w:rPr>
          <w:color w:val="auto"/>
        </w:rPr>
        <w:t>include</w:t>
      </w:r>
      <w:r w:rsidR="00B63158">
        <w:rPr>
          <w:color w:val="auto"/>
        </w:rPr>
        <w:t xml:space="preserve"> </w:t>
      </w:r>
      <w:r w:rsidR="00743746">
        <w:rPr>
          <w:color w:val="auto"/>
        </w:rPr>
        <w:t>Tonga’s high levels of</w:t>
      </w:r>
      <w:r w:rsidR="00743746" w:rsidRPr="005D6208">
        <w:rPr>
          <w:color w:val="auto"/>
        </w:rPr>
        <w:t xml:space="preserve"> government </w:t>
      </w:r>
      <w:r w:rsidR="00743746">
        <w:rPr>
          <w:color w:val="auto"/>
        </w:rPr>
        <w:t>d</w:t>
      </w:r>
      <w:r w:rsidRPr="005D6208">
        <w:rPr>
          <w:color w:val="auto"/>
        </w:rPr>
        <w:t>eb</w:t>
      </w:r>
      <w:r w:rsidR="007A3529">
        <w:rPr>
          <w:color w:val="auto"/>
        </w:rPr>
        <w:t xml:space="preserve">t </w:t>
      </w:r>
      <w:r w:rsidR="00743746">
        <w:rPr>
          <w:color w:val="auto"/>
        </w:rPr>
        <w:t>(total public debt projected a</w:t>
      </w:r>
      <w:r w:rsidR="00B66D1C">
        <w:rPr>
          <w:color w:val="auto"/>
        </w:rPr>
        <w:t>t</w:t>
      </w:r>
      <w:r w:rsidR="00743746">
        <w:rPr>
          <w:color w:val="auto"/>
        </w:rPr>
        <w:t xml:space="preserve"> 55% of GDP)</w:t>
      </w:r>
      <w:r w:rsidR="00743746" w:rsidRPr="005D6208">
        <w:rPr>
          <w:color w:val="auto"/>
        </w:rPr>
        <w:t>,</w:t>
      </w:r>
      <w:r w:rsidR="00B63158">
        <w:rPr>
          <w:color w:val="auto"/>
        </w:rPr>
        <w:t xml:space="preserve"> </w:t>
      </w:r>
      <w:r w:rsidR="00A8017D" w:rsidRPr="005D6208">
        <w:rPr>
          <w:color w:val="auto"/>
        </w:rPr>
        <w:t xml:space="preserve">high </w:t>
      </w:r>
      <w:r w:rsidRPr="005D6208">
        <w:rPr>
          <w:color w:val="auto"/>
        </w:rPr>
        <w:t>susceptibility to natural disasters, the impact of non-communicable diseases and gender inequality</w:t>
      </w:r>
      <w:r w:rsidR="00A275FE" w:rsidRPr="005D6208">
        <w:rPr>
          <w:color w:val="auto"/>
        </w:rPr>
        <w:t xml:space="preserve">. </w:t>
      </w:r>
    </w:p>
    <w:p w:rsidR="00027DDE" w:rsidRDefault="00A92EA0" w:rsidP="00015316">
      <w:pPr>
        <w:rPr>
          <w:i/>
          <w:color w:val="auto"/>
        </w:rPr>
      </w:pPr>
      <w:r>
        <w:rPr>
          <w:color w:val="auto"/>
        </w:rPr>
        <w:t>Through our aid program, t</w:t>
      </w:r>
      <w:r w:rsidR="001760A5" w:rsidRPr="005D6208">
        <w:rPr>
          <w:color w:val="auto"/>
        </w:rPr>
        <w:t>he Australian Government</w:t>
      </w:r>
      <w:r w:rsidR="00E374AB" w:rsidRPr="005D6208">
        <w:rPr>
          <w:color w:val="auto"/>
        </w:rPr>
        <w:t xml:space="preserve"> </w:t>
      </w:r>
      <w:r w:rsidR="00424EE6" w:rsidRPr="005D6208">
        <w:rPr>
          <w:color w:val="auto"/>
        </w:rPr>
        <w:t>is helping to address these</w:t>
      </w:r>
      <w:r w:rsidR="00A275FE" w:rsidRPr="005D6208">
        <w:rPr>
          <w:color w:val="auto"/>
        </w:rPr>
        <w:t xml:space="preserve"> challenges</w:t>
      </w:r>
      <w:r w:rsidR="00424EE6" w:rsidRPr="005D6208">
        <w:rPr>
          <w:color w:val="auto"/>
        </w:rPr>
        <w:t xml:space="preserve">, with a strong focus on investments </w:t>
      </w:r>
      <w:r>
        <w:rPr>
          <w:color w:val="auto"/>
        </w:rPr>
        <w:t>to</w:t>
      </w:r>
      <w:r w:rsidR="00424EE6" w:rsidRPr="005D6208">
        <w:rPr>
          <w:color w:val="auto"/>
        </w:rPr>
        <w:t xml:space="preserve"> grow</w:t>
      </w:r>
      <w:r>
        <w:rPr>
          <w:color w:val="auto"/>
        </w:rPr>
        <w:t xml:space="preserve"> </w:t>
      </w:r>
      <w:r w:rsidR="001760A5" w:rsidRPr="005D6208">
        <w:rPr>
          <w:color w:val="auto"/>
        </w:rPr>
        <w:t>the economy</w:t>
      </w:r>
      <w:r w:rsidR="00E374AB" w:rsidRPr="005D6208">
        <w:rPr>
          <w:color w:val="auto"/>
        </w:rPr>
        <w:t xml:space="preserve"> and </w:t>
      </w:r>
      <w:r w:rsidR="00424EE6" w:rsidRPr="005D6208">
        <w:rPr>
          <w:color w:val="auto"/>
        </w:rPr>
        <w:t>develop</w:t>
      </w:r>
      <w:r w:rsidR="001760A5" w:rsidRPr="005D6208">
        <w:rPr>
          <w:color w:val="auto"/>
        </w:rPr>
        <w:t xml:space="preserve"> the </w:t>
      </w:r>
      <w:r w:rsidR="00E374AB" w:rsidRPr="005D6208">
        <w:rPr>
          <w:color w:val="auto"/>
        </w:rPr>
        <w:t>private sector</w:t>
      </w:r>
      <w:r w:rsidR="00424EE6" w:rsidRPr="005D6208">
        <w:rPr>
          <w:color w:val="auto"/>
        </w:rPr>
        <w:t>,</w:t>
      </w:r>
      <w:r w:rsidR="00E374AB" w:rsidRPr="005D6208">
        <w:rPr>
          <w:color w:val="auto"/>
        </w:rPr>
        <w:t xml:space="preserve"> </w:t>
      </w:r>
      <w:r w:rsidRPr="005D6208">
        <w:rPr>
          <w:color w:val="auto"/>
        </w:rPr>
        <w:t>improv</w:t>
      </w:r>
      <w:r>
        <w:rPr>
          <w:color w:val="auto"/>
        </w:rPr>
        <w:t xml:space="preserve">e </w:t>
      </w:r>
      <w:r w:rsidR="00E374AB" w:rsidRPr="005D6208">
        <w:rPr>
          <w:color w:val="auto"/>
        </w:rPr>
        <w:t xml:space="preserve">health systems and </w:t>
      </w:r>
      <w:r w:rsidR="00424EE6" w:rsidRPr="005D6208">
        <w:rPr>
          <w:color w:val="auto"/>
        </w:rPr>
        <w:t>develop</w:t>
      </w:r>
      <w:r w:rsidR="001760A5" w:rsidRPr="005D6208">
        <w:rPr>
          <w:color w:val="auto"/>
        </w:rPr>
        <w:t xml:space="preserve"> </w:t>
      </w:r>
      <w:r w:rsidR="00E374AB" w:rsidRPr="005D6208">
        <w:rPr>
          <w:color w:val="auto"/>
        </w:rPr>
        <w:t>skills</w:t>
      </w:r>
      <w:r w:rsidR="001760A5" w:rsidRPr="005D6208">
        <w:rPr>
          <w:color w:val="auto"/>
        </w:rPr>
        <w:t xml:space="preserve"> to support economic opportunities for Tongan workers</w:t>
      </w:r>
      <w:r w:rsidR="00DE1AC8" w:rsidRPr="005D6208">
        <w:rPr>
          <w:color w:val="auto"/>
        </w:rPr>
        <w:t xml:space="preserve">. </w:t>
      </w:r>
      <w:r w:rsidR="00424EE6" w:rsidRPr="005D6208">
        <w:rPr>
          <w:color w:val="auto"/>
        </w:rPr>
        <w:t xml:space="preserve"> C</w:t>
      </w:r>
      <w:r w:rsidR="001760A5" w:rsidRPr="005D6208">
        <w:rPr>
          <w:color w:val="auto"/>
        </w:rPr>
        <w:t xml:space="preserve">ross-cutting issues </w:t>
      </w:r>
      <w:r w:rsidR="00940173" w:rsidRPr="005D6208">
        <w:rPr>
          <w:color w:val="auto"/>
        </w:rPr>
        <w:t xml:space="preserve">of </w:t>
      </w:r>
      <w:r w:rsidR="001760A5" w:rsidRPr="005D6208">
        <w:rPr>
          <w:color w:val="auto"/>
        </w:rPr>
        <w:t xml:space="preserve">disaster resilience and preparedness, gender equality and supporting the needs of people with a </w:t>
      </w:r>
      <w:r w:rsidR="00940173" w:rsidRPr="005D6208">
        <w:rPr>
          <w:color w:val="auto"/>
        </w:rPr>
        <w:t>disability</w:t>
      </w:r>
      <w:r w:rsidR="00B23A26" w:rsidRPr="005D6208">
        <w:rPr>
          <w:color w:val="auto"/>
        </w:rPr>
        <w:t xml:space="preserve"> continue to feature prominently</w:t>
      </w:r>
      <w:r w:rsidR="0046154B">
        <w:rPr>
          <w:color w:val="auto"/>
        </w:rPr>
        <w:t xml:space="preserve">. </w:t>
      </w:r>
      <w:r w:rsidR="00B23A26" w:rsidRPr="005D6208">
        <w:rPr>
          <w:color w:val="auto"/>
        </w:rPr>
        <w:t>Australia’s aid program</w:t>
      </w:r>
      <w:r w:rsidR="0091705C">
        <w:rPr>
          <w:color w:val="auto"/>
        </w:rPr>
        <w:t xml:space="preserve"> is </w:t>
      </w:r>
      <w:r w:rsidR="00027DDE">
        <w:rPr>
          <w:color w:val="auto"/>
        </w:rPr>
        <w:t xml:space="preserve">delivered under </w:t>
      </w:r>
      <w:r w:rsidR="0091705C">
        <w:rPr>
          <w:color w:val="auto"/>
        </w:rPr>
        <w:t xml:space="preserve">the </w:t>
      </w:r>
      <w:r w:rsidR="0091705C" w:rsidRPr="00FE7151">
        <w:rPr>
          <w:i/>
          <w:color w:val="auto"/>
        </w:rPr>
        <w:t>Tonga Aid Investment Plan 2015-19</w:t>
      </w:r>
      <w:r w:rsidR="0091705C">
        <w:rPr>
          <w:color w:val="auto"/>
        </w:rPr>
        <w:t>, which deploy</w:t>
      </w:r>
      <w:r>
        <w:rPr>
          <w:color w:val="auto"/>
        </w:rPr>
        <w:t>s</w:t>
      </w:r>
      <w:r w:rsidR="0091705C">
        <w:rPr>
          <w:color w:val="auto"/>
        </w:rPr>
        <w:t xml:space="preserve"> our resources </w:t>
      </w:r>
      <w:r>
        <w:rPr>
          <w:color w:val="auto"/>
        </w:rPr>
        <w:t>to</w:t>
      </w:r>
      <w:r w:rsidR="0091705C">
        <w:rPr>
          <w:color w:val="auto"/>
        </w:rPr>
        <w:t xml:space="preserve"> most effectively and efficiently achieve results in </w:t>
      </w:r>
      <w:r w:rsidR="000570B8">
        <w:rPr>
          <w:color w:val="auto"/>
        </w:rPr>
        <w:t>these areas</w:t>
      </w:r>
      <w:r w:rsidR="0091705C">
        <w:rPr>
          <w:color w:val="auto"/>
        </w:rPr>
        <w:t>, as discussed below.</w:t>
      </w:r>
      <w:r w:rsidR="00027DDE">
        <w:rPr>
          <w:color w:val="auto"/>
        </w:rPr>
        <w:t xml:space="preserve"> Australia and Tonga </w:t>
      </w:r>
      <w:r w:rsidR="007A3529">
        <w:rPr>
          <w:color w:val="auto"/>
        </w:rPr>
        <w:t xml:space="preserve">are </w:t>
      </w:r>
      <w:r w:rsidR="00027DDE">
        <w:rPr>
          <w:color w:val="auto"/>
        </w:rPr>
        <w:t xml:space="preserve">currently negotiating an </w:t>
      </w:r>
      <w:r w:rsidR="00B66D1C">
        <w:rPr>
          <w:i/>
          <w:color w:val="auto"/>
        </w:rPr>
        <w:t xml:space="preserve">Aid Partnership </w:t>
      </w:r>
      <w:r w:rsidR="00B66D1C" w:rsidRPr="00A941E0">
        <w:rPr>
          <w:color w:val="auto"/>
        </w:rPr>
        <w:t>a</w:t>
      </w:r>
      <w:r w:rsidR="00027DDE" w:rsidRPr="00A941E0">
        <w:rPr>
          <w:color w:val="auto"/>
        </w:rPr>
        <w:t>rrangement</w:t>
      </w:r>
      <w:r w:rsidR="00027DDE">
        <w:rPr>
          <w:color w:val="auto"/>
        </w:rPr>
        <w:t xml:space="preserve">, </w:t>
      </w:r>
      <w:r w:rsidR="00027DDE" w:rsidRPr="00893FFF">
        <w:rPr>
          <w:color w:val="auto"/>
        </w:rPr>
        <w:t xml:space="preserve">to </w:t>
      </w:r>
      <w:r w:rsidR="00027DDE">
        <w:rPr>
          <w:color w:val="auto"/>
        </w:rPr>
        <w:t xml:space="preserve">reflect both </w:t>
      </w:r>
      <w:r w:rsidR="007A3529">
        <w:rPr>
          <w:color w:val="auto"/>
        </w:rPr>
        <w:t xml:space="preserve">the </w:t>
      </w:r>
      <w:r w:rsidR="00027DDE" w:rsidRPr="007A3529">
        <w:rPr>
          <w:i/>
          <w:color w:val="auto"/>
        </w:rPr>
        <w:t>Tonga Aid Investment Plan</w:t>
      </w:r>
      <w:r w:rsidR="00027DDE">
        <w:rPr>
          <w:color w:val="auto"/>
        </w:rPr>
        <w:t xml:space="preserve"> and Tonga’s own development priorities, as articulated in the </w:t>
      </w:r>
      <w:r w:rsidR="00027DDE">
        <w:rPr>
          <w:i/>
          <w:color w:val="auto"/>
        </w:rPr>
        <w:t>Tonga Strategic Development Framework II.</w:t>
      </w:r>
    </w:p>
    <w:p w:rsidR="00B438D3" w:rsidRDefault="00682B1C" w:rsidP="00015316">
      <w:pPr>
        <w:rPr>
          <w:color w:val="auto"/>
        </w:rPr>
      </w:pPr>
      <w:r w:rsidRPr="005D6208">
        <w:rPr>
          <w:color w:val="auto"/>
        </w:rPr>
        <w:t xml:space="preserve">Australia </w:t>
      </w:r>
      <w:r w:rsidR="00BE2844" w:rsidRPr="005D6208">
        <w:rPr>
          <w:color w:val="auto"/>
        </w:rPr>
        <w:t>is</w:t>
      </w:r>
      <w:r w:rsidR="00BE2844">
        <w:rPr>
          <w:color w:val="auto"/>
        </w:rPr>
        <w:t xml:space="preserve"> one of </w:t>
      </w:r>
      <w:r w:rsidR="00226A83">
        <w:rPr>
          <w:color w:val="auto"/>
        </w:rPr>
        <w:t>the largest donor</w:t>
      </w:r>
      <w:r w:rsidR="0038210B">
        <w:rPr>
          <w:color w:val="auto"/>
        </w:rPr>
        <w:t>s</w:t>
      </w:r>
      <w:r w:rsidR="00226A83">
        <w:rPr>
          <w:color w:val="auto"/>
        </w:rPr>
        <w:t xml:space="preserve"> of aid to Tonga</w:t>
      </w:r>
      <w:r w:rsidR="00B23A26" w:rsidRPr="005D6208">
        <w:rPr>
          <w:color w:val="auto"/>
        </w:rPr>
        <w:t xml:space="preserve">. </w:t>
      </w:r>
      <w:r w:rsidRPr="005D6208">
        <w:rPr>
          <w:color w:val="auto"/>
        </w:rPr>
        <w:t xml:space="preserve">In 2015-16, Australia’s </w:t>
      </w:r>
      <w:r w:rsidR="00BE2844">
        <w:rPr>
          <w:color w:val="auto"/>
        </w:rPr>
        <w:t>official development assistance (</w:t>
      </w:r>
      <w:r w:rsidRPr="005D6208">
        <w:rPr>
          <w:color w:val="auto"/>
        </w:rPr>
        <w:t>ODA</w:t>
      </w:r>
      <w:r w:rsidR="00BE2844">
        <w:rPr>
          <w:color w:val="auto"/>
        </w:rPr>
        <w:t>)</w:t>
      </w:r>
      <w:r w:rsidRPr="005D6208">
        <w:rPr>
          <w:color w:val="auto"/>
        </w:rPr>
        <w:t xml:space="preserve"> expenditure was $</w:t>
      </w:r>
      <w:r w:rsidR="00FB42AF">
        <w:rPr>
          <w:color w:val="auto"/>
        </w:rPr>
        <w:t>28</w:t>
      </w:r>
      <w:r w:rsidRPr="005D6208">
        <w:rPr>
          <w:color w:val="auto"/>
        </w:rPr>
        <w:t>.</w:t>
      </w:r>
      <w:r w:rsidR="00A20A30">
        <w:rPr>
          <w:color w:val="auto"/>
        </w:rPr>
        <w:t>8</w:t>
      </w:r>
      <w:r w:rsidRPr="005D6208">
        <w:rPr>
          <w:color w:val="auto"/>
        </w:rPr>
        <w:t xml:space="preserve"> million</w:t>
      </w:r>
      <w:r w:rsidR="00A20A30">
        <w:rPr>
          <w:color w:val="auto"/>
        </w:rPr>
        <w:t xml:space="preserve">, equivalent to </w:t>
      </w:r>
      <w:r w:rsidR="006731D1" w:rsidRPr="005D6208">
        <w:rPr>
          <w:color w:val="auto"/>
        </w:rPr>
        <w:t xml:space="preserve">approximately </w:t>
      </w:r>
      <w:r w:rsidR="003461F7">
        <w:rPr>
          <w:color w:val="auto"/>
        </w:rPr>
        <w:t>five</w:t>
      </w:r>
      <w:r w:rsidR="006731D1" w:rsidRPr="005D6208">
        <w:rPr>
          <w:color w:val="auto"/>
        </w:rPr>
        <w:t xml:space="preserve"> per cent of Tonga’s G</w:t>
      </w:r>
      <w:r w:rsidR="00BE2844">
        <w:rPr>
          <w:color w:val="auto"/>
        </w:rPr>
        <w:t xml:space="preserve">ross </w:t>
      </w:r>
      <w:r w:rsidR="006731D1" w:rsidRPr="005D6208">
        <w:rPr>
          <w:color w:val="auto"/>
        </w:rPr>
        <w:t>D</w:t>
      </w:r>
      <w:r w:rsidR="00BE2844">
        <w:rPr>
          <w:color w:val="auto"/>
        </w:rPr>
        <w:t xml:space="preserve">omestic </w:t>
      </w:r>
      <w:r w:rsidR="006731D1" w:rsidRPr="005D6208">
        <w:rPr>
          <w:color w:val="auto"/>
        </w:rPr>
        <w:t>P</w:t>
      </w:r>
      <w:r w:rsidR="00BE2844">
        <w:rPr>
          <w:color w:val="auto"/>
        </w:rPr>
        <w:t>roduct</w:t>
      </w:r>
      <w:r w:rsidR="00A20A30">
        <w:rPr>
          <w:color w:val="auto"/>
        </w:rPr>
        <w:t>.</w:t>
      </w:r>
      <w:r w:rsidR="0038210B">
        <w:rPr>
          <w:rStyle w:val="FootnoteReference"/>
          <w:color w:val="auto"/>
        </w:rPr>
        <w:footnoteReference w:id="1"/>
      </w:r>
      <w:r w:rsidRPr="005D6208">
        <w:rPr>
          <w:color w:val="auto"/>
        </w:rPr>
        <w:t xml:space="preserve"> </w:t>
      </w:r>
      <w:r w:rsidR="0086623B">
        <w:rPr>
          <w:color w:val="auto"/>
        </w:rPr>
        <w:t>Other</w:t>
      </w:r>
      <w:r w:rsidR="00296D55">
        <w:rPr>
          <w:color w:val="auto"/>
        </w:rPr>
        <w:t xml:space="preserve"> significant</w:t>
      </w:r>
      <w:r w:rsidR="0086623B">
        <w:rPr>
          <w:color w:val="auto"/>
        </w:rPr>
        <w:t xml:space="preserve"> bilateral donors include </w:t>
      </w:r>
      <w:r w:rsidR="00B4704D">
        <w:rPr>
          <w:color w:val="auto"/>
        </w:rPr>
        <w:t>New Zealand</w:t>
      </w:r>
      <w:r w:rsidR="00CA38DB">
        <w:rPr>
          <w:color w:val="auto"/>
        </w:rPr>
        <w:t xml:space="preserve">, </w:t>
      </w:r>
      <w:r w:rsidR="00B4704D">
        <w:rPr>
          <w:color w:val="auto"/>
        </w:rPr>
        <w:t xml:space="preserve">Japan </w:t>
      </w:r>
      <w:r w:rsidR="0086623B" w:rsidRPr="005D6208">
        <w:rPr>
          <w:color w:val="auto"/>
        </w:rPr>
        <w:t>and China</w:t>
      </w:r>
      <w:r w:rsidR="00B4704D">
        <w:rPr>
          <w:color w:val="auto"/>
        </w:rPr>
        <w:t xml:space="preserve">. </w:t>
      </w:r>
      <w:r w:rsidRPr="005D6208">
        <w:rPr>
          <w:color w:val="auto"/>
        </w:rPr>
        <w:t xml:space="preserve">The World Bank </w:t>
      </w:r>
      <w:r w:rsidR="000834D6">
        <w:rPr>
          <w:color w:val="auto"/>
        </w:rPr>
        <w:t>and Asian Development Bank</w:t>
      </w:r>
      <w:r w:rsidRPr="005D6208">
        <w:rPr>
          <w:color w:val="auto"/>
        </w:rPr>
        <w:t xml:space="preserve"> </w:t>
      </w:r>
      <w:r w:rsidR="00B4704D">
        <w:rPr>
          <w:color w:val="auto"/>
        </w:rPr>
        <w:t>continue to</w:t>
      </w:r>
      <w:r w:rsidRPr="005D6208">
        <w:rPr>
          <w:color w:val="auto"/>
        </w:rPr>
        <w:t xml:space="preserve"> play an important role i</w:t>
      </w:r>
      <w:r w:rsidR="0086623B">
        <w:rPr>
          <w:color w:val="auto"/>
        </w:rPr>
        <w:t>n Tonga’s development activities</w:t>
      </w:r>
      <w:r w:rsidR="00B4704D">
        <w:rPr>
          <w:color w:val="auto"/>
        </w:rPr>
        <w:t>, engaging in</w:t>
      </w:r>
      <w:r w:rsidR="0086623B">
        <w:rPr>
          <w:color w:val="auto"/>
        </w:rPr>
        <w:t xml:space="preserve"> eco</w:t>
      </w:r>
      <w:r w:rsidR="00B4704D">
        <w:rPr>
          <w:color w:val="auto"/>
        </w:rPr>
        <w:t>nomic reform and infrastructure</w:t>
      </w:r>
      <w:r w:rsidRPr="005D6208">
        <w:rPr>
          <w:color w:val="auto"/>
        </w:rPr>
        <w:t xml:space="preserve">. </w:t>
      </w:r>
    </w:p>
    <w:p w:rsidR="005B5769" w:rsidRPr="005D6208" w:rsidRDefault="005B5769" w:rsidP="00B438D3">
      <w:pPr>
        <w:pStyle w:val="ListBullet"/>
        <w:tabs>
          <w:tab w:val="clear" w:pos="284"/>
        </w:tabs>
        <w:spacing w:before="360"/>
        <w:rPr>
          <w:rFonts w:asciiTheme="majorHAnsi" w:eastAsiaTheme="majorEastAsia" w:hAnsiTheme="majorHAnsi" w:cstheme="majorBidi"/>
          <w:caps/>
          <w:sz w:val="36"/>
          <w:szCs w:val="26"/>
          <w:lang w:val="en-GB" w:eastAsia="en-US"/>
        </w:rPr>
      </w:pPr>
      <w:r w:rsidRPr="005D6208">
        <w:rPr>
          <w:rFonts w:asciiTheme="majorHAnsi" w:eastAsiaTheme="majorEastAsia" w:hAnsiTheme="majorHAnsi" w:cstheme="majorBidi"/>
          <w:caps/>
          <w:sz w:val="36"/>
          <w:szCs w:val="26"/>
          <w:lang w:val="en-GB" w:eastAsia="en-US"/>
        </w:rPr>
        <w:t>Performance against Strategic Objectives</w:t>
      </w:r>
    </w:p>
    <w:tbl>
      <w:tblPr>
        <w:tblStyle w:val="APPR"/>
        <w:tblW w:w="5000" w:type="pct"/>
        <w:tblLook w:val="0000" w:firstRow="0" w:lastRow="0" w:firstColumn="0" w:lastColumn="0" w:noHBand="0" w:noVBand="0"/>
      </w:tblPr>
      <w:tblGrid>
        <w:gridCol w:w="7046"/>
        <w:gridCol w:w="1157"/>
        <w:gridCol w:w="479"/>
        <w:gridCol w:w="1228"/>
      </w:tblGrid>
      <w:tr w:rsidR="005B5769" w:rsidRPr="003B0793" w:rsidTr="00CF08E6">
        <w:trPr>
          <w:cnfStyle w:val="000000010000" w:firstRow="0" w:lastRow="0" w:firstColumn="0" w:lastColumn="0" w:oddVBand="0" w:evenVBand="0" w:oddHBand="0" w:evenHBand="1" w:firstRowFirstColumn="0" w:firstRowLastColumn="0" w:lastRowFirstColumn="0" w:lastRowLastColumn="0"/>
          <w:trHeight w:val="651"/>
        </w:trPr>
        <w:tc>
          <w:tcPr>
            <w:tcW w:w="7004" w:type="dxa"/>
          </w:tcPr>
          <w:p w:rsidR="005B5769" w:rsidRPr="003B0793" w:rsidRDefault="005B5769" w:rsidP="00D15A00">
            <w:pPr>
              <w:pStyle w:val="TableTextColumnHeading"/>
              <w:rPr>
                <w:rFonts w:asciiTheme="minorHAnsi" w:hAnsiTheme="minorHAnsi"/>
              </w:rPr>
            </w:pPr>
            <w:r w:rsidRPr="003B0793">
              <w:rPr>
                <w:rFonts w:asciiTheme="minorHAnsi" w:hAnsiTheme="minorHAnsi"/>
                <w:noProof/>
              </w:rPr>
              <w:drawing>
                <wp:anchor distT="0" distB="0" distL="114300" distR="114300" simplePos="0" relativeHeight="251666432" behindDoc="0" locked="0" layoutInCell="1" allowOverlap="1" wp14:anchorId="03EF8921" wp14:editId="176C611A">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hAnsiTheme="minorHAnsi"/>
              </w:rPr>
              <w:t>Objective</w:t>
            </w:r>
          </w:p>
        </w:tc>
        <w:tc>
          <w:tcPr>
            <w:tcW w:w="1129" w:type="dxa"/>
          </w:tcPr>
          <w:p w:rsidR="005B5769" w:rsidRPr="003B0793" w:rsidRDefault="005B5769" w:rsidP="00D15A00">
            <w:pPr>
              <w:pStyle w:val="TableTextColumnHeading"/>
              <w:rPr>
                <w:rFonts w:asciiTheme="minorHAnsi" w:hAnsiTheme="minorHAnsi"/>
              </w:rPr>
            </w:pPr>
            <w:r w:rsidRPr="003B0793">
              <w:rPr>
                <w:rFonts w:asciiTheme="minorHAnsi" w:hAnsiTheme="minorHAnsi"/>
              </w:rPr>
              <w:t>Previous Rating</w:t>
            </w:r>
          </w:p>
        </w:tc>
        <w:tc>
          <w:tcPr>
            <w:tcW w:w="451" w:type="dxa"/>
          </w:tcPr>
          <w:p w:rsidR="005B5769" w:rsidRPr="003B0793" w:rsidRDefault="005B5769" w:rsidP="00D15A00">
            <w:pPr>
              <w:pStyle w:val="TableTextColumnHeading"/>
              <w:rPr>
                <w:rFonts w:asciiTheme="minorHAnsi" w:hAnsiTheme="minorHAnsi"/>
              </w:rPr>
            </w:pPr>
          </w:p>
        </w:tc>
        <w:tc>
          <w:tcPr>
            <w:tcW w:w="1186" w:type="dxa"/>
          </w:tcPr>
          <w:p w:rsidR="005B5769" w:rsidRPr="003B0793" w:rsidRDefault="005B5769" w:rsidP="00D15A00">
            <w:pPr>
              <w:pStyle w:val="TableTextColumnHeading"/>
              <w:rPr>
                <w:rFonts w:asciiTheme="minorHAnsi" w:hAnsiTheme="minorHAnsi"/>
              </w:rPr>
            </w:pPr>
            <w:r w:rsidRPr="003B0793">
              <w:rPr>
                <w:rFonts w:asciiTheme="minorHAnsi" w:hAnsiTheme="minorHAnsi"/>
              </w:rPr>
              <w:t>Current Rating</w:t>
            </w:r>
          </w:p>
        </w:tc>
      </w:tr>
      <w:tr w:rsidR="00CF08E6" w:rsidRPr="003B0793" w:rsidTr="00593755">
        <w:trPr>
          <w:cnfStyle w:val="000000010000" w:firstRow="0" w:lastRow="0" w:firstColumn="0" w:lastColumn="0" w:oddVBand="0" w:evenVBand="0" w:oddHBand="0" w:evenHBand="1" w:firstRowFirstColumn="0" w:firstRowLastColumn="0" w:lastRowFirstColumn="0" w:lastRowLastColumn="0"/>
        </w:trPr>
        <w:tc>
          <w:tcPr>
            <w:tcW w:w="7004" w:type="dxa"/>
          </w:tcPr>
          <w:p w:rsidR="00CF08E6" w:rsidRPr="005D6208" w:rsidRDefault="00CF08E6" w:rsidP="006702F6">
            <w:pPr>
              <w:pStyle w:val="TableTextEntries"/>
              <w:rPr>
                <w:rFonts w:asciiTheme="minorHAnsi" w:hAnsiTheme="minorHAnsi"/>
              </w:rPr>
            </w:pPr>
            <w:r w:rsidRPr="005D6208">
              <w:rPr>
                <w:rFonts w:asciiTheme="minorHAnsi" w:hAnsiTheme="minorHAnsi"/>
              </w:rPr>
              <w:t xml:space="preserve">Objective 1   </w:t>
            </w:r>
            <w:r w:rsidR="006702F6" w:rsidRPr="005D6208">
              <w:rPr>
                <w:rFonts w:asciiTheme="minorHAnsi" w:hAnsiTheme="minorHAnsi"/>
              </w:rPr>
              <w:t>Governance, economic</w:t>
            </w:r>
            <w:r w:rsidRPr="005D6208">
              <w:rPr>
                <w:rFonts w:asciiTheme="minorHAnsi" w:hAnsiTheme="minorHAnsi"/>
              </w:rPr>
              <w:t xml:space="preserve"> and private sector development reforms</w:t>
            </w:r>
          </w:p>
        </w:tc>
        <w:tc>
          <w:tcPr>
            <w:tcW w:w="1129" w:type="dxa"/>
            <w:shd w:val="clear" w:color="auto" w:fill="72AF2F"/>
            <w:noWrap/>
          </w:tcPr>
          <w:p w:rsidR="00CF08E6" w:rsidRPr="003B0793" w:rsidRDefault="00CF08E6" w:rsidP="00D15A00">
            <w:pPr>
              <w:pStyle w:val="TableTextEntries"/>
              <w:jc w:val="center"/>
              <w:rPr>
                <w:rFonts w:asciiTheme="minorHAnsi" w:hAnsiTheme="minorHAnsi"/>
                <w:color w:val="FFFFFF" w:themeColor="background1"/>
              </w:rPr>
            </w:pPr>
            <w:r w:rsidRPr="003B0793">
              <w:rPr>
                <w:rFonts w:asciiTheme="minorHAnsi" w:hAnsiTheme="minorHAnsi"/>
                <w:color w:val="FFFFFF" w:themeColor="background1"/>
              </w:rPr>
              <w:t>Green</w:t>
            </w:r>
          </w:p>
        </w:tc>
        <w:tc>
          <w:tcPr>
            <w:tcW w:w="451" w:type="dxa"/>
          </w:tcPr>
          <w:p w:rsidR="00CF08E6" w:rsidRPr="003B0793" w:rsidRDefault="00CF08E6" w:rsidP="00D15A00">
            <w:pPr>
              <w:pStyle w:val="TableTextEntries"/>
              <w:jc w:val="center"/>
              <w:rPr>
                <w:rFonts w:asciiTheme="minorHAnsi" w:hAnsiTheme="minorHAnsi"/>
                <w:color w:val="FFFFFF" w:themeColor="background1"/>
              </w:rPr>
            </w:pPr>
          </w:p>
        </w:tc>
        <w:tc>
          <w:tcPr>
            <w:tcW w:w="1186" w:type="dxa"/>
            <w:shd w:val="clear" w:color="auto" w:fill="72AF2F"/>
            <w:noWrap/>
          </w:tcPr>
          <w:p w:rsidR="00CF08E6" w:rsidRPr="003B0793" w:rsidRDefault="00CF08E6" w:rsidP="00226A83">
            <w:pPr>
              <w:pStyle w:val="TableTextEntries"/>
              <w:jc w:val="center"/>
              <w:rPr>
                <w:rFonts w:asciiTheme="minorHAnsi" w:hAnsiTheme="minorHAnsi"/>
                <w:color w:val="FFFFFF" w:themeColor="background1"/>
              </w:rPr>
            </w:pPr>
            <w:r w:rsidRPr="003B0793">
              <w:rPr>
                <w:rFonts w:asciiTheme="minorHAnsi" w:hAnsiTheme="minorHAnsi"/>
                <w:color w:val="FFFFFF" w:themeColor="background1"/>
              </w:rPr>
              <w:t>Green</w:t>
            </w:r>
          </w:p>
        </w:tc>
      </w:tr>
      <w:tr w:rsidR="00CF08E6" w:rsidRPr="003B0793" w:rsidTr="00593755">
        <w:trPr>
          <w:cnfStyle w:val="000000010000" w:firstRow="0" w:lastRow="0" w:firstColumn="0" w:lastColumn="0" w:oddVBand="0" w:evenVBand="0" w:oddHBand="0" w:evenHBand="1" w:firstRowFirstColumn="0" w:firstRowLastColumn="0" w:lastRowFirstColumn="0" w:lastRowLastColumn="0"/>
        </w:trPr>
        <w:tc>
          <w:tcPr>
            <w:tcW w:w="7004" w:type="dxa"/>
          </w:tcPr>
          <w:p w:rsidR="00CF08E6" w:rsidRPr="005D6208" w:rsidRDefault="00CF08E6" w:rsidP="006702F6">
            <w:pPr>
              <w:pStyle w:val="TableTextEntries"/>
              <w:rPr>
                <w:rFonts w:asciiTheme="minorHAnsi" w:hAnsiTheme="minorHAnsi"/>
              </w:rPr>
            </w:pPr>
            <w:r w:rsidRPr="005D6208">
              <w:rPr>
                <w:rFonts w:asciiTheme="minorHAnsi" w:hAnsiTheme="minorHAnsi"/>
              </w:rPr>
              <w:t xml:space="preserve">Objective 2   </w:t>
            </w:r>
            <w:r w:rsidR="006702F6" w:rsidRPr="005D6208">
              <w:rPr>
                <w:rFonts w:asciiTheme="minorHAnsi" w:hAnsiTheme="minorHAnsi"/>
              </w:rPr>
              <w:t>A more effective, efficient and equitable health system</w:t>
            </w:r>
          </w:p>
        </w:tc>
        <w:tc>
          <w:tcPr>
            <w:tcW w:w="1129" w:type="dxa"/>
            <w:shd w:val="clear" w:color="auto" w:fill="72AF2F"/>
            <w:noWrap/>
          </w:tcPr>
          <w:p w:rsidR="00CF08E6" w:rsidRPr="003B0793" w:rsidRDefault="00CF08E6" w:rsidP="00226A83">
            <w:pPr>
              <w:pStyle w:val="TableTextEntries"/>
              <w:jc w:val="center"/>
              <w:rPr>
                <w:rFonts w:asciiTheme="minorHAnsi" w:hAnsiTheme="minorHAnsi"/>
                <w:color w:val="FFFFFF" w:themeColor="background1"/>
              </w:rPr>
            </w:pPr>
            <w:r w:rsidRPr="003B0793">
              <w:rPr>
                <w:rFonts w:asciiTheme="minorHAnsi" w:hAnsiTheme="minorHAnsi"/>
                <w:color w:val="FFFFFF" w:themeColor="background1"/>
              </w:rPr>
              <w:t>Green</w:t>
            </w:r>
          </w:p>
        </w:tc>
        <w:tc>
          <w:tcPr>
            <w:tcW w:w="451" w:type="dxa"/>
          </w:tcPr>
          <w:p w:rsidR="00CF08E6" w:rsidRPr="003B0793" w:rsidRDefault="00CF08E6" w:rsidP="00D15A00">
            <w:pPr>
              <w:pStyle w:val="TableTextEntries"/>
              <w:jc w:val="center"/>
              <w:rPr>
                <w:rFonts w:asciiTheme="minorHAnsi" w:hAnsiTheme="minorHAnsi"/>
                <w:color w:val="FFFFFF" w:themeColor="background1"/>
              </w:rPr>
            </w:pPr>
          </w:p>
        </w:tc>
        <w:tc>
          <w:tcPr>
            <w:tcW w:w="1186" w:type="dxa"/>
            <w:shd w:val="clear" w:color="auto" w:fill="72AF2F"/>
            <w:noWrap/>
          </w:tcPr>
          <w:p w:rsidR="00CF08E6" w:rsidRPr="003B0793" w:rsidRDefault="00CF08E6" w:rsidP="00D15A00">
            <w:pPr>
              <w:pStyle w:val="TableTextEntries"/>
              <w:jc w:val="center"/>
              <w:rPr>
                <w:rFonts w:asciiTheme="minorHAnsi" w:hAnsiTheme="minorHAnsi"/>
                <w:color w:val="FFFFFF" w:themeColor="background1"/>
              </w:rPr>
            </w:pPr>
            <w:r w:rsidRPr="003B0793">
              <w:rPr>
                <w:rFonts w:asciiTheme="minorHAnsi" w:hAnsiTheme="minorHAnsi"/>
                <w:color w:val="FFFFFF" w:themeColor="background1"/>
              </w:rPr>
              <w:t>Green</w:t>
            </w:r>
          </w:p>
        </w:tc>
      </w:tr>
      <w:tr w:rsidR="00CF08E6" w:rsidRPr="003B0793" w:rsidTr="006702F6">
        <w:trPr>
          <w:cnfStyle w:val="000000010000" w:firstRow="0" w:lastRow="0" w:firstColumn="0" w:lastColumn="0" w:oddVBand="0" w:evenVBand="0" w:oddHBand="0" w:evenHBand="1" w:firstRowFirstColumn="0" w:firstRowLastColumn="0" w:lastRowFirstColumn="0" w:lastRowLastColumn="0"/>
        </w:trPr>
        <w:tc>
          <w:tcPr>
            <w:tcW w:w="7004" w:type="dxa"/>
          </w:tcPr>
          <w:p w:rsidR="00CF08E6" w:rsidRPr="005D6208" w:rsidRDefault="00CF08E6" w:rsidP="00D15A00">
            <w:pPr>
              <w:pStyle w:val="TableTextEntries"/>
              <w:rPr>
                <w:rFonts w:asciiTheme="minorHAnsi" w:hAnsiTheme="minorHAnsi"/>
              </w:rPr>
            </w:pPr>
            <w:r w:rsidRPr="005D6208">
              <w:rPr>
                <w:rFonts w:asciiTheme="minorHAnsi" w:hAnsiTheme="minorHAnsi"/>
              </w:rPr>
              <w:t>Objective 3   Skills development</w:t>
            </w:r>
            <w:r w:rsidR="006702F6" w:rsidRPr="005D6208">
              <w:rPr>
                <w:rFonts w:asciiTheme="minorHAnsi" w:hAnsiTheme="minorHAnsi"/>
              </w:rPr>
              <w:t xml:space="preserve"> in support of economic opportunities for Tongan workers</w:t>
            </w:r>
          </w:p>
        </w:tc>
        <w:tc>
          <w:tcPr>
            <w:tcW w:w="1129" w:type="dxa"/>
            <w:shd w:val="clear" w:color="auto" w:fill="FF6600"/>
            <w:noWrap/>
          </w:tcPr>
          <w:p w:rsidR="00CF08E6" w:rsidRPr="003B0793" w:rsidRDefault="006702F6" w:rsidP="00226A83">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451" w:type="dxa"/>
          </w:tcPr>
          <w:p w:rsidR="00CF08E6" w:rsidRPr="003B0793" w:rsidRDefault="00CF08E6" w:rsidP="00D15A00">
            <w:pPr>
              <w:pStyle w:val="TableTextEntries"/>
              <w:jc w:val="center"/>
              <w:rPr>
                <w:rFonts w:asciiTheme="minorHAnsi" w:hAnsiTheme="minorHAnsi"/>
                <w:color w:val="FFFFFF" w:themeColor="background1"/>
              </w:rPr>
            </w:pPr>
          </w:p>
        </w:tc>
        <w:tc>
          <w:tcPr>
            <w:tcW w:w="1186" w:type="dxa"/>
            <w:shd w:val="clear" w:color="auto" w:fill="72AF2F"/>
            <w:noWrap/>
          </w:tcPr>
          <w:p w:rsidR="00CF08E6" w:rsidRPr="003B0793" w:rsidRDefault="00CF08E6" w:rsidP="00226A83">
            <w:pPr>
              <w:pStyle w:val="TableTextEntries"/>
              <w:jc w:val="center"/>
              <w:rPr>
                <w:rFonts w:asciiTheme="minorHAnsi" w:hAnsiTheme="minorHAnsi"/>
                <w:color w:val="FFFFFF" w:themeColor="background1"/>
              </w:rPr>
            </w:pPr>
            <w:r w:rsidRPr="003B0793">
              <w:rPr>
                <w:rFonts w:asciiTheme="minorHAnsi" w:hAnsiTheme="minorHAnsi"/>
                <w:color w:val="FFFFFF" w:themeColor="background1"/>
              </w:rPr>
              <w:t>Green</w:t>
            </w:r>
          </w:p>
        </w:tc>
      </w:tr>
    </w:tbl>
    <w:p w:rsidR="005B5769" w:rsidRPr="003B0793" w:rsidRDefault="005B5769" w:rsidP="005B5769">
      <w:pPr>
        <w:pStyle w:val="Note"/>
        <w:rPr>
          <w:rFonts w:asciiTheme="minorHAnsi" w:hAnsiTheme="minorHAnsi"/>
          <w:sz w:val="16"/>
        </w:rPr>
      </w:pPr>
      <w:r w:rsidRPr="003B0793">
        <w:rPr>
          <w:rFonts w:asciiTheme="minorHAnsi" w:hAnsiTheme="minorHAnsi"/>
          <w:sz w:val="16"/>
        </w:rPr>
        <w:t xml:space="preserve">Note: </w:t>
      </w:r>
    </w:p>
    <w:p w:rsidR="005B5769" w:rsidRPr="003B0793" w:rsidRDefault="005B5769" w:rsidP="005B5769">
      <w:pPr>
        <w:pStyle w:val="Note"/>
        <w:rPr>
          <w:rFonts w:asciiTheme="minorHAnsi" w:hAnsiTheme="minorHAnsi"/>
          <w:sz w:val="16"/>
        </w:rPr>
      </w:pPr>
      <w:r w:rsidRPr="003B0793">
        <w:rPr>
          <w:rFonts w:asciiTheme="minorHAnsi" w:hAnsiTheme="minorHAnsi"/>
          <w:color w:val="72AF2F"/>
          <w:sz w:val="16"/>
        </w:rPr>
        <w:sym w:font="Webdings" w:char="F067"/>
      </w:r>
      <w:r w:rsidRPr="003B0793">
        <w:rPr>
          <w:rFonts w:asciiTheme="minorHAnsi" w:hAnsiTheme="minorHAnsi"/>
          <w:sz w:val="16"/>
        </w:rPr>
        <w:t> </w:t>
      </w:r>
      <w:r w:rsidRPr="003B0793">
        <w:rPr>
          <w:rFonts w:asciiTheme="minorHAnsi" w:hAnsiTheme="minorHAnsi"/>
          <w:sz w:val="16"/>
        </w:rPr>
        <w:t xml:space="preserve"> </w:t>
      </w:r>
      <w:proofErr w:type="gramStart"/>
      <w:r w:rsidRPr="003B0793">
        <w:rPr>
          <w:rFonts w:asciiTheme="minorHAnsi" w:hAnsiTheme="minorHAnsi"/>
          <w:sz w:val="16"/>
        </w:rPr>
        <w:t>Green.</w:t>
      </w:r>
      <w:proofErr w:type="gramEnd"/>
      <w:r w:rsidRPr="003B0793">
        <w:rPr>
          <w:rFonts w:asciiTheme="minorHAnsi" w:hAnsiTheme="minorHAnsi"/>
          <w:sz w:val="16"/>
        </w:rPr>
        <w:t xml:space="preserve"> Progress is as expected at this stage of implementation and it is likely that the objective will be achieved. Standard program management practices are sufficient.</w:t>
      </w:r>
    </w:p>
    <w:p w:rsidR="005B5769" w:rsidRPr="003B0793" w:rsidRDefault="005B5769" w:rsidP="005B5769">
      <w:pPr>
        <w:pStyle w:val="Note"/>
        <w:rPr>
          <w:rFonts w:asciiTheme="minorHAnsi" w:hAnsiTheme="minorHAnsi"/>
          <w:sz w:val="16"/>
        </w:rPr>
      </w:pPr>
      <w:r w:rsidRPr="003B0793">
        <w:rPr>
          <w:rFonts w:asciiTheme="minorHAnsi" w:hAnsiTheme="minorHAnsi"/>
          <w:color w:val="E36C0A"/>
          <w:sz w:val="16"/>
        </w:rPr>
        <w:sym w:font="Webdings" w:char="F067"/>
      </w:r>
      <w:r w:rsidRPr="003B0793">
        <w:rPr>
          <w:rFonts w:asciiTheme="minorHAnsi" w:hAnsiTheme="minorHAnsi"/>
          <w:sz w:val="16"/>
        </w:rPr>
        <w:t> </w:t>
      </w:r>
      <w:r w:rsidRPr="003B0793">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5B5769" w:rsidRPr="003B0793" w:rsidRDefault="005B5769" w:rsidP="005B5769">
      <w:pPr>
        <w:pStyle w:val="Note"/>
        <w:rPr>
          <w:rFonts w:asciiTheme="minorHAnsi" w:hAnsiTheme="minorHAnsi"/>
          <w:sz w:val="16"/>
        </w:rPr>
      </w:pPr>
      <w:r w:rsidRPr="003B0793">
        <w:rPr>
          <w:rFonts w:asciiTheme="minorHAnsi" w:hAnsiTheme="minorHAnsi"/>
          <w:color w:val="FF0000"/>
          <w:sz w:val="16"/>
        </w:rPr>
        <w:sym w:font="Webdings" w:char="F067"/>
      </w:r>
      <w:r w:rsidRPr="003B0793">
        <w:rPr>
          <w:rFonts w:asciiTheme="minorHAnsi" w:hAnsiTheme="minorHAnsi"/>
          <w:sz w:val="16"/>
        </w:rPr>
        <w:t> </w:t>
      </w:r>
      <w:r w:rsidRPr="003B0793">
        <w:rPr>
          <w:rFonts w:asciiTheme="minorHAnsi" w:hAnsiTheme="minorHAnsi"/>
          <w:sz w:val="16"/>
        </w:rPr>
        <w:t xml:space="preserve"> </w:t>
      </w:r>
      <w:proofErr w:type="gramStart"/>
      <w:r w:rsidRPr="003B0793">
        <w:rPr>
          <w:rFonts w:asciiTheme="minorHAnsi" w:hAnsiTheme="minorHAnsi"/>
          <w:sz w:val="16"/>
        </w:rPr>
        <w:t>Red.</w:t>
      </w:r>
      <w:proofErr w:type="gramEnd"/>
      <w:r w:rsidRPr="003B0793">
        <w:rPr>
          <w:rFonts w:asciiTheme="minorHAnsi" w:hAnsiTheme="minorHAnsi"/>
          <w:sz w:val="16"/>
        </w:rPr>
        <w:t xml:space="preserve"> Progress is significantly less than expected at this stage of implementation and the objective is not likely to be met given available resources and priorities. Recasting the objective may be required.</w:t>
      </w:r>
    </w:p>
    <w:p w:rsidR="00BE3851" w:rsidRPr="00BF74B2" w:rsidRDefault="000570B8" w:rsidP="00027DDE">
      <w:pPr>
        <w:suppressAutoHyphens w:val="0"/>
        <w:spacing w:before="0" w:after="120" w:line="440" w:lineRule="atLeast"/>
        <w:rPr>
          <w:b/>
          <w:color w:val="auto"/>
        </w:rPr>
      </w:pPr>
      <w:r>
        <w:rPr>
          <w:b/>
          <w:color w:val="auto"/>
        </w:rPr>
        <w:br w:type="page"/>
      </w:r>
      <w:r w:rsidR="006C12B8" w:rsidRPr="00BF74B2">
        <w:rPr>
          <w:b/>
          <w:color w:val="auto"/>
        </w:rPr>
        <w:lastRenderedPageBreak/>
        <w:t>Objective 1: Governance, economic and private sector development reforms</w:t>
      </w:r>
    </w:p>
    <w:p w:rsidR="00E559F7" w:rsidRDefault="006C12B8" w:rsidP="00015316">
      <w:pPr>
        <w:rPr>
          <w:color w:val="auto"/>
        </w:rPr>
      </w:pPr>
      <w:r w:rsidRPr="005D6208">
        <w:rPr>
          <w:color w:val="auto"/>
        </w:rPr>
        <w:t>A</w:t>
      </w:r>
      <w:r w:rsidR="00023C91" w:rsidRPr="005D6208">
        <w:rPr>
          <w:color w:val="auto"/>
        </w:rPr>
        <w:t>ustralia</w:t>
      </w:r>
      <w:r w:rsidR="00BF74B2">
        <w:rPr>
          <w:color w:val="auto"/>
        </w:rPr>
        <w:t xml:space="preserve"> is supporting governance, economic and private sector development reforms in Tonga through the </w:t>
      </w:r>
      <w:r w:rsidR="00BF74B2" w:rsidRPr="00BF74B2">
        <w:rPr>
          <w:i/>
          <w:color w:val="auto"/>
        </w:rPr>
        <w:t>Tonga Economic and Public Sector Governance Program Phase Three</w:t>
      </w:r>
      <w:r w:rsidR="00BF74B2">
        <w:rPr>
          <w:color w:val="auto"/>
        </w:rPr>
        <w:t xml:space="preserve"> (EPSG III)</w:t>
      </w:r>
      <w:r w:rsidR="00B66D1C">
        <w:rPr>
          <w:color w:val="auto"/>
        </w:rPr>
        <w:t xml:space="preserve">, which supports a medium-term program of economic reform, known as the </w:t>
      </w:r>
      <w:r w:rsidR="00B66D1C" w:rsidRPr="00FB4C03">
        <w:rPr>
          <w:i/>
          <w:color w:val="auto"/>
        </w:rPr>
        <w:t xml:space="preserve">Joint Policy Reform Matrix </w:t>
      </w:r>
      <w:r w:rsidR="00B66D1C" w:rsidRPr="007A3529">
        <w:rPr>
          <w:color w:val="auto"/>
        </w:rPr>
        <w:t>(JPRM)</w:t>
      </w:r>
      <w:r w:rsidR="00B66D1C">
        <w:rPr>
          <w:color w:val="auto"/>
        </w:rPr>
        <w:t xml:space="preserve"> , agreed by the Government of Tonga and like-minded donors including Australia</w:t>
      </w:r>
      <w:r w:rsidR="00BF74B2">
        <w:rPr>
          <w:color w:val="auto"/>
        </w:rPr>
        <w:t xml:space="preserve">. </w:t>
      </w:r>
      <w:r w:rsidR="00B66D1C">
        <w:rPr>
          <w:color w:val="auto"/>
        </w:rPr>
        <w:t xml:space="preserve">Other bilateral investments that support Objective 1 include </w:t>
      </w:r>
      <w:r w:rsidR="00E5053E">
        <w:rPr>
          <w:color w:val="auto"/>
        </w:rPr>
        <w:t>t</w:t>
      </w:r>
      <w:r w:rsidR="00050A46">
        <w:rPr>
          <w:color w:val="auto"/>
        </w:rPr>
        <w:t xml:space="preserve">he </w:t>
      </w:r>
      <w:r w:rsidR="00050A46" w:rsidRPr="00632210">
        <w:rPr>
          <w:i/>
          <w:color w:val="auto"/>
        </w:rPr>
        <w:t>Outer Islands Renewable Energy Project</w:t>
      </w:r>
      <w:r w:rsidR="00B66D1C">
        <w:rPr>
          <w:i/>
          <w:color w:val="auto"/>
        </w:rPr>
        <w:t xml:space="preserve"> </w:t>
      </w:r>
      <w:r w:rsidR="00B66D1C">
        <w:rPr>
          <w:color w:val="auto"/>
        </w:rPr>
        <w:t>(co-financed with the Asian Development Bank)</w:t>
      </w:r>
      <w:r w:rsidR="00050A46">
        <w:rPr>
          <w:color w:val="auto"/>
        </w:rPr>
        <w:t xml:space="preserve">; the </w:t>
      </w:r>
      <w:r w:rsidR="00B66D1C">
        <w:rPr>
          <w:i/>
          <w:color w:val="auto"/>
        </w:rPr>
        <w:t xml:space="preserve">Tonga Energy Road Map </w:t>
      </w:r>
      <w:r w:rsidR="00B66D1C">
        <w:rPr>
          <w:color w:val="auto"/>
        </w:rPr>
        <w:t>and</w:t>
      </w:r>
      <w:r w:rsidR="00C56C7E">
        <w:rPr>
          <w:color w:val="auto"/>
        </w:rPr>
        <w:t xml:space="preserve"> the </w:t>
      </w:r>
      <w:r w:rsidR="00C56C7E" w:rsidRPr="00632210">
        <w:rPr>
          <w:i/>
          <w:color w:val="auto"/>
        </w:rPr>
        <w:t>Tonga Transport Consolidation Project</w:t>
      </w:r>
      <w:r w:rsidR="00F330F0">
        <w:rPr>
          <w:i/>
          <w:color w:val="auto"/>
        </w:rPr>
        <w:t xml:space="preserve"> </w:t>
      </w:r>
      <w:r w:rsidR="00F330F0">
        <w:rPr>
          <w:color w:val="auto"/>
        </w:rPr>
        <w:t>(both co-financed with the World Bank)</w:t>
      </w:r>
      <w:r w:rsidR="00C56C7E">
        <w:rPr>
          <w:color w:val="auto"/>
        </w:rPr>
        <w:t xml:space="preserve">; and </w:t>
      </w:r>
      <w:r w:rsidR="0092458E">
        <w:rPr>
          <w:color w:val="auto"/>
        </w:rPr>
        <w:t xml:space="preserve">two </w:t>
      </w:r>
      <w:r w:rsidR="00C56C7E">
        <w:rPr>
          <w:color w:val="auto"/>
        </w:rPr>
        <w:t xml:space="preserve">private sector development </w:t>
      </w:r>
      <w:r w:rsidR="00632210">
        <w:rPr>
          <w:color w:val="auto"/>
        </w:rPr>
        <w:t>pilot project</w:t>
      </w:r>
      <w:r w:rsidR="0092458E">
        <w:rPr>
          <w:color w:val="auto"/>
        </w:rPr>
        <w:t>s</w:t>
      </w:r>
      <w:r w:rsidR="00C56C7E">
        <w:rPr>
          <w:color w:val="auto"/>
        </w:rPr>
        <w:t xml:space="preserve"> in </w:t>
      </w:r>
      <w:proofErr w:type="spellStart"/>
      <w:r w:rsidR="00C56C7E">
        <w:rPr>
          <w:color w:val="auto"/>
        </w:rPr>
        <w:t>Vava’u</w:t>
      </w:r>
      <w:proofErr w:type="spellEnd"/>
      <w:r w:rsidR="00C56C7E">
        <w:rPr>
          <w:color w:val="auto"/>
        </w:rPr>
        <w:t xml:space="preserve"> and ‘</w:t>
      </w:r>
      <w:proofErr w:type="spellStart"/>
      <w:r w:rsidR="00C56C7E">
        <w:rPr>
          <w:color w:val="auto"/>
        </w:rPr>
        <w:t>Eua</w:t>
      </w:r>
      <w:proofErr w:type="spellEnd"/>
      <w:r w:rsidR="001638A1">
        <w:rPr>
          <w:color w:val="auto"/>
        </w:rPr>
        <w:t xml:space="preserve"> -</w:t>
      </w:r>
      <w:r w:rsidR="00C56C7E">
        <w:rPr>
          <w:color w:val="auto"/>
        </w:rPr>
        <w:t xml:space="preserve"> aimed at strengthening the vanilla industry </w:t>
      </w:r>
      <w:r w:rsidR="00E5053E">
        <w:rPr>
          <w:color w:val="auto"/>
        </w:rPr>
        <w:t xml:space="preserve">and the </w:t>
      </w:r>
      <w:r w:rsidR="00C56C7E">
        <w:rPr>
          <w:color w:val="auto"/>
        </w:rPr>
        <w:t xml:space="preserve"> </w:t>
      </w:r>
      <w:r w:rsidR="00C24786">
        <w:rPr>
          <w:color w:val="auto"/>
        </w:rPr>
        <w:t xml:space="preserve">agricultural </w:t>
      </w:r>
      <w:r w:rsidR="00C56C7E">
        <w:rPr>
          <w:color w:val="auto"/>
        </w:rPr>
        <w:t>sector</w:t>
      </w:r>
      <w:r w:rsidR="00E5053E">
        <w:rPr>
          <w:color w:val="auto"/>
        </w:rPr>
        <w:t xml:space="preserve"> more broadly</w:t>
      </w:r>
      <w:r w:rsidR="005A51B0">
        <w:rPr>
          <w:color w:val="auto"/>
        </w:rPr>
        <w:t xml:space="preserve">. </w:t>
      </w:r>
      <w:r w:rsidR="007D6ECD">
        <w:rPr>
          <w:color w:val="auto"/>
        </w:rPr>
        <w:t>Und</w:t>
      </w:r>
      <w:r w:rsidR="00831678">
        <w:rPr>
          <w:color w:val="auto"/>
        </w:rPr>
        <w:t>e</w:t>
      </w:r>
      <w:r w:rsidR="007D6ECD">
        <w:rPr>
          <w:color w:val="auto"/>
        </w:rPr>
        <w:t>r the JP</w:t>
      </w:r>
      <w:r w:rsidR="00E5053E">
        <w:rPr>
          <w:color w:val="auto"/>
        </w:rPr>
        <w:t>R</w:t>
      </w:r>
      <w:r w:rsidR="007D6ECD">
        <w:rPr>
          <w:color w:val="auto"/>
        </w:rPr>
        <w:t xml:space="preserve">M, DFAT and other development partners </w:t>
      </w:r>
      <w:r w:rsidR="00C47A13">
        <w:rPr>
          <w:color w:val="auto"/>
        </w:rPr>
        <w:t>supported</w:t>
      </w:r>
      <w:r w:rsidR="007D6ECD">
        <w:rPr>
          <w:color w:val="auto"/>
        </w:rPr>
        <w:t xml:space="preserve"> the Government of Tonga achieve its </w:t>
      </w:r>
      <w:r w:rsidR="00C47A13">
        <w:rPr>
          <w:color w:val="auto"/>
        </w:rPr>
        <w:t xml:space="preserve">reform program, </w:t>
      </w:r>
      <w:r w:rsidR="00500222">
        <w:rPr>
          <w:color w:val="auto"/>
        </w:rPr>
        <w:t xml:space="preserve">which </w:t>
      </w:r>
      <w:r w:rsidR="00C652E7">
        <w:rPr>
          <w:color w:val="auto"/>
        </w:rPr>
        <w:t xml:space="preserve">delivered the following </w:t>
      </w:r>
      <w:r w:rsidR="00500222">
        <w:rPr>
          <w:color w:val="auto"/>
        </w:rPr>
        <w:t>key achievements</w:t>
      </w:r>
      <w:r w:rsidR="005E019A">
        <w:rPr>
          <w:color w:val="auto"/>
        </w:rPr>
        <w:t xml:space="preserve"> in 2015-16</w:t>
      </w:r>
      <w:r w:rsidR="006A41E9">
        <w:rPr>
          <w:color w:val="auto"/>
        </w:rPr>
        <w:t>:</w:t>
      </w:r>
      <w:r w:rsidR="00082215">
        <w:rPr>
          <w:color w:val="auto"/>
        </w:rPr>
        <w:t xml:space="preserve"> </w:t>
      </w:r>
    </w:p>
    <w:p w:rsidR="00D83BD2" w:rsidRDefault="00D83BD2" w:rsidP="009B050A">
      <w:pPr>
        <w:pStyle w:val="ListParagraph"/>
        <w:numPr>
          <w:ilvl w:val="0"/>
          <w:numId w:val="41"/>
        </w:numPr>
        <w:rPr>
          <w:color w:val="auto"/>
        </w:rPr>
      </w:pPr>
      <w:r w:rsidRPr="00E559F7">
        <w:rPr>
          <w:color w:val="auto"/>
        </w:rPr>
        <w:t>Cabinet approval of a new Medium-Term Debt Management Strategy</w:t>
      </w:r>
      <w:r>
        <w:rPr>
          <w:color w:val="auto"/>
        </w:rPr>
        <w:t xml:space="preserve"> to assist in managing the Government’s debt to ensure it is sustainable. </w:t>
      </w:r>
      <w:r w:rsidRPr="00373922">
        <w:rPr>
          <w:color w:val="auto"/>
        </w:rPr>
        <w:t xml:space="preserve">The </w:t>
      </w:r>
      <w:r>
        <w:rPr>
          <w:color w:val="auto"/>
        </w:rPr>
        <w:t>strategy</w:t>
      </w:r>
      <w:r w:rsidRPr="00373922">
        <w:rPr>
          <w:color w:val="auto"/>
        </w:rPr>
        <w:t xml:space="preserve"> </w:t>
      </w:r>
      <w:r>
        <w:rPr>
          <w:color w:val="auto"/>
        </w:rPr>
        <w:t xml:space="preserve">has been </w:t>
      </w:r>
      <w:r w:rsidRPr="00373922">
        <w:rPr>
          <w:color w:val="auto"/>
        </w:rPr>
        <w:t>made available to the public online</w:t>
      </w:r>
      <w:r>
        <w:rPr>
          <w:color w:val="auto"/>
        </w:rPr>
        <w:t>;</w:t>
      </w:r>
    </w:p>
    <w:p w:rsidR="00373922" w:rsidRPr="009B050A" w:rsidRDefault="00E5053E" w:rsidP="009B050A">
      <w:pPr>
        <w:pStyle w:val="ListParagraph"/>
        <w:numPr>
          <w:ilvl w:val="0"/>
          <w:numId w:val="41"/>
        </w:numPr>
        <w:rPr>
          <w:color w:val="auto"/>
        </w:rPr>
      </w:pPr>
      <w:r>
        <w:rPr>
          <w:color w:val="auto"/>
        </w:rPr>
        <w:t xml:space="preserve">parliamentary </w:t>
      </w:r>
      <w:r w:rsidR="00C049E5">
        <w:rPr>
          <w:color w:val="auto"/>
        </w:rPr>
        <w:t xml:space="preserve">approval of a new Communications Act and a Communications Commission Act that will establish an independent regulator, </w:t>
      </w:r>
      <w:r w:rsidR="00021517" w:rsidRPr="00F11A8B">
        <w:rPr>
          <w:color w:val="auto"/>
        </w:rPr>
        <w:t>which will encourage</w:t>
      </w:r>
      <w:r w:rsidR="00C049E5" w:rsidRPr="00F11A8B">
        <w:rPr>
          <w:color w:val="auto"/>
        </w:rPr>
        <w:t xml:space="preserve"> communications</w:t>
      </w:r>
      <w:r w:rsidR="00021517" w:rsidRPr="00F11A8B">
        <w:rPr>
          <w:color w:val="auto"/>
        </w:rPr>
        <w:t xml:space="preserve"> providers to operate efficiently and ensure consumers face cost-reflective pricing</w:t>
      </w:r>
      <w:r w:rsidR="001638A1">
        <w:rPr>
          <w:color w:val="auto"/>
        </w:rPr>
        <w:t>;</w:t>
      </w:r>
    </w:p>
    <w:p w:rsidR="00373922" w:rsidRPr="00373922" w:rsidRDefault="00E5053E" w:rsidP="00373922">
      <w:pPr>
        <w:pStyle w:val="ListParagraph"/>
        <w:numPr>
          <w:ilvl w:val="0"/>
          <w:numId w:val="41"/>
        </w:numPr>
        <w:rPr>
          <w:color w:val="auto"/>
        </w:rPr>
      </w:pPr>
      <w:proofErr w:type="gramStart"/>
      <w:r>
        <w:rPr>
          <w:color w:val="auto"/>
        </w:rPr>
        <w:t>r</w:t>
      </w:r>
      <w:r w:rsidRPr="00E559F7">
        <w:rPr>
          <w:color w:val="auto"/>
        </w:rPr>
        <w:t>eform</w:t>
      </w:r>
      <w:proofErr w:type="gramEnd"/>
      <w:r w:rsidRPr="00E559F7">
        <w:rPr>
          <w:color w:val="auto"/>
        </w:rPr>
        <w:t xml:space="preserve"> </w:t>
      </w:r>
      <w:r w:rsidR="00C049E5" w:rsidRPr="00E559F7">
        <w:rPr>
          <w:color w:val="auto"/>
        </w:rPr>
        <w:t>of state-owned infrastructure</w:t>
      </w:r>
      <w:r w:rsidR="00C049E5">
        <w:rPr>
          <w:color w:val="auto"/>
        </w:rPr>
        <w:t xml:space="preserve"> with assessments of Public Enterprises for privatization, public-private partnership, or to remain with the government. </w:t>
      </w:r>
      <w:r w:rsidR="00021517" w:rsidRPr="00F11A8B">
        <w:rPr>
          <w:color w:val="auto"/>
        </w:rPr>
        <w:t>Assessments have been undertaken to explore opportunities for full or partial privatisation of government owned enterprises to p</w:t>
      </w:r>
      <w:r w:rsidR="000A22E5" w:rsidRPr="00F11A8B">
        <w:rPr>
          <w:color w:val="auto"/>
        </w:rPr>
        <w:t>romote more efficient operation</w:t>
      </w:r>
      <w:r w:rsidR="00021517" w:rsidRPr="00F11A8B">
        <w:rPr>
          <w:color w:val="auto"/>
        </w:rPr>
        <w:t xml:space="preserve"> and to enhance accountability and transparency. As a result, Tonga Forest Products Ltd will be managed by a New Zealand-owned co</w:t>
      </w:r>
      <w:r w:rsidR="00284943" w:rsidRPr="00F11A8B">
        <w:rPr>
          <w:color w:val="auto"/>
        </w:rPr>
        <w:t>mpany under a 50 year agreement</w:t>
      </w:r>
      <w:r w:rsidR="00021517" w:rsidRPr="00F11A8B">
        <w:rPr>
          <w:color w:val="auto"/>
        </w:rPr>
        <w:t xml:space="preserve"> and the Tonga Water Board will outsource asset maintenance and pipe-laying services to the private sector</w:t>
      </w:r>
      <w:r w:rsidR="00D83BD2">
        <w:rPr>
          <w:color w:val="auto"/>
        </w:rPr>
        <w:t>.</w:t>
      </w:r>
    </w:p>
    <w:p w:rsidR="007D6ECD" w:rsidRPr="007D6ECD" w:rsidRDefault="007D6ECD" w:rsidP="007D6ECD">
      <w:pPr>
        <w:rPr>
          <w:color w:val="auto"/>
        </w:rPr>
      </w:pPr>
      <w:r>
        <w:rPr>
          <w:color w:val="auto"/>
        </w:rPr>
        <w:t>Australia also directly supported:</w:t>
      </w:r>
    </w:p>
    <w:p w:rsidR="00C049E5" w:rsidRDefault="00E5053E" w:rsidP="00C049E5">
      <w:pPr>
        <w:pStyle w:val="ListParagraph"/>
        <w:numPr>
          <w:ilvl w:val="0"/>
          <w:numId w:val="41"/>
        </w:numPr>
        <w:rPr>
          <w:color w:val="auto"/>
        </w:rPr>
      </w:pPr>
      <w:proofErr w:type="gramStart"/>
      <w:r>
        <w:rPr>
          <w:color w:val="auto"/>
        </w:rPr>
        <w:t>the</w:t>
      </w:r>
      <w:proofErr w:type="gramEnd"/>
      <w:r>
        <w:rPr>
          <w:color w:val="auto"/>
        </w:rPr>
        <w:t xml:space="preserve"> </w:t>
      </w:r>
      <w:r w:rsidR="007D6ECD">
        <w:rPr>
          <w:color w:val="auto"/>
        </w:rPr>
        <w:t>i</w:t>
      </w:r>
      <w:r w:rsidR="00C049E5">
        <w:rPr>
          <w:color w:val="auto"/>
        </w:rPr>
        <w:t xml:space="preserve">mplementation of </w:t>
      </w:r>
      <w:r w:rsidR="00C049E5" w:rsidRPr="000D4ADC">
        <w:rPr>
          <w:color w:val="auto"/>
        </w:rPr>
        <w:t>the Tonga Procurement Reform Strategy</w:t>
      </w:r>
      <w:r w:rsidR="00191E58">
        <w:rPr>
          <w:color w:val="auto"/>
        </w:rPr>
        <w:t>. DFAT-</w:t>
      </w:r>
      <w:r w:rsidR="004E0F73">
        <w:rPr>
          <w:color w:val="auto"/>
        </w:rPr>
        <w:t xml:space="preserve">funded advisers supported </w:t>
      </w:r>
      <w:r w:rsidR="00C049E5" w:rsidRPr="000D4ADC">
        <w:rPr>
          <w:color w:val="auto"/>
        </w:rPr>
        <w:t>improve</w:t>
      </w:r>
      <w:r w:rsidR="004E0F73">
        <w:rPr>
          <w:color w:val="auto"/>
        </w:rPr>
        <w:t>d</w:t>
      </w:r>
      <w:r w:rsidR="00C049E5" w:rsidRPr="000D4ADC">
        <w:rPr>
          <w:color w:val="auto"/>
        </w:rPr>
        <w:t xml:space="preserve"> </w:t>
      </w:r>
      <w:r w:rsidR="004E0F73">
        <w:rPr>
          <w:color w:val="auto"/>
        </w:rPr>
        <w:t xml:space="preserve">procurement </w:t>
      </w:r>
      <w:r w:rsidR="00C049E5" w:rsidRPr="000D4ADC">
        <w:rPr>
          <w:color w:val="auto"/>
        </w:rPr>
        <w:t>compliance in the public sector and increase</w:t>
      </w:r>
      <w:r w:rsidR="004E0F73">
        <w:rPr>
          <w:color w:val="auto"/>
        </w:rPr>
        <w:t>d</w:t>
      </w:r>
      <w:r w:rsidR="00C049E5" w:rsidRPr="000D4ADC">
        <w:rPr>
          <w:color w:val="auto"/>
        </w:rPr>
        <w:t xml:space="preserve"> engagement with </w:t>
      </w:r>
      <w:r w:rsidR="00C049E5">
        <w:rPr>
          <w:color w:val="auto"/>
        </w:rPr>
        <w:t>the private sector by encouraging more local suppliers to bid</w:t>
      </w:r>
      <w:r w:rsidR="00C1322D">
        <w:rPr>
          <w:color w:val="auto"/>
        </w:rPr>
        <w:t>; and</w:t>
      </w:r>
    </w:p>
    <w:p w:rsidR="00C049E5" w:rsidRPr="00CC3D0A" w:rsidRDefault="00E5053E" w:rsidP="00C049E5">
      <w:pPr>
        <w:pStyle w:val="ListParagraph"/>
        <w:numPr>
          <w:ilvl w:val="0"/>
          <w:numId w:val="41"/>
        </w:numPr>
        <w:rPr>
          <w:color w:val="auto"/>
        </w:rPr>
      </w:pPr>
      <w:proofErr w:type="gramStart"/>
      <w:r>
        <w:rPr>
          <w:color w:val="auto"/>
        </w:rPr>
        <w:t>the</w:t>
      </w:r>
      <w:proofErr w:type="gramEnd"/>
      <w:r>
        <w:rPr>
          <w:color w:val="auto"/>
        </w:rPr>
        <w:t xml:space="preserve"> </w:t>
      </w:r>
      <w:r w:rsidR="007D6ECD">
        <w:rPr>
          <w:color w:val="auto"/>
        </w:rPr>
        <w:t xml:space="preserve">introduction of </w:t>
      </w:r>
      <w:r w:rsidR="00C049E5" w:rsidRPr="00CC3D0A">
        <w:rPr>
          <w:color w:val="auto"/>
        </w:rPr>
        <w:t>a new Revenue Management System</w:t>
      </w:r>
      <w:r w:rsidR="004E0F73">
        <w:rPr>
          <w:color w:val="auto"/>
        </w:rPr>
        <w:t xml:space="preserve"> </w:t>
      </w:r>
      <w:r w:rsidR="00C049E5" w:rsidRPr="00CC3D0A">
        <w:rPr>
          <w:color w:val="auto"/>
        </w:rPr>
        <w:t>within the Ministry of Revenue and Customs</w:t>
      </w:r>
      <w:r w:rsidR="00284943">
        <w:rPr>
          <w:color w:val="auto"/>
        </w:rPr>
        <w:t xml:space="preserve"> (MRC)</w:t>
      </w:r>
      <w:r w:rsidR="004E0F73">
        <w:rPr>
          <w:color w:val="auto"/>
        </w:rPr>
        <w:t xml:space="preserve">. </w:t>
      </w:r>
      <w:r w:rsidR="008D29DF">
        <w:rPr>
          <w:color w:val="auto"/>
        </w:rPr>
        <w:t>In partnership with</w:t>
      </w:r>
      <w:r w:rsidR="004E0F73" w:rsidRPr="00F11A8B">
        <w:rPr>
          <w:color w:val="auto"/>
        </w:rPr>
        <w:t xml:space="preserve"> </w:t>
      </w:r>
      <w:r w:rsidR="003809E0" w:rsidRPr="00F11A8B">
        <w:rPr>
          <w:color w:val="auto"/>
        </w:rPr>
        <w:t>the Asian Development Bank</w:t>
      </w:r>
      <w:r w:rsidR="004E0F73" w:rsidRPr="00F11A8B">
        <w:rPr>
          <w:color w:val="auto"/>
        </w:rPr>
        <w:t xml:space="preserve"> the new system </w:t>
      </w:r>
      <w:r w:rsidR="003809E0" w:rsidRPr="00F11A8B">
        <w:rPr>
          <w:color w:val="auto"/>
        </w:rPr>
        <w:t xml:space="preserve">is </w:t>
      </w:r>
      <w:r w:rsidR="005B358C" w:rsidRPr="00F11A8B">
        <w:rPr>
          <w:color w:val="auto"/>
        </w:rPr>
        <w:t xml:space="preserve">supporting the MRC to collect and report on government revenue </w:t>
      </w:r>
      <w:r>
        <w:rPr>
          <w:color w:val="auto"/>
        </w:rPr>
        <w:t>and</w:t>
      </w:r>
      <w:r w:rsidR="005B358C" w:rsidRPr="00F11A8B">
        <w:rPr>
          <w:color w:val="auto"/>
        </w:rPr>
        <w:t xml:space="preserve"> boost domestic resource mobilisation</w:t>
      </w:r>
      <w:r w:rsidR="00191D5A">
        <w:rPr>
          <w:color w:val="auto"/>
        </w:rPr>
        <w:t>.</w:t>
      </w:r>
    </w:p>
    <w:p w:rsidR="00567F1B" w:rsidRDefault="00C47A13" w:rsidP="00015316">
      <w:pPr>
        <w:rPr>
          <w:color w:val="auto"/>
        </w:rPr>
      </w:pPr>
      <w:r>
        <w:rPr>
          <w:color w:val="auto"/>
        </w:rPr>
        <w:t xml:space="preserve">In delivering </w:t>
      </w:r>
      <w:r w:rsidR="0092458E">
        <w:rPr>
          <w:color w:val="auto"/>
        </w:rPr>
        <w:t>activities under this objective</w:t>
      </w:r>
      <w:r>
        <w:rPr>
          <w:color w:val="auto"/>
        </w:rPr>
        <w:t xml:space="preserve">, </w:t>
      </w:r>
      <w:r w:rsidR="00556ED6">
        <w:rPr>
          <w:color w:val="auto"/>
        </w:rPr>
        <w:t xml:space="preserve">Australia </w:t>
      </w:r>
      <w:r w:rsidR="00E5053E">
        <w:rPr>
          <w:color w:val="auto"/>
        </w:rPr>
        <w:t xml:space="preserve">worked </w:t>
      </w:r>
      <w:r w:rsidR="00556ED6">
        <w:rPr>
          <w:color w:val="auto"/>
        </w:rPr>
        <w:t>closely with multilateral and bilateral development partners</w:t>
      </w:r>
      <w:r w:rsidR="00827648">
        <w:rPr>
          <w:color w:val="auto"/>
        </w:rPr>
        <w:t xml:space="preserve"> including New Zealand, </w:t>
      </w:r>
      <w:r w:rsidR="00222949">
        <w:rPr>
          <w:color w:val="auto"/>
        </w:rPr>
        <w:t xml:space="preserve">the </w:t>
      </w:r>
      <w:r w:rsidR="00827648">
        <w:rPr>
          <w:color w:val="auto"/>
        </w:rPr>
        <w:t>World Bank, Asian Development Bank</w:t>
      </w:r>
      <w:r w:rsidR="00222949">
        <w:rPr>
          <w:color w:val="auto"/>
        </w:rPr>
        <w:t xml:space="preserve"> and the European Union</w:t>
      </w:r>
      <w:r w:rsidR="00FB32F9">
        <w:rPr>
          <w:color w:val="auto"/>
        </w:rPr>
        <w:t>.</w:t>
      </w:r>
      <w:r w:rsidR="00556ED6">
        <w:rPr>
          <w:color w:val="auto"/>
        </w:rPr>
        <w:t xml:space="preserve"> </w:t>
      </w:r>
      <w:r w:rsidR="00C56C7E">
        <w:rPr>
          <w:color w:val="auto"/>
        </w:rPr>
        <w:t xml:space="preserve">The JPRM, in particular, </w:t>
      </w:r>
      <w:r w:rsidR="004A6622">
        <w:rPr>
          <w:color w:val="auto"/>
        </w:rPr>
        <w:t xml:space="preserve">has proven to be an </w:t>
      </w:r>
      <w:r w:rsidR="00427AF3">
        <w:rPr>
          <w:color w:val="auto"/>
        </w:rPr>
        <w:t xml:space="preserve">efficient and effective mechanism for donor harmonisation in </w:t>
      </w:r>
      <w:r w:rsidR="00082215">
        <w:rPr>
          <w:color w:val="auto"/>
        </w:rPr>
        <w:t>Tonga</w:t>
      </w:r>
      <w:r w:rsidR="00F86706">
        <w:rPr>
          <w:color w:val="auto"/>
        </w:rPr>
        <w:t>.</w:t>
      </w:r>
      <w:r w:rsidR="00166835">
        <w:rPr>
          <w:rStyle w:val="FootnoteReference"/>
          <w:color w:val="auto"/>
        </w:rPr>
        <w:footnoteReference w:id="2"/>
      </w:r>
      <w:r w:rsidR="005A51B0">
        <w:rPr>
          <w:color w:val="auto"/>
        </w:rPr>
        <w:t xml:space="preserve"> </w:t>
      </w:r>
      <w:r w:rsidR="00B76357">
        <w:rPr>
          <w:color w:val="auto"/>
        </w:rPr>
        <w:t>The performance benchmark for this objective has been met, with the</w:t>
      </w:r>
      <w:r w:rsidR="00403CCA">
        <w:rPr>
          <w:color w:val="auto"/>
        </w:rPr>
        <w:t xml:space="preserve"> Government of Tonga </w:t>
      </w:r>
      <w:r w:rsidR="00B76357">
        <w:rPr>
          <w:color w:val="auto"/>
        </w:rPr>
        <w:t>having</w:t>
      </w:r>
      <w:r w:rsidR="00403CCA">
        <w:rPr>
          <w:color w:val="auto"/>
        </w:rPr>
        <w:t xml:space="preserve"> satisfactorily completed</w:t>
      </w:r>
      <w:r w:rsidR="009C6C45" w:rsidRPr="009C6C45">
        <w:rPr>
          <w:color w:val="auto"/>
        </w:rPr>
        <w:t xml:space="preserve"> the agreed 2015-16 economic, </w:t>
      </w:r>
      <w:r w:rsidR="00556ED6">
        <w:rPr>
          <w:color w:val="auto"/>
        </w:rPr>
        <w:t>public financial management</w:t>
      </w:r>
      <w:r w:rsidR="009C6C45" w:rsidRPr="009C6C45">
        <w:rPr>
          <w:color w:val="auto"/>
        </w:rPr>
        <w:t xml:space="preserve"> and private sector reform actions </w:t>
      </w:r>
      <w:r w:rsidR="00403CCA">
        <w:rPr>
          <w:color w:val="auto"/>
        </w:rPr>
        <w:t>under</w:t>
      </w:r>
      <w:r w:rsidR="009C6C45" w:rsidRPr="009C6C45">
        <w:rPr>
          <w:color w:val="auto"/>
        </w:rPr>
        <w:t xml:space="preserve"> the JPR</w:t>
      </w:r>
      <w:r w:rsidR="00567F1B">
        <w:rPr>
          <w:color w:val="auto"/>
        </w:rPr>
        <w:t>M</w:t>
      </w:r>
      <w:r w:rsidR="00261491">
        <w:rPr>
          <w:color w:val="auto"/>
        </w:rPr>
        <w:t xml:space="preserve">. </w:t>
      </w:r>
      <w:r w:rsidR="00FB4C03">
        <w:rPr>
          <w:color w:val="auto"/>
        </w:rPr>
        <w:t xml:space="preserve"> While t</w:t>
      </w:r>
      <w:r w:rsidR="00261491">
        <w:rPr>
          <w:color w:val="auto"/>
        </w:rPr>
        <w:t>he technical capacity and support of multilateral partners</w:t>
      </w:r>
      <w:r w:rsidR="004A6622">
        <w:rPr>
          <w:color w:val="auto"/>
        </w:rPr>
        <w:t xml:space="preserve"> is important to achievements under this objective</w:t>
      </w:r>
      <w:r w:rsidR="00261491">
        <w:rPr>
          <w:color w:val="auto"/>
        </w:rPr>
        <w:t xml:space="preserve">, there </w:t>
      </w:r>
      <w:r w:rsidR="004A6622">
        <w:rPr>
          <w:color w:val="auto"/>
        </w:rPr>
        <w:t xml:space="preserve">is </w:t>
      </w:r>
      <w:r w:rsidR="00284943">
        <w:rPr>
          <w:color w:val="auto"/>
        </w:rPr>
        <w:t>an</w:t>
      </w:r>
      <w:r w:rsidR="004A6622">
        <w:rPr>
          <w:color w:val="auto"/>
        </w:rPr>
        <w:t xml:space="preserve"> opportunity</w:t>
      </w:r>
      <w:r w:rsidR="00261491">
        <w:rPr>
          <w:color w:val="auto"/>
        </w:rPr>
        <w:t xml:space="preserve"> for </w:t>
      </w:r>
      <w:r w:rsidR="00284943">
        <w:rPr>
          <w:color w:val="auto"/>
        </w:rPr>
        <w:t>deeper engagement</w:t>
      </w:r>
      <w:r w:rsidR="004A6622">
        <w:rPr>
          <w:color w:val="auto"/>
        </w:rPr>
        <w:t xml:space="preserve"> and greater coordination of donor technical input</w:t>
      </w:r>
      <w:r w:rsidR="00567F1B">
        <w:rPr>
          <w:color w:val="auto"/>
        </w:rPr>
        <w:t xml:space="preserve">.  </w:t>
      </w:r>
      <w:r w:rsidR="00937357">
        <w:rPr>
          <w:color w:val="auto"/>
        </w:rPr>
        <w:t xml:space="preserve"> </w:t>
      </w:r>
    </w:p>
    <w:p w:rsidR="00567F1B" w:rsidRPr="00567F1B" w:rsidRDefault="00E5053E" w:rsidP="00567F1B">
      <w:pPr>
        <w:rPr>
          <w:rFonts w:eastAsia="Times New Roman"/>
          <w:iCs/>
          <w:color w:val="auto"/>
          <w:szCs w:val="17"/>
        </w:rPr>
      </w:pPr>
      <w:r>
        <w:rPr>
          <w:color w:val="auto"/>
        </w:rPr>
        <w:t>O</w:t>
      </w:r>
      <w:r w:rsidR="00F00797">
        <w:rPr>
          <w:color w:val="auto"/>
        </w:rPr>
        <w:t xml:space="preserve">ne investment </w:t>
      </w:r>
      <w:r>
        <w:rPr>
          <w:color w:val="auto"/>
        </w:rPr>
        <w:t xml:space="preserve">did </w:t>
      </w:r>
      <w:r w:rsidR="00F00797">
        <w:rPr>
          <w:color w:val="auto"/>
        </w:rPr>
        <w:t xml:space="preserve">not perform as expected. </w:t>
      </w:r>
      <w:r w:rsidR="00F00797" w:rsidRPr="00FB4C03">
        <w:rPr>
          <w:i/>
          <w:color w:val="auto"/>
        </w:rPr>
        <w:t>The Tonga Energy Road Map (TERM)</w:t>
      </w:r>
      <w:r w:rsidR="00F00797">
        <w:rPr>
          <w:color w:val="auto"/>
        </w:rPr>
        <w:t xml:space="preserve"> is an overarching Tongan G</w:t>
      </w:r>
      <w:r w:rsidR="00F00797" w:rsidRPr="00567F1B">
        <w:rPr>
          <w:color w:val="auto"/>
        </w:rPr>
        <w:t>overnment plan, developed with World Bank and Australian support, to improve access</w:t>
      </w:r>
      <w:r w:rsidR="00284943">
        <w:rPr>
          <w:color w:val="auto"/>
        </w:rPr>
        <w:t xml:space="preserve"> to</w:t>
      </w:r>
      <w:r w:rsidR="00F00797" w:rsidRPr="00567F1B">
        <w:rPr>
          <w:color w:val="auto"/>
        </w:rPr>
        <w:t xml:space="preserve"> energy for all of Tonga’s people. The World Bank-led TERM Institutional and Regulatory Framework Strengthening Project, which Australia co-finances, was designed to meet </w:t>
      </w:r>
      <w:r w:rsidR="00F00797">
        <w:rPr>
          <w:color w:val="auto"/>
        </w:rPr>
        <w:t>early TERM goals. There have been significant delays in implementation throughout the life of this investment, and it has been identified as an Investment Requirement Improvement. However, following a 12 month extension, a</w:t>
      </w:r>
      <w:r w:rsidR="00B63158" w:rsidRPr="00B80F28">
        <w:rPr>
          <w:color w:val="auto"/>
        </w:rPr>
        <w:t xml:space="preserve">ll activities </w:t>
      </w:r>
      <w:r w:rsidR="00B63158">
        <w:rPr>
          <w:color w:val="auto"/>
        </w:rPr>
        <w:t xml:space="preserve">under this investment </w:t>
      </w:r>
      <w:r w:rsidR="00B63158" w:rsidRPr="00B80F28">
        <w:rPr>
          <w:color w:val="auto"/>
        </w:rPr>
        <w:t>are now on tra</w:t>
      </w:r>
      <w:r w:rsidR="00B63158">
        <w:rPr>
          <w:color w:val="auto"/>
        </w:rPr>
        <w:t>ck to be completed by December 2016</w:t>
      </w:r>
      <w:r w:rsidR="00F00797">
        <w:rPr>
          <w:color w:val="auto"/>
        </w:rPr>
        <w:t>. World Bank communication and reporting to DFAT improved throughout 2015-16</w:t>
      </w:r>
      <w:r w:rsidR="00B63158" w:rsidRPr="007773EA">
        <w:rPr>
          <w:rFonts w:eastAsia="Times New Roman"/>
          <w:iCs/>
          <w:color w:val="auto"/>
          <w:szCs w:val="17"/>
        </w:rPr>
        <w:t>.</w:t>
      </w:r>
    </w:p>
    <w:p w:rsidR="00567F1B" w:rsidRDefault="00271FC9" w:rsidP="00567F1B">
      <w:pPr>
        <w:rPr>
          <w:color w:val="auto"/>
        </w:rPr>
      </w:pPr>
      <w:r>
        <w:rPr>
          <w:color w:val="auto"/>
        </w:rPr>
        <w:lastRenderedPageBreak/>
        <w:t xml:space="preserve">Overall </w:t>
      </w:r>
      <w:r w:rsidR="00567F1B">
        <w:rPr>
          <w:color w:val="auto"/>
        </w:rPr>
        <w:t xml:space="preserve">performance under this objective has been enhanced by the achievements and contributions from a range of other complementary Australian-funded regional programs including: stimulating trade through the </w:t>
      </w:r>
      <w:r w:rsidR="00567F1B" w:rsidRPr="008C43D8">
        <w:rPr>
          <w:color w:val="auto"/>
        </w:rPr>
        <w:t>Pacific Horticultural and Agr</w:t>
      </w:r>
      <w:r w:rsidR="00567F1B">
        <w:rPr>
          <w:color w:val="auto"/>
        </w:rPr>
        <w:t>icultural Market Access program (</w:t>
      </w:r>
      <w:r w:rsidR="00E5053E">
        <w:rPr>
          <w:color w:val="auto"/>
        </w:rPr>
        <w:t>e.g.</w:t>
      </w:r>
      <w:r w:rsidR="00567F1B">
        <w:rPr>
          <w:color w:val="auto"/>
        </w:rPr>
        <w:t xml:space="preserve"> a gender analysis to improve capacity to respond to the needs of women);</w:t>
      </w:r>
      <w:r w:rsidR="00567F1B" w:rsidRPr="008C43D8">
        <w:t xml:space="preserve"> </w:t>
      </w:r>
      <w:r w:rsidR="00567F1B" w:rsidRPr="008C43D8">
        <w:rPr>
          <w:color w:val="auto"/>
        </w:rPr>
        <w:t xml:space="preserve">engaging with the Tonga Chamber of Commerce and Industry and </w:t>
      </w:r>
      <w:r w:rsidR="00567F1B">
        <w:rPr>
          <w:color w:val="auto"/>
        </w:rPr>
        <w:t xml:space="preserve">the </w:t>
      </w:r>
      <w:r w:rsidR="00567F1B" w:rsidRPr="008C43D8">
        <w:rPr>
          <w:color w:val="auto"/>
        </w:rPr>
        <w:t xml:space="preserve">Tonga National Youth Congress on coconut production enterprise </w:t>
      </w:r>
      <w:r w:rsidR="00567F1B">
        <w:rPr>
          <w:color w:val="auto"/>
        </w:rPr>
        <w:t>development through the Pacific Leadership Program;</w:t>
      </w:r>
      <w:r w:rsidR="00567F1B" w:rsidRPr="008C43D8">
        <w:rPr>
          <w:color w:val="auto"/>
        </w:rPr>
        <w:t xml:space="preserve"> and identifying alternative modalities to support access to finance, especially for women</w:t>
      </w:r>
      <w:r w:rsidR="00567F1B">
        <w:rPr>
          <w:color w:val="auto"/>
        </w:rPr>
        <w:t xml:space="preserve">, through </w:t>
      </w:r>
      <w:r w:rsidR="00567F1B" w:rsidRPr="008C43D8">
        <w:rPr>
          <w:color w:val="auto"/>
        </w:rPr>
        <w:t>the Asian Development Bank’s Private</w:t>
      </w:r>
      <w:r w:rsidR="00567F1B">
        <w:rPr>
          <w:color w:val="auto"/>
        </w:rPr>
        <w:t xml:space="preserve"> Sector Development Initiative.</w:t>
      </w:r>
    </w:p>
    <w:p w:rsidR="00427AF3" w:rsidRPr="00427AF3" w:rsidRDefault="00427AF3" w:rsidP="00015316">
      <w:pPr>
        <w:rPr>
          <w:b/>
          <w:color w:val="auto"/>
        </w:rPr>
      </w:pPr>
      <w:r w:rsidRPr="00427AF3">
        <w:rPr>
          <w:b/>
          <w:color w:val="auto"/>
        </w:rPr>
        <w:t>Objective 2: A more effective, efficient and equitable health system</w:t>
      </w:r>
    </w:p>
    <w:p w:rsidR="00C652E7" w:rsidRDefault="001A4793" w:rsidP="00C652E7">
      <w:pPr>
        <w:rPr>
          <w:color w:val="auto"/>
        </w:rPr>
      </w:pPr>
      <w:r>
        <w:rPr>
          <w:color w:val="auto"/>
        </w:rPr>
        <w:t xml:space="preserve">Through the aid program, </w:t>
      </w:r>
      <w:r w:rsidR="003461F7">
        <w:rPr>
          <w:color w:val="auto"/>
        </w:rPr>
        <w:t xml:space="preserve">Australia is supporting a more effective, efficient and equitable health system </w:t>
      </w:r>
      <w:r w:rsidR="00395E94">
        <w:rPr>
          <w:color w:val="auto"/>
        </w:rPr>
        <w:t xml:space="preserve">in Tonga </w:t>
      </w:r>
      <w:r>
        <w:rPr>
          <w:color w:val="auto"/>
        </w:rPr>
        <w:t xml:space="preserve">- </w:t>
      </w:r>
      <w:r w:rsidR="003461F7">
        <w:rPr>
          <w:color w:val="auto"/>
        </w:rPr>
        <w:t xml:space="preserve">primarily through </w:t>
      </w:r>
      <w:r w:rsidR="00395E94">
        <w:rPr>
          <w:color w:val="auto"/>
        </w:rPr>
        <w:t xml:space="preserve">the </w:t>
      </w:r>
      <w:r w:rsidR="009A68AE" w:rsidRPr="00395E94">
        <w:rPr>
          <w:i/>
          <w:color w:val="auto"/>
        </w:rPr>
        <w:t>Tonga Health System Support Program</w:t>
      </w:r>
      <w:r w:rsidR="0037221F">
        <w:rPr>
          <w:color w:val="auto"/>
        </w:rPr>
        <w:t xml:space="preserve">. </w:t>
      </w:r>
      <w:r w:rsidR="00C652E7">
        <w:rPr>
          <w:color w:val="auto"/>
        </w:rPr>
        <w:t>In 2015-16, the program successfully transit</w:t>
      </w:r>
      <w:r w:rsidR="0037221F">
        <w:rPr>
          <w:color w:val="auto"/>
        </w:rPr>
        <w:t>ioned</w:t>
      </w:r>
      <w:r w:rsidR="00C652E7">
        <w:rPr>
          <w:color w:val="auto"/>
        </w:rPr>
        <w:t xml:space="preserve"> </w:t>
      </w:r>
      <w:r w:rsidR="0037221F">
        <w:rPr>
          <w:color w:val="auto"/>
        </w:rPr>
        <w:t xml:space="preserve">from the first </w:t>
      </w:r>
      <w:r w:rsidR="00C652E7">
        <w:rPr>
          <w:color w:val="auto"/>
        </w:rPr>
        <w:t>phase</w:t>
      </w:r>
      <w:r w:rsidR="00F5103E">
        <w:rPr>
          <w:color w:val="auto"/>
        </w:rPr>
        <w:t xml:space="preserve"> ($</w:t>
      </w:r>
      <w:r w:rsidR="00E93ABC">
        <w:rPr>
          <w:color w:val="auto"/>
        </w:rPr>
        <w:t>10.02</w:t>
      </w:r>
      <w:r w:rsidR="00F5103E">
        <w:rPr>
          <w:color w:val="auto"/>
        </w:rPr>
        <w:t xml:space="preserve"> million, 20</w:t>
      </w:r>
      <w:r w:rsidR="00E93ABC">
        <w:rPr>
          <w:color w:val="auto"/>
        </w:rPr>
        <w:t>09</w:t>
      </w:r>
      <w:r w:rsidR="00F5103E" w:rsidRPr="00DB6E28">
        <w:rPr>
          <w:color w:val="auto"/>
        </w:rPr>
        <w:t>-</w:t>
      </w:r>
      <w:r w:rsidR="00E93ABC" w:rsidRPr="00DB6E28">
        <w:rPr>
          <w:color w:val="auto"/>
        </w:rPr>
        <w:t>16</w:t>
      </w:r>
      <w:r w:rsidR="00F5103E" w:rsidRPr="00DB6E28">
        <w:rPr>
          <w:color w:val="auto"/>
        </w:rPr>
        <w:t>)</w:t>
      </w:r>
      <w:r w:rsidR="00C652E7">
        <w:rPr>
          <w:color w:val="auto"/>
        </w:rPr>
        <w:t xml:space="preserve"> to the current phase</w:t>
      </w:r>
      <w:r w:rsidR="0037221F">
        <w:rPr>
          <w:color w:val="auto"/>
        </w:rPr>
        <w:t xml:space="preserve"> ($12.2 million, 2015-</w:t>
      </w:r>
      <w:r w:rsidR="00E93ABC">
        <w:rPr>
          <w:color w:val="auto"/>
        </w:rPr>
        <w:t>20</w:t>
      </w:r>
      <w:r w:rsidR="0037221F">
        <w:rPr>
          <w:color w:val="auto"/>
        </w:rPr>
        <w:t xml:space="preserve">) </w:t>
      </w:r>
      <w:r w:rsidR="00C652E7">
        <w:rPr>
          <w:color w:val="auto"/>
        </w:rPr>
        <w:t>with strong buy-in from the Government of Tonga</w:t>
      </w:r>
      <w:r w:rsidR="00C652E7">
        <w:rPr>
          <w:rStyle w:val="FootnoteReference"/>
          <w:color w:val="auto"/>
        </w:rPr>
        <w:footnoteReference w:id="3"/>
      </w:r>
      <w:r>
        <w:rPr>
          <w:color w:val="auto"/>
        </w:rPr>
        <w:t xml:space="preserve"> and</w:t>
      </w:r>
      <w:r w:rsidR="00C652E7">
        <w:rPr>
          <w:color w:val="auto"/>
        </w:rPr>
        <w:t xml:space="preserve"> </w:t>
      </w:r>
      <w:r>
        <w:rPr>
          <w:color w:val="auto"/>
        </w:rPr>
        <w:t xml:space="preserve">continued alignment with </w:t>
      </w:r>
      <w:r w:rsidR="00D73E12">
        <w:rPr>
          <w:color w:val="auto"/>
        </w:rPr>
        <w:t>the Ministry of Health</w:t>
      </w:r>
      <w:r w:rsidR="00D83BD2">
        <w:rPr>
          <w:color w:val="auto"/>
        </w:rPr>
        <w:t>’s</w:t>
      </w:r>
      <w:r w:rsidR="00DB3C5B">
        <w:rPr>
          <w:color w:val="auto"/>
        </w:rPr>
        <w:t xml:space="preserve"> </w:t>
      </w:r>
      <w:r w:rsidR="0046154B">
        <w:rPr>
          <w:color w:val="auto"/>
        </w:rPr>
        <w:t>Corporate</w:t>
      </w:r>
      <w:r w:rsidR="00F6659C">
        <w:rPr>
          <w:color w:val="auto"/>
        </w:rPr>
        <w:t xml:space="preserve"> </w:t>
      </w:r>
      <w:r w:rsidR="00870BE4">
        <w:rPr>
          <w:color w:val="auto"/>
        </w:rPr>
        <w:t>Plan</w:t>
      </w:r>
      <w:r>
        <w:rPr>
          <w:color w:val="auto"/>
        </w:rPr>
        <w:t>. I</w:t>
      </w:r>
      <w:r w:rsidR="00F42C29">
        <w:rPr>
          <w:color w:val="auto"/>
        </w:rPr>
        <w:t>n 2015-16</w:t>
      </w:r>
      <w:r w:rsidR="00B46A54">
        <w:rPr>
          <w:color w:val="auto"/>
        </w:rPr>
        <w:t xml:space="preserve">, </w:t>
      </w:r>
      <w:r>
        <w:rPr>
          <w:color w:val="auto"/>
        </w:rPr>
        <w:t>with</w:t>
      </w:r>
      <w:r w:rsidR="00B46A54">
        <w:rPr>
          <w:color w:val="auto"/>
        </w:rPr>
        <w:t xml:space="preserve"> DFA</w:t>
      </w:r>
      <w:r w:rsidR="00F42C29">
        <w:rPr>
          <w:color w:val="auto"/>
        </w:rPr>
        <w:t>T technical and financial support,</w:t>
      </w:r>
      <w:r w:rsidR="00271FC9">
        <w:rPr>
          <w:color w:val="auto"/>
        </w:rPr>
        <w:t xml:space="preserve"> key results </w:t>
      </w:r>
      <w:r>
        <w:rPr>
          <w:color w:val="auto"/>
        </w:rPr>
        <w:t>included</w:t>
      </w:r>
      <w:r w:rsidR="00C652E7">
        <w:rPr>
          <w:color w:val="auto"/>
        </w:rPr>
        <w:t xml:space="preserve">: </w:t>
      </w:r>
    </w:p>
    <w:p w:rsidR="00C652E7" w:rsidRPr="00C652E7" w:rsidRDefault="001A4793" w:rsidP="00C652E7">
      <w:pPr>
        <w:pStyle w:val="ListParagraph"/>
        <w:numPr>
          <w:ilvl w:val="0"/>
          <w:numId w:val="41"/>
        </w:numPr>
        <w:rPr>
          <w:color w:val="auto"/>
        </w:rPr>
      </w:pPr>
      <w:r>
        <w:rPr>
          <w:color w:val="auto"/>
        </w:rPr>
        <w:t xml:space="preserve">the </w:t>
      </w:r>
      <w:r w:rsidR="00C652E7" w:rsidRPr="00C652E7">
        <w:rPr>
          <w:color w:val="auto"/>
        </w:rPr>
        <w:t xml:space="preserve">launch </w:t>
      </w:r>
      <w:r w:rsidR="00C652E7">
        <w:rPr>
          <w:color w:val="auto"/>
        </w:rPr>
        <w:t xml:space="preserve">of </w:t>
      </w:r>
      <w:r w:rsidR="00C652E7" w:rsidRPr="00C652E7">
        <w:rPr>
          <w:color w:val="auto"/>
        </w:rPr>
        <w:t xml:space="preserve">a new five year </w:t>
      </w:r>
      <w:r w:rsidR="00C652E7" w:rsidRPr="00271FC9">
        <w:rPr>
          <w:i/>
          <w:color w:val="auto"/>
        </w:rPr>
        <w:t>National N</w:t>
      </w:r>
      <w:r w:rsidR="0037221F" w:rsidRPr="00271FC9">
        <w:rPr>
          <w:i/>
          <w:color w:val="auto"/>
        </w:rPr>
        <w:t>on-</w:t>
      </w:r>
      <w:r w:rsidR="00C652E7" w:rsidRPr="00271FC9">
        <w:rPr>
          <w:i/>
          <w:color w:val="auto"/>
        </w:rPr>
        <w:t>C</w:t>
      </w:r>
      <w:r w:rsidR="0037221F" w:rsidRPr="00271FC9">
        <w:rPr>
          <w:i/>
          <w:color w:val="auto"/>
        </w:rPr>
        <w:t xml:space="preserve">ommunicable </w:t>
      </w:r>
      <w:r w:rsidR="00C652E7" w:rsidRPr="00271FC9">
        <w:rPr>
          <w:i/>
          <w:color w:val="auto"/>
        </w:rPr>
        <w:t>D</w:t>
      </w:r>
      <w:r w:rsidR="0037221F" w:rsidRPr="00271FC9">
        <w:rPr>
          <w:i/>
          <w:color w:val="auto"/>
        </w:rPr>
        <w:t>iseases</w:t>
      </w:r>
      <w:r w:rsidR="00C652E7" w:rsidRPr="00271FC9">
        <w:rPr>
          <w:i/>
          <w:color w:val="auto"/>
        </w:rPr>
        <w:t xml:space="preserve"> Strategy</w:t>
      </w:r>
      <w:r w:rsidR="00C652E7" w:rsidRPr="00C652E7">
        <w:rPr>
          <w:color w:val="auto"/>
        </w:rPr>
        <w:t xml:space="preserve"> </w:t>
      </w:r>
      <w:r w:rsidR="00DC1958">
        <w:rPr>
          <w:color w:val="auto"/>
        </w:rPr>
        <w:t>in February 2016 –</w:t>
      </w:r>
      <w:r w:rsidR="00C652E7" w:rsidRPr="0037221F">
        <w:rPr>
          <w:color w:val="auto"/>
        </w:rPr>
        <w:t xml:space="preserve"> the launch coincided with the signing of a five-year grant agreement (AUD2.1 million) with the Tonga Health Promotion Foundation to support</w:t>
      </w:r>
      <w:r w:rsidR="00DC1958">
        <w:rPr>
          <w:color w:val="auto"/>
        </w:rPr>
        <w:t xml:space="preserve"> the</w:t>
      </w:r>
      <w:r w:rsidR="00C652E7" w:rsidRPr="0037221F">
        <w:rPr>
          <w:color w:val="auto"/>
        </w:rPr>
        <w:t xml:space="preserve"> implementation of the strategy</w:t>
      </w:r>
      <w:r w:rsidR="00C1322D">
        <w:rPr>
          <w:color w:val="auto"/>
        </w:rPr>
        <w:t>;</w:t>
      </w:r>
      <w:r w:rsidR="00C652E7" w:rsidRPr="0037221F">
        <w:rPr>
          <w:color w:val="auto"/>
        </w:rPr>
        <w:t xml:space="preserve"> </w:t>
      </w:r>
    </w:p>
    <w:p w:rsidR="00C652E7" w:rsidRDefault="001A4793" w:rsidP="00C652E7">
      <w:pPr>
        <w:pStyle w:val="ListParagraph"/>
        <w:numPr>
          <w:ilvl w:val="0"/>
          <w:numId w:val="41"/>
        </w:numPr>
        <w:rPr>
          <w:color w:val="auto"/>
        </w:rPr>
      </w:pPr>
      <w:proofErr w:type="gramStart"/>
      <w:r>
        <w:rPr>
          <w:color w:val="auto"/>
        </w:rPr>
        <w:t>successful</w:t>
      </w:r>
      <w:proofErr w:type="gramEnd"/>
      <w:r>
        <w:rPr>
          <w:color w:val="auto"/>
        </w:rPr>
        <w:t xml:space="preserve"> </w:t>
      </w:r>
      <w:r w:rsidR="004F647D">
        <w:rPr>
          <w:color w:val="auto"/>
        </w:rPr>
        <w:t>d</w:t>
      </w:r>
      <w:r w:rsidR="00DC1958">
        <w:rPr>
          <w:color w:val="auto"/>
        </w:rPr>
        <w:t xml:space="preserve">elivery of </w:t>
      </w:r>
      <w:r w:rsidR="00C652E7" w:rsidRPr="00271FC9">
        <w:rPr>
          <w:i/>
          <w:color w:val="auto"/>
        </w:rPr>
        <w:t xml:space="preserve">Tonga’s National </w:t>
      </w:r>
      <w:proofErr w:type="spellStart"/>
      <w:r w:rsidR="00C652E7" w:rsidRPr="00271FC9">
        <w:rPr>
          <w:i/>
          <w:color w:val="auto"/>
        </w:rPr>
        <w:t>Zika</w:t>
      </w:r>
      <w:proofErr w:type="spellEnd"/>
      <w:r w:rsidR="00C652E7" w:rsidRPr="00271FC9">
        <w:rPr>
          <w:i/>
          <w:color w:val="auto"/>
        </w:rPr>
        <w:t xml:space="preserve"> Response</w:t>
      </w:r>
      <w:r w:rsidR="00C652E7" w:rsidRPr="00C652E7">
        <w:rPr>
          <w:color w:val="auto"/>
        </w:rPr>
        <w:t xml:space="preserve"> in February 2016.</w:t>
      </w:r>
      <w:r w:rsidR="00011C75">
        <w:rPr>
          <w:color w:val="auto"/>
        </w:rPr>
        <w:t xml:space="preserve"> This included Australian financial assistance towards the </w:t>
      </w:r>
      <w:proofErr w:type="spellStart"/>
      <w:r w:rsidR="00011C75">
        <w:rPr>
          <w:color w:val="auto"/>
        </w:rPr>
        <w:t>Vaiola</w:t>
      </w:r>
      <w:proofErr w:type="spellEnd"/>
      <w:r w:rsidR="00011C75">
        <w:rPr>
          <w:color w:val="auto"/>
        </w:rPr>
        <w:t xml:space="preserve"> Hospital’s clinical response, as well as the national community prevention and </w:t>
      </w:r>
      <w:r w:rsidR="00833BE6">
        <w:rPr>
          <w:color w:val="auto"/>
        </w:rPr>
        <w:t>clean-</w:t>
      </w:r>
      <w:r w:rsidR="00011C75">
        <w:rPr>
          <w:color w:val="auto"/>
        </w:rPr>
        <w:t>up campaign</w:t>
      </w:r>
      <w:r w:rsidR="00C1322D">
        <w:rPr>
          <w:color w:val="auto"/>
        </w:rPr>
        <w:t>;</w:t>
      </w:r>
    </w:p>
    <w:p w:rsidR="0037221F" w:rsidRDefault="001A4793" w:rsidP="00C652E7">
      <w:pPr>
        <w:pStyle w:val="ListParagraph"/>
        <w:numPr>
          <w:ilvl w:val="0"/>
          <w:numId w:val="41"/>
        </w:numPr>
        <w:rPr>
          <w:color w:val="auto"/>
        </w:rPr>
      </w:pPr>
      <w:r>
        <w:rPr>
          <w:color w:val="auto"/>
        </w:rPr>
        <w:t>t</w:t>
      </w:r>
      <w:r w:rsidRPr="00C652E7">
        <w:rPr>
          <w:color w:val="auto"/>
        </w:rPr>
        <w:t xml:space="preserve">he </w:t>
      </w:r>
      <w:r w:rsidR="00C652E7" w:rsidRPr="00C652E7">
        <w:rPr>
          <w:color w:val="auto"/>
        </w:rPr>
        <w:t>introduction of higher excise duty on tobacco and unhealthy food</w:t>
      </w:r>
      <w:r w:rsidR="00011C75">
        <w:rPr>
          <w:color w:val="auto"/>
        </w:rPr>
        <w:t xml:space="preserve"> in the 2015-16 national budget</w:t>
      </w:r>
      <w:r w:rsidR="00D83BD2">
        <w:rPr>
          <w:color w:val="auto"/>
        </w:rPr>
        <w:t>;</w:t>
      </w:r>
    </w:p>
    <w:p w:rsidR="00C652E7" w:rsidRDefault="001A4793" w:rsidP="00C652E7">
      <w:pPr>
        <w:pStyle w:val="ListParagraph"/>
        <w:numPr>
          <w:ilvl w:val="0"/>
          <w:numId w:val="41"/>
        </w:numPr>
        <w:rPr>
          <w:color w:val="auto"/>
        </w:rPr>
      </w:pPr>
      <w:r>
        <w:rPr>
          <w:color w:val="auto"/>
        </w:rPr>
        <w:t>t</w:t>
      </w:r>
      <w:r w:rsidRPr="00C652E7">
        <w:rPr>
          <w:color w:val="auto"/>
        </w:rPr>
        <w:t xml:space="preserve">he </w:t>
      </w:r>
      <w:r w:rsidR="00C652E7" w:rsidRPr="00C652E7">
        <w:rPr>
          <w:color w:val="auto"/>
        </w:rPr>
        <w:t>introduction of legislation for ‘smo</w:t>
      </w:r>
      <w:r w:rsidR="0037221F">
        <w:rPr>
          <w:color w:val="auto"/>
        </w:rPr>
        <w:t xml:space="preserve">ke free’ areas in public places and </w:t>
      </w:r>
      <w:r w:rsidR="00C652E7" w:rsidRPr="00C652E7">
        <w:rPr>
          <w:color w:val="auto"/>
        </w:rPr>
        <w:t xml:space="preserve">establishment of </w:t>
      </w:r>
      <w:r w:rsidR="00011C75">
        <w:rPr>
          <w:color w:val="auto"/>
        </w:rPr>
        <w:t xml:space="preserve">the first </w:t>
      </w:r>
      <w:r w:rsidR="00C652E7" w:rsidRPr="00C652E7">
        <w:rPr>
          <w:color w:val="auto"/>
        </w:rPr>
        <w:t>national smoking Quit Line (as part of a national, six-week anti-smoking campaign)</w:t>
      </w:r>
      <w:r w:rsidR="00C1322D">
        <w:rPr>
          <w:color w:val="auto"/>
        </w:rPr>
        <w:t>;</w:t>
      </w:r>
    </w:p>
    <w:p w:rsidR="00C652E7" w:rsidRDefault="001A4793" w:rsidP="00C652E7">
      <w:pPr>
        <w:pStyle w:val="ListParagraph"/>
        <w:numPr>
          <w:ilvl w:val="0"/>
          <w:numId w:val="41"/>
        </w:numPr>
        <w:rPr>
          <w:color w:val="auto"/>
        </w:rPr>
      </w:pPr>
      <w:r>
        <w:rPr>
          <w:color w:val="auto"/>
        </w:rPr>
        <w:t>s</w:t>
      </w:r>
      <w:r w:rsidRPr="00C652E7">
        <w:rPr>
          <w:color w:val="auto"/>
        </w:rPr>
        <w:t xml:space="preserve">creening </w:t>
      </w:r>
      <w:r w:rsidR="00C652E7" w:rsidRPr="00C652E7">
        <w:rPr>
          <w:color w:val="auto"/>
        </w:rPr>
        <w:t>of rheumatic disease throughout Tonga for approximately 6,351 school children, with follow up treatment for 236 children</w:t>
      </w:r>
      <w:r w:rsidR="00C1322D">
        <w:rPr>
          <w:color w:val="auto"/>
        </w:rPr>
        <w:t>;</w:t>
      </w:r>
    </w:p>
    <w:p w:rsidR="00C652E7" w:rsidRPr="00DB6E28" w:rsidRDefault="001A4793" w:rsidP="00DB6E28">
      <w:pPr>
        <w:pStyle w:val="ListParagraph"/>
        <w:numPr>
          <w:ilvl w:val="0"/>
          <w:numId w:val="41"/>
        </w:numPr>
        <w:rPr>
          <w:color w:val="auto"/>
        </w:rPr>
      </w:pPr>
      <w:r>
        <w:rPr>
          <w:color w:val="auto"/>
        </w:rPr>
        <w:t>d</w:t>
      </w:r>
      <w:r w:rsidRPr="00C652E7">
        <w:rPr>
          <w:color w:val="auto"/>
        </w:rPr>
        <w:t xml:space="preserve">elivery </w:t>
      </w:r>
      <w:r w:rsidR="00C652E7" w:rsidRPr="00C652E7">
        <w:rPr>
          <w:color w:val="auto"/>
        </w:rPr>
        <w:t xml:space="preserve">of a health promotion </w:t>
      </w:r>
      <w:r w:rsidR="00DB6E28">
        <w:rPr>
          <w:color w:val="auto"/>
        </w:rPr>
        <w:t xml:space="preserve">anti-smoking </w:t>
      </w:r>
      <w:r w:rsidR="00C652E7" w:rsidRPr="00C652E7">
        <w:rPr>
          <w:color w:val="auto"/>
        </w:rPr>
        <w:t>media campaign</w:t>
      </w:r>
      <w:r w:rsidR="00DB6E28">
        <w:rPr>
          <w:color w:val="auto"/>
        </w:rPr>
        <w:t xml:space="preserve"> </w:t>
      </w:r>
      <w:r w:rsidR="00F6387A">
        <w:rPr>
          <w:color w:val="auto"/>
        </w:rPr>
        <w:t xml:space="preserve">(as part of the </w:t>
      </w:r>
      <w:r w:rsidR="00F6387A" w:rsidRPr="00271FC9">
        <w:rPr>
          <w:i/>
          <w:color w:val="auto"/>
        </w:rPr>
        <w:t>Non-Communicable Disease</w:t>
      </w:r>
      <w:r w:rsidR="00271FC9">
        <w:rPr>
          <w:i/>
          <w:color w:val="auto"/>
        </w:rPr>
        <w:t>s</w:t>
      </w:r>
      <w:r w:rsidR="00F6387A" w:rsidRPr="00271FC9">
        <w:rPr>
          <w:i/>
          <w:color w:val="auto"/>
        </w:rPr>
        <w:t xml:space="preserve"> Strategy</w:t>
      </w:r>
      <w:r w:rsidR="00F6387A">
        <w:rPr>
          <w:color w:val="auto"/>
        </w:rPr>
        <w:t>)</w:t>
      </w:r>
      <w:r w:rsidR="00C1322D">
        <w:rPr>
          <w:color w:val="auto"/>
        </w:rPr>
        <w:t>;</w:t>
      </w:r>
    </w:p>
    <w:p w:rsidR="0037221F" w:rsidRDefault="001A4793" w:rsidP="00C652E7">
      <w:pPr>
        <w:pStyle w:val="ListParagraph"/>
        <w:numPr>
          <w:ilvl w:val="0"/>
          <w:numId w:val="41"/>
        </w:numPr>
        <w:rPr>
          <w:color w:val="auto"/>
        </w:rPr>
      </w:pPr>
      <w:r>
        <w:rPr>
          <w:color w:val="auto"/>
        </w:rPr>
        <w:t xml:space="preserve">expanding </w:t>
      </w:r>
      <w:r w:rsidR="0037221F">
        <w:rPr>
          <w:color w:val="auto"/>
        </w:rPr>
        <w:t>d</w:t>
      </w:r>
      <w:r w:rsidR="00C652E7" w:rsidRPr="00C652E7">
        <w:rPr>
          <w:color w:val="auto"/>
        </w:rPr>
        <w:t>iabetes</w:t>
      </w:r>
      <w:r w:rsidR="0037221F">
        <w:rPr>
          <w:color w:val="auto"/>
        </w:rPr>
        <w:t xml:space="preserve"> outreach services </w:t>
      </w:r>
      <w:r w:rsidR="00C652E7" w:rsidRPr="00C652E7">
        <w:rPr>
          <w:color w:val="auto"/>
        </w:rPr>
        <w:t>to outer islands and remote communities</w:t>
      </w:r>
      <w:r w:rsidR="00C1322D">
        <w:rPr>
          <w:color w:val="auto"/>
        </w:rPr>
        <w:t>; and</w:t>
      </w:r>
      <w:r w:rsidR="00C652E7" w:rsidRPr="00C652E7">
        <w:rPr>
          <w:color w:val="auto"/>
        </w:rPr>
        <w:t xml:space="preserve"> </w:t>
      </w:r>
    </w:p>
    <w:p w:rsidR="00C652E7" w:rsidRDefault="001A4793" w:rsidP="00C652E7">
      <w:pPr>
        <w:pStyle w:val="ListParagraph"/>
        <w:numPr>
          <w:ilvl w:val="0"/>
          <w:numId w:val="41"/>
        </w:numPr>
        <w:rPr>
          <w:color w:val="auto"/>
        </w:rPr>
      </w:pPr>
      <w:proofErr w:type="gramStart"/>
      <w:r>
        <w:rPr>
          <w:color w:val="auto"/>
        </w:rPr>
        <w:t>e</w:t>
      </w:r>
      <w:r w:rsidRPr="00C652E7">
        <w:rPr>
          <w:color w:val="auto"/>
        </w:rPr>
        <w:t>xchang</w:t>
      </w:r>
      <w:r>
        <w:rPr>
          <w:color w:val="auto"/>
        </w:rPr>
        <w:t>ing</w:t>
      </w:r>
      <w:proofErr w:type="gramEnd"/>
      <w:r>
        <w:rPr>
          <w:color w:val="auto"/>
        </w:rPr>
        <w:t xml:space="preserve"> </w:t>
      </w:r>
      <w:r w:rsidR="00C652E7" w:rsidRPr="00C652E7">
        <w:rPr>
          <w:color w:val="auto"/>
        </w:rPr>
        <w:t xml:space="preserve">skills and training through the twinning arrangement between Tonga’s </w:t>
      </w:r>
      <w:proofErr w:type="spellStart"/>
      <w:r w:rsidR="00C652E7" w:rsidRPr="00C652E7">
        <w:rPr>
          <w:color w:val="auto"/>
        </w:rPr>
        <w:t>Vaiola</w:t>
      </w:r>
      <w:proofErr w:type="spellEnd"/>
      <w:r w:rsidR="00C652E7" w:rsidRPr="00C652E7">
        <w:rPr>
          <w:color w:val="auto"/>
        </w:rPr>
        <w:t xml:space="preserve"> Hospital and the St John of God Hospital </w:t>
      </w:r>
      <w:r w:rsidR="00271FC9">
        <w:rPr>
          <w:color w:val="auto"/>
        </w:rPr>
        <w:t>in</w:t>
      </w:r>
      <w:r w:rsidR="00C652E7" w:rsidRPr="00C652E7">
        <w:rPr>
          <w:color w:val="auto"/>
        </w:rPr>
        <w:t xml:space="preserve"> </w:t>
      </w:r>
      <w:proofErr w:type="spellStart"/>
      <w:r w:rsidR="00C652E7" w:rsidRPr="00C652E7">
        <w:rPr>
          <w:color w:val="auto"/>
        </w:rPr>
        <w:t>Ballarat</w:t>
      </w:r>
      <w:proofErr w:type="spellEnd"/>
      <w:r w:rsidR="00C652E7" w:rsidRPr="00C652E7">
        <w:rPr>
          <w:color w:val="auto"/>
        </w:rPr>
        <w:t>.</w:t>
      </w:r>
    </w:p>
    <w:p w:rsidR="00C652E7" w:rsidRPr="00C652E7" w:rsidRDefault="00C652E7" w:rsidP="00C652E7">
      <w:pPr>
        <w:rPr>
          <w:color w:val="auto"/>
        </w:rPr>
      </w:pPr>
      <w:r w:rsidRPr="00C652E7">
        <w:rPr>
          <w:color w:val="auto"/>
        </w:rPr>
        <w:t xml:space="preserve">The performance benchmark for this objective has been met, with the Government of Tonga successfully completing its National </w:t>
      </w:r>
      <w:r w:rsidR="0037221F" w:rsidRPr="00C652E7">
        <w:rPr>
          <w:color w:val="auto"/>
        </w:rPr>
        <w:t>N</w:t>
      </w:r>
      <w:r w:rsidR="0037221F">
        <w:rPr>
          <w:color w:val="auto"/>
        </w:rPr>
        <w:t>on-</w:t>
      </w:r>
      <w:r w:rsidR="0037221F" w:rsidRPr="00C652E7">
        <w:rPr>
          <w:color w:val="auto"/>
        </w:rPr>
        <w:t>C</w:t>
      </w:r>
      <w:r w:rsidR="0037221F">
        <w:rPr>
          <w:color w:val="auto"/>
        </w:rPr>
        <w:t xml:space="preserve">ommunicable </w:t>
      </w:r>
      <w:r w:rsidR="0037221F" w:rsidRPr="00C652E7">
        <w:rPr>
          <w:color w:val="auto"/>
        </w:rPr>
        <w:t>D</w:t>
      </w:r>
      <w:r w:rsidR="0037221F">
        <w:rPr>
          <w:color w:val="auto"/>
        </w:rPr>
        <w:t>iseases</w:t>
      </w:r>
      <w:r w:rsidRPr="00C652E7">
        <w:rPr>
          <w:color w:val="auto"/>
        </w:rPr>
        <w:t xml:space="preserve"> Strategy and media campaign. </w:t>
      </w:r>
      <w:r w:rsidR="00011C75">
        <w:rPr>
          <w:color w:val="auto"/>
        </w:rPr>
        <w:t>The Government has also maintained its own budgetary commitments to the health sector, partly as a result of positive donor influence.</w:t>
      </w:r>
    </w:p>
    <w:p w:rsidR="00427AF3" w:rsidRDefault="00427AF3" w:rsidP="00015316">
      <w:pPr>
        <w:rPr>
          <w:b/>
          <w:color w:val="auto"/>
        </w:rPr>
      </w:pPr>
      <w:r w:rsidRPr="00427AF3">
        <w:rPr>
          <w:b/>
          <w:color w:val="auto"/>
        </w:rPr>
        <w:t>Objective 3: Skills development in support of economic opportunities for Tongan workers</w:t>
      </w:r>
    </w:p>
    <w:p w:rsidR="00DC1958" w:rsidRPr="00867CA7" w:rsidRDefault="00A92EA0" w:rsidP="00015316">
      <w:pPr>
        <w:rPr>
          <w:color w:val="auto"/>
        </w:rPr>
      </w:pPr>
      <w:r>
        <w:rPr>
          <w:color w:val="auto"/>
        </w:rPr>
        <w:t xml:space="preserve">Australia is an increasingly important labour market for Tongan workers. </w:t>
      </w:r>
      <w:r w:rsidR="003749D1">
        <w:rPr>
          <w:color w:val="auto"/>
        </w:rPr>
        <w:t>Australia</w:t>
      </w:r>
      <w:r w:rsidR="004F647D">
        <w:rPr>
          <w:color w:val="auto"/>
        </w:rPr>
        <w:t xml:space="preserve"> </w:t>
      </w:r>
      <w:r w:rsidR="009625E0" w:rsidRPr="00867CA7">
        <w:rPr>
          <w:color w:val="auto"/>
        </w:rPr>
        <w:t>support</w:t>
      </w:r>
      <w:r w:rsidR="001A4793">
        <w:rPr>
          <w:color w:val="auto"/>
        </w:rPr>
        <w:t>ed</w:t>
      </w:r>
      <w:r w:rsidR="009625E0" w:rsidRPr="00867CA7">
        <w:rPr>
          <w:color w:val="auto"/>
        </w:rPr>
        <w:t xml:space="preserve"> training </w:t>
      </w:r>
      <w:r w:rsidR="006823A9" w:rsidRPr="00867CA7">
        <w:rPr>
          <w:color w:val="auto"/>
        </w:rPr>
        <w:t xml:space="preserve">to </w:t>
      </w:r>
      <w:r w:rsidR="00D57F36" w:rsidRPr="00867CA7">
        <w:rPr>
          <w:color w:val="auto"/>
        </w:rPr>
        <w:t>improve</w:t>
      </w:r>
      <w:r w:rsidR="006823A9" w:rsidRPr="00867CA7">
        <w:rPr>
          <w:color w:val="auto"/>
        </w:rPr>
        <w:t xml:space="preserve"> economic o</w:t>
      </w:r>
      <w:r w:rsidR="00CB78E8">
        <w:rPr>
          <w:color w:val="auto"/>
        </w:rPr>
        <w:t>pportunities for Tongan workers</w:t>
      </w:r>
      <w:r w:rsidR="006823A9" w:rsidRPr="00867CA7">
        <w:rPr>
          <w:color w:val="auto"/>
        </w:rPr>
        <w:t xml:space="preserve"> </w:t>
      </w:r>
      <w:r w:rsidR="00D57F36" w:rsidRPr="00867CA7">
        <w:rPr>
          <w:color w:val="auto"/>
        </w:rPr>
        <w:t>and to meet</w:t>
      </w:r>
      <w:r w:rsidR="009625E0" w:rsidRPr="00867CA7">
        <w:rPr>
          <w:color w:val="auto"/>
        </w:rPr>
        <w:t xml:space="preserve"> priority areas </w:t>
      </w:r>
      <w:r w:rsidR="00D57F36" w:rsidRPr="00867CA7">
        <w:rPr>
          <w:color w:val="auto"/>
        </w:rPr>
        <w:t>of</w:t>
      </w:r>
      <w:r w:rsidR="00CB78E8">
        <w:rPr>
          <w:color w:val="auto"/>
        </w:rPr>
        <w:t xml:space="preserve"> industry demand.</w:t>
      </w:r>
      <w:r w:rsidR="00DB6E28">
        <w:rPr>
          <w:color w:val="auto"/>
        </w:rPr>
        <w:t xml:space="preserve"> T</w:t>
      </w:r>
      <w:r w:rsidR="00B7384A" w:rsidRPr="00867CA7">
        <w:rPr>
          <w:color w:val="auto"/>
        </w:rPr>
        <w:t xml:space="preserve">he </w:t>
      </w:r>
      <w:r w:rsidR="00B7384A" w:rsidRPr="00867CA7">
        <w:rPr>
          <w:i/>
          <w:color w:val="auto"/>
        </w:rPr>
        <w:t>Interim Skills Development Facility</w:t>
      </w:r>
      <w:r w:rsidR="00B7384A" w:rsidRPr="00867CA7">
        <w:rPr>
          <w:color w:val="auto"/>
        </w:rPr>
        <w:t xml:space="preserve"> </w:t>
      </w:r>
      <w:r w:rsidR="00875078">
        <w:rPr>
          <w:color w:val="auto"/>
        </w:rPr>
        <w:t>($</w:t>
      </w:r>
      <w:r w:rsidR="00B35AC3">
        <w:rPr>
          <w:color w:val="auto"/>
        </w:rPr>
        <w:t>2.24 million, 2014-1</w:t>
      </w:r>
      <w:r w:rsidR="00B35AC3" w:rsidRPr="00DB6E28">
        <w:rPr>
          <w:color w:val="auto"/>
        </w:rPr>
        <w:t>6</w:t>
      </w:r>
      <w:r w:rsidR="00875078" w:rsidRPr="00DB6E28">
        <w:rPr>
          <w:color w:val="auto"/>
        </w:rPr>
        <w:t>)</w:t>
      </w:r>
      <w:r w:rsidR="00875078">
        <w:rPr>
          <w:color w:val="auto"/>
        </w:rPr>
        <w:t xml:space="preserve"> </w:t>
      </w:r>
      <w:r w:rsidR="00B7384A" w:rsidRPr="00867CA7">
        <w:rPr>
          <w:color w:val="auto"/>
        </w:rPr>
        <w:t>made good progress against targets during the reporting period</w:t>
      </w:r>
      <w:r w:rsidR="008B540D" w:rsidRPr="00867CA7">
        <w:rPr>
          <w:color w:val="auto"/>
        </w:rPr>
        <w:t xml:space="preserve">, </w:t>
      </w:r>
      <w:r w:rsidR="001638A1">
        <w:rPr>
          <w:color w:val="auto"/>
        </w:rPr>
        <w:t xml:space="preserve">which has </w:t>
      </w:r>
      <w:r w:rsidR="008B540D" w:rsidRPr="00867CA7">
        <w:rPr>
          <w:color w:val="auto"/>
        </w:rPr>
        <w:t>including</w:t>
      </w:r>
      <w:r w:rsidR="00C24786">
        <w:rPr>
          <w:color w:val="auto"/>
        </w:rPr>
        <w:t xml:space="preserve"> the following</w:t>
      </w:r>
      <w:r w:rsidR="001638A1">
        <w:rPr>
          <w:color w:val="auto"/>
        </w:rPr>
        <w:t xml:space="preserve"> key results</w:t>
      </w:r>
      <w:r w:rsidR="00F5103E" w:rsidRPr="00867CA7">
        <w:rPr>
          <w:color w:val="auto"/>
        </w:rPr>
        <w:t>:</w:t>
      </w:r>
    </w:p>
    <w:p w:rsidR="00875078" w:rsidRDefault="00BA73DA" w:rsidP="00F5103E">
      <w:pPr>
        <w:pStyle w:val="ListParagraph"/>
        <w:numPr>
          <w:ilvl w:val="0"/>
          <w:numId w:val="42"/>
        </w:numPr>
        <w:suppressAutoHyphens w:val="0"/>
        <w:spacing w:before="0" w:after="0" w:line="240" w:lineRule="auto"/>
        <w:contextualSpacing w:val="0"/>
        <w:rPr>
          <w:color w:val="auto"/>
          <w:lang w:eastAsia="en-AU"/>
        </w:rPr>
      </w:pPr>
      <w:r>
        <w:rPr>
          <w:color w:val="auto"/>
          <w:lang w:eastAsia="en-AU"/>
        </w:rPr>
        <w:t>185</w:t>
      </w:r>
      <w:r w:rsidRPr="00875078">
        <w:rPr>
          <w:color w:val="auto"/>
          <w:lang w:eastAsia="en-AU"/>
        </w:rPr>
        <w:t xml:space="preserve"> </w:t>
      </w:r>
      <w:r w:rsidR="00F5103E" w:rsidRPr="00875078">
        <w:rPr>
          <w:color w:val="auto"/>
          <w:lang w:eastAsia="en-AU"/>
        </w:rPr>
        <w:t xml:space="preserve">Tongans </w:t>
      </w:r>
      <w:r>
        <w:rPr>
          <w:color w:val="auto"/>
          <w:lang w:eastAsia="en-AU"/>
        </w:rPr>
        <w:t xml:space="preserve">(99 male and 86 female) </w:t>
      </w:r>
      <w:r w:rsidR="00567F1B">
        <w:rPr>
          <w:color w:val="auto"/>
          <w:lang w:eastAsia="en-AU"/>
        </w:rPr>
        <w:t xml:space="preserve">completed training in </w:t>
      </w:r>
      <w:r w:rsidR="00DC1958" w:rsidRPr="00875078">
        <w:rPr>
          <w:color w:val="auto"/>
          <w:lang w:eastAsia="en-AU"/>
        </w:rPr>
        <w:t>six different training programs</w:t>
      </w:r>
      <w:r w:rsidR="00567F1B">
        <w:rPr>
          <w:color w:val="auto"/>
          <w:lang w:eastAsia="en-AU"/>
        </w:rPr>
        <w:t xml:space="preserve"> developed in response to labour market demand</w:t>
      </w:r>
      <w:r w:rsidR="001A4793">
        <w:rPr>
          <w:color w:val="auto"/>
          <w:lang w:eastAsia="en-AU"/>
        </w:rPr>
        <w:t>;</w:t>
      </w:r>
    </w:p>
    <w:p w:rsidR="00F5103E" w:rsidRDefault="00FA0474" w:rsidP="00F5103E">
      <w:pPr>
        <w:pStyle w:val="ListParagraph"/>
        <w:numPr>
          <w:ilvl w:val="0"/>
          <w:numId w:val="42"/>
        </w:numPr>
        <w:suppressAutoHyphens w:val="0"/>
        <w:spacing w:before="0" w:after="0" w:line="240" w:lineRule="auto"/>
        <w:contextualSpacing w:val="0"/>
        <w:rPr>
          <w:color w:val="auto"/>
          <w:lang w:eastAsia="en-AU"/>
        </w:rPr>
      </w:pPr>
      <w:r>
        <w:rPr>
          <w:color w:val="auto"/>
          <w:lang w:eastAsia="en-AU"/>
        </w:rPr>
        <w:t>98</w:t>
      </w:r>
      <w:r w:rsidR="00DC1958" w:rsidRPr="00875078">
        <w:rPr>
          <w:color w:val="auto"/>
          <w:lang w:eastAsia="en-AU"/>
        </w:rPr>
        <w:t xml:space="preserve"> </w:t>
      </w:r>
      <w:r w:rsidR="00F5103E" w:rsidRPr="00875078">
        <w:rPr>
          <w:color w:val="auto"/>
          <w:lang w:eastAsia="en-AU"/>
        </w:rPr>
        <w:t xml:space="preserve">Tongans </w:t>
      </w:r>
      <w:r w:rsidR="00DC1958" w:rsidRPr="00875078">
        <w:rPr>
          <w:color w:val="auto"/>
          <w:lang w:eastAsia="en-AU"/>
        </w:rPr>
        <w:t xml:space="preserve">received a </w:t>
      </w:r>
      <w:r w:rsidR="00567F1B">
        <w:rPr>
          <w:color w:val="auto"/>
          <w:lang w:eastAsia="en-AU"/>
        </w:rPr>
        <w:t xml:space="preserve">qualification at certificate level </w:t>
      </w:r>
      <w:r w:rsidR="00DC1958" w:rsidRPr="00875078">
        <w:rPr>
          <w:color w:val="auto"/>
          <w:lang w:eastAsia="en-AU"/>
        </w:rPr>
        <w:t xml:space="preserve">3-4 </w:t>
      </w:r>
      <w:r w:rsidR="00567F1B">
        <w:rPr>
          <w:color w:val="auto"/>
          <w:lang w:eastAsia="en-AU"/>
        </w:rPr>
        <w:t xml:space="preserve">of the </w:t>
      </w:r>
      <w:r w:rsidR="00B35AC3">
        <w:rPr>
          <w:color w:val="auto"/>
          <w:lang w:eastAsia="en-AU"/>
        </w:rPr>
        <w:t>New Z</w:t>
      </w:r>
      <w:r w:rsidR="00DB6E28">
        <w:rPr>
          <w:color w:val="auto"/>
          <w:lang w:eastAsia="en-AU"/>
        </w:rPr>
        <w:t xml:space="preserve">ealand Qualification Authority </w:t>
      </w:r>
      <w:r w:rsidR="00B35AC3">
        <w:rPr>
          <w:color w:val="auto"/>
          <w:lang w:eastAsia="en-AU"/>
        </w:rPr>
        <w:t>(</w:t>
      </w:r>
      <w:r w:rsidR="00DC1958" w:rsidRPr="00875078">
        <w:rPr>
          <w:color w:val="auto"/>
          <w:lang w:eastAsia="en-AU"/>
        </w:rPr>
        <w:t>NZQA</w:t>
      </w:r>
      <w:r w:rsidR="00B35AC3">
        <w:rPr>
          <w:color w:val="auto"/>
          <w:lang w:eastAsia="en-AU"/>
        </w:rPr>
        <w:t>)</w:t>
      </w:r>
      <w:r w:rsidR="00F5103E" w:rsidRPr="00875078">
        <w:rPr>
          <w:color w:val="auto"/>
          <w:lang w:eastAsia="en-AU"/>
        </w:rPr>
        <w:t xml:space="preserve"> </w:t>
      </w:r>
      <w:r w:rsidR="00DC1958" w:rsidRPr="00875078">
        <w:rPr>
          <w:color w:val="auto"/>
          <w:lang w:eastAsia="en-AU"/>
        </w:rPr>
        <w:t>Units Standards</w:t>
      </w:r>
      <w:r w:rsidR="00875078">
        <w:rPr>
          <w:color w:val="auto"/>
          <w:lang w:eastAsia="en-AU"/>
        </w:rPr>
        <w:t xml:space="preserve"> – this </w:t>
      </w:r>
      <w:r w:rsidR="00DC1958" w:rsidRPr="00875078">
        <w:rPr>
          <w:color w:val="auto"/>
          <w:lang w:eastAsia="en-AU"/>
        </w:rPr>
        <w:t xml:space="preserve">is now formally recorded on the NZQA data base and </w:t>
      </w:r>
      <w:r w:rsidR="00875078">
        <w:rPr>
          <w:color w:val="auto"/>
          <w:lang w:eastAsia="en-AU"/>
        </w:rPr>
        <w:t>f</w:t>
      </w:r>
      <w:r w:rsidR="00DC1958" w:rsidRPr="00875078">
        <w:rPr>
          <w:color w:val="auto"/>
          <w:lang w:eastAsia="en-AU"/>
        </w:rPr>
        <w:t>ormally recognised by</w:t>
      </w:r>
      <w:r w:rsidR="00C1322D">
        <w:rPr>
          <w:color w:val="auto"/>
          <w:lang w:eastAsia="en-AU"/>
        </w:rPr>
        <w:t xml:space="preserve"> the</w:t>
      </w:r>
      <w:r w:rsidR="00DC1958" w:rsidRPr="00875078">
        <w:rPr>
          <w:color w:val="auto"/>
          <w:lang w:eastAsia="en-AU"/>
        </w:rPr>
        <w:t xml:space="preserve"> Tonga National </w:t>
      </w:r>
      <w:r w:rsidR="00DC1958" w:rsidRPr="004974CB">
        <w:rPr>
          <w:color w:val="auto"/>
          <w:lang w:eastAsia="en-AU"/>
        </w:rPr>
        <w:t>Qualification and Accreditation Board</w:t>
      </w:r>
      <w:r w:rsidR="00C1322D">
        <w:rPr>
          <w:color w:val="auto"/>
          <w:lang w:eastAsia="en-AU"/>
        </w:rPr>
        <w:t>;</w:t>
      </w:r>
    </w:p>
    <w:p w:rsidR="00967A63" w:rsidRPr="004974CB" w:rsidRDefault="00CD47B2" w:rsidP="00F5103E">
      <w:pPr>
        <w:pStyle w:val="ListParagraph"/>
        <w:numPr>
          <w:ilvl w:val="0"/>
          <w:numId w:val="42"/>
        </w:numPr>
        <w:suppressAutoHyphens w:val="0"/>
        <w:spacing w:before="0" w:after="0" w:line="240" w:lineRule="auto"/>
        <w:contextualSpacing w:val="0"/>
        <w:rPr>
          <w:color w:val="auto"/>
          <w:lang w:eastAsia="en-AU"/>
        </w:rPr>
      </w:pPr>
      <w:proofErr w:type="gramStart"/>
      <w:r>
        <w:rPr>
          <w:color w:val="auto"/>
          <w:lang w:eastAsia="en-AU"/>
        </w:rPr>
        <w:t>the</w:t>
      </w:r>
      <w:proofErr w:type="gramEnd"/>
      <w:r>
        <w:rPr>
          <w:color w:val="auto"/>
          <w:lang w:eastAsia="en-AU"/>
        </w:rPr>
        <w:t xml:space="preserve"> development of collaborative partnerships</w:t>
      </w:r>
      <w:r w:rsidR="00967A63">
        <w:rPr>
          <w:color w:val="auto"/>
          <w:lang w:eastAsia="en-AU"/>
        </w:rPr>
        <w:t xml:space="preserve"> </w:t>
      </w:r>
      <w:r>
        <w:rPr>
          <w:color w:val="auto"/>
          <w:lang w:eastAsia="en-AU"/>
        </w:rPr>
        <w:t xml:space="preserve">between government, </w:t>
      </w:r>
      <w:r w:rsidR="00967A63">
        <w:rPr>
          <w:color w:val="auto"/>
          <w:lang w:eastAsia="en-AU"/>
        </w:rPr>
        <w:t>industry and communities</w:t>
      </w:r>
      <w:r>
        <w:rPr>
          <w:color w:val="auto"/>
          <w:lang w:eastAsia="en-AU"/>
        </w:rPr>
        <w:t>, to identify</w:t>
      </w:r>
      <w:r w:rsidR="00967A63">
        <w:rPr>
          <w:color w:val="auto"/>
          <w:lang w:eastAsia="en-AU"/>
        </w:rPr>
        <w:t xml:space="preserve"> needs and deliv</w:t>
      </w:r>
      <w:r>
        <w:rPr>
          <w:color w:val="auto"/>
          <w:lang w:eastAsia="en-AU"/>
        </w:rPr>
        <w:t>er</w:t>
      </w:r>
      <w:r w:rsidR="00967A63">
        <w:rPr>
          <w:color w:val="auto"/>
          <w:lang w:eastAsia="en-AU"/>
        </w:rPr>
        <w:t xml:space="preserve"> demand </w:t>
      </w:r>
      <w:r>
        <w:rPr>
          <w:color w:val="auto"/>
          <w:lang w:eastAsia="en-AU"/>
        </w:rPr>
        <w:t>driven, market-ready</w:t>
      </w:r>
      <w:r w:rsidR="00967A63">
        <w:rPr>
          <w:color w:val="auto"/>
          <w:lang w:eastAsia="en-AU"/>
        </w:rPr>
        <w:t xml:space="preserve"> skills development</w:t>
      </w:r>
      <w:r>
        <w:rPr>
          <w:color w:val="auto"/>
          <w:lang w:eastAsia="en-AU"/>
        </w:rPr>
        <w:t>.</w:t>
      </w:r>
      <w:r w:rsidR="00967A63">
        <w:rPr>
          <w:color w:val="auto"/>
          <w:lang w:eastAsia="en-AU"/>
        </w:rPr>
        <w:t xml:space="preserve"> </w:t>
      </w:r>
    </w:p>
    <w:p w:rsidR="00DC1958" w:rsidRPr="00867CA7" w:rsidRDefault="00483D91" w:rsidP="00015316">
      <w:pPr>
        <w:rPr>
          <w:color w:val="auto"/>
        </w:rPr>
      </w:pPr>
      <w:r w:rsidRPr="00867CA7">
        <w:rPr>
          <w:color w:val="auto"/>
        </w:rPr>
        <w:lastRenderedPageBreak/>
        <w:t>In 2016-17</w:t>
      </w:r>
      <w:r w:rsidR="006342C0" w:rsidRPr="00867CA7">
        <w:rPr>
          <w:color w:val="auto"/>
        </w:rPr>
        <w:t xml:space="preserve">, </w:t>
      </w:r>
      <w:r w:rsidRPr="00867CA7">
        <w:rPr>
          <w:color w:val="auto"/>
        </w:rPr>
        <w:t xml:space="preserve">key elements from </w:t>
      </w:r>
      <w:r w:rsidR="006342C0" w:rsidRPr="00867CA7">
        <w:rPr>
          <w:color w:val="auto"/>
        </w:rPr>
        <w:t xml:space="preserve">this program will transition to a new consolidated program, </w:t>
      </w:r>
      <w:r w:rsidR="006342C0" w:rsidRPr="00867CA7">
        <w:rPr>
          <w:i/>
          <w:color w:val="auto"/>
        </w:rPr>
        <w:t>Skills for Inclusive Economic Growth</w:t>
      </w:r>
      <w:r w:rsidR="006342C0" w:rsidRPr="00867CA7">
        <w:rPr>
          <w:color w:val="auto"/>
        </w:rPr>
        <w:t>, which will include a stronger focus on women’s economic empowerment and disability inclusio</w:t>
      </w:r>
      <w:r w:rsidR="00027DDE">
        <w:rPr>
          <w:color w:val="auto"/>
        </w:rPr>
        <w:t>n. The new program will continue to focus on ensuring skills development is targeted and responsive to labour market needs</w:t>
      </w:r>
      <w:r w:rsidR="005E4B50">
        <w:rPr>
          <w:color w:val="auto"/>
        </w:rPr>
        <w:t>.</w:t>
      </w:r>
      <w:r w:rsidR="00027DDE">
        <w:rPr>
          <w:color w:val="auto"/>
        </w:rPr>
        <w:t xml:space="preserve"> </w:t>
      </w:r>
      <w:r w:rsidR="006342C0" w:rsidRPr="00867CA7">
        <w:rPr>
          <w:color w:val="auto"/>
        </w:rPr>
        <w:t xml:space="preserve"> </w:t>
      </w:r>
    </w:p>
    <w:p w:rsidR="0026796A" w:rsidRPr="00867CA7" w:rsidRDefault="009E0EB7" w:rsidP="00015316">
      <w:pPr>
        <w:rPr>
          <w:color w:val="auto"/>
        </w:rPr>
      </w:pPr>
      <w:r w:rsidRPr="00867CA7">
        <w:rPr>
          <w:color w:val="auto"/>
        </w:rPr>
        <w:t xml:space="preserve">The </w:t>
      </w:r>
      <w:r w:rsidR="008B540D" w:rsidRPr="00867CA7">
        <w:rPr>
          <w:i/>
          <w:color w:val="auto"/>
        </w:rPr>
        <w:t>Australia Awards</w:t>
      </w:r>
      <w:r w:rsidR="008B540D" w:rsidRPr="00867CA7">
        <w:rPr>
          <w:color w:val="auto"/>
        </w:rPr>
        <w:t xml:space="preserve"> continued to </w:t>
      </w:r>
      <w:r w:rsidR="005357DF" w:rsidRPr="00867CA7">
        <w:rPr>
          <w:color w:val="auto"/>
        </w:rPr>
        <w:t>provide</w:t>
      </w:r>
      <w:r w:rsidR="006342C0" w:rsidRPr="00867CA7">
        <w:rPr>
          <w:color w:val="auto"/>
        </w:rPr>
        <w:t xml:space="preserve"> higher education </w:t>
      </w:r>
      <w:r w:rsidR="005357DF" w:rsidRPr="00867CA7">
        <w:rPr>
          <w:color w:val="auto"/>
        </w:rPr>
        <w:t xml:space="preserve">opportunities </w:t>
      </w:r>
      <w:r w:rsidR="006342C0" w:rsidRPr="00867CA7">
        <w:rPr>
          <w:color w:val="auto"/>
        </w:rPr>
        <w:t>for Tongans</w:t>
      </w:r>
      <w:r w:rsidR="005357DF" w:rsidRPr="00867CA7">
        <w:rPr>
          <w:color w:val="auto"/>
        </w:rPr>
        <w:t>,</w:t>
      </w:r>
      <w:r w:rsidR="006342C0" w:rsidRPr="00867CA7">
        <w:rPr>
          <w:color w:val="auto"/>
        </w:rPr>
        <w:t xml:space="preserve"> with </w:t>
      </w:r>
      <w:r w:rsidR="00252604" w:rsidRPr="00867CA7">
        <w:rPr>
          <w:color w:val="auto"/>
        </w:rPr>
        <w:t xml:space="preserve">27 university students graduating from </w:t>
      </w:r>
      <w:r w:rsidR="006342C0" w:rsidRPr="00867CA7">
        <w:rPr>
          <w:color w:val="auto"/>
        </w:rPr>
        <w:t xml:space="preserve">Australia Awards </w:t>
      </w:r>
      <w:r w:rsidR="00252604" w:rsidRPr="00867CA7">
        <w:rPr>
          <w:color w:val="auto"/>
        </w:rPr>
        <w:t xml:space="preserve">(Australia and Pacific institutions) </w:t>
      </w:r>
      <w:r w:rsidR="00875078">
        <w:rPr>
          <w:color w:val="auto"/>
        </w:rPr>
        <w:t xml:space="preserve">in 2015-16. A further </w:t>
      </w:r>
      <w:r w:rsidR="00252604" w:rsidRPr="00867CA7">
        <w:rPr>
          <w:color w:val="auto"/>
        </w:rPr>
        <w:t xml:space="preserve">127 </w:t>
      </w:r>
      <w:r w:rsidR="00875078">
        <w:rPr>
          <w:color w:val="auto"/>
        </w:rPr>
        <w:t>Tongans studied under long term scholarship and</w:t>
      </w:r>
      <w:r w:rsidR="00252604" w:rsidRPr="00867CA7">
        <w:rPr>
          <w:color w:val="auto"/>
        </w:rPr>
        <w:t xml:space="preserve"> </w:t>
      </w:r>
      <w:r w:rsidR="006342C0" w:rsidRPr="00867CA7">
        <w:rPr>
          <w:color w:val="auto"/>
        </w:rPr>
        <w:t>fellowship</w:t>
      </w:r>
      <w:r w:rsidR="00875078">
        <w:rPr>
          <w:color w:val="auto"/>
        </w:rPr>
        <w:t xml:space="preserve"> program</w:t>
      </w:r>
      <w:r w:rsidR="006342C0" w:rsidRPr="00867CA7">
        <w:rPr>
          <w:color w:val="auto"/>
        </w:rPr>
        <w:t>s</w:t>
      </w:r>
      <w:r w:rsidR="00875078">
        <w:rPr>
          <w:color w:val="auto"/>
        </w:rPr>
        <w:t xml:space="preserve"> (</w:t>
      </w:r>
      <w:r w:rsidR="00744D1E">
        <w:rPr>
          <w:color w:val="auto"/>
        </w:rPr>
        <w:t>65</w:t>
      </w:r>
      <w:r w:rsidR="006342C0" w:rsidRPr="00867CA7">
        <w:rPr>
          <w:color w:val="auto"/>
        </w:rPr>
        <w:t xml:space="preserve"> per cent female). Tonga continues to demonstrate high rates of success in terms of numbers graduating and numbers returning </w:t>
      </w:r>
      <w:r w:rsidR="00D57F36" w:rsidRPr="00867CA7">
        <w:rPr>
          <w:color w:val="auto"/>
        </w:rPr>
        <w:t xml:space="preserve">to higher-level or better jobs. </w:t>
      </w:r>
      <w:r w:rsidR="00345C5B" w:rsidRPr="00867CA7">
        <w:rPr>
          <w:color w:val="auto"/>
        </w:rPr>
        <w:t xml:space="preserve">The </w:t>
      </w:r>
      <w:r w:rsidR="00345C5B" w:rsidRPr="00867CA7">
        <w:rPr>
          <w:i/>
          <w:color w:val="auto"/>
        </w:rPr>
        <w:t>Seasonal Worker Programme</w:t>
      </w:r>
      <w:r w:rsidR="00345C5B" w:rsidRPr="00867CA7">
        <w:rPr>
          <w:color w:val="auto"/>
        </w:rPr>
        <w:t xml:space="preserve"> </w:t>
      </w:r>
      <w:r w:rsidR="00483D91" w:rsidRPr="00867CA7">
        <w:rPr>
          <w:color w:val="auto"/>
        </w:rPr>
        <w:t xml:space="preserve">(SWP) </w:t>
      </w:r>
      <w:r w:rsidR="00345C5B" w:rsidRPr="00867CA7">
        <w:rPr>
          <w:color w:val="auto"/>
        </w:rPr>
        <w:t xml:space="preserve">continued its successful contribution to Tongan employment, remittance and development opportunities over the reporting period. </w:t>
      </w:r>
      <w:r w:rsidR="00483D91" w:rsidRPr="00867CA7">
        <w:rPr>
          <w:color w:val="auto"/>
        </w:rPr>
        <w:t>In 2015-16</w:t>
      </w:r>
      <w:r w:rsidR="00875078">
        <w:rPr>
          <w:color w:val="auto"/>
        </w:rPr>
        <w:t>,</w:t>
      </w:r>
      <w:r w:rsidR="00483D91" w:rsidRPr="00867CA7">
        <w:rPr>
          <w:color w:val="auto"/>
        </w:rPr>
        <w:t xml:space="preserve"> </w:t>
      </w:r>
      <w:r w:rsidR="0027496B" w:rsidRPr="00867CA7">
        <w:rPr>
          <w:color w:val="auto"/>
        </w:rPr>
        <w:t>2,624</w:t>
      </w:r>
      <w:r w:rsidR="00483D91" w:rsidRPr="00867CA7">
        <w:rPr>
          <w:color w:val="auto"/>
        </w:rPr>
        <w:t xml:space="preserve"> Tongans</w:t>
      </w:r>
      <w:r w:rsidR="00F575E0" w:rsidRPr="00867CA7">
        <w:rPr>
          <w:color w:val="auto"/>
        </w:rPr>
        <w:t xml:space="preserve"> (327 women and 2,297 men) </w:t>
      </w:r>
      <w:r w:rsidR="00483D91" w:rsidRPr="00867CA7">
        <w:rPr>
          <w:color w:val="auto"/>
        </w:rPr>
        <w:t>participated in th</w:t>
      </w:r>
      <w:r w:rsidR="0027496B" w:rsidRPr="00867CA7">
        <w:rPr>
          <w:color w:val="auto"/>
        </w:rPr>
        <w:t>e SWP, representing more than 58</w:t>
      </w:r>
      <w:r w:rsidR="00483D91" w:rsidRPr="00867CA7">
        <w:rPr>
          <w:color w:val="auto"/>
        </w:rPr>
        <w:t xml:space="preserve"> per cent of total SWP participants</w:t>
      </w:r>
      <w:r w:rsidR="00420F93" w:rsidRPr="00867CA7">
        <w:rPr>
          <w:color w:val="auto"/>
        </w:rPr>
        <w:t xml:space="preserve"> during that timeframe</w:t>
      </w:r>
      <w:r w:rsidR="00483D91" w:rsidRPr="00867CA7">
        <w:rPr>
          <w:color w:val="auto"/>
        </w:rPr>
        <w:t xml:space="preserve">. </w:t>
      </w:r>
      <w:r w:rsidR="005357DF" w:rsidRPr="00867CA7">
        <w:rPr>
          <w:color w:val="auto"/>
        </w:rPr>
        <w:t xml:space="preserve">There was </w:t>
      </w:r>
      <w:r w:rsidR="0027496B" w:rsidRPr="00867CA7">
        <w:rPr>
          <w:color w:val="auto"/>
        </w:rPr>
        <w:t xml:space="preserve">negligible change </w:t>
      </w:r>
      <w:r w:rsidR="005357DF" w:rsidRPr="00867CA7">
        <w:rPr>
          <w:color w:val="auto"/>
        </w:rPr>
        <w:t xml:space="preserve">in the number of women participating in the SWP </w:t>
      </w:r>
      <w:r w:rsidR="0027496B" w:rsidRPr="00867CA7">
        <w:rPr>
          <w:color w:val="auto"/>
        </w:rPr>
        <w:t xml:space="preserve">compared to </w:t>
      </w:r>
      <w:r w:rsidR="00420F93" w:rsidRPr="00867CA7">
        <w:rPr>
          <w:color w:val="auto"/>
        </w:rPr>
        <w:t xml:space="preserve">2014-15 </w:t>
      </w:r>
      <w:r w:rsidR="005357DF" w:rsidRPr="00867CA7">
        <w:rPr>
          <w:color w:val="auto"/>
        </w:rPr>
        <w:t>(</w:t>
      </w:r>
      <w:r w:rsidR="0027496B" w:rsidRPr="00867CA7">
        <w:rPr>
          <w:color w:val="auto"/>
        </w:rPr>
        <w:t xml:space="preserve">a slight increase </w:t>
      </w:r>
      <w:r w:rsidR="005357DF" w:rsidRPr="00867CA7">
        <w:rPr>
          <w:color w:val="auto"/>
        </w:rPr>
        <w:t xml:space="preserve">by </w:t>
      </w:r>
      <w:r w:rsidR="0027496B" w:rsidRPr="00867CA7">
        <w:rPr>
          <w:color w:val="auto"/>
        </w:rPr>
        <w:t>0.5 per cent to approximately 12.5</w:t>
      </w:r>
      <w:r w:rsidR="005357DF" w:rsidRPr="00867CA7">
        <w:rPr>
          <w:color w:val="auto"/>
        </w:rPr>
        <w:t xml:space="preserve"> per cent). Efforts to improve female participation are continuing. </w:t>
      </w:r>
      <w:r w:rsidR="00A34026">
        <w:rPr>
          <w:color w:val="auto"/>
        </w:rPr>
        <w:t>Findings</w:t>
      </w:r>
      <w:r w:rsidR="00C1322D">
        <w:rPr>
          <w:color w:val="auto"/>
        </w:rPr>
        <w:t xml:space="preserve"> of ongoing research on the social impact of the SWP (expected </w:t>
      </w:r>
      <w:r w:rsidR="00A34026">
        <w:rPr>
          <w:color w:val="auto"/>
        </w:rPr>
        <w:t>in early 2017</w:t>
      </w:r>
      <w:r w:rsidR="00C1322D">
        <w:rPr>
          <w:color w:val="auto"/>
        </w:rPr>
        <w:t>)</w:t>
      </w:r>
      <w:r w:rsidR="00A34026">
        <w:rPr>
          <w:color w:val="auto"/>
        </w:rPr>
        <w:t xml:space="preserve"> will be used to refine pre-departure briefings; ongoing support for workers and their families; and processes on return.</w:t>
      </w:r>
    </w:p>
    <w:p w:rsidR="00F575E0" w:rsidRPr="00867CA7" w:rsidRDefault="005357DF" w:rsidP="00015316">
      <w:pPr>
        <w:rPr>
          <w:color w:val="auto"/>
        </w:rPr>
      </w:pPr>
      <w:r w:rsidRPr="00867CA7">
        <w:rPr>
          <w:color w:val="auto"/>
        </w:rPr>
        <w:t>T</w:t>
      </w:r>
      <w:r w:rsidR="00345C5B" w:rsidRPr="00867CA7">
        <w:rPr>
          <w:color w:val="auto"/>
        </w:rPr>
        <w:t xml:space="preserve">he </w:t>
      </w:r>
      <w:r w:rsidR="00345C5B" w:rsidRPr="00867CA7">
        <w:rPr>
          <w:i/>
          <w:color w:val="auto"/>
        </w:rPr>
        <w:t>Tonga Education Sector Program</w:t>
      </w:r>
      <w:r w:rsidR="00545FB3" w:rsidRPr="00867CA7">
        <w:rPr>
          <w:i/>
          <w:color w:val="auto"/>
        </w:rPr>
        <w:t xml:space="preserve"> Phase 2</w:t>
      </w:r>
      <w:r w:rsidR="00545FB3" w:rsidRPr="00875078">
        <w:rPr>
          <w:color w:val="auto"/>
        </w:rPr>
        <w:t xml:space="preserve"> (TESP2</w:t>
      </w:r>
      <w:r w:rsidR="00875078" w:rsidRPr="00875078">
        <w:rPr>
          <w:color w:val="auto"/>
        </w:rPr>
        <w:t xml:space="preserve">, </w:t>
      </w:r>
      <w:r w:rsidR="00B35AC3">
        <w:rPr>
          <w:color w:val="auto"/>
        </w:rPr>
        <w:t>2014-16</w:t>
      </w:r>
      <w:r w:rsidR="00545FB3" w:rsidRPr="00875078">
        <w:rPr>
          <w:color w:val="auto"/>
        </w:rPr>
        <w:t>)</w:t>
      </w:r>
      <w:r w:rsidR="00420F93" w:rsidRPr="00867CA7">
        <w:rPr>
          <w:color w:val="auto"/>
        </w:rPr>
        <w:t xml:space="preserve">, jointly funded by Australia </w:t>
      </w:r>
      <w:r w:rsidR="00875078">
        <w:rPr>
          <w:color w:val="auto"/>
        </w:rPr>
        <w:t>($</w:t>
      </w:r>
      <w:r w:rsidR="00B35AC3">
        <w:rPr>
          <w:color w:val="auto"/>
        </w:rPr>
        <w:t>6.5 million</w:t>
      </w:r>
      <w:r w:rsidR="00875078">
        <w:rPr>
          <w:color w:val="auto"/>
        </w:rPr>
        <w:t xml:space="preserve">) </w:t>
      </w:r>
      <w:r w:rsidR="00420F93" w:rsidRPr="00867CA7">
        <w:rPr>
          <w:color w:val="auto"/>
        </w:rPr>
        <w:t>and New</w:t>
      </w:r>
      <w:r w:rsidR="00875078">
        <w:rPr>
          <w:color w:val="auto"/>
        </w:rPr>
        <w:t> </w:t>
      </w:r>
      <w:r w:rsidR="00420F93" w:rsidRPr="00867CA7">
        <w:rPr>
          <w:color w:val="auto"/>
        </w:rPr>
        <w:t>Zealand</w:t>
      </w:r>
      <w:r w:rsidR="00875078">
        <w:rPr>
          <w:color w:val="auto"/>
        </w:rPr>
        <w:t xml:space="preserve"> (</w:t>
      </w:r>
      <w:r w:rsidR="004974CB">
        <w:rPr>
          <w:color w:val="auto"/>
        </w:rPr>
        <w:t>NZD4.4 million</w:t>
      </w:r>
      <w:r w:rsidR="00875078">
        <w:rPr>
          <w:color w:val="auto"/>
        </w:rPr>
        <w:t>)</w:t>
      </w:r>
      <w:r w:rsidR="00420F93" w:rsidRPr="00867CA7">
        <w:rPr>
          <w:color w:val="auto"/>
        </w:rPr>
        <w:t>, achieved positive outcomes</w:t>
      </w:r>
      <w:r w:rsidR="00867CA7" w:rsidRPr="00867CA7">
        <w:rPr>
          <w:color w:val="auto"/>
        </w:rPr>
        <w:t xml:space="preserve"> in 2015-16</w:t>
      </w:r>
      <w:r w:rsidR="00420F93" w:rsidRPr="00867CA7">
        <w:rPr>
          <w:color w:val="auto"/>
        </w:rPr>
        <w:t xml:space="preserve"> including</w:t>
      </w:r>
      <w:r w:rsidR="00A00577">
        <w:rPr>
          <w:color w:val="auto"/>
        </w:rPr>
        <w:t xml:space="preserve"> the following</w:t>
      </w:r>
      <w:r w:rsidR="00F575E0" w:rsidRPr="00867CA7">
        <w:rPr>
          <w:color w:val="auto"/>
        </w:rPr>
        <w:t>:</w:t>
      </w:r>
    </w:p>
    <w:p w:rsidR="00F575E0" w:rsidRPr="00462D47" w:rsidRDefault="00CB78E8" w:rsidP="00F575E0">
      <w:pPr>
        <w:pStyle w:val="ListParagraph"/>
        <w:numPr>
          <w:ilvl w:val="0"/>
          <w:numId w:val="42"/>
        </w:numPr>
        <w:suppressAutoHyphens w:val="0"/>
        <w:spacing w:before="0" w:after="0" w:line="240" w:lineRule="auto"/>
        <w:contextualSpacing w:val="0"/>
        <w:rPr>
          <w:color w:val="auto"/>
          <w:lang w:eastAsia="en-AU"/>
        </w:rPr>
      </w:pPr>
      <w:r w:rsidRPr="00462D47">
        <w:rPr>
          <w:color w:val="auto"/>
          <w:lang w:eastAsia="en-AU"/>
        </w:rPr>
        <w:t>1,100 Syllabus B</w:t>
      </w:r>
      <w:r w:rsidR="00F575E0" w:rsidRPr="00462D47">
        <w:rPr>
          <w:color w:val="auto"/>
          <w:lang w:eastAsia="en-AU"/>
        </w:rPr>
        <w:t xml:space="preserve">ooks and 4,600 Resource Books </w:t>
      </w:r>
      <w:r w:rsidR="00867CA7" w:rsidRPr="00462D47">
        <w:rPr>
          <w:color w:val="auto"/>
          <w:lang w:eastAsia="en-AU"/>
        </w:rPr>
        <w:t>distributed across</w:t>
      </w:r>
      <w:r w:rsidR="00F575E0" w:rsidRPr="00462D47">
        <w:rPr>
          <w:color w:val="auto"/>
          <w:lang w:eastAsia="en-AU"/>
        </w:rPr>
        <w:t xml:space="preserve"> all primary schools in Tonga</w:t>
      </w:r>
      <w:r w:rsidR="00C1322D" w:rsidRPr="00462D47">
        <w:rPr>
          <w:color w:val="auto"/>
          <w:lang w:eastAsia="en-AU"/>
        </w:rPr>
        <w:t>;</w:t>
      </w:r>
    </w:p>
    <w:p w:rsidR="00F575E0" w:rsidRPr="00462D47" w:rsidRDefault="00C1322D" w:rsidP="00F575E0">
      <w:pPr>
        <w:pStyle w:val="ListParagraph"/>
        <w:numPr>
          <w:ilvl w:val="0"/>
          <w:numId w:val="42"/>
        </w:numPr>
        <w:suppressAutoHyphens w:val="0"/>
        <w:spacing w:before="0" w:after="0" w:line="240" w:lineRule="auto"/>
        <w:contextualSpacing w:val="0"/>
        <w:rPr>
          <w:color w:val="auto"/>
          <w:lang w:eastAsia="en-AU"/>
        </w:rPr>
      </w:pPr>
      <w:r w:rsidRPr="00462D47">
        <w:rPr>
          <w:color w:val="auto"/>
          <w:lang w:eastAsia="en-AU"/>
        </w:rPr>
        <w:t xml:space="preserve">the </w:t>
      </w:r>
      <w:r w:rsidR="00B35AC3" w:rsidRPr="00462D47">
        <w:rPr>
          <w:color w:val="auto"/>
          <w:lang w:eastAsia="en-AU"/>
        </w:rPr>
        <w:t>Standardised Test of Achievements for Tonga (</w:t>
      </w:r>
      <w:r w:rsidR="00F575E0" w:rsidRPr="00462D47">
        <w:rPr>
          <w:color w:val="auto"/>
          <w:lang w:eastAsia="en-AU"/>
        </w:rPr>
        <w:t>STAT</w:t>
      </w:r>
      <w:r w:rsidR="00B35AC3" w:rsidRPr="00462D47">
        <w:rPr>
          <w:color w:val="auto"/>
          <w:lang w:eastAsia="en-AU"/>
        </w:rPr>
        <w:t>)</w:t>
      </w:r>
      <w:r w:rsidR="00867CA7" w:rsidRPr="00462D47">
        <w:rPr>
          <w:color w:val="auto"/>
          <w:lang w:eastAsia="en-AU"/>
        </w:rPr>
        <w:t xml:space="preserve"> </w:t>
      </w:r>
      <w:r w:rsidR="00F575E0" w:rsidRPr="00462D47">
        <w:rPr>
          <w:color w:val="auto"/>
          <w:lang w:eastAsia="en-AU"/>
        </w:rPr>
        <w:t>exercise completed</w:t>
      </w:r>
      <w:r w:rsidR="001E1D08" w:rsidRPr="00462D47">
        <w:rPr>
          <w:color w:val="auto"/>
          <w:lang w:eastAsia="en-AU"/>
        </w:rPr>
        <w:t>, with the report finding that</w:t>
      </w:r>
      <w:r w:rsidR="00F575E0" w:rsidRPr="00462D47">
        <w:rPr>
          <w:color w:val="auto"/>
          <w:lang w:eastAsia="en-AU"/>
        </w:rPr>
        <w:t xml:space="preserve"> </w:t>
      </w:r>
      <w:r w:rsidR="001E1D08" w:rsidRPr="00462D47">
        <w:rPr>
          <w:color w:val="auto"/>
          <w:lang w:eastAsia="en-AU"/>
        </w:rPr>
        <w:t>the</w:t>
      </w:r>
      <w:r w:rsidR="00F575E0" w:rsidRPr="00462D47">
        <w:rPr>
          <w:color w:val="auto"/>
          <w:lang w:eastAsia="en-AU"/>
        </w:rPr>
        <w:t xml:space="preserve"> STAT result </w:t>
      </w:r>
      <w:r w:rsidR="00CC5732" w:rsidRPr="00462D47">
        <w:rPr>
          <w:color w:val="auto"/>
          <w:lang w:eastAsia="en-AU"/>
        </w:rPr>
        <w:t xml:space="preserve">for Tonga was </w:t>
      </w:r>
      <w:r w:rsidR="00CB78E8" w:rsidRPr="00462D47">
        <w:rPr>
          <w:color w:val="auto"/>
          <w:lang w:eastAsia="en-AU"/>
        </w:rPr>
        <w:t xml:space="preserve">both </w:t>
      </w:r>
      <w:r w:rsidR="00F575E0" w:rsidRPr="00462D47">
        <w:rPr>
          <w:color w:val="auto"/>
          <w:lang w:eastAsia="en-AU"/>
        </w:rPr>
        <w:t>satisfactory</w:t>
      </w:r>
      <w:r w:rsidR="007617CA" w:rsidRPr="00462D47">
        <w:rPr>
          <w:color w:val="auto"/>
          <w:lang w:eastAsia="en-AU"/>
        </w:rPr>
        <w:t xml:space="preserve"> </w:t>
      </w:r>
      <w:r w:rsidR="001E1D08" w:rsidRPr="00462D47">
        <w:rPr>
          <w:color w:val="auto"/>
          <w:lang w:eastAsia="en-AU"/>
        </w:rPr>
        <w:t xml:space="preserve">and </w:t>
      </w:r>
      <w:r w:rsidR="00CC5732" w:rsidRPr="00462D47">
        <w:rPr>
          <w:color w:val="auto"/>
          <w:lang w:eastAsia="en-AU"/>
        </w:rPr>
        <w:t>an improvement on the 2014 baseline</w:t>
      </w:r>
      <w:r w:rsidRPr="00462D47">
        <w:rPr>
          <w:color w:val="auto"/>
          <w:lang w:eastAsia="en-AU"/>
        </w:rPr>
        <w:t>;</w:t>
      </w:r>
    </w:p>
    <w:p w:rsidR="00F575E0" w:rsidRPr="00462D47" w:rsidRDefault="00F575E0" w:rsidP="00F575E0">
      <w:pPr>
        <w:pStyle w:val="ListParagraph"/>
        <w:numPr>
          <w:ilvl w:val="0"/>
          <w:numId w:val="42"/>
        </w:numPr>
        <w:suppressAutoHyphens w:val="0"/>
        <w:spacing w:before="0" w:after="0" w:line="240" w:lineRule="auto"/>
        <w:contextualSpacing w:val="0"/>
        <w:rPr>
          <w:color w:val="auto"/>
          <w:lang w:eastAsia="en-AU"/>
        </w:rPr>
      </w:pPr>
      <w:r w:rsidRPr="00462D47">
        <w:rPr>
          <w:color w:val="auto"/>
          <w:lang w:eastAsia="en-AU"/>
        </w:rPr>
        <w:t xml:space="preserve">377 teachers </w:t>
      </w:r>
      <w:r w:rsidR="00B35AC3" w:rsidRPr="00462D47">
        <w:rPr>
          <w:color w:val="auto"/>
          <w:lang w:eastAsia="en-AU"/>
        </w:rPr>
        <w:t xml:space="preserve">in </w:t>
      </w:r>
      <w:proofErr w:type="spellStart"/>
      <w:r w:rsidR="00B35AC3" w:rsidRPr="00462D47">
        <w:rPr>
          <w:color w:val="auto"/>
          <w:lang w:eastAsia="en-AU"/>
        </w:rPr>
        <w:t>Tongatapu</w:t>
      </w:r>
      <w:proofErr w:type="spellEnd"/>
      <w:r w:rsidR="00B35AC3" w:rsidRPr="00462D47">
        <w:rPr>
          <w:color w:val="auto"/>
          <w:lang w:eastAsia="en-AU"/>
        </w:rPr>
        <w:t xml:space="preserve">, </w:t>
      </w:r>
      <w:proofErr w:type="spellStart"/>
      <w:r w:rsidR="00B35AC3" w:rsidRPr="00462D47">
        <w:rPr>
          <w:color w:val="auto"/>
          <w:lang w:eastAsia="en-AU"/>
        </w:rPr>
        <w:t>Vava’u</w:t>
      </w:r>
      <w:proofErr w:type="spellEnd"/>
      <w:r w:rsidR="00B35AC3" w:rsidRPr="00462D47">
        <w:rPr>
          <w:color w:val="auto"/>
          <w:lang w:eastAsia="en-AU"/>
        </w:rPr>
        <w:t xml:space="preserve"> &amp; </w:t>
      </w:r>
      <w:proofErr w:type="spellStart"/>
      <w:r w:rsidR="00B35AC3" w:rsidRPr="00462D47">
        <w:rPr>
          <w:color w:val="auto"/>
          <w:lang w:eastAsia="en-AU"/>
        </w:rPr>
        <w:t>Ha’apai</w:t>
      </w:r>
      <w:proofErr w:type="spellEnd"/>
      <w:r w:rsidR="00B35AC3" w:rsidRPr="00462D47">
        <w:rPr>
          <w:color w:val="auto"/>
          <w:lang w:eastAsia="en-AU"/>
        </w:rPr>
        <w:t xml:space="preserve"> received professional development</w:t>
      </w:r>
      <w:r w:rsidR="004974CB" w:rsidRPr="00462D47">
        <w:rPr>
          <w:color w:val="auto"/>
          <w:lang w:eastAsia="en-AU"/>
        </w:rPr>
        <w:t xml:space="preserve"> and training</w:t>
      </w:r>
      <w:r w:rsidR="00DF325F" w:rsidRPr="00462D47">
        <w:rPr>
          <w:color w:val="auto"/>
          <w:lang w:eastAsia="en-AU"/>
        </w:rPr>
        <w:t xml:space="preserve"> to upgrade their </w:t>
      </w:r>
      <w:r w:rsidR="001E1D08" w:rsidRPr="00462D47">
        <w:rPr>
          <w:color w:val="auto"/>
          <w:lang w:eastAsia="en-AU"/>
        </w:rPr>
        <w:t xml:space="preserve">teaching </w:t>
      </w:r>
      <w:r w:rsidR="00DF325F" w:rsidRPr="00462D47">
        <w:rPr>
          <w:color w:val="auto"/>
          <w:lang w:eastAsia="en-AU"/>
        </w:rPr>
        <w:t>skills</w:t>
      </w:r>
      <w:r w:rsidR="00C1322D" w:rsidRPr="00462D47">
        <w:rPr>
          <w:color w:val="auto"/>
          <w:lang w:eastAsia="en-AU"/>
        </w:rPr>
        <w:t xml:space="preserve">; </w:t>
      </w:r>
    </w:p>
    <w:p w:rsidR="00F575E0" w:rsidRPr="00462D47" w:rsidRDefault="00737A7E" w:rsidP="00F575E0">
      <w:pPr>
        <w:pStyle w:val="ListParagraph"/>
        <w:numPr>
          <w:ilvl w:val="0"/>
          <w:numId w:val="42"/>
        </w:numPr>
        <w:suppressAutoHyphens w:val="0"/>
        <w:spacing w:before="0" w:after="0" w:line="240" w:lineRule="auto"/>
        <w:contextualSpacing w:val="0"/>
        <w:rPr>
          <w:color w:val="auto"/>
          <w:lang w:eastAsia="en-AU"/>
        </w:rPr>
      </w:pPr>
      <w:r w:rsidRPr="00462D47">
        <w:rPr>
          <w:color w:val="auto"/>
        </w:rPr>
        <w:t xml:space="preserve">167 (132 female, and 35 male) </w:t>
      </w:r>
      <w:r w:rsidR="00F575E0" w:rsidRPr="00462D47">
        <w:rPr>
          <w:color w:val="auto"/>
          <w:lang w:eastAsia="en-AU"/>
        </w:rPr>
        <w:t>teachers complet</w:t>
      </w:r>
      <w:r w:rsidR="00867CA7" w:rsidRPr="00462D47">
        <w:rPr>
          <w:color w:val="auto"/>
          <w:lang w:eastAsia="en-AU"/>
        </w:rPr>
        <w:t xml:space="preserve">ed </w:t>
      </w:r>
      <w:r w:rsidR="00F575E0" w:rsidRPr="00462D47">
        <w:rPr>
          <w:color w:val="auto"/>
          <w:lang w:eastAsia="en-AU"/>
        </w:rPr>
        <w:t>the</w:t>
      </w:r>
      <w:r w:rsidRPr="00462D47">
        <w:rPr>
          <w:color w:val="auto"/>
          <w:lang w:eastAsia="en-AU"/>
        </w:rPr>
        <w:t>ir</w:t>
      </w:r>
      <w:r w:rsidR="00F575E0" w:rsidRPr="00462D47">
        <w:rPr>
          <w:color w:val="auto"/>
          <w:lang w:eastAsia="en-AU"/>
        </w:rPr>
        <w:t xml:space="preserve"> Diploma in Education program</w:t>
      </w:r>
      <w:r w:rsidR="00462D47">
        <w:rPr>
          <w:color w:val="auto"/>
          <w:lang w:eastAsia="en-AU"/>
        </w:rPr>
        <w:t>;</w:t>
      </w:r>
    </w:p>
    <w:p w:rsidR="00867CA7" w:rsidRPr="00462D47" w:rsidRDefault="00C1322D" w:rsidP="00867CA7">
      <w:pPr>
        <w:pStyle w:val="ListParagraph"/>
        <w:numPr>
          <w:ilvl w:val="0"/>
          <w:numId w:val="42"/>
        </w:numPr>
        <w:suppressAutoHyphens w:val="0"/>
        <w:spacing w:before="0" w:after="0" w:line="240" w:lineRule="auto"/>
        <w:contextualSpacing w:val="0"/>
        <w:rPr>
          <w:color w:val="auto"/>
          <w:lang w:eastAsia="en-AU"/>
        </w:rPr>
      </w:pPr>
      <w:r w:rsidRPr="00462D47">
        <w:rPr>
          <w:color w:val="auto"/>
          <w:lang w:eastAsia="en-AU"/>
        </w:rPr>
        <w:t xml:space="preserve">construction </w:t>
      </w:r>
      <w:r w:rsidR="00867CA7" w:rsidRPr="00462D47">
        <w:rPr>
          <w:color w:val="auto"/>
          <w:lang w:eastAsia="en-AU"/>
        </w:rPr>
        <w:t xml:space="preserve">of the new </w:t>
      </w:r>
      <w:proofErr w:type="spellStart"/>
      <w:r w:rsidR="00867CA7" w:rsidRPr="00462D47">
        <w:rPr>
          <w:color w:val="auto"/>
          <w:lang w:eastAsia="en-AU"/>
        </w:rPr>
        <w:t>Kahoua</w:t>
      </w:r>
      <w:proofErr w:type="spellEnd"/>
      <w:r w:rsidR="00867CA7" w:rsidRPr="00462D47">
        <w:rPr>
          <w:color w:val="auto"/>
          <w:lang w:eastAsia="en-AU"/>
        </w:rPr>
        <w:t xml:space="preserve"> Classroom was completed</w:t>
      </w:r>
      <w:r w:rsidRPr="00462D47">
        <w:rPr>
          <w:color w:val="auto"/>
          <w:lang w:eastAsia="en-AU"/>
        </w:rPr>
        <w:t>; and</w:t>
      </w:r>
    </w:p>
    <w:p w:rsidR="00F575E0" w:rsidRPr="00462D47" w:rsidRDefault="00C1322D" w:rsidP="00F575E0">
      <w:pPr>
        <w:pStyle w:val="ListParagraph"/>
        <w:numPr>
          <w:ilvl w:val="0"/>
          <w:numId w:val="42"/>
        </w:numPr>
        <w:suppressAutoHyphens w:val="0"/>
        <w:spacing w:before="0" w:after="0" w:line="240" w:lineRule="auto"/>
        <w:contextualSpacing w:val="0"/>
        <w:rPr>
          <w:color w:val="auto"/>
          <w:lang w:eastAsia="en-AU"/>
        </w:rPr>
      </w:pPr>
      <w:proofErr w:type="gramStart"/>
      <w:r w:rsidRPr="00462D47">
        <w:rPr>
          <w:color w:val="auto"/>
          <w:lang w:eastAsia="en-AU"/>
        </w:rPr>
        <w:t>renovations</w:t>
      </w:r>
      <w:proofErr w:type="gramEnd"/>
      <w:r w:rsidRPr="00462D47">
        <w:rPr>
          <w:color w:val="auto"/>
          <w:lang w:eastAsia="en-AU"/>
        </w:rPr>
        <w:t xml:space="preserve"> </w:t>
      </w:r>
      <w:r w:rsidR="00867CA7" w:rsidRPr="00462D47">
        <w:rPr>
          <w:color w:val="auto"/>
          <w:lang w:eastAsia="en-AU"/>
        </w:rPr>
        <w:t xml:space="preserve">to the </w:t>
      </w:r>
      <w:r w:rsidR="004974CB" w:rsidRPr="00462D47">
        <w:rPr>
          <w:color w:val="auto"/>
          <w:lang w:eastAsia="en-AU"/>
        </w:rPr>
        <w:t>Teacher Training College</w:t>
      </w:r>
      <w:r w:rsidR="00867CA7" w:rsidRPr="00462D47">
        <w:rPr>
          <w:color w:val="auto"/>
          <w:lang w:eastAsia="en-AU"/>
        </w:rPr>
        <w:t xml:space="preserve"> progressed</w:t>
      </w:r>
      <w:r w:rsidR="004974CB" w:rsidRPr="00462D47">
        <w:rPr>
          <w:color w:val="auto"/>
          <w:lang w:eastAsia="en-AU"/>
        </w:rPr>
        <w:t xml:space="preserve"> as expected</w:t>
      </w:r>
      <w:r w:rsidR="00867CA7" w:rsidRPr="00462D47">
        <w:rPr>
          <w:color w:val="auto"/>
          <w:lang w:eastAsia="en-AU"/>
        </w:rPr>
        <w:t xml:space="preserve"> and</w:t>
      </w:r>
      <w:r w:rsidR="00F575E0" w:rsidRPr="00462D47">
        <w:rPr>
          <w:color w:val="auto"/>
          <w:lang w:eastAsia="en-AU"/>
        </w:rPr>
        <w:t xml:space="preserve"> </w:t>
      </w:r>
      <w:r w:rsidR="004974CB" w:rsidRPr="00462D47">
        <w:rPr>
          <w:color w:val="auto"/>
          <w:lang w:eastAsia="en-AU"/>
        </w:rPr>
        <w:t>on track to be</w:t>
      </w:r>
      <w:r w:rsidR="00F575E0" w:rsidRPr="00462D47">
        <w:rPr>
          <w:color w:val="auto"/>
          <w:lang w:eastAsia="en-AU"/>
        </w:rPr>
        <w:t xml:space="preserve"> completed by September 2016.</w:t>
      </w:r>
    </w:p>
    <w:p w:rsidR="00F254FA" w:rsidRDefault="00C1322D" w:rsidP="00015316">
      <w:pPr>
        <w:rPr>
          <w:color w:val="auto"/>
        </w:rPr>
      </w:pPr>
      <w:r>
        <w:rPr>
          <w:color w:val="auto"/>
        </w:rPr>
        <w:t xml:space="preserve">However, the </w:t>
      </w:r>
      <w:r w:rsidR="00F67543">
        <w:rPr>
          <w:color w:val="auto"/>
        </w:rPr>
        <w:t xml:space="preserve">TESP 2 has been </w:t>
      </w:r>
      <w:r w:rsidR="00F254FA">
        <w:rPr>
          <w:color w:val="auto"/>
        </w:rPr>
        <w:t>identified as an Investment Requiring Improvement for two consecutive years</w:t>
      </w:r>
      <w:r w:rsidR="00820882">
        <w:rPr>
          <w:color w:val="auto"/>
        </w:rPr>
        <w:t xml:space="preserve"> (2014 and 2015 AQC reporting periods)</w:t>
      </w:r>
      <w:r w:rsidR="00F254FA">
        <w:rPr>
          <w:color w:val="auto"/>
        </w:rPr>
        <w:t xml:space="preserve">, and the investment has </w:t>
      </w:r>
      <w:r w:rsidR="00836826">
        <w:rPr>
          <w:color w:val="auto"/>
        </w:rPr>
        <w:t>not achieved the outcomes expected over its duration</w:t>
      </w:r>
      <w:r w:rsidR="00F254FA">
        <w:rPr>
          <w:color w:val="auto"/>
        </w:rPr>
        <w:t>. A</w:t>
      </w:r>
      <w:r w:rsidR="00FC7E45" w:rsidRPr="00867CA7">
        <w:rPr>
          <w:color w:val="auto"/>
        </w:rPr>
        <w:t>n</w:t>
      </w:r>
      <w:r w:rsidR="00D57F36" w:rsidRPr="00867CA7">
        <w:rPr>
          <w:color w:val="auto"/>
        </w:rPr>
        <w:t xml:space="preserve"> independent evaluation </w:t>
      </w:r>
      <w:r w:rsidR="00F254FA">
        <w:rPr>
          <w:color w:val="auto"/>
        </w:rPr>
        <w:t xml:space="preserve">finalised </w:t>
      </w:r>
      <w:r>
        <w:rPr>
          <w:color w:val="auto"/>
        </w:rPr>
        <w:t xml:space="preserve">in </w:t>
      </w:r>
      <w:r w:rsidR="00FC7E45" w:rsidRPr="00867CA7">
        <w:rPr>
          <w:color w:val="auto"/>
        </w:rPr>
        <w:t xml:space="preserve">September 2015 </w:t>
      </w:r>
      <w:r w:rsidR="00D57F36" w:rsidRPr="00867CA7">
        <w:rPr>
          <w:color w:val="auto"/>
        </w:rPr>
        <w:t xml:space="preserve">found that </w:t>
      </w:r>
      <w:r w:rsidR="00F254FA" w:rsidRPr="00F254FA">
        <w:rPr>
          <w:color w:val="auto"/>
        </w:rPr>
        <w:t xml:space="preserve">program objectives were too ambitious for the timeframes, </w:t>
      </w:r>
      <w:r w:rsidR="00F254FA">
        <w:rPr>
          <w:color w:val="auto"/>
        </w:rPr>
        <w:t xml:space="preserve">and noted that </w:t>
      </w:r>
      <w:r w:rsidR="00F254FA" w:rsidRPr="00F254FA">
        <w:rPr>
          <w:color w:val="auto"/>
        </w:rPr>
        <w:t>program implem</w:t>
      </w:r>
      <w:r w:rsidR="00F254FA">
        <w:rPr>
          <w:color w:val="auto"/>
        </w:rPr>
        <w:t xml:space="preserve">entation </w:t>
      </w:r>
      <w:r w:rsidR="00836826">
        <w:rPr>
          <w:color w:val="auto"/>
        </w:rPr>
        <w:t xml:space="preserve">had </w:t>
      </w:r>
      <w:r>
        <w:rPr>
          <w:color w:val="auto"/>
        </w:rPr>
        <w:t xml:space="preserve">made poor progress and there were </w:t>
      </w:r>
      <w:r w:rsidR="00F254FA">
        <w:rPr>
          <w:color w:val="auto"/>
        </w:rPr>
        <w:t>expenditure delays</w:t>
      </w:r>
      <w:r w:rsidR="00FC7E45" w:rsidRPr="00867CA7">
        <w:rPr>
          <w:color w:val="auto"/>
        </w:rPr>
        <w:t xml:space="preserve">. </w:t>
      </w:r>
      <w:r w:rsidR="00633B46" w:rsidRPr="00867CA7">
        <w:rPr>
          <w:color w:val="auto"/>
        </w:rPr>
        <w:t>The TESP2 investment concludes in September 2016</w:t>
      </w:r>
      <w:r w:rsidR="00F254FA">
        <w:rPr>
          <w:color w:val="auto"/>
        </w:rPr>
        <w:t xml:space="preserve"> and will not be renewed</w:t>
      </w:r>
      <w:r w:rsidR="00633B46" w:rsidRPr="00867CA7">
        <w:rPr>
          <w:color w:val="auto"/>
        </w:rPr>
        <w:t xml:space="preserve">. </w:t>
      </w:r>
      <w:r w:rsidR="00FC7E45" w:rsidRPr="00867CA7">
        <w:rPr>
          <w:color w:val="auto"/>
        </w:rPr>
        <w:t xml:space="preserve">Australia and Tonga have agreed that Australia </w:t>
      </w:r>
      <w:r w:rsidR="00CE3F63">
        <w:rPr>
          <w:color w:val="auto"/>
        </w:rPr>
        <w:t xml:space="preserve">continue to support </w:t>
      </w:r>
      <w:r w:rsidR="00CB78E8">
        <w:rPr>
          <w:color w:val="auto"/>
        </w:rPr>
        <w:t xml:space="preserve">the </w:t>
      </w:r>
      <w:r w:rsidR="00E149B4" w:rsidRPr="00867CA7">
        <w:rPr>
          <w:color w:val="auto"/>
        </w:rPr>
        <w:t xml:space="preserve">school based grants program over two more years, as part of a transition strategy to </w:t>
      </w:r>
      <w:r w:rsidR="00F254FA">
        <w:rPr>
          <w:color w:val="auto"/>
        </w:rPr>
        <w:t>exit the basic education sector</w:t>
      </w:r>
      <w:r>
        <w:rPr>
          <w:color w:val="auto"/>
        </w:rPr>
        <w:t xml:space="preserve"> and instead focus on vocational education and training</w:t>
      </w:r>
      <w:r w:rsidR="00F254FA">
        <w:rPr>
          <w:color w:val="auto"/>
        </w:rPr>
        <w:t xml:space="preserve">. </w:t>
      </w:r>
    </w:p>
    <w:p w:rsidR="00F254FA" w:rsidRDefault="00E149B4" w:rsidP="00015316">
      <w:pPr>
        <w:rPr>
          <w:i/>
          <w:color w:val="auto"/>
        </w:rPr>
      </w:pPr>
      <w:r w:rsidRPr="004974CB">
        <w:rPr>
          <w:color w:val="auto"/>
        </w:rPr>
        <w:t xml:space="preserve">The 2015-16 performance </w:t>
      </w:r>
      <w:proofErr w:type="gramStart"/>
      <w:r w:rsidRPr="004974CB">
        <w:rPr>
          <w:color w:val="auto"/>
        </w:rPr>
        <w:t>benchmark</w:t>
      </w:r>
      <w:proofErr w:type="gramEnd"/>
      <w:r w:rsidR="00426B65">
        <w:rPr>
          <w:color w:val="auto"/>
        </w:rPr>
        <w:t xml:space="preserve"> </w:t>
      </w:r>
      <w:r w:rsidR="00836826">
        <w:rPr>
          <w:color w:val="auto"/>
        </w:rPr>
        <w:t xml:space="preserve">for this objective, </w:t>
      </w:r>
      <w:r w:rsidR="00426B65">
        <w:rPr>
          <w:color w:val="auto"/>
        </w:rPr>
        <w:t>of 60 students achieving vocational qualifications in line w</w:t>
      </w:r>
      <w:r w:rsidR="001638A1">
        <w:rPr>
          <w:color w:val="auto"/>
        </w:rPr>
        <w:t>ith</w:t>
      </w:r>
      <w:r w:rsidR="00426B65">
        <w:rPr>
          <w:color w:val="auto"/>
        </w:rPr>
        <w:t xml:space="preserve"> labour market demand</w:t>
      </w:r>
      <w:r w:rsidRPr="004974CB">
        <w:rPr>
          <w:color w:val="auto"/>
        </w:rPr>
        <w:t xml:space="preserve"> </w:t>
      </w:r>
      <w:r w:rsidR="00C1322D">
        <w:rPr>
          <w:color w:val="auto"/>
        </w:rPr>
        <w:t>was exceeded</w:t>
      </w:r>
      <w:r w:rsidR="00426B65">
        <w:rPr>
          <w:color w:val="auto"/>
        </w:rPr>
        <w:t xml:space="preserve"> significantly, </w:t>
      </w:r>
      <w:r w:rsidR="00CB78E8">
        <w:rPr>
          <w:color w:val="auto"/>
        </w:rPr>
        <w:t>with 185 students achieving qualifications</w:t>
      </w:r>
      <w:r w:rsidR="00426B65">
        <w:rPr>
          <w:color w:val="auto"/>
        </w:rPr>
        <w:t xml:space="preserve"> </w:t>
      </w:r>
      <w:r w:rsidR="00B35AC3" w:rsidRPr="004974CB">
        <w:rPr>
          <w:color w:val="auto"/>
        </w:rPr>
        <w:t>under the I</w:t>
      </w:r>
      <w:r w:rsidR="00681F8A">
        <w:rPr>
          <w:color w:val="auto"/>
        </w:rPr>
        <w:t>nterim Skills Development Facility</w:t>
      </w:r>
      <w:r w:rsidR="00B35AC3" w:rsidRPr="004974CB">
        <w:rPr>
          <w:color w:val="auto"/>
        </w:rPr>
        <w:t>.</w:t>
      </w:r>
      <w:r w:rsidR="00B35AC3" w:rsidRPr="004974CB">
        <w:rPr>
          <w:i/>
          <w:color w:val="auto"/>
        </w:rPr>
        <w:t xml:space="preserve"> </w:t>
      </w:r>
    </w:p>
    <w:p w:rsidR="00CB22B1" w:rsidRDefault="00CB22B1" w:rsidP="005E4B50">
      <w:pPr>
        <w:spacing w:after="120" w:line="280" w:lineRule="exact"/>
        <w:rPr>
          <w:b/>
          <w:color w:val="auto"/>
        </w:rPr>
      </w:pPr>
      <w:r>
        <w:rPr>
          <w:b/>
          <w:color w:val="auto"/>
        </w:rPr>
        <w:t>Other Australian Government Departments</w:t>
      </w:r>
    </w:p>
    <w:p w:rsidR="00CB22B1" w:rsidRPr="00CB78E8" w:rsidRDefault="00CB22B1" w:rsidP="00CB78E8">
      <w:pPr>
        <w:rPr>
          <w:color w:val="auto"/>
        </w:rPr>
      </w:pPr>
      <w:r w:rsidRPr="00CB78E8">
        <w:rPr>
          <w:color w:val="auto"/>
        </w:rPr>
        <w:t xml:space="preserve"> In 2015-16, Tonga received $3.26 million direct and indirect support through activities delivered largely through the Australian Federal Police and the Australian Centre for International Agricultural Research.  </w:t>
      </w:r>
    </w:p>
    <w:p w:rsidR="00836826" w:rsidRDefault="00836826">
      <w:pPr>
        <w:suppressAutoHyphens w:val="0"/>
        <w:spacing w:before="0" w:after="120" w:line="440" w:lineRule="atLeast"/>
        <w:rPr>
          <w:color w:val="auto"/>
        </w:rPr>
      </w:pPr>
      <w:r>
        <w:rPr>
          <w:color w:val="auto"/>
        </w:rPr>
        <w:br w:type="page"/>
      </w:r>
    </w:p>
    <w:p w:rsidR="00CB22B1" w:rsidRPr="00CB78E8" w:rsidRDefault="00CB22B1" w:rsidP="00CB78E8">
      <w:pPr>
        <w:rPr>
          <w:color w:val="auto"/>
        </w:rPr>
      </w:pPr>
      <w:r w:rsidRPr="00CB78E8">
        <w:rPr>
          <w:color w:val="auto"/>
        </w:rPr>
        <w:lastRenderedPageBreak/>
        <w:t xml:space="preserve">The Australian Federal Police (AFP) works in partnership with New Zealand to deliver the Tonga Police Development Program (TPDP). The current phase of assistance (a commitment of $12m over the period 2013-16) is focused on strengthening community level policing and on organisational development for Tonga Police. It </w:t>
      </w:r>
      <w:r w:rsidR="00CB78E8">
        <w:rPr>
          <w:color w:val="auto"/>
        </w:rPr>
        <w:t>also includes</w:t>
      </w:r>
      <w:r w:rsidRPr="00CB78E8">
        <w:rPr>
          <w:color w:val="auto"/>
        </w:rPr>
        <w:t xml:space="preserve"> a strong focus on dome</w:t>
      </w:r>
      <w:r w:rsidR="00CB78E8">
        <w:rPr>
          <w:color w:val="auto"/>
        </w:rPr>
        <w:t>stic violence victim support</w:t>
      </w:r>
      <w:r w:rsidRPr="00CB78E8">
        <w:rPr>
          <w:color w:val="auto"/>
        </w:rPr>
        <w:t xml:space="preserve"> and </w:t>
      </w:r>
      <w:r w:rsidR="00CB78E8">
        <w:rPr>
          <w:color w:val="auto"/>
        </w:rPr>
        <w:t>supports</w:t>
      </w:r>
      <w:r w:rsidRPr="00CB78E8">
        <w:rPr>
          <w:color w:val="auto"/>
        </w:rPr>
        <w:t xml:space="preserve"> proactive recruitment and professional development of female police officers in Tonga - evidenced by the consistently high level of recruitment of women by Tonga Police. The most recent recruit course (August 2015) comprised </w:t>
      </w:r>
      <w:r w:rsidR="00426B65">
        <w:rPr>
          <w:color w:val="auto"/>
        </w:rPr>
        <w:t>nine</w:t>
      </w:r>
      <w:r w:rsidR="00426B65" w:rsidRPr="00CB78E8">
        <w:rPr>
          <w:color w:val="auto"/>
        </w:rPr>
        <w:t xml:space="preserve"> </w:t>
      </w:r>
      <w:r w:rsidRPr="00CB78E8">
        <w:rPr>
          <w:color w:val="auto"/>
        </w:rPr>
        <w:t>female and 20 male graduates.</w:t>
      </w:r>
    </w:p>
    <w:p w:rsidR="00CB22B1" w:rsidRPr="00CB78E8" w:rsidRDefault="00CB22B1" w:rsidP="00CB78E8">
      <w:pPr>
        <w:rPr>
          <w:color w:val="auto"/>
        </w:rPr>
      </w:pPr>
      <w:r w:rsidRPr="00CB22B1">
        <w:rPr>
          <w:color w:val="auto"/>
        </w:rPr>
        <w:t>The Australian Centre for International Agricultural Research</w:t>
      </w:r>
      <w:r w:rsidR="00CB78E8">
        <w:rPr>
          <w:color w:val="auto"/>
        </w:rPr>
        <w:t xml:space="preserve"> (ACIAR)</w:t>
      </w:r>
      <w:r w:rsidRPr="00CB22B1">
        <w:rPr>
          <w:color w:val="auto"/>
        </w:rPr>
        <w:t xml:space="preserve"> supported continued development of the cultured pearl industry in Tonga, with the </w:t>
      </w:r>
      <w:r w:rsidRPr="00CB78E8">
        <w:rPr>
          <w:color w:val="auto"/>
        </w:rPr>
        <w:t>Pearl Industry Development in the Western Pacific</w:t>
      </w:r>
      <w:r w:rsidRPr="00CB22B1">
        <w:rPr>
          <w:color w:val="auto"/>
        </w:rPr>
        <w:t xml:space="preserve"> project resulting in significant expansion of the pearl farming industry.  ACIAR continues to work regionally with the Pacific Community and its partners to build research and development capacity for high-value crops for domestic consumption and export.</w:t>
      </w:r>
      <w:r w:rsidRPr="00CB78E8">
        <w:rPr>
          <w:color w:val="auto"/>
        </w:rPr>
        <w:t xml:space="preserve"> </w:t>
      </w:r>
    </w:p>
    <w:p w:rsidR="005E4B50" w:rsidRPr="001D1D27" w:rsidRDefault="005E4B50" w:rsidP="005E4B50">
      <w:pPr>
        <w:spacing w:after="120" w:line="280" w:lineRule="exact"/>
        <w:rPr>
          <w:rFonts w:eastAsia="Times New Roman"/>
        </w:rPr>
      </w:pPr>
      <w:r w:rsidRPr="001D1D27">
        <w:rPr>
          <w:b/>
          <w:color w:val="auto"/>
        </w:rPr>
        <w:t>Regional and Global programs</w:t>
      </w:r>
    </w:p>
    <w:p w:rsidR="005E4B50" w:rsidRPr="001D1D27" w:rsidRDefault="005E4B50" w:rsidP="005E4B50">
      <w:pPr>
        <w:spacing w:after="120" w:line="280" w:lineRule="exact"/>
        <w:rPr>
          <w:rFonts w:eastAsia="Times New Roman"/>
          <w:color w:val="auto"/>
        </w:rPr>
      </w:pPr>
      <w:r w:rsidRPr="001D1D27">
        <w:rPr>
          <w:rFonts w:eastAsia="Times New Roman"/>
          <w:color w:val="auto"/>
        </w:rPr>
        <w:t>During the reporting period, Tonga also benefited from Australian regional</w:t>
      </w:r>
      <w:r w:rsidR="00CB22B1">
        <w:rPr>
          <w:rFonts w:eastAsia="Times New Roman"/>
          <w:color w:val="auto"/>
        </w:rPr>
        <w:t xml:space="preserve"> ($7 million)</w:t>
      </w:r>
      <w:r w:rsidRPr="001D1D27">
        <w:rPr>
          <w:rFonts w:eastAsia="Times New Roman"/>
          <w:color w:val="auto"/>
        </w:rPr>
        <w:t xml:space="preserve"> and global </w:t>
      </w:r>
      <w:r w:rsidR="00CB22B1">
        <w:rPr>
          <w:rFonts w:eastAsia="Times New Roman"/>
          <w:color w:val="auto"/>
        </w:rPr>
        <w:t xml:space="preserve">($1 million) </w:t>
      </w:r>
      <w:r w:rsidRPr="001D1D27">
        <w:rPr>
          <w:rFonts w:eastAsia="Times New Roman"/>
          <w:color w:val="auto"/>
        </w:rPr>
        <w:t>aid programs which aim to strengthen economic growth, education, health, climate change, risk resilience and gender equality outcom</w:t>
      </w:r>
      <w:r w:rsidR="00C5672E">
        <w:rPr>
          <w:rFonts w:eastAsia="Times New Roman"/>
          <w:color w:val="auto"/>
        </w:rPr>
        <w:t>es.  These</w:t>
      </w:r>
      <w:r w:rsidRPr="001D1D27">
        <w:rPr>
          <w:rFonts w:eastAsia="Times New Roman"/>
          <w:color w:val="auto"/>
        </w:rPr>
        <w:t xml:space="preserve"> included </w:t>
      </w:r>
      <w:r w:rsidR="002A79DA">
        <w:rPr>
          <w:rFonts w:eastAsia="Times New Roman"/>
          <w:color w:val="auto"/>
        </w:rPr>
        <w:t xml:space="preserve">the </w:t>
      </w:r>
      <w:r w:rsidRPr="00F67543">
        <w:rPr>
          <w:rFonts w:eastAsia="Times New Roman"/>
          <w:i/>
          <w:color w:val="auto"/>
        </w:rPr>
        <w:t>Pacific Horticultural and Agricultural Market Access (PHAMA)</w:t>
      </w:r>
      <w:r w:rsidR="002A79DA" w:rsidRPr="00F67543">
        <w:rPr>
          <w:rFonts w:eastAsia="Times New Roman"/>
          <w:i/>
          <w:color w:val="auto"/>
        </w:rPr>
        <w:t xml:space="preserve"> program</w:t>
      </w:r>
      <w:r w:rsidRPr="001D1D27">
        <w:rPr>
          <w:rFonts w:eastAsia="Times New Roman"/>
          <w:color w:val="auto"/>
        </w:rPr>
        <w:t xml:space="preserve">, </w:t>
      </w:r>
      <w:r w:rsidR="002A79DA">
        <w:rPr>
          <w:rFonts w:eastAsia="Times New Roman"/>
          <w:color w:val="auto"/>
        </w:rPr>
        <w:t xml:space="preserve">the </w:t>
      </w:r>
      <w:r w:rsidRPr="001D1D27">
        <w:rPr>
          <w:rFonts w:eastAsia="Times New Roman"/>
          <w:color w:val="auto"/>
        </w:rPr>
        <w:t xml:space="preserve">ADB </w:t>
      </w:r>
      <w:r w:rsidRPr="00F67543">
        <w:rPr>
          <w:rFonts w:eastAsia="Times New Roman"/>
          <w:i/>
          <w:color w:val="auto"/>
        </w:rPr>
        <w:t>Private Sector Development Initiative</w:t>
      </w:r>
      <w:r w:rsidRPr="001D1D27">
        <w:rPr>
          <w:rFonts w:eastAsia="Times New Roman"/>
          <w:color w:val="auto"/>
        </w:rPr>
        <w:t>, community and regional fisheries development</w:t>
      </w:r>
      <w:r w:rsidR="002A79DA">
        <w:rPr>
          <w:rFonts w:eastAsia="Times New Roman"/>
          <w:color w:val="auto"/>
        </w:rPr>
        <w:t xml:space="preserve"> programs</w:t>
      </w:r>
      <w:r w:rsidRPr="001D1D27">
        <w:rPr>
          <w:rFonts w:eastAsia="Times New Roman"/>
          <w:color w:val="auto"/>
        </w:rPr>
        <w:t xml:space="preserve">, the </w:t>
      </w:r>
      <w:r w:rsidRPr="00F67543">
        <w:rPr>
          <w:rFonts w:eastAsia="Times New Roman"/>
          <w:i/>
          <w:color w:val="auto"/>
        </w:rPr>
        <w:t>Pacific Leadership Program</w:t>
      </w:r>
      <w:r w:rsidRPr="001D1D27">
        <w:rPr>
          <w:rFonts w:eastAsia="Times New Roman"/>
          <w:color w:val="auto"/>
        </w:rPr>
        <w:t xml:space="preserve">, the Australia Pacific Technical College, Pacific regional health programs, </w:t>
      </w:r>
      <w:r w:rsidR="002A79DA">
        <w:rPr>
          <w:rFonts w:eastAsia="Times New Roman"/>
          <w:color w:val="auto"/>
        </w:rPr>
        <w:t xml:space="preserve">the </w:t>
      </w:r>
      <w:r w:rsidRPr="00F67543">
        <w:rPr>
          <w:rFonts w:eastAsia="Times New Roman"/>
          <w:i/>
          <w:color w:val="auto"/>
        </w:rPr>
        <w:t>Pacific Risk Resilience Program</w:t>
      </w:r>
      <w:r w:rsidRPr="001D1D27">
        <w:rPr>
          <w:rFonts w:eastAsia="Times New Roman"/>
          <w:color w:val="auto"/>
        </w:rPr>
        <w:t xml:space="preserve">, </w:t>
      </w:r>
      <w:r w:rsidR="002A79DA">
        <w:rPr>
          <w:rFonts w:eastAsia="Times New Roman"/>
          <w:color w:val="auto"/>
        </w:rPr>
        <w:t xml:space="preserve">the </w:t>
      </w:r>
      <w:r w:rsidRPr="00F67543">
        <w:rPr>
          <w:rFonts w:eastAsia="Times New Roman"/>
          <w:i/>
          <w:color w:val="auto"/>
        </w:rPr>
        <w:t>Climate and Oceans Support Program</w:t>
      </w:r>
      <w:r w:rsidR="002A79DA">
        <w:rPr>
          <w:rFonts w:eastAsia="Times New Roman"/>
          <w:color w:val="auto"/>
        </w:rPr>
        <w:t xml:space="preserve"> in the Pacific</w:t>
      </w:r>
      <w:r w:rsidRPr="001D1D27">
        <w:rPr>
          <w:rFonts w:eastAsia="Times New Roman"/>
          <w:color w:val="auto"/>
        </w:rPr>
        <w:t xml:space="preserve">, </w:t>
      </w:r>
      <w:r w:rsidR="002A79DA">
        <w:rPr>
          <w:rFonts w:eastAsia="Times New Roman"/>
          <w:color w:val="auto"/>
        </w:rPr>
        <w:t xml:space="preserve">the </w:t>
      </w:r>
      <w:r w:rsidR="002A79DA" w:rsidRPr="00F67543">
        <w:rPr>
          <w:rFonts w:eastAsia="Times New Roman"/>
          <w:i/>
          <w:color w:val="auto"/>
        </w:rPr>
        <w:t xml:space="preserve">Pacific </w:t>
      </w:r>
      <w:r w:rsidRPr="00F67543">
        <w:rPr>
          <w:rFonts w:eastAsia="Times New Roman"/>
          <w:i/>
          <w:color w:val="auto"/>
        </w:rPr>
        <w:t xml:space="preserve">Sports </w:t>
      </w:r>
      <w:r w:rsidR="002A79DA" w:rsidRPr="00F67543">
        <w:rPr>
          <w:rFonts w:eastAsia="Times New Roman"/>
          <w:i/>
          <w:color w:val="auto"/>
        </w:rPr>
        <w:t>Partnerships Program</w:t>
      </w:r>
      <w:r w:rsidRPr="001D1D27">
        <w:rPr>
          <w:rFonts w:eastAsia="Times New Roman"/>
          <w:color w:val="auto"/>
        </w:rPr>
        <w:t xml:space="preserve"> and </w:t>
      </w:r>
      <w:r w:rsidR="00C5672E" w:rsidRPr="00F67543">
        <w:rPr>
          <w:rFonts w:eastAsia="Times New Roman"/>
          <w:i/>
          <w:color w:val="auto"/>
        </w:rPr>
        <w:t xml:space="preserve">Australian Volunteers for </w:t>
      </w:r>
      <w:r w:rsidR="00E7673C" w:rsidRPr="00F67543">
        <w:rPr>
          <w:rFonts w:eastAsia="Times New Roman"/>
          <w:i/>
          <w:color w:val="auto"/>
        </w:rPr>
        <w:t xml:space="preserve">International </w:t>
      </w:r>
      <w:r w:rsidR="00C5672E" w:rsidRPr="00F67543">
        <w:rPr>
          <w:rFonts w:eastAsia="Times New Roman"/>
          <w:i/>
          <w:color w:val="auto"/>
        </w:rPr>
        <w:t>Development</w:t>
      </w:r>
      <w:r w:rsidRPr="001D1D27">
        <w:rPr>
          <w:rFonts w:eastAsia="Times New Roman"/>
          <w:color w:val="auto"/>
        </w:rPr>
        <w:t xml:space="preserve">. </w:t>
      </w:r>
      <w:r w:rsidRPr="001D1D27">
        <w:rPr>
          <w:color w:val="auto"/>
        </w:rPr>
        <w:t xml:space="preserve">The Government </w:t>
      </w:r>
      <w:r w:rsidR="00C5672E">
        <w:rPr>
          <w:color w:val="auto"/>
        </w:rPr>
        <w:t xml:space="preserve">of Tonga </w:t>
      </w:r>
      <w:r w:rsidRPr="001D1D27">
        <w:rPr>
          <w:color w:val="auto"/>
        </w:rPr>
        <w:t xml:space="preserve">has requested greater information on </w:t>
      </w:r>
      <w:r w:rsidR="001D1D27">
        <w:rPr>
          <w:color w:val="auto"/>
        </w:rPr>
        <w:t xml:space="preserve">the </w:t>
      </w:r>
      <w:r w:rsidRPr="001D1D27">
        <w:rPr>
          <w:color w:val="auto"/>
        </w:rPr>
        <w:t xml:space="preserve">regional and global programs </w:t>
      </w:r>
      <w:r w:rsidR="001D1D27">
        <w:rPr>
          <w:color w:val="auto"/>
        </w:rPr>
        <w:t xml:space="preserve">operating </w:t>
      </w:r>
      <w:r w:rsidRPr="001D1D27">
        <w:rPr>
          <w:color w:val="auto"/>
        </w:rPr>
        <w:t xml:space="preserve">in Tonga. </w:t>
      </w:r>
      <w:r w:rsidR="00426B65">
        <w:rPr>
          <w:color w:val="auto"/>
        </w:rPr>
        <w:t>DFAT is working</w:t>
      </w:r>
      <w:r w:rsidR="00C5672E">
        <w:rPr>
          <w:color w:val="auto"/>
        </w:rPr>
        <w:t xml:space="preserve"> to address this need</w:t>
      </w:r>
      <w:r w:rsidR="00F05641">
        <w:rPr>
          <w:color w:val="auto"/>
        </w:rPr>
        <w:t xml:space="preserve">. We </w:t>
      </w:r>
      <w:r w:rsidR="00C5672E">
        <w:rPr>
          <w:color w:val="auto"/>
        </w:rPr>
        <w:t xml:space="preserve">are </w:t>
      </w:r>
      <w:r w:rsidR="00F05641">
        <w:rPr>
          <w:color w:val="auto"/>
        </w:rPr>
        <w:t xml:space="preserve">also </w:t>
      </w:r>
      <w:r w:rsidR="00C5672E">
        <w:rPr>
          <w:color w:val="auto"/>
        </w:rPr>
        <w:t>looking at ways</w:t>
      </w:r>
      <w:r w:rsidRPr="001D1D27">
        <w:rPr>
          <w:color w:val="auto"/>
        </w:rPr>
        <w:t xml:space="preserve"> to better align bilateral, regional and global expenditure. </w:t>
      </w:r>
      <w:r w:rsidR="000D71D6" w:rsidRPr="001D1D27">
        <w:rPr>
          <w:rFonts w:eastAsia="Times New Roman"/>
          <w:color w:val="auto"/>
        </w:rPr>
        <w:t>Program performance for these activities is assessed through the relevant Aid Program Performance Reports (for example</w:t>
      </w:r>
      <w:r w:rsidR="00C5672E">
        <w:rPr>
          <w:rFonts w:eastAsia="Times New Roman"/>
          <w:color w:val="auto"/>
        </w:rPr>
        <w:t>, the</w:t>
      </w:r>
      <w:r w:rsidR="000D71D6" w:rsidRPr="001D1D27">
        <w:rPr>
          <w:rFonts w:eastAsia="Times New Roman"/>
          <w:color w:val="auto"/>
        </w:rPr>
        <w:t xml:space="preserve"> </w:t>
      </w:r>
      <w:hyperlink r:id="rId18" w:history="1">
        <w:r w:rsidR="000D71D6" w:rsidRPr="001D1D27">
          <w:rPr>
            <w:rStyle w:val="Hyperlink"/>
            <w:rFonts w:eastAsia="Times New Roman"/>
          </w:rPr>
          <w:t>Pacific Regional Aid Program</w:t>
        </w:r>
      </w:hyperlink>
      <w:r w:rsidR="000D71D6" w:rsidRPr="001D1D27">
        <w:rPr>
          <w:rStyle w:val="Hyperlink"/>
          <w:rFonts w:eastAsia="Times New Roman"/>
        </w:rPr>
        <w:t xml:space="preserve"> Performance Report</w:t>
      </w:r>
      <w:r w:rsidR="000D71D6" w:rsidRPr="001D1D27">
        <w:rPr>
          <w:rFonts w:eastAsia="Times New Roman"/>
          <w:color w:val="auto"/>
        </w:rPr>
        <w:t>)</w:t>
      </w:r>
      <w:r w:rsidRPr="001D1D27">
        <w:rPr>
          <w:rFonts w:eastAsia="Times New Roman"/>
          <w:color w:val="auto"/>
        </w:rPr>
        <w:t xml:space="preserve">. </w:t>
      </w:r>
    </w:p>
    <w:p w:rsidR="005B5769" w:rsidRPr="005D6208" w:rsidRDefault="005B5769" w:rsidP="005E4B50">
      <w:pPr>
        <w:pStyle w:val="ListBullet"/>
        <w:keepNext/>
        <w:keepLines/>
        <w:tabs>
          <w:tab w:val="clear" w:pos="284"/>
        </w:tabs>
        <w:spacing w:before="400"/>
        <w:rPr>
          <w:rFonts w:asciiTheme="majorHAnsi" w:eastAsiaTheme="majorEastAsia" w:hAnsiTheme="majorHAnsi" w:cstheme="majorBidi"/>
          <w:caps/>
          <w:sz w:val="36"/>
          <w:szCs w:val="26"/>
          <w:lang w:val="en-GB" w:eastAsia="en-US"/>
        </w:rPr>
      </w:pPr>
      <w:r w:rsidRPr="005D6208">
        <w:rPr>
          <w:rFonts w:asciiTheme="majorHAnsi" w:eastAsiaTheme="majorEastAsia" w:hAnsiTheme="majorHAnsi" w:cstheme="majorBidi"/>
          <w:caps/>
          <w:sz w:val="36"/>
          <w:szCs w:val="26"/>
          <w:lang w:val="en-GB" w:eastAsia="en-US"/>
        </w:rPr>
        <w:t>Progress towards Performance Benchmarks in 2015</w:t>
      </w:r>
      <w:r w:rsidR="00B438D3" w:rsidRPr="005D6208">
        <w:rPr>
          <w:rFonts w:asciiTheme="majorHAnsi" w:eastAsiaTheme="majorEastAsia" w:hAnsiTheme="majorHAnsi" w:cstheme="majorBidi"/>
          <w:caps/>
          <w:sz w:val="36"/>
          <w:szCs w:val="26"/>
          <w:lang w:val="en-GB" w:eastAsia="en-US"/>
        </w:rPr>
        <w:noBreakHyphen/>
      </w:r>
      <w:r w:rsidRPr="005D6208">
        <w:rPr>
          <w:rFonts w:asciiTheme="majorHAnsi" w:eastAsiaTheme="majorEastAsia" w:hAnsiTheme="majorHAnsi" w:cstheme="majorBidi"/>
          <w:caps/>
          <w:sz w:val="36"/>
          <w:szCs w:val="26"/>
          <w:lang w:val="en-GB" w:eastAsia="en-US"/>
        </w:rPr>
        <w:t>16</w:t>
      </w:r>
    </w:p>
    <w:tbl>
      <w:tblPr>
        <w:tblStyle w:val="DFATTable"/>
        <w:tblW w:w="5111" w:type="pct"/>
        <w:tblLook w:val="04A0" w:firstRow="1" w:lastRow="0" w:firstColumn="1" w:lastColumn="0" w:noHBand="0" w:noVBand="1"/>
      </w:tblPr>
      <w:tblGrid>
        <w:gridCol w:w="1540"/>
        <w:gridCol w:w="1537"/>
        <w:gridCol w:w="1144"/>
        <w:gridCol w:w="5852"/>
      </w:tblGrid>
      <w:tr w:rsidR="005B5769" w:rsidRPr="00C4114C" w:rsidTr="003B0793">
        <w:trPr>
          <w:tblHeader/>
        </w:trPr>
        <w:tc>
          <w:tcPr>
            <w:tcW w:w="764" w:type="pct"/>
            <w:tcMar>
              <w:top w:w="57" w:type="dxa"/>
              <w:bottom w:w="57" w:type="dxa"/>
            </w:tcMar>
          </w:tcPr>
          <w:p w:rsidR="005B5769" w:rsidRPr="003B0793" w:rsidRDefault="005B5769" w:rsidP="005E4B50">
            <w:pPr>
              <w:pStyle w:val="TableHeading1"/>
              <w:keepNext/>
              <w:rPr>
                <w:rFonts w:asciiTheme="minorHAnsi" w:hAnsiTheme="minorHAnsi"/>
              </w:rPr>
            </w:pPr>
            <w:r w:rsidRPr="003B0793">
              <w:rPr>
                <w:rFonts w:asciiTheme="minorHAnsi" w:hAnsiTheme="minorHAnsi"/>
              </w:rPr>
              <w:t>Aid objective</w:t>
            </w:r>
          </w:p>
        </w:tc>
        <w:tc>
          <w:tcPr>
            <w:tcW w:w="763" w:type="pct"/>
          </w:tcPr>
          <w:p w:rsidR="005B5769" w:rsidRPr="003B0793" w:rsidRDefault="005B5769" w:rsidP="005E4B50">
            <w:pPr>
              <w:pStyle w:val="TableHeading1"/>
              <w:keepNext/>
              <w:rPr>
                <w:rFonts w:asciiTheme="minorHAnsi" w:hAnsiTheme="minorHAnsi"/>
              </w:rPr>
            </w:pPr>
            <w:r w:rsidRPr="003B0793">
              <w:rPr>
                <w:rFonts w:asciiTheme="minorHAnsi" w:hAnsiTheme="minorHAnsi"/>
              </w:rPr>
              <w:t xml:space="preserve">2015-16 benchmark </w:t>
            </w:r>
          </w:p>
        </w:tc>
        <w:tc>
          <w:tcPr>
            <w:tcW w:w="568" w:type="pct"/>
          </w:tcPr>
          <w:p w:rsidR="005B5769" w:rsidRPr="003B0793" w:rsidRDefault="005B5769" w:rsidP="005E4B50">
            <w:pPr>
              <w:pStyle w:val="TableHeading1"/>
              <w:keepNext/>
              <w:jc w:val="center"/>
              <w:rPr>
                <w:rFonts w:asciiTheme="minorHAnsi" w:hAnsiTheme="minorHAnsi"/>
              </w:rPr>
            </w:pPr>
            <w:r w:rsidRPr="003B0793">
              <w:rPr>
                <w:rFonts w:asciiTheme="minorHAnsi" w:hAnsiTheme="minorHAnsi"/>
              </w:rPr>
              <w:t>Rating</w:t>
            </w:r>
          </w:p>
        </w:tc>
        <w:tc>
          <w:tcPr>
            <w:tcW w:w="2906" w:type="pct"/>
          </w:tcPr>
          <w:p w:rsidR="005B5769" w:rsidRPr="003B0793" w:rsidRDefault="005B5769" w:rsidP="005E4B50">
            <w:pPr>
              <w:pStyle w:val="TableHeading1"/>
              <w:keepNext/>
              <w:jc w:val="center"/>
              <w:rPr>
                <w:rFonts w:asciiTheme="minorHAnsi" w:hAnsiTheme="minorHAnsi"/>
              </w:rPr>
            </w:pPr>
            <w:r w:rsidRPr="003B0793">
              <w:rPr>
                <w:rFonts w:asciiTheme="minorHAnsi" w:hAnsiTheme="minorHAnsi"/>
              </w:rPr>
              <w:t>Progress in 2015-16</w:t>
            </w:r>
          </w:p>
        </w:tc>
      </w:tr>
      <w:tr w:rsidR="005B5769" w:rsidRPr="00C4114C" w:rsidTr="003B0793">
        <w:tc>
          <w:tcPr>
            <w:tcW w:w="764" w:type="pct"/>
            <w:tcMar>
              <w:top w:w="57" w:type="dxa"/>
              <w:bottom w:w="57" w:type="dxa"/>
            </w:tcMar>
          </w:tcPr>
          <w:p w:rsidR="005B5769" w:rsidRPr="003B0793" w:rsidRDefault="00403CCA" w:rsidP="00D15A00">
            <w:pPr>
              <w:pStyle w:val="TableTextEntries"/>
              <w:keepNext/>
              <w:rPr>
                <w:rFonts w:asciiTheme="minorHAnsi" w:hAnsiTheme="minorHAnsi"/>
              </w:rPr>
            </w:pPr>
            <w:r w:rsidRPr="00403CCA">
              <w:rPr>
                <w:rFonts w:asciiTheme="minorHAnsi" w:hAnsiTheme="minorHAnsi"/>
              </w:rPr>
              <w:t>Governance, economic and private sector development reforms</w:t>
            </w:r>
          </w:p>
        </w:tc>
        <w:tc>
          <w:tcPr>
            <w:tcW w:w="763" w:type="pct"/>
          </w:tcPr>
          <w:p w:rsidR="005B5769" w:rsidRPr="003B0793" w:rsidRDefault="00504899" w:rsidP="00D15A00">
            <w:pPr>
              <w:pStyle w:val="TableTextEntries"/>
              <w:keepNext/>
              <w:rPr>
                <w:rFonts w:asciiTheme="minorHAnsi" w:hAnsiTheme="minorHAnsi"/>
              </w:rPr>
            </w:pPr>
            <w:r>
              <w:rPr>
                <w:rFonts w:asciiTheme="minorHAnsi" w:hAnsiTheme="minorHAnsi"/>
              </w:rPr>
              <w:t>The Government of Tonga satisfactorily completes the agreed 2015-16 economic, PFM and private sector reform actions through the JPRM</w:t>
            </w:r>
            <w:r w:rsidR="005B5769" w:rsidRPr="003B0793">
              <w:rPr>
                <w:rFonts w:asciiTheme="minorHAnsi" w:hAnsiTheme="minorHAnsi"/>
              </w:rPr>
              <w:t xml:space="preserve">.  </w:t>
            </w:r>
          </w:p>
        </w:tc>
        <w:tc>
          <w:tcPr>
            <w:tcW w:w="568" w:type="pct"/>
            <w:shd w:val="clear" w:color="auto" w:fill="92D050"/>
          </w:tcPr>
          <w:p w:rsidR="005B5769" w:rsidRPr="003B0793" w:rsidRDefault="005B5769" w:rsidP="00D15A00">
            <w:pPr>
              <w:pStyle w:val="TableTextEntries"/>
              <w:keepNext/>
              <w:jc w:val="center"/>
              <w:rPr>
                <w:rFonts w:asciiTheme="minorHAnsi" w:hAnsiTheme="minorHAnsi"/>
                <w:color w:val="FFFFFF" w:themeColor="background1"/>
              </w:rPr>
            </w:pPr>
            <w:r w:rsidRPr="003B0793">
              <w:rPr>
                <w:rFonts w:asciiTheme="minorHAnsi" w:hAnsiTheme="minorHAnsi"/>
                <w:color w:val="FFFFFF" w:themeColor="background1"/>
              </w:rPr>
              <w:t>Achieved</w:t>
            </w:r>
          </w:p>
        </w:tc>
        <w:tc>
          <w:tcPr>
            <w:tcW w:w="2906" w:type="pct"/>
          </w:tcPr>
          <w:p w:rsidR="005B5769" w:rsidRPr="003B0793" w:rsidRDefault="005920DF" w:rsidP="00836156">
            <w:pPr>
              <w:pStyle w:val="TableTextEntries"/>
              <w:keepNext/>
              <w:rPr>
                <w:rFonts w:asciiTheme="minorHAnsi" w:hAnsiTheme="minorHAnsi"/>
              </w:rPr>
            </w:pPr>
            <w:r>
              <w:rPr>
                <w:rFonts w:asciiTheme="minorHAnsi" w:hAnsiTheme="minorHAnsi"/>
              </w:rPr>
              <w:t>The benchmark has been met</w:t>
            </w:r>
            <w:r w:rsidR="005B5769" w:rsidRPr="003B0793">
              <w:rPr>
                <w:rFonts w:asciiTheme="minorHAnsi" w:hAnsiTheme="minorHAnsi"/>
              </w:rPr>
              <w:t xml:space="preserve">. </w:t>
            </w:r>
            <w:r>
              <w:rPr>
                <w:rFonts w:asciiTheme="minorHAnsi" w:hAnsiTheme="minorHAnsi"/>
              </w:rPr>
              <w:t xml:space="preserve">The World Bank Board’s March </w:t>
            </w:r>
            <w:r w:rsidR="00330561">
              <w:rPr>
                <w:rFonts w:asciiTheme="minorHAnsi" w:hAnsiTheme="minorHAnsi"/>
              </w:rPr>
              <w:t xml:space="preserve">2016 </w:t>
            </w:r>
            <w:r>
              <w:rPr>
                <w:rFonts w:asciiTheme="minorHAnsi" w:hAnsiTheme="minorHAnsi"/>
              </w:rPr>
              <w:t>meeting approved the Tonga budget support operation</w:t>
            </w:r>
            <w:r w:rsidR="00DD58E5">
              <w:rPr>
                <w:rFonts w:asciiTheme="minorHAnsi" w:hAnsiTheme="minorHAnsi"/>
              </w:rPr>
              <w:t xml:space="preserve"> and verifie</w:t>
            </w:r>
            <w:r w:rsidR="006E674A">
              <w:rPr>
                <w:rFonts w:asciiTheme="minorHAnsi" w:hAnsiTheme="minorHAnsi"/>
              </w:rPr>
              <w:t>d that the reforms made to date</w:t>
            </w:r>
            <w:r w:rsidR="00836156">
              <w:rPr>
                <w:rFonts w:asciiTheme="minorHAnsi" w:hAnsiTheme="minorHAnsi"/>
              </w:rPr>
              <w:t xml:space="preserve"> </w:t>
            </w:r>
            <w:r w:rsidR="00DD58E5">
              <w:rPr>
                <w:rFonts w:asciiTheme="minorHAnsi" w:hAnsiTheme="minorHAnsi"/>
              </w:rPr>
              <w:t>have been achieved</w:t>
            </w:r>
            <w:r w:rsidR="00836156">
              <w:rPr>
                <w:rFonts w:asciiTheme="minorHAnsi" w:hAnsiTheme="minorHAnsi"/>
              </w:rPr>
              <w:t xml:space="preserve"> (as outlined in Tonga’s JPRM for 2015-1</w:t>
            </w:r>
            <w:r w:rsidR="00426B65">
              <w:rPr>
                <w:rFonts w:asciiTheme="minorHAnsi" w:hAnsiTheme="minorHAnsi"/>
              </w:rPr>
              <w:t>6</w:t>
            </w:r>
            <w:r w:rsidR="00836156">
              <w:rPr>
                <w:rFonts w:asciiTheme="minorHAnsi" w:hAnsiTheme="minorHAnsi"/>
              </w:rPr>
              <w:t>)</w:t>
            </w:r>
            <w:r w:rsidR="00DD58E5">
              <w:rPr>
                <w:rFonts w:asciiTheme="minorHAnsi" w:hAnsiTheme="minorHAnsi"/>
              </w:rPr>
              <w:t xml:space="preserve">. DFAT’s </w:t>
            </w:r>
            <w:r w:rsidR="00330561">
              <w:rPr>
                <w:rFonts w:asciiTheme="minorHAnsi" w:hAnsiTheme="minorHAnsi"/>
              </w:rPr>
              <w:t>A</w:t>
            </w:r>
            <w:r w:rsidR="00483677">
              <w:rPr>
                <w:rFonts w:asciiTheme="minorHAnsi" w:hAnsiTheme="minorHAnsi"/>
              </w:rPr>
              <w:t>UD</w:t>
            </w:r>
            <w:r w:rsidR="00330561">
              <w:rPr>
                <w:rFonts w:asciiTheme="minorHAnsi" w:hAnsiTheme="minorHAnsi"/>
              </w:rPr>
              <w:t>4</w:t>
            </w:r>
            <w:r w:rsidR="00483677">
              <w:rPr>
                <w:rFonts w:asciiTheme="minorHAnsi" w:hAnsiTheme="minorHAnsi"/>
              </w:rPr>
              <w:t> </w:t>
            </w:r>
            <w:r w:rsidR="00330561">
              <w:rPr>
                <w:rFonts w:asciiTheme="minorHAnsi" w:hAnsiTheme="minorHAnsi"/>
              </w:rPr>
              <w:t>m</w:t>
            </w:r>
            <w:r w:rsidR="00483677">
              <w:rPr>
                <w:rFonts w:asciiTheme="minorHAnsi" w:hAnsiTheme="minorHAnsi"/>
              </w:rPr>
              <w:t>illion</w:t>
            </w:r>
            <w:r w:rsidR="00330561">
              <w:rPr>
                <w:rFonts w:asciiTheme="minorHAnsi" w:hAnsiTheme="minorHAnsi"/>
              </w:rPr>
              <w:t xml:space="preserve"> performance linked aid </w:t>
            </w:r>
            <w:r w:rsidR="00DD58E5">
              <w:rPr>
                <w:rFonts w:asciiTheme="minorHAnsi" w:hAnsiTheme="minorHAnsi"/>
              </w:rPr>
              <w:t xml:space="preserve">to the budget support operation (under the EPSG III program) was delivered to the Government of Tonga in </w:t>
            </w:r>
            <w:r w:rsidR="00633B46">
              <w:rPr>
                <w:rFonts w:asciiTheme="minorHAnsi" w:hAnsiTheme="minorHAnsi"/>
              </w:rPr>
              <w:t xml:space="preserve">May </w:t>
            </w:r>
            <w:r w:rsidR="00DD58E5">
              <w:rPr>
                <w:rFonts w:asciiTheme="minorHAnsi" w:hAnsiTheme="minorHAnsi"/>
              </w:rPr>
              <w:t>201</w:t>
            </w:r>
            <w:r w:rsidR="00330561">
              <w:rPr>
                <w:rFonts w:asciiTheme="minorHAnsi" w:hAnsiTheme="minorHAnsi"/>
              </w:rPr>
              <w:t>6</w:t>
            </w:r>
            <w:r w:rsidR="00DD58E5">
              <w:rPr>
                <w:rFonts w:asciiTheme="minorHAnsi" w:hAnsiTheme="minorHAnsi"/>
              </w:rPr>
              <w:t>.</w:t>
            </w:r>
          </w:p>
        </w:tc>
      </w:tr>
      <w:tr w:rsidR="005B5769" w:rsidRPr="00C4114C" w:rsidTr="00DD58E5">
        <w:tc>
          <w:tcPr>
            <w:tcW w:w="764" w:type="pct"/>
            <w:tcMar>
              <w:top w:w="57" w:type="dxa"/>
              <w:bottom w:w="57" w:type="dxa"/>
            </w:tcMar>
          </w:tcPr>
          <w:p w:rsidR="005B5769" w:rsidRPr="003B0793" w:rsidRDefault="00403CCA" w:rsidP="00D15A00">
            <w:pPr>
              <w:pStyle w:val="TableTextEntries"/>
              <w:keepNext/>
              <w:rPr>
                <w:rFonts w:asciiTheme="minorHAnsi" w:hAnsiTheme="minorHAnsi"/>
              </w:rPr>
            </w:pPr>
            <w:r>
              <w:rPr>
                <w:rFonts w:asciiTheme="minorHAnsi" w:hAnsiTheme="minorHAnsi"/>
              </w:rPr>
              <w:t>A more effective, efficient and equitable health system</w:t>
            </w:r>
            <w:r w:rsidR="005B5769" w:rsidRPr="003B0793">
              <w:rPr>
                <w:rFonts w:asciiTheme="minorHAnsi" w:hAnsiTheme="minorHAnsi"/>
              </w:rPr>
              <w:t xml:space="preserve"> </w:t>
            </w:r>
          </w:p>
        </w:tc>
        <w:tc>
          <w:tcPr>
            <w:tcW w:w="763" w:type="pct"/>
          </w:tcPr>
          <w:p w:rsidR="005B5769" w:rsidRPr="003B0793" w:rsidRDefault="00504899" w:rsidP="00D15A00">
            <w:pPr>
              <w:pStyle w:val="TableTextEntries"/>
              <w:keepNext/>
              <w:rPr>
                <w:rFonts w:asciiTheme="minorHAnsi" w:hAnsiTheme="minorHAnsi"/>
              </w:rPr>
            </w:pPr>
            <w:r>
              <w:rPr>
                <w:rFonts w:asciiTheme="minorHAnsi" w:hAnsiTheme="minorHAnsi"/>
              </w:rPr>
              <w:t>Complete national NCD strategy and media campaign</w:t>
            </w:r>
          </w:p>
        </w:tc>
        <w:tc>
          <w:tcPr>
            <w:tcW w:w="568" w:type="pct"/>
            <w:shd w:val="clear" w:color="auto" w:fill="92D050"/>
          </w:tcPr>
          <w:p w:rsidR="005B5769" w:rsidRPr="003B0793" w:rsidRDefault="00DD58E5" w:rsidP="00D15A00">
            <w:pPr>
              <w:pStyle w:val="TableTextEntries"/>
              <w:keepNext/>
              <w:jc w:val="center"/>
              <w:rPr>
                <w:rFonts w:asciiTheme="minorHAnsi" w:hAnsiTheme="minorHAnsi"/>
              </w:rPr>
            </w:pPr>
            <w:r>
              <w:rPr>
                <w:rFonts w:asciiTheme="minorHAnsi" w:hAnsiTheme="minorHAnsi"/>
                <w:color w:val="FFFFFF" w:themeColor="background1"/>
              </w:rPr>
              <w:t>Achieved</w:t>
            </w:r>
          </w:p>
        </w:tc>
        <w:tc>
          <w:tcPr>
            <w:tcW w:w="2906" w:type="pct"/>
          </w:tcPr>
          <w:p w:rsidR="005B5769" w:rsidRPr="003B0793" w:rsidRDefault="00681F8A" w:rsidP="00B00172">
            <w:pPr>
              <w:pStyle w:val="TableTextEntries"/>
              <w:keepNext/>
              <w:rPr>
                <w:rFonts w:asciiTheme="minorHAnsi" w:hAnsiTheme="minorHAnsi"/>
              </w:rPr>
            </w:pPr>
            <w:r>
              <w:rPr>
                <w:rFonts w:asciiTheme="minorHAnsi" w:hAnsiTheme="minorHAnsi"/>
              </w:rPr>
              <w:t>The bench</w:t>
            </w:r>
            <w:r w:rsidR="00E905BE">
              <w:rPr>
                <w:rFonts w:asciiTheme="minorHAnsi" w:hAnsiTheme="minorHAnsi"/>
              </w:rPr>
              <w:t xml:space="preserve">mark has been met. </w:t>
            </w:r>
            <w:r w:rsidR="0098089D">
              <w:rPr>
                <w:rFonts w:asciiTheme="minorHAnsi" w:hAnsiTheme="minorHAnsi"/>
              </w:rPr>
              <w:t>The National NCD Strategy 2015-20 was finalised in December 2015 and launched in February 2016. The launch c</w:t>
            </w:r>
            <w:r w:rsidR="00395E94">
              <w:rPr>
                <w:rFonts w:asciiTheme="minorHAnsi" w:hAnsiTheme="minorHAnsi"/>
              </w:rPr>
              <w:t>oincided with the signing of a</w:t>
            </w:r>
            <w:r w:rsidR="0098089D">
              <w:rPr>
                <w:rFonts w:asciiTheme="minorHAnsi" w:hAnsiTheme="minorHAnsi"/>
              </w:rPr>
              <w:t xml:space="preserve"> </w:t>
            </w:r>
            <w:r w:rsidR="00395E94">
              <w:rPr>
                <w:rFonts w:asciiTheme="minorHAnsi" w:hAnsiTheme="minorHAnsi"/>
              </w:rPr>
              <w:t xml:space="preserve">five-year </w:t>
            </w:r>
            <w:r w:rsidR="0098089D">
              <w:rPr>
                <w:rFonts w:asciiTheme="minorHAnsi" w:hAnsiTheme="minorHAnsi"/>
              </w:rPr>
              <w:t xml:space="preserve">grant agreement </w:t>
            </w:r>
            <w:r w:rsidR="00395E94">
              <w:rPr>
                <w:rFonts w:asciiTheme="minorHAnsi" w:hAnsiTheme="minorHAnsi"/>
              </w:rPr>
              <w:t xml:space="preserve">(AUD2.1 million) </w:t>
            </w:r>
            <w:r w:rsidR="0098089D">
              <w:rPr>
                <w:rFonts w:asciiTheme="minorHAnsi" w:hAnsiTheme="minorHAnsi"/>
              </w:rPr>
              <w:t xml:space="preserve">with the Tonga Health Promotion Foundation to support implementation of the strategy. </w:t>
            </w:r>
            <w:r w:rsidR="00B00172">
              <w:rPr>
                <w:rFonts w:asciiTheme="minorHAnsi" w:hAnsiTheme="minorHAnsi"/>
              </w:rPr>
              <w:t xml:space="preserve">A national level anti- smoking campaign including media campaign was also launched under the Strategy. </w:t>
            </w:r>
          </w:p>
        </w:tc>
      </w:tr>
      <w:tr w:rsidR="005B5769" w:rsidRPr="00C4114C" w:rsidTr="00DD58E5">
        <w:tc>
          <w:tcPr>
            <w:tcW w:w="764" w:type="pct"/>
            <w:tcMar>
              <w:top w:w="57" w:type="dxa"/>
              <w:bottom w:w="57" w:type="dxa"/>
            </w:tcMar>
          </w:tcPr>
          <w:p w:rsidR="005B5769" w:rsidRPr="003B0793" w:rsidRDefault="00403CCA" w:rsidP="00D15A00">
            <w:pPr>
              <w:pStyle w:val="TableTextEntries"/>
              <w:keepNext/>
              <w:rPr>
                <w:rFonts w:asciiTheme="minorHAnsi" w:hAnsiTheme="minorHAnsi"/>
              </w:rPr>
            </w:pPr>
            <w:r>
              <w:rPr>
                <w:rFonts w:asciiTheme="minorHAnsi" w:hAnsiTheme="minorHAnsi"/>
              </w:rPr>
              <w:t>Skills development in support of economic opportunities for Tongan workers</w:t>
            </w:r>
          </w:p>
        </w:tc>
        <w:tc>
          <w:tcPr>
            <w:tcW w:w="763" w:type="pct"/>
          </w:tcPr>
          <w:p w:rsidR="005B5769" w:rsidRPr="003B0793" w:rsidRDefault="00504899" w:rsidP="00D15A00">
            <w:pPr>
              <w:pStyle w:val="TableTextEntries"/>
              <w:keepNext/>
              <w:rPr>
                <w:rFonts w:asciiTheme="minorHAnsi" w:hAnsiTheme="minorHAnsi"/>
              </w:rPr>
            </w:pPr>
            <w:r>
              <w:rPr>
                <w:rFonts w:asciiTheme="minorHAnsi" w:hAnsiTheme="minorHAnsi"/>
              </w:rPr>
              <w:t>60 students achieve vocational qualifications in line with labour market demand</w:t>
            </w:r>
            <w:r w:rsidR="005B5769" w:rsidRPr="003B0793">
              <w:rPr>
                <w:rFonts w:asciiTheme="minorHAnsi" w:hAnsiTheme="minorHAnsi"/>
              </w:rPr>
              <w:t xml:space="preserve"> </w:t>
            </w:r>
          </w:p>
        </w:tc>
        <w:tc>
          <w:tcPr>
            <w:tcW w:w="568" w:type="pct"/>
            <w:shd w:val="clear" w:color="auto" w:fill="92D050"/>
          </w:tcPr>
          <w:p w:rsidR="005B5769" w:rsidRPr="003B0793" w:rsidRDefault="00DD58E5" w:rsidP="00DD58E5">
            <w:pPr>
              <w:pStyle w:val="TableTextEntries"/>
              <w:keepNext/>
              <w:jc w:val="center"/>
              <w:rPr>
                <w:rFonts w:asciiTheme="minorHAnsi" w:hAnsiTheme="minorHAnsi"/>
              </w:rPr>
            </w:pPr>
            <w:r>
              <w:rPr>
                <w:rFonts w:asciiTheme="minorHAnsi" w:hAnsiTheme="minorHAnsi"/>
                <w:color w:val="FFFFFF" w:themeColor="background1"/>
              </w:rPr>
              <w:t>Achieved</w:t>
            </w:r>
          </w:p>
        </w:tc>
        <w:tc>
          <w:tcPr>
            <w:tcW w:w="2906" w:type="pct"/>
          </w:tcPr>
          <w:p w:rsidR="005B5769" w:rsidRPr="00E1163D" w:rsidRDefault="00E1163D" w:rsidP="00BA73DA">
            <w:pPr>
              <w:pStyle w:val="TableTextEntries"/>
              <w:keepNext/>
              <w:rPr>
                <w:rFonts w:asciiTheme="minorHAnsi" w:hAnsiTheme="minorHAnsi"/>
              </w:rPr>
            </w:pPr>
            <w:r w:rsidRPr="00E1163D">
              <w:rPr>
                <w:rFonts w:asciiTheme="minorHAnsi" w:hAnsiTheme="minorHAnsi" w:cstheme="minorBidi"/>
                <w:iCs w:val="0"/>
                <w:szCs w:val="22"/>
                <w:lang w:val="en-GB"/>
              </w:rPr>
              <w:t xml:space="preserve">The benchmark has been met.  </w:t>
            </w:r>
            <w:r w:rsidR="00BA73DA">
              <w:rPr>
                <w:rFonts w:asciiTheme="minorHAnsi" w:hAnsiTheme="minorHAnsi" w:cstheme="minorBidi"/>
                <w:iCs w:val="0"/>
                <w:szCs w:val="22"/>
                <w:lang w:val="en-GB"/>
              </w:rPr>
              <w:t xml:space="preserve">185 (99 male and 86 female) </w:t>
            </w:r>
            <w:r w:rsidRPr="00E1163D">
              <w:rPr>
                <w:rFonts w:asciiTheme="minorHAnsi" w:hAnsiTheme="minorHAnsi" w:cstheme="minorBidi"/>
                <w:iCs w:val="0"/>
                <w:szCs w:val="22"/>
                <w:lang w:val="en-GB"/>
              </w:rPr>
              <w:t>persons received a vocational qualification in line with labour market demand, formally recognised in New Zealand and Tonga.</w:t>
            </w:r>
            <w:r w:rsidR="00BA73DA">
              <w:rPr>
                <w:rFonts w:asciiTheme="minorHAnsi" w:hAnsiTheme="minorHAnsi" w:cstheme="minorBidi"/>
                <w:iCs w:val="0"/>
                <w:szCs w:val="22"/>
                <w:lang w:val="en-GB"/>
              </w:rPr>
              <w:t xml:space="preserve"> Of the 185, 89 completed New Zealand Qualifications Authority-accredited training.</w:t>
            </w:r>
            <w:r w:rsidRPr="00E1163D">
              <w:rPr>
                <w:rFonts w:asciiTheme="minorHAnsi" w:hAnsiTheme="minorHAnsi" w:cstheme="minorBidi"/>
                <w:iCs w:val="0"/>
                <w:szCs w:val="22"/>
                <w:lang w:val="en-GB"/>
              </w:rPr>
              <w:t xml:space="preserve"> </w:t>
            </w:r>
          </w:p>
        </w:tc>
      </w:tr>
    </w:tbl>
    <w:p w:rsidR="005B5769" w:rsidRDefault="005B5769" w:rsidP="005B5769">
      <w:pPr>
        <w:pStyle w:val="ListBullet"/>
        <w:tabs>
          <w:tab w:val="clear" w:pos="284"/>
        </w:tabs>
        <w:rPr>
          <w:rFonts w:ascii="Helvetica" w:hAnsi="Helvetica" w:cs="Arial"/>
          <w:color w:val="007FAD"/>
          <w:spacing w:val="-10"/>
          <w:kern w:val="28"/>
          <w:sz w:val="28"/>
          <w:szCs w:val="28"/>
        </w:rPr>
      </w:pPr>
    </w:p>
    <w:p w:rsidR="00F575E0" w:rsidRDefault="00F575E0">
      <w:pPr>
        <w:suppressAutoHyphens w:val="0"/>
        <w:spacing w:before="0" w:after="120" w:line="440" w:lineRule="atLeast"/>
      </w:pPr>
      <w:r>
        <w:br w:type="page"/>
      </w:r>
    </w:p>
    <w:p w:rsidR="00553F9A" w:rsidRDefault="00CE1C6A" w:rsidP="00CE1C6A">
      <w:pPr>
        <w:pStyle w:val="Caption"/>
        <w:rPr>
          <w:sz w:val="24"/>
        </w:rPr>
      </w:pPr>
      <w:r w:rsidRPr="008C2F58">
        <w:rPr>
          <w:sz w:val="24"/>
        </w:rPr>
        <w:lastRenderedPageBreak/>
        <w:t xml:space="preserve">Performance Benchmarks 2016-17 to 2018-19 </w:t>
      </w:r>
    </w:p>
    <w:p w:rsidR="007678F9" w:rsidRPr="00553F9A" w:rsidRDefault="007678F9" w:rsidP="007678F9">
      <w:pPr>
        <w:pStyle w:val="Caption"/>
        <w:rPr>
          <w:i/>
          <w:sz w:val="24"/>
        </w:rPr>
      </w:pPr>
      <w:r>
        <w:rPr>
          <w:i/>
          <w:sz w:val="24"/>
        </w:rPr>
        <w:t>[N</w:t>
      </w:r>
      <w:r w:rsidRPr="00553F9A">
        <w:rPr>
          <w:i/>
          <w:sz w:val="24"/>
        </w:rPr>
        <w:t xml:space="preserve">ote: these </w:t>
      </w:r>
      <w:r>
        <w:rPr>
          <w:i/>
          <w:sz w:val="24"/>
        </w:rPr>
        <w:t xml:space="preserve">benchmarks </w:t>
      </w:r>
      <w:r w:rsidRPr="00553F9A">
        <w:rPr>
          <w:i/>
          <w:sz w:val="24"/>
        </w:rPr>
        <w:t xml:space="preserve">are subject to </w:t>
      </w:r>
      <w:r>
        <w:rPr>
          <w:i/>
          <w:sz w:val="24"/>
        </w:rPr>
        <w:t xml:space="preserve">ongoing </w:t>
      </w:r>
      <w:r w:rsidRPr="00553F9A">
        <w:rPr>
          <w:i/>
          <w:sz w:val="24"/>
        </w:rPr>
        <w:t>negotiation and agreement with the Government of Tonga</w:t>
      </w:r>
      <w:r>
        <w:rPr>
          <w:i/>
          <w:sz w:val="24"/>
        </w:rPr>
        <w:t xml:space="preserve"> </w:t>
      </w:r>
      <w:r w:rsidR="00A941E0">
        <w:rPr>
          <w:i/>
          <w:sz w:val="24"/>
        </w:rPr>
        <w:t>as part of the Aid Partnership a</w:t>
      </w:r>
      <w:r>
        <w:rPr>
          <w:i/>
          <w:sz w:val="24"/>
        </w:rPr>
        <w:t>rrangement</w:t>
      </w:r>
      <w:r w:rsidRPr="00553F9A">
        <w:rPr>
          <w:i/>
          <w:sz w:val="24"/>
        </w:rPr>
        <w:t>]</w:t>
      </w:r>
    </w:p>
    <w:tbl>
      <w:tblPr>
        <w:tblStyle w:val="DFATTable"/>
        <w:tblW w:w="4946" w:type="pct"/>
        <w:tblLook w:val="04A0" w:firstRow="1" w:lastRow="0" w:firstColumn="1" w:lastColumn="0" w:noHBand="0" w:noVBand="1"/>
      </w:tblPr>
      <w:tblGrid>
        <w:gridCol w:w="402"/>
        <w:gridCol w:w="1059"/>
        <w:gridCol w:w="493"/>
        <w:gridCol w:w="2552"/>
        <w:gridCol w:w="2548"/>
        <w:gridCol w:w="2275"/>
        <w:gridCol w:w="419"/>
      </w:tblGrid>
      <w:tr w:rsidR="00CE1C6A" w:rsidTr="00B753D6">
        <w:trPr>
          <w:gridAfter w:val="1"/>
          <w:wAfter w:w="215" w:type="pct"/>
          <w:trHeight w:val="331"/>
        </w:trPr>
        <w:tc>
          <w:tcPr>
            <w:tcW w:w="749" w:type="pct"/>
            <w:gridSpan w:val="2"/>
            <w:tcBorders>
              <w:top w:val="single" w:sz="12" w:space="0" w:color="auto"/>
              <w:left w:val="nil"/>
              <w:bottom w:val="nil"/>
              <w:right w:val="nil"/>
            </w:tcBorders>
          </w:tcPr>
          <w:p w:rsidR="00CE1C6A" w:rsidRPr="00812509" w:rsidRDefault="00CE1C6A" w:rsidP="00B753D6">
            <w:pPr>
              <w:pStyle w:val="TableHeading1"/>
              <w:rPr>
                <w:rFonts w:asciiTheme="minorHAnsi" w:hAnsiTheme="minorHAnsi"/>
              </w:rPr>
            </w:pPr>
          </w:p>
        </w:tc>
        <w:tc>
          <w:tcPr>
            <w:tcW w:w="253" w:type="pct"/>
            <w:tcBorders>
              <w:top w:val="single" w:sz="12" w:space="0" w:color="auto"/>
              <w:left w:val="nil"/>
              <w:bottom w:val="nil"/>
              <w:right w:val="nil"/>
            </w:tcBorders>
          </w:tcPr>
          <w:p w:rsidR="00CE1C6A" w:rsidRPr="00812509" w:rsidRDefault="00CE1C6A" w:rsidP="00B753D6">
            <w:pPr>
              <w:pStyle w:val="TableHeading1"/>
              <w:rPr>
                <w:rFonts w:asciiTheme="minorHAnsi" w:hAnsiTheme="minorHAnsi"/>
              </w:rPr>
            </w:pPr>
          </w:p>
        </w:tc>
        <w:tc>
          <w:tcPr>
            <w:tcW w:w="1309" w:type="pct"/>
            <w:tcBorders>
              <w:top w:val="single" w:sz="12" w:space="0" w:color="auto"/>
              <w:left w:val="nil"/>
              <w:bottom w:val="nil"/>
              <w:right w:val="nil"/>
            </w:tcBorders>
            <w:hideMark/>
          </w:tcPr>
          <w:p w:rsidR="00CE1C6A" w:rsidRPr="00812509" w:rsidRDefault="00CE1C6A" w:rsidP="00B753D6">
            <w:pPr>
              <w:pStyle w:val="TableHeading1"/>
              <w:rPr>
                <w:rFonts w:asciiTheme="minorHAnsi" w:hAnsiTheme="minorHAnsi"/>
              </w:rPr>
            </w:pPr>
            <w:r w:rsidRPr="00812509">
              <w:rPr>
                <w:rFonts w:asciiTheme="minorHAnsi" w:hAnsiTheme="minorHAnsi"/>
              </w:rPr>
              <w:t>2016-17</w:t>
            </w:r>
          </w:p>
        </w:tc>
        <w:tc>
          <w:tcPr>
            <w:tcW w:w="1307" w:type="pct"/>
            <w:tcBorders>
              <w:top w:val="single" w:sz="12" w:space="0" w:color="auto"/>
              <w:left w:val="nil"/>
              <w:bottom w:val="nil"/>
              <w:right w:val="nil"/>
            </w:tcBorders>
            <w:hideMark/>
          </w:tcPr>
          <w:p w:rsidR="00CE1C6A" w:rsidRPr="00812509" w:rsidRDefault="00CE1C6A" w:rsidP="00B753D6">
            <w:pPr>
              <w:pStyle w:val="TableHeading1"/>
              <w:rPr>
                <w:rFonts w:asciiTheme="minorHAnsi" w:hAnsiTheme="minorHAnsi"/>
              </w:rPr>
            </w:pPr>
            <w:r w:rsidRPr="00812509">
              <w:rPr>
                <w:rFonts w:asciiTheme="minorHAnsi" w:hAnsiTheme="minorHAnsi"/>
              </w:rPr>
              <w:t>2017-18</w:t>
            </w:r>
          </w:p>
        </w:tc>
        <w:tc>
          <w:tcPr>
            <w:tcW w:w="1167" w:type="pct"/>
            <w:tcBorders>
              <w:top w:val="single" w:sz="12" w:space="0" w:color="auto"/>
              <w:left w:val="nil"/>
              <w:bottom w:val="nil"/>
              <w:right w:val="nil"/>
            </w:tcBorders>
            <w:hideMark/>
          </w:tcPr>
          <w:p w:rsidR="00CE1C6A" w:rsidRPr="00812509" w:rsidRDefault="00CE1C6A" w:rsidP="00B753D6">
            <w:pPr>
              <w:pStyle w:val="TableHeading1"/>
              <w:rPr>
                <w:rFonts w:asciiTheme="minorHAnsi" w:hAnsiTheme="minorHAnsi"/>
              </w:rPr>
            </w:pPr>
            <w:r w:rsidRPr="00812509">
              <w:rPr>
                <w:rFonts w:asciiTheme="minorHAnsi" w:hAnsiTheme="minorHAnsi"/>
              </w:rPr>
              <w:t>2018-19</w:t>
            </w:r>
          </w:p>
        </w:tc>
      </w:tr>
      <w:tr w:rsidR="00CE1C6A" w:rsidRPr="00C87E8D" w:rsidTr="00B753D6">
        <w:trPr>
          <w:trHeight w:val="392"/>
        </w:trPr>
        <w:tc>
          <w:tcPr>
            <w:tcW w:w="5000" w:type="pct"/>
            <w:gridSpan w:val="7"/>
            <w:tcBorders>
              <w:top w:val="nil"/>
              <w:left w:val="nil"/>
              <w:bottom w:val="nil"/>
              <w:right w:val="nil"/>
            </w:tcBorders>
          </w:tcPr>
          <w:p w:rsidR="00CE1C6A" w:rsidRPr="00C87E8D" w:rsidRDefault="00CE1C6A" w:rsidP="00B753D6">
            <w:pPr>
              <w:pStyle w:val="TableHeading1"/>
              <w:rPr>
                <w:rFonts w:asciiTheme="minorHAnsi" w:hAnsiTheme="minorHAnsi"/>
                <w:b w:val="0"/>
              </w:rPr>
            </w:pPr>
            <w:r w:rsidRPr="00C87E8D">
              <w:rPr>
                <w:rFonts w:asciiTheme="minorHAnsi" w:hAnsiTheme="minorHAnsi"/>
              </w:rPr>
              <w:t xml:space="preserve">Priority 1: </w:t>
            </w:r>
            <w:r w:rsidRPr="00CE1C6A">
              <w:rPr>
                <w:rFonts w:asciiTheme="minorHAnsi" w:hAnsiTheme="minorHAnsi"/>
              </w:rPr>
              <w:t>Governance, economic and private sector development reforms, including support of aid for trade and infrastructure</w:t>
            </w:r>
          </w:p>
        </w:tc>
      </w:tr>
      <w:tr w:rsidR="00CE1C6A" w:rsidRPr="00C87E8D" w:rsidTr="00B753D6">
        <w:trPr>
          <w:trHeight w:val="1111"/>
        </w:trPr>
        <w:tc>
          <w:tcPr>
            <w:tcW w:w="206" w:type="pct"/>
            <w:tcBorders>
              <w:top w:val="nil"/>
              <w:left w:val="nil"/>
              <w:bottom w:val="nil"/>
              <w:right w:val="nil"/>
            </w:tcBorders>
          </w:tcPr>
          <w:p w:rsidR="00CE1C6A" w:rsidRPr="00812509" w:rsidRDefault="00CE1C6A" w:rsidP="00B753D6">
            <w:pPr>
              <w:spacing w:after="120"/>
              <w:rPr>
                <w:rFonts w:asciiTheme="minorHAnsi" w:hAnsiTheme="minorHAnsi"/>
                <w:i/>
                <w:color w:val="808080" w:themeColor="background1" w:themeShade="80"/>
              </w:rPr>
            </w:pPr>
            <w:r>
              <w:rPr>
                <w:rFonts w:asciiTheme="minorHAnsi" w:hAnsiTheme="minorHAnsi"/>
                <w:szCs w:val="17"/>
              </w:rPr>
              <w:t>A</w:t>
            </w:r>
          </w:p>
        </w:tc>
        <w:tc>
          <w:tcPr>
            <w:tcW w:w="796" w:type="pct"/>
            <w:gridSpan w:val="2"/>
            <w:tcBorders>
              <w:top w:val="nil"/>
              <w:left w:val="nil"/>
              <w:bottom w:val="nil"/>
              <w:right w:val="nil"/>
            </w:tcBorders>
          </w:tcPr>
          <w:p w:rsidR="00CE1C6A" w:rsidRPr="00C87E8D" w:rsidRDefault="00816B51" w:rsidP="00CE1C6A">
            <w:pPr>
              <w:spacing w:after="120"/>
              <w:rPr>
                <w:rFonts w:asciiTheme="minorHAnsi" w:hAnsiTheme="minorHAnsi"/>
                <w:szCs w:val="17"/>
              </w:rPr>
            </w:pPr>
            <w:r>
              <w:rPr>
                <w:rFonts w:asciiTheme="minorHAnsi" w:hAnsiTheme="minorHAnsi"/>
                <w:szCs w:val="17"/>
              </w:rPr>
              <w:t>To p</w:t>
            </w:r>
            <w:r w:rsidR="00CE1C6A">
              <w:rPr>
                <w:rFonts w:asciiTheme="minorHAnsi" w:hAnsiTheme="minorHAnsi"/>
                <w:szCs w:val="17"/>
              </w:rPr>
              <w:t xml:space="preserve">rogress </w:t>
            </w:r>
            <w:r w:rsidR="00CE1C6A" w:rsidRPr="00C87E8D">
              <w:rPr>
                <w:rFonts w:asciiTheme="minorHAnsi" w:hAnsiTheme="minorHAnsi"/>
                <w:szCs w:val="17"/>
              </w:rPr>
              <w:t>economic reform priorities</w:t>
            </w:r>
          </w:p>
        </w:tc>
        <w:tc>
          <w:tcPr>
            <w:tcW w:w="1309" w:type="pct"/>
            <w:tcBorders>
              <w:top w:val="nil"/>
              <w:left w:val="nil"/>
              <w:bottom w:val="nil"/>
              <w:right w:val="nil"/>
            </w:tcBorders>
          </w:tcPr>
          <w:p w:rsidR="00CE1C6A" w:rsidRPr="00C87E8D" w:rsidRDefault="000E3778" w:rsidP="00B753D6">
            <w:pPr>
              <w:spacing w:after="120"/>
              <w:rPr>
                <w:rFonts w:asciiTheme="minorHAnsi" w:hAnsiTheme="minorHAnsi"/>
                <w:szCs w:val="17"/>
              </w:rPr>
            </w:pPr>
            <w:r>
              <w:rPr>
                <w:rFonts w:asciiTheme="minorHAnsi" w:hAnsiTheme="minorHAnsi"/>
                <w:szCs w:val="17"/>
              </w:rPr>
              <w:t xml:space="preserve">Achievement of </w:t>
            </w:r>
            <w:r w:rsidRPr="000E3778">
              <w:rPr>
                <w:rFonts w:asciiTheme="minorHAnsi" w:hAnsiTheme="minorHAnsi"/>
                <w:szCs w:val="17"/>
              </w:rPr>
              <w:t>actions under Joint Policy Reform Matrix (to improve Tonga’s Public Financial Management) triggers release of donor funding</w:t>
            </w:r>
          </w:p>
        </w:tc>
        <w:tc>
          <w:tcPr>
            <w:tcW w:w="1307" w:type="pct"/>
            <w:tcBorders>
              <w:top w:val="nil"/>
              <w:left w:val="nil"/>
              <w:bottom w:val="nil"/>
              <w:right w:val="nil"/>
            </w:tcBorders>
          </w:tcPr>
          <w:p w:rsidR="00CE1C6A" w:rsidRPr="00C87E8D" w:rsidRDefault="000E3778" w:rsidP="007678F9">
            <w:pPr>
              <w:spacing w:after="120"/>
              <w:rPr>
                <w:rFonts w:asciiTheme="minorHAnsi" w:hAnsiTheme="minorHAnsi"/>
                <w:szCs w:val="17"/>
              </w:rPr>
            </w:pPr>
            <w:r>
              <w:rPr>
                <w:rFonts w:asciiTheme="minorHAnsi" w:hAnsiTheme="minorHAnsi"/>
                <w:szCs w:val="17"/>
              </w:rPr>
              <w:t xml:space="preserve">Achievement of </w:t>
            </w:r>
            <w:r w:rsidRPr="000E3778">
              <w:rPr>
                <w:rFonts w:asciiTheme="minorHAnsi" w:hAnsiTheme="minorHAnsi"/>
                <w:szCs w:val="17"/>
              </w:rPr>
              <w:t>actions under Joint Policy Reform Matrix (to improve Tonga’s Public Financial Management) triggers release of donor funding</w:t>
            </w:r>
            <w:r w:rsidR="00CE1C6A" w:rsidRPr="00C87E8D">
              <w:rPr>
                <w:rFonts w:asciiTheme="minorHAnsi" w:hAnsiTheme="minorHAnsi"/>
                <w:szCs w:val="17"/>
              </w:rPr>
              <w:t xml:space="preserve"> </w:t>
            </w:r>
          </w:p>
        </w:tc>
        <w:tc>
          <w:tcPr>
            <w:tcW w:w="1382" w:type="pct"/>
            <w:gridSpan w:val="2"/>
            <w:tcBorders>
              <w:top w:val="nil"/>
              <w:left w:val="nil"/>
              <w:bottom w:val="nil"/>
              <w:right w:val="nil"/>
            </w:tcBorders>
          </w:tcPr>
          <w:p w:rsidR="00CE1C6A" w:rsidRPr="00C87E8D" w:rsidRDefault="00D60D2E" w:rsidP="00A46142">
            <w:pPr>
              <w:spacing w:after="120"/>
              <w:rPr>
                <w:rFonts w:asciiTheme="minorHAnsi" w:hAnsiTheme="minorHAnsi"/>
                <w:szCs w:val="17"/>
              </w:rPr>
            </w:pPr>
            <w:r>
              <w:rPr>
                <w:rFonts w:asciiTheme="minorHAnsi" w:hAnsiTheme="minorHAnsi"/>
                <w:szCs w:val="17"/>
              </w:rPr>
              <w:t>TBC</w:t>
            </w:r>
          </w:p>
        </w:tc>
      </w:tr>
      <w:tr w:rsidR="00CE1C6A" w:rsidTr="00B753D6">
        <w:trPr>
          <w:trHeight w:val="614"/>
        </w:trPr>
        <w:tc>
          <w:tcPr>
            <w:tcW w:w="206" w:type="pct"/>
            <w:tcBorders>
              <w:top w:val="nil"/>
              <w:left w:val="nil"/>
              <w:bottom w:val="nil"/>
              <w:right w:val="nil"/>
            </w:tcBorders>
          </w:tcPr>
          <w:p w:rsidR="00CE1C6A" w:rsidRPr="000E3778" w:rsidRDefault="000E3778" w:rsidP="00B753D6">
            <w:pPr>
              <w:pStyle w:val="TableHeading1"/>
              <w:rPr>
                <w:rFonts w:asciiTheme="minorHAnsi" w:hAnsiTheme="minorHAnsi"/>
                <w:b w:val="0"/>
                <w:color w:val="808080" w:themeColor="background1" w:themeShade="80"/>
              </w:rPr>
            </w:pPr>
            <w:r w:rsidRPr="000E3778">
              <w:rPr>
                <w:rFonts w:asciiTheme="minorHAnsi" w:hAnsiTheme="minorHAnsi"/>
                <w:b w:val="0"/>
                <w:color w:val="808080" w:themeColor="background1" w:themeShade="80"/>
              </w:rPr>
              <w:t>B</w:t>
            </w:r>
          </w:p>
        </w:tc>
        <w:tc>
          <w:tcPr>
            <w:tcW w:w="796" w:type="pct"/>
            <w:gridSpan w:val="2"/>
            <w:tcBorders>
              <w:top w:val="nil"/>
              <w:left w:val="nil"/>
              <w:bottom w:val="nil"/>
              <w:right w:val="nil"/>
            </w:tcBorders>
          </w:tcPr>
          <w:p w:rsidR="00CE1C6A" w:rsidRPr="00C87E8D" w:rsidRDefault="000E3778" w:rsidP="00B753D6">
            <w:pPr>
              <w:spacing w:after="120"/>
              <w:rPr>
                <w:rFonts w:asciiTheme="minorHAnsi" w:hAnsiTheme="minorHAnsi"/>
                <w:szCs w:val="17"/>
              </w:rPr>
            </w:pPr>
            <w:r w:rsidRPr="000E3778">
              <w:rPr>
                <w:rFonts w:asciiTheme="minorHAnsi" w:hAnsiTheme="minorHAnsi"/>
                <w:szCs w:val="17"/>
              </w:rPr>
              <w:t>To improve economic benefits through targeted renewable energy and trade enhancing infrastructure</w:t>
            </w:r>
          </w:p>
        </w:tc>
        <w:tc>
          <w:tcPr>
            <w:tcW w:w="1309" w:type="pct"/>
            <w:tcBorders>
              <w:top w:val="nil"/>
              <w:left w:val="nil"/>
              <w:bottom w:val="nil"/>
              <w:right w:val="nil"/>
            </w:tcBorders>
          </w:tcPr>
          <w:p w:rsidR="00CE1C6A" w:rsidRPr="00C87E8D" w:rsidRDefault="000E3778" w:rsidP="00B753D6">
            <w:pPr>
              <w:spacing w:after="120"/>
              <w:rPr>
                <w:rFonts w:asciiTheme="minorHAnsi" w:hAnsiTheme="minorHAnsi"/>
                <w:szCs w:val="17"/>
              </w:rPr>
            </w:pPr>
            <w:r w:rsidRPr="000E3778">
              <w:rPr>
                <w:rFonts w:asciiTheme="minorHAnsi" w:hAnsiTheme="minorHAnsi"/>
                <w:szCs w:val="17"/>
              </w:rPr>
              <w:t>750kWp of solar generation and 660kWh of energy storage installed in 2 outer islands – contributing to a reduction of annual diesel imports for power generation of 325,000 litres per annum, and increased access to reliable electricity for 10,000 people (10% of population)</w:t>
            </w:r>
          </w:p>
        </w:tc>
        <w:tc>
          <w:tcPr>
            <w:tcW w:w="1307" w:type="pct"/>
            <w:tcBorders>
              <w:top w:val="nil"/>
              <w:left w:val="nil"/>
              <w:bottom w:val="nil"/>
              <w:right w:val="nil"/>
            </w:tcBorders>
          </w:tcPr>
          <w:p w:rsidR="00CE1C6A" w:rsidRPr="00C87E8D" w:rsidRDefault="000E3778" w:rsidP="00B753D6">
            <w:pPr>
              <w:spacing w:after="120"/>
              <w:rPr>
                <w:rFonts w:asciiTheme="minorHAnsi" w:hAnsiTheme="minorHAnsi"/>
                <w:szCs w:val="17"/>
              </w:rPr>
            </w:pPr>
            <w:r w:rsidRPr="000E3778">
              <w:rPr>
                <w:rFonts w:asciiTheme="minorHAnsi" w:hAnsiTheme="minorHAnsi"/>
                <w:szCs w:val="17"/>
              </w:rPr>
              <w:t>An additional 220kWp of solar generation and 1,100kWh of energy storage installed in 3 outer islands – contributing to a reduction of annual diesel imports for power generation of at least 90,000 litres per annum, and increased access to reliable electricity for an additional 1,200 people</w:t>
            </w:r>
          </w:p>
        </w:tc>
        <w:tc>
          <w:tcPr>
            <w:tcW w:w="1382" w:type="pct"/>
            <w:gridSpan w:val="2"/>
            <w:tcBorders>
              <w:top w:val="nil"/>
              <w:left w:val="nil"/>
              <w:bottom w:val="nil"/>
              <w:right w:val="nil"/>
            </w:tcBorders>
          </w:tcPr>
          <w:p w:rsidR="00CE1C6A" w:rsidRPr="00C87E8D" w:rsidRDefault="000E3778" w:rsidP="00B753D6">
            <w:pPr>
              <w:spacing w:after="120"/>
              <w:rPr>
                <w:rFonts w:asciiTheme="minorHAnsi" w:hAnsiTheme="minorHAnsi"/>
                <w:szCs w:val="17"/>
              </w:rPr>
            </w:pPr>
            <w:r w:rsidRPr="000E3778">
              <w:rPr>
                <w:rFonts w:asciiTheme="minorHAnsi" w:hAnsiTheme="minorHAnsi"/>
                <w:szCs w:val="17"/>
              </w:rPr>
              <w:t>A further 220kWp of solar generation and 1,100kWh of energy storage installed in 3 more outer islands – contributing to a reduction of annual diesel imports for power generation of at least 90,000 litres per annum, and increased access to reliable electricity for an additional 1,200 people</w:t>
            </w:r>
          </w:p>
        </w:tc>
      </w:tr>
      <w:tr w:rsidR="00CE1C6A" w:rsidTr="00B753D6">
        <w:trPr>
          <w:trHeight w:val="397"/>
        </w:trPr>
        <w:tc>
          <w:tcPr>
            <w:tcW w:w="5000" w:type="pct"/>
            <w:gridSpan w:val="7"/>
            <w:tcBorders>
              <w:top w:val="nil"/>
              <w:left w:val="nil"/>
              <w:bottom w:val="nil"/>
              <w:right w:val="nil"/>
            </w:tcBorders>
          </w:tcPr>
          <w:p w:rsidR="00CE1C6A" w:rsidRPr="00C87E8D" w:rsidRDefault="00CE1C6A" w:rsidP="00B753D6">
            <w:pPr>
              <w:pStyle w:val="TableHeading1"/>
              <w:rPr>
                <w:rFonts w:asciiTheme="minorHAnsi" w:hAnsiTheme="minorHAnsi"/>
              </w:rPr>
            </w:pPr>
            <w:r w:rsidRPr="00C87E8D">
              <w:rPr>
                <w:rFonts w:asciiTheme="minorHAnsi" w:hAnsiTheme="minorHAnsi"/>
              </w:rPr>
              <w:t xml:space="preserve">Priority 2: </w:t>
            </w:r>
            <w:r w:rsidR="00816B51" w:rsidRPr="00816B51">
              <w:rPr>
                <w:rFonts w:asciiTheme="minorHAnsi" w:hAnsiTheme="minorHAnsi"/>
              </w:rPr>
              <w:t>A more effective, efficient and equitable health system</w:t>
            </w:r>
          </w:p>
        </w:tc>
      </w:tr>
      <w:tr w:rsidR="00CE1C6A" w:rsidRPr="00816B51" w:rsidTr="00816B51">
        <w:trPr>
          <w:trHeight w:val="614"/>
        </w:trPr>
        <w:tc>
          <w:tcPr>
            <w:tcW w:w="206" w:type="pct"/>
            <w:tcBorders>
              <w:top w:val="nil"/>
              <w:left w:val="nil"/>
              <w:bottom w:val="nil"/>
              <w:right w:val="nil"/>
            </w:tcBorders>
          </w:tcPr>
          <w:p w:rsidR="00CE1C6A" w:rsidRPr="00C87E8D" w:rsidRDefault="00816B51" w:rsidP="00B753D6">
            <w:pPr>
              <w:spacing w:after="120"/>
              <w:rPr>
                <w:rFonts w:asciiTheme="minorHAnsi" w:hAnsiTheme="minorHAnsi"/>
                <w:szCs w:val="17"/>
              </w:rPr>
            </w:pPr>
            <w:r>
              <w:rPr>
                <w:rFonts w:asciiTheme="minorHAnsi" w:hAnsiTheme="minorHAnsi"/>
                <w:szCs w:val="17"/>
              </w:rPr>
              <w:t>C</w:t>
            </w:r>
          </w:p>
        </w:tc>
        <w:tc>
          <w:tcPr>
            <w:tcW w:w="796" w:type="pct"/>
            <w:gridSpan w:val="2"/>
            <w:tcBorders>
              <w:top w:val="nil"/>
              <w:left w:val="nil"/>
              <w:bottom w:val="nil"/>
              <w:right w:val="nil"/>
            </w:tcBorders>
          </w:tcPr>
          <w:p w:rsidR="00CE1C6A" w:rsidRPr="00C87E8D" w:rsidRDefault="00816B51" w:rsidP="00B753D6">
            <w:pPr>
              <w:spacing w:after="120"/>
              <w:rPr>
                <w:rFonts w:asciiTheme="minorHAnsi" w:hAnsiTheme="minorHAnsi"/>
                <w:szCs w:val="17"/>
              </w:rPr>
            </w:pPr>
            <w:r>
              <w:rPr>
                <w:rFonts w:asciiTheme="minorHAnsi" w:hAnsiTheme="minorHAnsi"/>
                <w:szCs w:val="17"/>
              </w:rPr>
              <w:t>To i</w:t>
            </w:r>
            <w:r w:rsidRPr="00816B51">
              <w:rPr>
                <w:rFonts w:asciiTheme="minorHAnsi" w:hAnsiTheme="minorHAnsi"/>
                <w:szCs w:val="17"/>
              </w:rPr>
              <w:t>mprove health system effectiveness, efficiency and equity</w:t>
            </w:r>
          </w:p>
        </w:tc>
        <w:tc>
          <w:tcPr>
            <w:tcW w:w="1309" w:type="pct"/>
            <w:tcBorders>
              <w:top w:val="nil"/>
              <w:left w:val="nil"/>
              <w:bottom w:val="nil"/>
              <w:right w:val="nil"/>
            </w:tcBorders>
          </w:tcPr>
          <w:p w:rsidR="00CE1C6A" w:rsidRPr="00C87E8D" w:rsidRDefault="00816B51" w:rsidP="00816B51">
            <w:pPr>
              <w:rPr>
                <w:rFonts w:asciiTheme="minorHAnsi" w:hAnsiTheme="minorHAnsi"/>
                <w:szCs w:val="17"/>
              </w:rPr>
            </w:pPr>
            <w:r w:rsidRPr="00816B51">
              <w:rPr>
                <w:rFonts w:asciiTheme="minorHAnsi" w:hAnsiTheme="minorHAnsi"/>
                <w:szCs w:val="17"/>
              </w:rPr>
              <w:t xml:space="preserve">Ministry of Health and </w:t>
            </w:r>
            <w:proofErr w:type="spellStart"/>
            <w:r w:rsidRPr="00816B51">
              <w:rPr>
                <w:rFonts w:asciiTheme="minorHAnsi" w:hAnsiTheme="minorHAnsi"/>
                <w:szCs w:val="17"/>
              </w:rPr>
              <w:t>TongaHealth</w:t>
            </w:r>
            <w:proofErr w:type="spellEnd"/>
            <w:r w:rsidRPr="00816B51">
              <w:rPr>
                <w:rFonts w:asciiTheme="minorHAnsi" w:hAnsiTheme="minorHAnsi"/>
                <w:szCs w:val="17"/>
              </w:rPr>
              <w:t xml:space="preserve"> budgets (separately considered and excluding donor funds) as a percentage of the total government budget do not decrease against the 2015 baseline, and</w:t>
            </w:r>
            <w:r>
              <w:rPr>
                <w:rFonts w:asciiTheme="minorHAnsi" w:hAnsiTheme="minorHAnsi"/>
                <w:szCs w:val="17"/>
              </w:rPr>
              <w:t xml:space="preserve"> </w:t>
            </w:r>
            <w:r w:rsidRPr="00816B51">
              <w:rPr>
                <w:rFonts w:asciiTheme="minorHAnsi" w:hAnsiTheme="minorHAnsi"/>
                <w:szCs w:val="17"/>
              </w:rPr>
              <w:t>launch of the Essential Package of Services for Ministry of Health and the digitalisation of Public Health information through the pilot of the Digital Health Information Software Phase2</w:t>
            </w:r>
          </w:p>
        </w:tc>
        <w:tc>
          <w:tcPr>
            <w:tcW w:w="1307" w:type="pct"/>
            <w:tcBorders>
              <w:top w:val="nil"/>
              <w:left w:val="nil"/>
              <w:bottom w:val="nil"/>
              <w:right w:val="nil"/>
            </w:tcBorders>
          </w:tcPr>
          <w:p w:rsidR="00816B51" w:rsidRPr="00816B51" w:rsidRDefault="00816B51" w:rsidP="00854904">
            <w:pPr>
              <w:pStyle w:val="TableTextEntries"/>
              <w:spacing w:before="120" w:after="120"/>
              <w:rPr>
                <w:rFonts w:asciiTheme="minorHAnsi" w:eastAsiaTheme="minorHAnsi" w:hAnsiTheme="minorHAnsi" w:cstheme="minorBidi"/>
                <w:iCs w:val="0"/>
                <w:color w:val="495965" w:themeColor="text2"/>
                <w:lang w:val="en-GB"/>
              </w:rPr>
            </w:pPr>
            <w:r w:rsidRPr="00816B51">
              <w:rPr>
                <w:rFonts w:asciiTheme="minorHAnsi" w:eastAsiaTheme="minorHAnsi" w:hAnsiTheme="minorHAnsi" w:cstheme="minorBidi"/>
                <w:iCs w:val="0"/>
                <w:color w:val="495965" w:themeColor="text2"/>
                <w:lang w:val="en-GB"/>
              </w:rPr>
              <w:t xml:space="preserve">Ministry of Health and </w:t>
            </w:r>
            <w:proofErr w:type="spellStart"/>
            <w:r w:rsidRPr="00816B51">
              <w:rPr>
                <w:rFonts w:asciiTheme="minorHAnsi" w:eastAsiaTheme="minorHAnsi" w:hAnsiTheme="minorHAnsi" w:cstheme="minorBidi"/>
                <w:iCs w:val="0"/>
                <w:color w:val="495965" w:themeColor="text2"/>
                <w:lang w:val="en-GB"/>
              </w:rPr>
              <w:t>TongaHealth</w:t>
            </w:r>
            <w:proofErr w:type="spellEnd"/>
            <w:r w:rsidRPr="00816B51">
              <w:rPr>
                <w:rFonts w:asciiTheme="minorHAnsi" w:eastAsiaTheme="minorHAnsi" w:hAnsiTheme="minorHAnsi" w:cstheme="minorBidi"/>
                <w:iCs w:val="0"/>
                <w:color w:val="495965" w:themeColor="text2"/>
                <w:lang w:val="en-GB"/>
              </w:rPr>
              <w:t xml:space="preserve"> budgets (separately considered and excluding donor funds) as a percentage of the total government budget do not decrease against the 2015 baseline, and the proportion of the 2017-18 Ministry of Health budget (excluding donor funds) allocated to the Public Health Division, has continued to increase from the 2016-17 level</w:t>
            </w:r>
          </w:p>
          <w:p w:rsidR="00CE1C6A" w:rsidRPr="00C87E8D" w:rsidRDefault="00CE1C6A" w:rsidP="00B753D6">
            <w:pPr>
              <w:spacing w:after="120"/>
              <w:rPr>
                <w:rFonts w:asciiTheme="minorHAnsi" w:hAnsiTheme="minorHAnsi"/>
                <w:szCs w:val="17"/>
              </w:rPr>
            </w:pPr>
          </w:p>
        </w:tc>
        <w:tc>
          <w:tcPr>
            <w:tcW w:w="1382" w:type="pct"/>
            <w:gridSpan w:val="2"/>
            <w:tcBorders>
              <w:top w:val="nil"/>
              <w:left w:val="nil"/>
              <w:bottom w:val="nil"/>
              <w:right w:val="nil"/>
            </w:tcBorders>
          </w:tcPr>
          <w:p w:rsidR="00CE1C6A" w:rsidRPr="00C87E8D" w:rsidRDefault="00816B51" w:rsidP="00B753D6">
            <w:pPr>
              <w:spacing w:after="120"/>
              <w:rPr>
                <w:rFonts w:asciiTheme="minorHAnsi" w:hAnsiTheme="minorHAnsi"/>
                <w:szCs w:val="17"/>
              </w:rPr>
            </w:pPr>
            <w:r w:rsidRPr="00816B51">
              <w:rPr>
                <w:rFonts w:asciiTheme="minorHAnsi" w:hAnsiTheme="minorHAnsi"/>
                <w:szCs w:val="17"/>
              </w:rPr>
              <w:t xml:space="preserve">Ministry of Health and </w:t>
            </w:r>
            <w:proofErr w:type="spellStart"/>
            <w:r w:rsidRPr="00816B51">
              <w:rPr>
                <w:rFonts w:asciiTheme="minorHAnsi" w:hAnsiTheme="minorHAnsi"/>
                <w:szCs w:val="17"/>
              </w:rPr>
              <w:t>TongaHealth</w:t>
            </w:r>
            <w:proofErr w:type="spellEnd"/>
            <w:r w:rsidRPr="00816B51">
              <w:rPr>
                <w:rFonts w:asciiTheme="minorHAnsi" w:hAnsiTheme="minorHAnsi"/>
                <w:szCs w:val="17"/>
              </w:rPr>
              <w:t xml:space="preserve"> budgets (separately considered and excluding donor funds) as a percentage of the total government budget do not decrease against the 2015 baseline, and the proportion of the 2018-19 Ministry of Health budget (excluding donor funds) allocated to the Public Health Division, has continued to increase from the 2017-18 leve</w:t>
            </w:r>
            <w:r>
              <w:rPr>
                <w:rFonts w:asciiTheme="minorHAnsi" w:hAnsiTheme="minorHAnsi"/>
                <w:szCs w:val="17"/>
              </w:rPr>
              <w:t>l</w:t>
            </w:r>
          </w:p>
        </w:tc>
      </w:tr>
      <w:tr w:rsidR="00CE1C6A" w:rsidTr="00816B51">
        <w:trPr>
          <w:trHeight w:val="614"/>
        </w:trPr>
        <w:tc>
          <w:tcPr>
            <w:tcW w:w="206" w:type="pct"/>
            <w:tcBorders>
              <w:top w:val="nil"/>
              <w:left w:val="nil"/>
              <w:bottom w:val="nil"/>
              <w:right w:val="nil"/>
            </w:tcBorders>
          </w:tcPr>
          <w:p w:rsidR="00CE1C6A" w:rsidRPr="00C87E8D" w:rsidRDefault="00816B51" w:rsidP="00B753D6">
            <w:pPr>
              <w:spacing w:after="120"/>
              <w:rPr>
                <w:rFonts w:asciiTheme="minorHAnsi" w:hAnsiTheme="minorHAnsi"/>
                <w:szCs w:val="17"/>
              </w:rPr>
            </w:pPr>
            <w:r>
              <w:rPr>
                <w:rFonts w:asciiTheme="minorHAnsi" w:hAnsiTheme="minorHAnsi"/>
                <w:szCs w:val="17"/>
              </w:rPr>
              <w:t>D</w:t>
            </w:r>
          </w:p>
        </w:tc>
        <w:tc>
          <w:tcPr>
            <w:tcW w:w="796" w:type="pct"/>
            <w:gridSpan w:val="2"/>
            <w:tcBorders>
              <w:top w:val="nil"/>
              <w:left w:val="nil"/>
              <w:bottom w:val="nil"/>
              <w:right w:val="nil"/>
            </w:tcBorders>
          </w:tcPr>
          <w:p w:rsidR="00CE1C6A" w:rsidRPr="00C87E8D" w:rsidRDefault="00816B51" w:rsidP="00B753D6">
            <w:pPr>
              <w:spacing w:after="120"/>
              <w:rPr>
                <w:rFonts w:asciiTheme="minorHAnsi" w:hAnsiTheme="minorHAnsi"/>
                <w:szCs w:val="17"/>
              </w:rPr>
            </w:pPr>
            <w:r w:rsidRPr="00816B51">
              <w:rPr>
                <w:rFonts w:asciiTheme="minorHAnsi" w:hAnsiTheme="minorHAnsi"/>
                <w:szCs w:val="17"/>
              </w:rPr>
              <w:t>To reduce the health and economic burden of non-communicable diseases (NCDs)</w:t>
            </w:r>
            <w:r w:rsidR="00CE1C6A" w:rsidRPr="00C87E8D">
              <w:rPr>
                <w:rFonts w:asciiTheme="minorHAnsi" w:hAnsiTheme="minorHAnsi"/>
                <w:szCs w:val="17"/>
              </w:rPr>
              <w:t xml:space="preserve"> </w:t>
            </w:r>
          </w:p>
        </w:tc>
        <w:tc>
          <w:tcPr>
            <w:tcW w:w="1309" w:type="pct"/>
            <w:tcBorders>
              <w:top w:val="nil"/>
              <w:left w:val="nil"/>
              <w:bottom w:val="nil"/>
              <w:right w:val="nil"/>
            </w:tcBorders>
          </w:tcPr>
          <w:p w:rsidR="00CE1C6A" w:rsidRPr="00C87E8D" w:rsidRDefault="00816B51" w:rsidP="00B753D6">
            <w:pPr>
              <w:spacing w:after="120"/>
              <w:rPr>
                <w:rFonts w:asciiTheme="minorHAnsi" w:hAnsiTheme="minorHAnsi"/>
                <w:szCs w:val="17"/>
              </w:rPr>
            </w:pPr>
            <w:r w:rsidRPr="00816B51">
              <w:rPr>
                <w:rFonts w:asciiTheme="minorHAnsi" w:hAnsiTheme="minorHAnsi"/>
                <w:szCs w:val="17"/>
              </w:rPr>
              <w:t>Multi-sectoral, quality annual reporting against the National Strategy for NCD Prevention and Control 2015-2020’s Monitoring and Evaluation framework, and a decrease in the prevalence of tobacco use (against the baseline 2016 Tobacco campaign pre-survey)</w:t>
            </w:r>
          </w:p>
        </w:tc>
        <w:tc>
          <w:tcPr>
            <w:tcW w:w="1307" w:type="pct"/>
            <w:tcBorders>
              <w:top w:val="nil"/>
              <w:left w:val="nil"/>
              <w:bottom w:val="nil"/>
              <w:right w:val="nil"/>
            </w:tcBorders>
          </w:tcPr>
          <w:p w:rsidR="00CE1C6A" w:rsidRPr="00C87E8D" w:rsidRDefault="00816B51" w:rsidP="00B753D6">
            <w:pPr>
              <w:spacing w:after="120"/>
              <w:rPr>
                <w:rFonts w:asciiTheme="minorHAnsi" w:hAnsiTheme="minorHAnsi"/>
                <w:szCs w:val="17"/>
              </w:rPr>
            </w:pPr>
            <w:r w:rsidRPr="00816B51">
              <w:rPr>
                <w:rFonts w:asciiTheme="minorHAnsi" w:hAnsiTheme="minorHAnsi"/>
                <w:szCs w:val="17"/>
              </w:rPr>
              <w:t>Introduction of universal screening for gestational diabetes and implementation of related clinical care and lifestyle education for pregnant mothers. An increase overall in the number of babies exclusively breastfed until 6 months (compared to 2014 baseline)</w:t>
            </w:r>
          </w:p>
        </w:tc>
        <w:tc>
          <w:tcPr>
            <w:tcW w:w="1382" w:type="pct"/>
            <w:gridSpan w:val="2"/>
            <w:tcBorders>
              <w:top w:val="nil"/>
              <w:left w:val="nil"/>
              <w:bottom w:val="nil"/>
              <w:right w:val="nil"/>
            </w:tcBorders>
          </w:tcPr>
          <w:p w:rsidR="00CE1C6A" w:rsidRPr="00C87E8D" w:rsidRDefault="00816B51" w:rsidP="00B753D6">
            <w:pPr>
              <w:rPr>
                <w:rFonts w:asciiTheme="minorHAnsi" w:hAnsiTheme="minorHAnsi"/>
                <w:szCs w:val="17"/>
              </w:rPr>
            </w:pPr>
            <w:r w:rsidRPr="00C15345">
              <w:rPr>
                <w:rFonts w:asciiTheme="minorHAnsi" w:hAnsiTheme="minorHAnsi"/>
                <w:szCs w:val="17"/>
              </w:rPr>
              <w:t>Launch of a multi-year, national scale, healthy eating public awareness campaign that improves healthy eating behaviours. Decrease in the rates of premature deaths and preventable disability related to NCDs in men and in women</w:t>
            </w:r>
          </w:p>
          <w:p w:rsidR="00CE1C6A" w:rsidRPr="00C87E8D" w:rsidRDefault="00CE1C6A" w:rsidP="00B753D6">
            <w:pPr>
              <w:rPr>
                <w:rFonts w:asciiTheme="minorHAnsi" w:hAnsiTheme="minorHAnsi"/>
                <w:szCs w:val="17"/>
              </w:rPr>
            </w:pPr>
            <w:r w:rsidRPr="00C87E8D">
              <w:rPr>
                <w:rFonts w:asciiTheme="minorHAnsi" w:hAnsiTheme="minorHAnsi"/>
                <w:szCs w:val="17"/>
              </w:rPr>
              <w:t> </w:t>
            </w:r>
          </w:p>
        </w:tc>
      </w:tr>
      <w:tr w:rsidR="00CE1C6A" w:rsidTr="00B753D6">
        <w:trPr>
          <w:trHeight w:val="337"/>
        </w:trPr>
        <w:tc>
          <w:tcPr>
            <w:tcW w:w="5000" w:type="pct"/>
            <w:gridSpan w:val="7"/>
            <w:tcBorders>
              <w:top w:val="nil"/>
              <w:left w:val="nil"/>
              <w:bottom w:val="nil"/>
              <w:right w:val="nil"/>
            </w:tcBorders>
          </w:tcPr>
          <w:p w:rsidR="00CE1C6A" w:rsidRPr="00C87E8D" w:rsidRDefault="00C15345" w:rsidP="00B753D6">
            <w:pPr>
              <w:pStyle w:val="TableHeading1"/>
              <w:rPr>
                <w:rFonts w:asciiTheme="minorHAnsi" w:eastAsiaTheme="minorHAnsi" w:hAnsiTheme="minorHAnsi" w:cstheme="minorBidi"/>
                <w:color w:val="495965" w:themeColor="text2"/>
                <w:lang w:val="en-GB"/>
              </w:rPr>
            </w:pPr>
            <w:r>
              <w:rPr>
                <w:rFonts w:asciiTheme="minorHAnsi" w:hAnsiTheme="minorHAnsi"/>
              </w:rPr>
              <w:t xml:space="preserve">Priority 3: </w:t>
            </w:r>
            <w:r w:rsidRPr="00C15345">
              <w:rPr>
                <w:rFonts w:asciiTheme="minorHAnsi" w:hAnsiTheme="minorHAnsi"/>
              </w:rPr>
              <w:t>Education and skills development in support of economic opportunities for Tongan workers</w:t>
            </w:r>
          </w:p>
        </w:tc>
      </w:tr>
      <w:tr w:rsidR="00CE1C6A" w:rsidTr="00B753D6">
        <w:trPr>
          <w:trHeight w:val="614"/>
        </w:trPr>
        <w:tc>
          <w:tcPr>
            <w:tcW w:w="206" w:type="pct"/>
            <w:tcBorders>
              <w:top w:val="nil"/>
              <w:left w:val="nil"/>
              <w:bottom w:val="single" w:sz="12" w:space="0" w:color="auto"/>
              <w:right w:val="nil"/>
            </w:tcBorders>
          </w:tcPr>
          <w:p w:rsidR="00CE1C6A" w:rsidRPr="00C15345" w:rsidRDefault="00C15345" w:rsidP="00B753D6">
            <w:pPr>
              <w:pStyle w:val="TableHeading1"/>
              <w:rPr>
                <w:rFonts w:asciiTheme="minorHAnsi" w:hAnsiTheme="minorHAnsi"/>
                <w:b w:val="0"/>
                <w:color w:val="808080" w:themeColor="background1" w:themeShade="80"/>
              </w:rPr>
            </w:pPr>
            <w:r>
              <w:rPr>
                <w:rFonts w:asciiTheme="minorHAnsi" w:hAnsiTheme="minorHAnsi"/>
                <w:b w:val="0"/>
                <w:color w:val="808080" w:themeColor="background1" w:themeShade="80"/>
              </w:rPr>
              <w:t>E</w:t>
            </w:r>
          </w:p>
        </w:tc>
        <w:tc>
          <w:tcPr>
            <w:tcW w:w="796" w:type="pct"/>
            <w:gridSpan w:val="2"/>
            <w:tcBorders>
              <w:top w:val="nil"/>
              <w:left w:val="nil"/>
              <w:bottom w:val="single" w:sz="12" w:space="0" w:color="auto"/>
              <w:right w:val="nil"/>
            </w:tcBorders>
          </w:tcPr>
          <w:p w:rsidR="00CE1C6A" w:rsidRPr="00C87E8D" w:rsidRDefault="00C15345" w:rsidP="007678F9">
            <w:pPr>
              <w:spacing w:after="120" w:line="200" w:lineRule="atLeast"/>
              <w:rPr>
                <w:rFonts w:asciiTheme="minorHAnsi" w:hAnsiTheme="minorHAnsi"/>
                <w:szCs w:val="17"/>
              </w:rPr>
            </w:pPr>
            <w:r w:rsidRPr="00C15345">
              <w:rPr>
                <w:rFonts w:asciiTheme="minorHAnsi" w:hAnsiTheme="minorHAnsi"/>
                <w:szCs w:val="17"/>
              </w:rPr>
              <w:t>To increase the number of Tongans, especially women and those with disability, that are skilled to meet priority areas of labour demand</w:t>
            </w:r>
          </w:p>
        </w:tc>
        <w:tc>
          <w:tcPr>
            <w:tcW w:w="1309" w:type="pct"/>
            <w:tcBorders>
              <w:top w:val="nil"/>
              <w:left w:val="nil"/>
              <w:bottom w:val="single" w:sz="12" w:space="0" w:color="auto"/>
              <w:right w:val="nil"/>
            </w:tcBorders>
          </w:tcPr>
          <w:p w:rsidR="00CE1C6A" w:rsidRPr="00C87E8D" w:rsidRDefault="00C15345" w:rsidP="00B753D6">
            <w:pPr>
              <w:spacing w:after="120" w:line="200" w:lineRule="atLeast"/>
              <w:rPr>
                <w:rFonts w:asciiTheme="minorHAnsi" w:hAnsiTheme="minorHAnsi"/>
                <w:szCs w:val="17"/>
              </w:rPr>
            </w:pPr>
            <w:r w:rsidRPr="00C15345">
              <w:rPr>
                <w:rFonts w:asciiTheme="minorHAnsi" w:hAnsiTheme="minorHAnsi"/>
                <w:szCs w:val="17"/>
              </w:rPr>
              <w:t xml:space="preserve">80% S4IEG and scholarship students complete quality education, training and skills development opportunities aligned with labour market needs. 5% increase in </w:t>
            </w:r>
            <w:r w:rsidR="006F6A5B">
              <w:rPr>
                <w:rFonts w:asciiTheme="minorHAnsi" w:hAnsiTheme="minorHAnsi"/>
                <w:szCs w:val="17"/>
              </w:rPr>
              <w:t xml:space="preserve">the </w:t>
            </w:r>
            <w:r w:rsidRPr="00C15345">
              <w:rPr>
                <w:rFonts w:asciiTheme="minorHAnsi" w:hAnsiTheme="minorHAnsi"/>
                <w:szCs w:val="17"/>
              </w:rPr>
              <w:t xml:space="preserve">numbers of female students in non-traditional </w:t>
            </w:r>
            <w:r w:rsidR="006F6A5B">
              <w:rPr>
                <w:rFonts w:asciiTheme="minorHAnsi" w:hAnsiTheme="minorHAnsi"/>
                <w:szCs w:val="17"/>
              </w:rPr>
              <w:t>(</w:t>
            </w:r>
            <w:r w:rsidRPr="00C15345">
              <w:rPr>
                <w:rFonts w:asciiTheme="minorHAnsi" w:hAnsiTheme="minorHAnsi"/>
                <w:szCs w:val="17"/>
              </w:rPr>
              <w:t>male dominated</w:t>
            </w:r>
            <w:r w:rsidR="006F6A5B">
              <w:rPr>
                <w:rFonts w:asciiTheme="minorHAnsi" w:hAnsiTheme="minorHAnsi"/>
                <w:szCs w:val="17"/>
              </w:rPr>
              <w:t>)</w:t>
            </w:r>
            <w:r w:rsidRPr="00C15345">
              <w:rPr>
                <w:rFonts w:asciiTheme="minorHAnsi" w:hAnsiTheme="minorHAnsi"/>
                <w:szCs w:val="17"/>
              </w:rPr>
              <w:t xml:space="preserve"> field of area</w:t>
            </w:r>
          </w:p>
        </w:tc>
        <w:tc>
          <w:tcPr>
            <w:tcW w:w="1307" w:type="pct"/>
            <w:tcBorders>
              <w:top w:val="nil"/>
              <w:left w:val="nil"/>
              <w:bottom w:val="single" w:sz="12" w:space="0" w:color="auto"/>
              <w:right w:val="nil"/>
            </w:tcBorders>
          </w:tcPr>
          <w:p w:rsidR="00CE1C6A" w:rsidRPr="00C87E8D" w:rsidRDefault="0000058F" w:rsidP="007678F9">
            <w:pPr>
              <w:pStyle w:val="TableTextEntries"/>
              <w:spacing w:before="120" w:after="120"/>
              <w:rPr>
                <w:rFonts w:asciiTheme="minorHAnsi" w:hAnsiTheme="minorHAnsi"/>
              </w:rPr>
            </w:pPr>
            <w:r w:rsidRPr="0000058F">
              <w:rPr>
                <w:rFonts w:asciiTheme="minorHAnsi" w:eastAsiaTheme="minorHAnsi" w:hAnsiTheme="minorHAnsi" w:cstheme="minorBidi"/>
                <w:iCs w:val="0"/>
                <w:color w:val="495965" w:themeColor="text2"/>
                <w:lang w:val="en-GB"/>
              </w:rPr>
              <w:t>85% S4IEG and scholarship students complete quality education, training and skills development opportunities aligned with labour market needs. 7% increase in</w:t>
            </w:r>
            <w:r w:rsidR="006F6A5B">
              <w:rPr>
                <w:rFonts w:asciiTheme="minorHAnsi" w:eastAsiaTheme="minorHAnsi" w:hAnsiTheme="minorHAnsi" w:cstheme="minorBidi"/>
                <w:iCs w:val="0"/>
                <w:color w:val="495965" w:themeColor="text2"/>
                <w:lang w:val="en-GB"/>
              </w:rPr>
              <w:t xml:space="preserve"> the</w:t>
            </w:r>
            <w:r w:rsidRPr="0000058F">
              <w:rPr>
                <w:rFonts w:asciiTheme="minorHAnsi" w:eastAsiaTheme="minorHAnsi" w:hAnsiTheme="minorHAnsi" w:cstheme="minorBidi"/>
                <w:iCs w:val="0"/>
                <w:color w:val="495965" w:themeColor="text2"/>
                <w:lang w:val="en-GB"/>
              </w:rPr>
              <w:t xml:space="preserve"> numbers of female students in non-traditional </w:t>
            </w:r>
            <w:r w:rsidR="006F6A5B">
              <w:rPr>
                <w:rFonts w:asciiTheme="minorHAnsi" w:eastAsiaTheme="minorHAnsi" w:hAnsiTheme="minorHAnsi" w:cstheme="minorBidi"/>
                <w:iCs w:val="0"/>
                <w:color w:val="495965" w:themeColor="text2"/>
                <w:lang w:val="en-GB"/>
              </w:rPr>
              <w:t>(</w:t>
            </w:r>
            <w:r w:rsidRPr="0000058F">
              <w:rPr>
                <w:rFonts w:asciiTheme="minorHAnsi" w:eastAsiaTheme="minorHAnsi" w:hAnsiTheme="minorHAnsi" w:cstheme="minorBidi"/>
                <w:iCs w:val="0"/>
                <w:color w:val="495965" w:themeColor="text2"/>
                <w:lang w:val="en-GB"/>
              </w:rPr>
              <w:t>male dominated</w:t>
            </w:r>
            <w:r w:rsidR="006F6A5B">
              <w:rPr>
                <w:rFonts w:asciiTheme="minorHAnsi" w:eastAsiaTheme="minorHAnsi" w:hAnsiTheme="minorHAnsi" w:cstheme="minorBidi"/>
                <w:iCs w:val="0"/>
                <w:color w:val="495965" w:themeColor="text2"/>
                <w:lang w:val="en-GB"/>
              </w:rPr>
              <w:t>)</w:t>
            </w:r>
            <w:r w:rsidRPr="0000058F">
              <w:rPr>
                <w:rFonts w:asciiTheme="minorHAnsi" w:eastAsiaTheme="minorHAnsi" w:hAnsiTheme="minorHAnsi" w:cstheme="minorBidi"/>
                <w:iCs w:val="0"/>
                <w:color w:val="495965" w:themeColor="text2"/>
                <w:lang w:val="en-GB"/>
              </w:rPr>
              <w:t xml:space="preserve"> field of area</w:t>
            </w:r>
          </w:p>
        </w:tc>
        <w:tc>
          <w:tcPr>
            <w:tcW w:w="1382" w:type="pct"/>
            <w:gridSpan w:val="2"/>
            <w:tcBorders>
              <w:top w:val="nil"/>
              <w:left w:val="nil"/>
              <w:bottom w:val="single" w:sz="12" w:space="0" w:color="auto"/>
              <w:right w:val="nil"/>
            </w:tcBorders>
          </w:tcPr>
          <w:p w:rsidR="00CE1C6A" w:rsidRPr="00C87E8D" w:rsidRDefault="0000058F" w:rsidP="007678F9">
            <w:pPr>
              <w:pStyle w:val="TableTextEntries"/>
              <w:spacing w:before="120" w:after="120"/>
              <w:rPr>
                <w:rFonts w:asciiTheme="minorHAnsi" w:hAnsiTheme="minorHAnsi"/>
              </w:rPr>
            </w:pPr>
            <w:r w:rsidRPr="0000058F">
              <w:rPr>
                <w:rFonts w:asciiTheme="minorHAnsi" w:eastAsiaTheme="minorHAnsi" w:hAnsiTheme="minorHAnsi" w:cstheme="minorBidi"/>
                <w:iCs w:val="0"/>
                <w:color w:val="495965" w:themeColor="text2"/>
                <w:lang w:val="en-GB"/>
              </w:rPr>
              <w:t xml:space="preserve">90% S4IEG and scholarship students complete quality education, training and skills development opportunities aligned with labour market needs. 10% increase in </w:t>
            </w:r>
            <w:r w:rsidR="006F6A5B">
              <w:rPr>
                <w:rFonts w:asciiTheme="minorHAnsi" w:eastAsiaTheme="minorHAnsi" w:hAnsiTheme="minorHAnsi" w:cstheme="minorBidi"/>
                <w:iCs w:val="0"/>
                <w:color w:val="495965" w:themeColor="text2"/>
                <w:lang w:val="en-GB"/>
              </w:rPr>
              <w:t xml:space="preserve">the </w:t>
            </w:r>
            <w:r w:rsidRPr="0000058F">
              <w:rPr>
                <w:rFonts w:asciiTheme="minorHAnsi" w:eastAsiaTheme="minorHAnsi" w:hAnsiTheme="minorHAnsi" w:cstheme="minorBidi"/>
                <w:iCs w:val="0"/>
                <w:color w:val="495965" w:themeColor="text2"/>
                <w:lang w:val="en-GB"/>
              </w:rPr>
              <w:t xml:space="preserve">numbers of female students in non-traditional </w:t>
            </w:r>
            <w:r w:rsidR="006F6A5B">
              <w:rPr>
                <w:rFonts w:asciiTheme="minorHAnsi" w:eastAsiaTheme="minorHAnsi" w:hAnsiTheme="minorHAnsi" w:cstheme="minorBidi"/>
                <w:iCs w:val="0"/>
                <w:color w:val="495965" w:themeColor="text2"/>
                <w:lang w:val="en-GB"/>
              </w:rPr>
              <w:t>(</w:t>
            </w:r>
            <w:r w:rsidRPr="0000058F">
              <w:rPr>
                <w:rFonts w:asciiTheme="minorHAnsi" w:eastAsiaTheme="minorHAnsi" w:hAnsiTheme="minorHAnsi" w:cstheme="minorBidi"/>
                <w:iCs w:val="0"/>
                <w:color w:val="495965" w:themeColor="text2"/>
                <w:lang w:val="en-GB"/>
              </w:rPr>
              <w:t>male dominated</w:t>
            </w:r>
            <w:r w:rsidR="006F6A5B">
              <w:rPr>
                <w:rFonts w:asciiTheme="minorHAnsi" w:eastAsiaTheme="minorHAnsi" w:hAnsiTheme="minorHAnsi" w:cstheme="minorBidi"/>
                <w:iCs w:val="0"/>
                <w:color w:val="495965" w:themeColor="text2"/>
                <w:lang w:val="en-GB"/>
              </w:rPr>
              <w:t>)</w:t>
            </w:r>
            <w:r w:rsidRPr="0000058F">
              <w:rPr>
                <w:rFonts w:asciiTheme="minorHAnsi" w:eastAsiaTheme="minorHAnsi" w:hAnsiTheme="minorHAnsi" w:cstheme="minorBidi"/>
                <w:iCs w:val="0"/>
                <w:color w:val="495965" w:themeColor="text2"/>
                <w:lang w:val="en-GB"/>
              </w:rPr>
              <w:t xml:space="preserve"> field of area</w:t>
            </w:r>
          </w:p>
        </w:tc>
      </w:tr>
    </w:tbl>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lastRenderedPageBreak/>
        <w:t>Mutual Obligations</w:t>
      </w:r>
    </w:p>
    <w:p w:rsidR="00901F7A" w:rsidRDefault="00901F7A" w:rsidP="00A8197B">
      <w:pPr>
        <w:rPr>
          <w:color w:val="auto"/>
        </w:rPr>
      </w:pPr>
      <w:r>
        <w:rPr>
          <w:color w:val="auto"/>
        </w:rPr>
        <w:t>Australia and Tonga continued to work to meet the mutual obligation</w:t>
      </w:r>
      <w:r w:rsidR="00D02F99">
        <w:rPr>
          <w:color w:val="auto"/>
        </w:rPr>
        <w:t>s</w:t>
      </w:r>
      <w:r>
        <w:rPr>
          <w:color w:val="auto"/>
        </w:rPr>
        <w:t xml:space="preserve"> and shared goals outlined in Australia’s Aid Investment Plan for Tonga. Australia</w:t>
      </w:r>
      <w:r w:rsidR="00D02F99">
        <w:rPr>
          <w:color w:val="auto"/>
        </w:rPr>
        <w:t xml:space="preserve"> continues to deliver</w:t>
      </w:r>
      <w:r>
        <w:rPr>
          <w:color w:val="auto"/>
        </w:rPr>
        <w:t xml:space="preserve"> effective and predictable development assistance, with a substantial proportion being delivered through Tongan Government systems and aligning with Tonga’s own development and sector plans. Tonga continues to implement economic, public financial management and private sector development reforms under the multi-year Joint Policy Reform Matrix. Tonga has also maintained its total government health budget against the 2015 baseline.</w:t>
      </w:r>
    </w:p>
    <w:p w:rsidR="00203CB6" w:rsidRDefault="00CF38CB" w:rsidP="00A8197B">
      <w:pPr>
        <w:rPr>
          <w:color w:val="auto"/>
        </w:rPr>
      </w:pPr>
      <w:r>
        <w:rPr>
          <w:color w:val="auto"/>
        </w:rPr>
        <w:t xml:space="preserve">Australia and Tonga were actively involved in monitoring and reviewing programs using mutually agreed development and governance indicators. Tonga </w:t>
      </w:r>
      <w:r w:rsidR="00C51D42">
        <w:rPr>
          <w:color w:val="auto"/>
        </w:rPr>
        <w:t>continues to improve its procurement and financial systems, to ensure that aid f</w:t>
      </w:r>
      <w:r w:rsidR="00D02F99">
        <w:rPr>
          <w:color w:val="auto"/>
        </w:rPr>
        <w:t xml:space="preserve">unds are disbursed effectively and </w:t>
      </w:r>
      <w:r w:rsidR="00C51D42">
        <w:rPr>
          <w:color w:val="auto"/>
        </w:rPr>
        <w:t xml:space="preserve">efficiently to strengthen transparency, provide the greatest possible value for money and improve the lives of people in Tonga. Tonga </w:t>
      </w:r>
      <w:r>
        <w:rPr>
          <w:color w:val="auto"/>
        </w:rPr>
        <w:t>approved a revised set of procurement regulation</w:t>
      </w:r>
      <w:r w:rsidR="00C51D42">
        <w:rPr>
          <w:color w:val="auto"/>
        </w:rPr>
        <w:t>s</w:t>
      </w:r>
      <w:r>
        <w:rPr>
          <w:color w:val="auto"/>
        </w:rPr>
        <w:t xml:space="preserve"> </w:t>
      </w:r>
      <w:r w:rsidR="00633B46">
        <w:rPr>
          <w:color w:val="auto"/>
        </w:rPr>
        <w:t xml:space="preserve">in </w:t>
      </w:r>
      <w:r w:rsidR="00483677">
        <w:rPr>
          <w:color w:val="auto"/>
        </w:rPr>
        <w:t xml:space="preserve">May </w:t>
      </w:r>
      <w:r w:rsidR="00633B46">
        <w:rPr>
          <w:color w:val="auto"/>
        </w:rPr>
        <w:t xml:space="preserve">2015 </w:t>
      </w:r>
      <w:r>
        <w:rPr>
          <w:color w:val="auto"/>
        </w:rPr>
        <w:t>and, with assistance from Australia’s aid program</w:t>
      </w:r>
      <w:r w:rsidR="00681F8A">
        <w:rPr>
          <w:color w:val="auto"/>
        </w:rPr>
        <w:t>,</w:t>
      </w:r>
      <w:r w:rsidR="00633B46">
        <w:rPr>
          <w:color w:val="auto"/>
        </w:rPr>
        <w:t xml:space="preserve"> has implemented </w:t>
      </w:r>
      <w:r>
        <w:rPr>
          <w:color w:val="auto"/>
        </w:rPr>
        <w:t xml:space="preserve">the new regulations and </w:t>
      </w:r>
      <w:r w:rsidR="00633B46">
        <w:rPr>
          <w:color w:val="auto"/>
        </w:rPr>
        <w:t xml:space="preserve">built </w:t>
      </w:r>
      <w:r>
        <w:rPr>
          <w:color w:val="auto"/>
        </w:rPr>
        <w:t>capacity across the Tongan public service.</w:t>
      </w:r>
      <w:r w:rsidR="00C51D42">
        <w:rPr>
          <w:color w:val="auto"/>
        </w:rPr>
        <w:t xml:space="preserve"> Australia and Tonga maintained a zero-tolerance approach to fraudulent and corrupt actions against Australia’s aid program </w:t>
      </w:r>
      <w:r w:rsidR="00C5672E">
        <w:rPr>
          <w:color w:val="auto"/>
        </w:rPr>
        <w:t>in</w:t>
      </w:r>
      <w:r w:rsidR="00C51D42">
        <w:rPr>
          <w:color w:val="auto"/>
        </w:rPr>
        <w:t xml:space="preserve"> Tonga and applied environmental and child protection safeguards. </w:t>
      </w:r>
      <w:r>
        <w:rPr>
          <w:color w:val="auto"/>
        </w:rPr>
        <w:t xml:space="preserve"> </w:t>
      </w:r>
      <w:r w:rsidR="00901F7A">
        <w:rPr>
          <w:color w:val="auto"/>
        </w:rPr>
        <w:t xml:space="preserve"> </w:t>
      </w:r>
    </w:p>
    <w:p w:rsidR="00027DDE" w:rsidRDefault="00483677" w:rsidP="005E4B50">
      <w:pPr>
        <w:rPr>
          <w:color w:val="auto"/>
        </w:rPr>
      </w:pPr>
      <w:r w:rsidRPr="00084218">
        <w:rPr>
          <w:color w:val="auto"/>
        </w:rPr>
        <w:t>The</w:t>
      </w:r>
      <w:r w:rsidR="00203CB6" w:rsidRPr="00084218">
        <w:rPr>
          <w:color w:val="auto"/>
        </w:rPr>
        <w:t xml:space="preserve"> </w:t>
      </w:r>
      <w:r w:rsidR="00203CB6" w:rsidRPr="00C644BA">
        <w:rPr>
          <w:i/>
          <w:color w:val="auto"/>
        </w:rPr>
        <w:t>Tonga</w:t>
      </w:r>
      <w:r w:rsidRPr="00C644BA">
        <w:rPr>
          <w:i/>
          <w:color w:val="auto"/>
        </w:rPr>
        <w:t xml:space="preserve"> A</w:t>
      </w:r>
      <w:r w:rsidR="00203CB6" w:rsidRPr="00C644BA">
        <w:rPr>
          <w:i/>
          <w:color w:val="auto"/>
        </w:rPr>
        <w:t xml:space="preserve">ssessment of </w:t>
      </w:r>
      <w:r w:rsidRPr="00C644BA">
        <w:rPr>
          <w:i/>
          <w:color w:val="auto"/>
        </w:rPr>
        <w:t>N</w:t>
      </w:r>
      <w:r w:rsidR="00203CB6" w:rsidRPr="00C644BA">
        <w:rPr>
          <w:i/>
          <w:color w:val="auto"/>
        </w:rPr>
        <w:t xml:space="preserve">ational </w:t>
      </w:r>
      <w:r w:rsidRPr="00C644BA">
        <w:rPr>
          <w:i/>
          <w:color w:val="auto"/>
        </w:rPr>
        <w:t>S</w:t>
      </w:r>
      <w:r w:rsidR="00203CB6" w:rsidRPr="00C644BA">
        <w:rPr>
          <w:i/>
          <w:color w:val="auto"/>
        </w:rPr>
        <w:t>ystems U</w:t>
      </w:r>
      <w:r w:rsidRPr="00C644BA">
        <w:rPr>
          <w:i/>
          <w:color w:val="auto"/>
        </w:rPr>
        <w:t>pdate 2015</w:t>
      </w:r>
      <w:r w:rsidRPr="00C644BA">
        <w:rPr>
          <w:color w:val="auto"/>
        </w:rPr>
        <w:t xml:space="preserve"> </w:t>
      </w:r>
      <w:r w:rsidRPr="00084218">
        <w:rPr>
          <w:color w:val="auto"/>
        </w:rPr>
        <w:t xml:space="preserve">was a review of the original </w:t>
      </w:r>
      <w:r w:rsidR="00203CB6" w:rsidRPr="00084218">
        <w:rPr>
          <w:color w:val="auto"/>
        </w:rPr>
        <w:t xml:space="preserve">assessment </w:t>
      </w:r>
      <w:r w:rsidRPr="00084218">
        <w:rPr>
          <w:color w:val="auto"/>
        </w:rPr>
        <w:t xml:space="preserve">approved in December 2011. </w:t>
      </w:r>
      <w:r w:rsidR="007C031D">
        <w:rPr>
          <w:color w:val="auto"/>
        </w:rPr>
        <w:t xml:space="preserve">The </w:t>
      </w:r>
      <w:r w:rsidRPr="00084218">
        <w:rPr>
          <w:color w:val="auto"/>
        </w:rPr>
        <w:t>u</w:t>
      </w:r>
      <w:r w:rsidR="00203CB6" w:rsidRPr="00084218">
        <w:rPr>
          <w:color w:val="auto"/>
        </w:rPr>
        <w:t xml:space="preserve">pdate </w:t>
      </w:r>
      <w:r w:rsidR="007C031D">
        <w:rPr>
          <w:color w:val="auto"/>
        </w:rPr>
        <w:t xml:space="preserve">suggested Australia could </w:t>
      </w:r>
      <w:r w:rsidRPr="00084218">
        <w:rPr>
          <w:color w:val="auto"/>
        </w:rPr>
        <w:t>continue</w:t>
      </w:r>
      <w:r w:rsidR="00321634">
        <w:rPr>
          <w:color w:val="auto"/>
        </w:rPr>
        <w:t xml:space="preserve"> </w:t>
      </w:r>
      <w:r w:rsidR="007C031D">
        <w:rPr>
          <w:color w:val="auto"/>
        </w:rPr>
        <w:t xml:space="preserve">to use </w:t>
      </w:r>
      <w:r w:rsidRPr="00084218">
        <w:rPr>
          <w:color w:val="auto"/>
        </w:rPr>
        <w:t xml:space="preserve">partner government </w:t>
      </w:r>
      <w:r w:rsidR="007C031D">
        <w:rPr>
          <w:color w:val="auto"/>
        </w:rPr>
        <w:t xml:space="preserve">financial </w:t>
      </w:r>
      <w:r w:rsidRPr="00084218">
        <w:rPr>
          <w:color w:val="auto"/>
        </w:rPr>
        <w:t xml:space="preserve">systems </w:t>
      </w:r>
      <w:r w:rsidR="00F521D0">
        <w:rPr>
          <w:color w:val="auto"/>
        </w:rPr>
        <w:t xml:space="preserve">as one of the modalities </w:t>
      </w:r>
      <w:r w:rsidR="007C031D">
        <w:rPr>
          <w:color w:val="auto"/>
        </w:rPr>
        <w:t xml:space="preserve">for </w:t>
      </w:r>
      <w:r w:rsidR="00156996">
        <w:rPr>
          <w:color w:val="auto"/>
        </w:rPr>
        <w:t xml:space="preserve">delivering </w:t>
      </w:r>
      <w:r w:rsidR="007C031D">
        <w:rPr>
          <w:color w:val="auto"/>
        </w:rPr>
        <w:t>the bilateral aid program</w:t>
      </w:r>
      <w:r w:rsidR="00156996">
        <w:rPr>
          <w:color w:val="auto"/>
        </w:rPr>
        <w:t>.  It suggested, however, that use of partner govern</w:t>
      </w:r>
      <w:r w:rsidR="00E90349">
        <w:rPr>
          <w:color w:val="auto"/>
        </w:rPr>
        <w:t>ment financial systems required</w:t>
      </w:r>
      <w:r w:rsidR="00156996">
        <w:rPr>
          <w:color w:val="auto"/>
        </w:rPr>
        <w:t xml:space="preserve"> </w:t>
      </w:r>
      <w:r w:rsidR="007C031D" w:rsidRPr="00084218">
        <w:rPr>
          <w:color w:val="auto"/>
        </w:rPr>
        <w:t xml:space="preserve">existing and additional </w:t>
      </w:r>
      <w:r w:rsidR="007C031D">
        <w:rPr>
          <w:color w:val="auto"/>
        </w:rPr>
        <w:t xml:space="preserve">risk </w:t>
      </w:r>
      <w:r w:rsidR="007C031D" w:rsidRPr="00084218">
        <w:rPr>
          <w:color w:val="auto"/>
        </w:rPr>
        <w:t>mitigation measures</w:t>
      </w:r>
      <w:r w:rsidR="00156996">
        <w:rPr>
          <w:color w:val="auto"/>
        </w:rPr>
        <w:t xml:space="preserve">, including the use of procurement advisers and an </w:t>
      </w:r>
      <w:r w:rsidR="00191D5A" w:rsidRPr="00191D5A">
        <w:rPr>
          <w:color w:val="auto"/>
        </w:rPr>
        <w:t xml:space="preserve">independent auditor to increase </w:t>
      </w:r>
      <w:r w:rsidR="00191D5A">
        <w:rPr>
          <w:color w:val="auto"/>
        </w:rPr>
        <w:t xml:space="preserve">accountability around expenditure of </w:t>
      </w:r>
      <w:r w:rsidR="00191D5A" w:rsidRPr="00191D5A">
        <w:rPr>
          <w:color w:val="auto"/>
        </w:rPr>
        <w:t>Australian grant funding.</w:t>
      </w:r>
    </w:p>
    <w:p w:rsidR="008F3429" w:rsidRPr="005E4B50" w:rsidRDefault="008F3429" w:rsidP="005E4B50">
      <w:pPr>
        <w:rPr>
          <w:color w:val="auto"/>
        </w:rPr>
      </w:pPr>
      <w:r>
        <w:rPr>
          <w:color w:val="auto"/>
        </w:rPr>
        <w:t>An ongoing challenge for the aid program is to meet emerging government priorities on both sides of the bilateral relationship, while also seeking to consolidate our investments into a</w:t>
      </w:r>
      <w:r w:rsidR="00C5672E">
        <w:rPr>
          <w:color w:val="auto"/>
        </w:rPr>
        <w:t xml:space="preserve"> smaller number of sectors. </w:t>
      </w:r>
    </w:p>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rsidR="00893FFF" w:rsidRPr="00893FFF" w:rsidRDefault="00893FFF" w:rsidP="00C5672E">
      <w:pPr>
        <w:rPr>
          <w:color w:val="auto"/>
        </w:rPr>
      </w:pPr>
      <w:r w:rsidRPr="00893FFF">
        <w:rPr>
          <w:color w:val="auto"/>
        </w:rPr>
        <w:t xml:space="preserve">Currently DFAT assesses each aid investment against objectives set out during the </w:t>
      </w:r>
      <w:r w:rsidR="00A41FB2">
        <w:rPr>
          <w:color w:val="auto"/>
        </w:rPr>
        <w:t xml:space="preserve">investment </w:t>
      </w:r>
      <w:r w:rsidRPr="00893FFF">
        <w:rPr>
          <w:color w:val="auto"/>
        </w:rPr>
        <w:t xml:space="preserve">design phase.  </w:t>
      </w:r>
      <w:r>
        <w:rPr>
          <w:color w:val="auto"/>
        </w:rPr>
        <w:t xml:space="preserve">This year </w:t>
      </w:r>
      <w:r w:rsidR="00BB5FE5">
        <w:rPr>
          <w:color w:val="auto"/>
        </w:rPr>
        <w:t xml:space="preserve">there was a stronger </w:t>
      </w:r>
      <w:r>
        <w:rPr>
          <w:color w:val="auto"/>
        </w:rPr>
        <w:t>foc</w:t>
      </w:r>
      <w:r w:rsidR="00A41FB2">
        <w:rPr>
          <w:color w:val="auto"/>
        </w:rPr>
        <w:t xml:space="preserve">us on monitoring and evaluation. Work has begun </w:t>
      </w:r>
      <w:r w:rsidR="00BB5FE5">
        <w:rPr>
          <w:color w:val="auto"/>
        </w:rPr>
        <w:t xml:space="preserve">to </w:t>
      </w:r>
      <w:r w:rsidR="00A41FB2">
        <w:rPr>
          <w:color w:val="auto"/>
        </w:rPr>
        <w:t>develop</w:t>
      </w:r>
      <w:r w:rsidR="00BB5FE5">
        <w:rPr>
          <w:color w:val="auto"/>
        </w:rPr>
        <w:t xml:space="preserve"> </w:t>
      </w:r>
      <w:r w:rsidR="00A41FB2">
        <w:rPr>
          <w:color w:val="auto"/>
        </w:rPr>
        <w:t xml:space="preserve">an Aid </w:t>
      </w:r>
      <w:r w:rsidR="00D74574">
        <w:rPr>
          <w:color w:val="auto"/>
        </w:rPr>
        <w:t>Partnership a</w:t>
      </w:r>
      <w:r w:rsidR="00681F8A">
        <w:rPr>
          <w:color w:val="auto"/>
        </w:rPr>
        <w:t>rrangement,</w:t>
      </w:r>
      <w:r w:rsidR="00A41FB2">
        <w:rPr>
          <w:color w:val="auto"/>
        </w:rPr>
        <w:t xml:space="preserve"> </w:t>
      </w:r>
      <w:r w:rsidRPr="00893FFF">
        <w:rPr>
          <w:color w:val="auto"/>
        </w:rPr>
        <w:t xml:space="preserve">to </w:t>
      </w:r>
      <w:r w:rsidR="00681F8A">
        <w:rPr>
          <w:color w:val="auto"/>
        </w:rPr>
        <w:t>complement</w:t>
      </w:r>
      <w:r w:rsidRPr="00893FFF">
        <w:rPr>
          <w:color w:val="auto"/>
        </w:rPr>
        <w:t xml:space="preserve"> the Tonga Aid Investment Plan, se</w:t>
      </w:r>
      <w:r w:rsidR="00A41FB2">
        <w:rPr>
          <w:color w:val="auto"/>
        </w:rPr>
        <w:t xml:space="preserve">tting </w:t>
      </w:r>
      <w:r w:rsidR="00D74574">
        <w:rPr>
          <w:color w:val="auto"/>
        </w:rPr>
        <w:t xml:space="preserve">three-year </w:t>
      </w:r>
      <w:r w:rsidRPr="00893FFF">
        <w:rPr>
          <w:color w:val="auto"/>
        </w:rPr>
        <w:t>performance benchmarks across the aid program and joint processes to measure performance</w:t>
      </w:r>
      <w:r w:rsidR="00C5672E">
        <w:rPr>
          <w:color w:val="auto"/>
        </w:rPr>
        <w:t>. T</w:t>
      </w:r>
      <w:r w:rsidR="00A41FB2">
        <w:rPr>
          <w:color w:val="auto"/>
        </w:rPr>
        <w:t>his is expected to be finalised in September 2016</w:t>
      </w:r>
      <w:r w:rsidRPr="00893FFF">
        <w:rPr>
          <w:color w:val="auto"/>
        </w:rPr>
        <w:t xml:space="preserve">.  Australia and Tonga remain committed to continuing to independently evaluate investments.  Evaluations undertaken during the reporting period are listed </w:t>
      </w:r>
      <w:r w:rsidR="00D74574">
        <w:rPr>
          <w:color w:val="auto"/>
        </w:rPr>
        <w:t>at Annex B</w:t>
      </w:r>
      <w:r w:rsidRPr="00DF325F">
        <w:rPr>
          <w:color w:val="auto"/>
        </w:rPr>
        <w:t>.</w:t>
      </w:r>
    </w:p>
    <w:p w:rsidR="00A41FB2" w:rsidRDefault="00A41FB2" w:rsidP="00C5672E">
      <w:pPr>
        <w:rPr>
          <w:color w:val="auto"/>
        </w:rPr>
      </w:pPr>
      <w:r>
        <w:rPr>
          <w:color w:val="auto"/>
        </w:rPr>
        <w:t xml:space="preserve">DFAT’s </w:t>
      </w:r>
      <w:r w:rsidR="00893FFF" w:rsidRPr="00893FFF">
        <w:rPr>
          <w:color w:val="auto"/>
        </w:rPr>
        <w:t>Aid Quality Checks (AQC</w:t>
      </w:r>
      <w:r w:rsidR="007678F9">
        <w:rPr>
          <w:color w:val="auto"/>
        </w:rPr>
        <w:t>s</w:t>
      </w:r>
      <w:r w:rsidR="00893FFF" w:rsidRPr="00893FFF">
        <w:rPr>
          <w:color w:val="auto"/>
        </w:rPr>
        <w:t>)</w:t>
      </w:r>
      <w:r w:rsidR="007678F9">
        <w:rPr>
          <w:color w:val="auto"/>
        </w:rPr>
        <w:t xml:space="preserve"> for the 2015 reporting period</w:t>
      </w:r>
      <w:r w:rsidR="00893FFF" w:rsidRPr="00893FFF">
        <w:rPr>
          <w:color w:val="auto"/>
        </w:rPr>
        <w:t xml:space="preserve"> demonstrated most investments are performing satisfactorily or better overall, in terms of effectiveness and efficiency. </w:t>
      </w:r>
      <w:r w:rsidR="009D0933">
        <w:rPr>
          <w:color w:val="auto"/>
        </w:rPr>
        <w:t>However</w:t>
      </w:r>
      <w:r w:rsidR="00B80F28">
        <w:rPr>
          <w:color w:val="auto"/>
        </w:rPr>
        <w:t>, t</w:t>
      </w:r>
      <w:r w:rsidR="00B80F28" w:rsidRPr="00B80F28">
        <w:rPr>
          <w:color w:val="auto"/>
        </w:rPr>
        <w:t>wo investments were rated as requi</w:t>
      </w:r>
      <w:r w:rsidR="007678F9">
        <w:rPr>
          <w:color w:val="auto"/>
        </w:rPr>
        <w:t>ring improvement in both the 2014</w:t>
      </w:r>
      <w:r w:rsidR="00B80F28">
        <w:rPr>
          <w:color w:val="auto"/>
        </w:rPr>
        <w:t xml:space="preserve"> and 2015</w:t>
      </w:r>
      <w:r w:rsidR="007678F9">
        <w:rPr>
          <w:color w:val="auto"/>
        </w:rPr>
        <w:t xml:space="preserve"> reporting periods</w:t>
      </w:r>
      <w:r w:rsidR="00B80F28" w:rsidRPr="00B80F28">
        <w:rPr>
          <w:color w:val="auto"/>
        </w:rPr>
        <w:t xml:space="preserve">. In response, Australia will not extend the </w:t>
      </w:r>
      <w:r w:rsidR="00B80F28" w:rsidRPr="009D0933">
        <w:rPr>
          <w:i/>
          <w:color w:val="auto"/>
        </w:rPr>
        <w:t>Tonga Education Sector Program Phase II</w:t>
      </w:r>
      <w:r w:rsidR="00B80F28" w:rsidRPr="00B80F28">
        <w:rPr>
          <w:color w:val="auto"/>
        </w:rPr>
        <w:t xml:space="preserve"> following its conclusion in September 2016. Instead Australia </w:t>
      </w:r>
      <w:r w:rsidR="007678F9">
        <w:rPr>
          <w:color w:val="auto"/>
        </w:rPr>
        <w:t xml:space="preserve">intends </w:t>
      </w:r>
      <w:r w:rsidR="00B80F28" w:rsidRPr="00B80F28">
        <w:rPr>
          <w:color w:val="auto"/>
        </w:rPr>
        <w:t xml:space="preserve">to support </w:t>
      </w:r>
      <w:r w:rsidR="007678F9">
        <w:rPr>
          <w:color w:val="auto"/>
        </w:rPr>
        <w:t xml:space="preserve">Tonga’s </w:t>
      </w:r>
      <w:r w:rsidR="00B80F28" w:rsidRPr="00B80F28">
        <w:rPr>
          <w:color w:val="auto"/>
        </w:rPr>
        <w:t xml:space="preserve">school based grants program over two more years, as part of a transition strategy to exit the basic education sector as discussed above. Improvements to the </w:t>
      </w:r>
      <w:r w:rsidR="00B80F28" w:rsidRPr="009D0933">
        <w:rPr>
          <w:i/>
          <w:color w:val="auto"/>
        </w:rPr>
        <w:t>Tonga Energy Road Map</w:t>
      </w:r>
      <w:r w:rsidR="00B80F28" w:rsidRPr="00B80F28">
        <w:rPr>
          <w:color w:val="auto"/>
        </w:rPr>
        <w:t xml:space="preserve"> were made in 2016, however, Australia will not extend the program beyond December 2016 and all activities </w:t>
      </w:r>
      <w:r w:rsidR="005B5093">
        <w:rPr>
          <w:color w:val="auto"/>
        </w:rPr>
        <w:t xml:space="preserve">under this investment </w:t>
      </w:r>
      <w:r w:rsidR="00B80F28" w:rsidRPr="00B80F28">
        <w:rPr>
          <w:color w:val="auto"/>
        </w:rPr>
        <w:t>are now on tra</w:t>
      </w:r>
      <w:r w:rsidR="00B80F28">
        <w:rPr>
          <w:color w:val="auto"/>
        </w:rPr>
        <w:t>ck to be completed by this time</w:t>
      </w:r>
      <w:r w:rsidR="00B80F28" w:rsidRPr="00B80F28">
        <w:rPr>
          <w:color w:val="auto"/>
        </w:rPr>
        <w:t>.</w:t>
      </w:r>
    </w:p>
    <w:p w:rsidR="002C3CAC" w:rsidRPr="00C5672E" w:rsidRDefault="00753E3D" w:rsidP="00C5672E">
      <w:pPr>
        <w:rPr>
          <w:color w:val="auto"/>
        </w:rPr>
      </w:pPr>
      <w:r w:rsidRPr="0000175C">
        <w:rPr>
          <w:color w:val="auto"/>
        </w:rPr>
        <w:t>Gender equity ha</w:t>
      </w:r>
      <w:r w:rsidR="00BB5FE5">
        <w:rPr>
          <w:color w:val="auto"/>
        </w:rPr>
        <w:t>s</w:t>
      </w:r>
      <w:r w:rsidRPr="0000175C">
        <w:rPr>
          <w:color w:val="auto"/>
        </w:rPr>
        <w:t xml:space="preserve"> improve</w:t>
      </w:r>
      <w:r w:rsidR="00BB5FE5">
        <w:rPr>
          <w:color w:val="auto"/>
        </w:rPr>
        <w:t>d</w:t>
      </w:r>
      <w:r w:rsidRPr="0000175C">
        <w:rPr>
          <w:color w:val="auto"/>
        </w:rPr>
        <w:t xml:space="preserve"> over the reporting period.  Positive achievements have been made under the </w:t>
      </w:r>
      <w:r w:rsidRPr="009D0933">
        <w:rPr>
          <w:i/>
          <w:color w:val="auto"/>
        </w:rPr>
        <w:t>Pacific Women Shaping Pacific Development Initiative</w:t>
      </w:r>
      <w:r w:rsidR="00086187" w:rsidRPr="0000175C">
        <w:rPr>
          <w:color w:val="auto"/>
        </w:rPr>
        <w:t>.  F</w:t>
      </w:r>
      <w:r w:rsidRPr="0000175C">
        <w:rPr>
          <w:color w:val="auto"/>
        </w:rPr>
        <w:t>or example, 257 women, girls and boys sought help from the one stop Women and Children’s Crisis centre to end violence in their lives.</w:t>
      </w:r>
      <w:r w:rsidR="00893FFF" w:rsidRPr="0000175C">
        <w:rPr>
          <w:color w:val="auto"/>
        </w:rPr>
        <w:t xml:space="preserve"> </w:t>
      </w:r>
      <w:r w:rsidR="00086187" w:rsidRPr="0000175C">
        <w:rPr>
          <w:color w:val="auto"/>
        </w:rPr>
        <w:t xml:space="preserve">Support to the </w:t>
      </w:r>
      <w:r w:rsidR="00086187" w:rsidRPr="00C5672E">
        <w:rPr>
          <w:color w:val="auto"/>
        </w:rPr>
        <w:t xml:space="preserve">Division of Women has </w:t>
      </w:r>
      <w:r w:rsidR="0036570E" w:rsidRPr="00C5672E">
        <w:rPr>
          <w:color w:val="auto"/>
        </w:rPr>
        <w:t>assist</w:t>
      </w:r>
      <w:r w:rsidR="0046154B" w:rsidRPr="00C5672E">
        <w:rPr>
          <w:color w:val="auto"/>
        </w:rPr>
        <w:t>ed</w:t>
      </w:r>
      <w:r w:rsidR="0036570E" w:rsidRPr="00C5672E">
        <w:rPr>
          <w:color w:val="auto"/>
        </w:rPr>
        <w:t xml:space="preserve"> with the </w:t>
      </w:r>
      <w:r w:rsidR="00086187" w:rsidRPr="00C5672E">
        <w:rPr>
          <w:color w:val="auto"/>
        </w:rPr>
        <w:t>develop</w:t>
      </w:r>
      <w:r w:rsidR="0036570E" w:rsidRPr="00C5672E">
        <w:rPr>
          <w:color w:val="auto"/>
        </w:rPr>
        <w:t xml:space="preserve">ment of </w:t>
      </w:r>
      <w:r w:rsidR="00086187" w:rsidRPr="00C5672E">
        <w:rPr>
          <w:color w:val="auto"/>
        </w:rPr>
        <w:t xml:space="preserve">an implementation plan and M&amp;E framework for the Tongan Gender and Development Policy. </w:t>
      </w:r>
      <w:r w:rsidR="0036570E" w:rsidRPr="00C5672E">
        <w:rPr>
          <w:color w:val="auto"/>
        </w:rPr>
        <w:t>DFAT funding for the mainstreaming officer wi</w:t>
      </w:r>
      <w:r w:rsidR="009D0933">
        <w:rPr>
          <w:color w:val="auto"/>
        </w:rPr>
        <w:t>ll end in June 2016</w:t>
      </w:r>
      <w:r w:rsidR="0036570E" w:rsidRPr="00C5672E">
        <w:rPr>
          <w:color w:val="auto"/>
        </w:rPr>
        <w:t xml:space="preserve"> and </w:t>
      </w:r>
      <w:r w:rsidR="0000175C" w:rsidRPr="00C5672E">
        <w:rPr>
          <w:color w:val="auto"/>
        </w:rPr>
        <w:t xml:space="preserve">the Government of Tonga </w:t>
      </w:r>
      <w:r w:rsidR="0036570E" w:rsidRPr="00C5672E">
        <w:rPr>
          <w:color w:val="auto"/>
        </w:rPr>
        <w:t xml:space="preserve">will absorb </w:t>
      </w:r>
      <w:r w:rsidR="009D0933">
        <w:rPr>
          <w:color w:val="auto"/>
        </w:rPr>
        <w:t xml:space="preserve">the </w:t>
      </w:r>
      <w:r w:rsidR="0036570E" w:rsidRPr="00C5672E">
        <w:rPr>
          <w:color w:val="auto"/>
        </w:rPr>
        <w:t xml:space="preserve">cost for </w:t>
      </w:r>
      <w:r w:rsidR="009D0933">
        <w:rPr>
          <w:color w:val="auto"/>
        </w:rPr>
        <w:t xml:space="preserve">this </w:t>
      </w:r>
      <w:r w:rsidR="0036570E" w:rsidRPr="00C5672E">
        <w:rPr>
          <w:color w:val="auto"/>
        </w:rPr>
        <w:t>officer in its recurrent budget from 2016/17.</w:t>
      </w:r>
      <w:r w:rsidR="001A2C5D" w:rsidRPr="00C5672E">
        <w:rPr>
          <w:color w:val="auto"/>
        </w:rPr>
        <w:t xml:space="preserve"> </w:t>
      </w:r>
    </w:p>
    <w:p w:rsidR="00D74574" w:rsidRDefault="00D74574">
      <w:pPr>
        <w:suppressAutoHyphens w:val="0"/>
        <w:spacing w:before="0" w:after="120" w:line="440" w:lineRule="atLeast"/>
        <w:rPr>
          <w:color w:val="auto"/>
        </w:rPr>
      </w:pPr>
      <w:r>
        <w:rPr>
          <w:color w:val="auto"/>
        </w:rPr>
        <w:br w:type="page"/>
      </w:r>
    </w:p>
    <w:p w:rsidR="001A2C5D" w:rsidRDefault="00893FFF" w:rsidP="00C5672E">
      <w:pPr>
        <w:rPr>
          <w:color w:val="auto"/>
        </w:rPr>
      </w:pPr>
      <w:r w:rsidRPr="00893FFF">
        <w:rPr>
          <w:color w:val="auto"/>
        </w:rPr>
        <w:lastRenderedPageBreak/>
        <w:t>Australia continue</w:t>
      </w:r>
      <w:r w:rsidR="00753E3D">
        <w:rPr>
          <w:color w:val="auto"/>
        </w:rPr>
        <w:t>s</w:t>
      </w:r>
      <w:r w:rsidRPr="00893FFF">
        <w:rPr>
          <w:color w:val="auto"/>
        </w:rPr>
        <w:t xml:space="preserve"> to work with its partners </w:t>
      </w:r>
      <w:r w:rsidR="00A41FB2">
        <w:rPr>
          <w:color w:val="auto"/>
        </w:rPr>
        <w:t>strengthen gender equality across all programs</w:t>
      </w:r>
      <w:r w:rsidRPr="00893FFF">
        <w:rPr>
          <w:color w:val="auto"/>
        </w:rPr>
        <w:t>.</w:t>
      </w:r>
      <w:r w:rsidR="00A41FB2">
        <w:rPr>
          <w:color w:val="auto"/>
        </w:rPr>
        <w:t xml:space="preserve"> </w:t>
      </w:r>
      <w:r w:rsidR="00B80F28">
        <w:rPr>
          <w:color w:val="auto"/>
        </w:rPr>
        <w:t xml:space="preserve">As a result, </w:t>
      </w:r>
      <w:r w:rsidR="00753E3D">
        <w:rPr>
          <w:color w:val="auto"/>
        </w:rPr>
        <w:t>we have seen improvement in our gender rankings through the AQC process in projects such as the</w:t>
      </w:r>
      <w:r w:rsidR="00A41FB2">
        <w:rPr>
          <w:color w:val="auto"/>
        </w:rPr>
        <w:t xml:space="preserve"> Outer Island Renewable Energy Project</w:t>
      </w:r>
      <w:r w:rsidR="006D50FD">
        <w:rPr>
          <w:color w:val="auto"/>
        </w:rPr>
        <w:t xml:space="preserve"> (OIREP)</w:t>
      </w:r>
      <w:r w:rsidR="00753E3D">
        <w:rPr>
          <w:color w:val="auto"/>
        </w:rPr>
        <w:t xml:space="preserve">. </w:t>
      </w:r>
      <w:r w:rsidR="00A41FB2">
        <w:rPr>
          <w:color w:val="auto"/>
        </w:rPr>
        <w:t xml:space="preserve"> </w:t>
      </w:r>
      <w:r w:rsidR="00753E3D">
        <w:rPr>
          <w:color w:val="auto"/>
        </w:rPr>
        <w:t>Through negotiations with the G</w:t>
      </w:r>
      <w:r w:rsidR="00753E3D" w:rsidRPr="00753E3D">
        <w:rPr>
          <w:color w:val="auto"/>
        </w:rPr>
        <w:t>overnment of</w:t>
      </w:r>
      <w:r w:rsidR="00753E3D">
        <w:rPr>
          <w:color w:val="auto"/>
        </w:rPr>
        <w:t xml:space="preserve"> Tonga and</w:t>
      </w:r>
      <w:r w:rsidR="00E7673C">
        <w:rPr>
          <w:color w:val="auto"/>
        </w:rPr>
        <w:t xml:space="preserve"> key</w:t>
      </w:r>
      <w:r w:rsidR="00753E3D">
        <w:rPr>
          <w:color w:val="auto"/>
        </w:rPr>
        <w:t xml:space="preserve"> implementing partner</w:t>
      </w:r>
      <w:r w:rsidR="00E7673C">
        <w:rPr>
          <w:color w:val="auto"/>
        </w:rPr>
        <w:t>,</w:t>
      </w:r>
      <w:r w:rsidR="00753E3D" w:rsidRPr="00753E3D">
        <w:rPr>
          <w:color w:val="auto"/>
        </w:rPr>
        <w:t xml:space="preserve"> the As</w:t>
      </w:r>
      <w:r w:rsidR="00753E3D">
        <w:rPr>
          <w:color w:val="auto"/>
        </w:rPr>
        <w:t>ia</w:t>
      </w:r>
      <w:r w:rsidR="00E7673C">
        <w:rPr>
          <w:color w:val="auto"/>
        </w:rPr>
        <w:t>n</w:t>
      </w:r>
      <w:r w:rsidR="00753E3D">
        <w:rPr>
          <w:color w:val="auto"/>
        </w:rPr>
        <w:t xml:space="preserve"> Development Bank</w:t>
      </w:r>
      <w:r w:rsidR="00315570">
        <w:rPr>
          <w:color w:val="auto"/>
        </w:rPr>
        <w:t xml:space="preserve"> (ADB)</w:t>
      </w:r>
      <w:r w:rsidR="00753E3D">
        <w:rPr>
          <w:color w:val="auto"/>
        </w:rPr>
        <w:t>, the project has reviewed and strengthened its gender action plan resulting in achieving targets such as 50 per</w:t>
      </w:r>
      <w:r w:rsidR="00F824AD">
        <w:rPr>
          <w:color w:val="auto"/>
        </w:rPr>
        <w:t xml:space="preserve"> </w:t>
      </w:r>
      <w:r w:rsidR="00753E3D">
        <w:rPr>
          <w:color w:val="auto"/>
        </w:rPr>
        <w:t>cent female workers</w:t>
      </w:r>
      <w:r w:rsidR="00E7673C">
        <w:rPr>
          <w:color w:val="auto"/>
        </w:rPr>
        <w:t xml:space="preserve"> employed</w:t>
      </w:r>
      <w:r w:rsidR="00753E3D">
        <w:rPr>
          <w:color w:val="auto"/>
        </w:rPr>
        <w:t xml:space="preserve"> during aspects of project construction and equal representation of women on electricity co</w:t>
      </w:r>
      <w:r w:rsidR="00681F8A">
        <w:rPr>
          <w:color w:val="auto"/>
        </w:rPr>
        <w:t>mmittees across five of the six</w:t>
      </w:r>
      <w:r w:rsidR="00753E3D">
        <w:rPr>
          <w:color w:val="auto"/>
        </w:rPr>
        <w:t xml:space="preserve"> small outer islands. This </w:t>
      </w:r>
      <w:r w:rsidR="00D74574">
        <w:rPr>
          <w:color w:val="auto"/>
        </w:rPr>
        <w:t xml:space="preserve">kind of advocacy with implementing partners </w:t>
      </w:r>
      <w:r w:rsidR="00F824AD">
        <w:rPr>
          <w:color w:val="auto"/>
        </w:rPr>
        <w:t xml:space="preserve">consistently </w:t>
      </w:r>
      <w:r w:rsidR="00753E3D">
        <w:rPr>
          <w:color w:val="auto"/>
        </w:rPr>
        <w:t xml:space="preserve">contributed to </w:t>
      </w:r>
      <w:r w:rsidR="00A41FB2" w:rsidRPr="00A41FB2">
        <w:rPr>
          <w:color w:val="auto"/>
        </w:rPr>
        <w:t>significant improvements towards the Australian aid program</w:t>
      </w:r>
      <w:r w:rsidR="00D60D2E">
        <w:rPr>
          <w:color w:val="auto"/>
        </w:rPr>
        <w:t>’</w:t>
      </w:r>
      <w:r w:rsidR="00A41FB2" w:rsidRPr="00A41FB2">
        <w:rPr>
          <w:color w:val="auto"/>
        </w:rPr>
        <w:t xml:space="preserve">s </w:t>
      </w:r>
      <w:r w:rsidR="00E7673C">
        <w:rPr>
          <w:color w:val="auto"/>
        </w:rPr>
        <w:t>key performance t</w:t>
      </w:r>
      <w:r w:rsidR="00E7673C" w:rsidRPr="00A41FB2">
        <w:rPr>
          <w:color w:val="auto"/>
        </w:rPr>
        <w:t>arge</w:t>
      </w:r>
      <w:r w:rsidR="00E7673C">
        <w:rPr>
          <w:color w:val="auto"/>
        </w:rPr>
        <w:t>t of</w:t>
      </w:r>
      <w:r w:rsidR="00D60D2E">
        <w:rPr>
          <w:color w:val="auto"/>
        </w:rPr>
        <w:t xml:space="preserve"> </w:t>
      </w:r>
      <w:r w:rsidR="00E7673C">
        <w:rPr>
          <w:color w:val="auto"/>
        </w:rPr>
        <w:t xml:space="preserve">empowering women </w:t>
      </w:r>
      <w:r w:rsidR="00D60D2E">
        <w:rPr>
          <w:color w:val="auto"/>
        </w:rPr>
        <w:t xml:space="preserve">and </w:t>
      </w:r>
      <w:r w:rsidR="00E7673C">
        <w:rPr>
          <w:color w:val="auto"/>
        </w:rPr>
        <w:t>girl</w:t>
      </w:r>
      <w:r w:rsidR="00E7673C" w:rsidRPr="00A41FB2">
        <w:rPr>
          <w:color w:val="auto"/>
        </w:rPr>
        <w:t xml:space="preserve">s </w:t>
      </w:r>
      <w:r w:rsidR="00A41FB2" w:rsidRPr="00A41FB2">
        <w:rPr>
          <w:color w:val="auto"/>
        </w:rPr>
        <w:t>(80 per cent of investments effecti</w:t>
      </w:r>
      <w:r w:rsidR="00753E3D">
        <w:rPr>
          <w:color w:val="auto"/>
        </w:rPr>
        <w:t>vely addressing gender equality</w:t>
      </w:r>
      <w:r w:rsidR="00E1163D">
        <w:rPr>
          <w:color w:val="auto"/>
        </w:rPr>
        <w:t>)</w:t>
      </w:r>
      <w:r w:rsidR="00D60D2E">
        <w:rPr>
          <w:color w:val="auto"/>
        </w:rPr>
        <w:t>. In the 2015 quality</w:t>
      </w:r>
      <w:r w:rsidR="00E1163D">
        <w:rPr>
          <w:color w:val="auto"/>
        </w:rPr>
        <w:t xml:space="preserve"> </w:t>
      </w:r>
      <w:r w:rsidR="00D60D2E">
        <w:rPr>
          <w:color w:val="auto"/>
        </w:rPr>
        <w:t xml:space="preserve">reporting period, </w:t>
      </w:r>
      <w:r w:rsidR="00D14858">
        <w:rPr>
          <w:color w:val="auto"/>
        </w:rPr>
        <w:t xml:space="preserve">six </w:t>
      </w:r>
      <w:r w:rsidR="00E1163D">
        <w:rPr>
          <w:color w:val="auto"/>
        </w:rPr>
        <w:t xml:space="preserve">out of </w:t>
      </w:r>
      <w:r w:rsidR="00D60D2E">
        <w:rPr>
          <w:color w:val="auto"/>
        </w:rPr>
        <w:t>nine (66</w:t>
      </w:r>
      <w:r w:rsidR="00F824AD">
        <w:rPr>
          <w:color w:val="auto"/>
        </w:rPr>
        <w:t xml:space="preserve"> per cent) </w:t>
      </w:r>
      <w:r w:rsidR="00A41FB2" w:rsidRPr="00A41FB2">
        <w:rPr>
          <w:color w:val="auto"/>
        </w:rPr>
        <w:t xml:space="preserve">investments that </w:t>
      </w:r>
      <w:r w:rsidR="00E1163D">
        <w:rPr>
          <w:color w:val="auto"/>
        </w:rPr>
        <w:t>underwent an Aid Quality Check</w:t>
      </w:r>
      <w:r w:rsidR="00A41FB2" w:rsidRPr="00A41FB2">
        <w:rPr>
          <w:color w:val="auto"/>
        </w:rPr>
        <w:t xml:space="preserve"> </w:t>
      </w:r>
      <w:r w:rsidR="00D14858">
        <w:rPr>
          <w:color w:val="auto"/>
        </w:rPr>
        <w:t>or Final Aid Quality Check</w:t>
      </w:r>
      <w:r w:rsidR="005B2C6D">
        <w:rPr>
          <w:color w:val="auto"/>
        </w:rPr>
        <w:t xml:space="preserve"> </w:t>
      </w:r>
      <w:r w:rsidR="006D50FD">
        <w:rPr>
          <w:color w:val="auto"/>
        </w:rPr>
        <w:t>were assessed as effectively addressing gender equality (with a score of 4 or above)</w:t>
      </w:r>
      <w:r w:rsidR="00A41FB2" w:rsidRPr="00A41FB2">
        <w:rPr>
          <w:color w:val="auto"/>
        </w:rPr>
        <w:t>. This is a</w:t>
      </w:r>
      <w:r w:rsidR="00B80F28">
        <w:rPr>
          <w:color w:val="auto"/>
        </w:rPr>
        <w:t xml:space="preserve">n improvement on </w:t>
      </w:r>
      <w:r w:rsidR="005B2C6D">
        <w:rPr>
          <w:color w:val="auto"/>
        </w:rPr>
        <w:t xml:space="preserve">the 2014 reporting period </w:t>
      </w:r>
      <w:r w:rsidR="00D14858">
        <w:rPr>
          <w:color w:val="auto"/>
        </w:rPr>
        <w:t>(</w:t>
      </w:r>
      <w:r w:rsidR="00D60D2E">
        <w:rPr>
          <w:color w:val="auto"/>
        </w:rPr>
        <w:t xml:space="preserve">where </w:t>
      </w:r>
      <w:r w:rsidR="00D14858">
        <w:rPr>
          <w:color w:val="auto"/>
        </w:rPr>
        <w:t xml:space="preserve">five out of nine, or </w:t>
      </w:r>
      <w:r w:rsidR="00FA0474">
        <w:rPr>
          <w:color w:val="auto"/>
        </w:rPr>
        <w:t>55</w:t>
      </w:r>
      <w:r w:rsidR="00D74574">
        <w:rPr>
          <w:color w:val="auto"/>
        </w:rPr>
        <w:t xml:space="preserve"> per cent of</w:t>
      </w:r>
      <w:r w:rsidR="00D60D2E">
        <w:rPr>
          <w:color w:val="auto"/>
        </w:rPr>
        <w:t xml:space="preserve"> investments scored 4 or above</w:t>
      </w:r>
      <w:r w:rsidR="00D14858">
        <w:rPr>
          <w:color w:val="auto"/>
        </w:rPr>
        <w:t>)</w:t>
      </w:r>
      <w:r w:rsidR="00B80F28">
        <w:rPr>
          <w:color w:val="auto"/>
        </w:rPr>
        <w:t xml:space="preserve">. </w:t>
      </w:r>
      <w:r w:rsidRPr="00893FFF">
        <w:rPr>
          <w:color w:val="auto"/>
        </w:rPr>
        <w:t xml:space="preserve">A summary of AQC </w:t>
      </w:r>
      <w:r w:rsidR="005B2C6D">
        <w:rPr>
          <w:color w:val="auto"/>
        </w:rPr>
        <w:t xml:space="preserve">and FAQC </w:t>
      </w:r>
      <w:r w:rsidRPr="00893FFF">
        <w:rPr>
          <w:color w:val="auto"/>
        </w:rPr>
        <w:t>ratings i</w:t>
      </w:r>
      <w:r w:rsidR="005B2C6D">
        <w:rPr>
          <w:color w:val="auto"/>
        </w:rPr>
        <w:t>s</w:t>
      </w:r>
      <w:r w:rsidRPr="00893FFF">
        <w:rPr>
          <w:color w:val="auto"/>
        </w:rPr>
        <w:t xml:space="preserve"> included at Annex </w:t>
      </w:r>
      <w:r w:rsidR="006A7433">
        <w:rPr>
          <w:color w:val="auto"/>
        </w:rPr>
        <w:t>C</w:t>
      </w:r>
      <w:r w:rsidRPr="00893FFF">
        <w:rPr>
          <w:color w:val="auto"/>
        </w:rPr>
        <w:t>.</w:t>
      </w:r>
      <w:r w:rsidR="00B80F28" w:rsidRPr="00C5672E">
        <w:rPr>
          <w:color w:val="auto"/>
        </w:rPr>
        <w:t xml:space="preserve"> </w:t>
      </w:r>
      <w:r w:rsidR="00A941E0">
        <w:rPr>
          <w:color w:val="auto"/>
        </w:rPr>
        <w:t xml:space="preserve">Nevertheless, </w:t>
      </w:r>
      <w:r w:rsidR="00B80F28" w:rsidRPr="00B80F28">
        <w:rPr>
          <w:color w:val="auto"/>
        </w:rPr>
        <w:t>there is</w:t>
      </w:r>
      <w:r w:rsidR="00D74574">
        <w:rPr>
          <w:color w:val="auto"/>
        </w:rPr>
        <w:t xml:space="preserve"> further</w:t>
      </w:r>
      <w:r w:rsidR="00B80F28" w:rsidRPr="00B80F28">
        <w:rPr>
          <w:color w:val="auto"/>
        </w:rPr>
        <w:t xml:space="preserve"> work to be done</w:t>
      </w:r>
      <w:r w:rsidR="00D60D2E">
        <w:rPr>
          <w:color w:val="auto"/>
        </w:rPr>
        <w:t xml:space="preserve"> to improve gender equality outcomes through the aid program</w:t>
      </w:r>
      <w:r w:rsidR="00B80F28">
        <w:rPr>
          <w:color w:val="auto"/>
        </w:rPr>
        <w:t>.</w:t>
      </w:r>
      <w:r w:rsidR="00B80F28" w:rsidRPr="00B80F28">
        <w:rPr>
          <w:color w:val="auto"/>
        </w:rPr>
        <w:t xml:space="preserve"> </w:t>
      </w:r>
      <w:r w:rsidR="00D9753A">
        <w:rPr>
          <w:color w:val="auto"/>
        </w:rPr>
        <w:t xml:space="preserve">A gender adviser </w:t>
      </w:r>
      <w:r w:rsidR="009D0933">
        <w:rPr>
          <w:color w:val="auto"/>
        </w:rPr>
        <w:t>at Australia’s High Commission</w:t>
      </w:r>
      <w:r w:rsidR="00D9753A">
        <w:rPr>
          <w:color w:val="auto"/>
        </w:rPr>
        <w:t xml:space="preserve"> will actively work with each sector to improve gender analysis and response. </w:t>
      </w:r>
      <w:r w:rsidR="00F824AD">
        <w:rPr>
          <w:color w:val="auto"/>
        </w:rPr>
        <w:t>In addition, t</w:t>
      </w:r>
      <w:r w:rsidR="00B80F28" w:rsidRPr="00B80F28">
        <w:rPr>
          <w:color w:val="auto"/>
        </w:rPr>
        <w:t>he Australian High Commissioner to Tonga is a ‘gender a</w:t>
      </w:r>
      <w:r w:rsidR="00A941E0">
        <w:rPr>
          <w:color w:val="auto"/>
        </w:rPr>
        <w:t>dvocate’,</w:t>
      </w:r>
      <w:r w:rsidR="00E7673C">
        <w:rPr>
          <w:color w:val="auto"/>
        </w:rPr>
        <w:t xml:space="preserve"> influenc</w:t>
      </w:r>
      <w:r w:rsidR="00B74A6B">
        <w:rPr>
          <w:color w:val="auto"/>
        </w:rPr>
        <w:t>ing</w:t>
      </w:r>
      <w:r w:rsidR="00E7673C">
        <w:rPr>
          <w:color w:val="auto"/>
        </w:rPr>
        <w:t xml:space="preserve"> a stronger integration of </w:t>
      </w:r>
      <w:r w:rsidR="006D50FD">
        <w:rPr>
          <w:color w:val="auto"/>
        </w:rPr>
        <w:t>gender</w:t>
      </w:r>
      <w:r w:rsidR="00B74A6B">
        <w:rPr>
          <w:color w:val="auto"/>
        </w:rPr>
        <w:t xml:space="preserve"> equality principles</w:t>
      </w:r>
      <w:r w:rsidR="006D50FD">
        <w:rPr>
          <w:color w:val="auto"/>
        </w:rPr>
        <w:t xml:space="preserve"> </w:t>
      </w:r>
      <w:r w:rsidR="00E7673C">
        <w:rPr>
          <w:color w:val="auto"/>
        </w:rPr>
        <w:t xml:space="preserve">through </w:t>
      </w:r>
      <w:r w:rsidR="00C27BF7">
        <w:rPr>
          <w:color w:val="auto"/>
        </w:rPr>
        <w:t>across the High Commission</w:t>
      </w:r>
      <w:r w:rsidR="006D50FD">
        <w:rPr>
          <w:color w:val="auto"/>
        </w:rPr>
        <w:t>’s</w:t>
      </w:r>
      <w:r w:rsidR="00B80F28" w:rsidRPr="00B80F28">
        <w:rPr>
          <w:color w:val="auto"/>
        </w:rPr>
        <w:t xml:space="preserve"> operations and policy dialogue.</w:t>
      </w:r>
    </w:p>
    <w:p w:rsidR="00F521D0" w:rsidRDefault="00F521D0" w:rsidP="00C5672E">
      <w:pPr>
        <w:rPr>
          <w:color w:val="auto"/>
        </w:rPr>
      </w:pPr>
      <w:r>
        <w:rPr>
          <w:color w:val="auto"/>
        </w:rPr>
        <w:t>Work has been done to strengthen disability inclusion in the aid program</w:t>
      </w:r>
      <w:r w:rsidR="000C0091">
        <w:rPr>
          <w:color w:val="auto"/>
        </w:rPr>
        <w:t xml:space="preserve"> throughout 2015-16</w:t>
      </w:r>
      <w:r>
        <w:rPr>
          <w:color w:val="auto"/>
        </w:rPr>
        <w:t xml:space="preserve">. </w:t>
      </w:r>
      <w:r w:rsidR="000C0091">
        <w:rPr>
          <w:color w:val="auto"/>
        </w:rPr>
        <w:t xml:space="preserve"> For example, the </w:t>
      </w:r>
      <w:r w:rsidR="000C0091" w:rsidRPr="009D0933">
        <w:rPr>
          <w:i/>
          <w:color w:val="auto"/>
        </w:rPr>
        <w:t>Tonga Health Sector Support Program</w:t>
      </w:r>
      <w:r w:rsidR="000C0091" w:rsidRPr="000C0091">
        <w:rPr>
          <w:color w:val="auto"/>
        </w:rPr>
        <w:t xml:space="preserve"> </w:t>
      </w:r>
      <w:r w:rsidR="000C0091">
        <w:rPr>
          <w:color w:val="auto"/>
        </w:rPr>
        <w:t xml:space="preserve">is seeking </w:t>
      </w:r>
      <w:r w:rsidR="000C0091" w:rsidRPr="000C0091">
        <w:rPr>
          <w:color w:val="auto"/>
        </w:rPr>
        <w:t>to reduce preventable di</w:t>
      </w:r>
      <w:r w:rsidR="000C0091">
        <w:rPr>
          <w:color w:val="auto"/>
        </w:rPr>
        <w:t>sabilities associated with NCDs</w:t>
      </w:r>
      <w:r w:rsidR="00BF6788">
        <w:rPr>
          <w:color w:val="auto"/>
        </w:rPr>
        <w:t>, and will strengthen its focus on disability inclusive health services</w:t>
      </w:r>
      <w:r w:rsidR="000C0091">
        <w:rPr>
          <w:color w:val="auto"/>
        </w:rPr>
        <w:t xml:space="preserve">. The </w:t>
      </w:r>
      <w:r w:rsidR="000C0091" w:rsidRPr="009D0933">
        <w:rPr>
          <w:i/>
          <w:color w:val="auto"/>
        </w:rPr>
        <w:t>Interim Skills Development Facility</w:t>
      </w:r>
      <w:r w:rsidR="00BF6788">
        <w:rPr>
          <w:color w:val="auto"/>
        </w:rPr>
        <w:t xml:space="preserve">, in partnership with the </w:t>
      </w:r>
      <w:r w:rsidR="00BF6788" w:rsidRPr="00926BA8">
        <w:rPr>
          <w:i/>
          <w:color w:val="auto"/>
        </w:rPr>
        <w:t>Australian Pacific Technical College</w:t>
      </w:r>
      <w:r w:rsidR="00BF6788">
        <w:rPr>
          <w:color w:val="auto"/>
        </w:rPr>
        <w:t xml:space="preserve">, provided training on disability awareness and inclusion in vocational training. </w:t>
      </w:r>
      <w:r w:rsidR="004F75A5">
        <w:rPr>
          <w:color w:val="auto"/>
        </w:rPr>
        <w:t xml:space="preserve"> There is, however, scope for greater inclusion of disability </w:t>
      </w:r>
      <w:r w:rsidR="00F824AD">
        <w:rPr>
          <w:color w:val="auto"/>
        </w:rPr>
        <w:t xml:space="preserve">and </w:t>
      </w:r>
      <w:r w:rsidR="00EC3CE2">
        <w:rPr>
          <w:color w:val="auto"/>
        </w:rPr>
        <w:t>we will continue to address</w:t>
      </w:r>
      <w:r w:rsidR="00F824AD">
        <w:rPr>
          <w:color w:val="auto"/>
        </w:rPr>
        <w:t xml:space="preserve"> this</w:t>
      </w:r>
      <w:r w:rsidR="00EC3CE2">
        <w:rPr>
          <w:color w:val="auto"/>
        </w:rPr>
        <w:t xml:space="preserve"> in 2016-17.  </w:t>
      </w:r>
      <w:r w:rsidR="004F75A5">
        <w:rPr>
          <w:color w:val="auto"/>
        </w:rPr>
        <w:t xml:space="preserve">For example, the Health Program will receive additional funding for disability </w:t>
      </w:r>
      <w:r w:rsidR="00EC3CE2">
        <w:rPr>
          <w:color w:val="auto"/>
        </w:rPr>
        <w:t xml:space="preserve">inclusion, and the </w:t>
      </w:r>
      <w:r w:rsidR="00BF6788">
        <w:rPr>
          <w:color w:val="auto"/>
        </w:rPr>
        <w:t xml:space="preserve">new </w:t>
      </w:r>
      <w:r w:rsidR="00B16615" w:rsidRPr="009D0933">
        <w:rPr>
          <w:i/>
          <w:color w:val="auto"/>
        </w:rPr>
        <w:t>Skills for Inclusive Economic Growth</w:t>
      </w:r>
      <w:r w:rsidR="00B16615">
        <w:rPr>
          <w:color w:val="auto"/>
        </w:rPr>
        <w:t xml:space="preserve"> </w:t>
      </w:r>
      <w:r w:rsidR="009D0933">
        <w:rPr>
          <w:color w:val="auto"/>
        </w:rPr>
        <w:t xml:space="preserve">program </w:t>
      </w:r>
      <w:r w:rsidR="00BF6788">
        <w:rPr>
          <w:color w:val="auto"/>
        </w:rPr>
        <w:t xml:space="preserve">will </w:t>
      </w:r>
      <w:r w:rsidR="004F75A5">
        <w:rPr>
          <w:color w:val="auto"/>
        </w:rPr>
        <w:t xml:space="preserve">target skills </w:t>
      </w:r>
      <w:r w:rsidR="00BF6788">
        <w:rPr>
          <w:color w:val="auto"/>
        </w:rPr>
        <w:t xml:space="preserve">development opportunities for people with a disability.     </w:t>
      </w:r>
      <w:r w:rsidR="000C0091">
        <w:rPr>
          <w:color w:val="auto"/>
        </w:rPr>
        <w:t xml:space="preserve"> </w:t>
      </w:r>
      <w:r w:rsidR="00BF6788">
        <w:rPr>
          <w:color w:val="auto"/>
        </w:rPr>
        <w:t xml:space="preserve"> </w:t>
      </w:r>
    </w:p>
    <w:p w:rsidR="00633B46" w:rsidRPr="00084218" w:rsidRDefault="00893FFF" w:rsidP="00C5672E">
      <w:pPr>
        <w:rPr>
          <w:color w:val="auto"/>
        </w:rPr>
      </w:pPr>
      <w:r w:rsidRPr="00893FFF">
        <w:rPr>
          <w:color w:val="auto"/>
        </w:rPr>
        <w:t xml:space="preserve">Open dialogue with the Tongan Government and a coordinated approach with other donors </w:t>
      </w:r>
      <w:r w:rsidR="00B80F28">
        <w:rPr>
          <w:color w:val="auto"/>
        </w:rPr>
        <w:t>continue to be</w:t>
      </w:r>
      <w:r w:rsidRPr="00893FFF">
        <w:rPr>
          <w:color w:val="auto"/>
        </w:rPr>
        <w:t xml:space="preserve"> vital to the success of the program.  Overall, </w:t>
      </w:r>
      <w:r w:rsidR="00681F8A">
        <w:rPr>
          <w:color w:val="auto"/>
        </w:rPr>
        <w:t xml:space="preserve">donor partners – </w:t>
      </w:r>
      <w:r w:rsidRPr="00893FFF">
        <w:rPr>
          <w:color w:val="auto"/>
        </w:rPr>
        <w:t>Australia, Tonga, European Union, World Bank</w:t>
      </w:r>
      <w:r w:rsidR="009D0933">
        <w:rPr>
          <w:color w:val="auto"/>
        </w:rPr>
        <w:t>, New Zealand</w:t>
      </w:r>
      <w:r w:rsidRPr="00893FFF">
        <w:rPr>
          <w:color w:val="auto"/>
        </w:rPr>
        <w:t xml:space="preserve"> and </w:t>
      </w:r>
      <w:r w:rsidR="00315570">
        <w:rPr>
          <w:color w:val="auto"/>
        </w:rPr>
        <w:t>ADB</w:t>
      </w:r>
      <w:r w:rsidRPr="00893FFF">
        <w:rPr>
          <w:color w:val="auto"/>
        </w:rPr>
        <w:t xml:space="preserve"> – worked well together on the Joint Policy Reform Matrix. </w:t>
      </w:r>
      <w:r w:rsidR="00B80F28">
        <w:rPr>
          <w:color w:val="auto"/>
        </w:rPr>
        <w:t xml:space="preserve">Australia, the World Health Organisation, the </w:t>
      </w:r>
      <w:r w:rsidR="00315570">
        <w:rPr>
          <w:color w:val="auto"/>
        </w:rPr>
        <w:t xml:space="preserve">ADB </w:t>
      </w:r>
      <w:r w:rsidR="00B80F28">
        <w:rPr>
          <w:color w:val="auto"/>
        </w:rPr>
        <w:t>and the Pacific Community (SPC) have increased their collaboration in the health sector over the reporting period</w:t>
      </w:r>
      <w:r w:rsidR="00414BEC">
        <w:rPr>
          <w:color w:val="auto"/>
        </w:rPr>
        <w:t>,</w:t>
      </w:r>
      <w:r w:rsidR="00B80F28">
        <w:rPr>
          <w:color w:val="auto"/>
        </w:rPr>
        <w:t xml:space="preserve"> resulting in integrated approaches to systems strengthening and the use of innovative technologies to tackle health challenges </w:t>
      </w:r>
      <w:r w:rsidR="00414BEC">
        <w:rPr>
          <w:color w:val="auto"/>
        </w:rPr>
        <w:t>(</w:t>
      </w:r>
      <w:r w:rsidR="00B80F28">
        <w:rPr>
          <w:color w:val="auto"/>
        </w:rPr>
        <w:t>such as the use of remote technologies to better manage gestational diabetes</w:t>
      </w:r>
      <w:r w:rsidR="00414BEC">
        <w:rPr>
          <w:color w:val="auto"/>
        </w:rPr>
        <w:t>)</w:t>
      </w:r>
      <w:r w:rsidR="00B80F28">
        <w:rPr>
          <w:color w:val="auto"/>
        </w:rPr>
        <w:t>.</w:t>
      </w:r>
      <w:r w:rsidR="00414BEC">
        <w:rPr>
          <w:color w:val="auto"/>
        </w:rPr>
        <w:t xml:space="preserve"> </w:t>
      </w:r>
      <w:r w:rsidR="00B80F28">
        <w:rPr>
          <w:color w:val="auto"/>
        </w:rPr>
        <w:t xml:space="preserve"> </w:t>
      </w:r>
      <w:r w:rsidR="00414BEC">
        <w:rPr>
          <w:color w:val="auto"/>
        </w:rPr>
        <w:t>In support of Tonga and Australia’s climate change commitments</w:t>
      </w:r>
      <w:r w:rsidRPr="00893FFF">
        <w:rPr>
          <w:color w:val="auto"/>
        </w:rPr>
        <w:t xml:space="preserve">, </w:t>
      </w:r>
      <w:r w:rsidR="005B2C6D">
        <w:rPr>
          <w:color w:val="auto"/>
        </w:rPr>
        <w:t xml:space="preserve">the </w:t>
      </w:r>
      <w:r w:rsidRPr="00893FFF">
        <w:rPr>
          <w:color w:val="auto"/>
        </w:rPr>
        <w:t xml:space="preserve">ADB </w:t>
      </w:r>
      <w:r w:rsidR="00414BEC">
        <w:rPr>
          <w:color w:val="auto"/>
        </w:rPr>
        <w:t>continued to better resource programs resulting in improved</w:t>
      </w:r>
      <w:r w:rsidRPr="00893FFF">
        <w:rPr>
          <w:color w:val="auto"/>
        </w:rPr>
        <w:t xml:space="preserve"> performance</w:t>
      </w:r>
      <w:r w:rsidR="00414BEC">
        <w:rPr>
          <w:color w:val="auto"/>
        </w:rPr>
        <w:t xml:space="preserve"> outcomes on the renewable energy pr</w:t>
      </w:r>
      <w:r w:rsidR="00681F8A">
        <w:rPr>
          <w:color w:val="auto"/>
        </w:rPr>
        <w:t>oject.  Through this project ADB</w:t>
      </w:r>
      <w:r w:rsidR="00414BEC">
        <w:rPr>
          <w:color w:val="auto"/>
        </w:rPr>
        <w:t xml:space="preserve"> and Australia </w:t>
      </w:r>
      <w:r w:rsidR="005B2C6D">
        <w:rPr>
          <w:color w:val="auto"/>
        </w:rPr>
        <w:t xml:space="preserve">are </w:t>
      </w:r>
      <w:r w:rsidR="00414BEC">
        <w:rPr>
          <w:color w:val="auto"/>
        </w:rPr>
        <w:t>work</w:t>
      </w:r>
      <w:r w:rsidR="005B2C6D">
        <w:rPr>
          <w:color w:val="auto"/>
        </w:rPr>
        <w:t>ing</w:t>
      </w:r>
      <w:r w:rsidR="00414BEC">
        <w:rPr>
          <w:color w:val="auto"/>
        </w:rPr>
        <w:t xml:space="preserve"> closely to support the Government of Tonga to </w:t>
      </w:r>
      <w:r w:rsidR="00DE765A">
        <w:rPr>
          <w:color w:val="auto"/>
        </w:rPr>
        <w:t xml:space="preserve">address </w:t>
      </w:r>
      <w:r w:rsidR="00414BEC">
        <w:rPr>
          <w:color w:val="auto"/>
        </w:rPr>
        <w:t xml:space="preserve">climate </w:t>
      </w:r>
      <w:r w:rsidR="00DE765A">
        <w:rPr>
          <w:color w:val="auto"/>
        </w:rPr>
        <w:t xml:space="preserve">change, </w:t>
      </w:r>
      <w:r w:rsidR="00414BEC">
        <w:rPr>
          <w:color w:val="auto"/>
        </w:rPr>
        <w:t xml:space="preserve">including through </w:t>
      </w:r>
      <w:r w:rsidR="005B2C6D">
        <w:rPr>
          <w:color w:val="auto"/>
        </w:rPr>
        <w:t xml:space="preserve">a potential application to </w:t>
      </w:r>
      <w:r w:rsidR="00414BEC">
        <w:rPr>
          <w:color w:val="auto"/>
        </w:rPr>
        <w:t xml:space="preserve">the Green </w:t>
      </w:r>
      <w:r w:rsidR="00DE765A">
        <w:rPr>
          <w:color w:val="auto"/>
        </w:rPr>
        <w:t>C</w:t>
      </w:r>
      <w:r w:rsidR="00414BEC">
        <w:rPr>
          <w:color w:val="auto"/>
        </w:rPr>
        <w:t>limate Fund.</w:t>
      </w:r>
      <w:r w:rsidR="005B2C6D">
        <w:rPr>
          <w:color w:val="auto"/>
        </w:rPr>
        <w:t xml:space="preserve"> Increasing </w:t>
      </w:r>
      <w:r w:rsidR="00DE765A">
        <w:rPr>
          <w:color w:val="auto"/>
        </w:rPr>
        <w:t xml:space="preserve">the </w:t>
      </w:r>
      <w:r w:rsidR="005B2C6D">
        <w:rPr>
          <w:color w:val="auto"/>
        </w:rPr>
        <w:t xml:space="preserve">integration of climate change </w:t>
      </w:r>
      <w:r w:rsidR="00DE765A">
        <w:rPr>
          <w:color w:val="auto"/>
        </w:rPr>
        <w:t xml:space="preserve">considerations </w:t>
      </w:r>
      <w:r w:rsidR="005B2C6D">
        <w:rPr>
          <w:color w:val="auto"/>
        </w:rPr>
        <w:t xml:space="preserve">through the aid program </w:t>
      </w:r>
      <w:r w:rsidR="00DE765A">
        <w:rPr>
          <w:color w:val="auto"/>
        </w:rPr>
        <w:t>is an important emerging priority</w:t>
      </w:r>
      <w:r w:rsidR="00B753D6">
        <w:rPr>
          <w:color w:val="auto"/>
        </w:rPr>
        <w:t xml:space="preserve"> for both governments</w:t>
      </w:r>
      <w:r w:rsidR="00DE765A">
        <w:rPr>
          <w:color w:val="auto"/>
        </w:rPr>
        <w:t>.</w:t>
      </w:r>
      <w:r w:rsidR="005B2C6D">
        <w:rPr>
          <w:color w:val="auto"/>
        </w:rPr>
        <w:t xml:space="preserve"> </w:t>
      </w:r>
      <w:r w:rsidR="00414BEC">
        <w:rPr>
          <w:color w:val="auto"/>
        </w:rPr>
        <w:t xml:space="preserve"> </w:t>
      </w:r>
      <w:r w:rsidRPr="00893FFF">
        <w:rPr>
          <w:color w:val="auto"/>
        </w:rPr>
        <w:t xml:space="preserve">The World Bank continued to provide access to critical technical expertise, </w:t>
      </w:r>
      <w:r w:rsidR="00414BEC">
        <w:rPr>
          <w:color w:val="auto"/>
        </w:rPr>
        <w:t xml:space="preserve">and </w:t>
      </w:r>
      <w:r w:rsidR="00681F8A">
        <w:rPr>
          <w:color w:val="auto"/>
        </w:rPr>
        <w:t xml:space="preserve">improved its </w:t>
      </w:r>
      <w:r w:rsidR="00414BEC">
        <w:rPr>
          <w:color w:val="auto"/>
        </w:rPr>
        <w:t>communication</w:t>
      </w:r>
      <w:r w:rsidR="00681F8A">
        <w:rPr>
          <w:color w:val="auto"/>
        </w:rPr>
        <w:t xml:space="preserve"> and reporting regarding projects funded by Australia</w:t>
      </w:r>
      <w:r w:rsidR="00414BEC">
        <w:rPr>
          <w:color w:val="auto"/>
        </w:rPr>
        <w:t xml:space="preserve">. </w:t>
      </w:r>
      <w:r w:rsidR="00084218">
        <w:rPr>
          <w:color w:val="auto"/>
        </w:rPr>
        <w:t>W</w:t>
      </w:r>
      <w:r w:rsidR="00B46F52" w:rsidRPr="00084218">
        <w:rPr>
          <w:color w:val="auto"/>
        </w:rPr>
        <w:t>e c</w:t>
      </w:r>
      <w:r w:rsidR="006B264A" w:rsidRPr="00084218">
        <w:rPr>
          <w:color w:val="auto"/>
        </w:rPr>
        <w:t xml:space="preserve">ontinue to engage technical advice (including </w:t>
      </w:r>
      <w:r w:rsidR="006F6A5B">
        <w:rPr>
          <w:color w:val="auto"/>
        </w:rPr>
        <w:t xml:space="preserve">a </w:t>
      </w:r>
      <w:r w:rsidR="006B264A" w:rsidRPr="00084218">
        <w:rPr>
          <w:color w:val="auto"/>
        </w:rPr>
        <w:t xml:space="preserve">gender adviser </w:t>
      </w:r>
      <w:r w:rsidR="00681F8A">
        <w:rPr>
          <w:color w:val="auto"/>
        </w:rPr>
        <w:t>for</w:t>
      </w:r>
      <w:r w:rsidR="006B264A" w:rsidRPr="00084218">
        <w:rPr>
          <w:color w:val="auto"/>
        </w:rPr>
        <w:t xml:space="preserve"> the aid program) and engage with partners through policy dialogue. </w:t>
      </w:r>
    </w:p>
    <w:p w:rsidR="005B5769" w:rsidRPr="00015316" w:rsidRDefault="008F3429" w:rsidP="00C5672E">
      <w:pPr>
        <w:rPr>
          <w:rFonts w:asciiTheme="majorHAnsi" w:eastAsiaTheme="majorEastAsia" w:hAnsiTheme="majorHAnsi" w:cstheme="majorBidi"/>
          <w:caps/>
          <w:sz w:val="38"/>
          <w:szCs w:val="26"/>
        </w:rPr>
      </w:pPr>
      <w:r w:rsidRPr="00C5672E">
        <w:rPr>
          <w:color w:val="auto"/>
        </w:rPr>
        <w:br w:type="column"/>
      </w:r>
      <w:r w:rsidR="005B5769" w:rsidRPr="00015316">
        <w:rPr>
          <w:rFonts w:asciiTheme="majorHAnsi" w:eastAsiaTheme="majorEastAsia" w:hAnsiTheme="majorHAnsi" w:cstheme="majorBidi"/>
          <w:caps/>
          <w:sz w:val="38"/>
          <w:szCs w:val="26"/>
        </w:rPr>
        <w:lastRenderedPageBreak/>
        <w:t>Management Responses</w:t>
      </w:r>
    </w:p>
    <w:p w:rsidR="009F5488" w:rsidRDefault="00415BCF" w:rsidP="005B5769">
      <w:pPr>
        <w:pStyle w:val="ListBullet"/>
        <w:tabs>
          <w:tab w:val="clear" w:pos="284"/>
        </w:tabs>
        <w:rPr>
          <w:rFonts w:asciiTheme="minorHAnsi" w:eastAsiaTheme="minorHAnsi" w:hAnsiTheme="minorHAnsi" w:cstheme="minorBidi"/>
          <w:sz w:val="22"/>
          <w:szCs w:val="22"/>
          <w:lang w:val="en-GB" w:eastAsia="en-US"/>
        </w:rPr>
      </w:pPr>
      <w:r w:rsidRPr="000F409E">
        <w:rPr>
          <w:rFonts w:asciiTheme="minorHAnsi" w:eastAsiaTheme="minorHAnsi" w:hAnsiTheme="minorHAnsi" w:cstheme="minorBidi"/>
          <w:sz w:val="22"/>
          <w:szCs w:val="22"/>
          <w:lang w:val="en-GB" w:eastAsia="en-US"/>
        </w:rPr>
        <w:t>Following an assessment of programs</w:t>
      </w:r>
      <w:r w:rsidR="000F409E" w:rsidRPr="000F409E">
        <w:rPr>
          <w:rFonts w:asciiTheme="minorHAnsi" w:eastAsiaTheme="minorHAnsi" w:hAnsiTheme="minorHAnsi" w:cstheme="minorBidi"/>
          <w:sz w:val="22"/>
          <w:szCs w:val="22"/>
          <w:lang w:val="en-GB" w:eastAsia="en-US"/>
        </w:rPr>
        <w:t>, the following management responses have been identified</w:t>
      </w:r>
      <w:r w:rsidR="000F409E">
        <w:rPr>
          <w:rFonts w:asciiTheme="minorHAnsi" w:eastAsiaTheme="minorHAnsi" w:hAnsiTheme="minorHAnsi" w:cstheme="minorBidi"/>
          <w:sz w:val="22"/>
          <w:szCs w:val="22"/>
          <w:lang w:val="en-GB" w:eastAsia="en-US"/>
        </w:rPr>
        <w:t xml:space="preserve"> to address challenges and risks associated with the program:</w:t>
      </w:r>
    </w:p>
    <w:p w:rsidR="00E81BA5" w:rsidRDefault="006F6A5B" w:rsidP="008E6502">
      <w:pPr>
        <w:pStyle w:val="ListBullet"/>
        <w:numPr>
          <w:ilvl w:val="0"/>
          <w:numId w:val="44"/>
        </w:numPr>
        <w:rPr>
          <w:rFonts w:asciiTheme="minorHAnsi" w:hAnsiTheme="minorHAnsi"/>
          <w:sz w:val="22"/>
          <w:szCs w:val="22"/>
        </w:rPr>
      </w:pPr>
      <w:r>
        <w:rPr>
          <w:rFonts w:asciiTheme="minorHAnsi" w:hAnsiTheme="minorHAnsi"/>
          <w:sz w:val="22"/>
          <w:szCs w:val="22"/>
        </w:rPr>
        <w:t>Building on the High Level talks between Australia and Tonga in April 2016, d</w:t>
      </w:r>
      <w:r w:rsidR="00E81BA5">
        <w:rPr>
          <w:rFonts w:asciiTheme="minorHAnsi" w:hAnsiTheme="minorHAnsi"/>
          <w:sz w:val="22"/>
          <w:szCs w:val="22"/>
        </w:rPr>
        <w:t xml:space="preserve">evelop an Aid Partnership to reflect development priorities for both Australia and Tonga (aligning with the Tonga Strategic Development Framework and Australia’s Aid Investment Plan). The Aid Partnership will provide predictability and a strategic focus for Australia’s aid investments over the next three years, including performance benchmarks and mutual obligations on both </w:t>
      </w:r>
      <w:r w:rsidR="00122D5D">
        <w:rPr>
          <w:rFonts w:asciiTheme="minorHAnsi" w:hAnsiTheme="minorHAnsi"/>
          <w:sz w:val="22"/>
          <w:szCs w:val="22"/>
        </w:rPr>
        <w:t>parties.</w:t>
      </w:r>
    </w:p>
    <w:p w:rsidR="00122D5D" w:rsidRPr="00122D5D" w:rsidRDefault="00122D5D" w:rsidP="00122D5D">
      <w:pPr>
        <w:pStyle w:val="ListBullet"/>
        <w:numPr>
          <w:ilvl w:val="0"/>
          <w:numId w:val="44"/>
        </w:numPr>
        <w:rPr>
          <w:rFonts w:asciiTheme="minorHAnsi" w:hAnsiTheme="minorHAnsi"/>
          <w:sz w:val="22"/>
          <w:szCs w:val="22"/>
        </w:rPr>
      </w:pPr>
      <w:r>
        <w:rPr>
          <w:rFonts w:asciiTheme="minorHAnsi" w:hAnsiTheme="minorHAnsi"/>
          <w:sz w:val="22"/>
          <w:szCs w:val="22"/>
        </w:rPr>
        <w:t>D</w:t>
      </w:r>
      <w:r w:rsidRPr="00DF325F">
        <w:rPr>
          <w:rFonts w:asciiTheme="minorHAnsi" w:hAnsiTheme="minorHAnsi"/>
          <w:sz w:val="22"/>
          <w:szCs w:val="22"/>
        </w:rPr>
        <w:t xml:space="preserve">evelop a Performance Assessment Framework to underpin the Tonga Aid </w:t>
      </w:r>
      <w:r>
        <w:rPr>
          <w:rFonts w:asciiTheme="minorHAnsi" w:hAnsiTheme="minorHAnsi"/>
          <w:sz w:val="22"/>
          <w:szCs w:val="22"/>
        </w:rPr>
        <w:t>Partnership</w:t>
      </w:r>
      <w:r w:rsidRPr="00DF325F">
        <w:rPr>
          <w:rFonts w:asciiTheme="minorHAnsi" w:hAnsiTheme="minorHAnsi"/>
          <w:sz w:val="22"/>
          <w:szCs w:val="22"/>
        </w:rPr>
        <w:t xml:space="preserve">, to more clearly set out performance benchmarks </w:t>
      </w:r>
      <w:r w:rsidR="00B753D6">
        <w:rPr>
          <w:rFonts w:asciiTheme="minorHAnsi" w:hAnsiTheme="minorHAnsi"/>
          <w:sz w:val="22"/>
          <w:szCs w:val="22"/>
        </w:rPr>
        <w:t xml:space="preserve">and strengthen monitoring and evaluation processes </w:t>
      </w:r>
      <w:r w:rsidRPr="00DF325F">
        <w:rPr>
          <w:rFonts w:asciiTheme="minorHAnsi" w:hAnsiTheme="minorHAnsi"/>
          <w:sz w:val="22"/>
          <w:szCs w:val="22"/>
        </w:rPr>
        <w:t xml:space="preserve">across the aid program. This work </w:t>
      </w:r>
      <w:r>
        <w:rPr>
          <w:rFonts w:asciiTheme="minorHAnsi" w:hAnsiTheme="minorHAnsi"/>
          <w:sz w:val="22"/>
          <w:szCs w:val="22"/>
        </w:rPr>
        <w:t>began in the latter part of</w:t>
      </w:r>
      <w:r w:rsidRPr="00DF325F">
        <w:rPr>
          <w:rFonts w:asciiTheme="minorHAnsi" w:hAnsiTheme="minorHAnsi"/>
          <w:sz w:val="22"/>
          <w:szCs w:val="22"/>
        </w:rPr>
        <w:t xml:space="preserve"> 2015-16.</w:t>
      </w:r>
    </w:p>
    <w:p w:rsidR="008E6502" w:rsidRPr="00DF325F" w:rsidRDefault="00A46142" w:rsidP="008E6502">
      <w:pPr>
        <w:pStyle w:val="ListBullet"/>
        <w:numPr>
          <w:ilvl w:val="0"/>
          <w:numId w:val="44"/>
        </w:numPr>
        <w:rPr>
          <w:rFonts w:asciiTheme="minorHAnsi" w:hAnsiTheme="minorHAnsi"/>
          <w:sz w:val="22"/>
          <w:szCs w:val="22"/>
        </w:rPr>
      </w:pPr>
      <w:r>
        <w:rPr>
          <w:rFonts w:asciiTheme="minorHAnsi" w:hAnsiTheme="minorHAnsi"/>
          <w:sz w:val="22"/>
          <w:szCs w:val="22"/>
        </w:rPr>
        <w:t>C</w:t>
      </w:r>
      <w:r w:rsidR="00D137D8" w:rsidRPr="00DF325F">
        <w:rPr>
          <w:rFonts w:asciiTheme="minorHAnsi" w:hAnsiTheme="minorHAnsi"/>
          <w:sz w:val="22"/>
          <w:szCs w:val="22"/>
        </w:rPr>
        <w:t xml:space="preserve">ontinue to explore innovative approaches and relationships, to assist in addressing gender equality across the work we do. This will include facilitating dialogue with multilateral partners and </w:t>
      </w:r>
      <w:r w:rsidR="009D0933">
        <w:rPr>
          <w:rFonts w:asciiTheme="minorHAnsi" w:hAnsiTheme="minorHAnsi"/>
          <w:sz w:val="22"/>
          <w:szCs w:val="22"/>
        </w:rPr>
        <w:t xml:space="preserve">the </w:t>
      </w:r>
      <w:r>
        <w:rPr>
          <w:rFonts w:asciiTheme="minorHAnsi" w:hAnsiTheme="minorHAnsi"/>
          <w:sz w:val="22"/>
          <w:szCs w:val="22"/>
        </w:rPr>
        <w:t xml:space="preserve">Government of Tonga </w:t>
      </w:r>
      <w:r w:rsidR="00D137D8" w:rsidRPr="00DF325F">
        <w:rPr>
          <w:rFonts w:asciiTheme="minorHAnsi" w:hAnsiTheme="minorHAnsi"/>
          <w:sz w:val="22"/>
          <w:szCs w:val="22"/>
        </w:rPr>
        <w:t xml:space="preserve">for better gender analysis, data collection and monitoring of targets. In addition, the continued engagement of a gender adviser </w:t>
      </w:r>
      <w:r w:rsidR="00681F8A">
        <w:rPr>
          <w:rFonts w:asciiTheme="minorHAnsi" w:hAnsiTheme="minorHAnsi"/>
          <w:sz w:val="22"/>
          <w:szCs w:val="22"/>
        </w:rPr>
        <w:t>will allow</w:t>
      </w:r>
      <w:r w:rsidR="00D137D8" w:rsidRPr="00DF325F">
        <w:rPr>
          <w:rFonts w:asciiTheme="minorHAnsi" w:hAnsiTheme="minorHAnsi"/>
          <w:sz w:val="22"/>
          <w:szCs w:val="22"/>
        </w:rPr>
        <w:t xml:space="preserve"> </w:t>
      </w:r>
      <w:r>
        <w:rPr>
          <w:rFonts w:asciiTheme="minorHAnsi" w:hAnsiTheme="minorHAnsi"/>
          <w:sz w:val="22"/>
          <w:szCs w:val="22"/>
        </w:rPr>
        <w:t>DFAT</w:t>
      </w:r>
      <w:r w:rsidRPr="00DF325F">
        <w:rPr>
          <w:rFonts w:asciiTheme="minorHAnsi" w:hAnsiTheme="minorHAnsi"/>
          <w:sz w:val="22"/>
          <w:szCs w:val="22"/>
        </w:rPr>
        <w:t xml:space="preserve"> </w:t>
      </w:r>
      <w:r w:rsidR="00D137D8" w:rsidRPr="00DF325F">
        <w:rPr>
          <w:rFonts w:asciiTheme="minorHAnsi" w:hAnsiTheme="minorHAnsi"/>
          <w:sz w:val="22"/>
          <w:szCs w:val="22"/>
        </w:rPr>
        <w:t>to explore opportunities to</w:t>
      </w:r>
      <w:r w:rsidR="008E6502" w:rsidRPr="00DF325F">
        <w:rPr>
          <w:rFonts w:asciiTheme="minorHAnsi" w:hAnsiTheme="minorHAnsi"/>
          <w:sz w:val="22"/>
          <w:szCs w:val="22"/>
        </w:rPr>
        <w:t xml:space="preserve"> strengthen</w:t>
      </w:r>
      <w:r w:rsidR="00D137D8" w:rsidRPr="00DF325F">
        <w:rPr>
          <w:rFonts w:asciiTheme="minorHAnsi" w:hAnsiTheme="minorHAnsi"/>
          <w:sz w:val="22"/>
          <w:szCs w:val="22"/>
        </w:rPr>
        <w:t xml:space="preserve"> </w:t>
      </w:r>
      <w:r w:rsidR="008E6502" w:rsidRPr="00DF325F">
        <w:rPr>
          <w:rFonts w:asciiTheme="minorHAnsi" w:hAnsiTheme="minorHAnsi"/>
          <w:sz w:val="22"/>
          <w:szCs w:val="22"/>
        </w:rPr>
        <w:t xml:space="preserve">our work under </w:t>
      </w:r>
      <w:r>
        <w:rPr>
          <w:rFonts w:asciiTheme="minorHAnsi" w:hAnsiTheme="minorHAnsi"/>
          <w:i/>
          <w:sz w:val="22"/>
          <w:szCs w:val="22"/>
        </w:rPr>
        <w:t xml:space="preserve">Pacific Women Shaping Pacific Development </w:t>
      </w:r>
      <w:r w:rsidR="008E6502" w:rsidRPr="00DF325F">
        <w:rPr>
          <w:rFonts w:asciiTheme="minorHAnsi" w:hAnsiTheme="minorHAnsi"/>
          <w:sz w:val="22"/>
          <w:szCs w:val="22"/>
        </w:rPr>
        <w:t>to eliminate violence against women and girls though avenues such as</w:t>
      </w:r>
      <w:r w:rsidR="00D137D8" w:rsidRPr="00DF325F">
        <w:rPr>
          <w:rFonts w:asciiTheme="minorHAnsi" w:hAnsiTheme="minorHAnsi"/>
          <w:sz w:val="22"/>
          <w:szCs w:val="22"/>
        </w:rPr>
        <w:t xml:space="preserve"> participation </w:t>
      </w:r>
      <w:r w:rsidR="008E6502" w:rsidRPr="00DF325F">
        <w:rPr>
          <w:rFonts w:asciiTheme="minorHAnsi" w:hAnsiTheme="minorHAnsi"/>
          <w:sz w:val="22"/>
          <w:szCs w:val="22"/>
        </w:rPr>
        <w:t>in DFATs Ideas C</w:t>
      </w:r>
      <w:r w:rsidR="00D137D8" w:rsidRPr="00DF325F">
        <w:rPr>
          <w:rFonts w:asciiTheme="minorHAnsi" w:hAnsiTheme="minorHAnsi"/>
          <w:sz w:val="22"/>
          <w:szCs w:val="22"/>
        </w:rPr>
        <w:t>hallenge 2.0/ G</w:t>
      </w:r>
      <w:r w:rsidR="008E6502" w:rsidRPr="00DF325F">
        <w:rPr>
          <w:rFonts w:asciiTheme="minorHAnsi" w:hAnsiTheme="minorHAnsi"/>
          <w:sz w:val="22"/>
          <w:szCs w:val="22"/>
        </w:rPr>
        <w:t>ender Equity Funding R</w:t>
      </w:r>
      <w:r w:rsidR="00D137D8" w:rsidRPr="00DF325F">
        <w:rPr>
          <w:rFonts w:asciiTheme="minorHAnsi" w:hAnsiTheme="minorHAnsi"/>
          <w:sz w:val="22"/>
          <w:szCs w:val="22"/>
        </w:rPr>
        <w:t>ound</w:t>
      </w:r>
      <w:r w:rsidR="008E6502" w:rsidRPr="00DF325F">
        <w:rPr>
          <w:rFonts w:asciiTheme="minorHAnsi" w:hAnsiTheme="minorHAnsi"/>
          <w:sz w:val="22"/>
          <w:szCs w:val="22"/>
        </w:rPr>
        <w:t>.</w:t>
      </w:r>
    </w:p>
    <w:p w:rsidR="008E6502" w:rsidRDefault="00122D5D" w:rsidP="008E6502">
      <w:pPr>
        <w:pStyle w:val="ListBullet"/>
        <w:numPr>
          <w:ilvl w:val="0"/>
          <w:numId w:val="44"/>
        </w:numPr>
        <w:rPr>
          <w:rFonts w:asciiTheme="minorHAnsi" w:hAnsiTheme="minorHAnsi"/>
          <w:sz w:val="22"/>
          <w:szCs w:val="22"/>
        </w:rPr>
      </w:pPr>
      <w:r>
        <w:rPr>
          <w:rFonts w:asciiTheme="minorHAnsi" w:hAnsiTheme="minorHAnsi"/>
          <w:sz w:val="22"/>
          <w:szCs w:val="22"/>
        </w:rPr>
        <w:t>D</w:t>
      </w:r>
      <w:r w:rsidR="00DF325F">
        <w:rPr>
          <w:rFonts w:asciiTheme="minorHAnsi" w:hAnsiTheme="minorHAnsi"/>
          <w:sz w:val="22"/>
          <w:szCs w:val="22"/>
        </w:rPr>
        <w:t xml:space="preserve">evelop an approach to ensure climate change priorities of both </w:t>
      </w:r>
      <w:r w:rsidR="00681F8A">
        <w:rPr>
          <w:rFonts w:asciiTheme="minorHAnsi" w:hAnsiTheme="minorHAnsi"/>
          <w:sz w:val="22"/>
          <w:szCs w:val="22"/>
        </w:rPr>
        <w:t>Australia</w:t>
      </w:r>
      <w:r w:rsidR="00DF325F">
        <w:rPr>
          <w:rFonts w:asciiTheme="minorHAnsi" w:hAnsiTheme="minorHAnsi"/>
          <w:sz w:val="22"/>
          <w:szCs w:val="22"/>
        </w:rPr>
        <w:t xml:space="preserve"> and Tonga are better addressed through the Australian aid program </w:t>
      </w:r>
    </w:p>
    <w:p w:rsidR="005E4B50" w:rsidRDefault="0098097B" w:rsidP="005E4B50">
      <w:pPr>
        <w:pStyle w:val="ListBullet"/>
        <w:numPr>
          <w:ilvl w:val="0"/>
          <w:numId w:val="44"/>
        </w:numPr>
        <w:rPr>
          <w:rFonts w:asciiTheme="minorHAnsi" w:hAnsiTheme="minorHAnsi"/>
          <w:sz w:val="22"/>
          <w:szCs w:val="22"/>
        </w:rPr>
      </w:pPr>
      <w:r w:rsidRPr="00315570">
        <w:rPr>
          <w:rFonts w:asciiTheme="minorHAnsi" w:hAnsiTheme="minorHAnsi"/>
          <w:sz w:val="22"/>
          <w:szCs w:val="22"/>
        </w:rPr>
        <w:t>Mobilise</w:t>
      </w:r>
      <w:r w:rsidR="00DE765A" w:rsidRPr="00315570">
        <w:rPr>
          <w:rFonts w:asciiTheme="minorHAnsi" w:hAnsiTheme="minorHAnsi"/>
          <w:sz w:val="22"/>
          <w:szCs w:val="22"/>
        </w:rPr>
        <w:t xml:space="preserve"> the new </w:t>
      </w:r>
      <w:r w:rsidR="00DE765A" w:rsidRPr="00315570">
        <w:rPr>
          <w:rFonts w:asciiTheme="minorHAnsi" w:hAnsiTheme="minorHAnsi"/>
          <w:i/>
          <w:sz w:val="22"/>
          <w:szCs w:val="22"/>
        </w:rPr>
        <w:t xml:space="preserve">Skills for Inclusive Economic Growth </w:t>
      </w:r>
      <w:r w:rsidR="00DE765A" w:rsidRPr="00315570">
        <w:rPr>
          <w:rFonts w:asciiTheme="minorHAnsi" w:hAnsiTheme="minorHAnsi"/>
          <w:sz w:val="22"/>
          <w:szCs w:val="22"/>
        </w:rPr>
        <w:t>program</w:t>
      </w:r>
      <w:r w:rsidR="00B753D6" w:rsidRPr="00315570">
        <w:rPr>
          <w:rFonts w:asciiTheme="minorHAnsi" w:hAnsiTheme="minorHAnsi"/>
          <w:sz w:val="22"/>
          <w:szCs w:val="22"/>
        </w:rPr>
        <w:t>, with a strengthened focus on gender equality and disability inclusion.</w:t>
      </w:r>
      <w:r w:rsidR="00DE765A" w:rsidRPr="00315570">
        <w:rPr>
          <w:rFonts w:asciiTheme="minorHAnsi" w:hAnsiTheme="minorHAnsi"/>
          <w:sz w:val="22"/>
          <w:szCs w:val="22"/>
        </w:rPr>
        <w:t xml:space="preserve"> </w:t>
      </w:r>
    </w:p>
    <w:p w:rsidR="005E4B50" w:rsidRPr="005E4B50" w:rsidRDefault="005E4B50" w:rsidP="005E4B50">
      <w:pPr>
        <w:pStyle w:val="ListBullet"/>
        <w:numPr>
          <w:ilvl w:val="0"/>
          <w:numId w:val="44"/>
        </w:numPr>
        <w:rPr>
          <w:rFonts w:asciiTheme="minorHAnsi" w:hAnsiTheme="minorHAnsi"/>
          <w:sz w:val="22"/>
          <w:szCs w:val="22"/>
        </w:rPr>
      </w:pPr>
      <w:r w:rsidRPr="005E4B50">
        <w:rPr>
          <w:rFonts w:asciiTheme="minorHAnsi" w:hAnsiTheme="minorHAnsi"/>
          <w:sz w:val="22"/>
        </w:rPr>
        <w:t xml:space="preserve">To improve effectiveness and better harness the resources available to this small post, DFAT will seek to consolidate its portfolio of investments in consultation with Government of Tonga, and better align bilateral, regional and global expenditure.  </w:t>
      </w:r>
    </w:p>
    <w:p w:rsidR="00015316" w:rsidRDefault="00015316" w:rsidP="005B5769">
      <w:pPr>
        <w:pStyle w:val="ListBullet"/>
        <w:tabs>
          <w:tab w:val="clear" w:pos="284"/>
        </w:tabs>
      </w:pPr>
    </w:p>
    <w:p w:rsidR="00D00802" w:rsidRDefault="00D00802" w:rsidP="005B5769">
      <w:pPr>
        <w:pStyle w:val="ListBullet"/>
        <w:tabs>
          <w:tab w:val="clear" w:pos="284"/>
        </w:tabs>
        <w:sectPr w:rsidR="00D00802" w:rsidSect="00D00802">
          <w:pgSz w:w="11906" w:h="16838" w:code="9"/>
          <w:pgMar w:top="1811" w:right="1134" w:bottom="851" w:left="1134" w:header="1565" w:footer="567" w:gutter="0"/>
          <w:cols w:space="397"/>
          <w:titlePg/>
          <w:docGrid w:linePitch="360"/>
        </w:sectPr>
      </w:pPr>
    </w:p>
    <w:p w:rsidR="00AF1B85" w:rsidRPr="00C61187" w:rsidRDefault="00AF1B85" w:rsidP="007773EA">
      <w:pPr>
        <w:pStyle w:val="Subtitle"/>
      </w:pPr>
      <w:r w:rsidRPr="00A8197B">
        <w:lastRenderedPageBreak/>
        <w:t xml:space="preserve">Annex A - Progress in </w:t>
      </w:r>
      <w:r w:rsidR="007773EA">
        <w:t>Addressing Management Responses</w:t>
      </w:r>
    </w:p>
    <w:tbl>
      <w:tblPr>
        <w:tblStyle w:val="APPR"/>
        <w:tblpPr w:leftFromText="180" w:rightFromText="180" w:vertAnchor="text" w:tblpY="1"/>
        <w:tblW w:w="5000" w:type="pct"/>
        <w:tblLayout w:type="fixed"/>
        <w:tblLook w:val="0000" w:firstRow="0" w:lastRow="0" w:firstColumn="0" w:lastColumn="0" w:noHBand="0" w:noVBand="0"/>
      </w:tblPr>
      <w:tblGrid>
        <w:gridCol w:w="6451"/>
        <w:gridCol w:w="985"/>
        <w:gridCol w:w="6871"/>
      </w:tblGrid>
      <w:tr w:rsidR="00AF1B85" w:rsidRPr="003B0793" w:rsidTr="007773EA">
        <w:trPr>
          <w:cnfStyle w:val="000000010000" w:firstRow="0" w:lastRow="0" w:firstColumn="0" w:lastColumn="0" w:oddVBand="0" w:evenVBand="0" w:oddHBand="0" w:evenHBand="1" w:firstRowFirstColumn="0" w:firstRowLastColumn="0" w:lastRowFirstColumn="0" w:lastRowLastColumn="0"/>
        </w:trPr>
        <w:tc>
          <w:tcPr>
            <w:tcW w:w="6409"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Management responses identified in 2014-15 APPR</w:t>
            </w:r>
            <w:r w:rsidRPr="003B0793">
              <w:rPr>
                <w:rFonts w:asciiTheme="minorHAnsi" w:eastAsia="Times New Roman" w:hAnsiTheme="minorHAnsi"/>
                <w:b/>
                <w:iCs/>
                <w:szCs w:val="17"/>
                <w:lang w:eastAsia="en-US"/>
              </w:rPr>
              <w:tab/>
            </w:r>
          </w:p>
        </w:tc>
        <w:tc>
          <w:tcPr>
            <w:tcW w:w="957"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Rating</w:t>
            </w:r>
          </w:p>
        </w:tc>
        <w:tc>
          <w:tcPr>
            <w:tcW w:w="6829"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Progress made  in 2015-16</w:t>
            </w:r>
            <w:r w:rsidRPr="003B0793">
              <w:rPr>
                <w:rFonts w:asciiTheme="minorHAnsi" w:eastAsia="Times New Roman" w:hAnsiTheme="minorHAnsi"/>
                <w:b/>
                <w:iCs/>
                <w:szCs w:val="17"/>
                <w:lang w:eastAsia="en-US"/>
              </w:rPr>
              <w:tab/>
            </w:r>
          </w:p>
        </w:tc>
      </w:tr>
      <w:tr w:rsidR="00AF1B85" w:rsidRPr="003B0793" w:rsidTr="007773EA">
        <w:trPr>
          <w:cnfStyle w:val="000000010000" w:firstRow="0" w:lastRow="0" w:firstColumn="0" w:lastColumn="0" w:oddVBand="0" w:evenVBand="0" w:oddHBand="0" w:evenHBand="1" w:firstRowFirstColumn="0" w:firstRowLastColumn="0" w:lastRowFirstColumn="0" w:lastRowLastColumn="0"/>
        </w:trPr>
        <w:tc>
          <w:tcPr>
            <w:tcW w:w="6409" w:type="dxa"/>
          </w:tcPr>
          <w:p w:rsidR="00AF1B85" w:rsidRPr="007773EA" w:rsidRDefault="00816E94" w:rsidP="00D15A00">
            <w:pPr>
              <w:keepLines/>
              <w:spacing w:before="40" w:after="40" w:line="200" w:lineRule="atLeast"/>
              <w:rPr>
                <w:rFonts w:asciiTheme="minorHAnsi" w:eastAsia="Times New Roman" w:hAnsiTheme="minorHAnsi"/>
                <w:iCs/>
                <w:color w:val="auto"/>
                <w:szCs w:val="17"/>
                <w:lang w:eastAsia="en-US"/>
              </w:rPr>
            </w:pPr>
            <w:r w:rsidRPr="007773EA">
              <w:rPr>
                <w:rFonts w:asciiTheme="minorHAnsi" w:eastAsia="Times New Roman" w:hAnsiTheme="minorHAnsi"/>
                <w:iCs/>
                <w:color w:val="auto"/>
                <w:szCs w:val="17"/>
                <w:lang w:eastAsia="en-US"/>
              </w:rPr>
              <w:t xml:space="preserve">DFAT to address weaknesses in integrating gender quality issues across investments. </w:t>
            </w:r>
          </w:p>
        </w:tc>
        <w:tc>
          <w:tcPr>
            <w:tcW w:w="957" w:type="dxa"/>
            <w:shd w:val="clear" w:color="auto" w:fill="FFC000"/>
          </w:tcPr>
          <w:p w:rsidR="00AF1B85" w:rsidRPr="003B0793" w:rsidRDefault="00C72E61"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Partly achieved</w:t>
            </w:r>
          </w:p>
        </w:tc>
        <w:tc>
          <w:tcPr>
            <w:tcW w:w="6829" w:type="dxa"/>
          </w:tcPr>
          <w:p w:rsidR="00AF1B85" w:rsidRPr="007773EA" w:rsidRDefault="00AC20AE" w:rsidP="00C27BF7">
            <w:pPr>
              <w:keepLines/>
              <w:spacing w:before="40" w:after="40" w:line="200" w:lineRule="atLeast"/>
              <w:rPr>
                <w:rFonts w:asciiTheme="minorHAnsi" w:eastAsia="Times New Roman" w:hAnsiTheme="minorHAnsi"/>
                <w:iCs/>
                <w:color w:val="auto"/>
                <w:szCs w:val="17"/>
                <w:lang w:eastAsia="en-US"/>
              </w:rPr>
            </w:pPr>
            <w:r w:rsidRPr="007773EA">
              <w:rPr>
                <w:rFonts w:asciiTheme="minorHAnsi" w:eastAsia="Times New Roman" w:hAnsiTheme="minorHAnsi"/>
                <w:iCs/>
                <w:color w:val="auto"/>
                <w:szCs w:val="17"/>
                <w:lang w:eastAsia="en-US"/>
              </w:rPr>
              <w:t>Although the program has not yet met the</w:t>
            </w:r>
            <w:r w:rsidRPr="00D60D2E">
              <w:rPr>
                <w:rFonts w:asciiTheme="minorHAnsi" w:eastAsia="Times New Roman" w:hAnsiTheme="minorHAnsi"/>
                <w:iCs/>
                <w:color w:val="auto"/>
                <w:szCs w:val="17"/>
                <w:lang w:eastAsia="en-US"/>
              </w:rPr>
              <w:t xml:space="preserve"> </w:t>
            </w:r>
            <w:r w:rsidR="006B3124">
              <w:rPr>
                <w:rFonts w:asciiTheme="minorHAnsi" w:eastAsia="Times New Roman" w:hAnsiTheme="minorHAnsi"/>
                <w:iCs/>
                <w:color w:val="auto"/>
                <w:szCs w:val="17"/>
                <w:lang w:eastAsia="en-US"/>
              </w:rPr>
              <w:t xml:space="preserve">aid program’s </w:t>
            </w:r>
            <w:r w:rsidR="00D60D2E" w:rsidRPr="00D60D2E">
              <w:rPr>
                <w:rFonts w:asciiTheme="minorHAnsi" w:hAnsiTheme="minorHAnsi"/>
                <w:color w:val="auto"/>
              </w:rPr>
              <w:t>Key Target for Empowering Women and Girls</w:t>
            </w:r>
            <w:r w:rsidR="00D60D2E">
              <w:rPr>
                <w:rFonts w:asciiTheme="minorHAnsi" w:hAnsiTheme="minorHAnsi"/>
                <w:color w:val="auto"/>
              </w:rPr>
              <w:t xml:space="preserve">, </w:t>
            </w:r>
            <w:r w:rsidR="00DE765A">
              <w:rPr>
                <w:rFonts w:asciiTheme="minorHAnsi" w:eastAsia="Times New Roman" w:hAnsiTheme="minorHAnsi"/>
                <w:iCs/>
                <w:color w:val="auto"/>
                <w:szCs w:val="17"/>
                <w:lang w:eastAsia="en-US"/>
              </w:rPr>
              <w:t>the number of investments addressing gender equality</w:t>
            </w:r>
            <w:r w:rsidR="00C27BF7">
              <w:rPr>
                <w:rFonts w:asciiTheme="minorHAnsi" w:eastAsia="Times New Roman" w:hAnsiTheme="minorHAnsi"/>
                <w:iCs/>
                <w:color w:val="auto"/>
                <w:szCs w:val="17"/>
                <w:lang w:eastAsia="en-US"/>
              </w:rPr>
              <w:t xml:space="preserve"> effectively </w:t>
            </w:r>
            <w:r w:rsidR="00DE765A">
              <w:rPr>
                <w:rFonts w:asciiTheme="minorHAnsi" w:eastAsia="Times New Roman" w:hAnsiTheme="minorHAnsi"/>
                <w:iCs/>
                <w:color w:val="auto"/>
                <w:szCs w:val="17"/>
                <w:lang w:eastAsia="en-US"/>
              </w:rPr>
              <w:t xml:space="preserve">increased </w:t>
            </w:r>
            <w:r w:rsidR="00D60D2E">
              <w:rPr>
                <w:rFonts w:asciiTheme="minorHAnsi" w:eastAsia="Times New Roman" w:hAnsiTheme="minorHAnsi"/>
                <w:iCs/>
                <w:color w:val="auto"/>
                <w:szCs w:val="17"/>
                <w:lang w:eastAsia="en-US"/>
              </w:rPr>
              <w:t xml:space="preserve">over the reporting period </w:t>
            </w:r>
            <w:r w:rsidR="00DE765A">
              <w:rPr>
                <w:rFonts w:asciiTheme="minorHAnsi" w:eastAsia="Times New Roman" w:hAnsiTheme="minorHAnsi"/>
                <w:iCs/>
                <w:color w:val="auto"/>
                <w:szCs w:val="17"/>
                <w:lang w:eastAsia="en-US"/>
              </w:rPr>
              <w:t>(from 55 to 66</w:t>
            </w:r>
            <w:r w:rsidR="00C27BF7">
              <w:rPr>
                <w:rFonts w:asciiTheme="minorHAnsi" w:eastAsia="Times New Roman" w:hAnsiTheme="minorHAnsi"/>
                <w:iCs/>
                <w:color w:val="auto"/>
                <w:szCs w:val="17"/>
                <w:lang w:eastAsia="en-US"/>
              </w:rPr>
              <w:t xml:space="preserve"> per cent</w:t>
            </w:r>
            <w:r w:rsidR="00DE765A">
              <w:rPr>
                <w:rFonts w:asciiTheme="minorHAnsi" w:eastAsia="Times New Roman" w:hAnsiTheme="minorHAnsi"/>
                <w:iCs/>
                <w:color w:val="auto"/>
                <w:szCs w:val="17"/>
                <w:lang w:eastAsia="en-US"/>
              </w:rPr>
              <w:t>)</w:t>
            </w:r>
            <w:r w:rsidR="00FB4D28" w:rsidRPr="007773EA">
              <w:rPr>
                <w:rFonts w:asciiTheme="minorHAnsi" w:eastAsia="Times New Roman" w:hAnsiTheme="minorHAnsi"/>
                <w:iCs/>
                <w:color w:val="auto"/>
                <w:szCs w:val="17"/>
                <w:lang w:eastAsia="en-US"/>
              </w:rPr>
              <w:t>.</w:t>
            </w:r>
            <w:r w:rsidR="00F10FAE" w:rsidRPr="007773EA">
              <w:rPr>
                <w:rFonts w:asciiTheme="minorHAnsi" w:eastAsia="Times New Roman" w:hAnsiTheme="minorHAnsi"/>
                <w:iCs/>
                <w:color w:val="auto"/>
                <w:szCs w:val="17"/>
                <w:lang w:eastAsia="en-US"/>
              </w:rPr>
              <w:t xml:space="preserve"> </w:t>
            </w:r>
            <w:r w:rsidR="00816E94" w:rsidRPr="007773EA">
              <w:rPr>
                <w:rFonts w:asciiTheme="minorHAnsi" w:eastAsia="Times New Roman" w:hAnsiTheme="minorHAnsi"/>
                <w:iCs/>
                <w:color w:val="auto"/>
                <w:szCs w:val="17"/>
                <w:lang w:eastAsia="en-US"/>
              </w:rPr>
              <w:t xml:space="preserve">In October 2015, DFAT </w:t>
            </w:r>
            <w:r w:rsidR="00B46F52" w:rsidRPr="007773EA">
              <w:rPr>
                <w:rFonts w:asciiTheme="minorHAnsi" w:eastAsia="Times New Roman" w:hAnsiTheme="minorHAnsi"/>
                <w:iCs/>
                <w:color w:val="auto"/>
                <w:szCs w:val="17"/>
                <w:lang w:eastAsia="en-US"/>
              </w:rPr>
              <w:t xml:space="preserve">commissioned a </w:t>
            </w:r>
            <w:r w:rsidR="00816E94" w:rsidRPr="007773EA">
              <w:rPr>
                <w:rFonts w:asciiTheme="minorHAnsi" w:eastAsia="Times New Roman" w:hAnsiTheme="minorHAnsi"/>
                <w:iCs/>
                <w:color w:val="auto"/>
                <w:szCs w:val="17"/>
                <w:lang w:eastAsia="en-US"/>
              </w:rPr>
              <w:t xml:space="preserve">review </w:t>
            </w:r>
            <w:r w:rsidR="0000175C">
              <w:rPr>
                <w:rFonts w:asciiTheme="minorHAnsi" w:eastAsia="Times New Roman" w:hAnsiTheme="minorHAnsi"/>
                <w:iCs/>
                <w:color w:val="auto"/>
                <w:szCs w:val="17"/>
                <w:lang w:eastAsia="en-US"/>
              </w:rPr>
              <w:t xml:space="preserve">of </w:t>
            </w:r>
            <w:r w:rsidR="00816E94" w:rsidRPr="007773EA">
              <w:rPr>
                <w:rFonts w:asciiTheme="minorHAnsi" w:eastAsia="Times New Roman" w:hAnsiTheme="minorHAnsi"/>
                <w:iCs/>
                <w:color w:val="auto"/>
                <w:szCs w:val="17"/>
                <w:lang w:eastAsia="en-US"/>
              </w:rPr>
              <w:t xml:space="preserve">the Tonga Pacific Women Country Plan. The review, </w:t>
            </w:r>
            <w:r w:rsidRPr="007773EA">
              <w:rPr>
                <w:rFonts w:asciiTheme="minorHAnsi" w:eastAsia="Times New Roman" w:hAnsiTheme="minorHAnsi"/>
                <w:iCs/>
                <w:color w:val="auto"/>
                <w:szCs w:val="17"/>
                <w:lang w:eastAsia="en-US"/>
              </w:rPr>
              <w:t xml:space="preserve">found the focus of the </w:t>
            </w:r>
            <w:r w:rsidR="00D60D2E">
              <w:rPr>
                <w:rFonts w:asciiTheme="minorHAnsi" w:eastAsia="Times New Roman" w:hAnsiTheme="minorHAnsi"/>
                <w:iCs/>
                <w:color w:val="auto"/>
                <w:szCs w:val="17"/>
                <w:lang w:eastAsia="en-US"/>
              </w:rPr>
              <w:t>Country P</w:t>
            </w:r>
            <w:r w:rsidR="00FB4D28" w:rsidRPr="007773EA">
              <w:rPr>
                <w:rFonts w:asciiTheme="minorHAnsi" w:eastAsia="Times New Roman" w:hAnsiTheme="minorHAnsi"/>
                <w:iCs/>
                <w:color w:val="auto"/>
                <w:szCs w:val="17"/>
                <w:lang w:eastAsia="en-US"/>
              </w:rPr>
              <w:t>lan</w:t>
            </w:r>
            <w:r w:rsidRPr="007773EA">
              <w:rPr>
                <w:rFonts w:asciiTheme="minorHAnsi" w:eastAsia="Times New Roman" w:hAnsiTheme="minorHAnsi"/>
                <w:iCs/>
                <w:color w:val="auto"/>
                <w:szCs w:val="17"/>
                <w:lang w:eastAsia="en-US"/>
              </w:rPr>
              <w:t xml:space="preserve"> was sound</w:t>
            </w:r>
            <w:r w:rsidR="006B3124">
              <w:rPr>
                <w:rFonts w:asciiTheme="minorHAnsi" w:eastAsia="Times New Roman" w:hAnsiTheme="minorHAnsi"/>
                <w:iCs/>
                <w:color w:val="auto"/>
                <w:szCs w:val="17"/>
                <w:lang w:eastAsia="en-US"/>
              </w:rPr>
              <w:t xml:space="preserve"> </w:t>
            </w:r>
            <w:r w:rsidRPr="007773EA">
              <w:rPr>
                <w:rFonts w:asciiTheme="minorHAnsi" w:eastAsia="Times New Roman" w:hAnsiTheme="minorHAnsi"/>
                <w:iCs/>
                <w:color w:val="auto"/>
                <w:szCs w:val="17"/>
                <w:lang w:eastAsia="en-US"/>
              </w:rPr>
              <w:t>and recommended additional activities for 2016-2019.</w:t>
            </w:r>
            <w:r w:rsidR="00DE765A">
              <w:rPr>
                <w:rFonts w:asciiTheme="minorHAnsi" w:eastAsia="Times New Roman" w:hAnsiTheme="minorHAnsi"/>
                <w:iCs/>
                <w:color w:val="auto"/>
                <w:szCs w:val="17"/>
                <w:lang w:eastAsia="en-US"/>
              </w:rPr>
              <w:t xml:space="preserve"> </w:t>
            </w:r>
            <w:r w:rsidR="00DE765A" w:rsidRPr="007773EA">
              <w:rPr>
                <w:rFonts w:asciiTheme="minorHAnsi" w:eastAsia="Times New Roman" w:hAnsiTheme="minorHAnsi"/>
                <w:iCs/>
                <w:color w:val="auto"/>
                <w:szCs w:val="17"/>
                <w:lang w:eastAsia="en-US"/>
              </w:rPr>
              <w:t xml:space="preserve"> DFAT is </w:t>
            </w:r>
            <w:r w:rsidR="006B3124">
              <w:rPr>
                <w:rFonts w:asciiTheme="minorHAnsi" w:eastAsia="Times New Roman" w:hAnsiTheme="minorHAnsi"/>
                <w:iCs/>
                <w:color w:val="auto"/>
                <w:szCs w:val="17"/>
                <w:lang w:eastAsia="en-US"/>
              </w:rPr>
              <w:t xml:space="preserve">currently </w:t>
            </w:r>
            <w:r w:rsidR="00DE765A" w:rsidRPr="007773EA">
              <w:rPr>
                <w:rFonts w:asciiTheme="minorHAnsi" w:eastAsia="Times New Roman" w:hAnsiTheme="minorHAnsi"/>
                <w:iCs/>
                <w:color w:val="auto"/>
                <w:szCs w:val="17"/>
                <w:lang w:eastAsia="en-US"/>
              </w:rPr>
              <w:t>following up on these p</w:t>
            </w:r>
            <w:r w:rsidR="00D60D2E">
              <w:rPr>
                <w:rFonts w:asciiTheme="minorHAnsi" w:eastAsia="Times New Roman" w:hAnsiTheme="minorHAnsi"/>
                <w:iCs/>
                <w:color w:val="auto"/>
                <w:szCs w:val="17"/>
                <w:lang w:eastAsia="en-US"/>
              </w:rPr>
              <w:t xml:space="preserve">roposals. </w:t>
            </w:r>
            <w:r w:rsidRPr="007773EA">
              <w:rPr>
                <w:rFonts w:asciiTheme="minorHAnsi" w:eastAsia="Times New Roman" w:hAnsiTheme="minorHAnsi"/>
                <w:iCs/>
                <w:color w:val="auto"/>
                <w:szCs w:val="17"/>
                <w:lang w:eastAsia="en-US"/>
              </w:rPr>
              <w:t xml:space="preserve">DFAT has also maintained access to gender equality advice (though a contracted gender adviser) to </w:t>
            </w:r>
            <w:r w:rsidR="00816E94" w:rsidRPr="007773EA">
              <w:rPr>
                <w:rFonts w:asciiTheme="minorHAnsi" w:eastAsia="Times New Roman" w:hAnsiTheme="minorHAnsi"/>
                <w:iCs/>
                <w:color w:val="auto"/>
                <w:szCs w:val="17"/>
                <w:lang w:eastAsia="en-US"/>
              </w:rPr>
              <w:t xml:space="preserve">better </w:t>
            </w:r>
            <w:r w:rsidR="00E60E41" w:rsidRPr="007773EA">
              <w:rPr>
                <w:rFonts w:asciiTheme="minorHAnsi" w:eastAsia="Times New Roman" w:hAnsiTheme="minorHAnsi"/>
                <w:iCs/>
                <w:color w:val="auto"/>
                <w:szCs w:val="17"/>
                <w:lang w:eastAsia="en-US"/>
              </w:rPr>
              <w:t>mainstream</w:t>
            </w:r>
            <w:r w:rsidR="00FB4D28" w:rsidRPr="007773EA">
              <w:rPr>
                <w:rFonts w:asciiTheme="minorHAnsi" w:eastAsia="Times New Roman" w:hAnsiTheme="minorHAnsi"/>
                <w:iCs/>
                <w:color w:val="auto"/>
                <w:szCs w:val="17"/>
                <w:lang w:eastAsia="en-US"/>
              </w:rPr>
              <w:t xml:space="preserve"> </w:t>
            </w:r>
            <w:r w:rsidR="00816E94" w:rsidRPr="007773EA">
              <w:rPr>
                <w:rFonts w:asciiTheme="minorHAnsi" w:eastAsia="Times New Roman" w:hAnsiTheme="minorHAnsi"/>
                <w:iCs/>
                <w:color w:val="auto"/>
                <w:szCs w:val="17"/>
                <w:lang w:eastAsia="en-US"/>
              </w:rPr>
              <w:t xml:space="preserve">gender equality across </w:t>
            </w:r>
            <w:r w:rsidR="00D60D2E">
              <w:rPr>
                <w:rFonts w:asciiTheme="minorHAnsi" w:eastAsia="Times New Roman" w:hAnsiTheme="minorHAnsi"/>
                <w:iCs/>
                <w:color w:val="auto"/>
                <w:szCs w:val="17"/>
                <w:lang w:eastAsia="en-US"/>
              </w:rPr>
              <w:t xml:space="preserve">all </w:t>
            </w:r>
            <w:r w:rsidR="00816E94" w:rsidRPr="007773EA">
              <w:rPr>
                <w:rFonts w:asciiTheme="minorHAnsi" w:eastAsia="Times New Roman" w:hAnsiTheme="minorHAnsi"/>
                <w:iCs/>
                <w:color w:val="auto"/>
                <w:szCs w:val="17"/>
                <w:lang w:eastAsia="en-US"/>
              </w:rPr>
              <w:t xml:space="preserve">investments.  </w:t>
            </w:r>
          </w:p>
        </w:tc>
      </w:tr>
      <w:tr w:rsidR="00AF1B85" w:rsidRPr="003B0793" w:rsidTr="007773EA">
        <w:trPr>
          <w:cnfStyle w:val="000000010000" w:firstRow="0" w:lastRow="0" w:firstColumn="0" w:lastColumn="0" w:oddVBand="0" w:evenVBand="0" w:oddHBand="0" w:evenHBand="1" w:firstRowFirstColumn="0" w:firstRowLastColumn="0" w:lastRowFirstColumn="0" w:lastRowLastColumn="0"/>
        </w:trPr>
        <w:tc>
          <w:tcPr>
            <w:tcW w:w="6409" w:type="dxa"/>
          </w:tcPr>
          <w:p w:rsidR="00AF1B85" w:rsidRPr="007773EA" w:rsidRDefault="00E60E41" w:rsidP="00D15A00">
            <w:pPr>
              <w:keepLines/>
              <w:spacing w:before="40" w:after="40" w:line="200" w:lineRule="atLeast"/>
              <w:rPr>
                <w:rFonts w:asciiTheme="minorHAnsi" w:eastAsia="Times New Roman" w:hAnsiTheme="minorHAnsi"/>
                <w:iCs/>
                <w:color w:val="auto"/>
                <w:szCs w:val="17"/>
                <w:lang w:eastAsia="en-US"/>
              </w:rPr>
            </w:pPr>
            <w:r w:rsidRPr="007773EA">
              <w:rPr>
                <w:rFonts w:asciiTheme="minorHAnsi" w:eastAsia="Times New Roman" w:hAnsiTheme="minorHAnsi"/>
                <w:iCs/>
                <w:color w:val="auto"/>
                <w:szCs w:val="17"/>
                <w:lang w:eastAsia="en-US"/>
              </w:rPr>
              <w:t>Conduct a joint Australia/</w:t>
            </w:r>
            <w:r w:rsidR="00816E94" w:rsidRPr="007773EA">
              <w:rPr>
                <w:rFonts w:asciiTheme="minorHAnsi" w:eastAsia="Times New Roman" w:hAnsiTheme="minorHAnsi"/>
                <w:iCs/>
                <w:color w:val="auto"/>
                <w:szCs w:val="17"/>
                <w:lang w:eastAsia="en-US"/>
              </w:rPr>
              <w:t>New Zealand/Tong</w:t>
            </w:r>
            <w:r w:rsidRPr="007773EA">
              <w:rPr>
                <w:rFonts w:asciiTheme="minorHAnsi" w:eastAsia="Times New Roman" w:hAnsiTheme="minorHAnsi"/>
                <w:iCs/>
                <w:color w:val="auto"/>
                <w:szCs w:val="17"/>
                <w:lang w:eastAsia="en-US"/>
              </w:rPr>
              <w:t xml:space="preserve">a independent evaluation of the </w:t>
            </w:r>
            <w:r w:rsidRPr="007773EA">
              <w:rPr>
                <w:rFonts w:asciiTheme="minorHAnsi" w:eastAsia="Times New Roman" w:hAnsiTheme="minorHAnsi"/>
                <w:i/>
                <w:iCs/>
                <w:color w:val="auto"/>
                <w:szCs w:val="17"/>
                <w:lang w:eastAsia="en-US"/>
              </w:rPr>
              <w:t>Tonga Education Support Program II</w:t>
            </w:r>
            <w:r w:rsidRPr="007773EA">
              <w:rPr>
                <w:rFonts w:asciiTheme="minorHAnsi" w:eastAsia="Times New Roman" w:hAnsiTheme="minorHAnsi"/>
                <w:iCs/>
                <w:color w:val="auto"/>
                <w:szCs w:val="17"/>
                <w:lang w:eastAsia="en-US"/>
              </w:rPr>
              <w:t>.</w:t>
            </w:r>
          </w:p>
        </w:tc>
        <w:tc>
          <w:tcPr>
            <w:tcW w:w="957" w:type="dxa"/>
            <w:shd w:val="clear" w:color="auto" w:fill="72AF2F"/>
          </w:tcPr>
          <w:p w:rsidR="00AF1B85" w:rsidRPr="003B0793"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Achieved</w:t>
            </w:r>
            <w:r w:rsidRPr="003B0793">
              <w:rPr>
                <w:rFonts w:eastAsia="Times New Roman"/>
                <w:iCs/>
                <w:color w:val="FFFFFF" w:themeColor="background1"/>
                <w:szCs w:val="17"/>
              </w:rPr>
              <w:fldChar w:fldCharType="begin"/>
            </w:r>
            <w:r w:rsidRPr="003B0793">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3B0793">
              <w:rPr>
                <w:rFonts w:eastAsia="Times New Roman"/>
                <w:iCs/>
                <w:color w:val="FFFFFF" w:themeColor="background1"/>
                <w:szCs w:val="17"/>
              </w:rPr>
              <w:fldChar w:fldCharType="end"/>
            </w:r>
          </w:p>
        </w:tc>
        <w:tc>
          <w:tcPr>
            <w:tcW w:w="6829" w:type="dxa"/>
          </w:tcPr>
          <w:p w:rsidR="00AF1B85" w:rsidRPr="007773EA" w:rsidRDefault="00E60E41" w:rsidP="00623EDE">
            <w:pPr>
              <w:keepLines/>
              <w:spacing w:before="40" w:after="40" w:line="200" w:lineRule="atLeast"/>
              <w:rPr>
                <w:rFonts w:asciiTheme="minorHAnsi" w:eastAsia="Times New Roman" w:hAnsiTheme="minorHAnsi"/>
                <w:iCs/>
                <w:color w:val="auto"/>
                <w:szCs w:val="17"/>
                <w:lang w:eastAsia="en-US"/>
              </w:rPr>
            </w:pPr>
            <w:r w:rsidRPr="007773EA">
              <w:rPr>
                <w:rFonts w:asciiTheme="minorHAnsi" w:eastAsia="Times New Roman" w:hAnsiTheme="minorHAnsi"/>
                <w:iCs/>
                <w:color w:val="auto"/>
                <w:szCs w:val="17"/>
                <w:lang w:eastAsia="en-US"/>
              </w:rPr>
              <w:t xml:space="preserve">The evaluation commenced in July 2015 with the report and management response published </w:t>
            </w:r>
            <w:r w:rsidR="00B46F52" w:rsidRPr="007773EA">
              <w:rPr>
                <w:rFonts w:asciiTheme="minorHAnsi" w:eastAsia="Times New Roman" w:hAnsiTheme="minorHAnsi"/>
                <w:iCs/>
                <w:color w:val="auto"/>
                <w:szCs w:val="17"/>
                <w:lang w:eastAsia="en-US"/>
              </w:rPr>
              <w:t>on the DFAT internet in September 2015</w:t>
            </w:r>
            <w:r w:rsidRPr="007773EA">
              <w:rPr>
                <w:rFonts w:asciiTheme="minorHAnsi" w:eastAsia="Times New Roman" w:hAnsiTheme="minorHAnsi"/>
                <w:iCs/>
                <w:color w:val="auto"/>
                <w:szCs w:val="17"/>
                <w:lang w:eastAsia="en-US"/>
              </w:rPr>
              <w:t>.</w:t>
            </w:r>
            <w:r w:rsidR="007773EA" w:rsidRPr="007773EA">
              <w:rPr>
                <w:rFonts w:asciiTheme="minorHAnsi" w:eastAsia="Times New Roman" w:hAnsiTheme="minorHAnsi"/>
                <w:iCs/>
                <w:color w:val="auto"/>
                <w:szCs w:val="17"/>
                <w:lang w:eastAsia="en-US"/>
              </w:rPr>
              <w:t xml:space="preserve"> </w:t>
            </w:r>
          </w:p>
        </w:tc>
      </w:tr>
      <w:tr w:rsidR="00AF1B85" w:rsidRPr="003B0793" w:rsidTr="007773EA">
        <w:trPr>
          <w:cnfStyle w:val="000000010000" w:firstRow="0" w:lastRow="0" w:firstColumn="0" w:lastColumn="0" w:oddVBand="0" w:evenVBand="0" w:oddHBand="0" w:evenHBand="1" w:firstRowFirstColumn="0" w:firstRowLastColumn="0" w:lastRowFirstColumn="0" w:lastRowLastColumn="0"/>
        </w:trPr>
        <w:tc>
          <w:tcPr>
            <w:tcW w:w="6409" w:type="dxa"/>
          </w:tcPr>
          <w:p w:rsidR="00AF1B85" w:rsidRPr="007773EA" w:rsidRDefault="006207EE" w:rsidP="006207EE">
            <w:pPr>
              <w:keepLines/>
              <w:spacing w:before="40" w:after="40" w:line="200" w:lineRule="atLeast"/>
              <w:rPr>
                <w:rFonts w:asciiTheme="minorHAnsi" w:eastAsia="Times New Roman" w:hAnsiTheme="minorHAnsi"/>
                <w:iCs/>
                <w:color w:val="auto"/>
                <w:szCs w:val="17"/>
                <w:lang w:eastAsia="en-US"/>
              </w:rPr>
            </w:pPr>
            <w:r w:rsidRPr="007773EA">
              <w:rPr>
                <w:rFonts w:asciiTheme="minorHAnsi" w:eastAsia="Times New Roman" w:hAnsiTheme="minorHAnsi"/>
                <w:iCs/>
                <w:color w:val="auto"/>
                <w:szCs w:val="17"/>
                <w:lang w:eastAsia="en-US"/>
              </w:rPr>
              <w:t>DFAT will w</w:t>
            </w:r>
            <w:r w:rsidR="00E60E41" w:rsidRPr="007773EA">
              <w:rPr>
                <w:rFonts w:asciiTheme="minorHAnsi" w:eastAsia="Times New Roman" w:hAnsiTheme="minorHAnsi"/>
                <w:iCs/>
                <w:color w:val="auto"/>
                <w:szCs w:val="17"/>
                <w:lang w:eastAsia="en-US"/>
              </w:rPr>
              <w:t xml:space="preserve">ork with World Bank to improve communication regarding the </w:t>
            </w:r>
            <w:r w:rsidR="00E60E41" w:rsidRPr="007773EA">
              <w:rPr>
                <w:rFonts w:asciiTheme="minorHAnsi" w:eastAsia="Times New Roman" w:hAnsiTheme="minorHAnsi"/>
                <w:i/>
                <w:iCs/>
                <w:color w:val="auto"/>
                <w:szCs w:val="17"/>
                <w:lang w:eastAsia="en-US"/>
              </w:rPr>
              <w:t>Tonga Energy Road Map</w:t>
            </w:r>
            <w:r w:rsidR="00E60E41" w:rsidRPr="007773EA">
              <w:rPr>
                <w:rFonts w:asciiTheme="minorHAnsi" w:eastAsia="Times New Roman" w:hAnsiTheme="minorHAnsi"/>
                <w:iCs/>
                <w:color w:val="auto"/>
                <w:szCs w:val="17"/>
                <w:lang w:eastAsia="en-US"/>
              </w:rPr>
              <w:t xml:space="preserve"> (TERM) </w:t>
            </w:r>
            <w:r w:rsidR="00E60E41" w:rsidRPr="007773EA">
              <w:rPr>
                <w:rFonts w:asciiTheme="minorHAnsi" w:eastAsia="Times New Roman" w:hAnsiTheme="minorHAnsi"/>
                <w:i/>
                <w:iCs/>
                <w:color w:val="auto"/>
                <w:szCs w:val="17"/>
                <w:lang w:eastAsia="en-US"/>
              </w:rPr>
              <w:t>Institutional and Regulatory Framework Strengthening Project</w:t>
            </w:r>
            <w:r w:rsidR="00E60E41" w:rsidRPr="007773EA">
              <w:rPr>
                <w:rFonts w:asciiTheme="minorHAnsi" w:eastAsia="Times New Roman" w:hAnsiTheme="minorHAnsi"/>
                <w:iCs/>
                <w:color w:val="auto"/>
                <w:szCs w:val="17"/>
                <w:lang w:eastAsia="en-US"/>
              </w:rPr>
              <w:t xml:space="preserve"> and the </w:t>
            </w:r>
            <w:r w:rsidR="00E60E41" w:rsidRPr="007773EA">
              <w:rPr>
                <w:rFonts w:asciiTheme="minorHAnsi" w:eastAsia="Times New Roman" w:hAnsiTheme="minorHAnsi"/>
                <w:i/>
                <w:iCs/>
                <w:color w:val="auto"/>
                <w:szCs w:val="17"/>
                <w:lang w:eastAsia="en-US"/>
              </w:rPr>
              <w:t>Transport Sector Consolidation Project</w:t>
            </w:r>
            <w:r w:rsidR="00E60E41" w:rsidRPr="007773EA">
              <w:rPr>
                <w:rFonts w:asciiTheme="minorHAnsi" w:eastAsia="Times New Roman" w:hAnsiTheme="minorHAnsi"/>
                <w:iCs/>
                <w:color w:val="auto"/>
                <w:szCs w:val="17"/>
                <w:lang w:eastAsia="en-US"/>
              </w:rPr>
              <w:t>.</w:t>
            </w:r>
          </w:p>
        </w:tc>
        <w:tc>
          <w:tcPr>
            <w:tcW w:w="957" w:type="dxa"/>
            <w:shd w:val="clear" w:color="auto" w:fill="72AF2F"/>
          </w:tcPr>
          <w:p w:rsidR="00AF1B85" w:rsidRPr="003B0793"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Achieved</w:t>
            </w:r>
          </w:p>
        </w:tc>
        <w:tc>
          <w:tcPr>
            <w:tcW w:w="6829" w:type="dxa"/>
          </w:tcPr>
          <w:p w:rsidR="00AF1B85" w:rsidRPr="007773EA" w:rsidRDefault="006B3124" w:rsidP="007773EA">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DFAT</w:t>
            </w:r>
            <w:r w:rsidR="008F3E23" w:rsidRPr="007773EA">
              <w:rPr>
                <w:rFonts w:asciiTheme="minorHAnsi" w:eastAsia="Times New Roman" w:hAnsiTheme="minorHAnsi"/>
                <w:iCs/>
                <w:color w:val="auto"/>
                <w:szCs w:val="17"/>
                <w:lang w:eastAsia="en-US"/>
              </w:rPr>
              <w:t xml:space="preserve"> has worked closely with World Bank on this issue, with the World Bank </w:t>
            </w:r>
            <w:r w:rsidR="007773EA" w:rsidRPr="007773EA">
              <w:rPr>
                <w:rFonts w:asciiTheme="minorHAnsi" w:eastAsia="Times New Roman" w:hAnsiTheme="minorHAnsi"/>
                <w:iCs/>
                <w:color w:val="auto"/>
                <w:szCs w:val="17"/>
                <w:lang w:eastAsia="en-US"/>
              </w:rPr>
              <w:t xml:space="preserve">improving </w:t>
            </w:r>
            <w:r w:rsidR="008F3E23" w:rsidRPr="007773EA">
              <w:rPr>
                <w:rFonts w:asciiTheme="minorHAnsi" w:eastAsia="Times New Roman" w:hAnsiTheme="minorHAnsi"/>
                <w:iCs/>
                <w:color w:val="auto"/>
                <w:szCs w:val="17"/>
                <w:lang w:eastAsia="en-US"/>
              </w:rPr>
              <w:t>the level of communication and reporting against project milestones and financials.</w:t>
            </w:r>
            <w:r w:rsidR="00E67232" w:rsidRPr="007773EA">
              <w:rPr>
                <w:rFonts w:asciiTheme="minorHAnsi" w:eastAsia="Times New Roman" w:hAnsiTheme="minorHAnsi"/>
                <w:iCs/>
                <w:color w:val="auto"/>
                <w:szCs w:val="17"/>
                <w:lang w:eastAsia="en-US"/>
              </w:rPr>
              <w:t xml:space="preserve"> </w:t>
            </w:r>
            <w:r w:rsidR="007773EA" w:rsidRPr="007773EA">
              <w:rPr>
                <w:rFonts w:asciiTheme="minorHAnsi" w:eastAsia="Times New Roman" w:hAnsiTheme="minorHAnsi"/>
                <w:i/>
                <w:iCs/>
                <w:color w:val="auto"/>
                <w:szCs w:val="17"/>
                <w:lang w:eastAsia="en-US"/>
              </w:rPr>
              <w:t xml:space="preserve"> </w:t>
            </w:r>
            <w:r w:rsidR="007773EA" w:rsidRPr="007773EA">
              <w:rPr>
                <w:rFonts w:asciiTheme="minorHAnsi" w:eastAsia="Times New Roman" w:hAnsiTheme="minorHAnsi"/>
                <w:iCs/>
                <w:color w:val="auto"/>
                <w:szCs w:val="17"/>
                <w:lang w:eastAsia="en-US"/>
              </w:rPr>
              <w:t xml:space="preserve">The </w:t>
            </w:r>
            <w:r w:rsidR="007773EA" w:rsidRPr="007773EA">
              <w:rPr>
                <w:rFonts w:asciiTheme="minorHAnsi" w:eastAsia="Times New Roman" w:hAnsiTheme="minorHAnsi"/>
                <w:i/>
                <w:iCs/>
                <w:color w:val="auto"/>
                <w:szCs w:val="17"/>
                <w:lang w:eastAsia="en-US"/>
              </w:rPr>
              <w:t>Transport Sector Consolidation Project</w:t>
            </w:r>
            <w:r w:rsidR="007773EA" w:rsidRPr="007773EA">
              <w:rPr>
                <w:rFonts w:asciiTheme="minorHAnsi" w:eastAsia="Times New Roman" w:hAnsiTheme="minorHAnsi"/>
                <w:iCs/>
                <w:color w:val="auto"/>
                <w:szCs w:val="17"/>
                <w:lang w:eastAsia="en-US"/>
              </w:rPr>
              <w:t>.</w:t>
            </w:r>
            <w:r w:rsidR="00E67232" w:rsidRPr="007773EA">
              <w:rPr>
                <w:rFonts w:asciiTheme="minorHAnsi" w:eastAsia="Times New Roman" w:hAnsiTheme="minorHAnsi"/>
                <w:iCs/>
                <w:color w:val="auto"/>
                <w:szCs w:val="17"/>
                <w:lang w:eastAsia="en-US"/>
              </w:rPr>
              <w:t>is now complete, and</w:t>
            </w:r>
            <w:r w:rsidR="007773EA" w:rsidRPr="007773EA">
              <w:rPr>
                <w:rFonts w:asciiTheme="minorHAnsi" w:eastAsia="Times New Roman" w:hAnsiTheme="minorHAnsi"/>
                <w:iCs/>
                <w:color w:val="auto"/>
                <w:szCs w:val="17"/>
                <w:lang w:eastAsia="en-US"/>
              </w:rPr>
              <w:t xml:space="preserve"> the</w:t>
            </w:r>
            <w:r w:rsidR="007773EA" w:rsidRPr="007773EA">
              <w:rPr>
                <w:rFonts w:asciiTheme="minorHAnsi" w:eastAsia="Times New Roman" w:hAnsiTheme="minorHAnsi"/>
                <w:i/>
                <w:iCs/>
                <w:color w:val="auto"/>
                <w:szCs w:val="17"/>
                <w:lang w:eastAsia="en-US"/>
              </w:rPr>
              <w:t xml:space="preserve"> Tonga Energy Road Map</w:t>
            </w:r>
            <w:r w:rsidR="007773EA" w:rsidRPr="007773EA">
              <w:rPr>
                <w:rFonts w:asciiTheme="minorHAnsi" w:eastAsia="Times New Roman" w:hAnsiTheme="minorHAnsi"/>
                <w:iCs/>
                <w:color w:val="auto"/>
                <w:szCs w:val="17"/>
                <w:lang w:eastAsia="en-US"/>
              </w:rPr>
              <w:t xml:space="preserve"> (TERM) </w:t>
            </w:r>
            <w:r w:rsidR="007773EA" w:rsidRPr="007773EA">
              <w:rPr>
                <w:rFonts w:asciiTheme="minorHAnsi" w:eastAsia="Times New Roman" w:hAnsiTheme="minorHAnsi"/>
                <w:i/>
                <w:iCs/>
                <w:color w:val="auto"/>
                <w:szCs w:val="17"/>
                <w:lang w:eastAsia="en-US"/>
              </w:rPr>
              <w:t>Institutional and Regulatory Framework Strengthening Project</w:t>
            </w:r>
            <w:r w:rsidR="007773EA" w:rsidRPr="007773EA">
              <w:rPr>
                <w:rFonts w:asciiTheme="minorHAnsi" w:eastAsia="Times New Roman" w:hAnsiTheme="minorHAnsi"/>
                <w:iCs/>
                <w:color w:val="auto"/>
                <w:szCs w:val="17"/>
                <w:lang w:eastAsia="en-US"/>
              </w:rPr>
              <w:t xml:space="preserve"> </w:t>
            </w:r>
            <w:r w:rsidR="00E67232" w:rsidRPr="007773EA">
              <w:rPr>
                <w:rFonts w:asciiTheme="minorHAnsi" w:eastAsia="Times New Roman" w:hAnsiTheme="minorHAnsi"/>
                <w:iCs/>
                <w:color w:val="auto"/>
                <w:szCs w:val="17"/>
                <w:lang w:eastAsia="en-US"/>
              </w:rPr>
              <w:t>will</w:t>
            </w:r>
            <w:r w:rsidR="004A0B16">
              <w:rPr>
                <w:rFonts w:asciiTheme="minorHAnsi" w:eastAsia="Times New Roman" w:hAnsiTheme="minorHAnsi"/>
                <w:iCs/>
                <w:color w:val="auto"/>
                <w:szCs w:val="17"/>
                <w:lang w:eastAsia="en-US"/>
              </w:rPr>
              <w:t xml:space="preserve"> be</w:t>
            </w:r>
            <w:r w:rsidR="00E67232" w:rsidRPr="007773EA">
              <w:rPr>
                <w:rFonts w:asciiTheme="minorHAnsi" w:eastAsia="Times New Roman" w:hAnsiTheme="minorHAnsi"/>
                <w:iCs/>
                <w:color w:val="auto"/>
                <w:szCs w:val="17"/>
                <w:lang w:eastAsia="en-US"/>
              </w:rPr>
              <w:t xml:space="preserve"> complete</w:t>
            </w:r>
            <w:r w:rsidR="004A0B16">
              <w:rPr>
                <w:rFonts w:asciiTheme="minorHAnsi" w:eastAsia="Times New Roman" w:hAnsiTheme="minorHAnsi"/>
                <w:iCs/>
                <w:color w:val="auto"/>
                <w:szCs w:val="17"/>
                <w:lang w:eastAsia="en-US"/>
              </w:rPr>
              <w:t>d</w:t>
            </w:r>
            <w:r w:rsidR="00E67232" w:rsidRPr="007773EA">
              <w:rPr>
                <w:rFonts w:asciiTheme="minorHAnsi" w:eastAsia="Times New Roman" w:hAnsiTheme="minorHAnsi"/>
                <w:iCs/>
                <w:color w:val="auto"/>
                <w:szCs w:val="17"/>
                <w:lang w:eastAsia="en-US"/>
              </w:rPr>
              <w:t xml:space="preserve"> in December 2016.</w:t>
            </w:r>
          </w:p>
        </w:tc>
      </w:tr>
      <w:tr w:rsidR="008F3E23" w:rsidRPr="003B0793" w:rsidTr="00E905BE">
        <w:trPr>
          <w:cnfStyle w:val="000000010000" w:firstRow="0" w:lastRow="0" w:firstColumn="0" w:lastColumn="0" w:oddVBand="0" w:evenVBand="0" w:oddHBand="0" w:evenHBand="1" w:firstRowFirstColumn="0" w:firstRowLastColumn="0" w:lastRowFirstColumn="0" w:lastRowLastColumn="0"/>
        </w:trPr>
        <w:tc>
          <w:tcPr>
            <w:tcW w:w="6409" w:type="dxa"/>
          </w:tcPr>
          <w:p w:rsidR="008F3E23" w:rsidRPr="007773EA" w:rsidRDefault="008F3E23" w:rsidP="008F3E23">
            <w:pPr>
              <w:keepLines/>
              <w:spacing w:before="40" w:after="40" w:line="200" w:lineRule="atLeast"/>
              <w:rPr>
                <w:rFonts w:eastAsia="Times New Roman"/>
                <w:iCs/>
                <w:color w:val="auto"/>
                <w:szCs w:val="17"/>
              </w:rPr>
            </w:pPr>
            <w:r w:rsidRPr="007773EA">
              <w:rPr>
                <w:rFonts w:asciiTheme="minorHAnsi" w:eastAsia="Times New Roman" w:hAnsiTheme="minorHAnsi"/>
                <w:iCs/>
                <w:color w:val="auto"/>
                <w:szCs w:val="17"/>
                <w:lang w:eastAsia="en-US"/>
              </w:rPr>
              <w:t>DFAT will develop a formal Private Sector Development and Trade Facilitation Strategy to better inform future investment decisions</w:t>
            </w:r>
            <w:r w:rsidR="005B6602" w:rsidRPr="007773EA">
              <w:rPr>
                <w:rFonts w:asciiTheme="minorHAnsi" w:eastAsia="Times New Roman" w:hAnsiTheme="minorHAnsi"/>
                <w:iCs/>
                <w:color w:val="auto"/>
                <w:szCs w:val="17"/>
                <w:lang w:eastAsia="en-US"/>
              </w:rPr>
              <w:t xml:space="preserve"> and Aid Partnership discussions.</w:t>
            </w:r>
          </w:p>
        </w:tc>
        <w:tc>
          <w:tcPr>
            <w:tcW w:w="957" w:type="dxa"/>
            <w:shd w:val="clear" w:color="auto" w:fill="FFC000"/>
          </w:tcPr>
          <w:p w:rsidR="008F3E23" w:rsidRPr="003B0793" w:rsidRDefault="00E905BE" w:rsidP="00D15A00">
            <w:pPr>
              <w:keepLines/>
              <w:spacing w:before="40" w:after="40" w:line="200" w:lineRule="atLeast"/>
              <w:jc w:val="center"/>
              <w:rPr>
                <w:rFonts w:eastAsia="Times New Roman"/>
                <w:iCs/>
                <w:color w:val="FFFFFF" w:themeColor="background1"/>
                <w:szCs w:val="17"/>
              </w:rPr>
            </w:pPr>
            <w:r w:rsidRPr="003B0793">
              <w:rPr>
                <w:rFonts w:asciiTheme="minorHAnsi" w:eastAsia="Times New Roman" w:hAnsiTheme="minorHAnsi"/>
                <w:iCs/>
                <w:color w:val="FFFFFF" w:themeColor="background1"/>
                <w:szCs w:val="17"/>
                <w:lang w:eastAsia="en-US"/>
              </w:rPr>
              <w:t>Partly achieved</w:t>
            </w:r>
          </w:p>
        </w:tc>
        <w:tc>
          <w:tcPr>
            <w:tcW w:w="6829" w:type="dxa"/>
          </w:tcPr>
          <w:p w:rsidR="008F3E23" w:rsidRPr="007773EA" w:rsidRDefault="005B6602" w:rsidP="00E905BE">
            <w:pPr>
              <w:keepLines/>
              <w:spacing w:before="40" w:after="40" w:line="200" w:lineRule="atLeast"/>
              <w:rPr>
                <w:rFonts w:asciiTheme="minorHAnsi" w:eastAsia="Times New Roman" w:hAnsiTheme="minorHAnsi"/>
                <w:iCs/>
                <w:color w:val="auto"/>
                <w:szCs w:val="17"/>
              </w:rPr>
            </w:pPr>
            <w:r w:rsidRPr="007773EA">
              <w:rPr>
                <w:rFonts w:asciiTheme="minorHAnsi" w:eastAsia="Times New Roman" w:hAnsiTheme="minorHAnsi"/>
                <w:iCs/>
                <w:color w:val="auto"/>
                <w:szCs w:val="17"/>
                <w:lang w:eastAsia="en-US"/>
              </w:rPr>
              <w:t>Strategy</w:t>
            </w:r>
            <w:r w:rsidR="001530D1">
              <w:rPr>
                <w:rFonts w:asciiTheme="minorHAnsi" w:eastAsia="Times New Roman" w:hAnsiTheme="minorHAnsi"/>
                <w:iCs/>
                <w:color w:val="auto"/>
                <w:szCs w:val="17"/>
                <w:lang w:eastAsia="en-US"/>
              </w:rPr>
              <w:t xml:space="preserve"> has been drafted and close to completion</w:t>
            </w:r>
            <w:r w:rsidR="00B46F52" w:rsidRPr="007773EA">
              <w:rPr>
                <w:rFonts w:asciiTheme="minorHAnsi" w:eastAsia="Times New Roman" w:hAnsiTheme="minorHAnsi"/>
                <w:iCs/>
                <w:color w:val="auto"/>
                <w:szCs w:val="17"/>
                <w:lang w:eastAsia="en-US"/>
              </w:rPr>
              <w:t xml:space="preserve"> </w:t>
            </w:r>
          </w:p>
        </w:tc>
      </w:tr>
      <w:tr w:rsidR="007773EA" w:rsidRPr="003B0793" w:rsidTr="007773EA">
        <w:trPr>
          <w:cnfStyle w:val="000000010000" w:firstRow="0" w:lastRow="0" w:firstColumn="0" w:lastColumn="0" w:oddVBand="0" w:evenVBand="0" w:oddHBand="0" w:evenHBand="1" w:firstRowFirstColumn="0" w:firstRowLastColumn="0" w:lastRowFirstColumn="0" w:lastRowLastColumn="0"/>
        </w:trPr>
        <w:tc>
          <w:tcPr>
            <w:tcW w:w="6409" w:type="dxa"/>
          </w:tcPr>
          <w:p w:rsidR="007773EA" w:rsidRPr="007773EA" w:rsidRDefault="007773EA" w:rsidP="007773EA">
            <w:pPr>
              <w:keepLines/>
              <w:spacing w:before="40" w:after="40" w:line="200" w:lineRule="atLeast"/>
              <w:rPr>
                <w:rFonts w:eastAsia="Times New Roman"/>
                <w:iCs/>
                <w:color w:val="auto"/>
                <w:szCs w:val="17"/>
              </w:rPr>
            </w:pPr>
            <w:r w:rsidRPr="007773EA">
              <w:rPr>
                <w:rFonts w:asciiTheme="minorHAnsi" w:eastAsia="Times New Roman" w:hAnsiTheme="minorHAnsi"/>
                <w:iCs/>
                <w:color w:val="auto"/>
                <w:szCs w:val="17"/>
                <w:lang w:eastAsia="en-US"/>
              </w:rPr>
              <w:t>DFAT will contract specialist expertise to review risks and update mitigation strategies annually, to better manage the risks of working through partner government systems.</w:t>
            </w:r>
          </w:p>
        </w:tc>
        <w:tc>
          <w:tcPr>
            <w:tcW w:w="957" w:type="dxa"/>
            <w:shd w:val="clear" w:color="auto" w:fill="72AF2F"/>
          </w:tcPr>
          <w:p w:rsidR="007773EA" w:rsidRPr="003B0793" w:rsidRDefault="007773EA" w:rsidP="007773EA">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829" w:type="dxa"/>
          </w:tcPr>
          <w:p w:rsidR="007773EA" w:rsidRPr="007773EA" w:rsidRDefault="007773EA" w:rsidP="006B3124">
            <w:pPr>
              <w:keepLines/>
              <w:spacing w:before="40" w:after="40" w:line="200" w:lineRule="atLeast"/>
              <w:rPr>
                <w:rFonts w:asciiTheme="minorHAnsi" w:eastAsia="Times New Roman" w:hAnsiTheme="minorHAnsi"/>
                <w:iCs/>
                <w:color w:val="auto"/>
                <w:szCs w:val="17"/>
              </w:rPr>
            </w:pPr>
            <w:r w:rsidRPr="007773EA">
              <w:rPr>
                <w:rFonts w:asciiTheme="minorHAnsi" w:eastAsia="Times New Roman" w:hAnsiTheme="minorHAnsi"/>
                <w:iCs/>
                <w:color w:val="auto"/>
                <w:szCs w:val="17"/>
              </w:rPr>
              <w:t xml:space="preserve">DFAT finalised the Assessment of National Systems in 2015, which identified risk mitigation </w:t>
            </w:r>
            <w:r w:rsidR="006B3124">
              <w:rPr>
                <w:rFonts w:asciiTheme="minorHAnsi" w:eastAsia="Times New Roman" w:hAnsiTheme="minorHAnsi"/>
                <w:iCs/>
                <w:color w:val="auto"/>
                <w:szCs w:val="17"/>
              </w:rPr>
              <w:t xml:space="preserve">measures. DFAT finalised a management response in early 2016. </w:t>
            </w:r>
            <w:r w:rsidRPr="007773EA">
              <w:rPr>
                <w:rFonts w:asciiTheme="minorHAnsi" w:eastAsia="Times New Roman" w:hAnsiTheme="minorHAnsi"/>
                <w:iCs/>
                <w:color w:val="auto"/>
                <w:szCs w:val="17"/>
              </w:rPr>
              <w:t>In April 2016 DFAT conducted a procurement strategy review which recommended ongoing technical assistance to Tonga’s Central Procurement Unit to mitigate risks of working through partner government systems</w:t>
            </w:r>
            <w:r w:rsidR="00D60D2E">
              <w:rPr>
                <w:rFonts w:asciiTheme="minorHAnsi" w:eastAsia="Times New Roman" w:hAnsiTheme="minorHAnsi"/>
                <w:iCs/>
                <w:color w:val="auto"/>
                <w:szCs w:val="17"/>
              </w:rPr>
              <w:t>. DFAT</w:t>
            </w:r>
            <w:r w:rsidRPr="007773EA">
              <w:rPr>
                <w:rFonts w:asciiTheme="minorHAnsi" w:eastAsia="Times New Roman" w:hAnsiTheme="minorHAnsi"/>
                <w:iCs/>
                <w:color w:val="auto"/>
                <w:szCs w:val="17"/>
              </w:rPr>
              <w:t xml:space="preserve"> PFM specialist has also provided ongoing advice and expertise, including on acquittal and audit requirements for working in partner government systems.</w:t>
            </w:r>
          </w:p>
        </w:tc>
      </w:tr>
      <w:tr w:rsidR="007773EA" w:rsidRPr="003B0793" w:rsidTr="007773EA">
        <w:trPr>
          <w:cnfStyle w:val="000000010000" w:firstRow="0" w:lastRow="0" w:firstColumn="0" w:lastColumn="0" w:oddVBand="0" w:evenVBand="0" w:oddHBand="0" w:evenHBand="1" w:firstRowFirstColumn="0" w:firstRowLastColumn="0" w:lastRowFirstColumn="0" w:lastRowLastColumn="0"/>
        </w:trPr>
        <w:tc>
          <w:tcPr>
            <w:tcW w:w="6409" w:type="dxa"/>
          </w:tcPr>
          <w:p w:rsidR="007773EA" w:rsidRPr="007773EA" w:rsidRDefault="007773EA" w:rsidP="007773EA">
            <w:pPr>
              <w:keepLines/>
              <w:spacing w:before="40" w:after="40" w:line="200" w:lineRule="atLeast"/>
              <w:rPr>
                <w:rFonts w:asciiTheme="minorHAnsi" w:eastAsia="Times New Roman" w:hAnsiTheme="minorHAnsi"/>
                <w:iCs/>
                <w:color w:val="auto"/>
                <w:szCs w:val="17"/>
                <w:lang w:eastAsia="en-US"/>
              </w:rPr>
            </w:pPr>
            <w:r w:rsidRPr="007773EA">
              <w:rPr>
                <w:rFonts w:asciiTheme="minorHAnsi" w:eastAsia="Times New Roman" w:hAnsiTheme="minorHAnsi"/>
                <w:iCs/>
                <w:color w:val="auto"/>
                <w:szCs w:val="17"/>
                <w:lang w:eastAsia="en-US"/>
              </w:rPr>
              <w:t xml:space="preserve">In 2015-16, DFAT will develop a Performance Assessment Framework to underpin the Tonga Aid Investment Plans, setting out performance benchmarks and joint processes to measure performance. </w:t>
            </w:r>
          </w:p>
        </w:tc>
        <w:tc>
          <w:tcPr>
            <w:tcW w:w="957" w:type="dxa"/>
            <w:shd w:val="clear" w:color="auto" w:fill="FFC000"/>
          </w:tcPr>
          <w:p w:rsidR="007773EA" w:rsidRPr="003B0793" w:rsidRDefault="007773EA" w:rsidP="007773EA">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Partly achieved</w:t>
            </w:r>
          </w:p>
        </w:tc>
        <w:tc>
          <w:tcPr>
            <w:tcW w:w="6829" w:type="dxa"/>
          </w:tcPr>
          <w:p w:rsidR="007773EA" w:rsidRPr="007773EA" w:rsidRDefault="007773EA" w:rsidP="004A0B16">
            <w:pPr>
              <w:keepLines/>
              <w:spacing w:before="40" w:after="40" w:line="200" w:lineRule="atLeast"/>
              <w:rPr>
                <w:rFonts w:asciiTheme="minorHAnsi" w:eastAsia="Times New Roman" w:hAnsiTheme="minorHAnsi"/>
                <w:iCs/>
                <w:color w:val="auto"/>
                <w:szCs w:val="17"/>
                <w:lang w:eastAsia="en-US"/>
              </w:rPr>
            </w:pPr>
            <w:r w:rsidRPr="007773EA">
              <w:rPr>
                <w:rFonts w:asciiTheme="minorHAnsi" w:eastAsia="Times New Roman" w:hAnsiTheme="minorHAnsi"/>
                <w:iCs/>
                <w:color w:val="auto"/>
                <w:szCs w:val="17"/>
                <w:lang w:eastAsia="en-US"/>
              </w:rPr>
              <w:t xml:space="preserve">Implementation schedules </w:t>
            </w:r>
            <w:r w:rsidR="004A0B16">
              <w:rPr>
                <w:rFonts w:asciiTheme="minorHAnsi" w:eastAsia="Times New Roman" w:hAnsiTheme="minorHAnsi"/>
                <w:iCs/>
                <w:color w:val="auto"/>
                <w:szCs w:val="17"/>
                <w:lang w:eastAsia="en-US"/>
              </w:rPr>
              <w:t>are being</w:t>
            </w:r>
            <w:r w:rsidRPr="007773EA">
              <w:rPr>
                <w:rFonts w:asciiTheme="minorHAnsi" w:eastAsia="Times New Roman" w:hAnsiTheme="minorHAnsi"/>
                <w:iCs/>
                <w:color w:val="auto"/>
                <w:szCs w:val="17"/>
                <w:lang w:eastAsia="en-US"/>
              </w:rPr>
              <w:t xml:space="preserve"> developed to help guide the development of ben</w:t>
            </w:r>
            <w:r w:rsidR="00A941E0">
              <w:rPr>
                <w:rFonts w:asciiTheme="minorHAnsi" w:eastAsia="Times New Roman" w:hAnsiTheme="minorHAnsi"/>
                <w:iCs/>
                <w:color w:val="auto"/>
                <w:szCs w:val="17"/>
                <w:lang w:eastAsia="en-US"/>
              </w:rPr>
              <w:t>chmarks for an Aid Partnership a</w:t>
            </w:r>
            <w:r w:rsidRPr="007773EA">
              <w:rPr>
                <w:rFonts w:asciiTheme="minorHAnsi" w:eastAsia="Times New Roman" w:hAnsiTheme="minorHAnsi"/>
                <w:iCs/>
                <w:color w:val="auto"/>
                <w:szCs w:val="17"/>
                <w:lang w:eastAsia="en-US"/>
              </w:rPr>
              <w:t xml:space="preserve">rrangement for Tonga. An M&amp;E adviser has been contracted to develop a program wide Performance Assessment Framework and strengthen ongoing M&amp;E activities. </w:t>
            </w:r>
          </w:p>
        </w:tc>
      </w:tr>
      <w:tr w:rsidR="007773EA" w:rsidRPr="003B0793" w:rsidTr="007773EA">
        <w:trPr>
          <w:cnfStyle w:val="000000010000" w:firstRow="0" w:lastRow="0" w:firstColumn="0" w:lastColumn="0" w:oddVBand="0" w:evenVBand="0" w:oddHBand="0" w:evenHBand="1" w:firstRowFirstColumn="0" w:firstRowLastColumn="0" w:lastRowFirstColumn="0" w:lastRowLastColumn="0"/>
        </w:trPr>
        <w:tc>
          <w:tcPr>
            <w:tcW w:w="6409" w:type="dxa"/>
          </w:tcPr>
          <w:p w:rsidR="007773EA" w:rsidRPr="007773EA" w:rsidRDefault="007773EA" w:rsidP="007773EA">
            <w:pPr>
              <w:keepLines/>
              <w:spacing w:before="40" w:after="40" w:line="200" w:lineRule="atLeast"/>
              <w:rPr>
                <w:rFonts w:asciiTheme="minorHAnsi" w:eastAsia="Times New Roman" w:hAnsiTheme="minorHAnsi"/>
                <w:iCs/>
                <w:color w:val="auto"/>
                <w:szCs w:val="17"/>
                <w:lang w:eastAsia="en-US"/>
              </w:rPr>
            </w:pPr>
            <w:r w:rsidRPr="007773EA">
              <w:rPr>
                <w:rFonts w:asciiTheme="minorHAnsi" w:eastAsia="Times New Roman" w:hAnsiTheme="minorHAnsi"/>
                <w:iCs/>
                <w:color w:val="auto"/>
                <w:szCs w:val="17"/>
                <w:lang w:eastAsia="en-US"/>
              </w:rPr>
              <w:t xml:space="preserve">To improve effectiveness and better harness the resources available to this small Post, DFAT will seek to consolidate its portfolio of investments in consultation with Government of Tonga and better align bilateral, regional and global expenditure. </w:t>
            </w:r>
          </w:p>
        </w:tc>
        <w:tc>
          <w:tcPr>
            <w:tcW w:w="957" w:type="dxa"/>
            <w:shd w:val="clear" w:color="auto" w:fill="44A42E"/>
          </w:tcPr>
          <w:p w:rsidR="007773EA" w:rsidRPr="003B0793" w:rsidRDefault="007773EA" w:rsidP="007773E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w:t>
            </w:r>
            <w:r w:rsidRPr="003B0793">
              <w:rPr>
                <w:rFonts w:asciiTheme="minorHAnsi" w:eastAsia="Times New Roman" w:hAnsiTheme="minorHAnsi"/>
                <w:iCs/>
                <w:color w:val="FFFFFF" w:themeColor="background1"/>
                <w:szCs w:val="17"/>
                <w:lang w:eastAsia="en-US"/>
              </w:rPr>
              <w:t>chieved</w:t>
            </w:r>
          </w:p>
        </w:tc>
        <w:tc>
          <w:tcPr>
            <w:tcW w:w="6829" w:type="dxa"/>
          </w:tcPr>
          <w:p w:rsidR="007773EA" w:rsidRPr="007773EA" w:rsidRDefault="007773EA" w:rsidP="006B3124">
            <w:pPr>
              <w:keepLines/>
              <w:spacing w:before="40" w:after="40" w:line="200" w:lineRule="atLeast"/>
              <w:rPr>
                <w:rFonts w:asciiTheme="minorHAnsi" w:eastAsia="Times New Roman" w:hAnsiTheme="minorHAnsi"/>
                <w:iCs/>
                <w:color w:val="auto"/>
                <w:szCs w:val="17"/>
                <w:lang w:eastAsia="en-US"/>
              </w:rPr>
            </w:pPr>
            <w:r w:rsidRPr="007773EA">
              <w:rPr>
                <w:rFonts w:asciiTheme="minorHAnsi" w:eastAsia="Times New Roman" w:hAnsiTheme="minorHAnsi"/>
                <w:iCs/>
                <w:color w:val="auto"/>
                <w:szCs w:val="17"/>
                <w:lang w:eastAsia="en-US"/>
              </w:rPr>
              <w:t xml:space="preserve">DFAT has sought to consolidate the number of investments, including through the Aid Partnership talks with Government of Tonga in April 2016. We have reduced the number of investments from </w:t>
            </w:r>
            <w:r w:rsidR="006C77BD">
              <w:rPr>
                <w:rFonts w:asciiTheme="minorHAnsi" w:eastAsia="Times New Roman" w:hAnsiTheme="minorHAnsi"/>
                <w:iCs/>
                <w:color w:val="auto"/>
                <w:szCs w:val="17"/>
                <w:lang w:eastAsia="en-US"/>
              </w:rPr>
              <w:t>26</w:t>
            </w:r>
            <w:r w:rsidR="009B050A">
              <w:rPr>
                <w:rFonts w:asciiTheme="minorHAnsi" w:eastAsia="Times New Roman" w:hAnsiTheme="minorHAnsi"/>
                <w:iCs/>
                <w:color w:val="auto"/>
                <w:szCs w:val="17"/>
                <w:lang w:eastAsia="en-US"/>
              </w:rPr>
              <w:t xml:space="preserve"> </w:t>
            </w:r>
            <w:r w:rsidRPr="007773EA">
              <w:rPr>
                <w:rFonts w:asciiTheme="minorHAnsi" w:eastAsia="Times New Roman" w:hAnsiTheme="minorHAnsi"/>
                <w:iCs/>
                <w:color w:val="auto"/>
                <w:szCs w:val="17"/>
                <w:lang w:eastAsia="en-US"/>
              </w:rPr>
              <w:t xml:space="preserve">to </w:t>
            </w:r>
            <w:r w:rsidR="006C77BD">
              <w:rPr>
                <w:rFonts w:asciiTheme="minorHAnsi" w:eastAsia="Times New Roman" w:hAnsiTheme="minorHAnsi"/>
                <w:iCs/>
                <w:color w:val="auto"/>
                <w:szCs w:val="17"/>
                <w:lang w:eastAsia="en-US"/>
              </w:rPr>
              <w:t>2</w:t>
            </w:r>
            <w:r w:rsidR="00992E97">
              <w:rPr>
                <w:rFonts w:asciiTheme="minorHAnsi" w:eastAsia="Times New Roman" w:hAnsiTheme="minorHAnsi"/>
                <w:iCs/>
                <w:color w:val="auto"/>
                <w:szCs w:val="17"/>
                <w:lang w:eastAsia="en-US"/>
              </w:rPr>
              <w:t>3</w:t>
            </w:r>
            <w:r w:rsidR="009B050A">
              <w:rPr>
                <w:rFonts w:asciiTheme="minorHAnsi" w:eastAsia="Times New Roman" w:hAnsiTheme="minorHAnsi"/>
                <w:iCs/>
                <w:color w:val="auto"/>
                <w:szCs w:val="17"/>
                <w:lang w:eastAsia="en-US"/>
              </w:rPr>
              <w:t xml:space="preserve"> </w:t>
            </w:r>
            <w:r w:rsidRPr="007773EA">
              <w:rPr>
                <w:rFonts w:asciiTheme="minorHAnsi" w:eastAsia="Times New Roman" w:hAnsiTheme="minorHAnsi"/>
                <w:iCs/>
                <w:color w:val="auto"/>
                <w:szCs w:val="17"/>
                <w:lang w:eastAsia="en-US"/>
              </w:rPr>
              <w:t xml:space="preserve">over </w:t>
            </w:r>
            <w:r w:rsidR="009B050A">
              <w:rPr>
                <w:rFonts w:asciiTheme="minorHAnsi" w:eastAsia="Times New Roman" w:hAnsiTheme="minorHAnsi"/>
                <w:iCs/>
                <w:color w:val="auto"/>
                <w:szCs w:val="17"/>
                <w:lang w:eastAsia="en-US"/>
              </w:rPr>
              <w:t>2010</w:t>
            </w:r>
            <w:r w:rsidR="00EB0D7F">
              <w:rPr>
                <w:rFonts w:asciiTheme="minorHAnsi" w:eastAsia="Times New Roman" w:hAnsiTheme="minorHAnsi"/>
                <w:iCs/>
                <w:color w:val="auto"/>
                <w:szCs w:val="17"/>
                <w:lang w:eastAsia="en-US"/>
              </w:rPr>
              <w:t xml:space="preserve"> to </w:t>
            </w:r>
            <w:r w:rsidR="006C77BD">
              <w:rPr>
                <w:rFonts w:asciiTheme="minorHAnsi" w:eastAsia="Times New Roman" w:hAnsiTheme="minorHAnsi"/>
                <w:iCs/>
                <w:color w:val="auto"/>
                <w:szCs w:val="17"/>
                <w:lang w:eastAsia="en-US"/>
              </w:rPr>
              <w:t>201</w:t>
            </w:r>
            <w:r w:rsidR="00992E97">
              <w:rPr>
                <w:rFonts w:asciiTheme="minorHAnsi" w:eastAsia="Times New Roman" w:hAnsiTheme="minorHAnsi"/>
                <w:iCs/>
                <w:color w:val="auto"/>
                <w:szCs w:val="17"/>
                <w:lang w:eastAsia="en-US"/>
              </w:rPr>
              <w:t>6</w:t>
            </w:r>
            <w:r w:rsidR="009B050A">
              <w:rPr>
                <w:rFonts w:asciiTheme="minorHAnsi" w:eastAsia="Times New Roman" w:hAnsiTheme="minorHAnsi"/>
                <w:iCs/>
                <w:color w:val="auto"/>
                <w:szCs w:val="17"/>
                <w:lang w:eastAsia="en-US"/>
              </w:rPr>
              <w:t xml:space="preserve"> w</w:t>
            </w:r>
            <w:r w:rsidR="00992E97">
              <w:rPr>
                <w:rFonts w:asciiTheme="minorHAnsi" w:eastAsia="Times New Roman" w:hAnsiTheme="minorHAnsi"/>
                <w:iCs/>
                <w:color w:val="auto"/>
                <w:szCs w:val="17"/>
                <w:lang w:eastAsia="en-US"/>
              </w:rPr>
              <w:t xml:space="preserve">ith </w:t>
            </w:r>
            <w:r w:rsidR="006B3124">
              <w:rPr>
                <w:rFonts w:asciiTheme="minorHAnsi" w:eastAsia="Times New Roman" w:hAnsiTheme="minorHAnsi"/>
                <w:iCs/>
                <w:color w:val="auto"/>
                <w:szCs w:val="17"/>
                <w:lang w:eastAsia="en-US"/>
              </w:rPr>
              <w:t xml:space="preserve">three </w:t>
            </w:r>
            <w:r w:rsidR="00992E97">
              <w:rPr>
                <w:rFonts w:asciiTheme="minorHAnsi" w:eastAsia="Times New Roman" w:hAnsiTheme="minorHAnsi"/>
                <w:iCs/>
                <w:color w:val="auto"/>
                <w:szCs w:val="17"/>
                <w:lang w:eastAsia="en-US"/>
              </w:rPr>
              <w:t>more investments to be completed by 31 Dec 2016.</w:t>
            </w:r>
            <w:r w:rsidR="0022190F">
              <w:rPr>
                <w:rFonts w:asciiTheme="minorHAnsi" w:eastAsia="Times New Roman" w:hAnsiTheme="minorHAnsi"/>
                <w:iCs/>
                <w:color w:val="auto"/>
                <w:szCs w:val="17"/>
                <w:lang w:eastAsia="en-US"/>
              </w:rPr>
              <w:t>There is difficulty in consolidating</w:t>
            </w:r>
            <w:r w:rsidR="00916859">
              <w:rPr>
                <w:rFonts w:asciiTheme="minorHAnsi" w:eastAsia="Times New Roman" w:hAnsiTheme="minorHAnsi"/>
                <w:iCs/>
                <w:color w:val="auto"/>
                <w:szCs w:val="17"/>
                <w:lang w:eastAsia="en-US"/>
              </w:rPr>
              <w:t xml:space="preserve"> scholarships</w:t>
            </w:r>
            <w:r w:rsidR="0022190F">
              <w:rPr>
                <w:rFonts w:asciiTheme="minorHAnsi" w:eastAsia="Times New Roman" w:hAnsiTheme="minorHAnsi"/>
                <w:iCs/>
                <w:color w:val="auto"/>
                <w:szCs w:val="17"/>
                <w:lang w:eastAsia="en-US"/>
              </w:rPr>
              <w:t xml:space="preserve"> investments </w:t>
            </w:r>
            <w:r w:rsidR="00916859">
              <w:rPr>
                <w:rFonts w:asciiTheme="minorHAnsi" w:eastAsia="Times New Roman" w:hAnsiTheme="minorHAnsi"/>
                <w:iCs/>
                <w:color w:val="auto"/>
                <w:szCs w:val="17"/>
                <w:lang w:eastAsia="en-US"/>
              </w:rPr>
              <w:t>because an investment is created every year for every regional and Australia intake.  The regional scholarships investments will last up to 7 years.</w:t>
            </w:r>
          </w:p>
        </w:tc>
      </w:tr>
    </w:tbl>
    <w:p w:rsidR="00AF1B85" w:rsidRPr="003B0793" w:rsidRDefault="00AF1B85" w:rsidP="00AF1B85">
      <w:pPr>
        <w:spacing w:before="20" w:after="20" w:line="180" w:lineRule="atLeast"/>
        <w:jc w:val="both"/>
        <w:rPr>
          <w:rFonts w:eastAsia="Times New Roman"/>
          <w:b/>
          <w:sz w:val="16"/>
          <w:szCs w:val="14"/>
        </w:rPr>
      </w:pPr>
      <w:r w:rsidRPr="003B0793">
        <w:rPr>
          <w:rFonts w:eastAsia="Times New Roman"/>
          <w:b/>
          <w:sz w:val="16"/>
          <w:szCs w:val="14"/>
        </w:rPr>
        <w:t xml:space="preserve">Note: </w:t>
      </w:r>
    </w:p>
    <w:p w:rsidR="00AF1B85" w:rsidRPr="003B0793" w:rsidRDefault="00AF1B85" w:rsidP="00AF1B85">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w:t>
      </w:r>
      <w:r w:rsidRPr="003B0793">
        <w:rPr>
          <w:rFonts w:eastAsia="Times New Roman"/>
          <w:b/>
          <w:sz w:val="16"/>
          <w:szCs w:val="14"/>
        </w:rPr>
        <w:t xml:space="preserve"> </w:t>
      </w:r>
      <w:proofErr w:type="gramStart"/>
      <w:r w:rsidRPr="003B0793">
        <w:rPr>
          <w:rFonts w:eastAsia="Times New Roman"/>
          <w:b/>
          <w:sz w:val="16"/>
          <w:szCs w:val="14"/>
        </w:rPr>
        <w:t>Achieved.</w:t>
      </w:r>
      <w:proofErr w:type="gramEnd"/>
      <w:r w:rsidRPr="003B0793">
        <w:rPr>
          <w:rFonts w:eastAsia="Times New Roman"/>
          <w:b/>
          <w:sz w:val="16"/>
          <w:szCs w:val="14"/>
        </w:rPr>
        <w:t xml:space="preserve">  Significant progress has been made in addressing the issue </w:t>
      </w:r>
    </w:p>
    <w:p w:rsidR="00AF1B85" w:rsidRPr="003B0793" w:rsidRDefault="00AF1B85" w:rsidP="00AF1B85">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w:t>
      </w:r>
      <w:proofErr w:type="gramStart"/>
      <w:r w:rsidRPr="003B0793">
        <w:rPr>
          <w:rFonts w:eastAsia="Times New Roman"/>
          <w:b/>
          <w:sz w:val="16"/>
          <w:szCs w:val="14"/>
        </w:rPr>
        <w:t>Partly achieved.</w:t>
      </w:r>
      <w:proofErr w:type="gramEnd"/>
      <w:r w:rsidRPr="003B0793">
        <w:rPr>
          <w:rFonts w:eastAsia="Times New Roman"/>
          <w:b/>
          <w:sz w:val="16"/>
          <w:szCs w:val="14"/>
        </w:rPr>
        <w:t xml:space="preserve">  Some progress has been made in addressing the issue, but the issue has not been resolved </w:t>
      </w:r>
    </w:p>
    <w:p w:rsidR="00AF1B85" w:rsidRPr="003B0793" w:rsidRDefault="00AF1B85" w:rsidP="00AF1B85">
      <w:pPr>
        <w:spacing w:before="20" w:after="2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D00802">
          <w:headerReference w:type="first" r:id="rId19"/>
          <w:pgSz w:w="16838" w:h="11906" w:orient="landscape" w:code="9"/>
          <w:pgMar w:top="1134" w:right="1952" w:bottom="1134" w:left="851" w:header="1107" w:footer="567" w:gutter="0"/>
          <w:cols w:space="397"/>
          <w:titlePg/>
          <w:docGrid w:linePitch="360"/>
        </w:sectPr>
      </w:pPr>
    </w:p>
    <w:p w:rsidR="00867CA7" w:rsidRPr="00A8197B" w:rsidRDefault="00867CA7" w:rsidP="00867CA7">
      <w:pPr>
        <w:pStyle w:val="Subtitle"/>
      </w:pPr>
      <w:r w:rsidRPr="00A8197B">
        <w:lastRenderedPageBreak/>
        <w:t>Annex B - Evaluation Planning</w:t>
      </w:r>
    </w:p>
    <w:p w:rsidR="00867CA7" w:rsidRPr="003B0793" w:rsidRDefault="00867CA7" w:rsidP="00867CA7">
      <w:pPr>
        <w:pStyle w:val="Caption"/>
        <w:rPr>
          <w:sz w:val="24"/>
        </w:rPr>
      </w:pPr>
      <w:r w:rsidRPr="003B0793">
        <w:rPr>
          <w:sz w:val="24"/>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867CA7" w:rsidRPr="00C61187" w:rsidTr="00985274">
        <w:trPr>
          <w:cnfStyle w:val="100000000000" w:firstRow="1" w:lastRow="0" w:firstColumn="0" w:lastColumn="0" w:oddVBand="0" w:evenVBand="0" w:oddHBand="0" w:evenHBand="0" w:firstRowFirstColumn="0" w:firstRowLastColumn="0" w:lastRowFirstColumn="0" w:lastRowLastColumn="0"/>
        </w:trPr>
        <w:tc>
          <w:tcPr>
            <w:tcW w:w="3064" w:type="dxa"/>
          </w:tcPr>
          <w:p w:rsidR="00867CA7" w:rsidRPr="003B0793" w:rsidRDefault="00867CA7" w:rsidP="00985274">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 xml:space="preserve">Investment number and name </w:t>
            </w:r>
          </w:p>
          <w:p w:rsidR="00867CA7" w:rsidRPr="003B0793" w:rsidRDefault="00867CA7" w:rsidP="00985274">
            <w:pPr>
              <w:keepLines/>
              <w:spacing w:line="200" w:lineRule="atLeast"/>
              <w:rPr>
                <w:rFonts w:asciiTheme="minorHAnsi" w:eastAsia="Times New Roman" w:hAnsiTheme="minorHAnsi"/>
                <w:b w:val="0"/>
                <w:iCs/>
                <w:szCs w:val="17"/>
                <w:lang w:eastAsia="en-US"/>
              </w:rPr>
            </w:pPr>
          </w:p>
        </w:tc>
        <w:tc>
          <w:tcPr>
            <w:tcW w:w="3665" w:type="dxa"/>
          </w:tcPr>
          <w:p w:rsidR="00867CA7" w:rsidRPr="003B0793" w:rsidRDefault="00867CA7" w:rsidP="00985274">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Name of evaluation</w:t>
            </w:r>
          </w:p>
        </w:tc>
        <w:tc>
          <w:tcPr>
            <w:tcW w:w="1397" w:type="dxa"/>
          </w:tcPr>
          <w:p w:rsidR="00867CA7" w:rsidRPr="003B0793" w:rsidRDefault="00867CA7" w:rsidP="00985274">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completed</w:t>
            </w:r>
          </w:p>
        </w:tc>
        <w:tc>
          <w:tcPr>
            <w:tcW w:w="1953" w:type="dxa"/>
          </w:tcPr>
          <w:p w:rsidR="00867CA7" w:rsidRPr="003B0793" w:rsidRDefault="00867CA7" w:rsidP="00985274">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Evaluation report Uploaded into AidWorks</w:t>
            </w:r>
          </w:p>
        </w:tc>
        <w:tc>
          <w:tcPr>
            <w:tcW w:w="1671" w:type="dxa"/>
          </w:tcPr>
          <w:p w:rsidR="00867CA7" w:rsidRPr="003B0793" w:rsidRDefault="00867CA7" w:rsidP="00985274">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Management response uploaded into AidWorks</w:t>
            </w:r>
          </w:p>
        </w:tc>
        <w:tc>
          <w:tcPr>
            <w:tcW w:w="2365" w:type="dxa"/>
          </w:tcPr>
          <w:p w:rsidR="00867CA7" w:rsidRPr="003B0793" w:rsidRDefault="00867CA7" w:rsidP="00985274">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Published on website</w:t>
            </w:r>
          </w:p>
        </w:tc>
      </w:tr>
      <w:tr w:rsidR="00867CA7" w:rsidRPr="00C340B3" w:rsidTr="00985274">
        <w:trPr>
          <w:cnfStyle w:val="100000000000" w:firstRow="1" w:lastRow="0" w:firstColumn="0" w:lastColumn="0" w:oddVBand="0" w:evenVBand="0" w:oddHBand="0" w:evenHBand="0" w:firstRowFirstColumn="0" w:firstRowLastColumn="0" w:lastRowFirstColumn="0" w:lastRowLastColumn="0"/>
        </w:trPr>
        <w:tc>
          <w:tcPr>
            <w:tcW w:w="3064" w:type="dxa"/>
          </w:tcPr>
          <w:p w:rsidR="00867CA7" w:rsidRPr="00C340B3" w:rsidRDefault="00C340B3" w:rsidP="00985274">
            <w:pPr>
              <w:keepLines/>
              <w:spacing w:before="40" w:after="40" w:line="200" w:lineRule="atLeast"/>
              <w:rPr>
                <w:rFonts w:asciiTheme="minorHAnsi" w:eastAsia="Times New Roman" w:hAnsiTheme="minorHAnsi"/>
                <w:b w:val="0"/>
                <w:iCs/>
                <w:szCs w:val="17"/>
                <w:lang w:eastAsia="en-US"/>
              </w:rPr>
            </w:pPr>
            <w:r w:rsidRPr="00C340B3">
              <w:rPr>
                <w:rFonts w:asciiTheme="minorHAnsi" w:eastAsia="Times New Roman" w:hAnsiTheme="minorHAnsi"/>
                <w:b w:val="0"/>
                <w:i/>
                <w:iCs/>
                <w:szCs w:val="17"/>
                <w:lang w:eastAsia="en-US"/>
              </w:rPr>
              <w:t xml:space="preserve">INK888 </w:t>
            </w:r>
            <w:r w:rsidR="00C72E61" w:rsidRPr="00C340B3">
              <w:rPr>
                <w:rFonts w:asciiTheme="minorHAnsi" w:eastAsia="Times New Roman" w:hAnsiTheme="minorHAnsi"/>
                <w:b w:val="0"/>
                <w:i/>
                <w:iCs/>
                <w:szCs w:val="17"/>
                <w:lang w:eastAsia="en-US"/>
              </w:rPr>
              <w:t>Tonga Education Support Program II</w:t>
            </w:r>
            <w:r w:rsidR="00C72E61" w:rsidRPr="00C340B3">
              <w:rPr>
                <w:rFonts w:asciiTheme="minorHAnsi" w:eastAsia="Times New Roman" w:hAnsiTheme="minorHAnsi"/>
                <w:b w:val="0"/>
                <w:iCs/>
                <w:szCs w:val="17"/>
                <w:lang w:eastAsia="en-US"/>
              </w:rPr>
              <w:t>.</w:t>
            </w:r>
          </w:p>
        </w:tc>
        <w:tc>
          <w:tcPr>
            <w:tcW w:w="3665" w:type="dxa"/>
          </w:tcPr>
          <w:p w:rsidR="00867CA7" w:rsidRPr="003B0793" w:rsidRDefault="00E1163D" w:rsidP="0098527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Independent Progress Review:  Tonga Education Support Program</w:t>
            </w:r>
          </w:p>
        </w:tc>
        <w:tc>
          <w:tcPr>
            <w:tcW w:w="1397" w:type="dxa"/>
          </w:tcPr>
          <w:p w:rsidR="00867CA7" w:rsidRPr="00C340B3" w:rsidRDefault="00C340B3" w:rsidP="00985274">
            <w:pPr>
              <w:keepLines/>
              <w:spacing w:before="40" w:after="40" w:line="200" w:lineRule="atLeast"/>
              <w:rPr>
                <w:rFonts w:asciiTheme="minorHAnsi" w:eastAsia="Times New Roman" w:hAnsiTheme="minorHAnsi"/>
                <w:b w:val="0"/>
                <w:iCs/>
                <w:szCs w:val="17"/>
                <w:highlight w:val="yellow"/>
                <w:lang w:eastAsia="en-US"/>
              </w:rPr>
            </w:pPr>
            <w:r w:rsidRPr="00C340B3">
              <w:rPr>
                <w:rFonts w:asciiTheme="minorHAnsi" w:eastAsia="Times New Roman" w:hAnsiTheme="minorHAnsi"/>
                <w:b w:val="0"/>
                <w:iCs/>
                <w:szCs w:val="17"/>
                <w:lang w:eastAsia="en-US"/>
              </w:rPr>
              <w:t>September 2015</w:t>
            </w:r>
          </w:p>
        </w:tc>
        <w:tc>
          <w:tcPr>
            <w:tcW w:w="1953" w:type="dxa"/>
          </w:tcPr>
          <w:p w:rsidR="00867CA7" w:rsidRPr="00C340B3" w:rsidRDefault="00E1163D" w:rsidP="00E1163D">
            <w:pPr>
              <w:keepLines/>
              <w:spacing w:before="40" w:after="40" w:line="200" w:lineRule="atLeast"/>
              <w:rPr>
                <w:rFonts w:asciiTheme="minorHAnsi" w:eastAsia="Times New Roman" w:hAnsiTheme="minorHAnsi"/>
                <w:b w:val="0"/>
                <w:iCs/>
                <w:szCs w:val="17"/>
                <w:highlight w:val="yellow"/>
                <w:lang w:eastAsia="en-US"/>
              </w:rPr>
            </w:pPr>
            <w:r>
              <w:rPr>
                <w:rFonts w:asciiTheme="minorHAnsi" w:eastAsia="Times New Roman" w:hAnsiTheme="minorHAnsi"/>
                <w:b w:val="0"/>
                <w:iCs/>
                <w:szCs w:val="17"/>
                <w:lang w:eastAsia="en-US"/>
              </w:rPr>
              <w:t>3 February 2016</w:t>
            </w:r>
          </w:p>
        </w:tc>
        <w:tc>
          <w:tcPr>
            <w:tcW w:w="1671" w:type="dxa"/>
          </w:tcPr>
          <w:p w:rsidR="00867CA7" w:rsidRPr="00C340B3" w:rsidRDefault="00E1163D" w:rsidP="00E1163D">
            <w:pPr>
              <w:keepLines/>
              <w:spacing w:before="40" w:after="40" w:line="200" w:lineRule="atLeast"/>
              <w:rPr>
                <w:rFonts w:asciiTheme="minorHAnsi" w:eastAsia="Times New Roman" w:hAnsiTheme="minorHAnsi"/>
                <w:b w:val="0"/>
                <w:iCs/>
                <w:szCs w:val="17"/>
                <w:highlight w:val="yellow"/>
                <w:lang w:eastAsia="en-US"/>
              </w:rPr>
            </w:pPr>
            <w:r w:rsidRPr="00E1163D">
              <w:rPr>
                <w:rFonts w:asciiTheme="minorHAnsi" w:eastAsia="Times New Roman" w:hAnsiTheme="minorHAnsi"/>
                <w:b w:val="0"/>
                <w:iCs/>
                <w:szCs w:val="17"/>
                <w:lang w:eastAsia="en-US"/>
              </w:rPr>
              <w:t>3 February 2016</w:t>
            </w:r>
          </w:p>
        </w:tc>
        <w:tc>
          <w:tcPr>
            <w:tcW w:w="2365" w:type="dxa"/>
          </w:tcPr>
          <w:p w:rsidR="00867CA7" w:rsidRPr="00C340B3" w:rsidRDefault="00E1163D" w:rsidP="00E1163D">
            <w:pPr>
              <w:keepLines/>
              <w:spacing w:before="40" w:after="40" w:line="200" w:lineRule="atLeast"/>
              <w:rPr>
                <w:rFonts w:asciiTheme="minorHAnsi" w:eastAsia="Times New Roman" w:hAnsiTheme="minorHAnsi"/>
                <w:b w:val="0"/>
                <w:iCs/>
                <w:szCs w:val="17"/>
                <w:highlight w:val="yellow"/>
                <w:lang w:eastAsia="en-US"/>
              </w:rPr>
            </w:pPr>
            <w:r w:rsidRPr="00E1163D">
              <w:rPr>
                <w:rFonts w:asciiTheme="minorHAnsi" w:eastAsia="Times New Roman" w:hAnsiTheme="minorHAnsi"/>
                <w:b w:val="0"/>
                <w:iCs/>
                <w:szCs w:val="17"/>
                <w:lang w:eastAsia="en-US"/>
              </w:rPr>
              <w:t>January 2016</w:t>
            </w:r>
          </w:p>
        </w:tc>
      </w:tr>
    </w:tbl>
    <w:p w:rsidR="00867CA7" w:rsidRDefault="00867CA7" w:rsidP="00867CA7">
      <w:pPr>
        <w:pStyle w:val="Caption"/>
        <w:rPr>
          <w:sz w:val="24"/>
        </w:rPr>
      </w:pPr>
    </w:p>
    <w:p w:rsidR="00867CA7" w:rsidRPr="003B0793" w:rsidRDefault="00867CA7" w:rsidP="00867CA7">
      <w:pPr>
        <w:pStyle w:val="Caption"/>
        <w:rPr>
          <w:sz w:val="24"/>
        </w:rPr>
      </w:pPr>
      <w:r w:rsidRPr="003B0793">
        <w:rPr>
          <w:sz w:val="24"/>
        </w:rPr>
        <w:t xml:space="preserve">List of program prioritised evaluations planned for the next 12 months </w:t>
      </w:r>
    </w:p>
    <w:p w:rsidR="007773EA" w:rsidRPr="006B3124" w:rsidRDefault="007773EA" w:rsidP="005B5769">
      <w:pPr>
        <w:pStyle w:val="ListBullet"/>
        <w:tabs>
          <w:tab w:val="clear" w:pos="284"/>
        </w:tabs>
        <w:rPr>
          <w:rFonts w:asciiTheme="minorHAnsi" w:hAnsiTheme="minorHAnsi"/>
          <w:sz w:val="22"/>
          <w:szCs w:val="22"/>
        </w:rPr>
        <w:sectPr w:rsidR="007773EA" w:rsidRPr="006B3124" w:rsidSect="00AF1B85">
          <w:headerReference w:type="first" r:id="rId20"/>
          <w:pgSz w:w="16838" w:h="11906" w:orient="landscape" w:code="9"/>
          <w:pgMar w:top="1134" w:right="1952" w:bottom="1134" w:left="851" w:header="1107" w:footer="567" w:gutter="0"/>
          <w:cols w:space="397"/>
          <w:titlePg/>
          <w:docGrid w:linePitch="360"/>
        </w:sectPr>
      </w:pPr>
      <w:r w:rsidRPr="00C340B3">
        <w:rPr>
          <w:rFonts w:asciiTheme="minorHAnsi" w:hAnsiTheme="minorHAnsi"/>
          <w:sz w:val="22"/>
          <w:szCs w:val="22"/>
        </w:rPr>
        <w:t>There are no independent evaluations planned for the Tonga prog</w:t>
      </w:r>
      <w:r w:rsidR="00C57780" w:rsidRPr="00C340B3">
        <w:rPr>
          <w:rFonts w:asciiTheme="minorHAnsi" w:hAnsiTheme="minorHAnsi"/>
          <w:sz w:val="22"/>
          <w:szCs w:val="22"/>
        </w:rPr>
        <w:t>ram in 2016-17</w:t>
      </w:r>
    </w:p>
    <w:p w:rsidR="005E606B" w:rsidRPr="00A8197B" w:rsidRDefault="005E606B" w:rsidP="00A8197B">
      <w:pPr>
        <w:pStyle w:val="Subtitle"/>
      </w:pPr>
      <w:r w:rsidRPr="00A8197B">
        <w:lastRenderedPageBreak/>
        <w:t>Annex C - Aid Quality Check ratings</w:t>
      </w:r>
    </w:p>
    <w:p w:rsidR="00F7694E" w:rsidRPr="00A8197B" w:rsidRDefault="00F7694E" w:rsidP="00F7694E">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rsidR="00F7694E" w:rsidRPr="00C61187" w:rsidRDefault="00F7694E" w:rsidP="00F7694E">
      <w:r w:rsidRPr="00C61187">
        <w:t>AQC investment performance over the previous 12 months and where available last</w:t>
      </w:r>
      <w:r>
        <w:t xml:space="preserve"> year’s AQC ratings</w:t>
      </w:r>
      <w:r w:rsidRPr="00C61187">
        <w:t>.</w:t>
      </w:r>
    </w:p>
    <w:tbl>
      <w:tblPr>
        <w:tblStyle w:val="APPR"/>
        <w:tblW w:w="5000" w:type="pct"/>
        <w:tblLook w:val="0000" w:firstRow="0" w:lastRow="0" w:firstColumn="0" w:lastColumn="0" w:noHBand="0" w:noVBand="0"/>
      </w:tblPr>
      <w:tblGrid>
        <w:gridCol w:w="1609"/>
        <w:gridCol w:w="208"/>
        <w:gridCol w:w="1430"/>
        <w:gridCol w:w="830"/>
        <w:gridCol w:w="832"/>
        <w:gridCol w:w="830"/>
        <w:gridCol w:w="836"/>
        <w:gridCol w:w="830"/>
        <w:gridCol w:w="836"/>
        <w:gridCol w:w="830"/>
        <w:gridCol w:w="839"/>
      </w:tblGrid>
      <w:tr w:rsidR="001A18EC" w:rsidRPr="00C10BEF" w:rsidTr="001A18EC">
        <w:trPr>
          <w:cnfStyle w:val="000000010000" w:firstRow="0" w:lastRow="0" w:firstColumn="0" w:lastColumn="0" w:oddVBand="0" w:evenVBand="0" w:oddHBand="0" w:evenHBand="1" w:firstRowFirstColumn="0" w:firstRowLastColumn="0" w:lastRowFirstColumn="0" w:lastRowLastColumn="0"/>
          <w:trHeight w:val="1413"/>
        </w:trPr>
        <w:tc>
          <w:tcPr>
            <w:tcW w:w="884" w:type="pct"/>
            <w:gridSpan w:val="2"/>
          </w:tcPr>
          <w:p w:rsidR="00F7694E" w:rsidRPr="00C10BEF" w:rsidRDefault="00F7694E" w:rsidP="00226A83">
            <w:pPr>
              <w:keepLines/>
              <w:spacing w:before="80" w:after="80" w:line="200" w:lineRule="atLeast"/>
              <w:rPr>
                <w:rFonts w:asciiTheme="majorHAnsi" w:eastAsia="Times New Roman" w:hAnsiTheme="majorHAnsi"/>
                <w:b/>
                <w:iCs/>
                <w:szCs w:val="17"/>
                <w:lang w:eastAsia="en-US"/>
              </w:rPr>
            </w:pPr>
            <w:r w:rsidRPr="00C10BEF">
              <w:rPr>
                <w:rFonts w:asciiTheme="majorHAnsi" w:eastAsia="Times New Roman" w:hAnsiTheme="majorHAnsi"/>
                <w:b/>
                <w:iCs/>
                <w:noProof/>
                <w:szCs w:val="17"/>
                <w:lang w:val="en-AU"/>
              </w:rPr>
              <w:drawing>
                <wp:anchor distT="0" distB="0" distL="114300" distR="114300" simplePos="0" relativeHeight="251674624" behindDoc="0" locked="0" layoutInCell="1" allowOverlap="1" wp14:anchorId="31CA7C1C" wp14:editId="400807C0">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BEF">
              <w:rPr>
                <w:rFonts w:asciiTheme="majorHAnsi" w:eastAsia="Times New Roman" w:hAnsiTheme="majorHAnsi"/>
                <w:b/>
                <w:iCs/>
                <w:szCs w:val="17"/>
                <w:lang w:eastAsia="en-US"/>
              </w:rPr>
              <w:t>Investment name</w:t>
            </w:r>
          </w:p>
        </w:tc>
        <w:tc>
          <w:tcPr>
            <w:tcW w:w="709" w:type="pct"/>
            <w:textDirection w:val="btLr"/>
          </w:tcPr>
          <w:p w:rsidR="00F7694E" w:rsidRPr="00C10BEF" w:rsidRDefault="00F7694E" w:rsidP="00226A83">
            <w:pPr>
              <w:keepLines/>
              <w:spacing w:before="80" w:after="80" w:line="200" w:lineRule="atLeast"/>
              <w:rPr>
                <w:rFonts w:asciiTheme="majorHAnsi" w:eastAsia="Times New Roman" w:hAnsiTheme="majorHAnsi"/>
                <w:b/>
                <w:iCs/>
                <w:szCs w:val="17"/>
                <w:lang w:eastAsia="en-US"/>
              </w:rPr>
            </w:pPr>
            <w:r w:rsidRPr="00C10BEF">
              <w:rPr>
                <w:rFonts w:asciiTheme="majorHAnsi" w:eastAsia="Times New Roman" w:hAnsiTheme="majorHAnsi"/>
                <w:b/>
                <w:iCs/>
                <w:szCs w:val="17"/>
                <w:lang w:eastAsia="en-US"/>
              </w:rPr>
              <w:t>Approved budget and duration</w:t>
            </w:r>
          </w:p>
        </w:tc>
        <w:tc>
          <w:tcPr>
            <w:tcW w:w="406" w:type="pct"/>
            <w:textDirection w:val="btLr"/>
          </w:tcPr>
          <w:p w:rsidR="00F7694E" w:rsidRPr="00C10BEF" w:rsidRDefault="00F7694E" w:rsidP="00226A83">
            <w:pPr>
              <w:keepLines/>
              <w:spacing w:before="80" w:after="80" w:line="200" w:lineRule="atLeast"/>
              <w:rPr>
                <w:rFonts w:asciiTheme="majorHAnsi" w:eastAsia="Times New Roman" w:hAnsiTheme="majorHAnsi"/>
                <w:b/>
                <w:iCs/>
                <w:szCs w:val="17"/>
                <w:lang w:eastAsia="en-US"/>
              </w:rPr>
            </w:pPr>
            <w:r w:rsidRPr="00C10BEF">
              <w:rPr>
                <w:rFonts w:asciiTheme="majorHAnsi" w:eastAsia="Times New Roman" w:hAnsiTheme="majorHAnsi"/>
                <w:b/>
                <w:iCs/>
                <w:szCs w:val="17"/>
                <w:lang w:eastAsia="en-US"/>
              </w:rPr>
              <w:t>year on year</w:t>
            </w:r>
          </w:p>
        </w:tc>
        <w:tc>
          <w:tcPr>
            <w:tcW w:w="407" w:type="pct"/>
            <w:textDirection w:val="btLr"/>
          </w:tcPr>
          <w:p w:rsidR="00F7694E" w:rsidRPr="00C10BEF" w:rsidRDefault="00F7694E" w:rsidP="00226A83">
            <w:pPr>
              <w:keepLines/>
              <w:spacing w:before="80" w:after="80" w:line="200" w:lineRule="atLeast"/>
              <w:rPr>
                <w:rFonts w:asciiTheme="majorHAnsi" w:eastAsia="Times New Roman" w:hAnsiTheme="majorHAnsi"/>
                <w:b/>
                <w:iCs/>
                <w:szCs w:val="17"/>
                <w:lang w:eastAsia="en-US"/>
              </w:rPr>
            </w:pPr>
            <w:r w:rsidRPr="00C10BEF">
              <w:rPr>
                <w:rFonts w:asciiTheme="majorHAnsi" w:eastAsia="Times New Roman" w:hAnsiTheme="majorHAnsi"/>
                <w:b/>
                <w:iCs/>
                <w:szCs w:val="17"/>
                <w:lang w:eastAsia="en-US"/>
              </w:rPr>
              <w:t>Relevance</w:t>
            </w:r>
          </w:p>
        </w:tc>
        <w:tc>
          <w:tcPr>
            <w:tcW w:w="406" w:type="pct"/>
            <w:textDirection w:val="btLr"/>
          </w:tcPr>
          <w:p w:rsidR="00F7694E" w:rsidRPr="00C10BEF" w:rsidRDefault="00F7694E" w:rsidP="00226A83">
            <w:pPr>
              <w:keepLines/>
              <w:spacing w:before="80" w:after="80" w:line="200" w:lineRule="atLeast"/>
              <w:rPr>
                <w:rFonts w:asciiTheme="majorHAnsi" w:eastAsia="Times New Roman" w:hAnsiTheme="majorHAnsi"/>
                <w:b/>
                <w:iCs/>
                <w:szCs w:val="17"/>
                <w:lang w:eastAsia="en-US"/>
              </w:rPr>
            </w:pPr>
            <w:r w:rsidRPr="00C10BEF">
              <w:rPr>
                <w:rFonts w:asciiTheme="majorHAnsi" w:eastAsia="Times New Roman" w:hAnsiTheme="majorHAnsi"/>
                <w:b/>
                <w:iCs/>
                <w:szCs w:val="17"/>
                <w:lang w:eastAsia="en-US"/>
              </w:rPr>
              <w:t>Effectiveness</w:t>
            </w:r>
          </w:p>
        </w:tc>
        <w:tc>
          <w:tcPr>
            <w:tcW w:w="409" w:type="pct"/>
            <w:textDirection w:val="btLr"/>
          </w:tcPr>
          <w:p w:rsidR="00F7694E" w:rsidRPr="00C10BEF" w:rsidRDefault="00F7694E" w:rsidP="00226A83">
            <w:pPr>
              <w:keepLines/>
              <w:spacing w:before="80" w:after="80" w:line="200" w:lineRule="atLeast"/>
              <w:rPr>
                <w:rFonts w:asciiTheme="majorHAnsi" w:eastAsia="Times New Roman" w:hAnsiTheme="majorHAnsi"/>
                <w:b/>
                <w:iCs/>
                <w:szCs w:val="17"/>
                <w:lang w:eastAsia="en-US"/>
              </w:rPr>
            </w:pPr>
            <w:r w:rsidRPr="00C10BEF">
              <w:rPr>
                <w:rFonts w:asciiTheme="majorHAnsi" w:eastAsia="Times New Roman" w:hAnsiTheme="majorHAnsi"/>
                <w:b/>
                <w:iCs/>
                <w:szCs w:val="17"/>
                <w:lang w:eastAsia="en-US"/>
              </w:rPr>
              <w:t>Efficiency</w:t>
            </w:r>
          </w:p>
        </w:tc>
        <w:tc>
          <w:tcPr>
            <w:tcW w:w="406" w:type="pct"/>
            <w:textDirection w:val="btLr"/>
          </w:tcPr>
          <w:p w:rsidR="00F7694E" w:rsidRPr="00C10BEF" w:rsidRDefault="00F7694E" w:rsidP="00226A83">
            <w:pPr>
              <w:keepLines/>
              <w:spacing w:before="80" w:after="80" w:line="200" w:lineRule="atLeast"/>
              <w:rPr>
                <w:rFonts w:asciiTheme="majorHAnsi" w:eastAsia="Times New Roman" w:hAnsiTheme="majorHAnsi"/>
                <w:b/>
                <w:iCs/>
                <w:szCs w:val="17"/>
                <w:lang w:eastAsia="en-US"/>
              </w:rPr>
            </w:pPr>
            <w:r w:rsidRPr="00C10BEF">
              <w:rPr>
                <w:rFonts w:asciiTheme="majorHAnsi" w:eastAsia="Times New Roman" w:hAnsiTheme="majorHAnsi"/>
                <w:b/>
                <w:iCs/>
                <w:szCs w:val="17"/>
                <w:lang w:eastAsia="en-US"/>
              </w:rPr>
              <w:t>Monitoring and Evaluation</w:t>
            </w:r>
          </w:p>
        </w:tc>
        <w:tc>
          <w:tcPr>
            <w:tcW w:w="409" w:type="pct"/>
            <w:textDirection w:val="btLr"/>
          </w:tcPr>
          <w:p w:rsidR="00F7694E" w:rsidRPr="00C10BEF" w:rsidRDefault="00F7694E" w:rsidP="00226A83">
            <w:pPr>
              <w:keepLines/>
              <w:spacing w:before="80" w:after="80" w:line="200" w:lineRule="atLeast"/>
              <w:rPr>
                <w:rFonts w:asciiTheme="majorHAnsi" w:eastAsia="Times New Roman" w:hAnsiTheme="majorHAnsi"/>
                <w:b/>
                <w:iCs/>
                <w:szCs w:val="17"/>
                <w:lang w:eastAsia="en-US"/>
              </w:rPr>
            </w:pPr>
            <w:r w:rsidRPr="00C10BEF">
              <w:rPr>
                <w:rFonts w:asciiTheme="majorHAnsi" w:eastAsia="Times New Roman" w:hAnsiTheme="majorHAnsi"/>
                <w:b/>
                <w:iCs/>
                <w:szCs w:val="17"/>
                <w:lang w:eastAsia="en-US"/>
              </w:rPr>
              <w:t>Sustainability</w:t>
            </w:r>
          </w:p>
        </w:tc>
        <w:tc>
          <w:tcPr>
            <w:tcW w:w="406" w:type="pct"/>
            <w:textDirection w:val="btLr"/>
          </w:tcPr>
          <w:p w:rsidR="00F7694E" w:rsidRPr="00C10BEF" w:rsidRDefault="00F7694E" w:rsidP="00226A83">
            <w:pPr>
              <w:keepLines/>
              <w:spacing w:before="80" w:after="80" w:line="200" w:lineRule="atLeast"/>
              <w:rPr>
                <w:rFonts w:asciiTheme="majorHAnsi" w:eastAsia="Times New Roman" w:hAnsiTheme="majorHAnsi"/>
                <w:b/>
                <w:iCs/>
                <w:szCs w:val="17"/>
                <w:lang w:eastAsia="en-US"/>
              </w:rPr>
            </w:pPr>
            <w:r w:rsidRPr="00C10BEF">
              <w:rPr>
                <w:rFonts w:asciiTheme="majorHAnsi" w:eastAsia="Times New Roman" w:hAnsiTheme="majorHAnsi"/>
                <w:b/>
                <w:iCs/>
                <w:szCs w:val="17"/>
                <w:lang w:eastAsia="en-US"/>
              </w:rPr>
              <w:t>Gender equality</w:t>
            </w:r>
          </w:p>
        </w:tc>
        <w:tc>
          <w:tcPr>
            <w:tcW w:w="403" w:type="pct"/>
            <w:textDirection w:val="btLr"/>
          </w:tcPr>
          <w:p w:rsidR="00F7694E" w:rsidRPr="00C10BEF" w:rsidRDefault="00F7694E" w:rsidP="00226A83">
            <w:pPr>
              <w:keepLines/>
              <w:spacing w:before="80" w:after="80" w:line="200" w:lineRule="atLeast"/>
              <w:rPr>
                <w:rFonts w:asciiTheme="majorHAnsi" w:eastAsia="Times New Roman" w:hAnsiTheme="majorHAnsi"/>
                <w:b/>
                <w:iCs/>
                <w:szCs w:val="17"/>
                <w:lang w:eastAsia="en-US"/>
              </w:rPr>
            </w:pPr>
            <w:r w:rsidRPr="00C10BEF">
              <w:rPr>
                <w:rFonts w:asciiTheme="majorHAnsi" w:eastAsia="Times New Roman" w:hAnsiTheme="majorHAnsi"/>
                <w:b/>
                <w:iCs/>
                <w:szCs w:val="17"/>
                <w:lang w:eastAsia="en-US"/>
              </w:rPr>
              <w:t>Risks  and Safeguards</w:t>
            </w:r>
          </w:p>
        </w:tc>
      </w:tr>
      <w:tr w:rsidR="001A18EC" w:rsidRPr="00C10BEF" w:rsidTr="000C0683">
        <w:trPr>
          <w:cnfStyle w:val="000000010000" w:firstRow="0" w:lastRow="0" w:firstColumn="0" w:lastColumn="0" w:oddVBand="0" w:evenVBand="0" w:oddHBand="0" w:evenHBand="1" w:firstRowFirstColumn="0" w:firstRowLastColumn="0" w:lastRowFirstColumn="0" w:lastRowLastColumn="0"/>
          <w:trHeight w:val="284"/>
        </w:trPr>
        <w:tc>
          <w:tcPr>
            <w:tcW w:w="884" w:type="pct"/>
            <w:gridSpan w:val="2"/>
            <w:vMerge w:val="restart"/>
          </w:tcPr>
          <w:p w:rsidR="00F7694E" w:rsidRPr="00C10BEF" w:rsidRDefault="00F7694E" w:rsidP="00226A83">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Nuku'alofa Urban Development Project</w:t>
            </w:r>
          </w:p>
        </w:tc>
        <w:tc>
          <w:tcPr>
            <w:tcW w:w="709" w:type="pct"/>
            <w:vMerge w:val="restart"/>
          </w:tcPr>
          <w:p w:rsidR="00F7694E" w:rsidRPr="00C10BEF" w:rsidRDefault="00F7694E" w:rsidP="000C0683">
            <w:pPr>
              <w:autoSpaceDE w:val="0"/>
              <w:autoSpaceDN w:val="0"/>
              <w:adjustRightInd w:val="0"/>
              <w:rPr>
                <w:rFonts w:asciiTheme="majorHAnsi" w:hAnsiTheme="majorHAnsi" w:cs="Franklin Gothic Book"/>
                <w:color w:val="000000"/>
                <w:szCs w:val="17"/>
              </w:rPr>
            </w:pPr>
            <w:r w:rsidRPr="00C10BEF">
              <w:rPr>
                <w:rFonts w:asciiTheme="majorHAnsi" w:hAnsiTheme="majorHAnsi" w:cs="Franklin Gothic Book"/>
                <w:color w:val="000000"/>
                <w:szCs w:val="17"/>
              </w:rPr>
              <w:t>$6.</w:t>
            </w:r>
            <w:r w:rsidR="000C0683" w:rsidRPr="00C10BEF">
              <w:rPr>
                <w:rFonts w:asciiTheme="majorHAnsi" w:hAnsiTheme="majorHAnsi" w:cs="Franklin Gothic Book"/>
                <w:color w:val="000000"/>
                <w:szCs w:val="17"/>
              </w:rPr>
              <w:t>4</w:t>
            </w:r>
            <w:r w:rsidRPr="00C10BEF">
              <w:rPr>
                <w:rFonts w:asciiTheme="majorHAnsi" w:hAnsiTheme="majorHAnsi" w:cs="Franklin Gothic Book"/>
                <w:color w:val="000000"/>
                <w:szCs w:val="17"/>
              </w:rPr>
              <w:t xml:space="preserve">m </w:t>
            </w:r>
          </w:p>
          <w:p w:rsidR="00F7694E" w:rsidRPr="00C10BEF" w:rsidRDefault="00F7694E" w:rsidP="000C0683">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 xml:space="preserve">2011-17 </w:t>
            </w:r>
          </w:p>
        </w:tc>
        <w:tc>
          <w:tcPr>
            <w:tcW w:w="406" w:type="pct"/>
          </w:tcPr>
          <w:p w:rsidR="00F7694E" w:rsidRPr="00C10BEF" w:rsidRDefault="00F7694E" w:rsidP="00226A83">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w:t>
            </w:r>
            <w:r w:rsidR="00DE765A" w:rsidRPr="00C10BEF">
              <w:rPr>
                <w:rFonts w:asciiTheme="majorHAnsi" w:eastAsia="Times New Roman" w:hAnsiTheme="majorHAnsi"/>
                <w:iCs/>
                <w:szCs w:val="17"/>
                <w:lang w:eastAsia="en-US"/>
              </w:rPr>
              <w:t>5</w:t>
            </w:r>
            <w:r w:rsidRPr="00C10BEF">
              <w:rPr>
                <w:rFonts w:asciiTheme="majorHAnsi" w:eastAsia="Times New Roman" w:hAnsiTheme="majorHAnsi"/>
                <w:iCs/>
                <w:szCs w:val="17"/>
                <w:lang w:eastAsia="en-US"/>
              </w:rPr>
              <w:t xml:space="preserve"> AQC</w:t>
            </w:r>
          </w:p>
        </w:tc>
        <w:tc>
          <w:tcPr>
            <w:tcW w:w="407" w:type="pct"/>
            <w:shd w:val="clear" w:color="auto" w:fill="92D050"/>
            <w:noWrap/>
          </w:tcPr>
          <w:p w:rsidR="00F7694E" w:rsidRPr="00C10BEF" w:rsidRDefault="00F7694E"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6" w:type="pct"/>
            <w:shd w:val="clear" w:color="auto" w:fill="92D050"/>
            <w:noWrap/>
          </w:tcPr>
          <w:p w:rsidR="00F7694E" w:rsidRPr="00C10BEF" w:rsidRDefault="00F7694E"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9" w:type="pct"/>
            <w:shd w:val="clear" w:color="auto" w:fill="FFFF00"/>
            <w:noWrap/>
          </w:tcPr>
          <w:p w:rsidR="00F7694E" w:rsidRPr="00C10BEF" w:rsidRDefault="00F7694E"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6" w:type="pct"/>
            <w:shd w:val="clear" w:color="auto" w:fill="92D050"/>
            <w:noWrap/>
          </w:tcPr>
          <w:p w:rsidR="00F7694E" w:rsidRPr="00C10BEF" w:rsidRDefault="00F7694E" w:rsidP="00226A83">
            <w:pPr>
              <w:keepLines/>
              <w:tabs>
                <w:tab w:val="center" w:pos="299"/>
              </w:tab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ab/>
              <w:t>5</w:t>
            </w:r>
          </w:p>
        </w:tc>
        <w:tc>
          <w:tcPr>
            <w:tcW w:w="409" w:type="pct"/>
            <w:shd w:val="clear" w:color="auto" w:fill="92D050"/>
            <w:noWrap/>
          </w:tcPr>
          <w:p w:rsidR="00F7694E" w:rsidRPr="00C10BEF" w:rsidRDefault="00F7694E"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6" w:type="pct"/>
            <w:shd w:val="clear" w:color="auto" w:fill="FFFF00"/>
            <w:noWrap/>
          </w:tcPr>
          <w:p w:rsidR="00F7694E" w:rsidRPr="00C10BEF" w:rsidRDefault="00F7694E"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3" w:type="pct"/>
            <w:shd w:val="clear" w:color="auto" w:fill="FFFF00"/>
          </w:tcPr>
          <w:p w:rsidR="00F7694E" w:rsidRPr="00C10BEF" w:rsidRDefault="00F7694E"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r>
      <w:tr w:rsidR="001A18EC" w:rsidRPr="00C10BEF" w:rsidTr="000C0683">
        <w:trPr>
          <w:cnfStyle w:val="000000010000" w:firstRow="0" w:lastRow="0" w:firstColumn="0" w:lastColumn="0" w:oddVBand="0" w:evenVBand="0" w:oddHBand="0" w:evenHBand="1" w:firstRowFirstColumn="0" w:firstRowLastColumn="0" w:lastRowFirstColumn="0" w:lastRowLastColumn="0"/>
          <w:trHeight w:val="284"/>
        </w:trPr>
        <w:tc>
          <w:tcPr>
            <w:tcW w:w="884" w:type="pct"/>
            <w:gridSpan w:val="2"/>
            <w:vMerge/>
            <w:tcBorders>
              <w:bottom w:val="single" w:sz="4" w:space="0" w:color="auto"/>
            </w:tcBorders>
          </w:tcPr>
          <w:p w:rsidR="00F7694E" w:rsidRPr="00C10BEF" w:rsidRDefault="00F7694E" w:rsidP="00226A83">
            <w:pPr>
              <w:keepLines/>
              <w:spacing w:before="40" w:after="40" w:line="200" w:lineRule="atLeast"/>
              <w:rPr>
                <w:rFonts w:asciiTheme="majorHAnsi" w:eastAsia="Times New Roman" w:hAnsiTheme="majorHAnsi"/>
                <w:iCs/>
                <w:szCs w:val="17"/>
                <w:lang w:eastAsia="en-US"/>
              </w:rPr>
            </w:pPr>
          </w:p>
        </w:tc>
        <w:tc>
          <w:tcPr>
            <w:tcW w:w="709" w:type="pct"/>
            <w:vMerge/>
            <w:tcBorders>
              <w:bottom w:val="single" w:sz="4" w:space="0" w:color="auto"/>
            </w:tcBorders>
          </w:tcPr>
          <w:p w:rsidR="00F7694E" w:rsidRPr="00C10BEF" w:rsidRDefault="00F7694E" w:rsidP="000C0683">
            <w:pPr>
              <w:keepLines/>
              <w:spacing w:before="40" w:after="40" w:line="200" w:lineRule="atLeast"/>
              <w:rPr>
                <w:rFonts w:asciiTheme="majorHAnsi" w:eastAsia="Times New Roman" w:hAnsiTheme="majorHAnsi"/>
                <w:iCs/>
                <w:szCs w:val="17"/>
                <w:lang w:eastAsia="en-US"/>
              </w:rPr>
            </w:pPr>
          </w:p>
        </w:tc>
        <w:tc>
          <w:tcPr>
            <w:tcW w:w="406" w:type="pct"/>
            <w:tcBorders>
              <w:bottom w:val="single" w:sz="4" w:space="0" w:color="auto"/>
            </w:tcBorders>
          </w:tcPr>
          <w:p w:rsidR="00F7694E" w:rsidRPr="00C10BEF" w:rsidRDefault="00F7694E" w:rsidP="00226A83">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w:t>
            </w:r>
            <w:r w:rsidR="00DE765A" w:rsidRPr="00C10BEF">
              <w:rPr>
                <w:rFonts w:asciiTheme="majorHAnsi" w:eastAsia="Times New Roman" w:hAnsiTheme="majorHAnsi"/>
                <w:iCs/>
                <w:szCs w:val="17"/>
                <w:lang w:eastAsia="en-US"/>
              </w:rPr>
              <w:t>4</w:t>
            </w:r>
            <w:r w:rsidRPr="00C10BEF">
              <w:rPr>
                <w:rFonts w:asciiTheme="majorHAnsi" w:eastAsia="Times New Roman" w:hAnsiTheme="majorHAnsi"/>
                <w:iCs/>
                <w:szCs w:val="17"/>
                <w:lang w:eastAsia="en-US"/>
              </w:rPr>
              <w:t xml:space="preserve"> AQC</w:t>
            </w:r>
          </w:p>
        </w:tc>
        <w:tc>
          <w:tcPr>
            <w:tcW w:w="407" w:type="pct"/>
            <w:tcBorders>
              <w:bottom w:val="single" w:sz="4" w:space="0" w:color="auto"/>
            </w:tcBorders>
            <w:shd w:val="clear" w:color="auto" w:fill="92D050"/>
            <w:noWrap/>
          </w:tcPr>
          <w:p w:rsidR="00F7694E" w:rsidRPr="00C10BEF" w:rsidRDefault="00F7694E"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6" w:type="pct"/>
            <w:tcBorders>
              <w:bottom w:val="single" w:sz="4" w:space="0" w:color="auto"/>
            </w:tcBorders>
            <w:shd w:val="clear" w:color="auto" w:fill="FFFF00"/>
            <w:noWrap/>
          </w:tcPr>
          <w:p w:rsidR="00F7694E" w:rsidRPr="00C10BEF" w:rsidRDefault="00F7694E"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9" w:type="pct"/>
            <w:tcBorders>
              <w:bottom w:val="single" w:sz="4" w:space="0" w:color="auto"/>
            </w:tcBorders>
            <w:shd w:val="clear" w:color="auto" w:fill="FFFF00"/>
            <w:noWrap/>
          </w:tcPr>
          <w:p w:rsidR="00F7694E" w:rsidRPr="00C10BEF" w:rsidRDefault="00F7694E"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6" w:type="pct"/>
            <w:tcBorders>
              <w:bottom w:val="single" w:sz="4" w:space="0" w:color="auto"/>
            </w:tcBorders>
            <w:shd w:val="clear" w:color="auto" w:fill="FFFF00"/>
            <w:noWrap/>
          </w:tcPr>
          <w:p w:rsidR="00F7694E" w:rsidRPr="00C10BEF" w:rsidRDefault="00F7694E"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9" w:type="pct"/>
            <w:tcBorders>
              <w:bottom w:val="single" w:sz="4" w:space="0" w:color="auto"/>
            </w:tcBorders>
            <w:shd w:val="clear" w:color="auto" w:fill="FFFF00"/>
            <w:noWrap/>
          </w:tcPr>
          <w:p w:rsidR="00F7694E" w:rsidRPr="00C10BEF" w:rsidRDefault="00F7694E"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6" w:type="pct"/>
            <w:tcBorders>
              <w:bottom w:val="single" w:sz="4" w:space="0" w:color="auto"/>
            </w:tcBorders>
            <w:shd w:val="clear" w:color="auto" w:fill="FFFF00"/>
            <w:noWrap/>
          </w:tcPr>
          <w:p w:rsidR="00F7694E" w:rsidRPr="00C10BEF" w:rsidRDefault="00F7694E"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3" w:type="pct"/>
            <w:tcBorders>
              <w:bottom w:val="single" w:sz="4" w:space="0" w:color="auto"/>
            </w:tcBorders>
            <w:shd w:val="clear" w:color="auto" w:fill="FFFF00"/>
          </w:tcPr>
          <w:p w:rsidR="00F7694E" w:rsidRPr="00C10BEF" w:rsidRDefault="00F7694E"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r>
      <w:tr w:rsidR="001A18EC" w:rsidRPr="00C10BEF" w:rsidTr="000C0683">
        <w:trPr>
          <w:cnfStyle w:val="000000010000" w:firstRow="0" w:lastRow="0" w:firstColumn="0" w:lastColumn="0" w:oddVBand="0" w:evenVBand="0" w:oddHBand="0" w:evenHBand="1" w:firstRowFirstColumn="0" w:firstRowLastColumn="0" w:lastRowFirstColumn="0" w:lastRowLastColumn="0"/>
          <w:trHeight w:val="284"/>
        </w:trPr>
        <w:tc>
          <w:tcPr>
            <w:tcW w:w="884" w:type="pct"/>
            <w:gridSpan w:val="2"/>
            <w:vMerge w:val="restart"/>
          </w:tcPr>
          <w:p w:rsidR="001A18EC" w:rsidRPr="00C10BEF" w:rsidRDefault="001A18EC" w:rsidP="001A18EC">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Tonga – Scholarships</w:t>
            </w:r>
          </w:p>
        </w:tc>
        <w:tc>
          <w:tcPr>
            <w:tcW w:w="709" w:type="pct"/>
            <w:vMerge w:val="restart"/>
          </w:tcPr>
          <w:p w:rsidR="001A18EC" w:rsidRPr="00C10BEF" w:rsidRDefault="001A18EC" w:rsidP="000C0683">
            <w:pPr>
              <w:autoSpaceDE w:val="0"/>
              <w:autoSpaceDN w:val="0"/>
              <w:adjustRightInd w:val="0"/>
              <w:rPr>
                <w:rFonts w:asciiTheme="majorHAnsi" w:hAnsiTheme="majorHAnsi" w:cs="Franklin Gothic Book"/>
                <w:color w:val="000000"/>
                <w:szCs w:val="17"/>
              </w:rPr>
            </w:pPr>
            <w:r w:rsidRPr="00C10BEF">
              <w:rPr>
                <w:rFonts w:asciiTheme="majorHAnsi" w:hAnsiTheme="majorHAnsi" w:cs="Franklin Gothic Book"/>
                <w:color w:val="000000"/>
                <w:szCs w:val="17"/>
              </w:rPr>
              <w:t>$2.5m</w:t>
            </w:r>
          </w:p>
          <w:p w:rsidR="001A18EC" w:rsidRPr="00C10BEF" w:rsidRDefault="001A18EC" w:rsidP="000C0683">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2015</w:t>
            </w:r>
          </w:p>
        </w:tc>
        <w:tc>
          <w:tcPr>
            <w:tcW w:w="406" w:type="pct"/>
          </w:tcPr>
          <w:p w:rsidR="001A18EC" w:rsidRPr="00C10BEF" w:rsidRDefault="001A18EC" w:rsidP="001231D7">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2015 AQC</w:t>
            </w:r>
          </w:p>
        </w:tc>
        <w:tc>
          <w:tcPr>
            <w:tcW w:w="407" w:type="pct"/>
            <w:shd w:val="clear" w:color="auto" w:fill="92D05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6" w:type="pct"/>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9" w:type="pct"/>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6" w:type="pct"/>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9" w:type="pct"/>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6" w:type="pct"/>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3" w:type="pct"/>
            <w:shd w:val="clear" w:color="auto" w:fill="92D050"/>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r>
      <w:tr w:rsidR="001A18EC" w:rsidRPr="00C10BEF" w:rsidTr="000C0683">
        <w:trPr>
          <w:cnfStyle w:val="000000010000" w:firstRow="0" w:lastRow="0" w:firstColumn="0" w:lastColumn="0" w:oddVBand="0" w:evenVBand="0" w:oddHBand="0" w:evenHBand="1" w:firstRowFirstColumn="0" w:firstRowLastColumn="0" w:lastRowFirstColumn="0" w:lastRowLastColumn="0"/>
          <w:trHeight w:val="284"/>
        </w:trPr>
        <w:tc>
          <w:tcPr>
            <w:tcW w:w="884" w:type="pct"/>
            <w:gridSpan w:val="2"/>
            <w:vMerge/>
            <w:tcBorders>
              <w:bottom w:val="single" w:sz="4" w:space="0" w:color="auto"/>
            </w:tcBorders>
          </w:tcPr>
          <w:p w:rsidR="001A18EC" w:rsidRPr="00C10BEF" w:rsidRDefault="001A18EC" w:rsidP="00226A83">
            <w:pPr>
              <w:keepLines/>
              <w:spacing w:before="40" w:after="40" w:line="200" w:lineRule="atLeast"/>
              <w:rPr>
                <w:rFonts w:asciiTheme="majorHAnsi" w:eastAsia="Times New Roman" w:hAnsiTheme="majorHAnsi"/>
                <w:iCs/>
                <w:szCs w:val="17"/>
                <w:lang w:eastAsia="en-US"/>
              </w:rPr>
            </w:pPr>
          </w:p>
        </w:tc>
        <w:tc>
          <w:tcPr>
            <w:tcW w:w="709" w:type="pct"/>
            <w:vMerge/>
            <w:tcBorders>
              <w:bottom w:val="single" w:sz="4" w:space="0" w:color="auto"/>
            </w:tcBorders>
          </w:tcPr>
          <w:p w:rsidR="001A18EC" w:rsidRPr="00C10BEF" w:rsidRDefault="001A18EC" w:rsidP="000C0683">
            <w:pPr>
              <w:keepLines/>
              <w:spacing w:before="40" w:after="40" w:line="200" w:lineRule="atLeast"/>
              <w:rPr>
                <w:rFonts w:asciiTheme="majorHAnsi" w:eastAsia="Times New Roman" w:hAnsiTheme="majorHAnsi"/>
                <w:iCs/>
                <w:szCs w:val="17"/>
                <w:lang w:eastAsia="en-US"/>
              </w:rPr>
            </w:pPr>
          </w:p>
        </w:tc>
        <w:tc>
          <w:tcPr>
            <w:tcW w:w="406" w:type="pct"/>
            <w:tcBorders>
              <w:bottom w:val="single" w:sz="4" w:space="0" w:color="auto"/>
            </w:tcBorders>
          </w:tcPr>
          <w:p w:rsidR="001A18EC" w:rsidRPr="00C10BEF" w:rsidRDefault="001A18EC" w:rsidP="001231D7">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2014 AQC</w:t>
            </w:r>
          </w:p>
        </w:tc>
        <w:tc>
          <w:tcPr>
            <w:tcW w:w="407" w:type="pct"/>
            <w:tcBorders>
              <w:bottom w:val="single" w:sz="4" w:space="0" w:color="auto"/>
            </w:tcBorders>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6" w:type="pct"/>
            <w:tcBorders>
              <w:bottom w:val="single" w:sz="4" w:space="0" w:color="auto"/>
            </w:tcBorders>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9" w:type="pct"/>
            <w:tcBorders>
              <w:bottom w:val="single" w:sz="4" w:space="0" w:color="auto"/>
            </w:tcBorders>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6" w:type="pct"/>
            <w:tcBorders>
              <w:bottom w:val="single" w:sz="4" w:space="0" w:color="auto"/>
            </w:tcBorders>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9" w:type="pct"/>
            <w:tcBorders>
              <w:bottom w:val="single" w:sz="4" w:space="0" w:color="auto"/>
            </w:tcBorders>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6" w:type="pct"/>
            <w:tcBorders>
              <w:bottom w:val="single" w:sz="4" w:space="0" w:color="auto"/>
            </w:tcBorders>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3" w:type="pct"/>
            <w:tcBorders>
              <w:bottom w:val="single" w:sz="4" w:space="0" w:color="auto"/>
            </w:tcBorders>
            <w:shd w:val="clear" w:color="auto" w:fill="92D050"/>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r>
      <w:tr w:rsidR="001A18EC" w:rsidRPr="00C10BEF" w:rsidTr="000C0683">
        <w:trPr>
          <w:cnfStyle w:val="000000010000" w:firstRow="0" w:lastRow="0" w:firstColumn="0" w:lastColumn="0" w:oddVBand="0" w:evenVBand="0" w:oddHBand="0" w:evenHBand="1" w:firstRowFirstColumn="0" w:firstRowLastColumn="0" w:lastRowFirstColumn="0" w:lastRowLastColumn="0"/>
          <w:trHeight w:val="284"/>
        </w:trPr>
        <w:tc>
          <w:tcPr>
            <w:tcW w:w="884" w:type="pct"/>
            <w:gridSpan w:val="2"/>
            <w:vMerge w:val="restart"/>
          </w:tcPr>
          <w:p w:rsidR="001A18EC" w:rsidRPr="00C10BEF" w:rsidRDefault="001A18EC" w:rsidP="00226A83">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Tonga Health Systems Support Program II</w:t>
            </w:r>
          </w:p>
        </w:tc>
        <w:tc>
          <w:tcPr>
            <w:tcW w:w="709" w:type="pct"/>
            <w:vMerge w:val="restart"/>
          </w:tcPr>
          <w:p w:rsidR="001A18EC" w:rsidRPr="00C10BEF" w:rsidRDefault="001A18EC" w:rsidP="000C0683">
            <w:pPr>
              <w:autoSpaceDE w:val="0"/>
              <w:autoSpaceDN w:val="0"/>
              <w:adjustRightInd w:val="0"/>
              <w:rPr>
                <w:rFonts w:asciiTheme="majorHAnsi" w:hAnsiTheme="majorHAnsi" w:cs="Franklin Gothic Book"/>
                <w:color w:val="000000"/>
                <w:szCs w:val="17"/>
              </w:rPr>
            </w:pPr>
            <w:r w:rsidRPr="00C10BEF">
              <w:rPr>
                <w:rFonts w:asciiTheme="majorHAnsi" w:hAnsiTheme="majorHAnsi" w:cs="Franklin Gothic Book"/>
                <w:color w:val="000000"/>
                <w:szCs w:val="17"/>
              </w:rPr>
              <w:t xml:space="preserve">$12m </w:t>
            </w:r>
          </w:p>
          <w:p w:rsidR="001A18EC" w:rsidRPr="00C10BEF" w:rsidRDefault="001A18EC" w:rsidP="000C0683">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2015-20</w:t>
            </w:r>
          </w:p>
        </w:tc>
        <w:tc>
          <w:tcPr>
            <w:tcW w:w="406" w:type="pct"/>
          </w:tcPr>
          <w:p w:rsidR="001A18EC" w:rsidRPr="00C10BEF" w:rsidRDefault="001A18EC" w:rsidP="001231D7">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2015 AQC</w:t>
            </w:r>
          </w:p>
        </w:tc>
        <w:tc>
          <w:tcPr>
            <w:tcW w:w="407" w:type="pct"/>
            <w:shd w:val="clear" w:color="auto" w:fill="92D05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6</w:t>
            </w:r>
          </w:p>
        </w:tc>
        <w:tc>
          <w:tcPr>
            <w:tcW w:w="406" w:type="pct"/>
            <w:shd w:val="clear" w:color="auto" w:fill="92D05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9" w:type="pct"/>
            <w:shd w:val="clear" w:color="auto" w:fill="92D05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6" w:type="pct"/>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9" w:type="pct"/>
            <w:shd w:val="clear" w:color="auto" w:fill="92D05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6" w:type="pct"/>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3" w:type="pct"/>
            <w:shd w:val="clear" w:color="auto" w:fill="92D050"/>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r>
      <w:tr w:rsidR="001A18EC" w:rsidRPr="00C10BEF" w:rsidTr="000C0683">
        <w:trPr>
          <w:cnfStyle w:val="000000010000" w:firstRow="0" w:lastRow="0" w:firstColumn="0" w:lastColumn="0" w:oddVBand="0" w:evenVBand="0" w:oddHBand="0" w:evenHBand="1" w:firstRowFirstColumn="0" w:firstRowLastColumn="0" w:lastRowFirstColumn="0" w:lastRowLastColumn="0"/>
          <w:trHeight w:val="284"/>
        </w:trPr>
        <w:tc>
          <w:tcPr>
            <w:tcW w:w="884" w:type="pct"/>
            <w:gridSpan w:val="2"/>
            <w:vMerge/>
            <w:tcBorders>
              <w:bottom w:val="single" w:sz="4" w:space="0" w:color="auto"/>
            </w:tcBorders>
          </w:tcPr>
          <w:p w:rsidR="001A18EC" w:rsidRPr="00C10BEF" w:rsidRDefault="001A18EC" w:rsidP="00226A83">
            <w:pPr>
              <w:keepLines/>
              <w:spacing w:before="40" w:after="40" w:line="200" w:lineRule="atLeast"/>
              <w:rPr>
                <w:rFonts w:asciiTheme="majorHAnsi" w:eastAsia="Times New Roman" w:hAnsiTheme="majorHAnsi"/>
                <w:iCs/>
                <w:szCs w:val="17"/>
                <w:lang w:eastAsia="en-US"/>
              </w:rPr>
            </w:pPr>
          </w:p>
        </w:tc>
        <w:tc>
          <w:tcPr>
            <w:tcW w:w="709" w:type="pct"/>
            <w:vMerge/>
            <w:tcBorders>
              <w:bottom w:val="single" w:sz="4" w:space="0" w:color="auto"/>
            </w:tcBorders>
          </w:tcPr>
          <w:p w:rsidR="001A18EC" w:rsidRPr="00C10BEF" w:rsidRDefault="001A18EC" w:rsidP="000C0683">
            <w:pPr>
              <w:keepLines/>
              <w:spacing w:before="40" w:after="40" w:line="200" w:lineRule="atLeast"/>
              <w:rPr>
                <w:rFonts w:asciiTheme="majorHAnsi" w:eastAsia="Times New Roman" w:hAnsiTheme="majorHAnsi"/>
                <w:iCs/>
                <w:szCs w:val="17"/>
                <w:lang w:eastAsia="en-US"/>
              </w:rPr>
            </w:pPr>
          </w:p>
        </w:tc>
        <w:tc>
          <w:tcPr>
            <w:tcW w:w="406" w:type="pct"/>
            <w:tcBorders>
              <w:bottom w:val="single" w:sz="4" w:space="0" w:color="auto"/>
            </w:tcBorders>
          </w:tcPr>
          <w:p w:rsidR="001A18EC" w:rsidRPr="00C10BEF" w:rsidRDefault="001A18EC" w:rsidP="001231D7">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2014 AQC</w:t>
            </w:r>
          </w:p>
        </w:tc>
        <w:tc>
          <w:tcPr>
            <w:tcW w:w="407" w:type="pct"/>
            <w:tcBorders>
              <w:bottom w:val="single" w:sz="4" w:space="0" w:color="auto"/>
            </w:tcBorders>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n/a</w:t>
            </w:r>
          </w:p>
        </w:tc>
        <w:tc>
          <w:tcPr>
            <w:tcW w:w="406" w:type="pct"/>
            <w:tcBorders>
              <w:bottom w:val="single" w:sz="4" w:space="0" w:color="auto"/>
            </w:tcBorders>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n/a</w:t>
            </w:r>
          </w:p>
        </w:tc>
        <w:tc>
          <w:tcPr>
            <w:tcW w:w="409" w:type="pct"/>
            <w:tcBorders>
              <w:bottom w:val="single" w:sz="4" w:space="0" w:color="auto"/>
            </w:tcBorders>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n/a</w:t>
            </w:r>
          </w:p>
        </w:tc>
        <w:tc>
          <w:tcPr>
            <w:tcW w:w="406" w:type="pct"/>
            <w:tcBorders>
              <w:bottom w:val="single" w:sz="4" w:space="0" w:color="auto"/>
            </w:tcBorders>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n/a</w:t>
            </w:r>
          </w:p>
        </w:tc>
        <w:tc>
          <w:tcPr>
            <w:tcW w:w="409" w:type="pct"/>
            <w:tcBorders>
              <w:bottom w:val="single" w:sz="4" w:space="0" w:color="auto"/>
            </w:tcBorders>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n/a</w:t>
            </w:r>
          </w:p>
        </w:tc>
        <w:tc>
          <w:tcPr>
            <w:tcW w:w="406" w:type="pct"/>
            <w:tcBorders>
              <w:bottom w:val="single" w:sz="4" w:space="0" w:color="auto"/>
            </w:tcBorders>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n/a</w:t>
            </w:r>
          </w:p>
        </w:tc>
        <w:tc>
          <w:tcPr>
            <w:tcW w:w="403" w:type="pct"/>
            <w:tcBorders>
              <w:bottom w:val="single" w:sz="4" w:space="0" w:color="auto"/>
            </w:tcBorders>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n/a</w:t>
            </w:r>
          </w:p>
        </w:tc>
      </w:tr>
      <w:tr w:rsidR="001A18EC" w:rsidRPr="00C10BEF" w:rsidTr="000C0683">
        <w:trPr>
          <w:cnfStyle w:val="000000010000" w:firstRow="0" w:lastRow="0" w:firstColumn="0" w:lastColumn="0" w:oddVBand="0" w:evenVBand="0" w:oddHBand="0" w:evenHBand="1" w:firstRowFirstColumn="0" w:firstRowLastColumn="0" w:lastRowFirstColumn="0" w:lastRowLastColumn="0"/>
          <w:trHeight w:val="284"/>
        </w:trPr>
        <w:tc>
          <w:tcPr>
            <w:tcW w:w="884" w:type="pct"/>
            <w:gridSpan w:val="2"/>
            <w:vMerge w:val="restart"/>
          </w:tcPr>
          <w:p w:rsidR="001A18EC" w:rsidRPr="00C10BEF" w:rsidRDefault="001A18EC" w:rsidP="00226A83">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Outer Island Renewable Energy Project</w:t>
            </w:r>
          </w:p>
        </w:tc>
        <w:tc>
          <w:tcPr>
            <w:tcW w:w="709" w:type="pct"/>
            <w:vMerge w:val="restart"/>
          </w:tcPr>
          <w:p w:rsidR="001A18EC" w:rsidRPr="00C10BEF" w:rsidRDefault="001A18EC" w:rsidP="000C0683">
            <w:pPr>
              <w:autoSpaceDE w:val="0"/>
              <w:autoSpaceDN w:val="0"/>
              <w:adjustRightInd w:val="0"/>
              <w:rPr>
                <w:rFonts w:asciiTheme="majorHAnsi" w:hAnsiTheme="majorHAnsi" w:cs="Franklin Gothic Book"/>
                <w:color w:val="000000"/>
                <w:szCs w:val="17"/>
              </w:rPr>
            </w:pPr>
            <w:r w:rsidRPr="00C10BEF">
              <w:rPr>
                <w:rFonts w:asciiTheme="majorHAnsi" w:hAnsiTheme="majorHAnsi" w:cs="Franklin Gothic Book"/>
                <w:color w:val="000000"/>
                <w:szCs w:val="17"/>
              </w:rPr>
              <w:t xml:space="preserve">$5.7m </w:t>
            </w:r>
          </w:p>
          <w:p w:rsidR="001A18EC" w:rsidRPr="00C10BEF" w:rsidRDefault="001A18EC" w:rsidP="000C0683">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2013-20</w:t>
            </w:r>
            <w:r w:rsidR="000C0683" w:rsidRPr="00C10BEF">
              <w:rPr>
                <w:rFonts w:asciiTheme="majorHAnsi" w:eastAsia="Times New Roman" w:hAnsiTheme="majorHAnsi"/>
                <w:iCs/>
                <w:szCs w:val="17"/>
                <w:lang w:eastAsia="en-US"/>
              </w:rPr>
              <w:t>20</w:t>
            </w:r>
          </w:p>
        </w:tc>
        <w:tc>
          <w:tcPr>
            <w:tcW w:w="406" w:type="pct"/>
          </w:tcPr>
          <w:p w:rsidR="001A18EC" w:rsidRPr="00C10BEF" w:rsidRDefault="001A18EC" w:rsidP="001231D7">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2015 AQC</w:t>
            </w:r>
          </w:p>
        </w:tc>
        <w:tc>
          <w:tcPr>
            <w:tcW w:w="407" w:type="pct"/>
            <w:shd w:val="clear" w:color="auto" w:fill="92D05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6" w:type="pct"/>
            <w:shd w:val="clear" w:color="auto" w:fill="92D05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9" w:type="pct"/>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6" w:type="pct"/>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9" w:type="pct"/>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6" w:type="pct"/>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3" w:type="pct"/>
            <w:shd w:val="clear" w:color="auto" w:fill="FFFF00"/>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r>
      <w:tr w:rsidR="001A18EC" w:rsidRPr="00C10BEF" w:rsidTr="000C0683">
        <w:trPr>
          <w:cnfStyle w:val="000000010000" w:firstRow="0" w:lastRow="0" w:firstColumn="0" w:lastColumn="0" w:oddVBand="0" w:evenVBand="0" w:oddHBand="0" w:evenHBand="1" w:firstRowFirstColumn="0" w:firstRowLastColumn="0" w:lastRowFirstColumn="0" w:lastRowLastColumn="0"/>
          <w:trHeight w:val="284"/>
        </w:trPr>
        <w:tc>
          <w:tcPr>
            <w:tcW w:w="884" w:type="pct"/>
            <w:gridSpan w:val="2"/>
            <w:vMerge/>
            <w:tcBorders>
              <w:bottom w:val="single" w:sz="4" w:space="0" w:color="auto"/>
            </w:tcBorders>
          </w:tcPr>
          <w:p w:rsidR="001A18EC" w:rsidRPr="00C10BEF" w:rsidRDefault="001A18EC" w:rsidP="00226A83">
            <w:pPr>
              <w:keepLines/>
              <w:spacing w:before="40" w:after="40" w:line="200" w:lineRule="atLeast"/>
              <w:rPr>
                <w:rFonts w:asciiTheme="majorHAnsi" w:eastAsia="Times New Roman" w:hAnsiTheme="majorHAnsi"/>
                <w:iCs/>
                <w:szCs w:val="17"/>
                <w:lang w:eastAsia="en-US"/>
              </w:rPr>
            </w:pPr>
          </w:p>
        </w:tc>
        <w:tc>
          <w:tcPr>
            <w:tcW w:w="709" w:type="pct"/>
            <w:vMerge/>
            <w:tcBorders>
              <w:bottom w:val="single" w:sz="4" w:space="0" w:color="auto"/>
            </w:tcBorders>
          </w:tcPr>
          <w:p w:rsidR="001A18EC" w:rsidRPr="00C10BEF" w:rsidRDefault="001A18EC" w:rsidP="000C0683">
            <w:pPr>
              <w:keepLines/>
              <w:spacing w:before="40" w:after="40" w:line="200" w:lineRule="atLeast"/>
              <w:rPr>
                <w:rFonts w:asciiTheme="majorHAnsi" w:eastAsia="Times New Roman" w:hAnsiTheme="majorHAnsi"/>
                <w:iCs/>
                <w:szCs w:val="17"/>
                <w:lang w:eastAsia="en-US"/>
              </w:rPr>
            </w:pPr>
          </w:p>
        </w:tc>
        <w:tc>
          <w:tcPr>
            <w:tcW w:w="406" w:type="pct"/>
            <w:tcBorders>
              <w:bottom w:val="single" w:sz="4" w:space="0" w:color="auto"/>
            </w:tcBorders>
          </w:tcPr>
          <w:p w:rsidR="001A18EC" w:rsidRPr="00C10BEF" w:rsidRDefault="001A18EC" w:rsidP="001231D7">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2014 AQC</w:t>
            </w:r>
          </w:p>
        </w:tc>
        <w:tc>
          <w:tcPr>
            <w:tcW w:w="407" w:type="pct"/>
            <w:tcBorders>
              <w:bottom w:val="single" w:sz="4" w:space="0" w:color="auto"/>
            </w:tcBorders>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6" w:type="pct"/>
            <w:tcBorders>
              <w:bottom w:val="single" w:sz="4" w:space="0" w:color="auto"/>
            </w:tcBorders>
            <w:shd w:val="clear" w:color="auto" w:fill="FFC0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3</w:t>
            </w:r>
          </w:p>
        </w:tc>
        <w:tc>
          <w:tcPr>
            <w:tcW w:w="409" w:type="pct"/>
            <w:tcBorders>
              <w:bottom w:val="single" w:sz="4" w:space="0" w:color="auto"/>
            </w:tcBorders>
            <w:shd w:val="clear" w:color="auto" w:fill="FFC0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3</w:t>
            </w:r>
          </w:p>
        </w:tc>
        <w:tc>
          <w:tcPr>
            <w:tcW w:w="406" w:type="pct"/>
            <w:tcBorders>
              <w:bottom w:val="single" w:sz="4" w:space="0" w:color="auto"/>
            </w:tcBorders>
            <w:shd w:val="clear" w:color="auto" w:fill="FF00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2</w:t>
            </w:r>
          </w:p>
        </w:tc>
        <w:tc>
          <w:tcPr>
            <w:tcW w:w="409" w:type="pct"/>
            <w:tcBorders>
              <w:bottom w:val="single" w:sz="4" w:space="0" w:color="auto"/>
            </w:tcBorders>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4</w:t>
            </w:r>
          </w:p>
        </w:tc>
        <w:tc>
          <w:tcPr>
            <w:tcW w:w="406" w:type="pct"/>
            <w:tcBorders>
              <w:bottom w:val="single" w:sz="4" w:space="0" w:color="auto"/>
            </w:tcBorders>
            <w:shd w:val="clear" w:color="auto" w:fill="FFC000"/>
            <w:noWrap/>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3</w:t>
            </w:r>
          </w:p>
        </w:tc>
        <w:tc>
          <w:tcPr>
            <w:tcW w:w="403" w:type="pct"/>
            <w:tcBorders>
              <w:bottom w:val="single" w:sz="4" w:space="0" w:color="auto"/>
            </w:tcBorders>
            <w:shd w:val="clear" w:color="auto" w:fill="FFC000"/>
          </w:tcPr>
          <w:p w:rsidR="001A18EC" w:rsidRPr="00C10BEF" w:rsidRDefault="001A18EC"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3</w:t>
            </w:r>
          </w:p>
        </w:tc>
      </w:tr>
      <w:tr w:rsidR="001A18EC" w:rsidRPr="00C10BEF" w:rsidTr="000C0683">
        <w:trPr>
          <w:cnfStyle w:val="000000010000" w:firstRow="0" w:lastRow="0" w:firstColumn="0" w:lastColumn="0" w:oddVBand="0" w:evenVBand="0" w:oddHBand="0" w:evenHBand="1" w:firstRowFirstColumn="0" w:firstRowLastColumn="0" w:lastRowFirstColumn="0" w:lastRowLastColumn="0"/>
          <w:trHeight w:val="284"/>
        </w:trPr>
        <w:tc>
          <w:tcPr>
            <w:tcW w:w="793" w:type="pct"/>
            <w:vMerge w:val="restart"/>
          </w:tcPr>
          <w:p w:rsidR="001A18EC" w:rsidRPr="00C10BEF" w:rsidRDefault="001A18EC" w:rsidP="00226A83">
            <w:pPr>
              <w:keepLines/>
              <w:spacing w:before="40" w:after="40" w:line="200" w:lineRule="atLeast"/>
              <w:rPr>
                <w:rFonts w:asciiTheme="majorHAnsi" w:eastAsia="Times New Roman" w:hAnsiTheme="majorHAnsi"/>
                <w:iCs/>
                <w:szCs w:val="17"/>
              </w:rPr>
            </w:pPr>
            <w:r w:rsidRPr="00C10BEF">
              <w:rPr>
                <w:rFonts w:asciiTheme="majorHAnsi" w:eastAsia="Times New Roman" w:hAnsiTheme="majorHAnsi"/>
                <w:iCs/>
                <w:szCs w:val="17"/>
              </w:rPr>
              <w:t>Tonga Energy Roadmap Implementation Unit (TERM IU)</w:t>
            </w:r>
          </w:p>
        </w:tc>
        <w:tc>
          <w:tcPr>
            <w:tcW w:w="800" w:type="pct"/>
            <w:gridSpan w:val="2"/>
            <w:vMerge w:val="restart"/>
          </w:tcPr>
          <w:p w:rsidR="001A18EC" w:rsidRPr="00C10BEF" w:rsidRDefault="000C0683" w:rsidP="000C0683">
            <w:pPr>
              <w:keepLines/>
              <w:spacing w:before="40" w:after="40" w:line="200" w:lineRule="atLeast"/>
              <w:rPr>
                <w:rFonts w:asciiTheme="majorHAnsi" w:hAnsiTheme="majorHAnsi"/>
              </w:rPr>
            </w:pPr>
            <w:r w:rsidRPr="00C10BEF">
              <w:rPr>
                <w:rFonts w:asciiTheme="majorHAnsi" w:hAnsiTheme="majorHAnsi" w:cs="Franklin Gothic Book"/>
                <w:color w:val="000000"/>
                <w:szCs w:val="17"/>
              </w:rPr>
              <w:t xml:space="preserve">     </w:t>
            </w:r>
            <w:r w:rsidR="001A18EC" w:rsidRPr="00C10BEF">
              <w:rPr>
                <w:rFonts w:asciiTheme="majorHAnsi" w:hAnsiTheme="majorHAnsi" w:cs="Franklin Gothic Book"/>
                <w:color w:val="000000"/>
                <w:szCs w:val="17"/>
              </w:rPr>
              <w:t>$1.2m</w:t>
            </w:r>
          </w:p>
          <w:p w:rsidR="001A18EC" w:rsidRPr="00C10BEF" w:rsidRDefault="000C0683" w:rsidP="000C0683">
            <w:pPr>
              <w:keepLines/>
              <w:spacing w:before="40" w:after="40" w:line="200" w:lineRule="atLeast"/>
              <w:rPr>
                <w:rFonts w:asciiTheme="majorHAnsi" w:eastAsia="Times New Roman" w:hAnsiTheme="majorHAnsi"/>
                <w:iCs/>
                <w:szCs w:val="17"/>
              </w:rPr>
            </w:pPr>
            <w:r w:rsidRPr="00C10BEF">
              <w:rPr>
                <w:rFonts w:asciiTheme="majorHAnsi" w:hAnsiTheme="majorHAnsi"/>
              </w:rPr>
              <w:t xml:space="preserve">     </w:t>
            </w:r>
            <w:r w:rsidR="001A18EC" w:rsidRPr="00C10BEF">
              <w:rPr>
                <w:rFonts w:asciiTheme="majorHAnsi" w:hAnsiTheme="majorHAnsi"/>
              </w:rPr>
              <w:t>2012-2017</w:t>
            </w:r>
          </w:p>
        </w:tc>
        <w:tc>
          <w:tcPr>
            <w:tcW w:w="406" w:type="pct"/>
            <w:vMerge w:val="restart"/>
          </w:tcPr>
          <w:p w:rsidR="001A18EC" w:rsidRPr="00C10BEF" w:rsidRDefault="001A18EC" w:rsidP="00226A83">
            <w:pPr>
              <w:keepLines/>
              <w:spacing w:before="40" w:after="40" w:line="200" w:lineRule="atLeast"/>
              <w:rPr>
                <w:rFonts w:asciiTheme="majorHAnsi" w:eastAsia="Times New Roman" w:hAnsiTheme="majorHAnsi"/>
                <w:iCs/>
                <w:szCs w:val="17"/>
              </w:rPr>
            </w:pPr>
            <w:r w:rsidRPr="00C10BEF">
              <w:rPr>
                <w:rFonts w:asciiTheme="majorHAnsi" w:eastAsia="Times New Roman" w:hAnsiTheme="majorHAnsi"/>
                <w:iCs/>
                <w:szCs w:val="17"/>
              </w:rPr>
              <w:t>2015</w:t>
            </w:r>
          </w:p>
          <w:p w:rsidR="001A18EC" w:rsidRPr="00C10BEF" w:rsidRDefault="001A18EC" w:rsidP="00226A83">
            <w:pPr>
              <w:keepLines/>
              <w:spacing w:before="40" w:after="40" w:line="200" w:lineRule="atLeast"/>
              <w:rPr>
                <w:rFonts w:asciiTheme="majorHAnsi" w:eastAsia="Times New Roman" w:hAnsiTheme="majorHAnsi"/>
                <w:iCs/>
                <w:szCs w:val="17"/>
              </w:rPr>
            </w:pPr>
            <w:r w:rsidRPr="00C10BEF">
              <w:rPr>
                <w:rFonts w:asciiTheme="majorHAnsi" w:eastAsia="Times New Roman" w:hAnsiTheme="majorHAnsi"/>
                <w:iCs/>
                <w:szCs w:val="17"/>
              </w:rPr>
              <w:t>AQC</w:t>
            </w:r>
          </w:p>
          <w:p w:rsidR="001A18EC" w:rsidRPr="00C10BEF" w:rsidRDefault="001A18EC" w:rsidP="00226A83">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2014</w:t>
            </w:r>
          </w:p>
          <w:p w:rsidR="001A18EC" w:rsidRPr="00C10BEF" w:rsidRDefault="001A18EC" w:rsidP="00226A83">
            <w:pPr>
              <w:keepLines/>
              <w:spacing w:before="40" w:after="40" w:line="200" w:lineRule="atLeast"/>
              <w:rPr>
                <w:rFonts w:asciiTheme="majorHAnsi" w:eastAsia="Times New Roman" w:hAnsiTheme="majorHAnsi"/>
                <w:iCs/>
                <w:szCs w:val="17"/>
              </w:rPr>
            </w:pPr>
            <w:r w:rsidRPr="00C10BEF">
              <w:rPr>
                <w:rFonts w:asciiTheme="majorHAnsi" w:eastAsia="Times New Roman" w:hAnsiTheme="majorHAnsi"/>
                <w:iCs/>
                <w:szCs w:val="17"/>
                <w:lang w:eastAsia="en-US"/>
              </w:rPr>
              <w:t>AQC</w:t>
            </w:r>
          </w:p>
        </w:tc>
        <w:tc>
          <w:tcPr>
            <w:tcW w:w="407" w:type="pct"/>
            <w:tcBorders>
              <w:bottom w:val="single" w:sz="4" w:space="0" w:color="auto"/>
            </w:tcBorders>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hAnsiTheme="majorHAnsi"/>
              </w:rPr>
              <w:t>4</w:t>
            </w:r>
          </w:p>
        </w:tc>
        <w:tc>
          <w:tcPr>
            <w:tcW w:w="406" w:type="pct"/>
            <w:tcBorders>
              <w:bottom w:val="single" w:sz="4" w:space="0" w:color="auto"/>
            </w:tcBorders>
            <w:shd w:val="clear" w:color="auto" w:fill="FFC000"/>
            <w:noWrap/>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hAnsiTheme="majorHAnsi"/>
              </w:rPr>
              <w:t>3</w:t>
            </w:r>
          </w:p>
        </w:tc>
        <w:tc>
          <w:tcPr>
            <w:tcW w:w="409" w:type="pct"/>
            <w:tcBorders>
              <w:bottom w:val="single" w:sz="4" w:space="0" w:color="auto"/>
            </w:tcBorders>
            <w:shd w:val="clear" w:color="auto" w:fill="FFC000"/>
            <w:noWrap/>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hAnsiTheme="majorHAnsi"/>
              </w:rPr>
              <w:t>3</w:t>
            </w:r>
          </w:p>
        </w:tc>
        <w:tc>
          <w:tcPr>
            <w:tcW w:w="406" w:type="pct"/>
            <w:tcBorders>
              <w:bottom w:val="single" w:sz="4" w:space="0" w:color="auto"/>
            </w:tcBorders>
            <w:shd w:val="clear" w:color="auto" w:fill="FF0000"/>
            <w:noWrap/>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hAnsiTheme="majorHAnsi"/>
              </w:rPr>
              <w:t>3</w:t>
            </w:r>
          </w:p>
        </w:tc>
        <w:tc>
          <w:tcPr>
            <w:tcW w:w="409" w:type="pct"/>
            <w:tcBorders>
              <w:bottom w:val="single" w:sz="4" w:space="0" w:color="auto"/>
            </w:tcBorders>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hAnsiTheme="majorHAnsi"/>
              </w:rPr>
              <w:t>4</w:t>
            </w:r>
          </w:p>
        </w:tc>
        <w:tc>
          <w:tcPr>
            <w:tcW w:w="406" w:type="pct"/>
            <w:tcBorders>
              <w:bottom w:val="single" w:sz="4" w:space="0" w:color="auto"/>
            </w:tcBorders>
            <w:shd w:val="clear" w:color="auto" w:fill="FFC000"/>
            <w:noWrap/>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hAnsiTheme="majorHAnsi"/>
              </w:rPr>
              <w:t>2</w:t>
            </w:r>
          </w:p>
        </w:tc>
        <w:tc>
          <w:tcPr>
            <w:tcW w:w="403" w:type="pct"/>
            <w:tcBorders>
              <w:bottom w:val="single" w:sz="4" w:space="0" w:color="auto"/>
            </w:tcBorders>
            <w:shd w:val="clear" w:color="auto" w:fill="FFC000"/>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hAnsiTheme="majorHAnsi"/>
              </w:rPr>
              <w:t>3</w:t>
            </w:r>
          </w:p>
        </w:tc>
      </w:tr>
      <w:tr w:rsidR="001A18EC" w:rsidRPr="00C10BEF" w:rsidTr="000C0683">
        <w:trPr>
          <w:cnfStyle w:val="000000010000" w:firstRow="0" w:lastRow="0" w:firstColumn="0" w:lastColumn="0" w:oddVBand="0" w:evenVBand="0" w:oddHBand="0" w:evenHBand="1" w:firstRowFirstColumn="0" w:firstRowLastColumn="0" w:lastRowFirstColumn="0" w:lastRowLastColumn="0"/>
          <w:trHeight w:val="284"/>
        </w:trPr>
        <w:tc>
          <w:tcPr>
            <w:tcW w:w="793" w:type="pct"/>
            <w:vMerge/>
            <w:tcBorders>
              <w:bottom w:val="single" w:sz="4" w:space="0" w:color="auto"/>
            </w:tcBorders>
          </w:tcPr>
          <w:p w:rsidR="001A18EC" w:rsidRPr="00C10BEF" w:rsidRDefault="001A18EC" w:rsidP="00226A83">
            <w:pPr>
              <w:keepLines/>
              <w:spacing w:before="40" w:after="40" w:line="200" w:lineRule="atLeast"/>
              <w:rPr>
                <w:rFonts w:asciiTheme="majorHAnsi" w:eastAsia="Times New Roman" w:hAnsiTheme="majorHAnsi"/>
                <w:iCs/>
                <w:szCs w:val="17"/>
              </w:rPr>
            </w:pPr>
          </w:p>
        </w:tc>
        <w:tc>
          <w:tcPr>
            <w:tcW w:w="800" w:type="pct"/>
            <w:gridSpan w:val="2"/>
            <w:vMerge/>
            <w:tcBorders>
              <w:bottom w:val="single" w:sz="4" w:space="0" w:color="auto"/>
            </w:tcBorders>
          </w:tcPr>
          <w:p w:rsidR="001A18EC" w:rsidRPr="00C10BEF" w:rsidRDefault="001A18EC" w:rsidP="000C0683">
            <w:pPr>
              <w:keepLines/>
              <w:spacing w:before="40" w:after="40" w:line="200" w:lineRule="atLeast"/>
              <w:rPr>
                <w:rFonts w:asciiTheme="majorHAnsi" w:eastAsia="Times New Roman" w:hAnsiTheme="majorHAnsi"/>
                <w:iCs/>
                <w:szCs w:val="17"/>
              </w:rPr>
            </w:pPr>
          </w:p>
        </w:tc>
        <w:tc>
          <w:tcPr>
            <w:tcW w:w="406" w:type="pct"/>
            <w:vMerge/>
            <w:tcBorders>
              <w:bottom w:val="single" w:sz="4" w:space="0" w:color="auto"/>
            </w:tcBorders>
          </w:tcPr>
          <w:p w:rsidR="001A18EC" w:rsidRPr="00C10BEF" w:rsidRDefault="001A18EC" w:rsidP="00226A83">
            <w:pPr>
              <w:keepLines/>
              <w:spacing w:before="40" w:after="40" w:line="200" w:lineRule="atLeast"/>
              <w:rPr>
                <w:rFonts w:asciiTheme="majorHAnsi" w:eastAsia="Times New Roman" w:hAnsiTheme="majorHAnsi"/>
                <w:iCs/>
                <w:szCs w:val="17"/>
              </w:rPr>
            </w:pPr>
          </w:p>
        </w:tc>
        <w:tc>
          <w:tcPr>
            <w:tcW w:w="407" w:type="pct"/>
            <w:tcBorders>
              <w:bottom w:val="single" w:sz="4" w:space="0" w:color="auto"/>
            </w:tcBorders>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eastAsia="Times New Roman" w:hAnsiTheme="majorHAnsi"/>
                <w:iCs/>
                <w:szCs w:val="17"/>
                <w:lang w:eastAsia="en-US"/>
              </w:rPr>
              <w:t>4</w:t>
            </w:r>
          </w:p>
        </w:tc>
        <w:tc>
          <w:tcPr>
            <w:tcW w:w="406" w:type="pct"/>
            <w:tcBorders>
              <w:bottom w:val="single" w:sz="4" w:space="0" w:color="auto"/>
            </w:tcBorders>
            <w:shd w:val="clear" w:color="auto" w:fill="FFC000"/>
            <w:noWrap/>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eastAsia="Times New Roman" w:hAnsiTheme="majorHAnsi"/>
                <w:iCs/>
                <w:szCs w:val="17"/>
                <w:lang w:eastAsia="en-US"/>
              </w:rPr>
              <w:t>3</w:t>
            </w:r>
          </w:p>
        </w:tc>
        <w:tc>
          <w:tcPr>
            <w:tcW w:w="409" w:type="pct"/>
            <w:tcBorders>
              <w:bottom w:val="single" w:sz="4" w:space="0" w:color="auto"/>
            </w:tcBorders>
            <w:shd w:val="clear" w:color="auto" w:fill="FFC000"/>
            <w:noWrap/>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eastAsia="Times New Roman" w:hAnsiTheme="majorHAnsi"/>
                <w:iCs/>
                <w:szCs w:val="17"/>
                <w:lang w:eastAsia="en-US"/>
              </w:rPr>
              <w:t>3</w:t>
            </w:r>
          </w:p>
        </w:tc>
        <w:tc>
          <w:tcPr>
            <w:tcW w:w="406" w:type="pct"/>
            <w:tcBorders>
              <w:bottom w:val="single" w:sz="4" w:space="0" w:color="auto"/>
            </w:tcBorders>
            <w:shd w:val="clear" w:color="auto" w:fill="FF0000"/>
            <w:noWrap/>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eastAsia="Times New Roman" w:hAnsiTheme="majorHAnsi"/>
                <w:iCs/>
                <w:szCs w:val="17"/>
                <w:lang w:eastAsia="en-US"/>
              </w:rPr>
              <w:t>2</w:t>
            </w:r>
          </w:p>
        </w:tc>
        <w:tc>
          <w:tcPr>
            <w:tcW w:w="409" w:type="pct"/>
            <w:tcBorders>
              <w:bottom w:val="single" w:sz="4" w:space="0" w:color="auto"/>
            </w:tcBorders>
            <w:shd w:val="clear" w:color="auto" w:fill="FFFF00"/>
            <w:noWrap/>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eastAsia="Times New Roman" w:hAnsiTheme="majorHAnsi"/>
                <w:iCs/>
                <w:szCs w:val="17"/>
                <w:lang w:eastAsia="en-US"/>
              </w:rPr>
              <w:t>4</w:t>
            </w:r>
          </w:p>
        </w:tc>
        <w:tc>
          <w:tcPr>
            <w:tcW w:w="406" w:type="pct"/>
            <w:tcBorders>
              <w:bottom w:val="single" w:sz="4" w:space="0" w:color="auto"/>
            </w:tcBorders>
            <w:shd w:val="clear" w:color="auto" w:fill="FFC000"/>
            <w:noWrap/>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eastAsia="Times New Roman" w:hAnsiTheme="majorHAnsi"/>
                <w:iCs/>
                <w:szCs w:val="17"/>
                <w:lang w:eastAsia="en-US"/>
              </w:rPr>
              <w:t>3</w:t>
            </w:r>
          </w:p>
        </w:tc>
        <w:tc>
          <w:tcPr>
            <w:tcW w:w="403" w:type="pct"/>
            <w:tcBorders>
              <w:bottom w:val="single" w:sz="4" w:space="0" w:color="auto"/>
            </w:tcBorders>
            <w:shd w:val="clear" w:color="auto" w:fill="FFC000"/>
          </w:tcPr>
          <w:p w:rsidR="001A18EC" w:rsidRPr="00C10BEF" w:rsidRDefault="001A18EC" w:rsidP="00226A83">
            <w:pPr>
              <w:keepLines/>
              <w:spacing w:before="40" w:after="40" w:line="200" w:lineRule="atLeast"/>
              <w:jc w:val="center"/>
              <w:rPr>
                <w:rFonts w:asciiTheme="majorHAnsi" w:eastAsia="Times New Roman" w:hAnsiTheme="majorHAnsi"/>
                <w:iCs/>
                <w:szCs w:val="17"/>
              </w:rPr>
            </w:pPr>
            <w:r w:rsidRPr="00C10BEF">
              <w:rPr>
                <w:rFonts w:asciiTheme="majorHAnsi" w:eastAsia="Times New Roman" w:hAnsiTheme="majorHAnsi"/>
                <w:iCs/>
                <w:szCs w:val="17"/>
                <w:lang w:eastAsia="en-US"/>
              </w:rPr>
              <w:t>3</w:t>
            </w:r>
          </w:p>
        </w:tc>
      </w:tr>
      <w:tr w:rsidR="001A18EC" w:rsidRPr="00C10BEF" w:rsidTr="000C0683">
        <w:trPr>
          <w:cnfStyle w:val="000000010000" w:firstRow="0" w:lastRow="0" w:firstColumn="0" w:lastColumn="0" w:oddVBand="0" w:evenVBand="0" w:oddHBand="0" w:evenHBand="1" w:firstRowFirstColumn="0" w:firstRowLastColumn="0" w:lastRowFirstColumn="0" w:lastRowLastColumn="0"/>
          <w:trHeight w:val="284"/>
        </w:trPr>
        <w:tc>
          <w:tcPr>
            <w:tcW w:w="884" w:type="pct"/>
            <w:gridSpan w:val="2"/>
            <w:vMerge w:val="restart"/>
          </w:tcPr>
          <w:p w:rsidR="00FA0474" w:rsidRPr="00C10BEF" w:rsidRDefault="00FA0474" w:rsidP="00D70917">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 xml:space="preserve">Economic and Public Sector Reform </w:t>
            </w:r>
          </w:p>
        </w:tc>
        <w:tc>
          <w:tcPr>
            <w:tcW w:w="709" w:type="pct"/>
            <w:vMerge w:val="restart"/>
          </w:tcPr>
          <w:p w:rsidR="00FA0474" w:rsidRPr="00C10BEF" w:rsidRDefault="00FA0474" w:rsidP="000C0683">
            <w:pPr>
              <w:autoSpaceDE w:val="0"/>
              <w:autoSpaceDN w:val="0"/>
              <w:adjustRightInd w:val="0"/>
              <w:rPr>
                <w:rFonts w:asciiTheme="majorHAnsi" w:hAnsiTheme="majorHAnsi" w:cs="Franklin Gothic Book"/>
                <w:color w:val="000000"/>
                <w:szCs w:val="17"/>
              </w:rPr>
            </w:pPr>
            <w:r w:rsidRPr="00C10BEF">
              <w:rPr>
                <w:rFonts w:asciiTheme="majorHAnsi" w:hAnsiTheme="majorHAnsi" w:cs="Franklin Gothic Book"/>
                <w:color w:val="000000"/>
                <w:szCs w:val="17"/>
              </w:rPr>
              <w:t>$</w:t>
            </w:r>
            <w:r w:rsidR="00D70917">
              <w:rPr>
                <w:rFonts w:asciiTheme="majorHAnsi" w:hAnsiTheme="majorHAnsi" w:cs="Franklin Gothic Book"/>
                <w:color w:val="000000"/>
                <w:szCs w:val="17"/>
              </w:rPr>
              <w:t>20</w:t>
            </w:r>
            <w:r w:rsidRPr="00C10BEF">
              <w:rPr>
                <w:rFonts w:asciiTheme="majorHAnsi" w:hAnsiTheme="majorHAnsi" w:cs="Franklin Gothic Book"/>
                <w:color w:val="000000"/>
                <w:szCs w:val="17"/>
              </w:rPr>
              <w:t xml:space="preserve">m </w:t>
            </w:r>
          </w:p>
          <w:p w:rsidR="00FA0474" w:rsidRPr="00C10BEF" w:rsidRDefault="00FA0474" w:rsidP="000C0683">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2012-16</w:t>
            </w:r>
          </w:p>
        </w:tc>
        <w:tc>
          <w:tcPr>
            <w:tcW w:w="406" w:type="pct"/>
          </w:tcPr>
          <w:p w:rsidR="00FA0474" w:rsidRPr="00C10BEF" w:rsidRDefault="001A18EC" w:rsidP="00226A83">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2015</w:t>
            </w:r>
            <w:r w:rsidR="00FA0474" w:rsidRPr="00C10BEF">
              <w:rPr>
                <w:rFonts w:asciiTheme="majorHAnsi" w:eastAsia="Times New Roman" w:hAnsiTheme="majorHAnsi"/>
                <w:iCs/>
                <w:szCs w:val="17"/>
                <w:lang w:eastAsia="en-US"/>
              </w:rPr>
              <w:t xml:space="preserve"> AQC</w:t>
            </w:r>
          </w:p>
        </w:tc>
        <w:tc>
          <w:tcPr>
            <w:tcW w:w="407" w:type="pct"/>
            <w:shd w:val="clear" w:color="auto" w:fill="92D050"/>
            <w:noWrap/>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6</w:t>
            </w:r>
          </w:p>
        </w:tc>
        <w:tc>
          <w:tcPr>
            <w:tcW w:w="406" w:type="pct"/>
            <w:shd w:val="clear" w:color="auto" w:fill="92D050"/>
            <w:noWrap/>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9" w:type="pct"/>
            <w:shd w:val="clear" w:color="auto" w:fill="92D050"/>
            <w:noWrap/>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6" w:type="pct"/>
            <w:shd w:val="clear" w:color="auto" w:fill="92D050"/>
            <w:noWrap/>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9" w:type="pct"/>
            <w:shd w:val="clear" w:color="auto" w:fill="92D050"/>
            <w:noWrap/>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6" w:type="pct"/>
            <w:shd w:val="clear" w:color="auto" w:fill="FFC000"/>
            <w:noWrap/>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3</w:t>
            </w:r>
          </w:p>
        </w:tc>
        <w:tc>
          <w:tcPr>
            <w:tcW w:w="403" w:type="pct"/>
            <w:shd w:val="clear" w:color="auto" w:fill="92D050"/>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r>
      <w:tr w:rsidR="001A18EC" w:rsidRPr="00C10BEF" w:rsidTr="001A18EC">
        <w:trPr>
          <w:cnfStyle w:val="000000010000" w:firstRow="0" w:lastRow="0" w:firstColumn="0" w:lastColumn="0" w:oddVBand="0" w:evenVBand="0" w:oddHBand="0" w:evenHBand="1" w:firstRowFirstColumn="0" w:firstRowLastColumn="0" w:lastRowFirstColumn="0" w:lastRowLastColumn="0"/>
          <w:trHeight w:val="284"/>
        </w:trPr>
        <w:tc>
          <w:tcPr>
            <w:tcW w:w="884" w:type="pct"/>
            <w:gridSpan w:val="2"/>
            <w:vMerge/>
          </w:tcPr>
          <w:p w:rsidR="00FA0474" w:rsidRPr="00C10BEF" w:rsidRDefault="00FA0474" w:rsidP="00226A83">
            <w:pPr>
              <w:keepLines/>
              <w:spacing w:before="40" w:after="40" w:line="200" w:lineRule="atLeast"/>
              <w:rPr>
                <w:rFonts w:asciiTheme="majorHAnsi" w:eastAsia="Times New Roman" w:hAnsiTheme="majorHAnsi"/>
                <w:iCs/>
                <w:szCs w:val="17"/>
                <w:lang w:eastAsia="en-US"/>
              </w:rPr>
            </w:pPr>
          </w:p>
        </w:tc>
        <w:tc>
          <w:tcPr>
            <w:tcW w:w="709" w:type="pct"/>
            <w:vMerge/>
          </w:tcPr>
          <w:p w:rsidR="00FA0474" w:rsidRPr="00C10BEF" w:rsidRDefault="00FA0474" w:rsidP="00226A83">
            <w:pPr>
              <w:keepLines/>
              <w:spacing w:before="40" w:after="40" w:line="200" w:lineRule="atLeast"/>
              <w:rPr>
                <w:rFonts w:asciiTheme="majorHAnsi" w:eastAsia="Times New Roman" w:hAnsiTheme="majorHAnsi"/>
                <w:iCs/>
                <w:szCs w:val="17"/>
                <w:lang w:eastAsia="en-US"/>
              </w:rPr>
            </w:pPr>
          </w:p>
        </w:tc>
        <w:tc>
          <w:tcPr>
            <w:tcW w:w="406" w:type="pct"/>
          </w:tcPr>
          <w:p w:rsidR="00FA0474" w:rsidRPr="00C10BEF" w:rsidRDefault="001A18EC" w:rsidP="00226A83">
            <w:pPr>
              <w:keepLines/>
              <w:spacing w:before="40" w:after="40" w:line="200" w:lineRule="atLeast"/>
              <w:rPr>
                <w:rFonts w:asciiTheme="majorHAnsi" w:eastAsia="Times New Roman" w:hAnsiTheme="majorHAnsi"/>
                <w:iCs/>
                <w:szCs w:val="17"/>
                <w:lang w:eastAsia="en-US"/>
              </w:rPr>
            </w:pPr>
            <w:r w:rsidRPr="00C10BEF">
              <w:rPr>
                <w:rFonts w:asciiTheme="majorHAnsi" w:eastAsia="Times New Roman" w:hAnsiTheme="majorHAnsi"/>
                <w:iCs/>
                <w:szCs w:val="17"/>
                <w:lang w:eastAsia="en-US"/>
              </w:rPr>
              <w:t>2014</w:t>
            </w:r>
            <w:r w:rsidR="00FA0474" w:rsidRPr="00C10BEF">
              <w:rPr>
                <w:rFonts w:asciiTheme="majorHAnsi" w:eastAsia="Times New Roman" w:hAnsiTheme="majorHAnsi"/>
                <w:iCs/>
                <w:szCs w:val="17"/>
                <w:lang w:eastAsia="en-US"/>
              </w:rPr>
              <w:t xml:space="preserve"> AQC</w:t>
            </w:r>
          </w:p>
        </w:tc>
        <w:tc>
          <w:tcPr>
            <w:tcW w:w="407" w:type="pct"/>
            <w:tcBorders>
              <w:bottom w:val="single" w:sz="12" w:space="0" w:color="000000" w:themeColor="text1"/>
            </w:tcBorders>
            <w:shd w:val="clear" w:color="auto" w:fill="92D050"/>
            <w:noWrap/>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6</w:t>
            </w:r>
          </w:p>
        </w:tc>
        <w:tc>
          <w:tcPr>
            <w:tcW w:w="406" w:type="pct"/>
            <w:tcBorders>
              <w:bottom w:val="single" w:sz="12" w:space="0" w:color="000000" w:themeColor="text1"/>
            </w:tcBorders>
            <w:shd w:val="clear" w:color="auto" w:fill="92D050"/>
            <w:noWrap/>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9" w:type="pct"/>
            <w:tcBorders>
              <w:bottom w:val="single" w:sz="12" w:space="0" w:color="000000" w:themeColor="text1"/>
            </w:tcBorders>
            <w:shd w:val="clear" w:color="auto" w:fill="92D050"/>
            <w:noWrap/>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6" w:type="pct"/>
            <w:tcBorders>
              <w:bottom w:val="single" w:sz="12" w:space="0" w:color="000000" w:themeColor="text1"/>
            </w:tcBorders>
            <w:shd w:val="clear" w:color="auto" w:fill="92D050"/>
            <w:noWrap/>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9" w:type="pct"/>
            <w:tcBorders>
              <w:bottom w:val="single" w:sz="12" w:space="0" w:color="000000" w:themeColor="text1"/>
            </w:tcBorders>
            <w:shd w:val="clear" w:color="auto" w:fill="92D050"/>
            <w:noWrap/>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c>
          <w:tcPr>
            <w:tcW w:w="406" w:type="pct"/>
            <w:tcBorders>
              <w:bottom w:val="single" w:sz="12" w:space="0" w:color="000000" w:themeColor="text1"/>
            </w:tcBorders>
            <w:shd w:val="clear" w:color="auto" w:fill="FF0000"/>
            <w:noWrap/>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2</w:t>
            </w:r>
          </w:p>
        </w:tc>
        <w:tc>
          <w:tcPr>
            <w:tcW w:w="403" w:type="pct"/>
            <w:tcBorders>
              <w:bottom w:val="single" w:sz="12" w:space="0" w:color="000000" w:themeColor="text1"/>
            </w:tcBorders>
            <w:shd w:val="clear" w:color="auto" w:fill="92D050"/>
          </w:tcPr>
          <w:p w:rsidR="00FA0474" w:rsidRPr="00C10BEF" w:rsidRDefault="00FA0474" w:rsidP="00226A83">
            <w:pPr>
              <w:keepLines/>
              <w:spacing w:before="40" w:after="40" w:line="200" w:lineRule="atLeast"/>
              <w:jc w:val="center"/>
              <w:rPr>
                <w:rFonts w:asciiTheme="majorHAnsi" w:eastAsia="Times New Roman" w:hAnsiTheme="majorHAnsi"/>
                <w:iCs/>
                <w:szCs w:val="17"/>
                <w:lang w:eastAsia="en-US"/>
              </w:rPr>
            </w:pPr>
            <w:r w:rsidRPr="00C10BEF">
              <w:rPr>
                <w:rFonts w:asciiTheme="majorHAnsi" w:eastAsia="Times New Roman" w:hAnsiTheme="majorHAnsi"/>
                <w:iCs/>
                <w:szCs w:val="17"/>
                <w:lang w:eastAsia="en-US"/>
              </w:rPr>
              <w:t>5</w:t>
            </w:r>
          </w:p>
        </w:tc>
      </w:tr>
    </w:tbl>
    <w:p w:rsidR="006B3124" w:rsidRDefault="006B3124"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rsidR="003C2B3B" w:rsidRDefault="003C2B3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rsidR="00A8197B" w:rsidRPr="00A8197B" w:rsidRDefault="006B3124"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br w:type="column"/>
      </w:r>
      <w:r w:rsidR="00A8197B" w:rsidRPr="00A8197B">
        <w:rPr>
          <w:rFonts w:asciiTheme="majorHAnsi" w:eastAsiaTheme="majorEastAsia" w:hAnsiTheme="majorHAnsi" w:cstheme="majorBidi"/>
          <w:caps/>
          <w:color w:val="495965" w:themeColor="text2"/>
          <w:sz w:val="38"/>
          <w:szCs w:val="26"/>
          <w:lang w:val="en-GB" w:eastAsia="en-US"/>
        </w:rPr>
        <w:lastRenderedPageBreak/>
        <w:t xml:space="preserve">FAQC ratings </w:t>
      </w:r>
    </w:p>
    <w:p w:rsidR="00A8197B" w:rsidRDefault="00A8197B" w:rsidP="00A8197B">
      <w:r w:rsidRPr="00C61187">
        <w:t>Final AQCs assess performance over the lifetime of the investment (ratings are not compared to previous years).</w:t>
      </w:r>
      <w:r w:rsidR="00C340B3">
        <w:t xml:space="preserve"> </w:t>
      </w:r>
    </w:p>
    <w:tbl>
      <w:tblPr>
        <w:tblStyle w:val="APPR"/>
        <w:tblW w:w="5000" w:type="pct"/>
        <w:tblLook w:val="0000" w:firstRow="0" w:lastRow="0" w:firstColumn="0" w:lastColumn="0" w:noHBand="0" w:noVBand="0"/>
      </w:tblPr>
      <w:tblGrid>
        <w:gridCol w:w="1825"/>
        <w:gridCol w:w="1321"/>
        <w:gridCol w:w="844"/>
        <w:gridCol w:w="848"/>
        <w:gridCol w:w="842"/>
        <w:gridCol w:w="848"/>
        <w:gridCol w:w="842"/>
        <w:gridCol w:w="848"/>
        <w:gridCol w:w="842"/>
        <w:gridCol w:w="850"/>
      </w:tblGrid>
      <w:tr w:rsidR="00732CEF" w:rsidRPr="00C61187" w:rsidTr="00732CEF">
        <w:trPr>
          <w:cnfStyle w:val="000000010000" w:firstRow="0" w:lastRow="0" w:firstColumn="0" w:lastColumn="0" w:oddVBand="0" w:evenVBand="0" w:oddHBand="0" w:evenHBand="1" w:firstRowFirstColumn="0" w:firstRowLastColumn="0" w:lastRowFirstColumn="0" w:lastRowLastColumn="0"/>
          <w:trHeight w:val="1413"/>
        </w:trPr>
        <w:tc>
          <w:tcPr>
            <w:tcW w:w="900" w:type="pct"/>
            <w:tcBorders>
              <w:top w:val="single" w:sz="12" w:space="0" w:color="000000" w:themeColor="text1"/>
              <w:bottom w:val="single" w:sz="4" w:space="0" w:color="auto"/>
            </w:tcBorders>
          </w:tcPr>
          <w:p w:rsidR="00732CEF" w:rsidRPr="003B0793" w:rsidRDefault="00732CEF" w:rsidP="0092458E">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76672" behindDoc="0" locked="0" layoutInCell="1" allowOverlap="1" wp14:anchorId="6D3FE4B9" wp14:editId="47369175">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Investment name</w:t>
            </w:r>
          </w:p>
        </w:tc>
        <w:tc>
          <w:tcPr>
            <w:tcW w:w="652" w:type="pct"/>
            <w:tcBorders>
              <w:top w:val="single" w:sz="12" w:space="0" w:color="000000" w:themeColor="text1"/>
              <w:bottom w:val="single" w:sz="4" w:space="0" w:color="auto"/>
            </w:tcBorders>
            <w:textDirection w:val="btLr"/>
          </w:tcPr>
          <w:p w:rsidR="00732CEF" w:rsidRPr="003B0793" w:rsidRDefault="00732CEF" w:rsidP="0092458E">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Approved budget and duration</w:t>
            </w:r>
          </w:p>
        </w:tc>
        <w:tc>
          <w:tcPr>
            <w:tcW w:w="412" w:type="pct"/>
            <w:tcBorders>
              <w:top w:val="single" w:sz="12" w:space="0" w:color="000000" w:themeColor="text1"/>
              <w:bottom w:val="single" w:sz="4" w:space="0" w:color="auto"/>
            </w:tcBorders>
            <w:textDirection w:val="btLr"/>
          </w:tcPr>
          <w:p w:rsidR="00732CEF" w:rsidRPr="003B0793" w:rsidRDefault="00B91B63" w:rsidP="0092458E">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Overall rating</w:t>
            </w:r>
          </w:p>
        </w:tc>
        <w:tc>
          <w:tcPr>
            <w:tcW w:w="414" w:type="pct"/>
            <w:tcBorders>
              <w:top w:val="single" w:sz="12" w:space="0" w:color="000000" w:themeColor="text1"/>
              <w:bottom w:val="single" w:sz="4" w:space="0" w:color="auto"/>
            </w:tcBorders>
            <w:textDirection w:val="btLr"/>
          </w:tcPr>
          <w:p w:rsidR="00732CEF" w:rsidRPr="003B0793" w:rsidRDefault="00732CEF" w:rsidP="0092458E">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Relevance</w:t>
            </w:r>
          </w:p>
        </w:tc>
        <w:tc>
          <w:tcPr>
            <w:tcW w:w="411" w:type="pct"/>
            <w:tcBorders>
              <w:top w:val="single" w:sz="12" w:space="0" w:color="000000" w:themeColor="text1"/>
              <w:bottom w:val="single" w:sz="4" w:space="0" w:color="auto"/>
            </w:tcBorders>
            <w:textDirection w:val="btLr"/>
          </w:tcPr>
          <w:p w:rsidR="00732CEF" w:rsidRPr="003B0793" w:rsidRDefault="00732CEF" w:rsidP="0092458E">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Effectiveness</w:t>
            </w:r>
          </w:p>
        </w:tc>
        <w:tc>
          <w:tcPr>
            <w:tcW w:w="414" w:type="pct"/>
            <w:tcBorders>
              <w:top w:val="single" w:sz="12" w:space="0" w:color="000000" w:themeColor="text1"/>
              <w:bottom w:val="single" w:sz="4" w:space="0" w:color="auto"/>
            </w:tcBorders>
            <w:textDirection w:val="btLr"/>
          </w:tcPr>
          <w:p w:rsidR="00732CEF" w:rsidRPr="003B0793" w:rsidRDefault="00732CEF" w:rsidP="0092458E">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Efficiency</w:t>
            </w:r>
          </w:p>
        </w:tc>
        <w:tc>
          <w:tcPr>
            <w:tcW w:w="411" w:type="pct"/>
            <w:tcBorders>
              <w:top w:val="single" w:sz="12" w:space="0" w:color="000000" w:themeColor="text1"/>
              <w:bottom w:val="single" w:sz="4" w:space="0" w:color="auto"/>
            </w:tcBorders>
            <w:textDirection w:val="btLr"/>
          </w:tcPr>
          <w:p w:rsidR="00732CEF" w:rsidRPr="003B0793" w:rsidRDefault="00732CEF" w:rsidP="0092458E">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Monitoring and Evaluation</w:t>
            </w:r>
          </w:p>
        </w:tc>
        <w:tc>
          <w:tcPr>
            <w:tcW w:w="414" w:type="pct"/>
            <w:tcBorders>
              <w:top w:val="single" w:sz="12" w:space="0" w:color="000000" w:themeColor="text1"/>
              <w:bottom w:val="single" w:sz="4" w:space="0" w:color="auto"/>
            </w:tcBorders>
            <w:textDirection w:val="btLr"/>
          </w:tcPr>
          <w:p w:rsidR="00732CEF" w:rsidRPr="003B0793" w:rsidRDefault="00732CEF" w:rsidP="0092458E">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Sustainability</w:t>
            </w:r>
          </w:p>
        </w:tc>
        <w:tc>
          <w:tcPr>
            <w:tcW w:w="411" w:type="pct"/>
            <w:tcBorders>
              <w:top w:val="single" w:sz="12" w:space="0" w:color="000000" w:themeColor="text1"/>
              <w:bottom w:val="single" w:sz="4" w:space="0" w:color="auto"/>
            </w:tcBorders>
            <w:textDirection w:val="btLr"/>
          </w:tcPr>
          <w:p w:rsidR="00732CEF" w:rsidRPr="003B0793" w:rsidRDefault="00732CEF" w:rsidP="0092458E">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Gender equality</w:t>
            </w:r>
          </w:p>
        </w:tc>
        <w:tc>
          <w:tcPr>
            <w:tcW w:w="408" w:type="pct"/>
            <w:tcBorders>
              <w:top w:val="single" w:sz="12" w:space="0" w:color="000000" w:themeColor="text1"/>
              <w:bottom w:val="single" w:sz="4" w:space="0" w:color="auto"/>
            </w:tcBorders>
            <w:textDirection w:val="btLr"/>
          </w:tcPr>
          <w:p w:rsidR="00732CEF" w:rsidRPr="003B0793" w:rsidRDefault="00732CEF" w:rsidP="0092458E">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Risks  and Safeguards</w:t>
            </w:r>
          </w:p>
        </w:tc>
      </w:tr>
      <w:tr w:rsidR="00B91B63" w:rsidRPr="003B0793" w:rsidTr="00B91B63">
        <w:trPr>
          <w:cnfStyle w:val="000000010000" w:firstRow="0" w:lastRow="0" w:firstColumn="0" w:lastColumn="0" w:oddVBand="0" w:evenVBand="0" w:oddHBand="0" w:evenHBand="1" w:firstRowFirstColumn="0" w:firstRowLastColumn="0" w:lastRowFirstColumn="0" w:lastRowLastColumn="0"/>
          <w:trHeight w:val="284"/>
        </w:trPr>
        <w:tc>
          <w:tcPr>
            <w:tcW w:w="900" w:type="pct"/>
          </w:tcPr>
          <w:p w:rsidR="00B91B63" w:rsidRPr="003B0793" w:rsidRDefault="00B91B63" w:rsidP="0092458E">
            <w:pPr>
              <w:keepLines/>
              <w:spacing w:before="40" w:after="40" w:line="200" w:lineRule="atLeast"/>
              <w:rPr>
                <w:rFonts w:asciiTheme="minorHAnsi" w:eastAsia="Times New Roman" w:hAnsiTheme="minorHAnsi"/>
                <w:iCs/>
                <w:szCs w:val="17"/>
                <w:lang w:eastAsia="en-US"/>
              </w:rPr>
            </w:pPr>
            <w:r w:rsidRPr="003707C3">
              <w:rPr>
                <w:rFonts w:asciiTheme="minorHAnsi" w:eastAsia="Times New Roman" w:hAnsiTheme="minorHAnsi"/>
                <w:iCs/>
                <w:szCs w:val="17"/>
                <w:lang w:eastAsia="en-US"/>
              </w:rPr>
              <w:t>Tonga Health Systems Support Program</w:t>
            </w:r>
          </w:p>
        </w:tc>
        <w:tc>
          <w:tcPr>
            <w:tcW w:w="652" w:type="pct"/>
          </w:tcPr>
          <w:p w:rsidR="00B91B63" w:rsidRPr="003B0793" w:rsidRDefault="00B91B63" w:rsidP="0092458E">
            <w:pPr>
              <w:autoSpaceDE w:val="0"/>
              <w:autoSpaceDN w:val="0"/>
              <w:adjustRightInd w:val="0"/>
              <w:rPr>
                <w:rFonts w:asciiTheme="minorHAnsi" w:hAnsiTheme="minorHAnsi" w:cs="Franklin Gothic Book"/>
                <w:color w:val="000000"/>
                <w:szCs w:val="17"/>
              </w:rPr>
            </w:pPr>
            <w:r w:rsidRPr="003B0793">
              <w:rPr>
                <w:rFonts w:asciiTheme="minorHAnsi" w:hAnsiTheme="minorHAnsi" w:cs="Franklin Gothic Book"/>
                <w:color w:val="000000"/>
                <w:szCs w:val="17"/>
              </w:rPr>
              <w:t>$</w:t>
            </w:r>
            <w:r>
              <w:rPr>
                <w:rFonts w:asciiTheme="minorHAnsi" w:hAnsiTheme="minorHAnsi" w:cs="Franklin Gothic Book"/>
                <w:color w:val="000000"/>
                <w:szCs w:val="17"/>
              </w:rPr>
              <w:t>10</w:t>
            </w:r>
            <w:r w:rsidRPr="003B0793">
              <w:rPr>
                <w:rFonts w:asciiTheme="minorHAnsi" w:hAnsiTheme="minorHAnsi" w:cs="Franklin Gothic Book"/>
                <w:color w:val="000000"/>
                <w:szCs w:val="17"/>
              </w:rPr>
              <w:t xml:space="preserve">m </w:t>
            </w:r>
          </w:p>
          <w:p w:rsidR="00B91B63" w:rsidRPr="003B0793" w:rsidRDefault="00B91B63" w:rsidP="0092458E">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w:t>
            </w:r>
            <w:r>
              <w:rPr>
                <w:rFonts w:asciiTheme="minorHAnsi" w:eastAsia="Times New Roman" w:hAnsiTheme="minorHAnsi"/>
                <w:iCs/>
                <w:szCs w:val="17"/>
                <w:lang w:eastAsia="en-US"/>
              </w:rPr>
              <w:t>09</w:t>
            </w:r>
            <w:r w:rsidRPr="003B0793">
              <w:rPr>
                <w:rFonts w:asciiTheme="minorHAnsi" w:eastAsia="Times New Roman" w:hAnsiTheme="minorHAnsi"/>
                <w:iCs/>
                <w:szCs w:val="17"/>
                <w:lang w:eastAsia="en-US"/>
              </w:rPr>
              <w:t>-1</w:t>
            </w:r>
            <w:r>
              <w:rPr>
                <w:rFonts w:asciiTheme="minorHAnsi" w:eastAsia="Times New Roman" w:hAnsiTheme="minorHAnsi"/>
                <w:iCs/>
                <w:szCs w:val="17"/>
                <w:lang w:eastAsia="en-US"/>
              </w:rPr>
              <w:t>6</w:t>
            </w:r>
          </w:p>
        </w:tc>
        <w:tc>
          <w:tcPr>
            <w:tcW w:w="412" w:type="pct"/>
            <w:shd w:val="clear" w:color="auto" w:fill="92D050"/>
          </w:tcPr>
          <w:p w:rsidR="00B91B63" w:rsidRPr="003B0793" w:rsidRDefault="00B91B63" w:rsidP="00C60F5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tcBorders>
              <w:top w:val="single" w:sz="4" w:space="0" w:color="auto"/>
            </w:tcBorders>
            <w:shd w:val="clear" w:color="auto" w:fill="92D050"/>
            <w:noWrap/>
          </w:tcPr>
          <w:p w:rsidR="00B91B63" w:rsidRPr="003B0793" w:rsidRDefault="00B91B63"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top w:val="single" w:sz="4" w:space="0" w:color="auto"/>
            </w:tcBorders>
            <w:shd w:val="clear" w:color="auto" w:fill="92D050"/>
            <w:noWrap/>
          </w:tcPr>
          <w:p w:rsidR="00B91B63" w:rsidRPr="003B0793" w:rsidRDefault="00B91B63"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tcBorders>
              <w:top w:val="single" w:sz="4" w:space="0" w:color="auto"/>
            </w:tcBorders>
            <w:shd w:val="clear" w:color="auto" w:fill="92D050"/>
            <w:noWrap/>
          </w:tcPr>
          <w:p w:rsidR="00B91B63" w:rsidRPr="003B0793" w:rsidRDefault="00B91B63"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top w:val="single" w:sz="4" w:space="0" w:color="auto"/>
            </w:tcBorders>
            <w:shd w:val="clear" w:color="auto" w:fill="92D050"/>
            <w:noWrap/>
          </w:tcPr>
          <w:p w:rsidR="00B91B63" w:rsidRPr="003B0793" w:rsidRDefault="00B91B63"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tcBorders>
              <w:top w:val="single" w:sz="4" w:space="0" w:color="auto"/>
            </w:tcBorders>
            <w:shd w:val="clear" w:color="auto" w:fill="92D050"/>
            <w:noWrap/>
          </w:tcPr>
          <w:p w:rsidR="00B91B63" w:rsidRPr="003B0793" w:rsidRDefault="00B91B63"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top w:val="single" w:sz="4" w:space="0" w:color="auto"/>
            </w:tcBorders>
            <w:shd w:val="clear" w:color="auto" w:fill="92D050"/>
            <w:noWrap/>
          </w:tcPr>
          <w:p w:rsidR="00B91B63" w:rsidRPr="003B0793" w:rsidRDefault="00B91B63"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8" w:type="pct"/>
            <w:tcBorders>
              <w:top w:val="single" w:sz="4" w:space="0" w:color="auto"/>
            </w:tcBorders>
            <w:shd w:val="clear" w:color="auto" w:fill="92D050"/>
          </w:tcPr>
          <w:p w:rsidR="00B91B63" w:rsidRPr="003B0793" w:rsidRDefault="00B91B63"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732CEF" w:rsidRPr="003B0793" w:rsidTr="00836156">
        <w:trPr>
          <w:cnfStyle w:val="000000010000" w:firstRow="0" w:lastRow="0" w:firstColumn="0" w:lastColumn="0" w:oddVBand="0" w:evenVBand="0" w:oddHBand="0" w:evenHBand="1" w:firstRowFirstColumn="0" w:firstRowLastColumn="0" w:lastRowFirstColumn="0" w:lastRowLastColumn="0"/>
          <w:trHeight w:val="284"/>
        </w:trPr>
        <w:tc>
          <w:tcPr>
            <w:tcW w:w="900" w:type="pct"/>
          </w:tcPr>
          <w:p w:rsidR="00732CEF" w:rsidRPr="003B0793" w:rsidRDefault="00732CEF" w:rsidP="0092458E">
            <w:pPr>
              <w:keepLines/>
              <w:spacing w:before="40" w:after="40" w:line="200" w:lineRule="atLeast"/>
              <w:rPr>
                <w:rFonts w:asciiTheme="minorHAnsi" w:eastAsia="Times New Roman" w:hAnsiTheme="minorHAnsi"/>
                <w:iCs/>
                <w:szCs w:val="17"/>
                <w:lang w:eastAsia="en-US"/>
              </w:rPr>
            </w:pPr>
            <w:r w:rsidRPr="007D7733">
              <w:rPr>
                <w:rFonts w:asciiTheme="minorHAnsi" w:eastAsia="Times New Roman" w:hAnsiTheme="minorHAnsi"/>
                <w:iCs/>
                <w:szCs w:val="17"/>
                <w:lang w:eastAsia="en-US"/>
              </w:rPr>
              <w:t>Tonga Education Support Program 2 (TESP2)</w:t>
            </w:r>
          </w:p>
        </w:tc>
        <w:tc>
          <w:tcPr>
            <w:tcW w:w="652" w:type="pct"/>
          </w:tcPr>
          <w:p w:rsidR="00732CEF" w:rsidRPr="003B0793" w:rsidRDefault="00732CEF" w:rsidP="0092458E">
            <w:pPr>
              <w:autoSpaceDE w:val="0"/>
              <w:autoSpaceDN w:val="0"/>
              <w:adjustRightInd w:val="0"/>
              <w:rPr>
                <w:rFonts w:asciiTheme="minorHAnsi" w:hAnsiTheme="minorHAnsi" w:cs="Franklin Gothic Book"/>
                <w:color w:val="000000"/>
                <w:szCs w:val="17"/>
              </w:rPr>
            </w:pPr>
            <w:r w:rsidRPr="003B0793">
              <w:rPr>
                <w:rFonts w:asciiTheme="minorHAnsi" w:hAnsiTheme="minorHAnsi" w:cs="Franklin Gothic Book"/>
                <w:color w:val="000000"/>
                <w:szCs w:val="17"/>
              </w:rPr>
              <w:t>$</w:t>
            </w:r>
            <w:r>
              <w:rPr>
                <w:rFonts w:asciiTheme="minorHAnsi" w:hAnsiTheme="minorHAnsi" w:cs="Franklin Gothic Book"/>
                <w:color w:val="000000"/>
                <w:szCs w:val="17"/>
              </w:rPr>
              <w:t>6.6</w:t>
            </w:r>
            <w:r w:rsidRPr="003B0793">
              <w:rPr>
                <w:rFonts w:asciiTheme="minorHAnsi" w:hAnsiTheme="minorHAnsi" w:cs="Franklin Gothic Book"/>
                <w:color w:val="000000"/>
                <w:szCs w:val="17"/>
              </w:rPr>
              <w:t xml:space="preserve">m </w:t>
            </w:r>
          </w:p>
          <w:p w:rsidR="00732CEF" w:rsidRPr="003B0793" w:rsidRDefault="00732CEF" w:rsidP="0092458E">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w:t>
            </w:r>
            <w:r>
              <w:rPr>
                <w:rFonts w:asciiTheme="minorHAnsi" w:eastAsia="Times New Roman" w:hAnsiTheme="minorHAnsi"/>
                <w:iCs/>
                <w:szCs w:val="17"/>
                <w:lang w:eastAsia="en-US"/>
              </w:rPr>
              <w:t>13</w:t>
            </w:r>
            <w:r w:rsidRPr="003B0793">
              <w:rPr>
                <w:rFonts w:asciiTheme="minorHAnsi" w:eastAsia="Times New Roman" w:hAnsiTheme="minorHAnsi"/>
                <w:iCs/>
                <w:szCs w:val="17"/>
                <w:lang w:eastAsia="en-US"/>
              </w:rPr>
              <w:t>-1</w:t>
            </w:r>
            <w:r>
              <w:rPr>
                <w:rFonts w:asciiTheme="minorHAnsi" w:eastAsia="Times New Roman" w:hAnsiTheme="minorHAnsi"/>
                <w:iCs/>
                <w:szCs w:val="17"/>
                <w:lang w:eastAsia="en-US"/>
              </w:rPr>
              <w:t>6</w:t>
            </w:r>
          </w:p>
        </w:tc>
        <w:tc>
          <w:tcPr>
            <w:tcW w:w="412" w:type="pct"/>
            <w:shd w:val="clear" w:color="auto" w:fill="FFC000"/>
          </w:tcPr>
          <w:p w:rsidR="00732CEF" w:rsidRPr="00B91B63" w:rsidRDefault="00836156" w:rsidP="00B91B63">
            <w:pPr>
              <w:keepLines/>
              <w:spacing w:before="40" w:after="40" w:line="200" w:lineRule="atLeast"/>
              <w:jc w:val="center"/>
              <w:rPr>
                <w:rFonts w:asciiTheme="minorHAnsi" w:eastAsia="Times New Roman" w:hAnsiTheme="minorHAnsi"/>
                <w:iCs/>
                <w:szCs w:val="17"/>
                <w:highlight w:val="yellow"/>
                <w:lang w:eastAsia="en-US"/>
              </w:rPr>
            </w:pPr>
            <w:r w:rsidRPr="00836156">
              <w:rPr>
                <w:rFonts w:asciiTheme="minorHAnsi" w:eastAsia="Times New Roman" w:hAnsiTheme="minorHAnsi"/>
                <w:iCs/>
                <w:szCs w:val="17"/>
                <w:lang w:eastAsia="en-US"/>
              </w:rPr>
              <w:t>3</w:t>
            </w:r>
          </w:p>
        </w:tc>
        <w:tc>
          <w:tcPr>
            <w:tcW w:w="414" w:type="pct"/>
            <w:shd w:val="clear" w:color="auto" w:fill="FFFF00"/>
            <w:noWrap/>
          </w:tcPr>
          <w:p w:rsidR="00732CEF" w:rsidRPr="003B0793" w:rsidRDefault="00732CEF"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C000"/>
            <w:noWrap/>
          </w:tcPr>
          <w:p w:rsidR="00732CEF" w:rsidRPr="003B0793" w:rsidRDefault="00732CEF"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FFC000"/>
            <w:noWrap/>
          </w:tcPr>
          <w:p w:rsidR="00732CEF" w:rsidRPr="003B0793" w:rsidRDefault="00732CEF"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shd w:val="clear" w:color="auto" w:fill="FFC000"/>
            <w:noWrap/>
          </w:tcPr>
          <w:p w:rsidR="00732CEF" w:rsidRPr="003B0793" w:rsidRDefault="00732CEF"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FFC000"/>
            <w:noWrap/>
          </w:tcPr>
          <w:p w:rsidR="00732CEF" w:rsidRPr="003B0793" w:rsidRDefault="00732CEF"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shd w:val="clear" w:color="auto" w:fill="FFFF00"/>
            <w:noWrap/>
          </w:tcPr>
          <w:p w:rsidR="00732CEF" w:rsidRPr="003B0793" w:rsidRDefault="00732CEF"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92D050"/>
          </w:tcPr>
          <w:p w:rsidR="00732CEF" w:rsidRPr="003B0793" w:rsidRDefault="00732CEF" w:rsidP="0092458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1530D1" w:rsidRPr="00C61187" w:rsidTr="00836156">
        <w:trPr>
          <w:cnfStyle w:val="000000010000" w:firstRow="0" w:lastRow="0" w:firstColumn="0" w:lastColumn="0" w:oddVBand="0" w:evenVBand="0" w:oddHBand="0" w:evenHBand="1" w:firstRowFirstColumn="0" w:firstRowLastColumn="0" w:lastRowFirstColumn="0" w:lastRowLastColumn="0"/>
          <w:trHeight w:val="284"/>
        </w:trPr>
        <w:tc>
          <w:tcPr>
            <w:tcW w:w="900" w:type="pct"/>
          </w:tcPr>
          <w:p w:rsidR="001530D1" w:rsidRPr="003B0793" w:rsidRDefault="001530D1" w:rsidP="00C60F5A">
            <w:pPr>
              <w:keepLines/>
              <w:spacing w:before="40" w:after="40" w:line="200" w:lineRule="atLeast"/>
              <w:rPr>
                <w:rFonts w:asciiTheme="minorHAnsi" w:eastAsia="Times New Roman" w:hAnsiTheme="minorHAnsi"/>
                <w:iCs/>
                <w:szCs w:val="17"/>
                <w:lang w:eastAsia="en-US"/>
              </w:rPr>
            </w:pPr>
            <w:r w:rsidRPr="00F90019">
              <w:rPr>
                <w:rFonts w:asciiTheme="minorHAnsi" w:eastAsia="Times New Roman" w:hAnsiTheme="minorHAnsi"/>
                <w:iCs/>
                <w:szCs w:val="17"/>
                <w:lang w:eastAsia="en-US"/>
              </w:rPr>
              <w:t>Transport Sector Consolidation Project</w:t>
            </w:r>
          </w:p>
        </w:tc>
        <w:tc>
          <w:tcPr>
            <w:tcW w:w="652" w:type="pct"/>
          </w:tcPr>
          <w:p w:rsidR="001530D1" w:rsidRPr="003B0793" w:rsidRDefault="001530D1" w:rsidP="00C60F5A">
            <w:pPr>
              <w:autoSpaceDE w:val="0"/>
              <w:autoSpaceDN w:val="0"/>
              <w:adjustRightInd w:val="0"/>
              <w:rPr>
                <w:rFonts w:asciiTheme="minorHAnsi" w:hAnsiTheme="minorHAnsi" w:cs="Franklin Gothic Book"/>
                <w:color w:val="000000"/>
                <w:szCs w:val="17"/>
              </w:rPr>
            </w:pPr>
            <w:r w:rsidRPr="003B0793">
              <w:rPr>
                <w:rFonts w:asciiTheme="minorHAnsi" w:hAnsiTheme="minorHAnsi" w:cs="Franklin Gothic Book"/>
                <w:color w:val="000000"/>
                <w:szCs w:val="17"/>
              </w:rPr>
              <w:t>$</w:t>
            </w:r>
            <w:r>
              <w:rPr>
                <w:rFonts w:asciiTheme="minorHAnsi" w:hAnsiTheme="minorHAnsi" w:cs="Franklin Gothic Book"/>
                <w:color w:val="000000"/>
                <w:szCs w:val="17"/>
              </w:rPr>
              <w:t>6</w:t>
            </w:r>
            <w:r w:rsidRPr="003B0793">
              <w:rPr>
                <w:rFonts w:asciiTheme="minorHAnsi" w:hAnsiTheme="minorHAnsi" w:cs="Franklin Gothic Book"/>
                <w:color w:val="000000"/>
                <w:szCs w:val="17"/>
              </w:rPr>
              <w:t xml:space="preserve">m </w:t>
            </w:r>
          </w:p>
          <w:p w:rsidR="001530D1" w:rsidRPr="003B0793" w:rsidRDefault="001530D1" w:rsidP="00C60F5A">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w:t>
            </w:r>
            <w:r>
              <w:rPr>
                <w:rFonts w:asciiTheme="minorHAnsi" w:eastAsia="Times New Roman" w:hAnsiTheme="minorHAnsi"/>
                <w:iCs/>
                <w:szCs w:val="17"/>
                <w:lang w:eastAsia="en-US"/>
              </w:rPr>
              <w:t>09</w:t>
            </w:r>
            <w:r w:rsidRPr="003B0793">
              <w:rPr>
                <w:rFonts w:asciiTheme="minorHAnsi" w:eastAsia="Times New Roman" w:hAnsiTheme="minorHAnsi"/>
                <w:iCs/>
                <w:szCs w:val="17"/>
                <w:lang w:eastAsia="en-US"/>
              </w:rPr>
              <w:t>-1</w:t>
            </w:r>
            <w:r>
              <w:rPr>
                <w:rFonts w:asciiTheme="minorHAnsi" w:eastAsia="Times New Roman" w:hAnsiTheme="minorHAnsi"/>
                <w:iCs/>
                <w:szCs w:val="17"/>
                <w:lang w:eastAsia="en-US"/>
              </w:rPr>
              <w:t>6</w:t>
            </w:r>
            <w:r w:rsidRPr="003B0793">
              <w:rPr>
                <w:rFonts w:asciiTheme="minorHAnsi" w:eastAsia="Times New Roman" w:hAnsiTheme="minorHAnsi"/>
                <w:iCs/>
                <w:szCs w:val="17"/>
                <w:lang w:eastAsia="en-US"/>
              </w:rPr>
              <w:t xml:space="preserve"> </w:t>
            </w:r>
          </w:p>
        </w:tc>
        <w:tc>
          <w:tcPr>
            <w:tcW w:w="412" w:type="pct"/>
            <w:shd w:val="clear" w:color="auto" w:fill="FFFF00"/>
          </w:tcPr>
          <w:p w:rsidR="001530D1" w:rsidRPr="003B0793" w:rsidRDefault="00836156" w:rsidP="00B91B6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FFFF00"/>
            <w:noWrap/>
          </w:tcPr>
          <w:p w:rsidR="001530D1" w:rsidRPr="003B0793" w:rsidRDefault="001530D1" w:rsidP="00C60F5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rsidR="001530D1" w:rsidRPr="003B0793" w:rsidRDefault="001530D1" w:rsidP="00C60F5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FFC000"/>
            <w:noWrap/>
          </w:tcPr>
          <w:p w:rsidR="001530D1" w:rsidRPr="003B0793" w:rsidRDefault="001530D1" w:rsidP="00C60F5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shd w:val="clear" w:color="auto" w:fill="FFC000"/>
            <w:noWrap/>
          </w:tcPr>
          <w:p w:rsidR="001530D1" w:rsidRPr="003B0793" w:rsidRDefault="001530D1" w:rsidP="00C60F5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FFC000"/>
            <w:noWrap/>
          </w:tcPr>
          <w:p w:rsidR="001530D1" w:rsidRPr="003B0793" w:rsidRDefault="001530D1" w:rsidP="00C60F5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shd w:val="clear" w:color="auto" w:fill="FFC000"/>
            <w:noWrap/>
          </w:tcPr>
          <w:p w:rsidR="001530D1" w:rsidRPr="003B0793" w:rsidRDefault="001530D1" w:rsidP="00C60F5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08" w:type="pct"/>
            <w:shd w:val="clear" w:color="auto" w:fill="FFFF00"/>
          </w:tcPr>
          <w:p w:rsidR="001530D1" w:rsidRPr="003B0793" w:rsidRDefault="001530D1" w:rsidP="00C60F5A">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r>
    </w:tbl>
    <w:p w:rsidR="00732CEF" w:rsidRPr="00C61187" w:rsidRDefault="00732CEF" w:rsidP="00732CEF">
      <w:pPr>
        <w:rPr>
          <w:iCs/>
        </w:rPr>
      </w:pPr>
    </w:p>
    <w:p w:rsidR="00A8197B" w:rsidRPr="003B0793" w:rsidRDefault="00A8197B" w:rsidP="00A8197B">
      <w:pPr>
        <w:spacing w:before="20" w:after="20" w:line="180" w:lineRule="atLeast"/>
        <w:jc w:val="both"/>
        <w:rPr>
          <w:rFonts w:eastAsia="Times New Roman"/>
          <w:b/>
          <w:sz w:val="16"/>
          <w:szCs w:val="14"/>
        </w:rPr>
      </w:pPr>
      <w:r w:rsidRPr="003B0793">
        <w:rPr>
          <w:rFonts w:eastAsia="Times New Roman"/>
          <w:b/>
          <w:sz w:val="16"/>
          <w:szCs w:val="14"/>
        </w:rPr>
        <w:t>Definitions of rating scale:</w:t>
      </w:r>
      <w:r w:rsidRPr="003B0793">
        <w:rPr>
          <w:rFonts w:eastAsia="Times New Roman"/>
          <w:b/>
          <w:sz w:val="16"/>
          <w:szCs w:val="14"/>
        </w:rPr>
        <w:tab/>
      </w:r>
    </w:p>
    <w:p w:rsidR="00A8197B" w:rsidRPr="003B0793" w:rsidRDefault="00A8197B" w:rsidP="00A8197B">
      <w:pPr>
        <w:spacing w:before="20" w:after="20" w:line="180" w:lineRule="atLeast"/>
        <w:jc w:val="both"/>
        <w:rPr>
          <w:rFonts w:eastAsia="Times New Roman"/>
          <w:b/>
          <w:sz w:val="16"/>
          <w:szCs w:val="14"/>
        </w:rPr>
      </w:pPr>
      <w:r w:rsidRPr="003B0793">
        <w:rPr>
          <w:rFonts w:eastAsia="Times New Roman"/>
          <w:b/>
          <w:sz w:val="16"/>
          <w:szCs w:val="14"/>
        </w:rPr>
        <w:t>Satisfactory (4, 5 and 6)</w:t>
      </w:r>
    </w:p>
    <w:p w:rsidR="00A8197B" w:rsidRPr="003B0793" w:rsidRDefault="00A8197B" w:rsidP="00A8197B">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xml:space="preserve"> 6 = Very good; satisfies criteria in all areas.  </w:t>
      </w:r>
      <w:r w:rsidRPr="003B0793">
        <w:rPr>
          <w:rFonts w:eastAsia="Times New Roman"/>
          <w:b/>
          <w:color w:val="72AF2F"/>
          <w:sz w:val="16"/>
          <w:szCs w:val="14"/>
        </w:rPr>
        <w:sym w:font="Webdings" w:char="F067"/>
      </w:r>
      <w:r w:rsidRPr="003B0793">
        <w:rPr>
          <w:rFonts w:eastAsia="Times New Roman"/>
          <w:b/>
          <w:sz w:val="16"/>
          <w:szCs w:val="14"/>
        </w:rPr>
        <w:t xml:space="preserve"> 5 = Good; satisfies criteria in almost all areas.</w:t>
      </w:r>
    </w:p>
    <w:p w:rsidR="00A8197B" w:rsidRPr="003B0793" w:rsidRDefault="00A8197B" w:rsidP="00A8197B">
      <w:pPr>
        <w:spacing w:before="20" w:after="20" w:line="180" w:lineRule="atLeast"/>
        <w:jc w:val="both"/>
        <w:rPr>
          <w:rFonts w:eastAsia="Times New Roman"/>
          <w:b/>
          <w:sz w:val="16"/>
          <w:szCs w:val="14"/>
        </w:rPr>
      </w:pPr>
      <w:r w:rsidRPr="003B0793">
        <w:rPr>
          <w:rFonts w:eastAsia="Times New Roman"/>
          <w:b/>
          <w:color w:val="FFFF00"/>
          <w:sz w:val="16"/>
          <w:szCs w:val="14"/>
        </w:rPr>
        <w:sym w:font="Webdings" w:char="F067"/>
      </w:r>
      <w:r w:rsidRPr="003B0793">
        <w:rPr>
          <w:rFonts w:eastAsia="Times New Roman"/>
          <w:b/>
          <w:sz w:val="16"/>
          <w:szCs w:val="14"/>
        </w:rPr>
        <w:t xml:space="preserve"> 4 = Adequate; on balance, satisfies criteria; does not fail in any major area.</w:t>
      </w:r>
    </w:p>
    <w:p w:rsidR="00A8197B" w:rsidRPr="003B0793" w:rsidRDefault="00A8197B" w:rsidP="00A8197B">
      <w:pPr>
        <w:spacing w:before="20" w:after="20" w:line="180" w:lineRule="atLeast"/>
        <w:jc w:val="both"/>
        <w:rPr>
          <w:rFonts w:eastAsia="Times New Roman"/>
          <w:b/>
          <w:sz w:val="16"/>
          <w:szCs w:val="14"/>
        </w:rPr>
      </w:pPr>
      <w:r w:rsidRPr="003B0793">
        <w:rPr>
          <w:rFonts w:eastAsia="Times New Roman"/>
          <w:b/>
          <w:sz w:val="16"/>
          <w:szCs w:val="14"/>
        </w:rPr>
        <w:t>Less than satisfactory (1, 2 and 3)</w:t>
      </w:r>
    </w:p>
    <w:p w:rsidR="00A8197B" w:rsidRPr="003B0793" w:rsidRDefault="00A8197B" w:rsidP="00A8197B">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color w:val="E36C0A"/>
          <w:sz w:val="16"/>
          <w:szCs w:val="14"/>
        </w:rPr>
        <w:t xml:space="preserve"> </w:t>
      </w:r>
      <w:r w:rsidRPr="003B0793">
        <w:rPr>
          <w:rFonts w:eastAsia="Times New Roman"/>
          <w:b/>
          <w:sz w:val="16"/>
          <w:szCs w:val="14"/>
        </w:rPr>
        <w:t>3 = Less than adequate; on balance does not satisfy criteria and/or fails in at least one major area.</w:t>
      </w:r>
    </w:p>
    <w:p w:rsidR="00A8197B" w:rsidRPr="003B0793" w:rsidRDefault="00A8197B" w:rsidP="00A8197B">
      <w:pPr>
        <w:spacing w:before="20" w:after="20" w:line="180" w:lineRule="atLeast"/>
        <w:rPr>
          <w:sz w:val="24"/>
        </w:rPr>
      </w:pPr>
      <w:r w:rsidRPr="003B0793">
        <w:rPr>
          <w:rFonts w:eastAsia="Times New Roman"/>
          <w:b/>
          <w:color w:val="FF0000"/>
          <w:sz w:val="16"/>
          <w:szCs w:val="14"/>
        </w:rPr>
        <w:sym w:font="Webdings" w:char="F067"/>
      </w:r>
      <w:r w:rsidRPr="003B0793">
        <w:rPr>
          <w:rFonts w:eastAsia="Times New Roman"/>
          <w:b/>
          <w:sz w:val="16"/>
          <w:szCs w:val="14"/>
        </w:rPr>
        <w:t xml:space="preserve"> 2 = Poor; does not satisfy criteria in major areas.  </w:t>
      </w:r>
      <w:r w:rsidRPr="003B0793">
        <w:rPr>
          <w:rFonts w:eastAsia="Times New Roman"/>
          <w:b/>
          <w:color w:val="FF0000"/>
          <w:sz w:val="16"/>
          <w:szCs w:val="14"/>
        </w:rPr>
        <w:sym w:font="Webdings" w:char="F067"/>
      </w:r>
      <w:r w:rsidRPr="003B0793">
        <w:rPr>
          <w:rFonts w:eastAsia="Times New Roman"/>
          <w:b/>
          <w:sz w:val="16"/>
          <w:szCs w:val="14"/>
        </w:rPr>
        <w:t xml:space="preserve"> 1 = Very poor; does not satisfy criteria in many major area.</w:t>
      </w:r>
    </w:p>
    <w:p w:rsidR="00A8197B" w:rsidRPr="003B0793" w:rsidRDefault="00A8197B" w:rsidP="00A8197B">
      <w:pPr>
        <w:pStyle w:val="ListBullet"/>
        <w:tabs>
          <w:tab w:val="clear" w:pos="284"/>
        </w:tabs>
        <w:rPr>
          <w:rFonts w:asciiTheme="minorHAnsi" w:hAnsiTheme="minorHAnsi"/>
        </w:rPr>
      </w:pPr>
    </w:p>
    <w:p w:rsidR="00A8197B" w:rsidRPr="00A8197B" w:rsidRDefault="00A8197B" w:rsidP="00A8197B"/>
    <w:p w:rsidR="0059146A" w:rsidRDefault="0059146A"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C57780" w:rsidRDefault="00C57780" w:rsidP="005B5769">
      <w:pPr>
        <w:pStyle w:val="ListBullet"/>
        <w:tabs>
          <w:tab w:val="clear" w:pos="284"/>
        </w:tabs>
      </w:pPr>
    </w:p>
    <w:p w:rsidR="00015316" w:rsidRDefault="00015316" w:rsidP="005B5769">
      <w:pPr>
        <w:pStyle w:val="ListBullet"/>
        <w:tabs>
          <w:tab w:val="clear" w:pos="284"/>
        </w:tabs>
      </w:pPr>
    </w:p>
    <w:sectPr w:rsidR="00015316" w:rsidSect="005D745C">
      <w:headerReference w:type="default" r:id="rId21"/>
      <w:pgSz w:w="11906" w:h="16838" w:code="9"/>
      <w:pgMar w:top="1952" w:right="1134" w:bottom="851" w:left="1134" w:header="1560" w:footer="567"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209" w:rsidRDefault="00144209" w:rsidP="00EF4574">
      <w:pPr>
        <w:spacing w:before="0" w:after="0" w:line="240" w:lineRule="auto"/>
      </w:pPr>
      <w:r>
        <w:separator/>
      </w:r>
    </w:p>
  </w:endnote>
  <w:endnote w:type="continuationSeparator" w:id="0">
    <w:p w:rsidR="00144209" w:rsidRDefault="00144209"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74" w:rsidRDefault="00D745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74" w:rsidRDefault="00D745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74" w:rsidRDefault="00D74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209" w:rsidRPr="008C5A0E" w:rsidRDefault="00144209" w:rsidP="001D663E">
      <w:pPr>
        <w:pStyle w:val="Footer"/>
        <w:pBdr>
          <w:top w:val="single" w:sz="4" w:space="1" w:color="495965" w:themeColor="text2"/>
        </w:pBdr>
      </w:pPr>
    </w:p>
  </w:footnote>
  <w:footnote w:type="continuationSeparator" w:id="0">
    <w:p w:rsidR="00144209" w:rsidRDefault="00144209" w:rsidP="00EF4574">
      <w:pPr>
        <w:spacing w:before="0" w:after="0" w:line="240" w:lineRule="auto"/>
      </w:pPr>
      <w:r>
        <w:continuationSeparator/>
      </w:r>
    </w:p>
  </w:footnote>
  <w:footnote w:id="1">
    <w:p w:rsidR="00D74574" w:rsidRPr="00FB42AF" w:rsidRDefault="00D74574">
      <w:pPr>
        <w:pStyle w:val="FootnoteText"/>
        <w:rPr>
          <w:sz w:val="16"/>
          <w:szCs w:val="16"/>
          <w:lang w:val="en-AU"/>
        </w:rPr>
      </w:pPr>
      <w:r w:rsidRPr="00FB42AF">
        <w:rPr>
          <w:rStyle w:val="FootnoteReference"/>
          <w:sz w:val="16"/>
          <w:szCs w:val="16"/>
        </w:rPr>
        <w:footnoteRef/>
      </w:r>
      <w:r w:rsidRPr="00FB42AF">
        <w:rPr>
          <w:sz w:val="16"/>
          <w:szCs w:val="16"/>
        </w:rPr>
        <w:t xml:space="preserve"> In 2014 Tonga’s Gross Domestic Product was USD434 million: </w:t>
      </w:r>
      <w:hyperlink r:id="rId1" w:history="1">
        <w:r w:rsidRPr="00FB42AF">
          <w:rPr>
            <w:rStyle w:val="Hyperlink"/>
            <w:sz w:val="16"/>
            <w:szCs w:val="16"/>
          </w:rPr>
          <w:t>http://data.worldbank.org/country/tonga</w:t>
        </w:r>
      </w:hyperlink>
      <w:r w:rsidRPr="00FB42AF">
        <w:rPr>
          <w:sz w:val="16"/>
          <w:szCs w:val="16"/>
        </w:rPr>
        <w:t>. As of 1</w:t>
      </w:r>
      <w:r>
        <w:rPr>
          <w:sz w:val="16"/>
          <w:szCs w:val="16"/>
        </w:rPr>
        <w:t>1</w:t>
      </w:r>
      <w:r w:rsidRPr="00FB42AF">
        <w:rPr>
          <w:sz w:val="16"/>
          <w:szCs w:val="16"/>
        </w:rPr>
        <w:t xml:space="preserve"> August 201</w:t>
      </w:r>
      <w:r>
        <w:rPr>
          <w:sz w:val="16"/>
          <w:szCs w:val="16"/>
        </w:rPr>
        <w:t>6</w:t>
      </w:r>
      <w:r w:rsidRPr="00FB42AF">
        <w:rPr>
          <w:sz w:val="16"/>
          <w:szCs w:val="16"/>
        </w:rPr>
        <w:t>, 1AUD = USD1.3</w:t>
      </w:r>
      <w:r>
        <w:rPr>
          <w:sz w:val="16"/>
          <w:szCs w:val="16"/>
        </w:rPr>
        <w:t>0</w:t>
      </w:r>
      <w:r w:rsidRPr="00FB42AF">
        <w:rPr>
          <w:sz w:val="16"/>
          <w:szCs w:val="16"/>
        </w:rPr>
        <w:t>.</w:t>
      </w:r>
    </w:p>
  </w:footnote>
  <w:footnote w:id="2">
    <w:p w:rsidR="00D74574" w:rsidRPr="008B4A69" w:rsidRDefault="00D74574">
      <w:pPr>
        <w:pStyle w:val="FootnoteText"/>
        <w:rPr>
          <w:sz w:val="16"/>
          <w:szCs w:val="16"/>
          <w:lang w:val="en-AU"/>
        </w:rPr>
      </w:pPr>
      <w:r w:rsidRPr="008B4A69">
        <w:rPr>
          <w:rStyle w:val="FootnoteReference"/>
          <w:sz w:val="16"/>
          <w:szCs w:val="16"/>
        </w:rPr>
        <w:footnoteRef/>
      </w:r>
      <w:r w:rsidRPr="008B4A69">
        <w:rPr>
          <w:sz w:val="16"/>
          <w:szCs w:val="16"/>
        </w:rPr>
        <w:t xml:space="preserve"> </w:t>
      </w:r>
      <w:proofErr w:type="gramStart"/>
      <w:r w:rsidRPr="008B4A69">
        <w:rPr>
          <w:sz w:val="16"/>
          <w:szCs w:val="16"/>
        </w:rPr>
        <w:t>F</w:t>
      </w:r>
      <w:r w:rsidRPr="008B4A69">
        <w:rPr>
          <w:color w:val="auto"/>
          <w:sz w:val="16"/>
          <w:szCs w:val="16"/>
        </w:rPr>
        <w:t xml:space="preserve">urther information available at </w:t>
      </w:r>
      <w:hyperlink r:id="rId2" w:history="1">
        <w:r w:rsidRPr="008B4A69">
          <w:rPr>
            <w:rStyle w:val="Hyperlink"/>
            <w:rFonts w:cstheme="minorBidi"/>
            <w:color w:val="0000FF"/>
            <w:sz w:val="16"/>
            <w:szCs w:val="16"/>
          </w:rPr>
          <w:t>http://dfat.gov.au/geo/tonga/development-assistance/Pages/objective-1-governance-economic-and-private-sector-development.aspx</w:t>
        </w:r>
      </w:hyperlink>
      <w:r w:rsidRPr="008B4A69">
        <w:rPr>
          <w:color w:val="auto"/>
          <w:sz w:val="16"/>
          <w:szCs w:val="16"/>
        </w:rPr>
        <w:t xml:space="preserve"> .</w:t>
      </w:r>
      <w:proofErr w:type="gramEnd"/>
    </w:p>
  </w:footnote>
  <w:footnote w:id="3">
    <w:p w:rsidR="00D74574" w:rsidRPr="008B4A69" w:rsidRDefault="00D74574" w:rsidP="00C652E7">
      <w:pPr>
        <w:pStyle w:val="FootnoteText"/>
        <w:rPr>
          <w:lang w:val="en-AU"/>
        </w:rPr>
      </w:pPr>
      <w:r w:rsidRPr="008B4A69">
        <w:rPr>
          <w:rStyle w:val="FootnoteReference"/>
          <w:sz w:val="16"/>
          <w:szCs w:val="16"/>
        </w:rPr>
        <w:footnoteRef/>
      </w:r>
      <w:r w:rsidRPr="008B4A69">
        <w:rPr>
          <w:sz w:val="16"/>
          <w:szCs w:val="16"/>
        </w:rPr>
        <w:t xml:space="preserve"> </w:t>
      </w:r>
      <w:proofErr w:type="gramStart"/>
      <w:r>
        <w:rPr>
          <w:sz w:val="16"/>
          <w:szCs w:val="16"/>
        </w:rPr>
        <w:t>F</w:t>
      </w:r>
      <w:r w:rsidRPr="008B4A69">
        <w:rPr>
          <w:color w:val="auto"/>
          <w:sz w:val="16"/>
          <w:szCs w:val="16"/>
        </w:rPr>
        <w:t xml:space="preserve">urther information </w:t>
      </w:r>
      <w:r>
        <w:rPr>
          <w:color w:val="auto"/>
          <w:sz w:val="16"/>
          <w:szCs w:val="16"/>
        </w:rPr>
        <w:t xml:space="preserve">available </w:t>
      </w:r>
      <w:r w:rsidRPr="008B4A69">
        <w:rPr>
          <w:color w:val="auto"/>
          <w:sz w:val="16"/>
          <w:szCs w:val="16"/>
        </w:rPr>
        <w:t xml:space="preserve">at </w:t>
      </w:r>
      <w:hyperlink r:id="rId3" w:history="1">
        <w:r w:rsidRPr="008B4A69">
          <w:rPr>
            <w:rStyle w:val="Hyperlink"/>
            <w:rFonts w:cstheme="minorBidi"/>
            <w:color w:val="0000FF"/>
            <w:sz w:val="16"/>
            <w:szCs w:val="16"/>
          </w:rPr>
          <w:t>http://dfat.gov.au/geo/tonga/development-assistance/Pages/objective-2-more-effective-efficient-and-equitable-health-system.aspx</w:t>
        </w:r>
      </w:hyperlink>
      <w:r w:rsidRPr="008B4A69">
        <w:rPr>
          <w:color w:val="auto"/>
          <w:sz w:val="16"/>
          <w:szCs w:val="16"/>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74" w:rsidRDefault="00D745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74" w:rsidRPr="00333501" w:rsidRDefault="00D74574" w:rsidP="008F56A8">
    <w:pPr>
      <w:pStyle w:val="Header"/>
      <w:jc w:val="left"/>
    </w:pPr>
    <w:r>
      <w:rPr>
        <w:noProof/>
        <w:lang w:val="en-AU" w:eastAsia="en-AU"/>
      </w:rPr>
      <w:drawing>
        <wp:anchor distT="0" distB="0" distL="114300" distR="114300" simplePos="0" relativeHeight="251671552" behindDoc="1" locked="1" layoutInCell="1" allowOverlap="1" wp14:anchorId="4C9248A4" wp14:editId="22F99D96">
          <wp:simplePos x="0" y="0"/>
          <wp:positionH relativeFrom="page">
            <wp:posOffset>7620</wp:posOffset>
          </wp:positionH>
          <wp:positionV relativeFrom="page">
            <wp:posOffset>-7620</wp:posOffset>
          </wp:positionV>
          <wp:extent cx="7545705" cy="10702290"/>
          <wp:effectExtent l="0" t="0" r="0" b="38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74" w:rsidRPr="003D352D" w:rsidRDefault="00D74574" w:rsidP="003D352D">
    <w:pPr>
      <w:pStyle w:val="Header"/>
      <w:jc w:val="left"/>
    </w:pPr>
    <w:r>
      <w:rPr>
        <w:noProof/>
        <w:lang w:val="en-AU" w:eastAsia="en-AU"/>
      </w:rPr>
      <w:drawing>
        <wp:anchor distT="0" distB="0" distL="114300" distR="114300" simplePos="0" relativeHeight="251669504" behindDoc="1" locked="1" layoutInCell="1" allowOverlap="1" wp14:anchorId="5D1F4D72" wp14:editId="14EAF2F9">
          <wp:simplePos x="0" y="0"/>
          <wp:positionH relativeFrom="page">
            <wp:posOffset>-23495</wp:posOffset>
          </wp:positionH>
          <wp:positionV relativeFrom="page">
            <wp:posOffset>15875</wp:posOffset>
          </wp:positionV>
          <wp:extent cx="7734935" cy="108292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74" w:rsidRPr="003D352D" w:rsidRDefault="00D74574" w:rsidP="003D352D">
    <w:pPr>
      <w:pStyle w:val="Header"/>
      <w:jc w:val="left"/>
    </w:pPr>
    <w:r>
      <w:rPr>
        <w:noProof/>
        <w:lang w:val="en-AU" w:eastAsia="en-AU"/>
      </w:rPr>
      <w:drawing>
        <wp:anchor distT="0" distB="0" distL="114300" distR="114300" simplePos="0" relativeHeight="251673600" behindDoc="1" locked="1" layoutInCell="1" allowOverlap="1" wp14:anchorId="13221B17" wp14:editId="1E75F6EE">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74" w:rsidRPr="003D352D" w:rsidRDefault="00D74574" w:rsidP="003D352D">
    <w:pPr>
      <w:pStyle w:val="Header"/>
      <w:jc w:val="left"/>
    </w:pPr>
    <w:r>
      <w:rPr>
        <w:noProof/>
        <w:lang w:val="en-AU" w:eastAsia="en-AU"/>
      </w:rPr>
      <w:drawing>
        <wp:anchor distT="0" distB="0" distL="114300" distR="114300" simplePos="0" relativeHeight="251675648" behindDoc="1" locked="1" layoutInCell="1" allowOverlap="1" wp14:anchorId="3AFCC254" wp14:editId="0DB7DF45">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74" w:rsidRPr="00333501" w:rsidRDefault="00D74574" w:rsidP="008F56A8">
    <w:pPr>
      <w:pStyle w:val="Header"/>
      <w:jc w:val="left"/>
    </w:pPr>
    <w:r>
      <w:rPr>
        <w:noProof/>
        <w:lang w:val="en-AU" w:eastAsia="en-AU"/>
      </w:rPr>
      <w:drawing>
        <wp:anchor distT="0" distB="0" distL="114300" distR="114300" simplePos="0" relativeHeight="251683840" behindDoc="1" locked="1" layoutInCell="1" allowOverlap="1" wp14:anchorId="49B512C6" wp14:editId="429E1A55">
          <wp:simplePos x="0" y="0"/>
          <wp:positionH relativeFrom="page">
            <wp:posOffset>7620</wp:posOffset>
          </wp:positionH>
          <wp:positionV relativeFrom="page">
            <wp:posOffset>57785</wp:posOffset>
          </wp:positionV>
          <wp:extent cx="10800000" cy="7560000"/>
          <wp:effectExtent l="0" t="0" r="1905" b="317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4A5EA"/>
    <w:lvl w:ilvl="0">
      <w:start w:val="1"/>
      <w:numFmt w:val="decimal"/>
      <w:lvlText w:val="%1."/>
      <w:lvlJc w:val="left"/>
      <w:pPr>
        <w:tabs>
          <w:tab w:val="num" w:pos="1492"/>
        </w:tabs>
        <w:ind w:left="1492" w:hanging="360"/>
      </w:pPr>
    </w:lvl>
  </w:abstractNum>
  <w:abstractNum w:abstractNumId="1">
    <w:nsid w:val="FFFFFF7D"/>
    <w:multiLevelType w:val="singleLevel"/>
    <w:tmpl w:val="B3DEED16"/>
    <w:lvl w:ilvl="0">
      <w:start w:val="1"/>
      <w:numFmt w:val="decimal"/>
      <w:lvlText w:val="%1."/>
      <w:lvlJc w:val="left"/>
      <w:pPr>
        <w:tabs>
          <w:tab w:val="num" w:pos="1209"/>
        </w:tabs>
        <w:ind w:left="1209" w:hanging="360"/>
      </w:pPr>
    </w:lvl>
  </w:abstractNum>
  <w:abstractNum w:abstractNumId="2">
    <w:nsid w:val="FFFFFF7E"/>
    <w:multiLevelType w:val="singleLevel"/>
    <w:tmpl w:val="991E89AE"/>
    <w:lvl w:ilvl="0">
      <w:start w:val="1"/>
      <w:numFmt w:val="decimal"/>
      <w:lvlText w:val="%1."/>
      <w:lvlJc w:val="left"/>
      <w:pPr>
        <w:tabs>
          <w:tab w:val="num" w:pos="926"/>
        </w:tabs>
        <w:ind w:left="926" w:hanging="360"/>
      </w:pPr>
    </w:lvl>
  </w:abstractNum>
  <w:abstractNum w:abstractNumId="3">
    <w:nsid w:val="FFFFFF7F"/>
    <w:multiLevelType w:val="singleLevel"/>
    <w:tmpl w:val="1EC4BCD0"/>
    <w:lvl w:ilvl="0">
      <w:start w:val="1"/>
      <w:numFmt w:val="decimal"/>
      <w:lvlText w:val="%1."/>
      <w:lvlJc w:val="left"/>
      <w:pPr>
        <w:tabs>
          <w:tab w:val="num" w:pos="643"/>
        </w:tabs>
        <w:ind w:left="643" w:hanging="360"/>
      </w:pPr>
    </w:lvl>
  </w:abstractNum>
  <w:abstractNum w:abstractNumId="4">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EA9308"/>
    <w:lvl w:ilvl="0">
      <w:start w:val="1"/>
      <w:numFmt w:val="decimal"/>
      <w:lvlText w:val="%1."/>
      <w:lvlJc w:val="left"/>
      <w:pPr>
        <w:tabs>
          <w:tab w:val="num" w:pos="360"/>
        </w:tabs>
        <w:ind w:left="360" w:hanging="360"/>
      </w:pPr>
    </w:lvl>
  </w:abstractNum>
  <w:abstractNum w:abstractNumId="9">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0AD718F1"/>
    <w:multiLevelType w:val="hybridMultilevel"/>
    <w:tmpl w:val="A39AB506"/>
    <w:lvl w:ilvl="0" w:tplc="8D3E2382">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CDB28D1"/>
    <w:multiLevelType w:val="hybridMultilevel"/>
    <w:tmpl w:val="A0BE1FA8"/>
    <w:lvl w:ilvl="0" w:tplc="BCC21090">
      <w:start w:val="2017"/>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49473B5"/>
    <w:multiLevelType w:val="multilevel"/>
    <w:tmpl w:val="7864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1941AC"/>
    <w:multiLevelType w:val="hybridMultilevel"/>
    <w:tmpl w:val="3CD6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30AD105C"/>
    <w:multiLevelType w:val="hybridMultilevel"/>
    <w:tmpl w:val="A13E56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87B58B0"/>
    <w:multiLevelType w:val="hybridMultilevel"/>
    <w:tmpl w:val="350A49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22">
    <w:nsid w:val="48843FA0"/>
    <w:multiLevelType w:val="hybridMultilevel"/>
    <w:tmpl w:val="B18E3A36"/>
    <w:lvl w:ilvl="0" w:tplc="A5402730">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nsid w:val="5A49731A"/>
    <w:multiLevelType w:val="hybridMultilevel"/>
    <w:tmpl w:val="100A9C5E"/>
    <w:lvl w:ilvl="0" w:tplc="A358D51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D3C1EA7"/>
    <w:multiLevelType w:val="multilevel"/>
    <w:tmpl w:val="43428892"/>
    <w:numStyleLink w:val="BulletsList"/>
  </w:abstractNum>
  <w:abstractNum w:abstractNumId="27">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nsid w:val="6D077A98"/>
    <w:multiLevelType w:val="hybridMultilevel"/>
    <w:tmpl w:val="842AC110"/>
    <w:lvl w:ilvl="0" w:tplc="A358D5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5F05589"/>
    <w:multiLevelType w:val="hybridMultilevel"/>
    <w:tmpl w:val="CF3A5AE0"/>
    <w:lvl w:ilvl="0" w:tplc="53FE8CB8">
      <w:start w:val="2016"/>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4"/>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7"/>
  </w:num>
  <w:num w:numId="23">
    <w:abstractNumId w:val="17"/>
  </w:num>
  <w:num w:numId="24">
    <w:abstractNumId w:val="26"/>
  </w:num>
  <w:num w:numId="25">
    <w:abstractNumId w:val="26"/>
  </w:num>
  <w:num w:numId="26">
    <w:abstractNumId w:val="26"/>
  </w:num>
  <w:num w:numId="27">
    <w:abstractNumId w:val="24"/>
  </w:num>
  <w:num w:numId="28">
    <w:abstractNumId w:val="10"/>
  </w:num>
  <w:num w:numId="29">
    <w:abstractNumId w:val="10"/>
  </w:num>
  <w:num w:numId="30">
    <w:abstractNumId w:val="10"/>
  </w:num>
  <w:num w:numId="31">
    <w:abstractNumId w:val="19"/>
  </w:num>
  <w:num w:numId="32">
    <w:abstractNumId w:val="23"/>
  </w:num>
  <w:num w:numId="33">
    <w:abstractNumId w:val="30"/>
  </w:num>
  <w:num w:numId="34">
    <w:abstractNumId w:val="20"/>
  </w:num>
  <w:num w:numId="35">
    <w:abstractNumId w:val="13"/>
  </w:num>
  <w:num w:numId="36">
    <w:abstractNumId w:val="18"/>
  </w:num>
  <w:num w:numId="37">
    <w:abstractNumId w:val="15"/>
  </w:num>
  <w:num w:numId="38">
    <w:abstractNumId w:val="14"/>
  </w:num>
  <w:num w:numId="39">
    <w:abstractNumId w:val="31"/>
  </w:num>
  <w:num w:numId="40">
    <w:abstractNumId w:val="28"/>
  </w:num>
  <w:num w:numId="41">
    <w:abstractNumId w:val="25"/>
  </w:num>
  <w:num w:numId="42">
    <w:abstractNumId w:val="21"/>
  </w:num>
  <w:num w:numId="43">
    <w:abstractNumId w:val="11"/>
  </w:num>
  <w:num w:numId="44">
    <w:abstractNumId w:val="1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058F"/>
    <w:rsid w:val="0000175C"/>
    <w:rsid w:val="00001DA8"/>
    <w:rsid w:val="00011C75"/>
    <w:rsid w:val="00015316"/>
    <w:rsid w:val="0002080A"/>
    <w:rsid w:val="00021517"/>
    <w:rsid w:val="00023C91"/>
    <w:rsid w:val="000242A0"/>
    <w:rsid w:val="0002782F"/>
    <w:rsid w:val="00027DDE"/>
    <w:rsid w:val="00031512"/>
    <w:rsid w:val="00044D2F"/>
    <w:rsid w:val="00050A46"/>
    <w:rsid w:val="0005289A"/>
    <w:rsid w:val="00054E4D"/>
    <w:rsid w:val="000570B8"/>
    <w:rsid w:val="00060073"/>
    <w:rsid w:val="00060268"/>
    <w:rsid w:val="0006702C"/>
    <w:rsid w:val="00072EF9"/>
    <w:rsid w:val="0007307A"/>
    <w:rsid w:val="00077F99"/>
    <w:rsid w:val="00082215"/>
    <w:rsid w:val="000834D6"/>
    <w:rsid w:val="00084218"/>
    <w:rsid w:val="00084483"/>
    <w:rsid w:val="00086187"/>
    <w:rsid w:val="00086C2D"/>
    <w:rsid w:val="000932DF"/>
    <w:rsid w:val="000943D5"/>
    <w:rsid w:val="00095374"/>
    <w:rsid w:val="00095528"/>
    <w:rsid w:val="000A22E5"/>
    <w:rsid w:val="000A7946"/>
    <w:rsid w:val="000B11AA"/>
    <w:rsid w:val="000B3FA4"/>
    <w:rsid w:val="000C0091"/>
    <w:rsid w:val="000C0683"/>
    <w:rsid w:val="000D4ADC"/>
    <w:rsid w:val="000D66D6"/>
    <w:rsid w:val="000D6A1A"/>
    <w:rsid w:val="000D71D6"/>
    <w:rsid w:val="000E2F2D"/>
    <w:rsid w:val="000E314A"/>
    <w:rsid w:val="000E3778"/>
    <w:rsid w:val="000F0069"/>
    <w:rsid w:val="000F409E"/>
    <w:rsid w:val="001058D2"/>
    <w:rsid w:val="00106808"/>
    <w:rsid w:val="00106847"/>
    <w:rsid w:val="00122D5D"/>
    <w:rsid w:val="001231D7"/>
    <w:rsid w:val="00140A5A"/>
    <w:rsid w:val="00144209"/>
    <w:rsid w:val="001502F1"/>
    <w:rsid w:val="00150ED6"/>
    <w:rsid w:val="001530D1"/>
    <w:rsid w:val="001541EA"/>
    <w:rsid w:val="00156996"/>
    <w:rsid w:val="00157047"/>
    <w:rsid w:val="001638A1"/>
    <w:rsid w:val="00163AEE"/>
    <w:rsid w:val="00163C1D"/>
    <w:rsid w:val="00164DFC"/>
    <w:rsid w:val="00166835"/>
    <w:rsid w:val="001760A5"/>
    <w:rsid w:val="00182005"/>
    <w:rsid w:val="001844DA"/>
    <w:rsid w:val="001872E9"/>
    <w:rsid w:val="00191D5A"/>
    <w:rsid w:val="00191E58"/>
    <w:rsid w:val="00193714"/>
    <w:rsid w:val="0019503F"/>
    <w:rsid w:val="001A18EC"/>
    <w:rsid w:val="001A2C5D"/>
    <w:rsid w:val="001A4793"/>
    <w:rsid w:val="001A7FE8"/>
    <w:rsid w:val="001D1510"/>
    <w:rsid w:val="001D1D27"/>
    <w:rsid w:val="001D2440"/>
    <w:rsid w:val="001D663E"/>
    <w:rsid w:val="001E1D08"/>
    <w:rsid w:val="001E1DC0"/>
    <w:rsid w:val="001F078B"/>
    <w:rsid w:val="00203CB6"/>
    <w:rsid w:val="00214972"/>
    <w:rsid w:val="0022190F"/>
    <w:rsid w:val="00222949"/>
    <w:rsid w:val="0022452B"/>
    <w:rsid w:val="00226A83"/>
    <w:rsid w:val="00234423"/>
    <w:rsid w:val="00236A53"/>
    <w:rsid w:val="00252604"/>
    <w:rsid w:val="00254BE6"/>
    <w:rsid w:val="00261491"/>
    <w:rsid w:val="00265068"/>
    <w:rsid w:val="0026796A"/>
    <w:rsid w:val="002711E7"/>
    <w:rsid w:val="00271FC9"/>
    <w:rsid w:val="00273EDA"/>
    <w:rsid w:val="0027496B"/>
    <w:rsid w:val="00275DB7"/>
    <w:rsid w:val="00282A0F"/>
    <w:rsid w:val="00284943"/>
    <w:rsid w:val="00284957"/>
    <w:rsid w:val="0028602A"/>
    <w:rsid w:val="00296D55"/>
    <w:rsid w:val="002A3C48"/>
    <w:rsid w:val="002A51CA"/>
    <w:rsid w:val="002A79DA"/>
    <w:rsid w:val="002B2F2C"/>
    <w:rsid w:val="002B3E95"/>
    <w:rsid w:val="002B5E10"/>
    <w:rsid w:val="002C0449"/>
    <w:rsid w:val="002C3CAC"/>
    <w:rsid w:val="002D0377"/>
    <w:rsid w:val="002D1346"/>
    <w:rsid w:val="002D4106"/>
    <w:rsid w:val="002E03BD"/>
    <w:rsid w:val="002F22EE"/>
    <w:rsid w:val="003002C0"/>
    <w:rsid w:val="00301144"/>
    <w:rsid w:val="00305E5D"/>
    <w:rsid w:val="003148B7"/>
    <w:rsid w:val="00315570"/>
    <w:rsid w:val="003158C3"/>
    <w:rsid w:val="00316E6B"/>
    <w:rsid w:val="00321634"/>
    <w:rsid w:val="003274CD"/>
    <w:rsid w:val="00330561"/>
    <w:rsid w:val="003319E8"/>
    <w:rsid w:val="00333501"/>
    <w:rsid w:val="003457C4"/>
    <w:rsid w:val="00345C5B"/>
    <w:rsid w:val="003461F7"/>
    <w:rsid w:val="0035119D"/>
    <w:rsid w:val="0036570E"/>
    <w:rsid w:val="0037221F"/>
    <w:rsid w:val="0037365D"/>
    <w:rsid w:val="00373922"/>
    <w:rsid w:val="003741A7"/>
    <w:rsid w:val="003749D1"/>
    <w:rsid w:val="003809E0"/>
    <w:rsid w:val="0038210B"/>
    <w:rsid w:val="00395E94"/>
    <w:rsid w:val="003A7E16"/>
    <w:rsid w:val="003B0793"/>
    <w:rsid w:val="003B4F12"/>
    <w:rsid w:val="003C2B3B"/>
    <w:rsid w:val="003D2478"/>
    <w:rsid w:val="003D352D"/>
    <w:rsid w:val="003D6D1F"/>
    <w:rsid w:val="003E36C3"/>
    <w:rsid w:val="00400B0F"/>
    <w:rsid w:val="00402ACC"/>
    <w:rsid w:val="00403CCA"/>
    <w:rsid w:val="004120EC"/>
    <w:rsid w:val="00412F65"/>
    <w:rsid w:val="00414BEC"/>
    <w:rsid w:val="00415BCF"/>
    <w:rsid w:val="00420F93"/>
    <w:rsid w:val="00421BF3"/>
    <w:rsid w:val="00423413"/>
    <w:rsid w:val="00423F31"/>
    <w:rsid w:val="00424EE6"/>
    <w:rsid w:val="00426B65"/>
    <w:rsid w:val="00427AF3"/>
    <w:rsid w:val="00431899"/>
    <w:rsid w:val="0045250E"/>
    <w:rsid w:val="00454FC7"/>
    <w:rsid w:val="0046154B"/>
    <w:rsid w:val="00462D47"/>
    <w:rsid w:val="00465B4F"/>
    <w:rsid w:val="00470AF9"/>
    <w:rsid w:val="00471A41"/>
    <w:rsid w:val="00472375"/>
    <w:rsid w:val="00483677"/>
    <w:rsid w:val="00483D91"/>
    <w:rsid w:val="00485BCA"/>
    <w:rsid w:val="00486804"/>
    <w:rsid w:val="004974CB"/>
    <w:rsid w:val="004977A1"/>
    <w:rsid w:val="004A0B16"/>
    <w:rsid w:val="004A6622"/>
    <w:rsid w:val="004B3775"/>
    <w:rsid w:val="004B553C"/>
    <w:rsid w:val="004C49E0"/>
    <w:rsid w:val="004D0BA0"/>
    <w:rsid w:val="004E0264"/>
    <w:rsid w:val="004E058F"/>
    <w:rsid w:val="004E0F73"/>
    <w:rsid w:val="004E3B87"/>
    <w:rsid w:val="004F149C"/>
    <w:rsid w:val="004F647D"/>
    <w:rsid w:val="004F75A5"/>
    <w:rsid w:val="00500222"/>
    <w:rsid w:val="00504899"/>
    <w:rsid w:val="00510921"/>
    <w:rsid w:val="00510AD3"/>
    <w:rsid w:val="00513348"/>
    <w:rsid w:val="005245AE"/>
    <w:rsid w:val="00525C94"/>
    <w:rsid w:val="00532322"/>
    <w:rsid w:val="00533B5D"/>
    <w:rsid w:val="005357DF"/>
    <w:rsid w:val="00545FB3"/>
    <w:rsid w:val="005511BF"/>
    <w:rsid w:val="00553F9A"/>
    <w:rsid w:val="00556ED6"/>
    <w:rsid w:val="005661D9"/>
    <w:rsid w:val="00567F1B"/>
    <w:rsid w:val="00590305"/>
    <w:rsid w:val="0059146A"/>
    <w:rsid w:val="005920DF"/>
    <w:rsid w:val="00593755"/>
    <w:rsid w:val="005A51B0"/>
    <w:rsid w:val="005B2C6D"/>
    <w:rsid w:val="005B358C"/>
    <w:rsid w:val="005B5093"/>
    <w:rsid w:val="005B5769"/>
    <w:rsid w:val="005B6602"/>
    <w:rsid w:val="005D3655"/>
    <w:rsid w:val="005D6208"/>
    <w:rsid w:val="005D745C"/>
    <w:rsid w:val="005E019A"/>
    <w:rsid w:val="005E4B50"/>
    <w:rsid w:val="005E606B"/>
    <w:rsid w:val="005F1B8F"/>
    <w:rsid w:val="005F5D02"/>
    <w:rsid w:val="005F5FE7"/>
    <w:rsid w:val="005F7809"/>
    <w:rsid w:val="005F7855"/>
    <w:rsid w:val="00604066"/>
    <w:rsid w:val="00607926"/>
    <w:rsid w:val="00614841"/>
    <w:rsid w:val="006207EE"/>
    <w:rsid w:val="00623BA1"/>
    <w:rsid w:val="00623EDE"/>
    <w:rsid w:val="006271EC"/>
    <w:rsid w:val="00632210"/>
    <w:rsid w:val="00633B46"/>
    <w:rsid w:val="006342C0"/>
    <w:rsid w:val="006346BC"/>
    <w:rsid w:val="00636989"/>
    <w:rsid w:val="00663C10"/>
    <w:rsid w:val="0066652A"/>
    <w:rsid w:val="006702F6"/>
    <w:rsid w:val="006731D1"/>
    <w:rsid w:val="00680522"/>
    <w:rsid w:val="00681F08"/>
    <w:rsid w:val="00681F8A"/>
    <w:rsid w:val="00682167"/>
    <w:rsid w:val="006823A9"/>
    <w:rsid w:val="00682B1C"/>
    <w:rsid w:val="0068544B"/>
    <w:rsid w:val="006971AD"/>
    <w:rsid w:val="006A41E9"/>
    <w:rsid w:val="006A4747"/>
    <w:rsid w:val="006A7433"/>
    <w:rsid w:val="006B264A"/>
    <w:rsid w:val="006B3124"/>
    <w:rsid w:val="006C12B8"/>
    <w:rsid w:val="006C42AF"/>
    <w:rsid w:val="006C77BD"/>
    <w:rsid w:val="006D143B"/>
    <w:rsid w:val="006D50FD"/>
    <w:rsid w:val="006E674A"/>
    <w:rsid w:val="006F27B1"/>
    <w:rsid w:val="006F6A5B"/>
    <w:rsid w:val="00711D8E"/>
    <w:rsid w:val="00712672"/>
    <w:rsid w:val="00714A68"/>
    <w:rsid w:val="00715804"/>
    <w:rsid w:val="00732CEF"/>
    <w:rsid w:val="00734E3F"/>
    <w:rsid w:val="00736985"/>
    <w:rsid w:val="00737A7E"/>
    <w:rsid w:val="00743746"/>
    <w:rsid w:val="00744D1E"/>
    <w:rsid w:val="00745DF5"/>
    <w:rsid w:val="00753E3D"/>
    <w:rsid w:val="00755129"/>
    <w:rsid w:val="00755F0F"/>
    <w:rsid w:val="007617CA"/>
    <w:rsid w:val="0076250F"/>
    <w:rsid w:val="007678F9"/>
    <w:rsid w:val="00771B53"/>
    <w:rsid w:val="0077260F"/>
    <w:rsid w:val="007773EA"/>
    <w:rsid w:val="00784031"/>
    <w:rsid w:val="007A3529"/>
    <w:rsid w:val="007A48FF"/>
    <w:rsid w:val="007A4D5F"/>
    <w:rsid w:val="007B0CD5"/>
    <w:rsid w:val="007B6200"/>
    <w:rsid w:val="007B6E02"/>
    <w:rsid w:val="007C031D"/>
    <w:rsid w:val="007C53D5"/>
    <w:rsid w:val="007C6AC3"/>
    <w:rsid w:val="007D6ECD"/>
    <w:rsid w:val="007E2222"/>
    <w:rsid w:val="007E2880"/>
    <w:rsid w:val="007F016B"/>
    <w:rsid w:val="007F3395"/>
    <w:rsid w:val="00801B9F"/>
    <w:rsid w:val="00803CD2"/>
    <w:rsid w:val="008057FD"/>
    <w:rsid w:val="00816B30"/>
    <w:rsid w:val="00816B51"/>
    <w:rsid w:val="00816E94"/>
    <w:rsid w:val="00820882"/>
    <w:rsid w:val="00824524"/>
    <w:rsid w:val="00827648"/>
    <w:rsid w:val="00831678"/>
    <w:rsid w:val="00833BE6"/>
    <w:rsid w:val="00836156"/>
    <w:rsid w:val="00836826"/>
    <w:rsid w:val="008379D6"/>
    <w:rsid w:val="00844408"/>
    <w:rsid w:val="008475F0"/>
    <w:rsid w:val="00854904"/>
    <w:rsid w:val="00857B26"/>
    <w:rsid w:val="00864210"/>
    <w:rsid w:val="0086623B"/>
    <w:rsid w:val="00867CA7"/>
    <w:rsid w:val="00870302"/>
    <w:rsid w:val="00870BE4"/>
    <w:rsid w:val="00875078"/>
    <w:rsid w:val="00893FFF"/>
    <w:rsid w:val="00895487"/>
    <w:rsid w:val="008A5AFE"/>
    <w:rsid w:val="008A5FA3"/>
    <w:rsid w:val="008A74A0"/>
    <w:rsid w:val="008B4A69"/>
    <w:rsid w:val="008B540D"/>
    <w:rsid w:val="008B68D7"/>
    <w:rsid w:val="008C2F58"/>
    <w:rsid w:val="008C43D8"/>
    <w:rsid w:val="008C5A0E"/>
    <w:rsid w:val="008D29DF"/>
    <w:rsid w:val="008D2A56"/>
    <w:rsid w:val="008D6735"/>
    <w:rsid w:val="008E6502"/>
    <w:rsid w:val="008E72D7"/>
    <w:rsid w:val="008F3429"/>
    <w:rsid w:val="008F3E23"/>
    <w:rsid w:val="008F4198"/>
    <w:rsid w:val="008F56A8"/>
    <w:rsid w:val="00901F7A"/>
    <w:rsid w:val="009052C3"/>
    <w:rsid w:val="00916859"/>
    <w:rsid w:val="0091705C"/>
    <w:rsid w:val="00920A5E"/>
    <w:rsid w:val="00922FFF"/>
    <w:rsid w:val="00923B3B"/>
    <w:rsid w:val="0092458E"/>
    <w:rsid w:val="00926BA8"/>
    <w:rsid w:val="00935A5A"/>
    <w:rsid w:val="00937357"/>
    <w:rsid w:val="00940173"/>
    <w:rsid w:val="00943731"/>
    <w:rsid w:val="009448A6"/>
    <w:rsid w:val="009625E0"/>
    <w:rsid w:val="009657A3"/>
    <w:rsid w:val="009670DE"/>
    <w:rsid w:val="00967A63"/>
    <w:rsid w:val="009736F8"/>
    <w:rsid w:val="00976D03"/>
    <w:rsid w:val="0098089D"/>
    <w:rsid w:val="0098097B"/>
    <w:rsid w:val="00985274"/>
    <w:rsid w:val="0098602B"/>
    <w:rsid w:val="00986D6E"/>
    <w:rsid w:val="009903F3"/>
    <w:rsid w:val="00992C76"/>
    <w:rsid w:val="00992E97"/>
    <w:rsid w:val="009A6721"/>
    <w:rsid w:val="009A68AE"/>
    <w:rsid w:val="009B050A"/>
    <w:rsid w:val="009B2A4E"/>
    <w:rsid w:val="009B4D3B"/>
    <w:rsid w:val="009B4E7F"/>
    <w:rsid w:val="009C6911"/>
    <w:rsid w:val="009C6C45"/>
    <w:rsid w:val="009D0933"/>
    <w:rsid w:val="009D7120"/>
    <w:rsid w:val="009D7407"/>
    <w:rsid w:val="009E0866"/>
    <w:rsid w:val="009E0EB7"/>
    <w:rsid w:val="009F3F32"/>
    <w:rsid w:val="009F5488"/>
    <w:rsid w:val="009F6423"/>
    <w:rsid w:val="00A00577"/>
    <w:rsid w:val="00A1142A"/>
    <w:rsid w:val="00A20A30"/>
    <w:rsid w:val="00A24A62"/>
    <w:rsid w:val="00A275FE"/>
    <w:rsid w:val="00A31C9F"/>
    <w:rsid w:val="00A34026"/>
    <w:rsid w:val="00A4144F"/>
    <w:rsid w:val="00A41FB2"/>
    <w:rsid w:val="00A427C6"/>
    <w:rsid w:val="00A447CE"/>
    <w:rsid w:val="00A46142"/>
    <w:rsid w:val="00A47ACC"/>
    <w:rsid w:val="00A5651E"/>
    <w:rsid w:val="00A56F14"/>
    <w:rsid w:val="00A8017D"/>
    <w:rsid w:val="00A80F95"/>
    <w:rsid w:val="00A8197B"/>
    <w:rsid w:val="00A87F1D"/>
    <w:rsid w:val="00A92EA0"/>
    <w:rsid w:val="00A941E0"/>
    <w:rsid w:val="00AA18C3"/>
    <w:rsid w:val="00AA7BE3"/>
    <w:rsid w:val="00AC164A"/>
    <w:rsid w:val="00AC20AE"/>
    <w:rsid w:val="00AC3B29"/>
    <w:rsid w:val="00AE2D14"/>
    <w:rsid w:val="00AE6C24"/>
    <w:rsid w:val="00AF1B85"/>
    <w:rsid w:val="00AF2050"/>
    <w:rsid w:val="00B00172"/>
    <w:rsid w:val="00B03CA8"/>
    <w:rsid w:val="00B05129"/>
    <w:rsid w:val="00B16615"/>
    <w:rsid w:val="00B16F6A"/>
    <w:rsid w:val="00B23A26"/>
    <w:rsid w:val="00B25C97"/>
    <w:rsid w:val="00B26136"/>
    <w:rsid w:val="00B331DC"/>
    <w:rsid w:val="00B35AC3"/>
    <w:rsid w:val="00B438D3"/>
    <w:rsid w:val="00B46A54"/>
    <w:rsid w:val="00B46F52"/>
    <w:rsid w:val="00B4704D"/>
    <w:rsid w:val="00B54932"/>
    <w:rsid w:val="00B55E19"/>
    <w:rsid w:val="00B63158"/>
    <w:rsid w:val="00B66D1C"/>
    <w:rsid w:val="00B70CD5"/>
    <w:rsid w:val="00B721BF"/>
    <w:rsid w:val="00B72231"/>
    <w:rsid w:val="00B7384A"/>
    <w:rsid w:val="00B74A6B"/>
    <w:rsid w:val="00B753D6"/>
    <w:rsid w:val="00B76357"/>
    <w:rsid w:val="00B80F28"/>
    <w:rsid w:val="00B811A1"/>
    <w:rsid w:val="00B91B63"/>
    <w:rsid w:val="00BA4B6D"/>
    <w:rsid w:val="00BA73DA"/>
    <w:rsid w:val="00BB26C5"/>
    <w:rsid w:val="00BB5FE5"/>
    <w:rsid w:val="00BD515F"/>
    <w:rsid w:val="00BD643D"/>
    <w:rsid w:val="00BE2844"/>
    <w:rsid w:val="00BE3851"/>
    <w:rsid w:val="00BF250A"/>
    <w:rsid w:val="00BF4DE6"/>
    <w:rsid w:val="00BF6788"/>
    <w:rsid w:val="00BF74B2"/>
    <w:rsid w:val="00C049E5"/>
    <w:rsid w:val="00C04FC8"/>
    <w:rsid w:val="00C10BEF"/>
    <w:rsid w:val="00C1322D"/>
    <w:rsid w:val="00C15345"/>
    <w:rsid w:val="00C24786"/>
    <w:rsid w:val="00C27BF7"/>
    <w:rsid w:val="00C340B3"/>
    <w:rsid w:val="00C42CDE"/>
    <w:rsid w:val="00C47A13"/>
    <w:rsid w:val="00C5182A"/>
    <w:rsid w:val="00C51D42"/>
    <w:rsid w:val="00C55756"/>
    <w:rsid w:val="00C56539"/>
    <w:rsid w:val="00C5672E"/>
    <w:rsid w:val="00C56C7E"/>
    <w:rsid w:val="00C57780"/>
    <w:rsid w:val="00C60F5A"/>
    <w:rsid w:val="00C62C1C"/>
    <w:rsid w:val="00C63EE9"/>
    <w:rsid w:val="00C644BA"/>
    <w:rsid w:val="00C652E7"/>
    <w:rsid w:val="00C6626C"/>
    <w:rsid w:val="00C67417"/>
    <w:rsid w:val="00C72E61"/>
    <w:rsid w:val="00C8445C"/>
    <w:rsid w:val="00CA37B1"/>
    <w:rsid w:val="00CA38DB"/>
    <w:rsid w:val="00CB1959"/>
    <w:rsid w:val="00CB22B1"/>
    <w:rsid w:val="00CB4615"/>
    <w:rsid w:val="00CB78E8"/>
    <w:rsid w:val="00CC3D0A"/>
    <w:rsid w:val="00CC5732"/>
    <w:rsid w:val="00CD0E4B"/>
    <w:rsid w:val="00CD47B2"/>
    <w:rsid w:val="00CD6939"/>
    <w:rsid w:val="00CE0155"/>
    <w:rsid w:val="00CE1C6A"/>
    <w:rsid w:val="00CE3F63"/>
    <w:rsid w:val="00CE663F"/>
    <w:rsid w:val="00CE7ECB"/>
    <w:rsid w:val="00CF08E6"/>
    <w:rsid w:val="00CF38CB"/>
    <w:rsid w:val="00CF3C59"/>
    <w:rsid w:val="00CF4604"/>
    <w:rsid w:val="00D00802"/>
    <w:rsid w:val="00D0296C"/>
    <w:rsid w:val="00D02F99"/>
    <w:rsid w:val="00D137D8"/>
    <w:rsid w:val="00D146A2"/>
    <w:rsid w:val="00D14858"/>
    <w:rsid w:val="00D15A00"/>
    <w:rsid w:val="00D15ED5"/>
    <w:rsid w:val="00D16D12"/>
    <w:rsid w:val="00D23595"/>
    <w:rsid w:val="00D25118"/>
    <w:rsid w:val="00D266F1"/>
    <w:rsid w:val="00D35544"/>
    <w:rsid w:val="00D434D3"/>
    <w:rsid w:val="00D44856"/>
    <w:rsid w:val="00D52BB2"/>
    <w:rsid w:val="00D53E8D"/>
    <w:rsid w:val="00D55353"/>
    <w:rsid w:val="00D57F36"/>
    <w:rsid w:val="00D60D2E"/>
    <w:rsid w:val="00D64BD1"/>
    <w:rsid w:val="00D70917"/>
    <w:rsid w:val="00D72760"/>
    <w:rsid w:val="00D73E12"/>
    <w:rsid w:val="00D74574"/>
    <w:rsid w:val="00D83BD2"/>
    <w:rsid w:val="00D87F00"/>
    <w:rsid w:val="00D91C8A"/>
    <w:rsid w:val="00D9753A"/>
    <w:rsid w:val="00DB000B"/>
    <w:rsid w:val="00DB3C5B"/>
    <w:rsid w:val="00DB6E28"/>
    <w:rsid w:val="00DC1958"/>
    <w:rsid w:val="00DD1986"/>
    <w:rsid w:val="00DD28EE"/>
    <w:rsid w:val="00DD40A1"/>
    <w:rsid w:val="00DD58E5"/>
    <w:rsid w:val="00DE084C"/>
    <w:rsid w:val="00DE1AC8"/>
    <w:rsid w:val="00DE765A"/>
    <w:rsid w:val="00DF10C4"/>
    <w:rsid w:val="00DF27FC"/>
    <w:rsid w:val="00DF325F"/>
    <w:rsid w:val="00DF4B6C"/>
    <w:rsid w:val="00E040C8"/>
    <w:rsid w:val="00E0783F"/>
    <w:rsid w:val="00E1163D"/>
    <w:rsid w:val="00E149B4"/>
    <w:rsid w:val="00E23042"/>
    <w:rsid w:val="00E26040"/>
    <w:rsid w:val="00E357B7"/>
    <w:rsid w:val="00E374AB"/>
    <w:rsid w:val="00E451EA"/>
    <w:rsid w:val="00E4663D"/>
    <w:rsid w:val="00E5053E"/>
    <w:rsid w:val="00E53800"/>
    <w:rsid w:val="00E559F7"/>
    <w:rsid w:val="00E6081F"/>
    <w:rsid w:val="00E60E41"/>
    <w:rsid w:val="00E65229"/>
    <w:rsid w:val="00E67232"/>
    <w:rsid w:val="00E7673C"/>
    <w:rsid w:val="00E81BA5"/>
    <w:rsid w:val="00E86697"/>
    <w:rsid w:val="00E90349"/>
    <w:rsid w:val="00E905BE"/>
    <w:rsid w:val="00E93ABC"/>
    <w:rsid w:val="00EA04B2"/>
    <w:rsid w:val="00EA20F3"/>
    <w:rsid w:val="00EB0D7F"/>
    <w:rsid w:val="00EC32ED"/>
    <w:rsid w:val="00EC3CE2"/>
    <w:rsid w:val="00EC4D7E"/>
    <w:rsid w:val="00ED2831"/>
    <w:rsid w:val="00ED43D1"/>
    <w:rsid w:val="00ED7E00"/>
    <w:rsid w:val="00EE4EE1"/>
    <w:rsid w:val="00EF0B4C"/>
    <w:rsid w:val="00EF4574"/>
    <w:rsid w:val="00F00283"/>
    <w:rsid w:val="00F00797"/>
    <w:rsid w:val="00F04F0D"/>
    <w:rsid w:val="00F05641"/>
    <w:rsid w:val="00F10FAE"/>
    <w:rsid w:val="00F11A8B"/>
    <w:rsid w:val="00F15341"/>
    <w:rsid w:val="00F23E7D"/>
    <w:rsid w:val="00F254FA"/>
    <w:rsid w:val="00F2684E"/>
    <w:rsid w:val="00F31446"/>
    <w:rsid w:val="00F330F0"/>
    <w:rsid w:val="00F3529F"/>
    <w:rsid w:val="00F42C29"/>
    <w:rsid w:val="00F5103E"/>
    <w:rsid w:val="00F521D0"/>
    <w:rsid w:val="00F5404C"/>
    <w:rsid w:val="00F575E0"/>
    <w:rsid w:val="00F6387A"/>
    <w:rsid w:val="00F6577C"/>
    <w:rsid w:val="00F6659C"/>
    <w:rsid w:val="00F67543"/>
    <w:rsid w:val="00F729EF"/>
    <w:rsid w:val="00F73A8D"/>
    <w:rsid w:val="00F74128"/>
    <w:rsid w:val="00F75A5C"/>
    <w:rsid w:val="00F7694E"/>
    <w:rsid w:val="00F77CAE"/>
    <w:rsid w:val="00F80B2E"/>
    <w:rsid w:val="00F82271"/>
    <w:rsid w:val="00F824AD"/>
    <w:rsid w:val="00F83428"/>
    <w:rsid w:val="00F86706"/>
    <w:rsid w:val="00F96BB9"/>
    <w:rsid w:val="00FA0474"/>
    <w:rsid w:val="00FA7408"/>
    <w:rsid w:val="00FB0048"/>
    <w:rsid w:val="00FB32F9"/>
    <w:rsid w:val="00FB42AF"/>
    <w:rsid w:val="00FB4A45"/>
    <w:rsid w:val="00FB4C03"/>
    <w:rsid w:val="00FB4D28"/>
    <w:rsid w:val="00FC21D3"/>
    <w:rsid w:val="00FC7E45"/>
    <w:rsid w:val="00FD4773"/>
    <w:rsid w:val="00FE6D51"/>
    <w:rsid w:val="00FE7151"/>
    <w:rsid w:val="00FF09F3"/>
    <w:rsid w:val="00FF23AB"/>
    <w:rsid w:val="00FF3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character" w:styleId="CommentReference">
    <w:name w:val="annotation reference"/>
    <w:basedOn w:val="DefaultParagraphFont"/>
    <w:uiPriority w:val="99"/>
    <w:semiHidden/>
    <w:unhideWhenUsed/>
    <w:rsid w:val="00095528"/>
    <w:rPr>
      <w:sz w:val="16"/>
      <w:szCs w:val="16"/>
    </w:rPr>
  </w:style>
  <w:style w:type="paragraph" w:styleId="CommentText">
    <w:name w:val="annotation text"/>
    <w:basedOn w:val="Normal"/>
    <w:link w:val="CommentTextChar"/>
    <w:uiPriority w:val="99"/>
    <w:unhideWhenUsed/>
    <w:rsid w:val="00095528"/>
    <w:pPr>
      <w:spacing w:line="240" w:lineRule="auto"/>
    </w:pPr>
    <w:rPr>
      <w:sz w:val="20"/>
      <w:szCs w:val="20"/>
    </w:rPr>
  </w:style>
  <w:style w:type="character" w:customStyle="1" w:styleId="CommentTextChar">
    <w:name w:val="Comment Text Char"/>
    <w:basedOn w:val="DefaultParagraphFont"/>
    <w:link w:val="CommentText"/>
    <w:uiPriority w:val="99"/>
    <w:rsid w:val="00095528"/>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095528"/>
    <w:rPr>
      <w:b/>
      <w:bCs/>
    </w:rPr>
  </w:style>
  <w:style w:type="character" w:customStyle="1" w:styleId="CommentSubjectChar">
    <w:name w:val="Comment Subject Char"/>
    <w:basedOn w:val="CommentTextChar"/>
    <w:link w:val="CommentSubject"/>
    <w:uiPriority w:val="99"/>
    <w:semiHidden/>
    <w:rsid w:val="00095528"/>
    <w:rPr>
      <w:b/>
      <w:bCs/>
      <w:color w:val="495965" w:themeColor="text2"/>
      <w:sz w:val="20"/>
      <w:szCs w:val="20"/>
      <w:lang w:val="en-GB"/>
    </w:rPr>
  </w:style>
  <w:style w:type="paragraph" w:customStyle="1" w:styleId="Default">
    <w:name w:val="Default"/>
    <w:rsid w:val="00B2613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633B46"/>
    <w:pPr>
      <w:ind w:left="720"/>
      <w:contextualSpacing/>
    </w:pPr>
  </w:style>
  <w:style w:type="paragraph" w:styleId="Revision">
    <w:name w:val="Revision"/>
    <w:hidden/>
    <w:uiPriority w:val="99"/>
    <w:semiHidden/>
    <w:rsid w:val="00B00172"/>
    <w:pPr>
      <w:spacing w:after="0" w:line="240" w:lineRule="auto"/>
    </w:pPr>
    <w:rPr>
      <w:color w:val="495965" w:themeColor="text2"/>
      <w:lang w:val="en-GB"/>
    </w:rPr>
  </w:style>
  <w:style w:type="character" w:customStyle="1" w:styleId="st1">
    <w:name w:val="st1"/>
    <w:basedOn w:val="DefaultParagraphFont"/>
    <w:rsid w:val="00195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character" w:styleId="CommentReference">
    <w:name w:val="annotation reference"/>
    <w:basedOn w:val="DefaultParagraphFont"/>
    <w:uiPriority w:val="99"/>
    <w:semiHidden/>
    <w:unhideWhenUsed/>
    <w:rsid w:val="00095528"/>
    <w:rPr>
      <w:sz w:val="16"/>
      <w:szCs w:val="16"/>
    </w:rPr>
  </w:style>
  <w:style w:type="paragraph" w:styleId="CommentText">
    <w:name w:val="annotation text"/>
    <w:basedOn w:val="Normal"/>
    <w:link w:val="CommentTextChar"/>
    <w:uiPriority w:val="99"/>
    <w:unhideWhenUsed/>
    <w:rsid w:val="00095528"/>
    <w:pPr>
      <w:spacing w:line="240" w:lineRule="auto"/>
    </w:pPr>
    <w:rPr>
      <w:sz w:val="20"/>
      <w:szCs w:val="20"/>
    </w:rPr>
  </w:style>
  <w:style w:type="character" w:customStyle="1" w:styleId="CommentTextChar">
    <w:name w:val="Comment Text Char"/>
    <w:basedOn w:val="DefaultParagraphFont"/>
    <w:link w:val="CommentText"/>
    <w:uiPriority w:val="99"/>
    <w:rsid w:val="00095528"/>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095528"/>
    <w:rPr>
      <w:b/>
      <w:bCs/>
    </w:rPr>
  </w:style>
  <w:style w:type="character" w:customStyle="1" w:styleId="CommentSubjectChar">
    <w:name w:val="Comment Subject Char"/>
    <w:basedOn w:val="CommentTextChar"/>
    <w:link w:val="CommentSubject"/>
    <w:uiPriority w:val="99"/>
    <w:semiHidden/>
    <w:rsid w:val="00095528"/>
    <w:rPr>
      <w:b/>
      <w:bCs/>
      <w:color w:val="495965" w:themeColor="text2"/>
      <w:sz w:val="20"/>
      <w:szCs w:val="20"/>
      <w:lang w:val="en-GB"/>
    </w:rPr>
  </w:style>
  <w:style w:type="paragraph" w:customStyle="1" w:styleId="Default">
    <w:name w:val="Default"/>
    <w:rsid w:val="00B2613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633B46"/>
    <w:pPr>
      <w:ind w:left="720"/>
      <w:contextualSpacing/>
    </w:pPr>
  </w:style>
  <w:style w:type="paragraph" w:styleId="Revision">
    <w:name w:val="Revision"/>
    <w:hidden/>
    <w:uiPriority w:val="99"/>
    <w:semiHidden/>
    <w:rsid w:val="00B00172"/>
    <w:pPr>
      <w:spacing w:after="0" w:line="240" w:lineRule="auto"/>
    </w:pPr>
    <w:rPr>
      <w:color w:val="495965" w:themeColor="text2"/>
      <w:lang w:val="en-GB"/>
    </w:rPr>
  </w:style>
  <w:style w:type="character" w:customStyle="1" w:styleId="st1">
    <w:name w:val="st1"/>
    <w:basedOn w:val="DefaultParagraphFont"/>
    <w:rsid w:val="00195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9993">
      <w:bodyDiv w:val="1"/>
      <w:marLeft w:val="0"/>
      <w:marRight w:val="0"/>
      <w:marTop w:val="0"/>
      <w:marBottom w:val="0"/>
      <w:divBdr>
        <w:top w:val="none" w:sz="0" w:space="0" w:color="auto"/>
        <w:left w:val="none" w:sz="0" w:space="0" w:color="auto"/>
        <w:bottom w:val="none" w:sz="0" w:space="0" w:color="auto"/>
        <w:right w:val="none" w:sz="0" w:space="0" w:color="auto"/>
      </w:divBdr>
    </w:div>
    <w:div w:id="411119811">
      <w:bodyDiv w:val="1"/>
      <w:marLeft w:val="0"/>
      <w:marRight w:val="0"/>
      <w:marTop w:val="0"/>
      <w:marBottom w:val="0"/>
      <w:divBdr>
        <w:top w:val="none" w:sz="0" w:space="0" w:color="auto"/>
        <w:left w:val="none" w:sz="0" w:space="0" w:color="auto"/>
        <w:bottom w:val="none" w:sz="0" w:space="0" w:color="auto"/>
        <w:right w:val="none" w:sz="0" w:space="0" w:color="auto"/>
      </w:divBdr>
    </w:div>
    <w:div w:id="1031415631">
      <w:bodyDiv w:val="1"/>
      <w:marLeft w:val="0"/>
      <w:marRight w:val="0"/>
      <w:marTop w:val="0"/>
      <w:marBottom w:val="0"/>
      <w:divBdr>
        <w:top w:val="none" w:sz="0" w:space="0" w:color="auto"/>
        <w:left w:val="none" w:sz="0" w:space="0" w:color="auto"/>
        <w:bottom w:val="none" w:sz="0" w:space="0" w:color="auto"/>
        <w:right w:val="none" w:sz="0" w:space="0" w:color="auto"/>
      </w:divBdr>
    </w:div>
    <w:div w:id="1253009748">
      <w:bodyDiv w:val="1"/>
      <w:marLeft w:val="0"/>
      <w:marRight w:val="0"/>
      <w:marTop w:val="0"/>
      <w:marBottom w:val="0"/>
      <w:divBdr>
        <w:top w:val="none" w:sz="0" w:space="0" w:color="auto"/>
        <w:left w:val="none" w:sz="0" w:space="0" w:color="auto"/>
        <w:bottom w:val="none" w:sz="0" w:space="0" w:color="auto"/>
        <w:right w:val="none" w:sz="0" w:space="0" w:color="auto"/>
      </w:divBdr>
    </w:div>
    <w:div w:id="1489975738">
      <w:bodyDiv w:val="1"/>
      <w:marLeft w:val="0"/>
      <w:marRight w:val="0"/>
      <w:marTop w:val="0"/>
      <w:marBottom w:val="0"/>
      <w:divBdr>
        <w:top w:val="none" w:sz="0" w:space="0" w:color="auto"/>
        <w:left w:val="none" w:sz="0" w:space="0" w:color="auto"/>
        <w:bottom w:val="none" w:sz="0" w:space="0" w:color="auto"/>
        <w:right w:val="none" w:sz="0" w:space="0" w:color="auto"/>
      </w:divBdr>
    </w:div>
    <w:div w:id="1576359548">
      <w:bodyDiv w:val="1"/>
      <w:marLeft w:val="0"/>
      <w:marRight w:val="0"/>
      <w:marTop w:val="0"/>
      <w:marBottom w:val="0"/>
      <w:divBdr>
        <w:top w:val="none" w:sz="0" w:space="0" w:color="auto"/>
        <w:left w:val="none" w:sz="0" w:space="0" w:color="auto"/>
        <w:bottom w:val="none" w:sz="0" w:space="0" w:color="auto"/>
        <w:right w:val="none" w:sz="0" w:space="0" w:color="auto"/>
      </w:divBdr>
    </w:div>
    <w:div w:id="1630934330">
      <w:bodyDiv w:val="1"/>
      <w:marLeft w:val="0"/>
      <w:marRight w:val="0"/>
      <w:marTop w:val="0"/>
      <w:marBottom w:val="0"/>
      <w:divBdr>
        <w:top w:val="none" w:sz="0" w:space="0" w:color="auto"/>
        <w:left w:val="none" w:sz="0" w:space="0" w:color="auto"/>
        <w:bottom w:val="none" w:sz="0" w:space="0" w:color="auto"/>
        <w:right w:val="none" w:sz="0" w:space="0" w:color="auto"/>
      </w:divBdr>
    </w:div>
    <w:div w:id="1681619014">
      <w:bodyDiv w:val="1"/>
      <w:marLeft w:val="0"/>
      <w:marRight w:val="0"/>
      <w:marTop w:val="0"/>
      <w:marBottom w:val="0"/>
      <w:divBdr>
        <w:top w:val="none" w:sz="0" w:space="0" w:color="auto"/>
        <w:left w:val="none" w:sz="0" w:space="0" w:color="auto"/>
        <w:bottom w:val="none" w:sz="0" w:space="0" w:color="auto"/>
        <w:right w:val="none" w:sz="0" w:space="0" w:color="auto"/>
      </w:divBdr>
      <w:divsChild>
        <w:div w:id="822547487">
          <w:marLeft w:val="0"/>
          <w:marRight w:val="0"/>
          <w:marTop w:val="0"/>
          <w:marBottom w:val="0"/>
          <w:divBdr>
            <w:top w:val="none" w:sz="0" w:space="0" w:color="auto"/>
            <w:left w:val="none" w:sz="0" w:space="0" w:color="auto"/>
            <w:bottom w:val="none" w:sz="0" w:space="0" w:color="auto"/>
            <w:right w:val="none" w:sz="0" w:space="0" w:color="auto"/>
          </w:divBdr>
          <w:divsChild>
            <w:div w:id="29576676">
              <w:marLeft w:val="0"/>
              <w:marRight w:val="0"/>
              <w:marTop w:val="150"/>
              <w:marBottom w:val="150"/>
              <w:divBdr>
                <w:top w:val="none" w:sz="0" w:space="0" w:color="auto"/>
                <w:left w:val="none" w:sz="0" w:space="0" w:color="auto"/>
                <w:bottom w:val="none" w:sz="0" w:space="0" w:color="auto"/>
                <w:right w:val="none" w:sz="0" w:space="0" w:color="auto"/>
              </w:divBdr>
              <w:divsChild>
                <w:div w:id="1281033596">
                  <w:marLeft w:val="0"/>
                  <w:marRight w:val="0"/>
                  <w:marTop w:val="0"/>
                  <w:marBottom w:val="0"/>
                  <w:divBdr>
                    <w:top w:val="none" w:sz="0" w:space="0" w:color="auto"/>
                    <w:left w:val="none" w:sz="0" w:space="0" w:color="auto"/>
                    <w:bottom w:val="none" w:sz="0" w:space="0" w:color="auto"/>
                    <w:right w:val="none" w:sz="0" w:space="0" w:color="auto"/>
                  </w:divBdr>
                  <w:divsChild>
                    <w:div w:id="566306994">
                      <w:marLeft w:val="0"/>
                      <w:marRight w:val="0"/>
                      <w:marTop w:val="0"/>
                      <w:marBottom w:val="0"/>
                      <w:divBdr>
                        <w:top w:val="none" w:sz="0" w:space="0" w:color="auto"/>
                        <w:left w:val="none" w:sz="0" w:space="0" w:color="auto"/>
                        <w:bottom w:val="none" w:sz="0" w:space="0" w:color="auto"/>
                        <w:right w:val="none" w:sz="0" w:space="0" w:color="auto"/>
                      </w:divBdr>
                      <w:divsChild>
                        <w:div w:id="1835754931">
                          <w:marLeft w:val="0"/>
                          <w:marRight w:val="0"/>
                          <w:marTop w:val="0"/>
                          <w:marBottom w:val="0"/>
                          <w:divBdr>
                            <w:top w:val="none" w:sz="0" w:space="0" w:color="auto"/>
                            <w:left w:val="none" w:sz="0" w:space="0" w:color="auto"/>
                            <w:bottom w:val="none" w:sz="0" w:space="0" w:color="auto"/>
                            <w:right w:val="none" w:sz="0" w:space="0" w:color="auto"/>
                          </w:divBdr>
                          <w:divsChild>
                            <w:div w:id="1818645573">
                              <w:marLeft w:val="0"/>
                              <w:marRight w:val="0"/>
                              <w:marTop w:val="0"/>
                              <w:marBottom w:val="0"/>
                              <w:divBdr>
                                <w:top w:val="none" w:sz="0" w:space="0" w:color="auto"/>
                                <w:left w:val="none" w:sz="0" w:space="0" w:color="auto"/>
                                <w:bottom w:val="none" w:sz="0" w:space="0" w:color="auto"/>
                                <w:right w:val="none" w:sz="0" w:space="0" w:color="auto"/>
                              </w:divBdr>
                              <w:divsChild>
                                <w:div w:id="450131792">
                                  <w:marLeft w:val="0"/>
                                  <w:marRight w:val="0"/>
                                  <w:marTop w:val="0"/>
                                  <w:marBottom w:val="0"/>
                                  <w:divBdr>
                                    <w:top w:val="none" w:sz="0" w:space="0" w:color="auto"/>
                                    <w:left w:val="none" w:sz="0" w:space="0" w:color="auto"/>
                                    <w:bottom w:val="none" w:sz="0" w:space="0" w:color="auto"/>
                                    <w:right w:val="none" w:sz="0" w:space="0" w:color="auto"/>
                                  </w:divBdr>
                                  <w:divsChild>
                                    <w:div w:id="139032368">
                                      <w:marLeft w:val="0"/>
                                      <w:marRight w:val="0"/>
                                      <w:marTop w:val="0"/>
                                      <w:marBottom w:val="0"/>
                                      <w:divBdr>
                                        <w:top w:val="none" w:sz="0" w:space="0" w:color="auto"/>
                                        <w:left w:val="none" w:sz="0" w:space="0" w:color="auto"/>
                                        <w:bottom w:val="none" w:sz="0" w:space="0" w:color="auto"/>
                                        <w:right w:val="none" w:sz="0" w:space="0" w:color="auto"/>
                                      </w:divBdr>
                                      <w:divsChild>
                                        <w:div w:id="1002244117">
                                          <w:marLeft w:val="0"/>
                                          <w:marRight w:val="0"/>
                                          <w:marTop w:val="0"/>
                                          <w:marBottom w:val="0"/>
                                          <w:divBdr>
                                            <w:top w:val="none" w:sz="0" w:space="0" w:color="auto"/>
                                            <w:left w:val="none" w:sz="0" w:space="0" w:color="auto"/>
                                            <w:bottom w:val="none" w:sz="0" w:space="0" w:color="auto"/>
                                            <w:right w:val="none" w:sz="0" w:space="0" w:color="auto"/>
                                          </w:divBdr>
                                          <w:divsChild>
                                            <w:div w:id="84572974">
                                              <w:marLeft w:val="0"/>
                                              <w:marRight w:val="0"/>
                                              <w:marTop w:val="0"/>
                                              <w:marBottom w:val="0"/>
                                              <w:divBdr>
                                                <w:top w:val="none" w:sz="0" w:space="0" w:color="auto"/>
                                                <w:left w:val="none" w:sz="0" w:space="0" w:color="auto"/>
                                                <w:bottom w:val="none" w:sz="0" w:space="0" w:color="auto"/>
                                                <w:right w:val="none" w:sz="0" w:space="0" w:color="auto"/>
                                              </w:divBdr>
                                              <w:divsChild>
                                                <w:div w:id="1335299920">
                                                  <w:marLeft w:val="0"/>
                                                  <w:marRight w:val="0"/>
                                                  <w:marTop w:val="0"/>
                                                  <w:marBottom w:val="135"/>
                                                  <w:divBdr>
                                                    <w:top w:val="none" w:sz="0" w:space="0" w:color="auto"/>
                                                    <w:left w:val="none" w:sz="0" w:space="0" w:color="auto"/>
                                                    <w:bottom w:val="none" w:sz="0" w:space="0" w:color="auto"/>
                                                    <w:right w:val="none" w:sz="0" w:space="0" w:color="auto"/>
                                                  </w:divBdr>
                                                  <w:divsChild>
                                                    <w:div w:id="1064181067">
                                                      <w:marLeft w:val="0"/>
                                                      <w:marRight w:val="0"/>
                                                      <w:marTop w:val="0"/>
                                                      <w:marBottom w:val="0"/>
                                                      <w:divBdr>
                                                        <w:top w:val="none" w:sz="0" w:space="0" w:color="auto"/>
                                                        <w:left w:val="none" w:sz="0" w:space="0" w:color="auto"/>
                                                        <w:bottom w:val="none" w:sz="0" w:space="0" w:color="auto"/>
                                                        <w:right w:val="none" w:sz="0" w:space="0" w:color="auto"/>
                                                      </w:divBdr>
                                                      <w:divsChild>
                                                        <w:div w:id="16608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6055122">
      <w:bodyDiv w:val="1"/>
      <w:marLeft w:val="0"/>
      <w:marRight w:val="0"/>
      <w:marTop w:val="0"/>
      <w:marBottom w:val="0"/>
      <w:divBdr>
        <w:top w:val="none" w:sz="0" w:space="0" w:color="auto"/>
        <w:left w:val="none" w:sz="0" w:space="0" w:color="auto"/>
        <w:bottom w:val="none" w:sz="0" w:space="0" w:color="auto"/>
        <w:right w:val="none" w:sz="0" w:space="0" w:color="auto"/>
      </w:divBdr>
      <w:divsChild>
        <w:div w:id="560478525">
          <w:marLeft w:val="0"/>
          <w:marRight w:val="0"/>
          <w:marTop w:val="0"/>
          <w:marBottom w:val="0"/>
          <w:divBdr>
            <w:top w:val="none" w:sz="0" w:space="0" w:color="auto"/>
            <w:left w:val="none" w:sz="0" w:space="0" w:color="auto"/>
            <w:bottom w:val="none" w:sz="0" w:space="0" w:color="auto"/>
            <w:right w:val="none" w:sz="0" w:space="0" w:color="auto"/>
          </w:divBdr>
          <w:divsChild>
            <w:div w:id="1541475870">
              <w:marLeft w:val="0"/>
              <w:marRight w:val="0"/>
              <w:marTop w:val="0"/>
              <w:marBottom w:val="0"/>
              <w:divBdr>
                <w:top w:val="none" w:sz="0" w:space="0" w:color="auto"/>
                <w:left w:val="none" w:sz="0" w:space="0" w:color="auto"/>
                <w:bottom w:val="none" w:sz="0" w:space="0" w:color="auto"/>
                <w:right w:val="none" w:sz="0" w:space="0" w:color="auto"/>
              </w:divBdr>
              <w:divsChild>
                <w:div w:id="219828008">
                  <w:marLeft w:val="0"/>
                  <w:marRight w:val="0"/>
                  <w:marTop w:val="0"/>
                  <w:marBottom w:val="0"/>
                  <w:divBdr>
                    <w:top w:val="none" w:sz="0" w:space="0" w:color="auto"/>
                    <w:left w:val="none" w:sz="0" w:space="0" w:color="auto"/>
                    <w:bottom w:val="none" w:sz="0" w:space="0" w:color="auto"/>
                    <w:right w:val="none" w:sz="0" w:space="0" w:color="auto"/>
                  </w:divBdr>
                  <w:divsChild>
                    <w:div w:id="783623378">
                      <w:marLeft w:val="0"/>
                      <w:marRight w:val="0"/>
                      <w:marTop w:val="0"/>
                      <w:marBottom w:val="0"/>
                      <w:divBdr>
                        <w:top w:val="none" w:sz="0" w:space="0" w:color="auto"/>
                        <w:left w:val="none" w:sz="0" w:space="0" w:color="auto"/>
                        <w:bottom w:val="none" w:sz="0" w:space="0" w:color="auto"/>
                        <w:right w:val="none" w:sz="0" w:space="0" w:color="auto"/>
                      </w:divBdr>
                      <w:divsChild>
                        <w:div w:id="1933583991">
                          <w:marLeft w:val="0"/>
                          <w:marRight w:val="0"/>
                          <w:marTop w:val="0"/>
                          <w:marBottom w:val="0"/>
                          <w:divBdr>
                            <w:top w:val="none" w:sz="0" w:space="0" w:color="auto"/>
                            <w:left w:val="none" w:sz="0" w:space="0" w:color="auto"/>
                            <w:bottom w:val="none" w:sz="0" w:space="0" w:color="auto"/>
                            <w:right w:val="none" w:sz="0" w:space="0" w:color="auto"/>
                          </w:divBdr>
                          <w:divsChild>
                            <w:div w:id="704989876">
                              <w:marLeft w:val="0"/>
                              <w:marRight w:val="0"/>
                              <w:marTop w:val="0"/>
                              <w:marBottom w:val="0"/>
                              <w:divBdr>
                                <w:top w:val="none" w:sz="0" w:space="0" w:color="auto"/>
                                <w:left w:val="none" w:sz="0" w:space="0" w:color="auto"/>
                                <w:bottom w:val="none" w:sz="0" w:space="0" w:color="auto"/>
                                <w:right w:val="none" w:sz="0" w:space="0" w:color="auto"/>
                              </w:divBdr>
                              <w:divsChild>
                                <w:div w:id="331371006">
                                  <w:marLeft w:val="0"/>
                                  <w:marRight w:val="0"/>
                                  <w:marTop w:val="0"/>
                                  <w:marBottom w:val="0"/>
                                  <w:divBdr>
                                    <w:top w:val="none" w:sz="0" w:space="0" w:color="auto"/>
                                    <w:left w:val="none" w:sz="0" w:space="0" w:color="auto"/>
                                    <w:bottom w:val="none" w:sz="0" w:space="0" w:color="auto"/>
                                    <w:right w:val="none" w:sz="0" w:space="0" w:color="auto"/>
                                  </w:divBdr>
                                  <w:divsChild>
                                    <w:div w:id="608585760">
                                      <w:marLeft w:val="0"/>
                                      <w:marRight w:val="0"/>
                                      <w:marTop w:val="0"/>
                                      <w:marBottom w:val="0"/>
                                      <w:divBdr>
                                        <w:top w:val="none" w:sz="0" w:space="0" w:color="auto"/>
                                        <w:left w:val="none" w:sz="0" w:space="0" w:color="auto"/>
                                        <w:bottom w:val="none" w:sz="0" w:space="0" w:color="auto"/>
                                        <w:right w:val="none" w:sz="0" w:space="0" w:color="auto"/>
                                      </w:divBdr>
                                      <w:divsChild>
                                        <w:div w:id="2124378718">
                                          <w:marLeft w:val="0"/>
                                          <w:marRight w:val="0"/>
                                          <w:marTop w:val="0"/>
                                          <w:marBottom w:val="0"/>
                                          <w:divBdr>
                                            <w:top w:val="none" w:sz="0" w:space="0" w:color="auto"/>
                                            <w:left w:val="none" w:sz="0" w:space="0" w:color="auto"/>
                                            <w:bottom w:val="none" w:sz="0" w:space="0" w:color="auto"/>
                                            <w:right w:val="none" w:sz="0" w:space="0" w:color="auto"/>
                                          </w:divBdr>
                                          <w:divsChild>
                                            <w:div w:id="4308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66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dfat.gov.au/geo/pacific/development-assistance/Pages/development-assistance-in-the-pacific.asp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fat.gov.au/geo/tonga/development-assistance/Pages/objective-2-more-effective-efficient-and-equitable-health-system.aspx" TargetMode="External"/><Relationship Id="rId2" Type="http://schemas.openxmlformats.org/officeDocument/2006/relationships/hyperlink" Target="http://dfat.gov.au/geo/tonga/development-assistance/Pages/objective-1-governance-economic-and-private-sector-development.aspx" TargetMode="External"/><Relationship Id="rId1" Type="http://schemas.openxmlformats.org/officeDocument/2006/relationships/hyperlink" Target="http://data.worldbank.org/country/tong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4BEF02-1FA0-44E0-919F-236CA029EAB6}"/>
</file>

<file path=customXml/itemProps2.xml><?xml version="1.0" encoding="utf-8"?>
<ds:datastoreItem xmlns:ds="http://schemas.openxmlformats.org/officeDocument/2006/customXml" ds:itemID="{C737FB90-3F75-4295-A4B4-FE57E972A93C}"/>
</file>

<file path=customXml/itemProps3.xml><?xml version="1.0" encoding="utf-8"?>
<ds:datastoreItem xmlns:ds="http://schemas.openxmlformats.org/officeDocument/2006/customXml" ds:itemID="{6F933491-B406-4C53-9165-9991958F3FFF}"/>
</file>

<file path=customXml/itemProps4.xml><?xml version="1.0" encoding="utf-8"?>
<ds:datastoreItem xmlns:ds="http://schemas.openxmlformats.org/officeDocument/2006/customXml" ds:itemID="{FFABF899-6FEF-41C8-A3F6-F5ED8F0703FA}"/>
</file>

<file path=docProps/app.xml><?xml version="1.0" encoding="utf-8"?>
<Properties xmlns="http://schemas.openxmlformats.org/officeDocument/2006/extended-properties" xmlns:vt="http://schemas.openxmlformats.org/officeDocument/2006/docPropsVTypes">
  <Template>82073704</Template>
  <TotalTime>0</TotalTime>
  <Pages>14</Pages>
  <Words>6017</Words>
  <Characters>34301</Characters>
  <Application>Microsoft Office Word</Application>
  <DocSecurity>0</DocSecurity>
  <Lines>285</Lines>
  <Paragraphs>80</Paragraphs>
  <ScaleCrop>false</ScaleCrop>
  <Company/>
  <LinksUpToDate>false</LinksUpToDate>
  <CharactersWithSpaces>40238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2016-09-16T01:45:00Z</dcterms:created>
  <dcterms:modified xsi:type="dcterms:W3CDTF">2016-09-16T01:45:00Z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f2db52f4-7cd6-42a5-8e07-da6f0db571d4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1057900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